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F57" w:rsidRDefault="003822BA" w:rsidP="006E3865">
      <w:pPr>
        <w:pStyle w:val="Nadpis3"/>
        <w:rPr>
          <w:sz w:val="32"/>
          <w:szCs w:val="28"/>
        </w:rPr>
      </w:pPr>
      <w:r>
        <w:rPr>
          <w:sz w:val="32"/>
          <w:szCs w:val="28"/>
        </w:rPr>
        <w:t>GBA</w:t>
      </w:r>
      <w:r w:rsidR="00C93F57" w:rsidRPr="00C93F57">
        <w:rPr>
          <w:sz w:val="32"/>
          <w:szCs w:val="28"/>
        </w:rPr>
        <w:t>RD podle socioekonomických cílů NABS 1992</w:t>
      </w:r>
    </w:p>
    <w:p w:rsidR="00F90072" w:rsidRDefault="00515B56" w:rsidP="00F4288E">
      <w:pPr>
        <w:spacing w:before="120" w:after="120"/>
        <w:jc w:val="both"/>
      </w:pPr>
      <w:r>
        <w:t xml:space="preserve">Jak bylo již uvedeno, celková částka státem rozpočtovaných výdajů a dotací na výzkum a vývoj, představovala v roce 2014 </w:t>
      </w:r>
      <w:r w:rsidRPr="00515B56">
        <w:rPr>
          <w:b/>
        </w:rPr>
        <w:t>27 284 mil. Kč</w:t>
      </w:r>
      <w:r w:rsidRPr="00515B56">
        <w:t>.</w:t>
      </w:r>
      <w:r>
        <w:t xml:space="preserve"> V této kapitole bude podrobněji popsáno směřování těchto prostředků z hlediska socioekonomických cílů rozlišených dle </w:t>
      </w:r>
      <w:r w:rsidRPr="007A2F09">
        <w:rPr>
          <w:b/>
        </w:rPr>
        <w:t>kl</w:t>
      </w:r>
      <w:r w:rsidR="00A77C4A" w:rsidRPr="007A2F09">
        <w:rPr>
          <w:b/>
        </w:rPr>
        <w:t>asifikace NABS</w:t>
      </w:r>
      <w:r w:rsidR="007A2F09" w:rsidRPr="007A2F09">
        <w:rPr>
          <w:rStyle w:val="Znakapoznpodarou"/>
          <w:b/>
        </w:rPr>
        <w:footnoteReference w:id="1"/>
      </w:r>
      <w:r w:rsidRPr="007A2F09">
        <w:rPr>
          <w:b/>
        </w:rPr>
        <w:t xml:space="preserve"> 1992</w:t>
      </w:r>
      <w:r>
        <w:t>. Výchozí grafické znázornění (Graf 2-1), které následuje, poskytuje přehled základních 13 cílů této klasifikace. Graf zahrnuje také informaci o vývoji alokovaných prostředků v letech 2005, 2010</w:t>
      </w:r>
      <w:r w:rsidR="00271B2A">
        <w:t>, 2013 a 2014</w:t>
      </w:r>
      <w:r>
        <w:t xml:space="preserve">. </w:t>
      </w:r>
    </w:p>
    <w:p w:rsidR="00515B56" w:rsidRDefault="00515B56" w:rsidP="00F4288E">
      <w:pPr>
        <w:spacing w:before="120" w:after="120"/>
        <w:jc w:val="both"/>
      </w:pPr>
      <w:r>
        <w:t xml:space="preserve">Drtivá většina těchto prostředků </w:t>
      </w:r>
      <w:r w:rsidRPr="00515B56">
        <w:rPr>
          <w:b/>
        </w:rPr>
        <w:t>směřovala do c</w:t>
      </w:r>
      <w:r w:rsidR="002340D9">
        <w:rPr>
          <w:b/>
        </w:rPr>
        <w:t>ivilního výzkumu a vývoje (98,6 </w:t>
      </w:r>
      <w:r w:rsidRPr="00515B56">
        <w:rPr>
          <w:b/>
        </w:rPr>
        <w:t>%)</w:t>
      </w:r>
      <w:r>
        <w:t xml:space="preserve">. Na </w:t>
      </w:r>
      <w:r w:rsidRPr="00C05A6E">
        <w:rPr>
          <w:b/>
        </w:rPr>
        <w:t>obranný (vojenský) výzkum a vývoj</w:t>
      </w:r>
      <w:r>
        <w:t xml:space="preserve">, který je financován výhradně z rozpočtové kapitoly Ministerstva obrany, stát vyčlenil pouhá </w:t>
      </w:r>
      <w:r w:rsidRPr="00C05A6E">
        <w:rPr>
          <w:b/>
        </w:rPr>
        <w:t>1,4 % výdajů</w:t>
      </w:r>
      <w:r>
        <w:t>.</w:t>
      </w:r>
    </w:p>
    <w:p w:rsidR="00CB6838" w:rsidRPr="00CB6838" w:rsidRDefault="00CB6838" w:rsidP="00515B56">
      <w:pPr>
        <w:spacing w:before="120"/>
        <w:jc w:val="both"/>
        <w:rPr>
          <w:b/>
        </w:rPr>
      </w:pPr>
      <w:r>
        <w:rPr>
          <w:b/>
        </w:rPr>
        <w:t>GRAF 2-1: GBA</w:t>
      </w:r>
      <w:r w:rsidRPr="00CB6838">
        <w:rPr>
          <w:b/>
        </w:rPr>
        <w:t>RD podle hlavních socioekonomických cílů v letech 2005, 2010</w:t>
      </w:r>
      <w:r>
        <w:rPr>
          <w:b/>
        </w:rPr>
        <w:t>, 2013 a 2014</w:t>
      </w:r>
      <w:r w:rsidRPr="00CB6838">
        <w:rPr>
          <w:b/>
        </w:rPr>
        <w:t xml:space="preserve"> (mi</w:t>
      </w:r>
      <w:r>
        <w:rPr>
          <w:b/>
        </w:rPr>
        <w:t>l. Kč; procento z celkových GBARD v roce 2014</w:t>
      </w:r>
      <w:r w:rsidRPr="00CB6838">
        <w:rPr>
          <w:b/>
        </w:rPr>
        <w:t>)</w:t>
      </w:r>
    </w:p>
    <w:p w:rsidR="00515B56" w:rsidRDefault="00B57A4E" w:rsidP="00515B56">
      <w:pPr>
        <w:spacing w:before="120"/>
        <w:jc w:val="both"/>
      </w:pPr>
      <w:r>
        <w:rPr>
          <w:noProof/>
        </w:rPr>
        <w:drawing>
          <wp:inline distT="0" distB="0" distL="0" distR="0">
            <wp:extent cx="5972810" cy="3559810"/>
            <wp:effectExtent l="0" t="0" r="8890" b="2540"/>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471BD" w:rsidRDefault="00C471BD" w:rsidP="00C471BD">
      <w:pPr>
        <w:spacing w:before="120"/>
        <w:jc w:val="both"/>
      </w:pPr>
    </w:p>
    <w:p w:rsidR="00F37D06" w:rsidRDefault="00C471BD" w:rsidP="00F4288E">
      <w:pPr>
        <w:spacing w:before="120" w:after="120"/>
        <w:jc w:val="both"/>
      </w:pPr>
      <w:r>
        <w:t>Finanční prostředky vyhrazené na oblast výzkumu a vývoje ze státního rozpočtu mohly být přidělovány buď formou institucionální podpory, nebo účelového financování. Institucionální podpora byla určena především na výzkum prováděný bez konkrétního zaměření. Tvořily ji zejména podpora rozvoje výzkumných organizací</w:t>
      </w:r>
      <w:r w:rsidR="00730398">
        <w:rPr>
          <w:rStyle w:val="Znakapoznpodarou"/>
        </w:rPr>
        <w:footnoteReference w:id="2"/>
      </w:r>
      <w:r>
        <w:t xml:space="preserve"> a specifický výzkum na vysokých školách. V roce 2014 dosáhla výše podpory rozvoje výzkumných organizací 9 415 mil. Kč a specifického výzkumu na vysokých školách 1 165 mil. Kč. V případě všeobecného výzkumu na vysokých školách se jednalo pouze o institucionální podporu. </w:t>
      </w:r>
    </w:p>
    <w:p w:rsidR="00C471BD" w:rsidRDefault="00C471BD" w:rsidP="00F4288E">
      <w:pPr>
        <w:spacing w:before="120" w:after="120"/>
        <w:jc w:val="both"/>
      </w:pPr>
      <w:r>
        <w:t>Také ostatní civilní výzkum je financován výhradně institucionální formou podpory (99,3 %).</w:t>
      </w:r>
      <w:r w:rsidR="009D5E27">
        <w:t xml:space="preserve"> Spadá sem zejména financování mezinárodní spolupráce ve VaV</w:t>
      </w:r>
      <w:r w:rsidR="00F458DB">
        <w:t xml:space="preserve"> v podobě </w:t>
      </w:r>
      <w:r w:rsidR="009D5E27">
        <w:t>poplatk</w:t>
      </w:r>
      <w:r w:rsidR="00F458DB">
        <w:t>ů</w:t>
      </w:r>
      <w:r w:rsidR="009D5E27">
        <w:t xml:space="preserve"> </w:t>
      </w:r>
      <w:r w:rsidR="00F458DB">
        <w:t xml:space="preserve">za účast v mezinárodních </w:t>
      </w:r>
      <w:r w:rsidR="00F458DB">
        <w:lastRenderedPageBreak/>
        <w:t xml:space="preserve">programech VaV </w:t>
      </w:r>
      <w:r w:rsidR="009D5E27">
        <w:t>a příspěvky</w:t>
      </w:r>
      <w:r w:rsidR="00F458DB">
        <w:t xml:space="preserve"> do zahraničních výzkumných organizací nadnárodního charakteru. Například příspěvek za účast v Evropské kosmické agentuře činil v roce 2014 226 mil. Kč.</w:t>
      </w:r>
    </w:p>
    <w:p w:rsidR="00B6341E" w:rsidRDefault="00C471BD" w:rsidP="00F4288E">
      <w:pPr>
        <w:spacing w:after="120"/>
        <w:jc w:val="both"/>
      </w:pPr>
      <w:r>
        <w:t>Účelové financování bylo zaměřeno na podporu řešení jednotlivých projektů (programových projektů, grantových projektů, veřejných zakázek ve výzkumu a vývoji).</w:t>
      </w:r>
      <w:r w:rsidR="00605D3C">
        <w:t xml:space="preserve"> </w:t>
      </w:r>
      <w:r w:rsidR="0049134F">
        <w:t>V roce 2014</w:t>
      </w:r>
      <w:r>
        <w:t xml:space="preserve"> účelové financování zcela p</w:t>
      </w:r>
      <w:r w:rsidR="0049134F">
        <w:t>řevládalo v případě obrany (99,1</w:t>
      </w:r>
      <w:r>
        <w:t xml:space="preserve"> %). </w:t>
      </w:r>
    </w:p>
    <w:p w:rsidR="00E20DA3" w:rsidRDefault="00C471BD" w:rsidP="00F4288E">
      <w:pPr>
        <w:spacing w:after="120"/>
        <w:jc w:val="both"/>
      </w:pPr>
      <w:r>
        <w:t xml:space="preserve">Výrazná převaha účelového financování nad institucionálním byla i v případě výzkumu </w:t>
      </w:r>
      <w:r w:rsidR="0049134F">
        <w:t xml:space="preserve">infrastruktury a územního plánování (96,5 %), </w:t>
      </w:r>
      <w:r>
        <w:t>výroby, distribuce a ra</w:t>
      </w:r>
      <w:r w:rsidR="0049134F">
        <w:t>cionálního využití energie (96,4</w:t>
      </w:r>
      <w:r>
        <w:t xml:space="preserve"> %), ochrany životního prostředí (95 %)</w:t>
      </w:r>
      <w:r w:rsidR="0049134F">
        <w:t xml:space="preserve"> a průmyslové výroby a technologie (95,3 %)</w:t>
      </w:r>
      <w:r>
        <w:t>. U neorientovaného v</w:t>
      </w:r>
      <w:r w:rsidR="0049134F">
        <w:t>ýzkumu byl podíl účelového (51,6 %) a institucionálního (48,4</w:t>
      </w:r>
      <w:r>
        <w:t xml:space="preserve"> %) financování vyrovnaný.</w:t>
      </w:r>
    </w:p>
    <w:p w:rsidR="007A2F09" w:rsidRDefault="007A2F09" w:rsidP="00F4288E">
      <w:pPr>
        <w:spacing w:before="120" w:after="120"/>
        <w:jc w:val="both"/>
        <w:rPr>
          <w:b/>
        </w:rPr>
      </w:pPr>
      <w:r w:rsidRPr="007A2F09">
        <w:rPr>
          <w:b/>
        </w:rPr>
        <w:t>GRAF 2-2: Struktura GBARD podle hlavních socioekonomických cílů a formy podpory v roce 2014</w:t>
      </w:r>
    </w:p>
    <w:p w:rsidR="007A2F09" w:rsidRDefault="009271E9" w:rsidP="00C471BD">
      <w:pPr>
        <w:spacing w:before="120"/>
        <w:jc w:val="both"/>
      </w:pPr>
      <w:r>
        <w:rPr>
          <w:noProof/>
        </w:rPr>
        <w:drawing>
          <wp:inline distT="0" distB="0" distL="0" distR="0">
            <wp:extent cx="5972175" cy="3228975"/>
            <wp:effectExtent l="0" t="0" r="0" b="0"/>
            <wp:docPr id="19" name="Graf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20DA3" w:rsidRDefault="00E20DA3" w:rsidP="00F46002">
      <w:pPr>
        <w:spacing w:before="120"/>
        <w:jc w:val="both"/>
      </w:pPr>
    </w:p>
    <w:p w:rsidR="00F37D06" w:rsidRDefault="00F46002" w:rsidP="00F46002">
      <w:pPr>
        <w:spacing w:before="120"/>
        <w:jc w:val="both"/>
      </w:pPr>
      <w:r w:rsidRPr="00A13FB1">
        <w:t xml:space="preserve">Vrátíme-li se ke grafickému znázornění 2-1, vidíme, že téměř třetina finančních prostředků vyčleněných ze státního rozpočtu na podporu výzkumu a vývoje byla určena </w:t>
      </w:r>
      <w:r w:rsidRPr="008705D5">
        <w:rPr>
          <w:b/>
        </w:rPr>
        <w:t>neorientovanému výzkumu</w:t>
      </w:r>
      <w:r w:rsidRPr="00A13FB1">
        <w:t xml:space="preserve"> </w:t>
      </w:r>
      <w:r w:rsidRPr="008705D5">
        <w:rPr>
          <w:b/>
        </w:rPr>
        <w:t>(SEO 11)</w:t>
      </w:r>
      <w:r w:rsidRPr="00A13FB1">
        <w:t xml:space="preserve">. </w:t>
      </w:r>
      <w:r w:rsidR="00B4351A" w:rsidRPr="00A13FB1">
        <w:t xml:space="preserve">Částka </w:t>
      </w:r>
      <w:r w:rsidR="00B4351A" w:rsidRPr="008C2B90">
        <w:rPr>
          <w:b/>
        </w:rPr>
        <w:t>8 521</w:t>
      </w:r>
      <w:r w:rsidRPr="008C2B90">
        <w:rPr>
          <w:b/>
        </w:rPr>
        <w:t xml:space="preserve"> mil. Kč</w:t>
      </w:r>
      <w:r w:rsidRPr="00A13FB1">
        <w:t xml:space="preserve">, která byla za tímto </w:t>
      </w:r>
      <w:r w:rsidR="00B4351A" w:rsidRPr="00A13FB1">
        <w:t xml:space="preserve">účelem rozdělena, představuje </w:t>
      </w:r>
      <w:r w:rsidR="00B4351A" w:rsidRPr="008C2B90">
        <w:rPr>
          <w:b/>
        </w:rPr>
        <w:t>31,2</w:t>
      </w:r>
      <w:r w:rsidRPr="008C2B90">
        <w:rPr>
          <w:b/>
        </w:rPr>
        <w:t xml:space="preserve"> %</w:t>
      </w:r>
      <w:r w:rsidR="008C2B90">
        <w:t xml:space="preserve"> GBA</w:t>
      </w:r>
      <w:r w:rsidRPr="00A13FB1">
        <w:t xml:space="preserve">RD. Pro výzkumné činnosti klasifikované v rámci neorientovaného výzkumu, je charakteristické, že nemají jednoznačně stanovené oblasti výzkumu (nejsou u nich určeny cíle a priority). Tím se zásadně odlišují např. od oblasti průmyslové výroby a technologií podpořené MPO. </w:t>
      </w:r>
    </w:p>
    <w:p w:rsidR="00410789" w:rsidRDefault="00F46002" w:rsidP="00F46002">
      <w:pPr>
        <w:spacing w:before="120"/>
        <w:jc w:val="both"/>
      </w:pPr>
      <w:r w:rsidRPr="00A13FB1">
        <w:t xml:space="preserve">Sledujeme-li určení finančních prostředků z hlediska podrobnějšího třídění na úrovni dílčích cílů, vidíme, že nejvíce prostředků </w:t>
      </w:r>
      <w:r w:rsidR="00A13FB1" w:rsidRPr="00A13FB1">
        <w:t>(1 895</w:t>
      </w:r>
      <w:r w:rsidR="0089338B" w:rsidRPr="00A13FB1">
        <w:t xml:space="preserve"> mil. Kč) bylo v roce 2014</w:t>
      </w:r>
      <w:r w:rsidRPr="00A13FB1">
        <w:t xml:space="preserve"> rozděleno mezi výzkumné činnosti v oblasti</w:t>
      </w:r>
      <w:r w:rsidR="0089338B" w:rsidRPr="00A13FB1">
        <w:t xml:space="preserve"> </w:t>
      </w:r>
      <w:r w:rsidR="00A13FB1" w:rsidRPr="00A13FB1">
        <w:t>přírodních věd (SEO 1103</w:t>
      </w:r>
      <w:r w:rsidR="0089338B" w:rsidRPr="00A13FB1">
        <w:t>)</w:t>
      </w:r>
      <w:r w:rsidR="00F924CB">
        <w:rPr>
          <w:rStyle w:val="Znakapoznpodarou"/>
        </w:rPr>
        <w:footnoteReference w:id="3"/>
      </w:r>
      <w:r w:rsidRPr="00A13FB1">
        <w:t>.</w:t>
      </w:r>
      <w:r w:rsidRPr="00B4351A">
        <w:rPr>
          <w:color w:val="C00000"/>
        </w:rPr>
        <w:t xml:space="preserve"> </w:t>
      </w:r>
      <w:r w:rsidR="00154D28">
        <w:t>Oproti roku 2013</w:t>
      </w:r>
      <w:r w:rsidR="00A13FB1">
        <w:t xml:space="preserve"> došlo k výraznému nárůstu přidělených prostředků o 16 %. </w:t>
      </w:r>
      <w:r w:rsidR="00FE2D71">
        <w:t xml:space="preserve">Výzkum v oblasti </w:t>
      </w:r>
      <w:r w:rsidR="00FE2D71" w:rsidRPr="00FE2D71">
        <w:t>fyzikálních věd (SEO 1101) obdržel státní</w:t>
      </w:r>
      <w:r w:rsidR="00FE2D71">
        <w:t xml:space="preserve"> podporu ve výši 1 703 mil. Kč. </w:t>
      </w:r>
      <w:r w:rsidRPr="00A13FB1">
        <w:t>Další dvě oblasti neorientovaného v</w:t>
      </w:r>
      <w:r w:rsidR="00154D28">
        <w:t>ýzkumu, pro něž byla v roce 2014</w:t>
      </w:r>
      <w:r w:rsidRPr="00A13FB1">
        <w:t xml:space="preserve"> prostřednictvím státního rozpočtu určena více než 1 mld. Kč, byly chemické vědy (SEO 1102) a humanitní vědy (SEO 1109). Obě vědní oblasti si ve srovnání s rokem 2005 významně polepšily. </w:t>
      </w:r>
    </w:p>
    <w:p w:rsidR="00EA7D42" w:rsidRPr="00B4351A" w:rsidRDefault="00F46002" w:rsidP="00F46002">
      <w:pPr>
        <w:spacing w:before="120"/>
        <w:jc w:val="both"/>
        <w:rPr>
          <w:color w:val="C00000"/>
        </w:rPr>
      </w:pPr>
      <w:r w:rsidRPr="00A13FB1">
        <w:t>Z hlediska vývoje je současně zajímavý propad přidělených prostředků, ke kte</w:t>
      </w:r>
      <w:r w:rsidR="001A230B">
        <w:t>rému došlo mezi lety 2010 a 2014</w:t>
      </w:r>
      <w:r w:rsidRPr="00A13FB1">
        <w:t xml:space="preserve"> v </w:t>
      </w:r>
      <w:r w:rsidR="00B4351A" w:rsidRPr="00A13FB1">
        <w:t>technických</w:t>
      </w:r>
      <w:r w:rsidR="00B4351A" w:rsidRPr="00B4351A">
        <w:rPr>
          <w:color w:val="C00000"/>
        </w:rPr>
        <w:t xml:space="preserve"> </w:t>
      </w:r>
      <w:r w:rsidR="00B4351A" w:rsidRPr="00A13FB1">
        <w:t>věd</w:t>
      </w:r>
      <w:r w:rsidR="00A13FB1">
        <w:t>ách</w:t>
      </w:r>
      <w:r w:rsidR="00B4351A" w:rsidRPr="00A13FB1">
        <w:t xml:space="preserve"> (SEO 1105).</w:t>
      </w:r>
    </w:p>
    <w:p w:rsidR="007A2F09" w:rsidRPr="00B4351A" w:rsidRDefault="00F46002" w:rsidP="00F4288E">
      <w:pPr>
        <w:spacing w:before="120" w:after="120"/>
        <w:jc w:val="both"/>
        <w:rPr>
          <w:b/>
        </w:rPr>
      </w:pPr>
      <w:r w:rsidRPr="00B4351A">
        <w:rPr>
          <w:b/>
        </w:rPr>
        <w:lastRenderedPageBreak/>
        <w:t>Graf. 2-3 GBARD – Neorientovaný výzkum (SEO 11) z hlediska podcílů v letech 2005, 2010, 2013 a 2014 (mil. Kč)</w:t>
      </w:r>
    </w:p>
    <w:p w:rsidR="007A2F09" w:rsidRDefault="003129D6" w:rsidP="00C471BD">
      <w:pPr>
        <w:spacing w:before="120"/>
        <w:jc w:val="both"/>
      </w:pPr>
      <w:r>
        <w:rPr>
          <w:noProof/>
        </w:rPr>
        <w:drawing>
          <wp:inline distT="0" distB="0" distL="0" distR="0">
            <wp:extent cx="5972175" cy="2790825"/>
            <wp:effectExtent l="0" t="0" r="0" b="0"/>
            <wp:docPr id="20" name="Graf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20DA3" w:rsidRDefault="00E20DA3" w:rsidP="002F5C54">
      <w:pPr>
        <w:spacing w:before="120"/>
        <w:jc w:val="both"/>
      </w:pPr>
    </w:p>
    <w:p w:rsidR="002F5C54" w:rsidRDefault="002F5C54" w:rsidP="00F4288E">
      <w:pPr>
        <w:spacing w:before="120" w:after="120"/>
        <w:jc w:val="both"/>
      </w:pPr>
      <w:r>
        <w:t>Rozpočtové kapitoly, jimiž proudil převažující objem těchto finančních prost</w:t>
      </w:r>
      <w:r w:rsidR="0005456B">
        <w:t>ředků, byly Akademie věd ČR (4 107</w:t>
      </w:r>
      <w:r>
        <w:t xml:space="preserve"> mil K</w:t>
      </w:r>
      <w:r w:rsidR="0005456B">
        <w:t>č) a Grantová agentura ČR (2 464</w:t>
      </w:r>
      <w:r>
        <w:t xml:space="preserve"> mil. Kč).</w:t>
      </w:r>
    </w:p>
    <w:p w:rsidR="002F5C54" w:rsidRDefault="002F5C54" w:rsidP="00F4288E">
      <w:pPr>
        <w:spacing w:before="120" w:after="120"/>
        <w:jc w:val="both"/>
      </w:pPr>
      <w:r>
        <w:t xml:space="preserve">U neorientovaného výzkumu byly nejvýznamnějšími příjemci státní podpory veřejné výzkumné instituce. Z celkové podpory dostupné v rámci neorientovaného výzkumu získaly </w:t>
      </w:r>
      <w:r w:rsidR="00845AF1">
        <w:t>59 </w:t>
      </w:r>
      <w:r w:rsidR="00006862">
        <w:t>%, což odpovídá částce 4 793 </w:t>
      </w:r>
      <w:r>
        <w:t>mil</w:t>
      </w:r>
      <w:r w:rsidR="00006862">
        <w:t>. </w:t>
      </w:r>
      <w:r w:rsidR="008705D5">
        <w:t>Kč. Ústavy AV ČR získaly 4 706</w:t>
      </w:r>
      <w:r>
        <w:t xml:space="preserve"> mil. Kč. Druhým nejvýznamnějším příjemcem těchto prostředků byly vysoké školy, jež v rámci neorientovaného výzku</w:t>
      </w:r>
      <w:r w:rsidR="008705D5">
        <w:t>mu získaly na své projekty 1 886</w:t>
      </w:r>
      <w:r>
        <w:t xml:space="preserve"> mil. Kč (podíl 22,2 %). V tomto případě se jedná pouze o účelovou formu podpory.</w:t>
      </w:r>
    </w:p>
    <w:p w:rsidR="00690183" w:rsidRDefault="002F5C54" w:rsidP="00B04F25">
      <w:pPr>
        <w:spacing w:before="120" w:after="120"/>
        <w:jc w:val="both"/>
      </w:pPr>
      <w:r>
        <w:t xml:space="preserve">Vrátíme-li se ke Grafu 2-1, </w:t>
      </w:r>
      <w:r w:rsidRPr="008705D5">
        <w:rPr>
          <w:b/>
        </w:rPr>
        <w:t>druhým nejpodporovanějším cílem</w:t>
      </w:r>
      <w:r>
        <w:t xml:space="preserve"> byl z hlediska al</w:t>
      </w:r>
      <w:r w:rsidR="002C0DD9">
        <w:t xml:space="preserve">okované částky ve výši 6 274 </w:t>
      </w:r>
      <w:r>
        <w:t xml:space="preserve">mil. Kč </w:t>
      </w:r>
      <w:r w:rsidRPr="008705D5">
        <w:rPr>
          <w:b/>
        </w:rPr>
        <w:t>všeobecný výzkum na vysokých školách (SEO 10)</w:t>
      </w:r>
      <w:r>
        <w:t>. Pod</w:t>
      </w:r>
      <w:r w:rsidR="002C0DD9">
        <w:t xml:space="preserve">íl této částky na celkových </w:t>
      </w:r>
      <w:r w:rsidR="00B04F25">
        <w:t xml:space="preserve">státních rozpočtových výdajích na VaV </w:t>
      </w:r>
      <w:r w:rsidR="002C0DD9">
        <w:t>dosáhl rovných 23 </w:t>
      </w:r>
      <w:r>
        <w:t xml:space="preserve">%. </w:t>
      </w:r>
    </w:p>
    <w:p w:rsidR="002F5C54" w:rsidRDefault="002F5C54" w:rsidP="00B04F25">
      <w:pPr>
        <w:spacing w:before="120" w:after="120"/>
        <w:jc w:val="both"/>
      </w:pPr>
      <w:r>
        <w:t xml:space="preserve">Jedná se o socioekonomický cíl sdružující dle metodiky klasifikace NABS </w:t>
      </w:r>
      <w:r w:rsidR="00B04F25">
        <w:t xml:space="preserve">pouze </w:t>
      </w:r>
      <w:r>
        <w:t xml:space="preserve">institucionální prostředky směřující </w:t>
      </w:r>
      <w:r w:rsidR="007738B5">
        <w:t xml:space="preserve">na podporu výzkumu na </w:t>
      </w:r>
      <w:r>
        <w:t>vysokých školách (výzkumné záměry, specifický výzkum na vysokých školách a rozvoj výzkumných organizací). Podobně jako u neorientovaného výzkumu se ve většině případů jedná o podporu aktivit sp</w:t>
      </w:r>
      <w:r w:rsidR="0005456B">
        <w:t>adajících pod základní výzkum</w:t>
      </w:r>
      <w:r w:rsidR="00C74B4D">
        <w:rPr>
          <w:rStyle w:val="Znakapoznpodarou"/>
        </w:rPr>
        <w:footnoteReference w:id="4"/>
      </w:r>
      <w:r>
        <w:t>.</w:t>
      </w:r>
    </w:p>
    <w:p w:rsidR="00AD0B12" w:rsidRDefault="00CA7A52" w:rsidP="00F4288E">
      <w:pPr>
        <w:spacing w:before="120" w:after="120"/>
        <w:jc w:val="both"/>
      </w:pPr>
      <w:r>
        <w:t>V rámci všeobecného</w:t>
      </w:r>
      <w:r w:rsidRPr="00CA7A52">
        <w:t xml:space="preserve"> výzkum</w:t>
      </w:r>
      <w:r>
        <w:t>u</w:t>
      </w:r>
      <w:r w:rsidRPr="00CA7A52">
        <w:t xml:space="preserve"> na vysokých školách</w:t>
      </w:r>
      <w:r>
        <w:t xml:space="preserve"> byl nejvíce podpořen výzkum v oblasti technických věd (SEO 1005), a to 1 299 mil. Kč</w:t>
      </w:r>
      <w:r w:rsidR="00845AF1">
        <w:t>, což přestavuje podíl 20,7 % v rámci socioekonomického cíle SEO 10. Následuje výzkum v oblasti společenských věd (SEO 1008) s institucionální podporou ve výši 892 mil. Kč a podílem 14,2 % v rámci všeobecného výzkumu na vysokých školách.</w:t>
      </w:r>
    </w:p>
    <w:p w:rsidR="00F8628F" w:rsidRDefault="00AD0B12" w:rsidP="00F4288E">
      <w:pPr>
        <w:spacing w:before="120" w:after="120"/>
        <w:jc w:val="both"/>
      </w:pPr>
      <w:r>
        <w:t xml:space="preserve">Nejméně byl v roce 2014 podpořen výzkum související se Zemí a ekologií (SEO 1004). Na výzkum v tomto dílčím socioekonomickým cíli bylo poskytnuto 171 mil. Kč. Částka odpovídá podílu 2,7 % z celkové částky alokované do všeobecného výzkumu na vysokých školách. </w:t>
      </w:r>
    </w:p>
    <w:p w:rsidR="00F8628F" w:rsidRDefault="00F8628F" w:rsidP="00F4288E">
      <w:pPr>
        <w:spacing w:before="120" w:after="120"/>
        <w:jc w:val="both"/>
      </w:pPr>
      <w:r>
        <w:t xml:space="preserve">Oproti roku 2005 zaznamenaly nejvyšší nárůst institucionální podpory výzkumu jednak společenské vědy (SEO 1008) a dále pak chemické vědy (SEO 1002). </w:t>
      </w:r>
    </w:p>
    <w:p w:rsidR="00CA7A52" w:rsidRDefault="00F8628F" w:rsidP="00F4288E">
      <w:pPr>
        <w:spacing w:before="120" w:after="120"/>
        <w:jc w:val="both"/>
      </w:pPr>
      <w:r>
        <w:t xml:space="preserve">Blíže viz graf č. 2-4 na následující straně. </w:t>
      </w:r>
      <w:r w:rsidR="00845AF1">
        <w:t xml:space="preserve"> </w:t>
      </w:r>
    </w:p>
    <w:p w:rsidR="00137995" w:rsidRDefault="007738B5" w:rsidP="002F5C54">
      <w:pPr>
        <w:spacing w:before="120"/>
        <w:jc w:val="both"/>
        <w:rPr>
          <w:b/>
        </w:rPr>
      </w:pPr>
      <w:r>
        <w:rPr>
          <w:b/>
        </w:rPr>
        <w:lastRenderedPageBreak/>
        <w:t>Graf. 2-4: GBARD –</w:t>
      </w:r>
      <w:r w:rsidR="002F5C54" w:rsidRPr="002F5C54">
        <w:rPr>
          <w:b/>
        </w:rPr>
        <w:t xml:space="preserve"> Všeobecný výzkum na vysokých školách z hlediska podcílů v letech 2005, 2010, 2013 a 2014 (mil. Kč)</w:t>
      </w:r>
    </w:p>
    <w:p w:rsidR="005C7143" w:rsidRDefault="005A7192" w:rsidP="002F5C54">
      <w:pPr>
        <w:spacing w:before="120"/>
        <w:jc w:val="both"/>
      </w:pPr>
      <w:r>
        <w:rPr>
          <w:noProof/>
        </w:rPr>
        <w:drawing>
          <wp:inline distT="0" distB="0" distL="0" distR="0">
            <wp:extent cx="5972175" cy="2819400"/>
            <wp:effectExtent l="0" t="0" r="0" b="0"/>
            <wp:docPr id="21" name="Graf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4288E" w:rsidRDefault="00F4288E" w:rsidP="00F4288E">
      <w:pPr>
        <w:spacing w:before="120" w:after="120"/>
        <w:jc w:val="both"/>
      </w:pPr>
    </w:p>
    <w:p w:rsidR="000C3D1A" w:rsidRDefault="00C74B4D" w:rsidP="00F4288E">
      <w:pPr>
        <w:spacing w:before="120" w:after="120"/>
        <w:jc w:val="both"/>
      </w:pPr>
      <w:r>
        <w:t>Oba uvedené hlavní socioekonomické cíle se dále shodně člení na 10 vědních oblastí, odlišuje je však převažující forma podpory. V případě vš</w:t>
      </w:r>
      <w:r w:rsidR="000C3D1A">
        <w:t>eobecného výzkumu na vysokých školách</w:t>
      </w:r>
      <w:r>
        <w:t xml:space="preserve"> se jedná pouze o institucionální podporu. U neorientovaného výzkumu byl podíl institucionální a účelové podpory vyrovnaný. Zatímco v</w:t>
      </w:r>
      <w:r w:rsidR="00B66EF0">
        <w:t xml:space="preserve"> rámci všeobecného výzkumu na vysokých školách</w:t>
      </w:r>
      <w:r>
        <w:t xml:space="preserve"> plyne nejvíce prostředků do technických věd, u neorientovaného výzkumu do</w:t>
      </w:r>
      <w:r w:rsidR="00B66EF0">
        <w:t xml:space="preserve"> </w:t>
      </w:r>
      <w:r>
        <w:t>přírodních věd.</w:t>
      </w:r>
    </w:p>
    <w:p w:rsidR="00F4288E" w:rsidRDefault="000C3D1A" w:rsidP="00F4288E">
      <w:pPr>
        <w:spacing w:before="120" w:after="120"/>
        <w:jc w:val="both"/>
      </w:pPr>
      <w:r>
        <w:t>Lze si všimnout velkého rozdílu v</w:t>
      </w:r>
      <w:r w:rsidR="00CD2355">
        <w:t>e státní rozpočtové podpoře</w:t>
      </w:r>
      <w:r>
        <w:t xml:space="preserve"> VaV </w:t>
      </w:r>
      <w:r w:rsidR="00CD2355">
        <w:t xml:space="preserve">v </w:t>
      </w:r>
      <w:r>
        <w:t>případě zemědělských věd mezi neorientovaným výzkum</w:t>
      </w:r>
      <w:r w:rsidR="00CD2355">
        <w:t>em</w:t>
      </w:r>
      <w:r>
        <w:t xml:space="preserve"> (SEO 11) a všeobecným výzkumem na vysokých školách (SEO 10). U zemědělských věd</w:t>
      </w:r>
      <w:r w:rsidR="00CD2355">
        <w:t xml:space="preserve"> klasifikovaných v SEO 11</w:t>
      </w:r>
      <w:r>
        <w:t xml:space="preserve"> dosáhla výše alokovaných finančních prostředků téměř nule. To je dáno skutečností, že téměř </w:t>
      </w:r>
      <w:r w:rsidR="007A5211">
        <w:t>vešker</w:t>
      </w:r>
      <w:r w:rsidR="00503044">
        <w:t xml:space="preserve">á účelová podpora </w:t>
      </w:r>
      <w:r w:rsidR="007A5211">
        <w:t>týkající se zemědělského výzkumu je klasifikován</w:t>
      </w:r>
      <w:r w:rsidR="00503044">
        <w:t>a</w:t>
      </w:r>
      <w:r w:rsidR="007A5211">
        <w:t xml:space="preserve"> v konkrétně zaměřeném cíli SEO 06 – Zemědělská výroba a technologie. </w:t>
      </w:r>
      <w:r w:rsidR="00503044">
        <w:t>Institucionální podpora zemědělského výzkumu je v případě vysokých škol klasifikována v SEO 10 a nikoliv v SEO 06.</w:t>
      </w:r>
      <w:r w:rsidR="007A5211">
        <w:t xml:space="preserve"> </w:t>
      </w:r>
      <w:r>
        <w:t xml:space="preserve"> </w:t>
      </w:r>
    </w:p>
    <w:p w:rsidR="00C74B4D" w:rsidRDefault="00C74B4D" w:rsidP="00F4288E">
      <w:pPr>
        <w:spacing w:before="120" w:after="120"/>
        <w:jc w:val="both"/>
      </w:pPr>
      <w:r>
        <w:t xml:space="preserve"> </w:t>
      </w:r>
    </w:p>
    <w:p w:rsidR="005C7143" w:rsidRPr="00C74B4D" w:rsidRDefault="00F606B3" w:rsidP="00F4288E">
      <w:pPr>
        <w:spacing w:before="120" w:after="120"/>
        <w:jc w:val="both"/>
        <w:rPr>
          <w:b/>
        </w:rPr>
      </w:pPr>
      <w:r>
        <w:rPr>
          <w:b/>
        </w:rPr>
        <w:t xml:space="preserve">GRAF 2-5: Struktura </w:t>
      </w:r>
      <w:r w:rsidR="00A21A44">
        <w:rPr>
          <w:b/>
        </w:rPr>
        <w:t xml:space="preserve">GBARD u </w:t>
      </w:r>
      <w:r w:rsidR="00C74B4D" w:rsidRPr="00C74B4D">
        <w:rPr>
          <w:b/>
        </w:rPr>
        <w:t>Všeobecn</w:t>
      </w:r>
      <w:r w:rsidR="00D35859">
        <w:rPr>
          <w:b/>
        </w:rPr>
        <w:t>ého</w:t>
      </w:r>
      <w:r w:rsidR="00C74B4D" w:rsidRPr="00C74B4D">
        <w:rPr>
          <w:b/>
        </w:rPr>
        <w:t xml:space="preserve"> výzkum</w:t>
      </w:r>
      <w:r w:rsidR="00D35859">
        <w:rPr>
          <w:b/>
        </w:rPr>
        <w:t>u</w:t>
      </w:r>
      <w:r w:rsidR="00C74B4D" w:rsidRPr="00C74B4D">
        <w:rPr>
          <w:b/>
        </w:rPr>
        <w:t xml:space="preserve"> na </w:t>
      </w:r>
      <w:r>
        <w:rPr>
          <w:b/>
        </w:rPr>
        <w:t xml:space="preserve">vysokých školách </w:t>
      </w:r>
      <w:r w:rsidR="00D35859">
        <w:rPr>
          <w:b/>
        </w:rPr>
        <w:t xml:space="preserve">(SEO 10) </w:t>
      </w:r>
      <w:r>
        <w:rPr>
          <w:b/>
        </w:rPr>
        <w:t xml:space="preserve">a </w:t>
      </w:r>
      <w:r w:rsidR="00D35859">
        <w:rPr>
          <w:b/>
        </w:rPr>
        <w:t>Neorientovaného výzkumu (</w:t>
      </w:r>
      <w:r>
        <w:rPr>
          <w:b/>
        </w:rPr>
        <w:t>SEO 11</w:t>
      </w:r>
      <w:r w:rsidR="00D35859">
        <w:rPr>
          <w:b/>
        </w:rPr>
        <w:t>)</w:t>
      </w:r>
      <w:r w:rsidR="00C74B4D" w:rsidRPr="00C74B4D">
        <w:rPr>
          <w:b/>
        </w:rPr>
        <w:t xml:space="preserve"> v roce 2014</w:t>
      </w:r>
    </w:p>
    <w:p w:rsidR="005C7143" w:rsidRDefault="00F4288E" w:rsidP="002F5C54">
      <w:pPr>
        <w:spacing w:before="120"/>
        <w:jc w:val="both"/>
      </w:pPr>
      <w:r>
        <w:rPr>
          <w:noProof/>
        </w:rPr>
        <w:drawing>
          <wp:inline distT="0" distB="0" distL="0" distR="0" wp14:anchorId="06471002" wp14:editId="6F3DD991">
            <wp:extent cx="5972810" cy="2116455"/>
            <wp:effectExtent l="0" t="0" r="8890" b="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5149F" w:rsidRDefault="0025149F" w:rsidP="00314145">
      <w:pPr>
        <w:spacing w:before="120"/>
        <w:jc w:val="both"/>
      </w:pPr>
    </w:p>
    <w:p w:rsidR="00314145" w:rsidRDefault="00314145" w:rsidP="00F4288E">
      <w:pPr>
        <w:spacing w:before="120" w:after="120"/>
        <w:jc w:val="both"/>
      </w:pPr>
      <w:r>
        <w:lastRenderedPageBreak/>
        <w:t xml:space="preserve">Z jednoznačně specifikovaných cílů směřovala nejvyšší část státní podpory rozpočtovaná prostřednictvím Ministerstva průmyslu a obchodu do oblasti </w:t>
      </w:r>
      <w:r w:rsidRPr="008A2E30">
        <w:rPr>
          <w:b/>
        </w:rPr>
        <w:t>průmyslové výroby a technologie (SEO 07)</w:t>
      </w:r>
      <w:r>
        <w:t xml:space="preserve">. Celkem byl výzkum a vývoj v oblasti průmyslové výroby podpořen souhrnnou částkou </w:t>
      </w:r>
      <w:r w:rsidR="00524BA7">
        <w:rPr>
          <w:b/>
        </w:rPr>
        <w:t>3 43</w:t>
      </w:r>
      <w:r w:rsidRPr="008A2E30">
        <w:rPr>
          <w:b/>
        </w:rPr>
        <w:t>7 mil. Kč</w:t>
      </w:r>
      <w:r>
        <w:rPr>
          <w:rStyle w:val="Znakapoznpodarou"/>
        </w:rPr>
        <w:footnoteReference w:id="5"/>
      </w:r>
      <w:r>
        <w:t xml:space="preserve">, odpovídající </w:t>
      </w:r>
      <w:r w:rsidR="00F05A26">
        <w:rPr>
          <w:b/>
        </w:rPr>
        <w:t>12,6</w:t>
      </w:r>
      <w:r w:rsidR="008A2E30">
        <w:rPr>
          <w:b/>
        </w:rPr>
        <w:t> % celkových GBA</w:t>
      </w:r>
      <w:r w:rsidRPr="008A2E30">
        <w:rPr>
          <w:b/>
        </w:rPr>
        <w:t>RD</w:t>
      </w:r>
      <w:r>
        <w:t xml:space="preserve">. Jak již bylo řečeno, z hlediska formy financování zde jednoznačně převažovalo účelové financování (95,7 %). </w:t>
      </w:r>
    </w:p>
    <w:p w:rsidR="00314145" w:rsidRDefault="00314145" w:rsidP="00F4288E">
      <w:pPr>
        <w:spacing w:before="120" w:after="120"/>
        <w:jc w:val="both"/>
      </w:pPr>
      <w:r>
        <w:t xml:space="preserve">Pro daný socioekonomický cíl jsou charakteristické činnosti spojené s aplikovaným výzkumem a experimentálním vývojem v oblasti průmyslové výroby a technologií. Sledujeme-li výzkumné činnosti na nižším stupni třídění z hlediska dílčích cílů, jsou zde rozlišena jednotlivá odvětví zpracovatelského průmyslu. </w:t>
      </w:r>
    </w:p>
    <w:p w:rsidR="005C7143" w:rsidRDefault="00314145" w:rsidP="00F4288E">
      <w:pPr>
        <w:spacing w:before="120" w:after="120"/>
        <w:jc w:val="both"/>
      </w:pPr>
      <w:r>
        <w:t xml:space="preserve">Finanční prostředky </w:t>
      </w:r>
      <w:r w:rsidR="00842E48">
        <w:t xml:space="preserve">v oblasti průmyslové výroby a technologií (SEO 07) </w:t>
      </w:r>
      <w:r>
        <w:t>jsou nejčastěji adresovány soukromý</w:t>
      </w:r>
      <w:r w:rsidR="00A76E08">
        <w:t>m</w:t>
      </w:r>
      <w:r>
        <w:t xml:space="preserve"> podnikům na podporu jejich výzkumných a vývojových aktivit. Spolufinancování Operačních programů spojených s </w:t>
      </w:r>
      <w:r w:rsidR="00D27CB6">
        <w:t>VaV</w:t>
      </w:r>
      <w:r w:rsidR="00BF13DF">
        <w:t xml:space="preserve"> činilo v roce 2014 422</w:t>
      </w:r>
      <w:r>
        <w:t xml:space="preserve"> mil. Kč. V podpoře průmyslového VaV současně výrazně vzrostla role Technologick</w:t>
      </w:r>
      <w:r w:rsidR="00E70D8E">
        <w:t>é agentury ČR, která v roce 2014</w:t>
      </w:r>
      <w:r>
        <w:t xml:space="preserve"> financovala projekty VaV spojené s průmyslovou výrobou technologií</w:t>
      </w:r>
      <w:r w:rsidR="00E70D8E">
        <w:t xml:space="preserve"> souhrnnou částkou ve výši 1 352</w:t>
      </w:r>
      <w:r>
        <w:t xml:space="preserve"> mil. Kč.</w:t>
      </w:r>
      <w:r w:rsidR="00E70D8E">
        <w:t xml:space="preserve"> V uvedeném roce </w:t>
      </w:r>
      <w:r w:rsidR="002A4E99">
        <w:t xml:space="preserve">tato agentura </w:t>
      </w:r>
      <w:r w:rsidR="00E70D8E">
        <w:t>financovala průmyslový VaV vyšší částkou než MPO</w:t>
      </w:r>
      <w:r w:rsidR="00B529B6">
        <w:rPr>
          <w:rStyle w:val="Znakapoznpodarou"/>
        </w:rPr>
        <w:footnoteReference w:id="6"/>
      </w:r>
      <w:r w:rsidR="00E70D8E">
        <w:t>.</w:t>
      </w:r>
    </w:p>
    <w:p w:rsidR="00F4288E" w:rsidRDefault="00C75E84" w:rsidP="00F4288E">
      <w:pPr>
        <w:spacing w:before="120" w:after="120"/>
        <w:jc w:val="both"/>
      </w:pPr>
      <w:r w:rsidRPr="00C75E84">
        <w:t>Největší objem finančních prostředků</w:t>
      </w:r>
      <w:r>
        <w:t xml:space="preserve"> (509 mil. Kč</w:t>
      </w:r>
      <w:r w:rsidR="00041946">
        <w:t>, 14,8 % z celkových prostředků v cíl</w:t>
      </w:r>
      <w:r w:rsidR="00382E09">
        <w:t>i</w:t>
      </w:r>
      <w:r w:rsidR="00041946">
        <w:t xml:space="preserve"> SEO 07</w:t>
      </w:r>
      <w:r>
        <w:t>)</w:t>
      </w:r>
      <w:r w:rsidRPr="00C75E84">
        <w:t xml:space="preserve"> určených na výzkum a vývoj v oblasti průmyslové výroby a </w:t>
      </w:r>
      <w:r>
        <w:t>technologií směřoval v roce 2014</w:t>
      </w:r>
      <w:r w:rsidRPr="00C75E84">
        <w:t xml:space="preserve"> do </w:t>
      </w:r>
      <w:r>
        <w:t>z</w:t>
      </w:r>
      <w:r w:rsidRPr="00C75E84">
        <w:t>vyšování ekonomické efektivnosti a konkurenceschopnosti</w:t>
      </w:r>
      <w:r w:rsidR="00041946">
        <w:t xml:space="preserve"> (SEO </w:t>
      </w:r>
      <w:r>
        <w:t>0701)</w:t>
      </w:r>
      <w:r>
        <w:rPr>
          <w:rStyle w:val="Znakapoznpodarou"/>
        </w:rPr>
        <w:footnoteReference w:id="7"/>
      </w:r>
      <w:r>
        <w:t xml:space="preserve">. </w:t>
      </w:r>
    </w:p>
    <w:p w:rsidR="00F4288E" w:rsidRDefault="00FE4B35" w:rsidP="00F4288E">
      <w:pPr>
        <w:spacing w:before="120" w:after="120"/>
        <w:jc w:val="both"/>
      </w:pPr>
      <w:r>
        <w:t xml:space="preserve">Výzkum a vývoj v </w:t>
      </w:r>
      <w:r w:rsidR="00C75E84" w:rsidRPr="00C75E84">
        <w:t>odvětví elektroniky a příbuzných odvětví (SEO 0706)</w:t>
      </w:r>
      <w:r>
        <w:t xml:space="preserve"> obdrželo veřejnou podporu ve výši 486 mil. Kč</w:t>
      </w:r>
      <w:r w:rsidR="00041946">
        <w:t xml:space="preserve">, což odpovídá podílu </w:t>
      </w:r>
      <w:r w:rsidR="00446906">
        <w:t>14,2</w:t>
      </w:r>
      <w:r w:rsidR="00041946">
        <w:t xml:space="preserve"> %</w:t>
      </w:r>
      <w:r w:rsidR="00446906">
        <w:t xml:space="preserve"> z celkové podpory v rámci SEO 07</w:t>
      </w:r>
      <w:r w:rsidR="00C75E84" w:rsidRPr="00C75E84">
        <w:t xml:space="preserve">. </w:t>
      </w:r>
    </w:p>
    <w:p w:rsidR="00F4288E" w:rsidRDefault="00C75E84" w:rsidP="00F4288E">
      <w:pPr>
        <w:spacing w:before="120" w:after="120"/>
        <w:jc w:val="both"/>
      </w:pPr>
      <w:r w:rsidRPr="00C75E84">
        <w:t>Třetím ne</w:t>
      </w:r>
      <w:r w:rsidR="00446906">
        <w:t>jpodporovanějším cílem byl VaV související s těžbou</w:t>
      </w:r>
      <w:r w:rsidR="00446906" w:rsidRPr="00446906">
        <w:t xml:space="preserve"> a zpracování</w:t>
      </w:r>
      <w:r w:rsidR="00446906">
        <w:t>m</w:t>
      </w:r>
      <w:r w:rsidR="00446906" w:rsidRPr="00446906">
        <w:t xml:space="preserve"> ne-energetických nerostných látek</w:t>
      </w:r>
      <w:r w:rsidR="00446906">
        <w:t xml:space="preserve"> (SEO 0703), kde výzkumná pracoviště získala podporu ve výši 463 mil. Kč.</w:t>
      </w:r>
      <w:r w:rsidR="00443FF7">
        <w:t xml:space="preserve"> </w:t>
      </w:r>
    </w:p>
    <w:p w:rsidR="0025149F" w:rsidRDefault="00443FF7" w:rsidP="00F4288E">
      <w:pPr>
        <w:spacing w:before="120" w:after="120"/>
        <w:jc w:val="both"/>
      </w:pPr>
      <w:r>
        <w:t xml:space="preserve">Již druhým rokem klesá veřejná podpora směřující do VaV v oblasti </w:t>
      </w:r>
      <w:r w:rsidRPr="00C75E84">
        <w:t>výroby motorových vozidel a jiných dopravních prostředků (SEO 0705)</w:t>
      </w:r>
      <w:r>
        <w:t>.</w:t>
      </w:r>
      <w:r w:rsidR="00446906" w:rsidRPr="00446906">
        <w:t xml:space="preserve"> </w:t>
      </w:r>
      <w:r w:rsidR="00C75E84" w:rsidRPr="00C75E84">
        <w:t>Výdaje na VaV v této oblasti</w:t>
      </w:r>
      <w:r>
        <w:t xml:space="preserve"> (369 mil. Kč) oproti roku 2013 poklesly téměř o 30 </w:t>
      </w:r>
      <w:r w:rsidR="00C75E84" w:rsidRPr="00C75E84">
        <w:t>%.</w:t>
      </w:r>
    </w:p>
    <w:p w:rsidR="00443FF7" w:rsidRDefault="0025149F" w:rsidP="00F4288E">
      <w:pPr>
        <w:spacing w:before="120" w:after="120"/>
        <w:jc w:val="both"/>
      </w:pPr>
      <w:r>
        <w:t xml:space="preserve">Vůbec nejméně byl v roce 2014 podpořen VaV v oblasti recyklace odpadu, </w:t>
      </w:r>
      <w:r w:rsidR="00094AC2">
        <w:t xml:space="preserve">a to </w:t>
      </w:r>
      <w:r>
        <w:t>pouhých 20 mil. Kč.</w:t>
      </w:r>
      <w:r w:rsidR="00446906">
        <w:t xml:space="preserve"> </w:t>
      </w:r>
    </w:p>
    <w:p w:rsidR="00AF6FDB" w:rsidRDefault="00AF6FDB" w:rsidP="00F4288E">
      <w:pPr>
        <w:spacing w:before="120" w:after="120"/>
        <w:jc w:val="both"/>
      </w:pPr>
      <w:r>
        <w:t>Blíže viz graf č. 2-6 na následující straně.</w:t>
      </w:r>
    </w:p>
    <w:p w:rsidR="00354455" w:rsidRDefault="00354455" w:rsidP="00F4288E">
      <w:pPr>
        <w:spacing w:before="120" w:after="120"/>
        <w:jc w:val="both"/>
      </w:pPr>
      <w:r>
        <w:t xml:space="preserve">U celkem 4 dílčích cílů umožňuje klasifikace NABS 1992 další podrobnější členění. Jedním z nich je i výše zmíněný výzkum a vývoj v </w:t>
      </w:r>
      <w:r w:rsidRPr="00C75E84">
        <w:t>odvětví elektroniky a příbuzných odvětví (SEO 0706)</w:t>
      </w:r>
      <w:r>
        <w:t>.</w:t>
      </w:r>
      <w:r w:rsidR="00E15EE7">
        <w:t xml:space="preserve"> Zde byl nejvíce podpořen VaV v oblasti výroby</w:t>
      </w:r>
      <w:r w:rsidR="00E15EE7" w:rsidRPr="00E15EE7">
        <w:t xml:space="preserve"> kancelářské techniky a přístrojů pro zpracování dat</w:t>
      </w:r>
      <w:r w:rsidR="00E15EE7">
        <w:t xml:space="preserve"> (199 mil. Kč) a </w:t>
      </w:r>
      <w:r w:rsidR="00C75904">
        <w:t xml:space="preserve">v oblasti </w:t>
      </w:r>
      <w:r w:rsidR="00E15EE7">
        <w:t>v</w:t>
      </w:r>
      <w:r w:rsidR="00E15EE7" w:rsidRPr="00E15EE7">
        <w:t>ývoj</w:t>
      </w:r>
      <w:r w:rsidR="00C75904">
        <w:t>e</w:t>
      </w:r>
      <w:r w:rsidR="00E15EE7" w:rsidRPr="00E15EE7">
        <w:t xml:space="preserve"> programového vybavení</w:t>
      </w:r>
      <w:r w:rsidR="00E15EE7">
        <w:t xml:space="preserve"> (198 mil. Kč). Podíl těchto cílů dosáhl v rámci SEO 0706 téměř shodně 41 %. Zbývající veřejná podpora VaV</w:t>
      </w:r>
      <w:r w:rsidR="00A22F32">
        <w:t xml:space="preserve"> (18 %)</w:t>
      </w:r>
      <w:r w:rsidR="00E15EE7">
        <w:t xml:space="preserve"> směřovala do výzkumu a vývoje výroby</w:t>
      </w:r>
      <w:r w:rsidR="00E15EE7" w:rsidRPr="00E15EE7">
        <w:t xml:space="preserve"> rozhlasové, televizní a spojovací techniky a přístrojů</w:t>
      </w:r>
      <w:r w:rsidR="00E15EE7">
        <w:t xml:space="preserve"> (89 mil. Kč)</w:t>
      </w:r>
      <w:r w:rsidR="00091C43">
        <w:t>.</w:t>
      </w:r>
    </w:p>
    <w:p w:rsidR="004400BE" w:rsidRDefault="004400BE" w:rsidP="00F4288E">
      <w:pPr>
        <w:spacing w:before="120" w:after="120"/>
        <w:jc w:val="both"/>
      </w:pPr>
      <w:r>
        <w:t xml:space="preserve">V případě VaV v oblasti </w:t>
      </w:r>
      <w:r w:rsidRPr="00C75E84">
        <w:t>výroby motorových vozidel a jiných dopravních prostředků (SEO 0705)</w:t>
      </w:r>
      <w:r>
        <w:t xml:space="preserve"> plynulo nejvíce veřejných prostředků do VaV zaměřeného na výrobu</w:t>
      </w:r>
      <w:r w:rsidRPr="004400BE">
        <w:t xml:space="preserve"> a oprava zařízení pro létání v atmosféře a kosmickém prostoru</w:t>
      </w:r>
      <w:r>
        <w:t xml:space="preserve"> (195 mil. Kč).</w:t>
      </w:r>
    </w:p>
    <w:p w:rsidR="00287B96" w:rsidRDefault="00287B96" w:rsidP="00F4288E">
      <w:pPr>
        <w:spacing w:before="120" w:after="120"/>
        <w:jc w:val="both"/>
      </w:pPr>
      <w:r>
        <w:t>V rámci výzkumu a vývoje produktů</w:t>
      </w:r>
      <w:r w:rsidRPr="00287B96">
        <w:t xml:space="preserve"> chemického průmyslu</w:t>
      </w:r>
      <w:r>
        <w:t xml:space="preserve"> (SEO 0704), který v roce 2014 obdržel přímou veřejnou podporu ve výši 421 mil. Kč, hrál nejvýznamnější roli VaV petrochemických produktů</w:t>
      </w:r>
      <w:r w:rsidRPr="00287B96">
        <w:t xml:space="preserve"> a vedlejší</w:t>
      </w:r>
      <w:r>
        <w:t>ch produktů</w:t>
      </w:r>
      <w:r w:rsidRPr="00287B96">
        <w:t xml:space="preserve"> z</w:t>
      </w:r>
      <w:r>
        <w:t> </w:t>
      </w:r>
      <w:r w:rsidRPr="00287B96">
        <w:t>uhlí</w:t>
      </w:r>
      <w:r>
        <w:t>. Tato výzk</w:t>
      </w:r>
      <w:r w:rsidR="00AF604D">
        <w:t>umná a vývojová oblast obdržela 72 % (</w:t>
      </w:r>
      <w:r>
        <w:t>304 mil. Kč</w:t>
      </w:r>
      <w:r w:rsidR="00AF604D">
        <w:t>) z uvedených prostředků v cíli SEO 0704</w:t>
      </w:r>
      <w:r>
        <w:t>.</w:t>
      </w:r>
    </w:p>
    <w:p w:rsidR="00AF604D" w:rsidRDefault="00AF604D" w:rsidP="00F4288E">
      <w:pPr>
        <w:spacing w:before="120" w:after="120"/>
        <w:jc w:val="both"/>
      </w:pPr>
      <w:r>
        <w:t>Blíže viz tabulky č. A14 a B18 v tabulkové části publikace.</w:t>
      </w:r>
    </w:p>
    <w:p w:rsidR="008A2E30" w:rsidRDefault="00E9216F" w:rsidP="00314145">
      <w:pPr>
        <w:spacing w:before="120"/>
        <w:jc w:val="both"/>
        <w:rPr>
          <w:b/>
        </w:rPr>
      </w:pPr>
      <w:r>
        <w:rPr>
          <w:b/>
        </w:rPr>
        <w:lastRenderedPageBreak/>
        <w:t>Graf. 2-6: GBARD –</w:t>
      </w:r>
      <w:r w:rsidR="008A2E30" w:rsidRPr="008A2E30">
        <w:rPr>
          <w:b/>
        </w:rPr>
        <w:t xml:space="preserve"> Průmyslová výroba a technologie z hlediska podcílů v letech 2005, 2010, 2013 a 2014 (mil. Kč)</w:t>
      </w:r>
    </w:p>
    <w:p w:rsidR="00A06C1F" w:rsidRDefault="00AD549E" w:rsidP="00314145">
      <w:pPr>
        <w:spacing w:before="120"/>
        <w:jc w:val="both"/>
        <w:rPr>
          <w:b/>
        </w:rPr>
      </w:pPr>
      <w:r>
        <w:rPr>
          <w:noProof/>
        </w:rPr>
        <w:drawing>
          <wp:inline distT="0" distB="0" distL="0" distR="0">
            <wp:extent cx="5972810" cy="3930650"/>
            <wp:effectExtent l="0" t="0" r="8890" b="0"/>
            <wp:docPr id="22" name="Graf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06C1F" w:rsidRDefault="00A06C1F" w:rsidP="00A06C1F"/>
    <w:p w:rsidR="00B407D2" w:rsidRDefault="00B407D2" w:rsidP="00A06C1F"/>
    <w:p w:rsidR="00440AB9" w:rsidRDefault="002E0C7F" w:rsidP="00F4288E">
      <w:pPr>
        <w:spacing w:before="120" w:after="120"/>
        <w:jc w:val="both"/>
      </w:pPr>
      <w:r>
        <w:t xml:space="preserve">Výzkumní pracovníci směřující své výzkumné úsilí do sociální oblasti vyčleněné pod jednotným socioekonomickým cílem s označením </w:t>
      </w:r>
      <w:r w:rsidRPr="002E0C7F">
        <w:rPr>
          <w:b/>
        </w:rPr>
        <w:t>společenské struktury a vztahy (SEO 08)</w:t>
      </w:r>
      <w:r>
        <w:t xml:space="preserve"> mohli pro svou výzkumnou činnost využít </w:t>
      </w:r>
      <w:r w:rsidR="0032168E">
        <w:rPr>
          <w:b/>
        </w:rPr>
        <w:t>1 773</w:t>
      </w:r>
      <w:r w:rsidRPr="0032168E">
        <w:rPr>
          <w:b/>
        </w:rPr>
        <w:t xml:space="preserve"> mil. Kč </w:t>
      </w:r>
      <w:r w:rsidR="00440AB9">
        <w:t>z veřejných</w:t>
      </w:r>
      <w:r w:rsidR="0032168E">
        <w:t xml:space="preserve"> prostředků (6,5</w:t>
      </w:r>
      <w:r w:rsidR="00FB3D49">
        <w:t xml:space="preserve"> % z celkových GBA</w:t>
      </w:r>
      <w:r>
        <w:t xml:space="preserve">RD). </w:t>
      </w:r>
      <w:r w:rsidR="00440AB9">
        <w:t>Oproti roku 2013 došlo k výraznému nárůstu veřejné podpory výzkumu v tomto cíli o 61 %. Tento fakt souvisí s dočerpáváním finančních prostředků ze strukturálních fondů</w:t>
      </w:r>
      <w:r w:rsidR="00FB3D49">
        <w:t xml:space="preserve"> EU</w:t>
      </w:r>
      <w:r w:rsidR="00440AB9">
        <w:t>, konkrétně operačního programu „</w:t>
      </w:r>
      <w:r w:rsidR="00440AB9" w:rsidRPr="00440AB9">
        <w:t>Vzdělávání pro konkurenceschopnost</w:t>
      </w:r>
      <w:r w:rsidR="00440AB9">
        <w:t>“.</w:t>
      </w:r>
    </w:p>
    <w:p w:rsidR="002E0C7F" w:rsidRDefault="002E0C7F" w:rsidP="00F4288E">
      <w:pPr>
        <w:spacing w:before="120" w:after="120"/>
        <w:jc w:val="both"/>
      </w:pPr>
      <w:r>
        <w:t>Jednalo se zejména o výzkumné činnosti probíhající v úzkém kontaktu s poznatky v oblasti společenských a humanitních věd. Oblasti, které mohly být v rámci daného cíle rozvíjeny, zahrnovaly např. kulturní aktivity, vzdělávání a rekvalifikace, řízení, sociální zabezpečení, apod.</w:t>
      </w:r>
    </w:p>
    <w:p w:rsidR="009B1672" w:rsidRDefault="002E0C7F" w:rsidP="00F4288E">
      <w:pPr>
        <w:spacing w:before="120" w:after="120"/>
        <w:jc w:val="both"/>
      </w:pPr>
      <w:r>
        <w:t>Spolufinancování Operačních programů klasifikovaných pod dan</w:t>
      </w:r>
      <w:r w:rsidR="009B1672">
        <w:t>ý socioekonomický cíl činilo 974 mil. Kč, což odpovídá 54,9</w:t>
      </w:r>
      <w:r w:rsidR="00FB3D49">
        <w:t xml:space="preserve"> % v rámci SEO 08. Projekty o</w:t>
      </w:r>
      <w:r>
        <w:t xml:space="preserve">peračního programu </w:t>
      </w:r>
      <w:r w:rsidR="00FB3D49">
        <w:t>„</w:t>
      </w:r>
      <w:r>
        <w:t>Vzdělávání pro konkurenceschopnost</w:t>
      </w:r>
      <w:r w:rsidR="00FB3D49">
        <w:t>“</w:t>
      </w:r>
      <w:r>
        <w:t xml:space="preserve"> jsou kompletně klasifikovány pod daným socioekonomickým cílem, konkrétně pak v dílčím cíli „Vzdělávání, výcvik, další vzdělávání a rekvalifikace“ (SEO 0801). Celkově do t</w:t>
      </w:r>
      <w:r w:rsidR="009B1672">
        <w:t>ohoto dílčího cíle směřovalo 996 mil. Kč (56,2</w:t>
      </w:r>
      <w:r>
        <w:t xml:space="preserve"> % v rámci SEO 08). </w:t>
      </w:r>
      <w:r w:rsidR="009B1672">
        <w:t>Spolufinancování projektů z uvedeného operačního programu</w:t>
      </w:r>
      <w:r w:rsidR="00FB3D49">
        <w:t xml:space="preserve"> „Vzdělávání pro konkurenceschopnost“</w:t>
      </w:r>
      <w:r w:rsidR="009B1672">
        <w:t xml:space="preserve"> dosáhlo 877 mil. Kč.</w:t>
      </w:r>
    </w:p>
    <w:p w:rsidR="00FE06F5" w:rsidRDefault="00FE06F5" w:rsidP="00F4288E">
      <w:pPr>
        <w:spacing w:before="120" w:after="120"/>
        <w:jc w:val="both"/>
      </w:pPr>
      <w:r>
        <w:t>Nejméně</w:t>
      </w:r>
      <w:r w:rsidR="002E0C7F">
        <w:t xml:space="preserve"> pod</w:t>
      </w:r>
      <w:r>
        <w:t xml:space="preserve">pořeným dílčím cílem </w:t>
      </w:r>
      <w:r w:rsidR="00AE1CD2">
        <w:t>byl v roce 2014</w:t>
      </w:r>
      <w:r>
        <w:t xml:space="preserve"> SEO 0804</w:t>
      </w:r>
      <w:r w:rsidR="002E0C7F">
        <w:t xml:space="preserve"> – </w:t>
      </w:r>
      <w:r w:rsidRPr="00FE06F5">
        <w:t>Zlepšování pracovních podmínek</w:t>
      </w:r>
      <w:r w:rsidR="002E0C7F">
        <w:t xml:space="preserve">, kdy subjekty provádějící výzkum v oblasti </w:t>
      </w:r>
      <w:r>
        <w:t>zlepšování pracovních podmínek obdržely podporu ve výši pouhých</w:t>
      </w:r>
      <w:r w:rsidR="002E0C7F">
        <w:t xml:space="preserve"> </w:t>
      </w:r>
      <w:r>
        <w:t>5 mil. Kč (0,3</w:t>
      </w:r>
      <w:r w:rsidR="002E0C7F">
        <w:t xml:space="preserve"> % v rámci SEO 08).</w:t>
      </w:r>
    </w:p>
    <w:p w:rsidR="00FE06F5" w:rsidRDefault="00FE06F5" w:rsidP="00F4288E">
      <w:pPr>
        <w:spacing w:before="120" w:after="120"/>
        <w:jc w:val="both"/>
      </w:pPr>
      <w:r>
        <w:t>Kompletní údaje viz graf č. 2-7 na následující straně.</w:t>
      </w:r>
    </w:p>
    <w:p w:rsidR="00E62E79" w:rsidRDefault="00E62E79" w:rsidP="00943FA7">
      <w:pPr>
        <w:spacing w:after="120"/>
        <w:jc w:val="both"/>
        <w:rPr>
          <w:b/>
        </w:rPr>
      </w:pPr>
    </w:p>
    <w:p w:rsidR="002E0C7F" w:rsidRPr="00CE4007" w:rsidRDefault="005F0E7E" w:rsidP="00943FA7">
      <w:pPr>
        <w:spacing w:after="120"/>
        <w:jc w:val="both"/>
        <w:rPr>
          <w:b/>
        </w:rPr>
      </w:pPr>
      <w:r w:rsidRPr="00CE4007">
        <w:rPr>
          <w:b/>
        </w:rPr>
        <w:lastRenderedPageBreak/>
        <w:t>Graf. 2-7</w:t>
      </w:r>
      <w:r w:rsidR="00CE4007">
        <w:rPr>
          <w:b/>
        </w:rPr>
        <w:t>: GBA</w:t>
      </w:r>
      <w:r w:rsidR="002E0C7F" w:rsidRPr="00CE4007">
        <w:rPr>
          <w:b/>
        </w:rPr>
        <w:t>RD – Společenské struktury a vztahy z hlediska nejvýznamnějších podcílů v letech 2005, 2010</w:t>
      </w:r>
      <w:r w:rsidR="00CE4007">
        <w:rPr>
          <w:b/>
        </w:rPr>
        <w:t>, 2013 a 2014</w:t>
      </w:r>
      <w:r w:rsidR="002E0C7F" w:rsidRPr="00CE4007">
        <w:rPr>
          <w:b/>
        </w:rPr>
        <w:t xml:space="preserve"> (mil. Kč)</w:t>
      </w:r>
    </w:p>
    <w:p w:rsidR="00CE4007" w:rsidRDefault="00210023" w:rsidP="002E0C7F">
      <w:pPr>
        <w:jc w:val="both"/>
      </w:pPr>
      <w:r>
        <w:rPr>
          <w:noProof/>
        </w:rPr>
        <w:drawing>
          <wp:inline distT="0" distB="0" distL="0" distR="0">
            <wp:extent cx="5972810" cy="2889885"/>
            <wp:effectExtent l="0" t="0" r="8890" b="5715"/>
            <wp:docPr id="23" name="Graf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F0E7E" w:rsidRDefault="005F0E7E" w:rsidP="00A06C1F">
      <w:pPr>
        <w:jc w:val="both"/>
      </w:pPr>
    </w:p>
    <w:p w:rsidR="00A06C1F" w:rsidRDefault="00A06C1F" w:rsidP="00A06C1F">
      <w:pPr>
        <w:jc w:val="both"/>
      </w:pPr>
      <w:r>
        <w:t>Významný objem</w:t>
      </w:r>
      <w:r w:rsidR="004A2E6F">
        <w:t xml:space="preserve"> veřejné</w:t>
      </w:r>
      <w:r w:rsidR="002B4B62">
        <w:t xml:space="preserve"> podpory VaV pro rok 2014</w:t>
      </w:r>
      <w:r>
        <w:t xml:space="preserve"> plynul do oblasti </w:t>
      </w:r>
      <w:r w:rsidRPr="00A06C1F">
        <w:rPr>
          <w:b/>
        </w:rPr>
        <w:t>ochrany a zlepšování lidského zdraví</w:t>
      </w:r>
      <w:r>
        <w:t xml:space="preserve"> </w:t>
      </w:r>
      <w:r w:rsidRPr="004A2E6F">
        <w:rPr>
          <w:b/>
        </w:rPr>
        <w:t>(SEO 04)</w:t>
      </w:r>
      <w:r>
        <w:t xml:space="preserve">. Jednalo se zejména o finanční prostředky z rozpočtu Ministerstva zdravotnictví. V souhrnu byly </w:t>
      </w:r>
      <w:r w:rsidR="00D33F8E">
        <w:t>v oblasti související s výzkumem lidského zdraví</w:t>
      </w:r>
      <w:r>
        <w:t xml:space="preserve"> rozděleny finance v celkové výši </w:t>
      </w:r>
      <w:r w:rsidR="002B4B62">
        <w:rPr>
          <w:b/>
        </w:rPr>
        <w:t>1 722</w:t>
      </w:r>
      <w:r w:rsidRPr="00A06C1F">
        <w:rPr>
          <w:b/>
        </w:rPr>
        <w:t xml:space="preserve"> mil. Kč</w:t>
      </w:r>
      <w:r>
        <w:t xml:space="preserve">., což odpovídá </w:t>
      </w:r>
      <w:r w:rsidR="002B4B62">
        <w:rPr>
          <w:b/>
        </w:rPr>
        <w:t>6,3</w:t>
      </w:r>
      <w:r w:rsidRPr="00A06C1F">
        <w:rPr>
          <w:b/>
        </w:rPr>
        <w:t xml:space="preserve"> %</w:t>
      </w:r>
      <w:r>
        <w:t xml:space="preserve"> celkových GBARD. Příjemci těchto pr</w:t>
      </w:r>
      <w:r w:rsidR="0051183F">
        <w:t xml:space="preserve">ostředků byly převážně </w:t>
      </w:r>
      <w:r>
        <w:t>nemocnice</w:t>
      </w:r>
      <w:r w:rsidR="00FD18DB">
        <w:t>,</w:t>
      </w:r>
      <w:r w:rsidR="0051183F">
        <w:t xml:space="preserve"> zejména pak fakultní</w:t>
      </w:r>
      <w:r w:rsidR="00FD18DB">
        <w:t xml:space="preserve"> nemocnice</w:t>
      </w:r>
      <w:r w:rsidR="002D7515">
        <w:t>, přičemž 74,1</w:t>
      </w:r>
      <w:r w:rsidR="0051183F">
        <w:t xml:space="preserve"> % (1 275</w:t>
      </w:r>
      <w:r>
        <w:t xml:space="preserve"> mil. Kč) podpory VaV ve zdravotní oblasti bylo čerpáno formou účelové podpory. Formou institucionální podpory bylo při</w:t>
      </w:r>
      <w:r w:rsidR="002D7515">
        <w:t>jato zbývajících 25,9 % prostředků (447</w:t>
      </w:r>
      <w:r>
        <w:t xml:space="preserve"> mil. Kč). Jak již bylo řečeno, lékařský výzkum je také klasifikován v rámci dříve jmenovaných socioekonomických cílů</w:t>
      </w:r>
      <w:r>
        <w:rPr>
          <w:rStyle w:val="Znakapoznpodarou"/>
        </w:rPr>
        <w:footnoteReference w:id="8"/>
      </w:r>
      <w:r>
        <w:t xml:space="preserve">.  </w:t>
      </w:r>
    </w:p>
    <w:p w:rsidR="00A06C1F" w:rsidRDefault="00A06C1F" w:rsidP="00A06C1F"/>
    <w:p w:rsidR="00A06C1F" w:rsidRDefault="002C5239" w:rsidP="00943FA7">
      <w:pPr>
        <w:spacing w:after="120"/>
        <w:rPr>
          <w:b/>
        </w:rPr>
      </w:pPr>
      <w:r>
        <w:rPr>
          <w:b/>
        </w:rPr>
        <w:t>Graf. 2-8</w:t>
      </w:r>
      <w:r w:rsidR="002D7515">
        <w:rPr>
          <w:b/>
        </w:rPr>
        <w:t>: GBA</w:t>
      </w:r>
      <w:r w:rsidR="00A06C1F" w:rsidRPr="002D7515">
        <w:rPr>
          <w:b/>
        </w:rPr>
        <w:t>RD – Ochrana a zlepšování lidského zdraví z hlediska podcílů v letech 2005, 2010</w:t>
      </w:r>
      <w:r w:rsidR="002D7515">
        <w:rPr>
          <w:b/>
        </w:rPr>
        <w:t>, 2013 a 2014</w:t>
      </w:r>
      <w:r w:rsidR="00A06C1F" w:rsidRPr="002D7515">
        <w:rPr>
          <w:b/>
        </w:rPr>
        <w:t xml:space="preserve"> (mil. Kč)</w:t>
      </w:r>
    </w:p>
    <w:p w:rsidR="00CF6243" w:rsidRDefault="00881B2C" w:rsidP="00A06C1F">
      <w:pPr>
        <w:rPr>
          <w:b/>
        </w:rPr>
      </w:pPr>
      <w:r w:rsidRPr="00881B2C">
        <w:rPr>
          <w:b/>
          <w:noProof/>
        </w:rPr>
        <w:drawing>
          <wp:inline distT="0" distB="0" distL="0" distR="0">
            <wp:extent cx="5972810" cy="2889885"/>
            <wp:effectExtent l="0" t="0" r="0" b="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F6243" w:rsidRDefault="00CF6243" w:rsidP="00CF6243"/>
    <w:p w:rsidR="0016650B" w:rsidRDefault="00CF6243" w:rsidP="00F4288E">
      <w:pPr>
        <w:spacing w:before="120" w:after="120"/>
        <w:jc w:val="both"/>
      </w:pPr>
      <w:r>
        <w:lastRenderedPageBreak/>
        <w:t>Se souh</w:t>
      </w:r>
      <w:r w:rsidR="00D147B3">
        <w:t xml:space="preserve">rnnou </w:t>
      </w:r>
      <w:r w:rsidR="00945A31">
        <w:t xml:space="preserve">přidělenou </w:t>
      </w:r>
      <w:r w:rsidR="0016650B">
        <w:t xml:space="preserve">veřejnou </w:t>
      </w:r>
      <w:r w:rsidR="00D147B3">
        <w:t xml:space="preserve">podporou VaV ve výši </w:t>
      </w:r>
      <w:r w:rsidR="00D147B3" w:rsidRPr="00D147B3">
        <w:rPr>
          <w:b/>
        </w:rPr>
        <w:t>1 112</w:t>
      </w:r>
      <w:r w:rsidRPr="00D147B3">
        <w:rPr>
          <w:b/>
        </w:rPr>
        <w:t xml:space="preserve"> mil. Kč</w:t>
      </w:r>
      <w:r>
        <w:t xml:space="preserve"> byla oblast </w:t>
      </w:r>
      <w:r w:rsidR="00A83B8B">
        <w:rPr>
          <w:b/>
        </w:rPr>
        <w:t>z</w:t>
      </w:r>
      <w:r w:rsidRPr="00A83B8B">
        <w:rPr>
          <w:b/>
        </w:rPr>
        <w:t>eměd</w:t>
      </w:r>
      <w:r w:rsidR="00D147B3">
        <w:rPr>
          <w:b/>
        </w:rPr>
        <w:t>ělské výroby a technologie (SEO </w:t>
      </w:r>
      <w:r w:rsidRPr="00A83B8B">
        <w:rPr>
          <w:b/>
        </w:rPr>
        <w:t>06)</w:t>
      </w:r>
      <w:r>
        <w:t xml:space="preserve"> </w:t>
      </w:r>
      <w:r w:rsidR="003B11B2">
        <w:t xml:space="preserve">v roce 2014 </w:t>
      </w:r>
      <w:r>
        <w:t>šestým nejp</w:t>
      </w:r>
      <w:r w:rsidR="00D147B3">
        <w:t>odporovanějším cílem</w:t>
      </w:r>
      <w:r w:rsidR="0016650B">
        <w:t>. Z hlediska celkových GBA</w:t>
      </w:r>
      <w:r>
        <w:t>RD sm</w:t>
      </w:r>
      <w:r w:rsidR="00D147B3">
        <w:t>ěřovalo do oblasti zemědělství 4,1</w:t>
      </w:r>
      <w:r>
        <w:t xml:space="preserve"> % prostředků. </w:t>
      </w:r>
    </w:p>
    <w:p w:rsidR="00CF6243" w:rsidRDefault="0005693B" w:rsidP="005B4045">
      <w:pPr>
        <w:spacing w:before="120" w:after="120"/>
        <w:jc w:val="both"/>
      </w:pPr>
      <w:r>
        <w:t>D</w:t>
      </w:r>
      <w:r w:rsidR="00AF4DBF">
        <w:t>o</w:t>
      </w:r>
      <w:r>
        <w:t xml:space="preserve"> oblasti zemědělské výroby a technologie je zařazen </w:t>
      </w:r>
      <w:r w:rsidR="00CF6243">
        <w:t>veškerý výzkum v oblasti zemědělství, lesnictví, rybářství a produkce potravin. Finanční prostředky jsou využívány k podpoře výzkumu umělých hnojiv, prostředků k hubení škůdců či pesticidů, veterinární medicíny, mechanizace zemědělství či jiných postupů zvyšování produktivity v zemědělství, lesnictví či rybářství. O podporu VaV v této oblasti se stará zejména Ministerstvo zemědělství</w:t>
      </w:r>
      <w:r w:rsidR="00831054">
        <w:t xml:space="preserve"> (730 mil. Kč)</w:t>
      </w:r>
      <w:r w:rsidR="00CF6243">
        <w:t>. Hlavními příjemci těchto prostředků byly veřejné výzkumné instituce (včetn</w:t>
      </w:r>
      <w:r w:rsidR="00290EFB">
        <w:t>ě AV ČR), do nichž směřovalo 567</w:t>
      </w:r>
      <w:r w:rsidR="00CF6243">
        <w:t xml:space="preserve"> mil. Kč. Dále podniky, které</w:t>
      </w:r>
      <w:r w:rsidR="00290EFB">
        <w:t xml:space="preserve"> z těchto prostředků získaly 308</w:t>
      </w:r>
      <w:r w:rsidR="00CF6243">
        <w:t xml:space="preserve"> mil. Kč a veřejné vyso</w:t>
      </w:r>
      <w:r w:rsidR="00290EFB">
        <w:t>ké školy, které si rozdělily 212</w:t>
      </w:r>
      <w:r w:rsidR="00CF6243">
        <w:t xml:space="preserve"> mil. Kč.</w:t>
      </w:r>
    </w:p>
    <w:p w:rsidR="00CF6243" w:rsidRDefault="00A83B8B" w:rsidP="005B4045">
      <w:pPr>
        <w:spacing w:before="120" w:after="120"/>
        <w:rPr>
          <w:b/>
        </w:rPr>
      </w:pPr>
      <w:r>
        <w:rPr>
          <w:b/>
        </w:rPr>
        <w:t>Graf. 2-9</w:t>
      </w:r>
      <w:r w:rsidR="00BC3E92">
        <w:rPr>
          <w:b/>
        </w:rPr>
        <w:t>: GBARD –</w:t>
      </w:r>
      <w:r w:rsidR="00CF6243" w:rsidRPr="00CF6243">
        <w:rPr>
          <w:b/>
        </w:rPr>
        <w:t xml:space="preserve"> Zemědělská výroba a technologie z hlediska nejvýznamnějších podcílů v letech 2005, 2010, 2013 a 2014 (mil. Kč)</w:t>
      </w:r>
    </w:p>
    <w:p w:rsidR="00CF6243" w:rsidRDefault="00CF6243" w:rsidP="00CF6243">
      <w:pPr>
        <w:rPr>
          <w:b/>
        </w:rPr>
      </w:pPr>
      <w:r w:rsidRPr="00CF6243">
        <w:rPr>
          <w:b/>
          <w:noProof/>
        </w:rPr>
        <w:drawing>
          <wp:inline distT="0" distB="0" distL="0" distR="0">
            <wp:extent cx="5972810" cy="2889885"/>
            <wp:effectExtent l="0" t="0" r="0" b="0"/>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F6243" w:rsidRDefault="00CF6243" w:rsidP="00CF6243">
      <w:pPr>
        <w:rPr>
          <w:b/>
        </w:rPr>
      </w:pPr>
    </w:p>
    <w:p w:rsidR="00AF6E7B" w:rsidRDefault="00CF5EF2" w:rsidP="00F4288E">
      <w:pPr>
        <w:spacing w:before="120" w:after="120"/>
        <w:jc w:val="both"/>
      </w:pPr>
      <w:r w:rsidRPr="00CF5EF2">
        <w:t xml:space="preserve">Nejvíce státní podpory směřovalo v oblasti zemědělské výroby </w:t>
      </w:r>
      <w:r w:rsidR="002D7E04">
        <w:t>a technologie do výzkumu</w:t>
      </w:r>
      <w:r w:rsidR="00C42F6C">
        <w:t xml:space="preserve"> plodin (479</w:t>
      </w:r>
      <w:r w:rsidR="006B3C6F">
        <w:t> mil. </w:t>
      </w:r>
      <w:r w:rsidR="00C3310B">
        <w:t>Kč; podíl 43,1</w:t>
      </w:r>
      <w:r w:rsidRPr="00CF5EF2">
        <w:t xml:space="preserve"> % z SEO 06). Významný objem prostředků sloužil k financování v</w:t>
      </w:r>
      <w:r w:rsidR="00C42F6C">
        <w:t>ýzkumu živočišných produktů (164</w:t>
      </w:r>
      <w:r w:rsidR="00C3310B">
        <w:t xml:space="preserve"> mil. Kč; 14,7</w:t>
      </w:r>
      <w:r w:rsidRPr="00CF5EF2">
        <w:t xml:space="preserve"> % z SEO </w:t>
      </w:r>
      <w:r w:rsidR="00C42F6C">
        <w:t>06) či veterinární medicíny (150</w:t>
      </w:r>
      <w:r w:rsidR="00C3310B">
        <w:t xml:space="preserve"> mil. Kč; 13,5</w:t>
      </w:r>
      <w:r w:rsidRPr="00CF5EF2">
        <w:t xml:space="preserve"> % z SEO 06). Jak již bylo řečeno, zemědělský výzkum je klasifikován také v rámci </w:t>
      </w:r>
      <w:r w:rsidR="0038085C">
        <w:t>dalších</w:t>
      </w:r>
      <w:r w:rsidRPr="00CF5EF2">
        <w:t xml:space="preserve"> socioekonomických cílů</w:t>
      </w:r>
      <w:r w:rsidR="00290EFB">
        <w:rPr>
          <w:rStyle w:val="Znakapoznpodarou"/>
        </w:rPr>
        <w:footnoteReference w:id="9"/>
      </w:r>
      <w:r w:rsidRPr="00CF5EF2">
        <w:t xml:space="preserve">. </w:t>
      </w:r>
    </w:p>
    <w:p w:rsidR="00D6037C" w:rsidRDefault="00AF6E7B" w:rsidP="00F4288E">
      <w:pPr>
        <w:spacing w:before="120" w:after="120"/>
        <w:jc w:val="both"/>
      </w:pPr>
      <w:r>
        <w:t>Další</w:t>
      </w:r>
      <w:r w:rsidR="002D7E04">
        <w:t xml:space="preserve"> oblastí VaV, do níž v roce 2014</w:t>
      </w:r>
      <w:r>
        <w:t xml:space="preserve"> směřovala státní finanční podpora přesahující 1 mld. Kč. (přesně se jednalo o </w:t>
      </w:r>
      <w:r w:rsidRPr="00AF6E7B">
        <w:rPr>
          <w:b/>
        </w:rPr>
        <w:t>1 087 mil. Kč</w:t>
      </w:r>
      <w:r>
        <w:t xml:space="preserve">), byla oblast </w:t>
      </w:r>
      <w:r w:rsidRPr="00AF6E7B">
        <w:rPr>
          <w:b/>
        </w:rPr>
        <w:t>infrastruktury a územního plánování (SEO 02)</w:t>
      </w:r>
      <w:r>
        <w:t>. Tento socioekonomický cíl sdružuje VaV v oblasti územního plánování, plánování a stavby budov, inženýrských a vodohospodářských staveb, telekomunikací, dopravy, apod. Podí</w:t>
      </w:r>
      <w:r w:rsidR="00AA4292">
        <w:t>l tohoto cíle na celkových GBA</w:t>
      </w:r>
      <w:r>
        <w:t xml:space="preserve">RD činil </w:t>
      </w:r>
      <w:r w:rsidR="00AA4292">
        <w:t>rovných 4</w:t>
      </w:r>
      <w:r>
        <w:t xml:space="preserve"> %. Příjemci podpor</w:t>
      </w:r>
      <w:r w:rsidR="004932FD">
        <w:t>y byly veřejné vysoké školy (375</w:t>
      </w:r>
      <w:r>
        <w:t xml:space="preserve"> mil. Kč),</w:t>
      </w:r>
      <w:r w:rsidR="004932FD">
        <w:t xml:space="preserve"> veřejné výzkumné institu</w:t>
      </w:r>
      <w:r w:rsidR="002D7E04">
        <w:t>ce (124 mil. </w:t>
      </w:r>
      <w:r w:rsidR="004932FD">
        <w:t>Kč) a podniky (280</w:t>
      </w:r>
      <w:r>
        <w:t xml:space="preserve"> mil. Kč).</w:t>
      </w:r>
    </w:p>
    <w:p w:rsidR="00D6037C" w:rsidRPr="00E92F4D" w:rsidRDefault="00D6037C" w:rsidP="00F4288E">
      <w:pPr>
        <w:spacing w:before="120" w:after="120"/>
        <w:jc w:val="both"/>
      </w:pPr>
      <w:r w:rsidRPr="00E92F4D">
        <w:t>Ne</w:t>
      </w:r>
      <w:r w:rsidR="00E92F4D" w:rsidRPr="00E92F4D">
        <w:t>jvíce finančních prostředků (373 mil. Kč; 34,3</w:t>
      </w:r>
      <w:r w:rsidRPr="00E92F4D">
        <w:t xml:space="preserve"> %) směřovalo v rámci infrastruktury a územního plánování do VaV orientovaného na oblast telekomunikačních systémů (S</w:t>
      </w:r>
      <w:r w:rsidR="00E92F4D" w:rsidRPr="00E92F4D">
        <w:t>EO 0205). Hlavním příjemcem (292</w:t>
      </w:r>
      <w:r w:rsidRPr="00E92F4D">
        <w:t xml:space="preserve"> mil. Kč) bylo sdružení právnických osob, která se stará o rozvoj páteřní internetové sítě v ČR. Uve</w:t>
      </w:r>
      <w:r w:rsidR="00E92F4D" w:rsidRPr="00E92F4D">
        <w:t>dený dílčí cíl byl podpořen 97,3</w:t>
      </w:r>
      <w:r w:rsidRPr="00E92F4D">
        <w:t xml:space="preserve"> % formou účelové podpory. Významnou VaV oblastí byly také dopravní systé</w:t>
      </w:r>
      <w:r w:rsidR="00E92F4D" w:rsidRPr="00E92F4D">
        <w:t>my (SEO 0205), kam směřovalo 229 mil. Kč (21</w:t>
      </w:r>
      <w:r w:rsidRPr="00E92F4D">
        <w:t xml:space="preserve"> % v rámci SEO 05).</w:t>
      </w:r>
    </w:p>
    <w:p w:rsidR="007066ED" w:rsidRDefault="007066ED" w:rsidP="00AF6E7B">
      <w:pPr>
        <w:jc w:val="both"/>
      </w:pPr>
      <w:r>
        <w:t>Blíže viz graf č. 2-10 na následující straně.</w:t>
      </w:r>
    </w:p>
    <w:p w:rsidR="00AF6E7B" w:rsidRDefault="007066ED" w:rsidP="00AF6E7B">
      <w:pPr>
        <w:jc w:val="both"/>
        <w:rPr>
          <w:b/>
        </w:rPr>
      </w:pPr>
      <w:r>
        <w:rPr>
          <w:b/>
        </w:rPr>
        <w:lastRenderedPageBreak/>
        <w:t>Graf. 2-10</w:t>
      </w:r>
      <w:r w:rsidR="002543A4" w:rsidRPr="002543A4">
        <w:rPr>
          <w:b/>
        </w:rPr>
        <w:t>: GBA</w:t>
      </w:r>
      <w:r w:rsidR="00AF6E7B" w:rsidRPr="002543A4">
        <w:rPr>
          <w:b/>
        </w:rPr>
        <w:t>RD – Infrastruktura a územní plánování z hlediska podcílů v letech 2005, 2010</w:t>
      </w:r>
      <w:r w:rsidR="002543A4" w:rsidRPr="002543A4">
        <w:rPr>
          <w:b/>
        </w:rPr>
        <w:t>, 2013 a 2014</w:t>
      </w:r>
      <w:r w:rsidR="00AF6E7B" w:rsidRPr="002543A4">
        <w:rPr>
          <w:b/>
        </w:rPr>
        <w:t xml:space="preserve"> (mil. Kč)</w:t>
      </w:r>
    </w:p>
    <w:p w:rsidR="00A76D62" w:rsidRPr="002543A4" w:rsidRDefault="00A76D62" w:rsidP="00AF6E7B">
      <w:pPr>
        <w:jc w:val="both"/>
        <w:rPr>
          <w:b/>
        </w:rPr>
      </w:pPr>
      <w:r w:rsidRPr="00A76D62">
        <w:rPr>
          <w:b/>
          <w:noProof/>
        </w:rPr>
        <w:drawing>
          <wp:inline distT="0" distB="0" distL="0" distR="0">
            <wp:extent cx="5972810" cy="2889885"/>
            <wp:effectExtent l="0" t="0" r="0" b="0"/>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F5EF2" w:rsidRPr="00CF5EF2" w:rsidRDefault="00CF5EF2" w:rsidP="00CF5EF2">
      <w:pPr>
        <w:jc w:val="both"/>
      </w:pPr>
    </w:p>
    <w:p w:rsidR="00CF5EF2" w:rsidRPr="00CF5EF2" w:rsidRDefault="00CF5EF2" w:rsidP="00F4288E">
      <w:pPr>
        <w:spacing w:before="120" w:after="120"/>
        <w:jc w:val="both"/>
      </w:pPr>
      <w:r w:rsidRPr="00CF5EF2">
        <w:t xml:space="preserve">U zbývajících socioekonomických cílů s výjimkou ostatního civilního výzkumu (SEO 12) nepřesáhla </w:t>
      </w:r>
      <w:r w:rsidR="00CC6556">
        <w:t>veřejná</w:t>
      </w:r>
      <w:r w:rsidRPr="00CF5EF2">
        <w:t xml:space="preserve"> rozpočtová podpora jednu miliardu Kč. Do ostatního civilního výzkumu se klasifikují finanční částky, jež nelze z různých důvodů jednoznačně přiřadit k žádnému obsah</w:t>
      </w:r>
      <w:r w:rsidR="00604311">
        <w:t>ově vymezenému cíli. V roce 2014</w:t>
      </w:r>
      <w:r w:rsidRPr="00CF5EF2">
        <w:t xml:space="preserve"> s</w:t>
      </w:r>
      <w:r w:rsidR="00604311">
        <w:t>em spadal výzkum v hodnotě 1 015 mld. Kč, tedy 3,7 % celkových GBA</w:t>
      </w:r>
      <w:r w:rsidRPr="00CF5EF2">
        <w:t>RD.</w:t>
      </w:r>
    </w:p>
    <w:p w:rsidR="00CF5EF2" w:rsidRPr="0027191E" w:rsidRDefault="00CF5EF2" w:rsidP="00F4288E">
      <w:pPr>
        <w:spacing w:before="120" w:after="120"/>
        <w:jc w:val="both"/>
      </w:pPr>
      <w:r w:rsidRPr="0027191E">
        <w:t xml:space="preserve">Zajímavou výzkumnou a vývojovou oblastí je </w:t>
      </w:r>
      <w:r w:rsidRPr="0027191E">
        <w:rPr>
          <w:b/>
        </w:rPr>
        <w:t>výroba, distribuce a racionální využití energie (SEO 05)</w:t>
      </w:r>
      <w:r w:rsidRPr="0027191E">
        <w:t>. Tato kategorie sdružuje VaV zaměřený na výrobu, distribuci, uchovávání a racionální či efektivní využití veškerých forem energie. Výzkum spadající d</w:t>
      </w:r>
      <w:r w:rsidR="0027191E" w:rsidRPr="0027191E">
        <w:t>o tohoto cíle získal v roce 2014</w:t>
      </w:r>
      <w:r w:rsidRPr="0027191E">
        <w:t xml:space="preserve"> </w:t>
      </w:r>
      <w:r w:rsidR="000B2F78">
        <w:t>veřejnou</w:t>
      </w:r>
      <w:r w:rsidR="0027191E" w:rsidRPr="0027191E">
        <w:t xml:space="preserve"> podporu v celkové výši 832 mil. Kč (3,1</w:t>
      </w:r>
      <w:r w:rsidR="00E71762" w:rsidRPr="0027191E">
        <w:t xml:space="preserve"> % z celkových GBA</w:t>
      </w:r>
      <w:r w:rsidRPr="0027191E">
        <w:t xml:space="preserve">RD). Účelovou formou bylo alokováno </w:t>
      </w:r>
      <w:r w:rsidR="0027191E" w:rsidRPr="0027191E">
        <w:t>802</w:t>
      </w:r>
      <w:r w:rsidRPr="0027191E">
        <w:t xml:space="preserve"> mil. Kč</w:t>
      </w:r>
      <w:r w:rsidR="0027191E" w:rsidRPr="0027191E">
        <w:t xml:space="preserve"> (96,4</w:t>
      </w:r>
      <w:r w:rsidRPr="0027191E">
        <w:t xml:space="preserve"> %), </w:t>
      </w:r>
      <w:r w:rsidR="0027191E" w:rsidRPr="0027191E">
        <w:t>zatímco institucionální pouze 30</w:t>
      </w:r>
      <w:r w:rsidRPr="0027191E">
        <w:t xml:space="preserve"> mil. Kč. Podstatná část těchto prostředků</w:t>
      </w:r>
      <w:r w:rsidR="0027191E" w:rsidRPr="0027191E">
        <w:t xml:space="preserve"> (celkem 544</w:t>
      </w:r>
      <w:r w:rsidRPr="0027191E">
        <w:t xml:space="preserve"> mil. Kč) mířila</w:t>
      </w:r>
      <w:r w:rsidR="0027191E" w:rsidRPr="0027191E">
        <w:t xml:space="preserve"> do podnikové sféry. Dalších 204</w:t>
      </w:r>
      <w:r w:rsidRPr="0027191E">
        <w:t xml:space="preserve"> mil. Kč bylo rozděleno mezi veřejné vysoké školy.</w:t>
      </w:r>
    </w:p>
    <w:p w:rsidR="00CF5EF2" w:rsidRPr="00CF5EF2" w:rsidRDefault="00CF5EF2" w:rsidP="00CF5EF2">
      <w:pPr>
        <w:jc w:val="both"/>
      </w:pPr>
    </w:p>
    <w:p w:rsidR="00CF5EF2" w:rsidRPr="00290EFB" w:rsidRDefault="009D73C2" w:rsidP="00CF5EF2">
      <w:pPr>
        <w:jc w:val="both"/>
        <w:rPr>
          <w:b/>
        </w:rPr>
      </w:pPr>
      <w:r>
        <w:rPr>
          <w:b/>
        </w:rPr>
        <w:t>Graf. 2-11: GBA</w:t>
      </w:r>
      <w:r w:rsidR="00836C3C">
        <w:rPr>
          <w:b/>
        </w:rPr>
        <w:t>RD –</w:t>
      </w:r>
      <w:r w:rsidR="00CF5EF2" w:rsidRPr="00290EFB">
        <w:rPr>
          <w:b/>
        </w:rPr>
        <w:t xml:space="preserve"> Výroba, distribuce a racionální využití energie (SEO 05) z hlediska podcílů v letech 2005, 2010 a 2013 (mil. Kč)</w:t>
      </w:r>
    </w:p>
    <w:p w:rsidR="00CF6243" w:rsidRPr="00CF5EF2" w:rsidRDefault="00F709C7" w:rsidP="00CF5EF2">
      <w:pPr>
        <w:jc w:val="both"/>
      </w:pPr>
      <w:r w:rsidRPr="00F709C7">
        <w:rPr>
          <w:noProof/>
        </w:rPr>
        <w:drawing>
          <wp:inline distT="0" distB="0" distL="0" distR="0">
            <wp:extent cx="5972810" cy="2889885"/>
            <wp:effectExtent l="0" t="0" r="0" b="0"/>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F6243" w:rsidRDefault="00CF6243" w:rsidP="00CF6243">
      <w:pPr>
        <w:rPr>
          <w:b/>
        </w:rPr>
      </w:pPr>
    </w:p>
    <w:p w:rsidR="00F6483C" w:rsidRDefault="00007CF5" w:rsidP="00F4288E">
      <w:pPr>
        <w:spacing w:before="120" w:after="120"/>
        <w:jc w:val="both"/>
      </w:pPr>
      <w:r w:rsidRPr="00007CF5">
        <w:lastRenderedPageBreak/>
        <w:t>Jak plyne z předcházejícího znázor</w:t>
      </w:r>
      <w:r w:rsidR="006C1B2A">
        <w:t>nění (Graf 2-11), nejvíce veřejné</w:t>
      </w:r>
      <w:r w:rsidRPr="00007CF5">
        <w:t xml:space="preserve"> podpory v energetické oblasti směřovalo do relativně finančně náročného výzkumu v oblasti jaderného štěpení (SEO 0502). V absolutním vyjádření </w:t>
      </w:r>
      <w:r w:rsidR="00AB58C2">
        <w:t>se jednalo o podporu ve výši 429</w:t>
      </w:r>
      <w:r w:rsidRPr="00007CF5">
        <w:t xml:space="preserve"> mil. Kč, přičemž podíl jaderného štěpení na celkových </w:t>
      </w:r>
      <w:r w:rsidR="006C1B2A">
        <w:t>státních rozpočtových výdajích na</w:t>
      </w:r>
      <w:r w:rsidRPr="00007CF5">
        <w:t xml:space="preserve"> VaV v ob</w:t>
      </w:r>
      <w:r w:rsidR="00427309">
        <w:t>lasti energetiky představoval 51,5</w:t>
      </w:r>
      <w:r w:rsidRPr="00007CF5">
        <w:t xml:space="preserve"> %. Dalším významně podporovaným cílem VaV v ener</w:t>
      </w:r>
      <w:r w:rsidR="00AB58C2">
        <w:t>getické oblasti bylo v roce 2014</w:t>
      </w:r>
      <w:r w:rsidRPr="00007CF5">
        <w:t xml:space="preserve"> racionální využití energie (SEO 0506). Stát na VaV v dané oblasti vyčle</w:t>
      </w:r>
      <w:r w:rsidR="006C1B2A">
        <w:t>nil ze svého rozpočtu</w:t>
      </w:r>
      <w:r w:rsidR="00AB58C2">
        <w:t xml:space="preserve"> částku 251</w:t>
      </w:r>
      <w:r w:rsidR="00427309">
        <w:t xml:space="preserve"> mil. Kč (30,2</w:t>
      </w:r>
      <w:r w:rsidRPr="00007CF5">
        <w:t xml:space="preserve"> % výdajů na VaV v oblasti energetiky). </w:t>
      </w:r>
    </w:p>
    <w:p w:rsidR="00F6483C" w:rsidRPr="00007CF5" w:rsidRDefault="00F6483C" w:rsidP="00F4288E">
      <w:pPr>
        <w:spacing w:before="120" w:after="120"/>
        <w:jc w:val="both"/>
      </w:pPr>
      <w:r w:rsidRPr="00F6483C">
        <w:t>Zajímavým cílem výzkumných aktivit jsou z hlediska klasifikace NABS obnovitelné zdroje en</w:t>
      </w:r>
      <w:r>
        <w:t>ergie</w:t>
      </w:r>
      <w:r w:rsidR="006C1B2A">
        <w:t xml:space="preserve"> (SEO 0505)</w:t>
      </w:r>
      <w:r>
        <w:t>, do nichž bylo v roce 2014</w:t>
      </w:r>
      <w:r w:rsidRPr="00F6483C">
        <w:t xml:space="preserve"> investováno ze s</w:t>
      </w:r>
      <w:r w:rsidR="006C1B2A">
        <w:t>tátního rozpočtu</w:t>
      </w:r>
      <w:r>
        <w:t xml:space="preserve"> 82,3 mil. Kč (9,9</w:t>
      </w:r>
      <w:r w:rsidRPr="00F6483C">
        <w:t xml:space="preserve"> % státních </w:t>
      </w:r>
      <w:r w:rsidR="006C1B2A">
        <w:t xml:space="preserve">rozpočtových </w:t>
      </w:r>
      <w:r w:rsidRPr="00F6483C">
        <w:t xml:space="preserve">výdajů na VaV v oblasti energetiky). Klasifikace navíc umožňuje podrobnější rozložení tohoto dílčího cíle (Graf 2-12), čímž lze získat detailnější informaci o financování jednotlivých obnovitelných zdrojů. </w:t>
      </w:r>
      <w:r>
        <w:t>Více než 2/3 (64</w:t>
      </w:r>
      <w:r w:rsidRPr="00F6483C">
        <w:t xml:space="preserve"> mil.) výdajů byla přidělena VaV v oblasti přeměny biomasy v procesu zpracování odpadu. Jedná se pouze o účelovou formu podpory.</w:t>
      </w:r>
    </w:p>
    <w:p w:rsidR="00007CF5" w:rsidRPr="00007CF5" w:rsidRDefault="00007CF5" w:rsidP="00007CF5">
      <w:pPr>
        <w:rPr>
          <w:b/>
        </w:rPr>
      </w:pPr>
    </w:p>
    <w:p w:rsidR="00007CF5" w:rsidRDefault="009D73C2" w:rsidP="00007CF5">
      <w:pPr>
        <w:rPr>
          <w:b/>
        </w:rPr>
      </w:pPr>
      <w:r>
        <w:rPr>
          <w:b/>
        </w:rPr>
        <w:t>GRAF 2-12: GBA</w:t>
      </w:r>
      <w:r w:rsidR="00007CF5" w:rsidRPr="00007CF5">
        <w:rPr>
          <w:b/>
        </w:rPr>
        <w:t>RD – Obnovitelné zdroje energie (SEO</w:t>
      </w:r>
      <w:r w:rsidR="00007CF5">
        <w:rPr>
          <w:b/>
        </w:rPr>
        <w:t xml:space="preserve"> 0505) podle podcílů v roce 2014</w:t>
      </w:r>
      <w:r w:rsidR="00007CF5" w:rsidRPr="00007CF5">
        <w:rPr>
          <w:b/>
        </w:rPr>
        <w:t xml:space="preserve"> (mil. Kč; procenta z SEO 0505)</w:t>
      </w:r>
    </w:p>
    <w:p w:rsidR="00D63EF8" w:rsidRDefault="00D63EF8" w:rsidP="00007CF5">
      <w:pPr>
        <w:rPr>
          <w:b/>
        </w:rPr>
      </w:pPr>
    </w:p>
    <w:p w:rsidR="003E733C" w:rsidRDefault="00D63EF8" w:rsidP="00007CF5">
      <w:pPr>
        <w:rPr>
          <w:b/>
        </w:rPr>
      </w:pPr>
      <w:r w:rsidRPr="00D63EF8">
        <w:rPr>
          <w:b/>
          <w:noProof/>
        </w:rPr>
        <w:drawing>
          <wp:inline distT="0" distB="0" distL="0" distR="0">
            <wp:extent cx="5972810" cy="2141220"/>
            <wp:effectExtent l="0" t="0" r="0" b="0"/>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E733C" w:rsidRDefault="003E733C" w:rsidP="003E733C"/>
    <w:p w:rsidR="00A83DF5" w:rsidRDefault="003E733C" w:rsidP="00F4288E">
      <w:pPr>
        <w:spacing w:before="120" w:after="120"/>
        <w:jc w:val="both"/>
      </w:pPr>
      <w:r w:rsidRPr="00A235EF">
        <w:t xml:space="preserve">Výzkum v oblasti </w:t>
      </w:r>
      <w:r w:rsidRPr="00A235EF">
        <w:rPr>
          <w:b/>
        </w:rPr>
        <w:t>ochrany životního prostředí (SEO 03)</w:t>
      </w:r>
      <w:r w:rsidRPr="00A235EF">
        <w:t xml:space="preserve"> byl v</w:t>
      </w:r>
      <w:r w:rsidR="00A235EF" w:rsidRPr="00A235EF">
        <w:t xml:space="preserve"> roce 2014</w:t>
      </w:r>
      <w:r w:rsidRPr="00A235EF">
        <w:t xml:space="preserve"> podpoř</w:t>
      </w:r>
      <w:r w:rsidR="00A235EF" w:rsidRPr="00A235EF">
        <w:t xml:space="preserve">en souhrnnou částkou ve výši </w:t>
      </w:r>
      <w:r w:rsidR="00A235EF" w:rsidRPr="00A235EF">
        <w:rPr>
          <w:b/>
        </w:rPr>
        <w:t>549</w:t>
      </w:r>
      <w:r w:rsidRPr="00A235EF">
        <w:rPr>
          <w:b/>
        </w:rPr>
        <w:t xml:space="preserve"> mil. Kč</w:t>
      </w:r>
      <w:r w:rsidR="001E0912">
        <w:rPr>
          <w:rStyle w:val="Znakapoznpodarou"/>
          <w:b/>
        </w:rPr>
        <w:footnoteReference w:id="10"/>
      </w:r>
      <w:r w:rsidRPr="00A235EF">
        <w:t xml:space="preserve"> odpovídaj</w:t>
      </w:r>
      <w:r w:rsidR="00A235EF">
        <w:t xml:space="preserve">ícím podílu </w:t>
      </w:r>
      <w:r w:rsidR="00A235EF" w:rsidRPr="00A235EF">
        <w:rPr>
          <w:b/>
        </w:rPr>
        <w:t>2 % z celkových GBA</w:t>
      </w:r>
      <w:r w:rsidRPr="00A235EF">
        <w:rPr>
          <w:b/>
        </w:rPr>
        <w:t>RD</w:t>
      </w:r>
      <w:r w:rsidRPr="00A235EF">
        <w:t xml:space="preserve">. </w:t>
      </w:r>
    </w:p>
    <w:p w:rsidR="00A235EF" w:rsidRDefault="003E733C" w:rsidP="00F4288E">
      <w:pPr>
        <w:spacing w:before="120" w:after="120"/>
        <w:jc w:val="both"/>
        <w:rPr>
          <w:color w:val="C00000"/>
        </w:rPr>
      </w:pPr>
      <w:r w:rsidRPr="00A235EF">
        <w:t>VaV zaměřený na ochranu životního prostředí zahrnuje dle klasifikace NABS identifikaci a analýzu zdrojů a příčin znečišťování, analýzu znečišťujících látek a jejich dopadů na člověka, přírodu a životní prostředí, rozvoj měřících zařízení a monitorovacích systémů.</w:t>
      </w:r>
    </w:p>
    <w:p w:rsidR="0024307C" w:rsidRDefault="00A235EF" w:rsidP="00F4288E">
      <w:pPr>
        <w:spacing w:before="120" w:after="120"/>
        <w:jc w:val="both"/>
      </w:pPr>
      <w:r w:rsidRPr="00971C2D">
        <w:t>Celkem 95,4 % (523</w:t>
      </w:r>
      <w:r w:rsidR="003E733C" w:rsidRPr="00971C2D">
        <w:t xml:space="preserve"> mil. Kč) této podpory bylo poskytnuto formou účelové podpory. Členěním částky z hlediska dílčích </w:t>
      </w:r>
      <w:r w:rsidRPr="00971C2D">
        <w:t xml:space="preserve">socioekonomických cílů </w:t>
      </w:r>
      <w:r w:rsidR="003E733C" w:rsidRPr="00971C2D">
        <w:t xml:space="preserve">naznačuje, že významná část těchto </w:t>
      </w:r>
      <w:r w:rsidRPr="00971C2D">
        <w:t xml:space="preserve">finančních </w:t>
      </w:r>
      <w:r w:rsidR="003E733C" w:rsidRPr="00971C2D">
        <w:t>prostředků</w:t>
      </w:r>
      <w:r w:rsidR="007504B3" w:rsidRPr="00971C2D">
        <w:t xml:space="preserve"> (118</w:t>
      </w:r>
      <w:r w:rsidR="00025950" w:rsidRPr="00971C2D">
        <w:t> mil. </w:t>
      </w:r>
      <w:r w:rsidR="003E733C" w:rsidRPr="00971C2D">
        <w:t xml:space="preserve">Kč) směřovala do výzkumu ochrany půdy a podzemních vod (SEO 0305). Následoval </w:t>
      </w:r>
      <w:r w:rsidR="00025950" w:rsidRPr="00971C2D">
        <w:t>výzkum</w:t>
      </w:r>
      <w:r w:rsidR="003E733C" w:rsidRPr="00971C2D">
        <w:t xml:space="preserve"> orientovaný na ochranu před radioaktivním zářením (SEO 030</w:t>
      </w:r>
      <w:r w:rsidR="007504B3" w:rsidRPr="00971C2D">
        <w:t>9), jenž byl podpořen částkou 93</w:t>
      </w:r>
      <w:r w:rsidR="003E733C" w:rsidRPr="00971C2D">
        <w:t xml:space="preserve"> mil. Kč a </w:t>
      </w:r>
      <w:r w:rsidR="007504B3" w:rsidRPr="00971C2D">
        <w:t>ochrana okolních vod (</w:t>
      </w:r>
      <w:r w:rsidR="00025950" w:rsidRPr="00971C2D">
        <w:t xml:space="preserve">SEO </w:t>
      </w:r>
      <w:r w:rsidR="007504B3" w:rsidRPr="00971C2D">
        <w:t>0304) s 58</w:t>
      </w:r>
      <w:r w:rsidR="003E733C" w:rsidRPr="00971C2D">
        <w:t xml:space="preserve"> mil. Kč.</w:t>
      </w:r>
      <w:r w:rsidR="003A74AE" w:rsidRPr="00971C2D">
        <w:t xml:space="preserve"> </w:t>
      </w:r>
    </w:p>
    <w:p w:rsidR="00D63EF8" w:rsidRPr="00971C2D" w:rsidRDefault="003A74AE" w:rsidP="00F4288E">
      <w:pPr>
        <w:spacing w:before="120" w:after="120"/>
        <w:jc w:val="both"/>
      </w:pPr>
      <w:r w:rsidRPr="00971C2D">
        <w:t>Jak je možné si všimnout</w:t>
      </w:r>
      <w:r w:rsidR="00971C2D" w:rsidRPr="00971C2D">
        <w:t xml:space="preserve"> v</w:t>
      </w:r>
      <w:r w:rsidRPr="00971C2D">
        <w:t> grafu 2-13, veřejná podpora výzkumu v oblasti ochrany okolních vod od roku 2005 setrvale klesá. Ještě v roce 2005 byla podpora výzkumu v této oblasti nejvíce podpořením dílčím cílem v rámci cíle SEO 03. Za 10 let klesl objem veřejné podpory výzkumu</w:t>
      </w:r>
      <w:r w:rsidR="00C861F8" w:rsidRPr="00971C2D">
        <w:t xml:space="preserve"> zaměřeného na ochranu</w:t>
      </w:r>
      <w:r w:rsidRPr="00971C2D">
        <w:t xml:space="preserve"> okolních vod o více než polovinu. </w:t>
      </w:r>
    </w:p>
    <w:p w:rsidR="007504B3" w:rsidRDefault="007504B3" w:rsidP="003E733C">
      <w:pPr>
        <w:jc w:val="both"/>
        <w:rPr>
          <w:b/>
        </w:rPr>
      </w:pPr>
    </w:p>
    <w:p w:rsidR="001E0912" w:rsidRPr="007504B3" w:rsidRDefault="001E0912" w:rsidP="003E733C">
      <w:pPr>
        <w:jc w:val="both"/>
        <w:rPr>
          <w:b/>
        </w:rPr>
      </w:pPr>
    </w:p>
    <w:p w:rsidR="007504B3" w:rsidRPr="007504B3" w:rsidRDefault="000E0591" w:rsidP="003E733C">
      <w:pPr>
        <w:jc w:val="both"/>
        <w:rPr>
          <w:b/>
        </w:rPr>
      </w:pPr>
      <w:r>
        <w:rPr>
          <w:b/>
        </w:rPr>
        <w:lastRenderedPageBreak/>
        <w:t>Graf. 2-13: GBARD –</w:t>
      </w:r>
      <w:r w:rsidR="007504B3" w:rsidRPr="007504B3">
        <w:rPr>
          <w:b/>
        </w:rPr>
        <w:t xml:space="preserve"> Ochrana životního prostředí z hlediska podcílů v letech 2005, 2010, 2013 a 2014 (mil. Kč)</w:t>
      </w:r>
    </w:p>
    <w:p w:rsidR="007504B3" w:rsidRDefault="007504B3" w:rsidP="003E733C">
      <w:pPr>
        <w:jc w:val="both"/>
      </w:pPr>
      <w:r w:rsidRPr="007504B3">
        <w:rPr>
          <w:noProof/>
        </w:rPr>
        <w:drawing>
          <wp:inline distT="0" distB="0" distL="0" distR="0">
            <wp:extent cx="5972810" cy="2889885"/>
            <wp:effectExtent l="0" t="0" r="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504B3" w:rsidRDefault="007504B3" w:rsidP="007504B3"/>
    <w:p w:rsidR="00F4288E" w:rsidRDefault="00F4288E" w:rsidP="00F4288E">
      <w:pPr>
        <w:spacing w:before="120" w:after="120"/>
        <w:jc w:val="both"/>
      </w:pPr>
    </w:p>
    <w:p w:rsidR="0024713F" w:rsidRDefault="007504B3" w:rsidP="00F4288E">
      <w:pPr>
        <w:spacing w:before="120" w:after="120"/>
        <w:jc w:val="both"/>
      </w:pPr>
      <w:r>
        <w:t xml:space="preserve">Na výzkumné aktivity související s </w:t>
      </w:r>
      <w:r w:rsidRPr="007504B3">
        <w:rPr>
          <w:b/>
        </w:rPr>
        <w:t>průzkumem a využitím zdrojů Země (SEO01</w:t>
      </w:r>
      <w:r w:rsidR="00033D24">
        <w:t xml:space="preserve">) stát v roce 2014 vyčlenil </w:t>
      </w:r>
      <w:r w:rsidR="00033D24" w:rsidRPr="00033D24">
        <w:rPr>
          <w:b/>
        </w:rPr>
        <w:t>434 mil. Kč</w:t>
      </w:r>
      <w:r w:rsidR="0085659D">
        <w:rPr>
          <w:rStyle w:val="Znakapoznpodarou"/>
          <w:b/>
        </w:rPr>
        <w:footnoteReference w:id="11"/>
      </w:r>
      <w:r w:rsidR="00033D24" w:rsidRPr="00033D24">
        <w:rPr>
          <w:b/>
        </w:rPr>
        <w:t xml:space="preserve"> (1,6</w:t>
      </w:r>
      <w:r w:rsidR="00033D24">
        <w:rPr>
          <w:b/>
        </w:rPr>
        <w:t xml:space="preserve"> % z celkových GBA</w:t>
      </w:r>
      <w:r w:rsidRPr="00033D24">
        <w:rPr>
          <w:b/>
        </w:rPr>
        <w:t>RD)</w:t>
      </w:r>
      <w:r>
        <w:t xml:space="preserve">. </w:t>
      </w:r>
    </w:p>
    <w:p w:rsidR="00FB6EB9" w:rsidRDefault="007504B3" w:rsidP="00F4288E">
      <w:pPr>
        <w:spacing w:before="120" w:after="120"/>
        <w:jc w:val="both"/>
      </w:pPr>
      <w:r>
        <w:t xml:space="preserve">Jde o oblast seskupující výzkum kůry a pláště, oceánů, atmosféry a jejich využití, meteorologický průzkum, hydrologii či výzkum klimatu. </w:t>
      </w:r>
    </w:p>
    <w:p w:rsidR="007504B3" w:rsidRDefault="007504B3" w:rsidP="007504B3"/>
    <w:p w:rsidR="007504B3" w:rsidRDefault="007504B3" w:rsidP="0024713F">
      <w:pPr>
        <w:spacing w:after="120"/>
        <w:rPr>
          <w:b/>
        </w:rPr>
      </w:pPr>
      <w:r>
        <w:rPr>
          <w:b/>
        </w:rPr>
        <w:t>Graf. 2-14: GBA</w:t>
      </w:r>
      <w:r w:rsidRPr="007504B3">
        <w:rPr>
          <w:b/>
        </w:rPr>
        <w:t>RD – Průzkum a využití zdrojů Země z hlediska nejvýznamnějších podcílů v letech 2005, 2010</w:t>
      </w:r>
      <w:r>
        <w:rPr>
          <w:b/>
        </w:rPr>
        <w:t>, 2013 a 2014</w:t>
      </w:r>
      <w:r w:rsidRPr="007504B3">
        <w:rPr>
          <w:b/>
        </w:rPr>
        <w:t xml:space="preserve"> (mil. Kč)</w:t>
      </w:r>
    </w:p>
    <w:p w:rsidR="00B84588" w:rsidRDefault="00BB549A" w:rsidP="007504B3">
      <w:pPr>
        <w:rPr>
          <w:b/>
        </w:rPr>
      </w:pPr>
      <w:r>
        <w:rPr>
          <w:noProof/>
        </w:rPr>
        <w:drawing>
          <wp:inline distT="0" distB="0" distL="0" distR="0">
            <wp:extent cx="5972810" cy="2547620"/>
            <wp:effectExtent l="0" t="0" r="8890" b="5080"/>
            <wp:docPr id="27" name="Graf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84588" w:rsidRDefault="00B84588" w:rsidP="007504B3">
      <w:pPr>
        <w:rPr>
          <w:b/>
        </w:rPr>
      </w:pPr>
    </w:p>
    <w:p w:rsidR="00B84588" w:rsidRDefault="00B84588" w:rsidP="007504B3">
      <w:pPr>
        <w:rPr>
          <w:b/>
        </w:rPr>
      </w:pPr>
    </w:p>
    <w:p w:rsidR="00156866" w:rsidRDefault="0085659D" w:rsidP="00F4288E">
      <w:pPr>
        <w:spacing w:before="120" w:after="120"/>
        <w:jc w:val="both"/>
      </w:pPr>
      <w:r w:rsidRPr="00E15D60">
        <w:lastRenderedPageBreak/>
        <w:t>Téměř polovinou těchto finančních prostředků (198</w:t>
      </w:r>
      <w:r>
        <w:t xml:space="preserve"> mil. Kč; 45,7</w:t>
      </w:r>
      <w:r w:rsidRPr="00E15D60">
        <w:t xml:space="preserve"> %) stát podpořil průzkum zemské kůry a zemského pláště (vyjma mořského dna) - SEO 0103. Na výzkum atmosféry (SEO0106) bylo vyčleněno 76</w:t>
      </w:r>
      <w:r w:rsidR="0096129A">
        <w:t> </w:t>
      </w:r>
      <w:r>
        <w:t>mil. Kč (17,4</w:t>
      </w:r>
      <w:r w:rsidRPr="00E15D60">
        <w:t xml:space="preserve"> % z SEO01), zatímco do hydrologie (SEO0104) plynulo dalších 68</w:t>
      </w:r>
      <w:r>
        <w:t xml:space="preserve"> mil. Kč (15,7</w:t>
      </w:r>
      <w:r w:rsidRPr="00E15D60">
        <w:t xml:space="preserve"> %).</w:t>
      </w:r>
      <w:r>
        <w:t xml:space="preserve"> Pod cílem obecný výzkum (SEO 0300) j</w:t>
      </w:r>
      <w:r w:rsidR="0096129A">
        <w:t xml:space="preserve">e klasifikován výzkum, který </w:t>
      </w:r>
      <w:r>
        <w:t>nemohl být jednoznačně přiřazen do zbývajících socioekonomických cílů SEO 01. Jeho výše v roce 2014 dosáhla 88 mil. Kč.</w:t>
      </w:r>
    </w:p>
    <w:p w:rsidR="00E23F25" w:rsidRDefault="00156866" w:rsidP="00F4288E">
      <w:pPr>
        <w:spacing w:before="120" w:after="120"/>
        <w:jc w:val="both"/>
      </w:pPr>
      <w:r w:rsidRPr="00E23F25">
        <w:rPr>
          <w:b/>
        </w:rPr>
        <w:t>Průzkum a využití vesmíru (SEO 09)</w:t>
      </w:r>
      <w:r>
        <w:t xml:space="preserve"> sdružující vesmírný výzkum a technologie pro civilní účely představoval z hlediska struk</w:t>
      </w:r>
      <w:r w:rsidR="00E23F25">
        <w:t>tury státních výdajů v roce 2014</w:t>
      </w:r>
      <w:r>
        <w:t xml:space="preserve"> relativně marginální cíl. V</w:t>
      </w:r>
      <w:r w:rsidR="000425A3">
        <w:t xml:space="preserve"> daném období v něm bylo na</w:t>
      </w:r>
      <w:r w:rsidR="00E23F25">
        <w:t xml:space="preserve"> výzkumné činnosti rozděleno </w:t>
      </w:r>
      <w:r w:rsidR="00E23F25" w:rsidRPr="00E23F25">
        <w:rPr>
          <w:b/>
        </w:rPr>
        <w:t>150 mil. Kč</w:t>
      </w:r>
      <w:r w:rsidR="00E23F25">
        <w:t xml:space="preserve">, což odpovídá </w:t>
      </w:r>
      <w:r w:rsidR="00E23F25" w:rsidRPr="00E23F25">
        <w:rPr>
          <w:b/>
        </w:rPr>
        <w:t>0,6</w:t>
      </w:r>
      <w:r w:rsidR="00E23F25">
        <w:rPr>
          <w:b/>
        </w:rPr>
        <w:t xml:space="preserve"> % celkových GBA</w:t>
      </w:r>
      <w:r w:rsidRPr="00E23F25">
        <w:rPr>
          <w:b/>
        </w:rPr>
        <w:t>RD</w:t>
      </w:r>
      <w:r w:rsidR="00E23F25">
        <w:rPr>
          <w:rStyle w:val="Znakapoznpodarou"/>
          <w:b/>
        </w:rPr>
        <w:footnoteReference w:id="12"/>
      </w:r>
      <w:r>
        <w:t xml:space="preserve">. </w:t>
      </w:r>
    </w:p>
    <w:p w:rsidR="00156866" w:rsidRPr="00156866" w:rsidRDefault="00156866" w:rsidP="00F4288E">
      <w:pPr>
        <w:spacing w:before="120" w:after="120"/>
        <w:jc w:val="both"/>
        <w:rPr>
          <w:b/>
        </w:rPr>
      </w:pPr>
      <w:r>
        <w:t xml:space="preserve">Finanční příspěvky směřující do zahraničí, ať už do Evropské kosmické agentury (ESA) či do Evropské organizace pro astronomický </w:t>
      </w:r>
      <w:r w:rsidR="00E23F25">
        <w:t xml:space="preserve">výzkum na jižní polokouli (ESO), </w:t>
      </w:r>
      <w:r>
        <w:t>byly klasifikovány jako nespecifikovaný výzkum (SEO 12). Příspěvek do Evropské kosmické agentury hrazený Ministerstvem školství, mládeže a tělo</w:t>
      </w:r>
      <w:r w:rsidR="00E23F25">
        <w:t>výchovy představoval v roce 2014</w:t>
      </w:r>
      <w:r>
        <w:t xml:space="preserve"> </w:t>
      </w:r>
      <w:r w:rsidRPr="0099747B">
        <w:t xml:space="preserve">souhrnnou částku </w:t>
      </w:r>
      <w:r w:rsidR="0099747B" w:rsidRPr="0099747B">
        <w:t>226</w:t>
      </w:r>
      <w:r w:rsidRPr="0099747B">
        <w:t xml:space="preserve"> mil. Kč. Příspěvek do Evropské organizace pro astronomický výzkum na jižní polokouli, jenž byl hrazen</w:t>
      </w:r>
      <w:r w:rsidR="0099747B" w:rsidRPr="0099747B">
        <w:t xml:space="preserve"> také</w:t>
      </w:r>
      <w:r w:rsidRPr="0099747B">
        <w:t xml:space="preserve"> z rozpočtu MŠMT</w:t>
      </w:r>
      <w:r w:rsidR="0096129A">
        <w:t xml:space="preserve"> (dříve</w:t>
      </w:r>
      <w:bookmarkStart w:id="0" w:name="_GoBack"/>
      <w:bookmarkEnd w:id="0"/>
      <w:r w:rsidR="0096129A">
        <w:t xml:space="preserve"> z rozpočtu MZV)</w:t>
      </w:r>
      <w:r w:rsidRPr="0099747B">
        <w:t xml:space="preserve">, představoval </w:t>
      </w:r>
      <w:r w:rsidR="0099747B" w:rsidRPr="0099747B">
        <w:t>40</w:t>
      </w:r>
      <w:r w:rsidRPr="0099747B">
        <w:t xml:space="preserve"> mil. Kč. V obou případech se jedná o institucionální formu podpory.</w:t>
      </w:r>
    </w:p>
    <w:p w:rsidR="00156866" w:rsidRDefault="00156866" w:rsidP="00F4288E">
      <w:pPr>
        <w:spacing w:before="120" w:after="120"/>
        <w:jc w:val="both"/>
        <w:rPr>
          <w:b/>
        </w:rPr>
      </w:pPr>
      <w:r w:rsidRPr="00156866">
        <w:rPr>
          <w:b/>
        </w:rPr>
        <w:t>Graf. 2-15: GBARD – Průzkum a využití vesmíru z hlediska nejvýznamnějších podcílů v letech 2005, 2010, 2013 a 2014 (mil. Kč)</w:t>
      </w:r>
    </w:p>
    <w:p w:rsidR="00482062" w:rsidRPr="00156866" w:rsidRDefault="00221D44" w:rsidP="00156866">
      <w:pPr>
        <w:jc w:val="both"/>
        <w:rPr>
          <w:b/>
        </w:rPr>
      </w:pPr>
      <w:r>
        <w:rPr>
          <w:noProof/>
        </w:rPr>
        <w:drawing>
          <wp:inline distT="0" distB="0" distL="0" distR="0">
            <wp:extent cx="5972810" cy="1834515"/>
            <wp:effectExtent l="0" t="0" r="8890" b="0"/>
            <wp:docPr id="26" name="Graf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5659D" w:rsidRDefault="0085659D" w:rsidP="0085659D">
      <w:pPr>
        <w:jc w:val="both"/>
      </w:pPr>
    </w:p>
    <w:p w:rsidR="0085659D" w:rsidRPr="00E15D60" w:rsidRDefault="00156866" w:rsidP="00F4288E">
      <w:pPr>
        <w:spacing w:before="120" w:after="120"/>
        <w:jc w:val="both"/>
      </w:pPr>
      <w:r w:rsidRPr="00156866">
        <w:t xml:space="preserve">Do </w:t>
      </w:r>
      <w:r w:rsidRPr="00156866">
        <w:rPr>
          <w:b/>
        </w:rPr>
        <w:t>vojenského (obraného) výzkumu</w:t>
      </w:r>
      <w:r>
        <w:t xml:space="preserve"> (SEO 13) směřovala v roce 2014 finanční podpora ve výši 377 mil. </w:t>
      </w:r>
      <w:r w:rsidRPr="00156866">
        <w:t xml:space="preserve">Kč alokovaná téměř v celé své výši prostřednictvím rozpočtu Ministerstva obrany. </w:t>
      </w:r>
      <w:r>
        <w:t>Více jak p</w:t>
      </w:r>
      <w:r w:rsidRPr="00156866">
        <w:t>olovinu t</w:t>
      </w:r>
      <w:r>
        <w:t>ěchto finančních prostředků (199</w:t>
      </w:r>
      <w:r w:rsidRPr="00156866">
        <w:t xml:space="preserve"> mil. Kč) získaly</w:t>
      </w:r>
      <w:r w:rsidR="008819DC">
        <w:t xml:space="preserve"> veřejné podniky. V posledních 6</w:t>
      </w:r>
      <w:r w:rsidRPr="00156866">
        <w:t xml:space="preserve"> letech výše veřejné podpory vojenského výzkumu setrvale klesá.</w:t>
      </w:r>
    </w:p>
    <w:p w:rsidR="0085659D" w:rsidRDefault="0085659D" w:rsidP="007504B3">
      <w:pPr>
        <w:rPr>
          <w:b/>
        </w:rPr>
      </w:pPr>
    </w:p>
    <w:p w:rsidR="0085659D" w:rsidRPr="007504B3" w:rsidRDefault="0085659D" w:rsidP="007504B3">
      <w:pPr>
        <w:rPr>
          <w:b/>
        </w:rPr>
      </w:pPr>
    </w:p>
    <w:sectPr w:rsidR="0085659D" w:rsidRPr="007504B3" w:rsidSect="00374920">
      <w:headerReference w:type="even" r:id="rId24"/>
      <w:headerReference w:type="default" r:id="rId25"/>
      <w:footerReference w:type="even" r:id="rId26"/>
      <w:footerReference w:type="default" r:id="rId27"/>
      <w:pgSz w:w="11906" w:h="16838" w:code="9"/>
      <w:pgMar w:top="1134" w:right="1134" w:bottom="1418" w:left="1134" w:header="680" w:footer="68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409ACE" w15:done="0"/>
  <w15:commentEx w15:paraId="345D58D0" w15:done="0"/>
  <w15:commentEx w15:paraId="68340AD0" w15:done="0"/>
  <w15:commentEx w15:paraId="4DA91986" w15:done="0"/>
  <w15:commentEx w15:paraId="60DAF68D" w15:done="0"/>
  <w15:commentEx w15:paraId="427E3FD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55F" w:rsidRDefault="0069255F" w:rsidP="00E71A58">
      <w:r>
        <w:separator/>
      </w:r>
    </w:p>
  </w:endnote>
  <w:endnote w:type="continuationSeparator" w:id="0">
    <w:p w:rsidR="0069255F" w:rsidRDefault="0069255F"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518" w:rsidRDefault="009C5518" w:rsidP="003A6B38">
    <w:pPr>
      <w:pStyle w:val="Zpat"/>
      <w:tabs>
        <w:tab w:val="clear" w:pos="4536"/>
        <w:tab w:val="clear" w:pos="9072"/>
        <w:tab w:val="center" w:pos="4820"/>
        <w:tab w:val="right" w:pos="9639"/>
      </w:tabs>
    </w:pPr>
    <w:r>
      <w:rPr>
        <w:noProof/>
        <w:lang w:eastAsia="cs-CZ"/>
      </w:rPr>
      <w:drawing>
        <wp:anchor distT="0" distB="0" distL="114300" distR="114300" simplePos="0" relativeHeight="251658240" behindDoc="0" locked="0" layoutInCell="1" allowOverlap="1">
          <wp:simplePos x="0" y="0"/>
          <wp:positionH relativeFrom="column">
            <wp:posOffset>5660390</wp:posOffset>
          </wp:positionH>
          <wp:positionV relativeFrom="paragraph">
            <wp:posOffset>-52070</wp:posOffset>
          </wp:positionV>
          <wp:extent cx="466725" cy="219075"/>
          <wp:effectExtent l="0" t="0" r="9525" b="9525"/>
          <wp:wrapNone/>
          <wp:docPr id="16" name="obrázek 4"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Descriptio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219075"/>
                  </a:xfrm>
                  <a:prstGeom prst="rect">
                    <a:avLst/>
                  </a:prstGeom>
                  <a:noFill/>
                </pic:spPr>
              </pic:pic>
            </a:graphicData>
          </a:graphic>
        </wp:anchor>
      </w:drawing>
    </w:r>
    <w:r w:rsidR="00EF360E" w:rsidRPr="005A21E0">
      <w:rPr>
        <w:rFonts w:ascii="Arial" w:hAnsi="Arial" w:cs="Arial"/>
        <w:sz w:val="16"/>
        <w:szCs w:val="16"/>
      </w:rPr>
      <w:fldChar w:fldCharType="begin"/>
    </w:r>
    <w:r w:rsidRPr="005A21E0">
      <w:rPr>
        <w:rFonts w:ascii="Arial" w:hAnsi="Arial" w:cs="Arial"/>
        <w:sz w:val="16"/>
        <w:szCs w:val="16"/>
      </w:rPr>
      <w:instrText>PAGE   \* MERGEFORMAT</w:instrText>
    </w:r>
    <w:r w:rsidR="00EF360E" w:rsidRPr="005A21E0">
      <w:rPr>
        <w:rFonts w:ascii="Arial" w:hAnsi="Arial" w:cs="Arial"/>
        <w:sz w:val="16"/>
        <w:szCs w:val="16"/>
      </w:rPr>
      <w:fldChar w:fldCharType="separate"/>
    </w:r>
    <w:r w:rsidR="0096129A">
      <w:rPr>
        <w:rFonts w:ascii="Arial" w:hAnsi="Arial" w:cs="Arial"/>
        <w:noProof/>
        <w:sz w:val="16"/>
        <w:szCs w:val="16"/>
      </w:rPr>
      <w:t>12</w:t>
    </w:r>
    <w:r w:rsidR="00EF360E" w:rsidRPr="005A21E0">
      <w:rPr>
        <w:rFonts w:ascii="Arial" w:hAnsi="Arial" w:cs="Arial"/>
        <w:sz w:val="16"/>
        <w:szCs w:val="16"/>
      </w:rPr>
      <w:fldChar w:fldCharType="end"/>
    </w:r>
    <w:r w:rsidR="004C344F">
      <w:rPr>
        <w:rFonts w:ascii="Arial" w:hAnsi="Arial" w:cs="Arial"/>
        <w:sz w:val="16"/>
        <w:szCs w:val="16"/>
      </w:rPr>
      <w:tab/>
      <w:t>2014</w:t>
    </w: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518" w:rsidRDefault="009C5518" w:rsidP="003A6B38">
    <w:pPr>
      <w:pStyle w:val="Zpat"/>
      <w:tabs>
        <w:tab w:val="clear" w:pos="4536"/>
        <w:tab w:val="clear" w:pos="9072"/>
        <w:tab w:val="left" w:pos="1134"/>
        <w:tab w:val="left" w:pos="1920"/>
        <w:tab w:val="center" w:pos="4820"/>
        <w:tab w:val="right" w:pos="9639"/>
      </w:tabs>
    </w:pPr>
    <w:r>
      <w:rPr>
        <w:noProof/>
        <w:lang w:eastAsia="cs-CZ"/>
      </w:rPr>
      <w:drawing>
        <wp:anchor distT="0" distB="0" distL="114300" distR="114300" simplePos="0" relativeHeight="251657216" behindDoc="0" locked="0" layoutInCell="1" allowOverlap="1">
          <wp:simplePos x="0" y="0"/>
          <wp:positionH relativeFrom="column">
            <wp:posOffset>3810</wp:posOffset>
          </wp:positionH>
          <wp:positionV relativeFrom="paragraph">
            <wp:posOffset>90170</wp:posOffset>
          </wp:positionV>
          <wp:extent cx="495300" cy="266700"/>
          <wp:effectExtent l="0" t="0" r="0" b="0"/>
          <wp:wrapNone/>
          <wp:docPr id="17" name="obrázek 3"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Descriptio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266700"/>
                  </a:xfrm>
                  <a:prstGeom prst="rect">
                    <a:avLst/>
                  </a:prstGeom>
                  <a:noFill/>
                </pic:spPr>
              </pic:pic>
            </a:graphicData>
          </a:graphic>
        </wp:anchor>
      </w:drawing>
    </w:r>
    <w:r>
      <w:tab/>
    </w:r>
    <w:r>
      <w:tab/>
    </w:r>
    <w:r w:rsidRPr="00DC5B3B">
      <w:t xml:space="preserve">                              </w:t>
    </w:r>
  </w:p>
  <w:p w:rsidR="009C5518" w:rsidRDefault="009C5518" w:rsidP="00EE3E78">
    <w:pPr>
      <w:pStyle w:val="Zpat"/>
      <w:tabs>
        <w:tab w:val="clear" w:pos="4536"/>
        <w:tab w:val="clear" w:pos="9072"/>
        <w:tab w:val="left" w:pos="1134"/>
        <w:tab w:val="left" w:pos="1920"/>
        <w:tab w:val="center" w:pos="4820"/>
        <w:tab w:val="left" w:pos="9495"/>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r>
    <w:r w:rsidR="004C344F">
      <w:rPr>
        <w:rFonts w:ascii="Arial" w:hAnsi="Arial" w:cs="Arial"/>
        <w:sz w:val="16"/>
        <w:szCs w:val="16"/>
      </w:rPr>
      <w:t>2014</w:t>
    </w:r>
    <w:r>
      <w:tab/>
    </w:r>
    <w:r>
      <w:tab/>
    </w:r>
    <w:r w:rsidR="00EF360E" w:rsidRPr="00B6608F">
      <w:rPr>
        <w:rFonts w:ascii="Arial" w:hAnsi="Arial" w:cs="Arial"/>
        <w:sz w:val="16"/>
        <w:szCs w:val="16"/>
      </w:rPr>
      <w:fldChar w:fldCharType="begin"/>
    </w:r>
    <w:r w:rsidRPr="00B6608F">
      <w:rPr>
        <w:rFonts w:ascii="Arial" w:hAnsi="Arial" w:cs="Arial"/>
        <w:sz w:val="16"/>
        <w:szCs w:val="16"/>
      </w:rPr>
      <w:instrText>PAGE   \* MERGEFORMAT</w:instrText>
    </w:r>
    <w:r w:rsidR="00EF360E" w:rsidRPr="00B6608F">
      <w:rPr>
        <w:rFonts w:ascii="Arial" w:hAnsi="Arial" w:cs="Arial"/>
        <w:sz w:val="16"/>
        <w:szCs w:val="16"/>
      </w:rPr>
      <w:fldChar w:fldCharType="separate"/>
    </w:r>
    <w:r w:rsidR="0096129A">
      <w:rPr>
        <w:rFonts w:ascii="Arial" w:hAnsi="Arial" w:cs="Arial"/>
        <w:noProof/>
        <w:sz w:val="16"/>
        <w:szCs w:val="16"/>
      </w:rPr>
      <w:t>11</w:t>
    </w:r>
    <w:r w:rsidR="00EF360E" w:rsidRPr="00B6608F">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55F" w:rsidRDefault="0069255F" w:rsidP="00E71A58">
      <w:r>
        <w:separator/>
      </w:r>
    </w:p>
  </w:footnote>
  <w:footnote w:type="continuationSeparator" w:id="0">
    <w:p w:rsidR="0069255F" w:rsidRDefault="0069255F" w:rsidP="00E71A58">
      <w:r>
        <w:continuationSeparator/>
      </w:r>
    </w:p>
  </w:footnote>
  <w:footnote w:id="1">
    <w:p w:rsidR="003053BC" w:rsidRDefault="007A2F09">
      <w:pPr>
        <w:pStyle w:val="Textpoznpodarou"/>
        <w:rPr>
          <w:rFonts w:cs="Arial"/>
          <w:sz w:val="18"/>
          <w:szCs w:val="18"/>
        </w:rPr>
      </w:pPr>
      <w:r w:rsidRPr="007A2F09">
        <w:rPr>
          <w:rStyle w:val="Znakapoznpodarou"/>
          <w:rFonts w:cs="Arial"/>
          <w:sz w:val="18"/>
          <w:szCs w:val="18"/>
        </w:rPr>
        <w:footnoteRef/>
      </w:r>
      <w:r w:rsidRPr="007A2F09">
        <w:rPr>
          <w:rFonts w:cs="Arial"/>
          <w:sz w:val="18"/>
          <w:szCs w:val="18"/>
        </w:rPr>
        <w:t xml:space="preserve"> Klasifikace NABS: Nomenklatura pro analýzu a srovnání vědeckých programů a rozpočtů</w:t>
      </w:r>
      <w:r w:rsidR="00F458DB">
        <w:rPr>
          <w:rFonts w:cs="Arial"/>
          <w:sz w:val="18"/>
          <w:szCs w:val="18"/>
        </w:rPr>
        <w:t xml:space="preserve"> (</w:t>
      </w:r>
      <w:proofErr w:type="spellStart"/>
      <w:r w:rsidR="00F458DB">
        <w:rPr>
          <w:rFonts w:cs="Arial"/>
          <w:sz w:val="18"/>
          <w:szCs w:val="18"/>
        </w:rPr>
        <w:t>Eurostat</w:t>
      </w:r>
      <w:proofErr w:type="spellEnd"/>
      <w:r w:rsidR="00F458DB">
        <w:rPr>
          <w:rFonts w:cs="Arial"/>
          <w:sz w:val="18"/>
          <w:szCs w:val="18"/>
        </w:rPr>
        <w:t xml:space="preserve"> )</w:t>
      </w:r>
      <w:r w:rsidRPr="007A2F09">
        <w:rPr>
          <w:rFonts w:cs="Arial"/>
          <w:sz w:val="18"/>
          <w:szCs w:val="18"/>
        </w:rPr>
        <w:t xml:space="preserve">. Kompletní výčet všech socioekonomických cílů je uveden v příloze </w:t>
      </w:r>
      <w:proofErr w:type="gramStart"/>
      <w:r w:rsidRPr="007A2F09">
        <w:rPr>
          <w:rFonts w:cs="Arial"/>
          <w:sz w:val="18"/>
          <w:szCs w:val="18"/>
        </w:rPr>
        <w:t>č.1</w:t>
      </w:r>
      <w:r w:rsidR="00790A26">
        <w:rPr>
          <w:rFonts w:cs="Arial"/>
          <w:sz w:val="18"/>
          <w:szCs w:val="18"/>
        </w:rPr>
        <w:t xml:space="preserve"> a 2</w:t>
      </w:r>
      <w:r w:rsidR="00FE44EA">
        <w:rPr>
          <w:rFonts w:cs="Arial"/>
          <w:sz w:val="18"/>
          <w:szCs w:val="18"/>
        </w:rPr>
        <w:t>.</w:t>
      </w:r>
      <w:proofErr w:type="gramEnd"/>
      <w:r w:rsidR="00FE44EA">
        <w:rPr>
          <w:rFonts w:cs="Arial"/>
          <w:sz w:val="18"/>
          <w:szCs w:val="18"/>
        </w:rPr>
        <w:t xml:space="preserve"> </w:t>
      </w:r>
      <w:r w:rsidR="00EA7D42" w:rsidRPr="00EA7D42">
        <w:rPr>
          <w:rFonts w:cs="Arial"/>
          <w:sz w:val="18"/>
          <w:szCs w:val="18"/>
        </w:rPr>
        <w:t xml:space="preserve">Nomenklatura byla původně </w:t>
      </w:r>
      <w:proofErr w:type="spellStart"/>
      <w:r w:rsidR="00EA7D42">
        <w:rPr>
          <w:rFonts w:cs="Arial"/>
          <w:sz w:val="18"/>
          <w:szCs w:val="18"/>
        </w:rPr>
        <w:t>Eurostatem</w:t>
      </w:r>
      <w:proofErr w:type="spellEnd"/>
      <w:r w:rsidR="00EA7D42">
        <w:rPr>
          <w:rFonts w:cs="Arial"/>
          <w:sz w:val="18"/>
          <w:szCs w:val="18"/>
        </w:rPr>
        <w:t xml:space="preserve"> </w:t>
      </w:r>
      <w:r w:rsidR="00EA7D42" w:rsidRPr="00EA7D42">
        <w:rPr>
          <w:rFonts w:cs="Arial"/>
          <w:sz w:val="18"/>
          <w:szCs w:val="18"/>
        </w:rPr>
        <w:t>vypraco</w:t>
      </w:r>
      <w:r w:rsidR="00EA7D42">
        <w:rPr>
          <w:rFonts w:cs="Arial"/>
          <w:sz w:val="18"/>
          <w:szCs w:val="18"/>
        </w:rPr>
        <w:t xml:space="preserve">vána již v roce </w:t>
      </w:r>
      <w:r w:rsidR="00D551B3">
        <w:rPr>
          <w:rFonts w:cs="Arial"/>
          <w:sz w:val="18"/>
          <w:szCs w:val="18"/>
        </w:rPr>
        <w:t>1969 a její pozdější</w:t>
      </w:r>
      <w:r w:rsidR="00EA7D42" w:rsidRPr="00EA7D42">
        <w:rPr>
          <w:rFonts w:cs="Arial"/>
          <w:sz w:val="18"/>
          <w:szCs w:val="18"/>
        </w:rPr>
        <w:t xml:space="preserve"> verze byly </w:t>
      </w:r>
      <w:r w:rsidR="00EA7D42">
        <w:rPr>
          <w:rFonts w:cs="Arial"/>
          <w:sz w:val="18"/>
          <w:szCs w:val="18"/>
        </w:rPr>
        <w:t xml:space="preserve">několikrát </w:t>
      </w:r>
      <w:r w:rsidR="00EA7D42" w:rsidRPr="00EA7D42">
        <w:rPr>
          <w:rFonts w:cs="Arial"/>
          <w:sz w:val="18"/>
          <w:szCs w:val="18"/>
        </w:rPr>
        <w:t xml:space="preserve">revidovány </w:t>
      </w:r>
      <w:r w:rsidR="00EA7D42">
        <w:rPr>
          <w:rFonts w:cs="Arial"/>
          <w:sz w:val="18"/>
          <w:szCs w:val="18"/>
        </w:rPr>
        <w:t>(</w:t>
      </w:r>
      <w:r w:rsidR="00EA7D42" w:rsidRPr="00EA7D42">
        <w:rPr>
          <w:rFonts w:cs="Arial"/>
          <w:sz w:val="18"/>
          <w:szCs w:val="18"/>
        </w:rPr>
        <w:t>v letech 1975</w:t>
      </w:r>
      <w:r w:rsidR="00EA7D42">
        <w:rPr>
          <w:rFonts w:cs="Arial"/>
          <w:sz w:val="18"/>
          <w:szCs w:val="18"/>
        </w:rPr>
        <w:t>,</w:t>
      </w:r>
      <w:r w:rsidR="00EA7D42" w:rsidRPr="00EA7D42">
        <w:rPr>
          <w:rFonts w:cs="Arial"/>
          <w:sz w:val="18"/>
          <w:szCs w:val="18"/>
        </w:rPr>
        <w:t>1983</w:t>
      </w:r>
      <w:r w:rsidR="00EA7D42">
        <w:rPr>
          <w:rFonts w:cs="Arial"/>
          <w:sz w:val="18"/>
          <w:szCs w:val="18"/>
        </w:rPr>
        <w:t>, 1992 a 2007)</w:t>
      </w:r>
      <w:r w:rsidR="00EA7D42" w:rsidRPr="00EA7D42">
        <w:rPr>
          <w:rFonts w:cs="Arial"/>
          <w:sz w:val="18"/>
          <w:szCs w:val="18"/>
        </w:rPr>
        <w:t>.</w:t>
      </w:r>
    </w:p>
    <w:p w:rsidR="007A2F09" w:rsidRPr="007A2F09" w:rsidRDefault="00712F79">
      <w:pPr>
        <w:pStyle w:val="Textpoznpodarou"/>
        <w:rPr>
          <w:rFonts w:cs="Arial"/>
          <w:sz w:val="18"/>
          <w:szCs w:val="18"/>
        </w:rPr>
      </w:pPr>
      <w:r w:rsidRPr="008F0BC7">
        <w:rPr>
          <w:rFonts w:cs="Arial"/>
          <w:sz w:val="18"/>
          <w:szCs w:val="18"/>
          <w:u w:val="single"/>
        </w:rPr>
        <w:t>Socioekonomickým cílem</w:t>
      </w:r>
      <w:r>
        <w:rPr>
          <w:rFonts w:cs="Arial"/>
          <w:sz w:val="18"/>
          <w:szCs w:val="18"/>
        </w:rPr>
        <w:t xml:space="preserve"> se rozumí </w:t>
      </w:r>
      <w:r w:rsidR="00730398">
        <w:rPr>
          <w:rFonts w:cs="Arial"/>
          <w:sz w:val="18"/>
          <w:szCs w:val="18"/>
        </w:rPr>
        <w:t xml:space="preserve">předem </w:t>
      </w:r>
      <w:r>
        <w:rPr>
          <w:rFonts w:cs="Arial"/>
          <w:sz w:val="18"/>
          <w:szCs w:val="18"/>
        </w:rPr>
        <w:t>vymezená oblast výzkumu a vývoje, která</w:t>
      </w:r>
      <w:r w:rsidR="00730398">
        <w:rPr>
          <w:rFonts w:cs="Arial"/>
          <w:sz w:val="18"/>
          <w:szCs w:val="18"/>
        </w:rPr>
        <w:t xml:space="preserve"> se používá pro analytické účely při klasifikaci </w:t>
      </w:r>
      <w:r>
        <w:rPr>
          <w:rFonts w:cs="Arial"/>
          <w:sz w:val="18"/>
          <w:szCs w:val="18"/>
        </w:rPr>
        <w:t xml:space="preserve">státních rozpočtových výdajů na VaV.  </w:t>
      </w:r>
    </w:p>
  </w:footnote>
  <w:footnote w:id="2">
    <w:p w:rsidR="00730398" w:rsidRDefault="00730398">
      <w:pPr>
        <w:pStyle w:val="Textpoznpodarou"/>
      </w:pPr>
      <w:r w:rsidRPr="00730398">
        <w:rPr>
          <w:rStyle w:val="Znakapoznpodarou"/>
          <w:sz w:val="18"/>
        </w:rPr>
        <w:footnoteRef/>
      </w:r>
      <w:r w:rsidRPr="00730398">
        <w:rPr>
          <w:sz w:val="18"/>
        </w:rPr>
        <w:t xml:space="preserve"> </w:t>
      </w:r>
      <w:r w:rsidR="008F0BC7">
        <w:rPr>
          <w:sz w:val="18"/>
        </w:rPr>
        <w:t>Financování v</w:t>
      </w:r>
      <w:r w:rsidRPr="00730398">
        <w:rPr>
          <w:sz w:val="18"/>
        </w:rPr>
        <w:t>ýzkumn</w:t>
      </w:r>
      <w:r w:rsidR="008F0BC7">
        <w:rPr>
          <w:sz w:val="18"/>
        </w:rPr>
        <w:t>ých</w:t>
      </w:r>
      <w:r w:rsidRPr="00730398">
        <w:rPr>
          <w:sz w:val="18"/>
        </w:rPr>
        <w:t xml:space="preserve"> záměr</w:t>
      </w:r>
      <w:r w:rsidR="008F0BC7">
        <w:rPr>
          <w:sz w:val="18"/>
        </w:rPr>
        <w:t>ů</w:t>
      </w:r>
      <w:r>
        <w:rPr>
          <w:sz w:val="18"/>
        </w:rPr>
        <w:t xml:space="preserve"> jako institucionální </w:t>
      </w:r>
      <w:r w:rsidR="008F0BC7">
        <w:rPr>
          <w:sz w:val="18"/>
        </w:rPr>
        <w:t xml:space="preserve">forma </w:t>
      </w:r>
      <w:r>
        <w:rPr>
          <w:sz w:val="18"/>
        </w:rPr>
        <w:t>podpora</w:t>
      </w:r>
      <w:r w:rsidR="008F0BC7">
        <w:rPr>
          <w:sz w:val="18"/>
        </w:rPr>
        <w:t xml:space="preserve"> VaV rozdělovaná dle výzkumných záměrů a výsledků výzkumné organizace </w:t>
      </w:r>
      <w:r w:rsidRPr="00730398">
        <w:rPr>
          <w:sz w:val="18"/>
        </w:rPr>
        <w:t>byl</w:t>
      </w:r>
      <w:r w:rsidR="008F0BC7">
        <w:rPr>
          <w:sz w:val="18"/>
        </w:rPr>
        <w:t>o</w:t>
      </w:r>
      <w:r w:rsidRPr="00730398">
        <w:rPr>
          <w:sz w:val="18"/>
        </w:rPr>
        <w:t xml:space="preserve"> v roce 2014 </w:t>
      </w:r>
      <w:r w:rsidR="008F0BC7">
        <w:rPr>
          <w:sz w:val="18"/>
        </w:rPr>
        <w:t>ukončeno</w:t>
      </w:r>
      <w:r w:rsidRPr="00730398">
        <w:rPr>
          <w:sz w:val="18"/>
        </w:rPr>
        <w:t>.</w:t>
      </w:r>
    </w:p>
  </w:footnote>
  <w:footnote w:id="3">
    <w:p w:rsidR="00F924CB" w:rsidRPr="00F924CB" w:rsidRDefault="00F924CB">
      <w:pPr>
        <w:pStyle w:val="Textpoznpodarou"/>
        <w:rPr>
          <w:rFonts w:cs="Arial"/>
          <w:sz w:val="18"/>
          <w:szCs w:val="18"/>
        </w:rPr>
      </w:pPr>
      <w:r w:rsidRPr="00F924CB">
        <w:rPr>
          <w:rStyle w:val="Znakapoznpodarou"/>
          <w:rFonts w:cs="Arial"/>
          <w:sz w:val="18"/>
          <w:szCs w:val="18"/>
        </w:rPr>
        <w:footnoteRef/>
      </w:r>
      <w:r w:rsidRPr="00F924CB">
        <w:rPr>
          <w:rFonts w:cs="Arial"/>
          <w:sz w:val="18"/>
          <w:szCs w:val="18"/>
        </w:rPr>
        <w:t xml:space="preserve"> Na tomto místě je nutné učinit poznámku týkající se vyčlenění některých přírodních věd v rámci daného cíle klasifikace. Fyzikální (</w:t>
      </w:r>
      <w:r w:rsidR="00154D28">
        <w:rPr>
          <w:rFonts w:cs="Arial"/>
          <w:sz w:val="18"/>
          <w:szCs w:val="18"/>
        </w:rPr>
        <w:t>SEO 1101</w:t>
      </w:r>
      <w:r w:rsidRPr="00F924CB">
        <w:rPr>
          <w:rFonts w:cs="Arial"/>
          <w:sz w:val="18"/>
          <w:szCs w:val="18"/>
        </w:rPr>
        <w:t>) a chemické vědy (</w:t>
      </w:r>
      <w:r w:rsidR="00154D28">
        <w:rPr>
          <w:rFonts w:cs="Arial"/>
          <w:sz w:val="18"/>
          <w:szCs w:val="18"/>
        </w:rPr>
        <w:t>SEO 1102</w:t>
      </w:r>
      <w:r w:rsidRPr="00F924CB">
        <w:rPr>
          <w:rFonts w:cs="Arial"/>
          <w:sz w:val="18"/>
          <w:szCs w:val="18"/>
        </w:rPr>
        <w:t>) jsou v rámci podcílů neorientovaného výzkumu uváděny odděleně od ostatních přírodních věd.</w:t>
      </w:r>
    </w:p>
  </w:footnote>
  <w:footnote w:id="4">
    <w:p w:rsidR="00C74B4D" w:rsidRPr="00C74B4D" w:rsidRDefault="00C74B4D">
      <w:pPr>
        <w:pStyle w:val="Textpoznpodarou"/>
        <w:rPr>
          <w:rFonts w:cs="Arial"/>
          <w:sz w:val="18"/>
          <w:szCs w:val="18"/>
        </w:rPr>
      </w:pPr>
      <w:r w:rsidRPr="00C74B4D">
        <w:rPr>
          <w:rStyle w:val="Znakapoznpodarou"/>
          <w:rFonts w:cs="Arial"/>
          <w:sz w:val="18"/>
          <w:szCs w:val="18"/>
        </w:rPr>
        <w:footnoteRef/>
      </w:r>
      <w:r w:rsidRPr="00C74B4D">
        <w:rPr>
          <w:rFonts w:cs="Arial"/>
          <w:sz w:val="18"/>
          <w:szCs w:val="18"/>
        </w:rPr>
        <w:t xml:space="preserve"> U dvou výše uvedených cílů bez konkrétního zaměření jde ve většině případů</w:t>
      </w:r>
      <w:r w:rsidR="00ED7E30">
        <w:rPr>
          <w:rFonts w:cs="Arial"/>
          <w:sz w:val="18"/>
          <w:szCs w:val="18"/>
        </w:rPr>
        <w:t xml:space="preserve"> o základní výzkum.  V roce 2014</w:t>
      </w:r>
      <w:r w:rsidRPr="00C74B4D">
        <w:rPr>
          <w:rFonts w:cs="Arial"/>
          <w:sz w:val="18"/>
          <w:szCs w:val="18"/>
        </w:rPr>
        <w:t xml:space="preserve"> se tyto cíle podílely v s</w:t>
      </w:r>
      <w:r w:rsidR="009C3E4B">
        <w:rPr>
          <w:rFonts w:cs="Arial"/>
          <w:sz w:val="18"/>
          <w:szCs w:val="18"/>
        </w:rPr>
        <w:t>ouhrnu z více jak z poloviny (54,2</w:t>
      </w:r>
      <w:r w:rsidRPr="00C74B4D">
        <w:rPr>
          <w:rFonts w:cs="Arial"/>
          <w:sz w:val="18"/>
          <w:szCs w:val="18"/>
        </w:rPr>
        <w:t xml:space="preserve"> %) na využitých finančních prostředcích pocházejících ze státního rozpočtu ČR na výzkum a v</w:t>
      </w:r>
      <w:r w:rsidR="008B7032">
        <w:rPr>
          <w:rFonts w:cs="Arial"/>
          <w:sz w:val="18"/>
          <w:szCs w:val="18"/>
        </w:rPr>
        <w:t>ývoj, což odpovídá částce 14 795</w:t>
      </w:r>
      <w:r w:rsidRPr="00C74B4D">
        <w:rPr>
          <w:rFonts w:cs="Arial"/>
          <w:sz w:val="18"/>
          <w:szCs w:val="18"/>
        </w:rPr>
        <w:t xml:space="preserve"> mil. Kč.</w:t>
      </w:r>
    </w:p>
  </w:footnote>
  <w:footnote w:id="5">
    <w:p w:rsidR="00314145" w:rsidRPr="00314145" w:rsidRDefault="00314145">
      <w:pPr>
        <w:pStyle w:val="Textpoznpodarou"/>
        <w:rPr>
          <w:rFonts w:cs="Arial"/>
          <w:sz w:val="18"/>
          <w:szCs w:val="18"/>
        </w:rPr>
      </w:pPr>
      <w:r w:rsidRPr="00314145">
        <w:rPr>
          <w:rStyle w:val="Znakapoznpodarou"/>
          <w:rFonts w:cs="Arial"/>
          <w:sz w:val="18"/>
          <w:szCs w:val="18"/>
        </w:rPr>
        <w:footnoteRef/>
      </w:r>
      <w:r w:rsidRPr="00314145">
        <w:rPr>
          <w:rFonts w:cs="Arial"/>
          <w:sz w:val="18"/>
          <w:szCs w:val="18"/>
        </w:rPr>
        <w:t xml:space="preserve"> Započteme-li do veřejného financování VaV v této oblasti také investice do VaV v oblasti technických věd, které jsou podcílem „Všeobecného výzkumu na vysokých školách“ (SEO 10) a „Neorientovaný výzkum“ (SE O11), vzrostou celkové výdaj</w:t>
      </w:r>
      <w:r w:rsidR="003F2531">
        <w:rPr>
          <w:rFonts w:cs="Arial"/>
          <w:sz w:val="18"/>
          <w:szCs w:val="18"/>
        </w:rPr>
        <w:t>e na VaV v oblasti na částku 5 110</w:t>
      </w:r>
      <w:r w:rsidRPr="00314145">
        <w:rPr>
          <w:rFonts w:cs="Arial"/>
          <w:sz w:val="18"/>
          <w:szCs w:val="18"/>
        </w:rPr>
        <w:t xml:space="preserve"> mil. Kč.</w:t>
      </w:r>
    </w:p>
  </w:footnote>
  <w:footnote w:id="6">
    <w:p w:rsidR="00B529B6" w:rsidRDefault="00B529B6">
      <w:pPr>
        <w:pStyle w:val="Textpoznpodarou"/>
      </w:pPr>
      <w:r w:rsidRPr="00B529B6">
        <w:rPr>
          <w:rStyle w:val="Znakapoznpodarou"/>
          <w:sz w:val="18"/>
        </w:rPr>
        <w:footnoteRef/>
      </w:r>
      <w:r w:rsidRPr="00B529B6">
        <w:rPr>
          <w:sz w:val="18"/>
        </w:rPr>
        <w:t xml:space="preserve"> </w:t>
      </w:r>
      <w:r>
        <w:rPr>
          <w:sz w:val="18"/>
        </w:rPr>
        <w:t xml:space="preserve">Jak již bylo uvedeno v první části, v případě MPO došlo meziročně ke snížení výše </w:t>
      </w:r>
      <w:r w:rsidR="00D818B5">
        <w:rPr>
          <w:sz w:val="18"/>
        </w:rPr>
        <w:t>rozdělované veřejné podpory na VaV</w:t>
      </w:r>
      <w:r>
        <w:rPr>
          <w:sz w:val="18"/>
        </w:rPr>
        <w:t xml:space="preserve"> o téměř 1 mld. Kč.</w:t>
      </w:r>
    </w:p>
  </w:footnote>
  <w:footnote w:id="7">
    <w:p w:rsidR="00C75E84" w:rsidRPr="00C75E84" w:rsidRDefault="00C75E84">
      <w:pPr>
        <w:pStyle w:val="Textpoznpodarou"/>
        <w:rPr>
          <w:sz w:val="18"/>
        </w:rPr>
      </w:pPr>
      <w:r w:rsidRPr="00C75E84">
        <w:rPr>
          <w:rStyle w:val="Znakapoznpodarou"/>
          <w:sz w:val="18"/>
        </w:rPr>
        <w:footnoteRef/>
      </w:r>
      <w:r w:rsidRPr="00C75E84">
        <w:rPr>
          <w:sz w:val="18"/>
        </w:rPr>
        <w:t xml:space="preserve"> </w:t>
      </w:r>
      <w:r>
        <w:rPr>
          <w:sz w:val="18"/>
        </w:rPr>
        <w:t xml:space="preserve">Tento fakt souvisí s dočerpáním prostředků ze strukturálních fondů, konkrétně z operačních programů MPO a MŠMT cílených na budování výzkumných pracovišť a jejich vybavení. </w:t>
      </w:r>
    </w:p>
  </w:footnote>
  <w:footnote w:id="8">
    <w:p w:rsidR="00A06C1F" w:rsidRPr="00A06C1F" w:rsidRDefault="00A06C1F">
      <w:pPr>
        <w:pStyle w:val="Textpoznpodarou"/>
        <w:rPr>
          <w:rFonts w:cs="Arial"/>
          <w:sz w:val="18"/>
          <w:szCs w:val="18"/>
        </w:rPr>
      </w:pPr>
      <w:r w:rsidRPr="00A06C1F">
        <w:rPr>
          <w:rStyle w:val="Znakapoznpodarou"/>
          <w:rFonts w:cs="Arial"/>
          <w:sz w:val="18"/>
          <w:szCs w:val="18"/>
        </w:rPr>
        <w:footnoteRef/>
      </w:r>
      <w:r w:rsidRPr="00A06C1F">
        <w:rPr>
          <w:rFonts w:cs="Arial"/>
          <w:sz w:val="18"/>
          <w:szCs w:val="18"/>
        </w:rPr>
        <w:t xml:space="preserve"> Započteme-li také lékařské vědy spadající do cílů „Všeobecný výzkum na VŠ“ (SEO10) a „Neorientovaný výzkum“ (SEO11), potom do výzkumu ochrany a zlepšování lidského zdraví směřovalo v souhrnu </w:t>
      </w:r>
      <w:r w:rsidR="00490069" w:rsidRPr="00490069">
        <w:rPr>
          <w:rFonts w:cs="Arial"/>
          <w:sz w:val="18"/>
          <w:szCs w:val="18"/>
        </w:rPr>
        <w:t>3 291</w:t>
      </w:r>
      <w:r w:rsidRPr="00490069">
        <w:rPr>
          <w:rFonts w:cs="Arial"/>
          <w:sz w:val="18"/>
          <w:szCs w:val="18"/>
        </w:rPr>
        <w:t xml:space="preserve"> mil. Kč.</w:t>
      </w:r>
    </w:p>
  </w:footnote>
  <w:footnote w:id="9">
    <w:p w:rsidR="00290EFB" w:rsidRPr="00290EFB" w:rsidRDefault="00290EFB">
      <w:pPr>
        <w:pStyle w:val="Textpoznpodarou"/>
        <w:rPr>
          <w:rFonts w:cs="Arial"/>
          <w:sz w:val="18"/>
          <w:szCs w:val="18"/>
        </w:rPr>
      </w:pPr>
      <w:r w:rsidRPr="00290EFB">
        <w:rPr>
          <w:rStyle w:val="Znakapoznpodarou"/>
          <w:rFonts w:cs="Arial"/>
          <w:sz w:val="18"/>
          <w:szCs w:val="18"/>
        </w:rPr>
        <w:footnoteRef/>
      </w:r>
      <w:r w:rsidRPr="00290EFB">
        <w:rPr>
          <w:rFonts w:cs="Arial"/>
          <w:sz w:val="18"/>
          <w:szCs w:val="18"/>
        </w:rPr>
        <w:t xml:space="preserve"> Pokud započteme i zemědělské vědy v cílech „Všeobecný výzkum na VŠ“ (SEO10) a „Neorientovaný výzkum“ (SEO11), pak do výzkumu zemědělské výroby a technologie směřovalo v souhrnu </w:t>
      </w:r>
      <w:r w:rsidR="007B2DA5" w:rsidRPr="007B2DA5">
        <w:rPr>
          <w:rFonts w:cs="Arial"/>
          <w:sz w:val="18"/>
          <w:szCs w:val="18"/>
        </w:rPr>
        <w:t>1 374</w:t>
      </w:r>
      <w:r w:rsidRPr="007B2DA5">
        <w:rPr>
          <w:rFonts w:cs="Arial"/>
          <w:sz w:val="18"/>
          <w:szCs w:val="18"/>
        </w:rPr>
        <w:t xml:space="preserve"> mil. Kč.</w:t>
      </w:r>
    </w:p>
  </w:footnote>
  <w:footnote w:id="10">
    <w:p w:rsidR="001E0912" w:rsidRPr="001E0912" w:rsidRDefault="001E0912">
      <w:pPr>
        <w:pStyle w:val="Textpoznpodarou"/>
        <w:rPr>
          <w:sz w:val="18"/>
        </w:rPr>
      </w:pPr>
      <w:r w:rsidRPr="001E0912">
        <w:rPr>
          <w:rStyle w:val="Znakapoznpodarou"/>
          <w:sz w:val="18"/>
        </w:rPr>
        <w:footnoteRef/>
      </w:r>
      <w:r w:rsidRPr="001E0912">
        <w:rPr>
          <w:sz w:val="18"/>
        </w:rPr>
        <w:t xml:space="preserve"> </w:t>
      </w:r>
      <w:r>
        <w:rPr>
          <w:sz w:val="18"/>
        </w:rPr>
        <w:t xml:space="preserve">V případě vysokých škol může být část institucionálních finančních prostředků plynoucích na výzkum v oblasti životního prostředí částečně klasifikována pod položkou </w:t>
      </w:r>
      <w:r w:rsidRPr="0085659D">
        <w:rPr>
          <w:rFonts w:cs="Arial"/>
          <w:sz w:val="18"/>
          <w:szCs w:val="18"/>
        </w:rPr>
        <w:t>„Vědy o Zemi a jim příbuzné (ekologické) vědy“</w:t>
      </w:r>
      <w:r>
        <w:rPr>
          <w:rFonts w:cs="Arial"/>
          <w:sz w:val="18"/>
          <w:szCs w:val="18"/>
        </w:rPr>
        <w:t>. Tento dílčí cíl se ale spojuje s</w:t>
      </w:r>
      <w:r w:rsidR="001D264D">
        <w:rPr>
          <w:rFonts w:cs="Arial"/>
          <w:sz w:val="18"/>
          <w:szCs w:val="18"/>
        </w:rPr>
        <w:t>e</w:t>
      </w:r>
      <w:r>
        <w:rPr>
          <w:rFonts w:cs="Arial"/>
          <w:sz w:val="18"/>
          <w:szCs w:val="18"/>
        </w:rPr>
        <w:t> socioekonomickým cílem SEO 01 – Průzkum a využití zdrojů Země.</w:t>
      </w:r>
    </w:p>
  </w:footnote>
  <w:footnote w:id="11">
    <w:p w:rsidR="0085659D" w:rsidRPr="0085659D" w:rsidRDefault="0085659D">
      <w:pPr>
        <w:pStyle w:val="Textpoznpodarou"/>
        <w:rPr>
          <w:rFonts w:cs="Arial"/>
          <w:sz w:val="18"/>
          <w:szCs w:val="18"/>
        </w:rPr>
      </w:pPr>
      <w:r w:rsidRPr="0085659D">
        <w:rPr>
          <w:rStyle w:val="Znakapoznpodarou"/>
          <w:rFonts w:cs="Arial"/>
          <w:sz w:val="18"/>
          <w:szCs w:val="18"/>
        </w:rPr>
        <w:footnoteRef/>
      </w:r>
      <w:r w:rsidRPr="0085659D">
        <w:rPr>
          <w:rFonts w:cs="Arial"/>
          <w:sz w:val="18"/>
          <w:szCs w:val="18"/>
        </w:rPr>
        <w:t xml:space="preserve"> Stejně jako v případě ochrany a zlepšování zdraví a zemědělské výroby a techniky je možné také státní prostředky investované do průzkumu a využití zdrojů Země rozšířit o finanční částky zařazené pod cíli „Všeobecný výzkum na VŠ (SEO10)“ a „Neorientovaný výzkum“ (SEO11) pod položkou „Vědy o Zemi a jim příbuzné (ekologické) vědy“. Celkově by pak do výzkumu spojeného se Zemí bylo alokováno rovných </w:t>
      </w:r>
      <w:r w:rsidR="0024713F" w:rsidRPr="0024713F">
        <w:rPr>
          <w:rFonts w:cs="Arial"/>
          <w:sz w:val="18"/>
          <w:szCs w:val="18"/>
        </w:rPr>
        <w:t>837</w:t>
      </w:r>
      <w:r w:rsidRPr="0024713F">
        <w:rPr>
          <w:rFonts w:cs="Arial"/>
          <w:sz w:val="18"/>
          <w:szCs w:val="18"/>
        </w:rPr>
        <w:t xml:space="preserve"> mil. Kč</w:t>
      </w:r>
      <w:r w:rsidR="0024713F">
        <w:rPr>
          <w:rFonts w:cs="Arial"/>
          <w:sz w:val="18"/>
          <w:szCs w:val="18"/>
        </w:rPr>
        <w:t>.</w:t>
      </w:r>
    </w:p>
  </w:footnote>
  <w:footnote w:id="12">
    <w:p w:rsidR="00E23F25" w:rsidRPr="00E23F25" w:rsidRDefault="00E23F25">
      <w:pPr>
        <w:pStyle w:val="Textpoznpodarou"/>
        <w:rPr>
          <w:rFonts w:cs="Arial"/>
          <w:sz w:val="18"/>
          <w:szCs w:val="18"/>
        </w:rPr>
      </w:pPr>
      <w:r w:rsidRPr="00E23F25">
        <w:rPr>
          <w:rStyle w:val="Znakapoznpodarou"/>
          <w:rFonts w:cs="Arial"/>
          <w:sz w:val="18"/>
          <w:szCs w:val="18"/>
        </w:rPr>
        <w:footnoteRef/>
      </w:r>
      <w:r w:rsidRPr="00E23F25">
        <w:rPr>
          <w:rFonts w:cs="Arial"/>
          <w:sz w:val="18"/>
          <w:szCs w:val="18"/>
        </w:rPr>
        <w:t xml:space="preserve"> Kosmický výzkum je lépe a kompletněji zachycen v klasifikaci NABS 2007 – SEO 03 (Průzkum a využití kosmu) o níž bude následující kapitola.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518" w:rsidRPr="00AD306C" w:rsidRDefault="009C5518" w:rsidP="00AD306C">
    <w:pPr>
      <w:pStyle w:val="Zhlav"/>
      <w:tabs>
        <w:tab w:val="clear" w:pos="4536"/>
        <w:tab w:val="clear" w:pos="9072"/>
        <w:tab w:val="left" w:pos="-6379"/>
        <w:tab w:val="center" w:pos="4820"/>
        <w:tab w:val="right" w:pos="9639"/>
      </w:tabs>
      <w:rPr>
        <w:rFonts w:ascii="Arial" w:hAnsi="Arial" w:cs="Arial"/>
        <w:sz w:val="16"/>
        <w:szCs w:val="16"/>
      </w:rPr>
    </w:pPr>
    <w:r w:rsidRPr="00BC6AC1">
      <w:rPr>
        <w:rFonts w:ascii="Arial" w:hAnsi="Arial" w:cs="Arial"/>
        <w:sz w:val="16"/>
        <w:szCs w:val="16"/>
      </w:rPr>
      <w:t>PŘÍMÁ VEŘEJNÁ PODPORA VÝZKUMU A VÝVOJE V ČESKÉ REPUBLICE</w:t>
    </w:r>
    <w:r w:rsidR="00DF3DEF">
      <w:rPr>
        <w:rFonts w:ascii="Arial" w:hAnsi="Arial" w:cs="Arial"/>
        <w:sz w:val="16"/>
        <w:szCs w:val="16"/>
      </w:rPr>
      <w:t xml:space="preserve"> / </w:t>
    </w:r>
    <w:r w:rsidR="00DF3DEF">
      <w:rPr>
        <w:rFonts w:ascii="Arial" w:hAnsi="Arial" w:cs="Arial"/>
        <w:sz w:val="16"/>
        <w:szCs w:val="16"/>
      </w:rPr>
      <w:t>GBARD PODLE NABS 1992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518" w:rsidRDefault="009C5518" w:rsidP="00AD306C">
    <w:pPr>
      <w:pStyle w:val="Zhlav"/>
      <w:tabs>
        <w:tab w:val="clear" w:pos="4536"/>
        <w:tab w:val="clear" w:pos="9072"/>
        <w:tab w:val="left" w:pos="-6379"/>
        <w:tab w:val="center" w:pos="4820"/>
        <w:tab w:val="right" w:pos="9639"/>
      </w:tabs>
      <w:rPr>
        <w:rFonts w:ascii="Arial" w:hAnsi="Arial" w:cs="Arial"/>
        <w:sz w:val="16"/>
        <w:szCs w:val="16"/>
      </w:rPr>
    </w:pPr>
    <w:r w:rsidRPr="00BC6AC1">
      <w:rPr>
        <w:rFonts w:ascii="Arial" w:hAnsi="Arial" w:cs="Arial"/>
        <w:sz w:val="16"/>
        <w:szCs w:val="16"/>
      </w:rPr>
      <w:t>PŘÍMÁ VEŘEJNÁ PODPORA VÝZKUMU A VÝVOJE V ČESKÉ REPUBLICE</w:t>
    </w:r>
    <w:r w:rsidR="00C93F57">
      <w:rPr>
        <w:rFonts w:ascii="Arial" w:hAnsi="Arial" w:cs="Arial"/>
        <w:sz w:val="16"/>
        <w:szCs w:val="16"/>
      </w:rPr>
      <w:t>/ GBARD PODLE NABS 1992</w:t>
    </w:r>
  </w:p>
  <w:p w:rsidR="009C5518" w:rsidRPr="00DC5B3B" w:rsidRDefault="009C5518" w:rsidP="009B6FD3">
    <w:pPr>
      <w:pStyle w:val="Zhlav"/>
      <w:tabs>
        <w:tab w:val="clear" w:pos="4536"/>
        <w:tab w:val="clear" w:pos="9072"/>
        <w:tab w:val="left" w:pos="-6379"/>
        <w:tab w:val="center" w:pos="4820"/>
        <w:tab w:val="right" w:pos="9639"/>
      </w:tabs>
      <w:jc w:val="center"/>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B3CE2"/>
    <w:multiLevelType w:val="hybridMultilevel"/>
    <w:tmpl w:val="C1AED6CC"/>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F8C1721"/>
    <w:multiLevelType w:val="hybridMultilevel"/>
    <w:tmpl w:val="1774032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el Böhm">
    <w15:presenceInfo w15:providerId="Windows Live" w15:userId="33f0ba4ce07661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2"/>
  </w:compat>
  <w:rsids>
    <w:rsidRoot w:val="00410D5F"/>
    <w:rsid w:val="00000A97"/>
    <w:rsid w:val="0000316C"/>
    <w:rsid w:val="00004431"/>
    <w:rsid w:val="0000517D"/>
    <w:rsid w:val="00006457"/>
    <w:rsid w:val="00006862"/>
    <w:rsid w:val="00006FA4"/>
    <w:rsid w:val="0000767A"/>
    <w:rsid w:val="000077E7"/>
    <w:rsid w:val="00007CF5"/>
    <w:rsid w:val="000100CF"/>
    <w:rsid w:val="00010702"/>
    <w:rsid w:val="00010728"/>
    <w:rsid w:val="00011090"/>
    <w:rsid w:val="000119C9"/>
    <w:rsid w:val="00011AD9"/>
    <w:rsid w:val="000133D7"/>
    <w:rsid w:val="00014FA5"/>
    <w:rsid w:val="000158B9"/>
    <w:rsid w:val="00016CCE"/>
    <w:rsid w:val="00020A5D"/>
    <w:rsid w:val="000243FA"/>
    <w:rsid w:val="00025950"/>
    <w:rsid w:val="000262A4"/>
    <w:rsid w:val="00027052"/>
    <w:rsid w:val="000313F1"/>
    <w:rsid w:val="000318CE"/>
    <w:rsid w:val="00031D06"/>
    <w:rsid w:val="00033D24"/>
    <w:rsid w:val="0003523C"/>
    <w:rsid w:val="00035E0B"/>
    <w:rsid w:val="000368A7"/>
    <w:rsid w:val="00036CDB"/>
    <w:rsid w:val="000372D7"/>
    <w:rsid w:val="00037A9F"/>
    <w:rsid w:val="00040041"/>
    <w:rsid w:val="00041946"/>
    <w:rsid w:val="000425A3"/>
    <w:rsid w:val="00043A7E"/>
    <w:rsid w:val="0004694F"/>
    <w:rsid w:val="000472C0"/>
    <w:rsid w:val="000472ED"/>
    <w:rsid w:val="00050F9D"/>
    <w:rsid w:val="00051C4D"/>
    <w:rsid w:val="0005456B"/>
    <w:rsid w:val="000556B7"/>
    <w:rsid w:val="0005693B"/>
    <w:rsid w:val="0005739C"/>
    <w:rsid w:val="000576D7"/>
    <w:rsid w:val="00062EC5"/>
    <w:rsid w:val="00064171"/>
    <w:rsid w:val="00065675"/>
    <w:rsid w:val="00065E55"/>
    <w:rsid w:val="00065F83"/>
    <w:rsid w:val="00066B31"/>
    <w:rsid w:val="00066B5A"/>
    <w:rsid w:val="00067EB6"/>
    <w:rsid w:val="00072EB4"/>
    <w:rsid w:val="00073592"/>
    <w:rsid w:val="0007414B"/>
    <w:rsid w:val="000741A9"/>
    <w:rsid w:val="00080D2D"/>
    <w:rsid w:val="00080E37"/>
    <w:rsid w:val="000812FD"/>
    <w:rsid w:val="00081AAC"/>
    <w:rsid w:val="00081AB2"/>
    <w:rsid w:val="00082F96"/>
    <w:rsid w:val="00085870"/>
    <w:rsid w:val="00085C2F"/>
    <w:rsid w:val="000867D1"/>
    <w:rsid w:val="00087634"/>
    <w:rsid w:val="00087A0A"/>
    <w:rsid w:val="00090449"/>
    <w:rsid w:val="00090E52"/>
    <w:rsid w:val="00091C43"/>
    <w:rsid w:val="00091E44"/>
    <w:rsid w:val="0009209F"/>
    <w:rsid w:val="00093C42"/>
    <w:rsid w:val="00093D46"/>
    <w:rsid w:val="00094263"/>
    <w:rsid w:val="00094AC2"/>
    <w:rsid w:val="00095B8C"/>
    <w:rsid w:val="000A05A7"/>
    <w:rsid w:val="000A0CD3"/>
    <w:rsid w:val="000A1183"/>
    <w:rsid w:val="000A1EC6"/>
    <w:rsid w:val="000A2D07"/>
    <w:rsid w:val="000A403D"/>
    <w:rsid w:val="000A46E5"/>
    <w:rsid w:val="000A4977"/>
    <w:rsid w:val="000A5CF5"/>
    <w:rsid w:val="000A76ED"/>
    <w:rsid w:val="000A7E0B"/>
    <w:rsid w:val="000B05FC"/>
    <w:rsid w:val="000B0735"/>
    <w:rsid w:val="000B0777"/>
    <w:rsid w:val="000B2F78"/>
    <w:rsid w:val="000B3D2A"/>
    <w:rsid w:val="000B409F"/>
    <w:rsid w:val="000B46B1"/>
    <w:rsid w:val="000B67B8"/>
    <w:rsid w:val="000B6F20"/>
    <w:rsid w:val="000C06D6"/>
    <w:rsid w:val="000C0AF8"/>
    <w:rsid w:val="000C1883"/>
    <w:rsid w:val="000C1CE8"/>
    <w:rsid w:val="000C3408"/>
    <w:rsid w:val="000C3D1A"/>
    <w:rsid w:val="000C4625"/>
    <w:rsid w:val="000C4ABE"/>
    <w:rsid w:val="000C4C58"/>
    <w:rsid w:val="000C5C5D"/>
    <w:rsid w:val="000C5EE6"/>
    <w:rsid w:val="000D009C"/>
    <w:rsid w:val="000D0EAF"/>
    <w:rsid w:val="000D2A47"/>
    <w:rsid w:val="000E0591"/>
    <w:rsid w:val="000E0C52"/>
    <w:rsid w:val="000E2043"/>
    <w:rsid w:val="000E36B0"/>
    <w:rsid w:val="000E42CB"/>
    <w:rsid w:val="000E4300"/>
    <w:rsid w:val="000E4D87"/>
    <w:rsid w:val="000E66BA"/>
    <w:rsid w:val="000F0B7C"/>
    <w:rsid w:val="000F1F88"/>
    <w:rsid w:val="000F34FD"/>
    <w:rsid w:val="000F393A"/>
    <w:rsid w:val="000F41F1"/>
    <w:rsid w:val="000F525F"/>
    <w:rsid w:val="000F5C63"/>
    <w:rsid w:val="000F5D9B"/>
    <w:rsid w:val="000F6A39"/>
    <w:rsid w:val="00105AEC"/>
    <w:rsid w:val="00106DA0"/>
    <w:rsid w:val="001103C6"/>
    <w:rsid w:val="00110CA8"/>
    <w:rsid w:val="0011197B"/>
    <w:rsid w:val="00112972"/>
    <w:rsid w:val="00112DEE"/>
    <w:rsid w:val="00114D74"/>
    <w:rsid w:val="001153FB"/>
    <w:rsid w:val="00117EB4"/>
    <w:rsid w:val="00121CFA"/>
    <w:rsid w:val="00122597"/>
    <w:rsid w:val="00122D2E"/>
    <w:rsid w:val="00124784"/>
    <w:rsid w:val="00127CDF"/>
    <w:rsid w:val="00130C70"/>
    <w:rsid w:val="00135C14"/>
    <w:rsid w:val="0013656F"/>
    <w:rsid w:val="00136C92"/>
    <w:rsid w:val="00137995"/>
    <w:rsid w:val="00137A58"/>
    <w:rsid w:val="001405FA"/>
    <w:rsid w:val="0014079D"/>
    <w:rsid w:val="00140A1B"/>
    <w:rsid w:val="00140B28"/>
    <w:rsid w:val="001410BB"/>
    <w:rsid w:val="001425C3"/>
    <w:rsid w:val="00142861"/>
    <w:rsid w:val="00143453"/>
    <w:rsid w:val="00144E72"/>
    <w:rsid w:val="00145800"/>
    <w:rsid w:val="00146553"/>
    <w:rsid w:val="001475F6"/>
    <w:rsid w:val="001544C2"/>
    <w:rsid w:val="00154AC5"/>
    <w:rsid w:val="00154D28"/>
    <w:rsid w:val="00155181"/>
    <w:rsid w:val="00155AF7"/>
    <w:rsid w:val="00156866"/>
    <w:rsid w:val="00156A62"/>
    <w:rsid w:val="00156C72"/>
    <w:rsid w:val="00156F9A"/>
    <w:rsid w:val="00157324"/>
    <w:rsid w:val="001604A9"/>
    <w:rsid w:val="001608FF"/>
    <w:rsid w:val="00160BB7"/>
    <w:rsid w:val="00162076"/>
    <w:rsid w:val="00163793"/>
    <w:rsid w:val="0016425E"/>
    <w:rsid w:val="0016610C"/>
    <w:rsid w:val="0016650B"/>
    <w:rsid w:val="00166CFA"/>
    <w:rsid w:val="001673AF"/>
    <w:rsid w:val="00170BC0"/>
    <w:rsid w:val="001714F2"/>
    <w:rsid w:val="00171CD8"/>
    <w:rsid w:val="00172871"/>
    <w:rsid w:val="00172948"/>
    <w:rsid w:val="00175980"/>
    <w:rsid w:val="00175A98"/>
    <w:rsid w:val="00176B3E"/>
    <w:rsid w:val="001775E7"/>
    <w:rsid w:val="00177999"/>
    <w:rsid w:val="00180381"/>
    <w:rsid w:val="00181A8D"/>
    <w:rsid w:val="00181D98"/>
    <w:rsid w:val="00182307"/>
    <w:rsid w:val="00182C43"/>
    <w:rsid w:val="0018408A"/>
    <w:rsid w:val="00185010"/>
    <w:rsid w:val="001876D6"/>
    <w:rsid w:val="0018773B"/>
    <w:rsid w:val="00190BF6"/>
    <w:rsid w:val="00191E4B"/>
    <w:rsid w:val="00191F3E"/>
    <w:rsid w:val="0019317E"/>
    <w:rsid w:val="0019470B"/>
    <w:rsid w:val="00195C8C"/>
    <w:rsid w:val="00195D5A"/>
    <w:rsid w:val="00195FB6"/>
    <w:rsid w:val="001960C2"/>
    <w:rsid w:val="00196897"/>
    <w:rsid w:val="001969C9"/>
    <w:rsid w:val="001972E3"/>
    <w:rsid w:val="001977EA"/>
    <w:rsid w:val="001A230B"/>
    <w:rsid w:val="001A364E"/>
    <w:rsid w:val="001A3B6E"/>
    <w:rsid w:val="001A4051"/>
    <w:rsid w:val="001A42D3"/>
    <w:rsid w:val="001A4F0B"/>
    <w:rsid w:val="001A51D6"/>
    <w:rsid w:val="001A552F"/>
    <w:rsid w:val="001A5BBB"/>
    <w:rsid w:val="001A6513"/>
    <w:rsid w:val="001B0260"/>
    <w:rsid w:val="001B0672"/>
    <w:rsid w:val="001B0CFD"/>
    <w:rsid w:val="001B26AC"/>
    <w:rsid w:val="001B2E25"/>
    <w:rsid w:val="001B3110"/>
    <w:rsid w:val="001B75ED"/>
    <w:rsid w:val="001B7941"/>
    <w:rsid w:val="001B7C2E"/>
    <w:rsid w:val="001C30F8"/>
    <w:rsid w:val="001C3BB4"/>
    <w:rsid w:val="001C4C36"/>
    <w:rsid w:val="001C51A8"/>
    <w:rsid w:val="001C628C"/>
    <w:rsid w:val="001C7670"/>
    <w:rsid w:val="001D03CD"/>
    <w:rsid w:val="001D264D"/>
    <w:rsid w:val="001D3DFA"/>
    <w:rsid w:val="001D406B"/>
    <w:rsid w:val="001D5183"/>
    <w:rsid w:val="001D622E"/>
    <w:rsid w:val="001D73FD"/>
    <w:rsid w:val="001D7670"/>
    <w:rsid w:val="001D7A62"/>
    <w:rsid w:val="001D7FBC"/>
    <w:rsid w:val="001E0904"/>
    <w:rsid w:val="001E0912"/>
    <w:rsid w:val="001E2E1C"/>
    <w:rsid w:val="001E42DA"/>
    <w:rsid w:val="001E5CBD"/>
    <w:rsid w:val="001E74D7"/>
    <w:rsid w:val="001F0082"/>
    <w:rsid w:val="001F199C"/>
    <w:rsid w:val="001F28A3"/>
    <w:rsid w:val="001F36C7"/>
    <w:rsid w:val="001F3E03"/>
    <w:rsid w:val="001F4597"/>
    <w:rsid w:val="001F46EA"/>
    <w:rsid w:val="001F4C47"/>
    <w:rsid w:val="001F50E8"/>
    <w:rsid w:val="001F52C4"/>
    <w:rsid w:val="001F60F4"/>
    <w:rsid w:val="001F647A"/>
    <w:rsid w:val="001F68A0"/>
    <w:rsid w:val="001F7541"/>
    <w:rsid w:val="00201371"/>
    <w:rsid w:val="00201A1B"/>
    <w:rsid w:val="0020344B"/>
    <w:rsid w:val="00203AC6"/>
    <w:rsid w:val="00203D12"/>
    <w:rsid w:val="0020498B"/>
    <w:rsid w:val="0020650B"/>
    <w:rsid w:val="00206C36"/>
    <w:rsid w:val="002073DB"/>
    <w:rsid w:val="00207A19"/>
    <w:rsid w:val="00210023"/>
    <w:rsid w:val="00211943"/>
    <w:rsid w:val="0021282D"/>
    <w:rsid w:val="00215943"/>
    <w:rsid w:val="00215E0F"/>
    <w:rsid w:val="00216EB6"/>
    <w:rsid w:val="002201D9"/>
    <w:rsid w:val="00220822"/>
    <w:rsid w:val="0022139E"/>
    <w:rsid w:val="002216A8"/>
    <w:rsid w:val="002216F1"/>
    <w:rsid w:val="00221D44"/>
    <w:rsid w:val="00222322"/>
    <w:rsid w:val="0022439C"/>
    <w:rsid w:val="002248D4"/>
    <w:rsid w:val="00224DAC"/>
    <w:rsid w:val="002252E0"/>
    <w:rsid w:val="002255F6"/>
    <w:rsid w:val="00225C66"/>
    <w:rsid w:val="00225EE9"/>
    <w:rsid w:val="00230FA2"/>
    <w:rsid w:val="002340D9"/>
    <w:rsid w:val="00234209"/>
    <w:rsid w:val="0023512E"/>
    <w:rsid w:val="00236333"/>
    <w:rsid w:val="00236443"/>
    <w:rsid w:val="00237219"/>
    <w:rsid w:val="0024129B"/>
    <w:rsid w:val="0024307C"/>
    <w:rsid w:val="002436BA"/>
    <w:rsid w:val="0024379D"/>
    <w:rsid w:val="002439D6"/>
    <w:rsid w:val="002443A5"/>
    <w:rsid w:val="00244A15"/>
    <w:rsid w:val="00244F0F"/>
    <w:rsid w:val="002451FF"/>
    <w:rsid w:val="00246915"/>
    <w:rsid w:val="0024713F"/>
    <w:rsid w:val="002478CD"/>
    <w:rsid w:val="0024799E"/>
    <w:rsid w:val="0025149F"/>
    <w:rsid w:val="002516CC"/>
    <w:rsid w:val="00252D41"/>
    <w:rsid w:val="00254352"/>
    <w:rsid w:val="002543A4"/>
    <w:rsid w:val="00264463"/>
    <w:rsid w:val="00267C5E"/>
    <w:rsid w:val="002704E6"/>
    <w:rsid w:val="00270567"/>
    <w:rsid w:val="0027191E"/>
    <w:rsid w:val="00271B2A"/>
    <w:rsid w:val="00273BD1"/>
    <w:rsid w:val="00276B63"/>
    <w:rsid w:val="002771CE"/>
    <w:rsid w:val="00277478"/>
    <w:rsid w:val="002810FD"/>
    <w:rsid w:val="00281435"/>
    <w:rsid w:val="00283284"/>
    <w:rsid w:val="002835A8"/>
    <w:rsid w:val="002872C2"/>
    <w:rsid w:val="00287B96"/>
    <w:rsid w:val="00290C0F"/>
    <w:rsid w:val="00290EFB"/>
    <w:rsid w:val="00292845"/>
    <w:rsid w:val="00293CEF"/>
    <w:rsid w:val="00293F7A"/>
    <w:rsid w:val="00295694"/>
    <w:rsid w:val="0029633E"/>
    <w:rsid w:val="002976B9"/>
    <w:rsid w:val="00297FBA"/>
    <w:rsid w:val="002A0702"/>
    <w:rsid w:val="002A07F7"/>
    <w:rsid w:val="002A1933"/>
    <w:rsid w:val="002A20BA"/>
    <w:rsid w:val="002A21A2"/>
    <w:rsid w:val="002A2CF9"/>
    <w:rsid w:val="002A4E99"/>
    <w:rsid w:val="002A4F13"/>
    <w:rsid w:val="002A5E6A"/>
    <w:rsid w:val="002A67A5"/>
    <w:rsid w:val="002B1DF8"/>
    <w:rsid w:val="002B2848"/>
    <w:rsid w:val="002B3B30"/>
    <w:rsid w:val="002B439B"/>
    <w:rsid w:val="002B4B62"/>
    <w:rsid w:val="002B6CDB"/>
    <w:rsid w:val="002B782B"/>
    <w:rsid w:val="002C0D94"/>
    <w:rsid w:val="002C0DD9"/>
    <w:rsid w:val="002C0FFC"/>
    <w:rsid w:val="002C1CCB"/>
    <w:rsid w:val="002C2278"/>
    <w:rsid w:val="002C288E"/>
    <w:rsid w:val="002C31C4"/>
    <w:rsid w:val="002C31D3"/>
    <w:rsid w:val="002C43BD"/>
    <w:rsid w:val="002C5239"/>
    <w:rsid w:val="002C63C8"/>
    <w:rsid w:val="002C73A6"/>
    <w:rsid w:val="002D0D0A"/>
    <w:rsid w:val="002D13DD"/>
    <w:rsid w:val="002D3010"/>
    <w:rsid w:val="002D3DF2"/>
    <w:rsid w:val="002D3EAF"/>
    <w:rsid w:val="002D3F0F"/>
    <w:rsid w:val="002D4104"/>
    <w:rsid w:val="002D47D8"/>
    <w:rsid w:val="002D487C"/>
    <w:rsid w:val="002D6AFD"/>
    <w:rsid w:val="002D7465"/>
    <w:rsid w:val="002D7515"/>
    <w:rsid w:val="002D7A34"/>
    <w:rsid w:val="002D7E04"/>
    <w:rsid w:val="002E0064"/>
    <w:rsid w:val="002E02A1"/>
    <w:rsid w:val="002E0AD7"/>
    <w:rsid w:val="002E0C7F"/>
    <w:rsid w:val="002E19C4"/>
    <w:rsid w:val="002E4155"/>
    <w:rsid w:val="002E53EB"/>
    <w:rsid w:val="002E7D89"/>
    <w:rsid w:val="002F1C06"/>
    <w:rsid w:val="002F23F1"/>
    <w:rsid w:val="002F2B9F"/>
    <w:rsid w:val="002F3032"/>
    <w:rsid w:val="002F313B"/>
    <w:rsid w:val="002F3249"/>
    <w:rsid w:val="002F455B"/>
    <w:rsid w:val="002F473A"/>
    <w:rsid w:val="002F4840"/>
    <w:rsid w:val="002F53A6"/>
    <w:rsid w:val="002F5C54"/>
    <w:rsid w:val="002F7080"/>
    <w:rsid w:val="002F7590"/>
    <w:rsid w:val="0030115C"/>
    <w:rsid w:val="00301A1D"/>
    <w:rsid w:val="00301C0F"/>
    <w:rsid w:val="00304147"/>
    <w:rsid w:val="00304771"/>
    <w:rsid w:val="003053BC"/>
    <w:rsid w:val="00305F36"/>
    <w:rsid w:val="003061B7"/>
    <w:rsid w:val="00306C5B"/>
    <w:rsid w:val="003074C1"/>
    <w:rsid w:val="00307719"/>
    <w:rsid w:val="00311453"/>
    <w:rsid w:val="00311D3E"/>
    <w:rsid w:val="003129D6"/>
    <w:rsid w:val="00313553"/>
    <w:rsid w:val="00314145"/>
    <w:rsid w:val="00314AAB"/>
    <w:rsid w:val="003155FB"/>
    <w:rsid w:val="003156E7"/>
    <w:rsid w:val="003209D6"/>
    <w:rsid w:val="00320DA4"/>
    <w:rsid w:val="0032123E"/>
    <w:rsid w:val="0032168E"/>
    <w:rsid w:val="00321F4E"/>
    <w:rsid w:val="0032208D"/>
    <w:rsid w:val="003225B0"/>
    <w:rsid w:val="00322A85"/>
    <w:rsid w:val="00322B58"/>
    <w:rsid w:val="003257F5"/>
    <w:rsid w:val="0032669A"/>
    <w:rsid w:val="00327A2B"/>
    <w:rsid w:val="00327C7C"/>
    <w:rsid w:val="00331292"/>
    <w:rsid w:val="00331641"/>
    <w:rsid w:val="00332DE4"/>
    <w:rsid w:val="0033380D"/>
    <w:rsid w:val="003357F1"/>
    <w:rsid w:val="00336576"/>
    <w:rsid w:val="00341E45"/>
    <w:rsid w:val="003429AA"/>
    <w:rsid w:val="00342A7A"/>
    <w:rsid w:val="00347A9E"/>
    <w:rsid w:val="00350DF6"/>
    <w:rsid w:val="00354455"/>
    <w:rsid w:val="00354634"/>
    <w:rsid w:val="00354986"/>
    <w:rsid w:val="00354B78"/>
    <w:rsid w:val="003559DE"/>
    <w:rsid w:val="00356039"/>
    <w:rsid w:val="003562CA"/>
    <w:rsid w:val="00356A61"/>
    <w:rsid w:val="00356ABD"/>
    <w:rsid w:val="00357CC8"/>
    <w:rsid w:val="003603CE"/>
    <w:rsid w:val="00361F49"/>
    <w:rsid w:val="003657F3"/>
    <w:rsid w:val="003665AB"/>
    <w:rsid w:val="00370721"/>
    <w:rsid w:val="003715C8"/>
    <w:rsid w:val="00371906"/>
    <w:rsid w:val="00372ECF"/>
    <w:rsid w:val="003738F1"/>
    <w:rsid w:val="00374920"/>
    <w:rsid w:val="00377B43"/>
    <w:rsid w:val="0038085C"/>
    <w:rsid w:val="00381287"/>
    <w:rsid w:val="00381B38"/>
    <w:rsid w:val="003822BA"/>
    <w:rsid w:val="00382E09"/>
    <w:rsid w:val="00383531"/>
    <w:rsid w:val="00383C4C"/>
    <w:rsid w:val="003855FD"/>
    <w:rsid w:val="00385D98"/>
    <w:rsid w:val="003864AE"/>
    <w:rsid w:val="003869AD"/>
    <w:rsid w:val="00386CFD"/>
    <w:rsid w:val="003909D7"/>
    <w:rsid w:val="0039159A"/>
    <w:rsid w:val="00391639"/>
    <w:rsid w:val="00391B49"/>
    <w:rsid w:val="00391F64"/>
    <w:rsid w:val="0039328F"/>
    <w:rsid w:val="00394398"/>
    <w:rsid w:val="00394756"/>
    <w:rsid w:val="00395EBF"/>
    <w:rsid w:val="003A071A"/>
    <w:rsid w:val="003A139A"/>
    <w:rsid w:val="003A2B4D"/>
    <w:rsid w:val="003A4766"/>
    <w:rsid w:val="003A478C"/>
    <w:rsid w:val="003A5525"/>
    <w:rsid w:val="003A6B38"/>
    <w:rsid w:val="003A74AE"/>
    <w:rsid w:val="003A7D04"/>
    <w:rsid w:val="003B07C1"/>
    <w:rsid w:val="003B07D7"/>
    <w:rsid w:val="003B11B2"/>
    <w:rsid w:val="003B2C29"/>
    <w:rsid w:val="003B3719"/>
    <w:rsid w:val="003B3854"/>
    <w:rsid w:val="003B5A32"/>
    <w:rsid w:val="003B75E7"/>
    <w:rsid w:val="003C1606"/>
    <w:rsid w:val="003C2B86"/>
    <w:rsid w:val="003C3177"/>
    <w:rsid w:val="003C4755"/>
    <w:rsid w:val="003C48BB"/>
    <w:rsid w:val="003C54D3"/>
    <w:rsid w:val="003C5BE5"/>
    <w:rsid w:val="003C5FB3"/>
    <w:rsid w:val="003C77D1"/>
    <w:rsid w:val="003D20B9"/>
    <w:rsid w:val="003D3D33"/>
    <w:rsid w:val="003D4D7C"/>
    <w:rsid w:val="003D5042"/>
    <w:rsid w:val="003D53AA"/>
    <w:rsid w:val="003E081A"/>
    <w:rsid w:val="003E22E9"/>
    <w:rsid w:val="003E2BEE"/>
    <w:rsid w:val="003E4697"/>
    <w:rsid w:val="003E6D10"/>
    <w:rsid w:val="003E6FE1"/>
    <w:rsid w:val="003E7003"/>
    <w:rsid w:val="003E71A3"/>
    <w:rsid w:val="003E733C"/>
    <w:rsid w:val="003E796F"/>
    <w:rsid w:val="003E7A25"/>
    <w:rsid w:val="003F0699"/>
    <w:rsid w:val="003F1F84"/>
    <w:rsid w:val="003F2531"/>
    <w:rsid w:val="003F313C"/>
    <w:rsid w:val="003F52E9"/>
    <w:rsid w:val="003F62AA"/>
    <w:rsid w:val="003F7C9B"/>
    <w:rsid w:val="00400636"/>
    <w:rsid w:val="00402062"/>
    <w:rsid w:val="004039E7"/>
    <w:rsid w:val="00403ED7"/>
    <w:rsid w:val="00405CD5"/>
    <w:rsid w:val="00405D48"/>
    <w:rsid w:val="00406C11"/>
    <w:rsid w:val="004073A2"/>
    <w:rsid w:val="00407605"/>
    <w:rsid w:val="00410789"/>
    <w:rsid w:val="00410D5F"/>
    <w:rsid w:val="00412F1A"/>
    <w:rsid w:val="0041398E"/>
    <w:rsid w:val="00414240"/>
    <w:rsid w:val="0041550A"/>
    <w:rsid w:val="004166B2"/>
    <w:rsid w:val="0041734A"/>
    <w:rsid w:val="00420985"/>
    <w:rsid w:val="00421359"/>
    <w:rsid w:val="0042219F"/>
    <w:rsid w:val="00422315"/>
    <w:rsid w:val="004236B3"/>
    <w:rsid w:val="00423910"/>
    <w:rsid w:val="00424AB7"/>
    <w:rsid w:val="00426330"/>
    <w:rsid w:val="00426422"/>
    <w:rsid w:val="00427185"/>
    <w:rsid w:val="00427309"/>
    <w:rsid w:val="00427765"/>
    <w:rsid w:val="00430090"/>
    <w:rsid w:val="00430CE0"/>
    <w:rsid w:val="004313F0"/>
    <w:rsid w:val="0043194A"/>
    <w:rsid w:val="004322C6"/>
    <w:rsid w:val="0043232A"/>
    <w:rsid w:val="004341DF"/>
    <w:rsid w:val="00434E4A"/>
    <w:rsid w:val="00434EA2"/>
    <w:rsid w:val="00435439"/>
    <w:rsid w:val="00436048"/>
    <w:rsid w:val="004362C7"/>
    <w:rsid w:val="004400BE"/>
    <w:rsid w:val="00440AB9"/>
    <w:rsid w:val="0044161B"/>
    <w:rsid w:val="004423DA"/>
    <w:rsid w:val="00443FBC"/>
    <w:rsid w:val="00443FF7"/>
    <w:rsid w:val="00446906"/>
    <w:rsid w:val="00446C05"/>
    <w:rsid w:val="0044781D"/>
    <w:rsid w:val="004479AD"/>
    <w:rsid w:val="004531E8"/>
    <w:rsid w:val="00454B4B"/>
    <w:rsid w:val="00455781"/>
    <w:rsid w:val="0045641B"/>
    <w:rsid w:val="004618CF"/>
    <w:rsid w:val="00463277"/>
    <w:rsid w:val="004644D9"/>
    <w:rsid w:val="00466611"/>
    <w:rsid w:val="004670EF"/>
    <w:rsid w:val="0047159E"/>
    <w:rsid w:val="00471D56"/>
    <w:rsid w:val="00472688"/>
    <w:rsid w:val="00473149"/>
    <w:rsid w:val="00473708"/>
    <w:rsid w:val="004738E0"/>
    <w:rsid w:val="00475D13"/>
    <w:rsid w:val="00475FE9"/>
    <w:rsid w:val="00480A0A"/>
    <w:rsid w:val="0048139F"/>
    <w:rsid w:val="00481B3C"/>
    <w:rsid w:val="00482062"/>
    <w:rsid w:val="00483CCC"/>
    <w:rsid w:val="00484781"/>
    <w:rsid w:val="00485EF6"/>
    <w:rsid w:val="0048673C"/>
    <w:rsid w:val="00486EDF"/>
    <w:rsid w:val="0048734B"/>
    <w:rsid w:val="00490069"/>
    <w:rsid w:val="0049040D"/>
    <w:rsid w:val="0049134F"/>
    <w:rsid w:val="004918CF"/>
    <w:rsid w:val="00492782"/>
    <w:rsid w:val="00492D73"/>
    <w:rsid w:val="004932FD"/>
    <w:rsid w:val="00494BB0"/>
    <w:rsid w:val="00497328"/>
    <w:rsid w:val="004976DF"/>
    <w:rsid w:val="004A0961"/>
    <w:rsid w:val="004A0C12"/>
    <w:rsid w:val="004A2E6F"/>
    <w:rsid w:val="004A2ED0"/>
    <w:rsid w:val="004A3B8F"/>
    <w:rsid w:val="004A4D9F"/>
    <w:rsid w:val="004A774A"/>
    <w:rsid w:val="004A77DF"/>
    <w:rsid w:val="004A7F6D"/>
    <w:rsid w:val="004B0CF8"/>
    <w:rsid w:val="004B0EFC"/>
    <w:rsid w:val="004B1EFD"/>
    <w:rsid w:val="004B38CF"/>
    <w:rsid w:val="004B55B7"/>
    <w:rsid w:val="004C1966"/>
    <w:rsid w:val="004C2E6C"/>
    <w:rsid w:val="004C344F"/>
    <w:rsid w:val="004C3867"/>
    <w:rsid w:val="004C4121"/>
    <w:rsid w:val="004C43FF"/>
    <w:rsid w:val="004C4CD0"/>
    <w:rsid w:val="004C5960"/>
    <w:rsid w:val="004C6F38"/>
    <w:rsid w:val="004C70DC"/>
    <w:rsid w:val="004D0211"/>
    <w:rsid w:val="004D059E"/>
    <w:rsid w:val="004D3AA6"/>
    <w:rsid w:val="004D4ED3"/>
    <w:rsid w:val="004D6E66"/>
    <w:rsid w:val="004D70A1"/>
    <w:rsid w:val="004D7622"/>
    <w:rsid w:val="004E0DA0"/>
    <w:rsid w:val="004E3005"/>
    <w:rsid w:val="004E3936"/>
    <w:rsid w:val="004E3D6B"/>
    <w:rsid w:val="004E3E7B"/>
    <w:rsid w:val="004E44F4"/>
    <w:rsid w:val="004E46DF"/>
    <w:rsid w:val="004E4AF3"/>
    <w:rsid w:val="004E532A"/>
    <w:rsid w:val="004E57C7"/>
    <w:rsid w:val="004E5C31"/>
    <w:rsid w:val="004E6919"/>
    <w:rsid w:val="004E6BC8"/>
    <w:rsid w:val="004E7551"/>
    <w:rsid w:val="004E789E"/>
    <w:rsid w:val="004E7A13"/>
    <w:rsid w:val="004E7D3D"/>
    <w:rsid w:val="004F06F5"/>
    <w:rsid w:val="004F0BD9"/>
    <w:rsid w:val="004F0F92"/>
    <w:rsid w:val="004F1915"/>
    <w:rsid w:val="004F25E7"/>
    <w:rsid w:val="004F33A0"/>
    <w:rsid w:val="004F411B"/>
    <w:rsid w:val="004F4FE7"/>
    <w:rsid w:val="004F5578"/>
    <w:rsid w:val="004F6BBE"/>
    <w:rsid w:val="00500B29"/>
    <w:rsid w:val="00500D87"/>
    <w:rsid w:val="0050264F"/>
    <w:rsid w:val="00502D0B"/>
    <w:rsid w:val="00502D0E"/>
    <w:rsid w:val="00503044"/>
    <w:rsid w:val="00503A24"/>
    <w:rsid w:val="00505692"/>
    <w:rsid w:val="005072D0"/>
    <w:rsid w:val="00507F95"/>
    <w:rsid w:val="005108C0"/>
    <w:rsid w:val="00510A30"/>
    <w:rsid w:val="00510CB2"/>
    <w:rsid w:val="005110A5"/>
    <w:rsid w:val="005116AE"/>
    <w:rsid w:val="0051183F"/>
    <w:rsid w:val="00511873"/>
    <w:rsid w:val="00512441"/>
    <w:rsid w:val="00512E54"/>
    <w:rsid w:val="005130E9"/>
    <w:rsid w:val="00513433"/>
    <w:rsid w:val="00513B7E"/>
    <w:rsid w:val="00514924"/>
    <w:rsid w:val="00515B56"/>
    <w:rsid w:val="005161B9"/>
    <w:rsid w:val="00516807"/>
    <w:rsid w:val="00516A92"/>
    <w:rsid w:val="00516C32"/>
    <w:rsid w:val="00516CC3"/>
    <w:rsid w:val="005171EB"/>
    <w:rsid w:val="00517B67"/>
    <w:rsid w:val="00517E28"/>
    <w:rsid w:val="0052107B"/>
    <w:rsid w:val="00524BA7"/>
    <w:rsid w:val="00525137"/>
    <w:rsid w:val="005251DD"/>
    <w:rsid w:val="00527020"/>
    <w:rsid w:val="0052748E"/>
    <w:rsid w:val="0052775C"/>
    <w:rsid w:val="00527BD3"/>
    <w:rsid w:val="00527E4A"/>
    <w:rsid w:val="00530597"/>
    <w:rsid w:val="00530BFD"/>
    <w:rsid w:val="0053208A"/>
    <w:rsid w:val="005323FC"/>
    <w:rsid w:val="0053254A"/>
    <w:rsid w:val="00533F4C"/>
    <w:rsid w:val="00535248"/>
    <w:rsid w:val="00535DB6"/>
    <w:rsid w:val="005361D3"/>
    <w:rsid w:val="005363FE"/>
    <w:rsid w:val="00536462"/>
    <w:rsid w:val="005419BA"/>
    <w:rsid w:val="005438A7"/>
    <w:rsid w:val="005438DE"/>
    <w:rsid w:val="0054507F"/>
    <w:rsid w:val="00545AFD"/>
    <w:rsid w:val="005460E9"/>
    <w:rsid w:val="005529F6"/>
    <w:rsid w:val="00552F1A"/>
    <w:rsid w:val="0055358A"/>
    <w:rsid w:val="0055454F"/>
    <w:rsid w:val="00560C17"/>
    <w:rsid w:val="00560FB2"/>
    <w:rsid w:val="005629BB"/>
    <w:rsid w:val="00562E49"/>
    <w:rsid w:val="00562F22"/>
    <w:rsid w:val="00563888"/>
    <w:rsid w:val="00563D83"/>
    <w:rsid w:val="0056597A"/>
    <w:rsid w:val="00565A4E"/>
    <w:rsid w:val="005679C5"/>
    <w:rsid w:val="005706B1"/>
    <w:rsid w:val="005709D3"/>
    <w:rsid w:val="00570CD6"/>
    <w:rsid w:val="00571D93"/>
    <w:rsid w:val="005729F5"/>
    <w:rsid w:val="00573FFF"/>
    <w:rsid w:val="00574490"/>
    <w:rsid w:val="00574547"/>
    <w:rsid w:val="00574590"/>
    <w:rsid w:val="00575AFF"/>
    <w:rsid w:val="00576FE4"/>
    <w:rsid w:val="00577F03"/>
    <w:rsid w:val="00581B79"/>
    <w:rsid w:val="005821D4"/>
    <w:rsid w:val="00583F8C"/>
    <w:rsid w:val="00583FFD"/>
    <w:rsid w:val="0058628D"/>
    <w:rsid w:val="0058644C"/>
    <w:rsid w:val="005866E9"/>
    <w:rsid w:val="005872D8"/>
    <w:rsid w:val="005874A9"/>
    <w:rsid w:val="00590645"/>
    <w:rsid w:val="00593152"/>
    <w:rsid w:val="00593415"/>
    <w:rsid w:val="00593616"/>
    <w:rsid w:val="005938F5"/>
    <w:rsid w:val="0059475B"/>
    <w:rsid w:val="0059538A"/>
    <w:rsid w:val="00595B7A"/>
    <w:rsid w:val="005962A0"/>
    <w:rsid w:val="005A0714"/>
    <w:rsid w:val="005A21E0"/>
    <w:rsid w:val="005A28B5"/>
    <w:rsid w:val="005A2ADA"/>
    <w:rsid w:val="005A35C9"/>
    <w:rsid w:val="005A3CEB"/>
    <w:rsid w:val="005A4539"/>
    <w:rsid w:val="005A5FA9"/>
    <w:rsid w:val="005A609D"/>
    <w:rsid w:val="005A6C74"/>
    <w:rsid w:val="005A7192"/>
    <w:rsid w:val="005A7741"/>
    <w:rsid w:val="005A7D8C"/>
    <w:rsid w:val="005B259E"/>
    <w:rsid w:val="005B4045"/>
    <w:rsid w:val="005B4204"/>
    <w:rsid w:val="005B4A27"/>
    <w:rsid w:val="005B52EE"/>
    <w:rsid w:val="005B5CDE"/>
    <w:rsid w:val="005B5E34"/>
    <w:rsid w:val="005B609E"/>
    <w:rsid w:val="005B6B27"/>
    <w:rsid w:val="005B7AFC"/>
    <w:rsid w:val="005C0BF9"/>
    <w:rsid w:val="005C11AC"/>
    <w:rsid w:val="005C2E31"/>
    <w:rsid w:val="005C665F"/>
    <w:rsid w:val="005C66E8"/>
    <w:rsid w:val="005C7143"/>
    <w:rsid w:val="005D353F"/>
    <w:rsid w:val="005D3651"/>
    <w:rsid w:val="005D37AA"/>
    <w:rsid w:val="005D3A8D"/>
    <w:rsid w:val="005D44A6"/>
    <w:rsid w:val="005D5733"/>
    <w:rsid w:val="005D5802"/>
    <w:rsid w:val="005D5C82"/>
    <w:rsid w:val="005D5E5F"/>
    <w:rsid w:val="005E2022"/>
    <w:rsid w:val="005E2DDB"/>
    <w:rsid w:val="005E33B5"/>
    <w:rsid w:val="005E3A2D"/>
    <w:rsid w:val="005E3FBD"/>
    <w:rsid w:val="005E505B"/>
    <w:rsid w:val="005E5795"/>
    <w:rsid w:val="005E5841"/>
    <w:rsid w:val="005E68B8"/>
    <w:rsid w:val="005E763D"/>
    <w:rsid w:val="005F0BD1"/>
    <w:rsid w:val="005F0E7E"/>
    <w:rsid w:val="005F2478"/>
    <w:rsid w:val="005F260F"/>
    <w:rsid w:val="005F3C22"/>
    <w:rsid w:val="005F5310"/>
    <w:rsid w:val="005F5344"/>
    <w:rsid w:val="005F6461"/>
    <w:rsid w:val="005F6F84"/>
    <w:rsid w:val="006010B5"/>
    <w:rsid w:val="00601C10"/>
    <w:rsid w:val="0060342E"/>
    <w:rsid w:val="00603BF6"/>
    <w:rsid w:val="00604307"/>
    <w:rsid w:val="00604311"/>
    <w:rsid w:val="00604542"/>
    <w:rsid w:val="0060487F"/>
    <w:rsid w:val="00605D3C"/>
    <w:rsid w:val="00607283"/>
    <w:rsid w:val="006078AD"/>
    <w:rsid w:val="00610EDF"/>
    <w:rsid w:val="0061181C"/>
    <w:rsid w:val="006119BF"/>
    <w:rsid w:val="006137B9"/>
    <w:rsid w:val="00613EFD"/>
    <w:rsid w:val="00615C91"/>
    <w:rsid w:val="00616B56"/>
    <w:rsid w:val="006179E9"/>
    <w:rsid w:val="00620044"/>
    <w:rsid w:val="00620179"/>
    <w:rsid w:val="00623456"/>
    <w:rsid w:val="00624093"/>
    <w:rsid w:val="006257D8"/>
    <w:rsid w:val="0062654A"/>
    <w:rsid w:val="006269EA"/>
    <w:rsid w:val="00626F55"/>
    <w:rsid w:val="00627371"/>
    <w:rsid w:val="0063056C"/>
    <w:rsid w:val="0063382F"/>
    <w:rsid w:val="006343AA"/>
    <w:rsid w:val="00635C2B"/>
    <w:rsid w:val="0063630B"/>
    <w:rsid w:val="006400ED"/>
    <w:rsid w:val="006404A7"/>
    <w:rsid w:val="0064152C"/>
    <w:rsid w:val="00641532"/>
    <w:rsid w:val="00643C82"/>
    <w:rsid w:val="00644401"/>
    <w:rsid w:val="00644C9D"/>
    <w:rsid w:val="006451E4"/>
    <w:rsid w:val="006451F0"/>
    <w:rsid w:val="00645B93"/>
    <w:rsid w:val="00652AFC"/>
    <w:rsid w:val="006532F0"/>
    <w:rsid w:val="0065332E"/>
    <w:rsid w:val="00656BF8"/>
    <w:rsid w:val="00657E87"/>
    <w:rsid w:val="00660575"/>
    <w:rsid w:val="00662212"/>
    <w:rsid w:val="00662635"/>
    <w:rsid w:val="00662A19"/>
    <w:rsid w:val="00663E02"/>
    <w:rsid w:val="006646F2"/>
    <w:rsid w:val="006652C4"/>
    <w:rsid w:val="006655D8"/>
    <w:rsid w:val="006664F5"/>
    <w:rsid w:val="006710C9"/>
    <w:rsid w:val="0067118A"/>
    <w:rsid w:val="00671F0C"/>
    <w:rsid w:val="00673310"/>
    <w:rsid w:val="00673CD6"/>
    <w:rsid w:val="00675E37"/>
    <w:rsid w:val="006817EB"/>
    <w:rsid w:val="00681EC9"/>
    <w:rsid w:val="0068221E"/>
    <w:rsid w:val="0068260E"/>
    <w:rsid w:val="00682E35"/>
    <w:rsid w:val="00683E98"/>
    <w:rsid w:val="006845D1"/>
    <w:rsid w:val="00687495"/>
    <w:rsid w:val="00690183"/>
    <w:rsid w:val="006902F9"/>
    <w:rsid w:val="00690FC3"/>
    <w:rsid w:val="00692262"/>
    <w:rsid w:val="0069255F"/>
    <w:rsid w:val="00693C50"/>
    <w:rsid w:val="00693D68"/>
    <w:rsid w:val="006954F9"/>
    <w:rsid w:val="00695BEF"/>
    <w:rsid w:val="006977F6"/>
    <w:rsid w:val="00697A13"/>
    <w:rsid w:val="00697C74"/>
    <w:rsid w:val="006A109C"/>
    <w:rsid w:val="006A281E"/>
    <w:rsid w:val="006A2DAC"/>
    <w:rsid w:val="006A3AB0"/>
    <w:rsid w:val="006A41F7"/>
    <w:rsid w:val="006A4607"/>
    <w:rsid w:val="006A4FCA"/>
    <w:rsid w:val="006A68FD"/>
    <w:rsid w:val="006B2637"/>
    <w:rsid w:val="006B3C6F"/>
    <w:rsid w:val="006B44EB"/>
    <w:rsid w:val="006B6C1B"/>
    <w:rsid w:val="006B78D8"/>
    <w:rsid w:val="006B79DE"/>
    <w:rsid w:val="006C113F"/>
    <w:rsid w:val="006C1B2A"/>
    <w:rsid w:val="006C2600"/>
    <w:rsid w:val="006C27E6"/>
    <w:rsid w:val="006C3601"/>
    <w:rsid w:val="006C3C9F"/>
    <w:rsid w:val="006C446E"/>
    <w:rsid w:val="006C4F1F"/>
    <w:rsid w:val="006C7525"/>
    <w:rsid w:val="006C7EA7"/>
    <w:rsid w:val="006D0D80"/>
    <w:rsid w:val="006D13BD"/>
    <w:rsid w:val="006D1CB5"/>
    <w:rsid w:val="006D24BB"/>
    <w:rsid w:val="006D2559"/>
    <w:rsid w:val="006D2BB0"/>
    <w:rsid w:val="006D2BDA"/>
    <w:rsid w:val="006D34C1"/>
    <w:rsid w:val="006D4821"/>
    <w:rsid w:val="006D566D"/>
    <w:rsid w:val="006D61F6"/>
    <w:rsid w:val="006D7F8A"/>
    <w:rsid w:val="006E022D"/>
    <w:rsid w:val="006E0C18"/>
    <w:rsid w:val="006E0C59"/>
    <w:rsid w:val="006E120C"/>
    <w:rsid w:val="006E20A5"/>
    <w:rsid w:val="006E279A"/>
    <w:rsid w:val="006E30C5"/>
    <w:rsid w:val="006E313B"/>
    <w:rsid w:val="006E3865"/>
    <w:rsid w:val="006E4920"/>
    <w:rsid w:val="006E4DBB"/>
    <w:rsid w:val="006E5CD2"/>
    <w:rsid w:val="006E77B8"/>
    <w:rsid w:val="006E7C47"/>
    <w:rsid w:val="006F1594"/>
    <w:rsid w:val="006F1979"/>
    <w:rsid w:val="006F1D47"/>
    <w:rsid w:val="006F3933"/>
    <w:rsid w:val="006F44F9"/>
    <w:rsid w:val="006F51D5"/>
    <w:rsid w:val="006F5D28"/>
    <w:rsid w:val="006F5D5F"/>
    <w:rsid w:val="006F62F4"/>
    <w:rsid w:val="006F6A6F"/>
    <w:rsid w:val="006F6BF4"/>
    <w:rsid w:val="006F7318"/>
    <w:rsid w:val="006F7D6F"/>
    <w:rsid w:val="0070046A"/>
    <w:rsid w:val="007011A3"/>
    <w:rsid w:val="0070199D"/>
    <w:rsid w:val="00702312"/>
    <w:rsid w:val="00703A95"/>
    <w:rsid w:val="00704E80"/>
    <w:rsid w:val="007066ED"/>
    <w:rsid w:val="00707ACC"/>
    <w:rsid w:val="00710016"/>
    <w:rsid w:val="00710A84"/>
    <w:rsid w:val="00710C31"/>
    <w:rsid w:val="00711334"/>
    <w:rsid w:val="00711A84"/>
    <w:rsid w:val="00712F79"/>
    <w:rsid w:val="00714941"/>
    <w:rsid w:val="00714A89"/>
    <w:rsid w:val="007158BD"/>
    <w:rsid w:val="00715C3C"/>
    <w:rsid w:val="007211F5"/>
    <w:rsid w:val="00721870"/>
    <w:rsid w:val="00730398"/>
    <w:rsid w:val="00730645"/>
    <w:rsid w:val="00730AE2"/>
    <w:rsid w:val="00730AE8"/>
    <w:rsid w:val="00730E5F"/>
    <w:rsid w:val="00731782"/>
    <w:rsid w:val="007325E4"/>
    <w:rsid w:val="00732A80"/>
    <w:rsid w:val="00733287"/>
    <w:rsid w:val="00733953"/>
    <w:rsid w:val="007357DE"/>
    <w:rsid w:val="00737392"/>
    <w:rsid w:val="00737F64"/>
    <w:rsid w:val="00740247"/>
    <w:rsid w:val="00741493"/>
    <w:rsid w:val="0074449E"/>
    <w:rsid w:val="00746899"/>
    <w:rsid w:val="007504B3"/>
    <w:rsid w:val="0075203E"/>
    <w:rsid w:val="00752180"/>
    <w:rsid w:val="00753D5E"/>
    <w:rsid w:val="0075538A"/>
    <w:rsid w:val="00755AFC"/>
    <w:rsid w:val="00755D3A"/>
    <w:rsid w:val="00757E60"/>
    <w:rsid w:val="00757F64"/>
    <w:rsid w:val="0076034C"/>
    <w:rsid w:val="007609C6"/>
    <w:rsid w:val="0076194D"/>
    <w:rsid w:val="00761B3D"/>
    <w:rsid w:val="00763242"/>
    <w:rsid w:val="00764739"/>
    <w:rsid w:val="00764CB6"/>
    <w:rsid w:val="0076676A"/>
    <w:rsid w:val="007701FB"/>
    <w:rsid w:val="00771C4D"/>
    <w:rsid w:val="00772FD6"/>
    <w:rsid w:val="007738B5"/>
    <w:rsid w:val="00776527"/>
    <w:rsid w:val="00776925"/>
    <w:rsid w:val="00776E52"/>
    <w:rsid w:val="00777A7F"/>
    <w:rsid w:val="00782419"/>
    <w:rsid w:val="00782C2D"/>
    <w:rsid w:val="00784FF8"/>
    <w:rsid w:val="0078609D"/>
    <w:rsid w:val="007862F6"/>
    <w:rsid w:val="007866DC"/>
    <w:rsid w:val="007902DA"/>
    <w:rsid w:val="00790A26"/>
    <w:rsid w:val="00790BA8"/>
    <w:rsid w:val="00792E1B"/>
    <w:rsid w:val="0079384B"/>
    <w:rsid w:val="00793F37"/>
    <w:rsid w:val="00797B10"/>
    <w:rsid w:val="00797F5F"/>
    <w:rsid w:val="007A04CE"/>
    <w:rsid w:val="007A1D16"/>
    <w:rsid w:val="007A2F09"/>
    <w:rsid w:val="007A33E4"/>
    <w:rsid w:val="007A3CED"/>
    <w:rsid w:val="007A5211"/>
    <w:rsid w:val="007A5252"/>
    <w:rsid w:val="007A5794"/>
    <w:rsid w:val="007B05E9"/>
    <w:rsid w:val="007B06B2"/>
    <w:rsid w:val="007B06EC"/>
    <w:rsid w:val="007B077B"/>
    <w:rsid w:val="007B27B9"/>
    <w:rsid w:val="007B2DA5"/>
    <w:rsid w:val="007B31E6"/>
    <w:rsid w:val="007B39E8"/>
    <w:rsid w:val="007C0837"/>
    <w:rsid w:val="007C1FCD"/>
    <w:rsid w:val="007C295A"/>
    <w:rsid w:val="007C2A31"/>
    <w:rsid w:val="007C3F6A"/>
    <w:rsid w:val="007C4C1A"/>
    <w:rsid w:val="007C626D"/>
    <w:rsid w:val="007C632B"/>
    <w:rsid w:val="007D0303"/>
    <w:rsid w:val="007D0714"/>
    <w:rsid w:val="007D0CCD"/>
    <w:rsid w:val="007D1FB5"/>
    <w:rsid w:val="007D2A09"/>
    <w:rsid w:val="007D2C7A"/>
    <w:rsid w:val="007D4055"/>
    <w:rsid w:val="007D51F1"/>
    <w:rsid w:val="007D66A3"/>
    <w:rsid w:val="007E2B9E"/>
    <w:rsid w:val="007E2CCC"/>
    <w:rsid w:val="007E3FA2"/>
    <w:rsid w:val="007E41A1"/>
    <w:rsid w:val="007E575C"/>
    <w:rsid w:val="007E7E61"/>
    <w:rsid w:val="007F0845"/>
    <w:rsid w:val="007F146E"/>
    <w:rsid w:val="007F1DB7"/>
    <w:rsid w:val="007F21F2"/>
    <w:rsid w:val="007F234B"/>
    <w:rsid w:val="007F2C20"/>
    <w:rsid w:val="007F3DCD"/>
    <w:rsid w:val="007F43BF"/>
    <w:rsid w:val="007F54C9"/>
    <w:rsid w:val="007F5A1B"/>
    <w:rsid w:val="007F6055"/>
    <w:rsid w:val="007F7649"/>
    <w:rsid w:val="007F7CD2"/>
    <w:rsid w:val="0080002C"/>
    <w:rsid w:val="0080103E"/>
    <w:rsid w:val="00801042"/>
    <w:rsid w:val="00801128"/>
    <w:rsid w:val="008046CE"/>
    <w:rsid w:val="0080498A"/>
    <w:rsid w:val="00804F81"/>
    <w:rsid w:val="0080500B"/>
    <w:rsid w:val="0080521C"/>
    <w:rsid w:val="00805E10"/>
    <w:rsid w:val="0080613B"/>
    <w:rsid w:val="00807C33"/>
    <w:rsid w:val="008101D1"/>
    <w:rsid w:val="00811FFE"/>
    <w:rsid w:val="0081287F"/>
    <w:rsid w:val="008132DA"/>
    <w:rsid w:val="008144AC"/>
    <w:rsid w:val="00817A19"/>
    <w:rsid w:val="00820B41"/>
    <w:rsid w:val="00821847"/>
    <w:rsid w:val="00821FF6"/>
    <w:rsid w:val="00822FAF"/>
    <w:rsid w:val="008239D7"/>
    <w:rsid w:val="00825F7B"/>
    <w:rsid w:val="00831054"/>
    <w:rsid w:val="0083143E"/>
    <w:rsid w:val="0083159F"/>
    <w:rsid w:val="008315BD"/>
    <w:rsid w:val="00832251"/>
    <w:rsid w:val="00832F47"/>
    <w:rsid w:val="0083479A"/>
    <w:rsid w:val="00834FAA"/>
    <w:rsid w:val="00836086"/>
    <w:rsid w:val="00836C3C"/>
    <w:rsid w:val="00840136"/>
    <w:rsid w:val="00840C7B"/>
    <w:rsid w:val="00840E30"/>
    <w:rsid w:val="00841063"/>
    <w:rsid w:val="00842E41"/>
    <w:rsid w:val="00842E48"/>
    <w:rsid w:val="00844545"/>
    <w:rsid w:val="00844734"/>
    <w:rsid w:val="008458BA"/>
    <w:rsid w:val="00845AF1"/>
    <w:rsid w:val="00847509"/>
    <w:rsid w:val="00847B1D"/>
    <w:rsid w:val="00847E75"/>
    <w:rsid w:val="008503D2"/>
    <w:rsid w:val="0085164D"/>
    <w:rsid w:val="008530CD"/>
    <w:rsid w:val="0085659D"/>
    <w:rsid w:val="00856E6C"/>
    <w:rsid w:val="00857CF9"/>
    <w:rsid w:val="00861533"/>
    <w:rsid w:val="0086188F"/>
    <w:rsid w:val="008623C5"/>
    <w:rsid w:val="00862F08"/>
    <w:rsid w:val="00863620"/>
    <w:rsid w:val="00863D57"/>
    <w:rsid w:val="00866C5B"/>
    <w:rsid w:val="00867F87"/>
    <w:rsid w:val="008705D5"/>
    <w:rsid w:val="00870BD2"/>
    <w:rsid w:val="0087136A"/>
    <w:rsid w:val="00874347"/>
    <w:rsid w:val="00874492"/>
    <w:rsid w:val="0087478F"/>
    <w:rsid w:val="00875475"/>
    <w:rsid w:val="00875ACA"/>
    <w:rsid w:val="00875DD5"/>
    <w:rsid w:val="00876086"/>
    <w:rsid w:val="00876CA7"/>
    <w:rsid w:val="00876ED6"/>
    <w:rsid w:val="00877369"/>
    <w:rsid w:val="00877587"/>
    <w:rsid w:val="00877B42"/>
    <w:rsid w:val="00880A24"/>
    <w:rsid w:val="008819DC"/>
    <w:rsid w:val="00881B2C"/>
    <w:rsid w:val="008821EB"/>
    <w:rsid w:val="00882361"/>
    <w:rsid w:val="008829B8"/>
    <w:rsid w:val="00882CA7"/>
    <w:rsid w:val="00883EF6"/>
    <w:rsid w:val="008856EC"/>
    <w:rsid w:val="00885F25"/>
    <w:rsid w:val="0088724D"/>
    <w:rsid w:val="0088749F"/>
    <w:rsid w:val="008877F9"/>
    <w:rsid w:val="00887973"/>
    <w:rsid w:val="00887BDA"/>
    <w:rsid w:val="00891172"/>
    <w:rsid w:val="0089338B"/>
    <w:rsid w:val="008937CB"/>
    <w:rsid w:val="00893EC7"/>
    <w:rsid w:val="008942A8"/>
    <w:rsid w:val="008A1882"/>
    <w:rsid w:val="008A1F0F"/>
    <w:rsid w:val="008A23EC"/>
    <w:rsid w:val="008A2CD5"/>
    <w:rsid w:val="008A2E30"/>
    <w:rsid w:val="008A31DC"/>
    <w:rsid w:val="008A5856"/>
    <w:rsid w:val="008A5D2B"/>
    <w:rsid w:val="008A5FFF"/>
    <w:rsid w:val="008A69D9"/>
    <w:rsid w:val="008A6C6F"/>
    <w:rsid w:val="008A7D69"/>
    <w:rsid w:val="008B272B"/>
    <w:rsid w:val="008B2742"/>
    <w:rsid w:val="008B2B07"/>
    <w:rsid w:val="008B4E2F"/>
    <w:rsid w:val="008B5E16"/>
    <w:rsid w:val="008B7032"/>
    <w:rsid w:val="008B760E"/>
    <w:rsid w:val="008B7A7D"/>
    <w:rsid w:val="008B7C02"/>
    <w:rsid w:val="008C0003"/>
    <w:rsid w:val="008C07F6"/>
    <w:rsid w:val="008C082F"/>
    <w:rsid w:val="008C0B92"/>
    <w:rsid w:val="008C0E88"/>
    <w:rsid w:val="008C1A57"/>
    <w:rsid w:val="008C2B90"/>
    <w:rsid w:val="008C3A0F"/>
    <w:rsid w:val="008C608F"/>
    <w:rsid w:val="008D0BD0"/>
    <w:rsid w:val="008D2A16"/>
    <w:rsid w:val="008D3CBD"/>
    <w:rsid w:val="008D6563"/>
    <w:rsid w:val="008D68F3"/>
    <w:rsid w:val="008E183C"/>
    <w:rsid w:val="008E31FF"/>
    <w:rsid w:val="008E4065"/>
    <w:rsid w:val="008E4C6C"/>
    <w:rsid w:val="008E6520"/>
    <w:rsid w:val="008F0178"/>
    <w:rsid w:val="008F0538"/>
    <w:rsid w:val="008F0BC7"/>
    <w:rsid w:val="008F1814"/>
    <w:rsid w:val="008F196F"/>
    <w:rsid w:val="008F1F72"/>
    <w:rsid w:val="008F371B"/>
    <w:rsid w:val="008F5169"/>
    <w:rsid w:val="008F5329"/>
    <w:rsid w:val="009003A8"/>
    <w:rsid w:val="00901510"/>
    <w:rsid w:val="009023EE"/>
    <w:rsid w:val="00902EFF"/>
    <w:rsid w:val="009037D1"/>
    <w:rsid w:val="009059F0"/>
    <w:rsid w:val="009064E1"/>
    <w:rsid w:val="00906960"/>
    <w:rsid w:val="00910405"/>
    <w:rsid w:val="00910A05"/>
    <w:rsid w:val="00912CAA"/>
    <w:rsid w:val="00914A9A"/>
    <w:rsid w:val="00915C41"/>
    <w:rsid w:val="00916458"/>
    <w:rsid w:val="00916650"/>
    <w:rsid w:val="00917541"/>
    <w:rsid w:val="00920AD1"/>
    <w:rsid w:val="00921108"/>
    <w:rsid w:val="0092187B"/>
    <w:rsid w:val="00921F14"/>
    <w:rsid w:val="00922BE8"/>
    <w:rsid w:val="009230B4"/>
    <w:rsid w:val="00924E49"/>
    <w:rsid w:val="009259D3"/>
    <w:rsid w:val="00925CA7"/>
    <w:rsid w:val="009271E9"/>
    <w:rsid w:val="00927A01"/>
    <w:rsid w:val="00927C8B"/>
    <w:rsid w:val="009311FE"/>
    <w:rsid w:val="00932499"/>
    <w:rsid w:val="00933073"/>
    <w:rsid w:val="009338E5"/>
    <w:rsid w:val="0093390B"/>
    <w:rsid w:val="00933D08"/>
    <w:rsid w:val="00935B0F"/>
    <w:rsid w:val="00936C49"/>
    <w:rsid w:val="00941519"/>
    <w:rsid w:val="00941A36"/>
    <w:rsid w:val="00942A69"/>
    <w:rsid w:val="00943FA7"/>
    <w:rsid w:val="0094427A"/>
    <w:rsid w:val="0094535A"/>
    <w:rsid w:val="00945A31"/>
    <w:rsid w:val="00946733"/>
    <w:rsid w:val="00947596"/>
    <w:rsid w:val="00950886"/>
    <w:rsid w:val="00952983"/>
    <w:rsid w:val="009558BD"/>
    <w:rsid w:val="00955B8B"/>
    <w:rsid w:val="00956737"/>
    <w:rsid w:val="009571CF"/>
    <w:rsid w:val="00960870"/>
    <w:rsid w:val="00960C15"/>
    <w:rsid w:val="0096129A"/>
    <w:rsid w:val="00961E31"/>
    <w:rsid w:val="00962A7A"/>
    <w:rsid w:val="00963F00"/>
    <w:rsid w:val="00965629"/>
    <w:rsid w:val="0096694B"/>
    <w:rsid w:val="00970275"/>
    <w:rsid w:val="00970D6B"/>
    <w:rsid w:val="009711D5"/>
    <w:rsid w:val="0097142A"/>
    <w:rsid w:val="00971C2D"/>
    <w:rsid w:val="00971E56"/>
    <w:rsid w:val="00974923"/>
    <w:rsid w:val="009757A9"/>
    <w:rsid w:val="00976B35"/>
    <w:rsid w:val="00977E3B"/>
    <w:rsid w:val="009804D9"/>
    <w:rsid w:val="009804EE"/>
    <w:rsid w:val="0098213E"/>
    <w:rsid w:val="00984A3F"/>
    <w:rsid w:val="00984E99"/>
    <w:rsid w:val="00986188"/>
    <w:rsid w:val="00986484"/>
    <w:rsid w:val="00987E97"/>
    <w:rsid w:val="009932AF"/>
    <w:rsid w:val="009932EC"/>
    <w:rsid w:val="00994A4E"/>
    <w:rsid w:val="00995A29"/>
    <w:rsid w:val="00995C04"/>
    <w:rsid w:val="0099747B"/>
    <w:rsid w:val="009A1C6B"/>
    <w:rsid w:val="009A30E6"/>
    <w:rsid w:val="009A3AED"/>
    <w:rsid w:val="009A5806"/>
    <w:rsid w:val="009A7070"/>
    <w:rsid w:val="009A7503"/>
    <w:rsid w:val="009B0673"/>
    <w:rsid w:val="009B1672"/>
    <w:rsid w:val="009B429E"/>
    <w:rsid w:val="009B6FD3"/>
    <w:rsid w:val="009B76CE"/>
    <w:rsid w:val="009B7811"/>
    <w:rsid w:val="009C084A"/>
    <w:rsid w:val="009C3246"/>
    <w:rsid w:val="009C3B7E"/>
    <w:rsid w:val="009C3E4B"/>
    <w:rsid w:val="009C5416"/>
    <w:rsid w:val="009C5518"/>
    <w:rsid w:val="009D2407"/>
    <w:rsid w:val="009D2BBA"/>
    <w:rsid w:val="009D2EFB"/>
    <w:rsid w:val="009D31C9"/>
    <w:rsid w:val="009D493D"/>
    <w:rsid w:val="009D5058"/>
    <w:rsid w:val="009D549B"/>
    <w:rsid w:val="009D5E27"/>
    <w:rsid w:val="009D73C2"/>
    <w:rsid w:val="009D7A68"/>
    <w:rsid w:val="009E07D9"/>
    <w:rsid w:val="009E1A45"/>
    <w:rsid w:val="009E20CC"/>
    <w:rsid w:val="009E389F"/>
    <w:rsid w:val="009E3B01"/>
    <w:rsid w:val="009E5537"/>
    <w:rsid w:val="009E5D62"/>
    <w:rsid w:val="009E65B8"/>
    <w:rsid w:val="009E7CBA"/>
    <w:rsid w:val="009E7D09"/>
    <w:rsid w:val="009F2015"/>
    <w:rsid w:val="009F25B3"/>
    <w:rsid w:val="009F29BB"/>
    <w:rsid w:val="009F374A"/>
    <w:rsid w:val="009F4C2C"/>
    <w:rsid w:val="009F73C2"/>
    <w:rsid w:val="009F78A6"/>
    <w:rsid w:val="00A00D69"/>
    <w:rsid w:val="00A031E5"/>
    <w:rsid w:val="00A033E7"/>
    <w:rsid w:val="00A04299"/>
    <w:rsid w:val="00A05934"/>
    <w:rsid w:val="00A05C52"/>
    <w:rsid w:val="00A05E18"/>
    <w:rsid w:val="00A06C1F"/>
    <w:rsid w:val="00A0746B"/>
    <w:rsid w:val="00A07932"/>
    <w:rsid w:val="00A10D66"/>
    <w:rsid w:val="00A11505"/>
    <w:rsid w:val="00A1203B"/>
    <w:rsid w:val="00A13FB1"/>
    <w:rsid w:val="00A1562B"/>
    <w:rsid w:val="00A1593D"/>
    <w:rsid w:val="00A16023"/>
    <w:rsid w:val="00A17ECA"/>
    <w:rsid w:val="00A21A2E"/>
    <w:rsid w:val="00A21A44"/>
    <w:rsid w:val="00A22DA0"/>
    <w:rsid w:val="00A22F32"/>
    <w:rsid w:val="00A235EF"/>
    <w:rsid w:val="00A23E43"/>
    <w:rsid w:val="00A25902"/>
    <w:rsid w:val="00A259C1"/>
    <w:rsid w:val="00A32F3F"/>
    <w:rsid w:val="00A33820"/>
    <w:rsid w:val="00A33BB6"/>
    <w:rsid w:val="00A3413D"/>
    <w:rsid w:val="00A346BD"/>
    <w:rsid w:val="00A4170C"/>
    <w:rsid w:val="00A41C6D"/>
    <w:rsid w:val="00A44820"/>
    <w:rsid w:val="00A459EC"/>
    <w:rsid w:val="00A46DE0"/>
    <w:rsid w:val="00A5354B"/>
    <w:rsid w:val="00A53F26"/>
    <w:rsid w:val="00A542FC"/>
    <w:rsid w:val="00A56914"/>
    <w:rsid w:val="00A56D87"/>
    <w:rsid w:val="00A5724F"/>
    <w:rsid w:val="00A573EF"/>
    <w:rsid w:val="00A57A3A"/>
    <w:rsid w:val="00A57C2B"/>
    <w:rsid w:val="00A605DD"/>
    <w:rsid w:val="00A62CE1"/>
    <w:rsid w:val="00A62D42"/>
    <w:rsid w:val="00A63804"/>
    <w:rsid w:val="00A63C51"/>
    <w:rsid w:val="00A6499A"/>
    <w:rsid w:val="00A650A8"/>
    <w:rsid w:val="00A65F61"/>
    <w:rsid w:val="00A67FDB"/>
    <w:rsid w:val="00A70410"/>
    <w:rsid w:val="00A70A04"/>
    <w:rsid w:val="00A70E08"/>
    <w:rsid w:val="00A72F8C"/>
    <w:rsid w:val="00A7383D"/>
    <w:rsid w:val="00A75964"/>
    <w:rsid w:val="00A75E40"/>
    <w:rsid w:val="00A76B96"/>
    <w:rsid w:val="00A76D62"/>
    <w:rsid w:val="00A76E08"/>
    <w:rsid w:val="00A77C4A"/>
    <w:rsid w:val="00A77CC5"/>
    <w:rsid w:val="00A808E6"/>
    <w:rsid w:val="00A81C4D"/>
    <w:rsid w:val="00A83B8B"/>
    <w:rsid w:val="00A83DF5"/>
    <w:rsid w:val="00A85057"/>
    <w:rsid w:val="00A857C0"/>
    <w:rsid w:val="00A87389"/>
    <w:rsid w:val="00A87C69"/>
    <w:rsid w:val="00A92FE8"/>
    <w:rsid w:val="00A93911"/>
    <w:rsid w:val="00A9460A"/>
    <w:rsid w:val="00A94A15"/>
    <w:rsid w:val="00A94E20"/>
    <w:rsid w:val="00A95A16"/>
    <w:rsid w:val="00AA294B"/>
    <w:rsid w:val="00AA2DF1"/>
    <w:rsid w:val="00AA421E"/>
    <w:rsid w:val="00AA4292"/>
    <w:rsid w:val="00AA4791"/>
    <w:rsid w:val="00AA502D"/>
    <w:rsid w:val="00AA559A"/>
    <w:rsid w:val="00AA672D"/>
    <w:rsid w:val="00AA6C83"/>
    <w:rsid w:val="00AA77CA"/>
    <w:rsid w:val="00AB10C4"/>
    <w:rsid w:val="00AB1E85"/>
    <w:rsid w:val="00AB25BC"/>
    <w:rsid w:val="00AB2AF1"/>
    <w:rsid w:val="00AB58C2"/>
    <w:rsid w:val="00AB67CD"/>
    <w:rsid w:val="00AB6DA6"/>
    <w:rsid w:val="00AB70B0"/>
    <w:rsid w:val="00AC126E"/>
    <w:rsid w:val="00AC1AEC"/>
    <w:rsid w:val="00AC2691"/>
    <w:rsid w:val="00AC2B58"/>
    <w:rsid w:val="00AC3332"/>
    <w:rsid w:val="00AC3597"/>
    <w:rsid w:val="00AC3697"/>
    <w:rsid w:val="00AC392B"/>
    <w:rsid w:val="00AC48C9"/>
    <w:rsid w:val="00AC57CA"/>
    <w:rsid w:val="00AC5832"/>
    <w:rsid w:val="00AC62CF"/>
    <w:rsid w:val="00AD0520"/>
    <w:rsid w:val="00AD056B"/>
    <w:rsid w:val="00AD0B12"/>
    <w:rsid w:val="00AD1A4B"/>
    <w:rsid w:val="00AD233C"/>
    <w:rsid w:val="00AD306C"/>
    <w:rsid w:val="00AD3CE8"/>
    <w:rsid w:val="00AD50ED"/>
    <w:rsid w:val="00AD549E"/>
    <w:rsid w:val="00AD5637"/>
    <w:rsid w:val="00AE038C"/>
    <w:rsid w:val="00AE0ECC"/>
    <w:rsid w:val="00AE1CD2"/>
    <w:rsid w:val="00AE20C4"/>
    <w:rsid w:val="00AE302E"/>
    <w:rsid w:val="00AE3995"/>
    <w:rsid w:val="00AE3BAB"/>
    <w:rsid w:val="00AE501C"/>
    <w:rsid w:val="00AE5259"/>
    <w:rsid w:val="00AE7361"/>
    <w:rsid w:val="00AF3EF6"/>
    <w:rsid w:val="00AF4DBF"/>
    <w:rsid w:val="00AF543B"/>
    <w:rsid w:val="00AF604D"/>
    <w:rsid w:val="00AF6897"/>
    <w:rsid w:val="00AF6E7B"/>
    <w:rsid w:val="00AF6FDB"/>
    <w:rsid w:val="00AF71E4"/>
    <w:rsid w:val="00AF750B"/>
    <w:rsid w:val="00AF77F0"/>
    <w:rsid w:val="00B00C7B"/>
    <w:rsid w:val="00B00DEC"/>
    <w:rsid w:val="00B00E2A"/>
    <w:rsid w:val="00B021DC"/>
    <w:rsid w:val="00B031D4"/>
    <w:rsid w:val="00B03333"/>
    <w:rsid w:val="00B04F25"/>
    <w:rsid w:val="00B050E2"/>
    <w:rsid w:val="00B0569B"/>
    <w:rsid w:val="00B062B3"/>
    <w:rsid w:val="00B06698"/>
    <w:rsid w:val="00B06DA9"/>
    <w:rsid w:val="00B07DD5"/>
    <w:rsid w:val="00B109C5"/>
    <w:rsid w:val="00B11B89"/>
    <w:rsid w:val="00B13FFF"/>
    <w:rsid w:val="00B14834"/>
    <w:rsid w:val="00B15254"/>
    <w:rsid w:val="00B16BD5"/>
    <w:rsid w:val="00B178A2"/>
    <w:rsid w:val="00B17E71"/>
    <w:rsid w:val="00B17FDE"/>
    <w:rsid w:val="00B2077E"/>
    <w:rsid w:val="00B214B0"/>
    <w:rsid w:val="00B233C9"/>
    <w:rsid w:val="00B24A27"/>
    <w:rsid w:val="00B27E1F"/>
    <w:rsid w:val="00B30BF1"/>
    <w:rsid w:val="00B32114"/>
    <w:rsid w:val="00B325AF"/>
    <w:rsid w:val="00B32DDB"/>
    <w:rsid w:val="00B3335A"/>
    <w:rsid w:val="00B33686"/>
    <w:rsid w:val="00B33C76"/>
    <w:rsid w:val="00B360DE"/>
    <w:rsid w:val="00B40138"/>
    <w:rsid w:val="00B4079B"/>
    <w:rsid w:val="00B407D2"/>
    <w:rsid w:val="00B42399"/>
    <w:rsid w:val="00B42747"/>
    <w:rsid w:val="00B42A43"/>
    <w:rsid w:val="00B4351A"/>
    <w:rsid w:val="00B45180"/>
    <w:rsid w:val="00B45197"/>
    <w:rsid w:val="00B456FE"/>
    <w:rsid w:val="00B45F1C"/>
    <w:rsid w:val="00B522F9"/>
    <w:rsid w:val="00B529B6"/>
    <w:rsid w:val="00B5555B"/>
    <w:rsid w:val="00B57A4E"/>
    <w:rsid w:val="00B6341E"/>
    <w:rsid w:val="00B649AB"/>
    <w:rsid w:val="00B6551F"/>
    <w:rsid w:val="00B658C4"/>
    <w:rsid w:val="00B6608F"/>
    <w:rsid w:val="00B66298"/>
    <w:rsid w:val="00B664E4"/>
    <w:rsid w:val="00B66EF0"/>
    <w:rsid w:val="00B67CC5"/>
    <w:rsid w:val="00B718E1"/>
    <w:rsid w:val="00B72FED"/>
    <w:rsid w:val="00B765A7"/>
    <w:rsid w:val="00B76D1E"/>
    <w:rsid w:val="00B82A76"/>
    <w:rsid w:val="00B84588"/>
    <w:rsid w:val="00B849FD"/>
    <w:rsid w:val="00B858DD"/>
    <w:rsid w:val="00B86C5E"/>
    <w:rsid w:val="00B86FC5"/>
    <w:rsid w:val="00B912EA"/>
    <w:rsid w:val="00B93D28"/>
    <w:rsid w:val="00B95940"/>
    <w:rsid w:val="00B967BC"/>
    <w:rsid w:val="00B96C64"/>
    <w:rsid w:val="00BA0022"/>
    <w:rsid w:val="00BA0F35"/>
    <w:rsid w:val="00BA1953"/>
    <w:rsid w:val="00BA2839"/>
    <w:rsid w:val="00BA2D52"/>
    <w:rsid w:val="00BA4E76"/>
    <w:rsid w:val="00BA5E51"/>
    <w:rsid w:val="00BA7D31"/>
    <w:rsid w:val="00BB1863"/>
    <w:rsid w:val="00BB2094"/>
    <w:rsid w:val="00BB26C2"/>
    <w:rsid w:val="00BB2BB3"/>
    <w:rsid w:val="00BB549A"/>
    <w:rsid w:val="00BB6799"/>
    <w:rsid w:val="00BB6921"/>
    <w:rsid w:val="00BB764B"/>
    <w:rsid w:val="00BB76FE"/>
    <w:rsid w:val="00BB7952"/>
    <w:rsid w:val="00BC3805"/>
    <w:rsid w:val="00BC39D0"/>
    <w:rsid w:val="00BC3E92"/>
    <w:rsid w:val="00BC3E99"/>
    <w:rsid w:val="00BC46B1"/>
    <w:rsid w:val="00BC5110"/>
    <w:rsid w:val="00BC57A9"/>
    <w:rsid w:val="00BC6AC1"/>
    <w:rsid w:val="00BC6DAF"/>
    <w:rsid w:val="00BC79BD"/>
    <w:rsid w:val="00BC7B9A"/>
    <w:rsid w:val="00BD0E3B"/>
    <w:rsid w:val="00BD35AB"/>
    <w:rsid w:val="00BD366B"/>
    <w:rsid w:val="00BD3835"/>
    <w:rsid w:val="00BD43E0"/>
    <w:rsid w:val="00BD4C1C"/>
    <w:rsid w:val="00BD6537"/>
    <w:rsid w:val="00BD6CC1"/>
    <w:rsid w:val="00BD6D50"/>
    <w:rsid w:val="00BE0470"/>
    <w:rsid w:val="00BE0EF9"/>
    <w:rsid w:val="00BE1794"/>
    <w:rsid w:val="00BE1BBB"/>
    <w:rsid w:val="00BE1BFE"/>
    <w:rsid w:val="00BE33B7"/>
    <w:rsid w:val="00BE3AD1"/>
    <w:rsid w:val="00BE4FA5"/>
    <w:rsid w:val="00BE53CE"/>
    <w:rsid w:val="00BE607F"/>
    <w:rsid w:val="00BE63D0"/>
    <w:rsid w:val="00BE6F43"/>
    <w:rsid w:val="00BE76F6"/>
    <w:rsid w:val="00BF0713"/>
    <w:rsid w:val="00BF09A3"/>
    <w:rsid w:val="00BF13DF"/>
    <w:rsid w:val="00BF1812"/>
    <w:rsid w:val="00BF1815"/>
    <w:rsid w:val="00BF1FFC"/>
    <w:rsid w:val="00BF5E16"/>
    <w:rsid w:val="00BF6243"/>
    <w:rsid w:val="00BF6BE5"/>
    <w:rsid w:val="00BF6FC7"/>
    <w:rsid w:val="00C018F4"/>
    <w:rsid w:val="00C01BB8"/>
    <w:rsid w:val="00C04FD8"/>
    <w:rsid w:val="00C05523"/>
    <w:rsid w:val="00C058F6"/>
    <w:rsid w:val="00C05A64"/>
    <w:rsid w:val="00C05A6E"/>
    <w:rsid w:val="00C06CC8"/>
    <w:rsid w:val="00C1059A"/>
    <w:rsid w:val="00C10FB2"/>
    <w:rsid w:val="00C1208D"/>
    <w:rsid w:val="00C131F6"/>
    <w:rsid w:val="00C13EF3"/>
    <w:rsid w:val="00C140D5"/>
    <w:rsid w:val="00C14ECE"/>
    <w:rsid w:val="00C1712C"/>
    <w:rsid w:val="00C17654"/>
    <w:rsid w:val="00C21D10"/>
    <w:rsid w:val="00C21DE9"/>
    <w:rsid w:val="00C21F94"/>
    <w:rsid w:val="00C24DA9"/>
    <w:rsid w:val="00C26A32"/>
    <w:rsid w:val="00C31655"/>
    <w:rsid w:val="00C32F2D"/>
    <w:rsid w:val="00C3310B"/>
    <w:rsid w:val="00C3589C"/>
    <w:rsid w:val="00C370B8"/>
    <w:rsid w:val="00C41A67"/>
    <w:rsid w:val="00C42179"/>
    <w:rsid w:val="00C42F6C"/>
    <w:rsid w:val="00C4352B"/>
    <w:rsid w:val="00C43BDF"/>
    <w:rsid w:val="00C45446"/>
    <w:rsid w:val="00C470F8"/>
    <w:rsid w:val="00C471BD"/>
    <w:rsid w:val="00C5090D"/>
    <w:rsid w:val="00C50A5E"/>
    <w:rsid w:val="00C50FDC"/>
    <w:rsid w:val="00C512E7"/>
    <w:rsid w:val="00C52628"/>
    <w:rsid w:val="00C53308"/>
    <w:rsid w:val="00C53CF4"/>
    <w:rsid w:val="00C53EC2"/>
    <w:rsid w:val="00C542DA"/>
    <w:rsid w:val="00C55C3C"/>
    <w:rsid w:val="00C56FAC"/>
    <w:rsid w:val="00C57270"/>
    <w:rsid w:val="00C60EBD"/>
    <w:rsid w:val="00C64C19"/>
    <w:rsid w:val="00C6646D"/>
    <w:rsid w:val="00C67F19"/>
    <w:rsid w:val="00C67F66"/>
    <w:rsid w:val="00C719D9"/>
    <w:rsid w:val="00C723FE"/>
    <w:rsid w:val="00C735EE"/>
    <w:rsid w:val="00C73F4C"/>
    <w:rsid w:val="00C74158"/>
    <w:rsid w:val="00C742FF"/>
    <w:rsid w:val="00C74512"/>
    <w:rsid w:val="00C746C2"/>
    <w:rsid w:val="00C74B4D"/>
    <w:rsid w:val="00C75024"/>
    <w:rsid w:val="00C75904"/>
    <w:rsid w:val="00C75E84"/>
    <w:rsid w:val="00C774BB"/>
    <w:rsid w:val="00C80ED6"/>
    <w:rsid w:val="00C81902"/>
    <w:rsid w:val="00C820B0"/>
    <w:rsid w:val="00C82CE9"/>
    <w:rsid w:val="00C84D63"/>
    <w:rsid w:val="00C861F8"/>
    <w:rsid w:val="00C866FE"/>
    <w:rsid w:val="00C867C4"/>
    <w:rsid w:val="00C86C49"/>
    <w:rsid w:val="00C87251"/>
    <w:rsid w:val="00C9027C"/>
    <w:rsid w:val="00C903FE"/>
    <w:rsid w:val="00C90CF4"/>
    <w:rsid w:val="00C92FA6"/>
    <w:rsid w:val="00C93389"/>
    <w:rsid w:val="00C93F57"/>
    <w:rsid w:val="00C9428F"/>
    <w:rsid w:val="00C94E77"/>
    <w:rsid w:val="00C9506B"/>
    <w:rsid w:val="00C958DA"/>
    <w:rsid w:val="00C95E3D"/>
    <w:rsid w:val="00C968A8"/>
    <w:rsid w:val="00C97150"/>
    <w:rsid w:val="00CA0595"/>
    <w:rsid w:val="00CA0C7F"/>
    <w:rsid w:val="00CA0F40"/>
    <w:rsid w:val="00CA27F3"/>
    <w:rsid w:val="00CA35BA"/>
    <w:rsid w:val="00CA441C"/>
    <w:rsid w:val="00CA4D03"/>
    <w:rsid w:val="00CA4D94"/>
    <w:rsid w:val="00CA59EE"/>
    <w:rsid w:val="00CA760D"/>
    <w:rsid w:val="00CA7A3A"/>
    <w:rsid w:val="00CA7A52"/>
    <w:rsid w:val="00CB00A8"/>
    <w:rsid w:val="00CB0BB6"/>
    <w:rsid w:val="00CB119D"/>
    <w:rsid w:val="00CB1250"/>
    <w:rsid w:val="00CB17B1"/>
    <w:rsid w:val="00CB23A0"/>
    <w:rsid w:val="00CB32EC"/>
    <w:rsid w:val="00CB36E1"/>
    <w:rsid w:val="00CB3964"/>
    <w:rsid w:val="00CB3C37"/>
    <w:rsid w:val="00CB3EB5"/>
    <w:rsid w:val="00CB3F4C"/>
    <w:rsid w:val="00CB41CA"/>
    <w:rsid w:val="00CB558B"/>
    <w:rsid w:val="00CB62F8"/>
    <w:rsid w:val="00CB6838"/>
    <w:rsid w:val="00CB72EF"/>
    <w:rsid w:val="00CC0FC5"/>
    <w:rsid w:val="00CC113E"/>
    <w:rsid w:val="00CC1887"/>
    <w:rsid w:val="00CC53D5"/>
    <w:rsid w:val="00CC6556"/>
    <w:rsid w:val="00CC7383"/>
    <w:rsid w:val="00CD2355"/>
    <w:rsid w:val="00CD3B46"/>
    <w:rsid w:val="00CD536D"/>
    <w:rsid w:val="00CD5F03"/>
    <w:rsid w:val="00CE00F3"/>
    <w:rsid w:val="00CE08D6"/>
    <w:rsid w:val="00CE14CF"/>
    <w:rsid w:val="00CE2846"/>
    <w:rsid w:val="00CE4007"/>
    <w:rsid w:val="00CE56E4"/>
    <w:rsid w:val="00CE598F"/>
    <w:rsid w:val="00CE7EF8"/>
    <w:rsid w:val="00CF18E7"/>
    <w:rsid w:val="00CF224A"/>
    <w:rsid w:val="00CF2971"/>
    <w:rsid w:val="00CF2DA7"/>
    <w:rsid w:val="00CF390A"/>
    <w:rsid w:val="00CF462A"/>
    <w:rsid w:val="00CF47FD"/>
    <w:rsid w:val="00CF51EC"/>
    <w:rsid w:val="00CF5D65"/>
    <w:rsid w:val="00CF5EF2"/>
    <w:rsid w:val="00CF6243"/>
    <w:rsid w:val="00CF718B"/>
    <w:rsid w:val="00D00F19"/>
    <w:rsid w:val="00D02C4B"/>
    <w:rsid w:val="00D02E65"/>
    <w:rsid w:val="00D040DD"/>
    <w:rsid w:val="00D045D0"/>
    <w:rsid w:val="00D04839"/>
    <w:rsid w:val="00D06ABA"/>
    <w:rsid w:val="00D1146A"/>
    <w:rsid w:val="00D146E8"/>
    <w:rsid w:val="00D147B3"/>
    <w:rsid w:val="00D15544"/>
    <w:rsid w:val="00D15AA5"/>
    <w:rsid w:val="00D20B8E"/>
    <w:rsid w:val="00D234F5"/>
    <w:rsid w:val="00D267E2"/>
    <w:rsid w:val="00D269E0"/>
    <w:rsid w:val="00D26F9E"/>
    <w:rsid w:val="00D27CB6"/>
    <w:rsid w:val="00D27D15"/>
    <w:rsid w:val="00D31B66"/>
    <w:rsid w:val="00D31E66"/>
    <w:rsid w:val="00D32157"/>
    <w:rsid w:val="00D32602"/>
    <w:rsid w:val="00D3282C"/>
    <w:rsid w:val="00D33F8E"/>
    <w:rsid w:val="00D35859"/>
    <w:rsid w:val="00D358C6"/>
    <w:rsid w:val="00D36AF6"/>
    <w:rsid w:val="00D37101"/>
    <w:rsid w:val="00D41AF1"/>
    <w:rsid w:val="00D42693"/>
    <w:rsid w:val="00D45574"/>
    <w:rsid w:val="00D45F16"/>
    <w:rsid w:val="00D50475"/>
    <w:rsid w:val="00D515D8"/>
    <w:rsid w:val="00D51E6B"/>
    <w:rsid w:val="00D52355"/>
    <w:rsid w:val="00D551B3"/>
    <w:rsid w:val="00D56A23"/>
    <w:rsid w:val="00D56DE9"/>
    <w:rsid w:val="00D57021"/>
    <w:rsid w:val="00D6000F"/>
    <w:rsid w:val="00D6037C"/>
    <w:rsid w:val="00D60E57"/>
    <w:rsid w:val="00D613CB"/>
    <w:rsid w:val="00D63EF8"/>
    <w:rsid w:val="00D644E2"/>
    <w:rsid w:val="00D654DC"/>
    <w:rsid w:val="00D65603"/>
    <w:rsid w:val="00D66CCF"/>
    <w:rsid w:val="00D672A9"/>
    <w:rsid w:val="00D67910"/>
    <w:rsid w:val="00D67F43"/>
    <w:rsid w:val="00D7025D"/>
    <w:rsid w:val="00D7198E"/>
    <w:rsid w:val="00D72C5F"/>
    <w:rsid w:val="00D72E21"/>
    <w:rsid w:val="00D73DB5"/>
    <w:rsid w:val="00D740AA"/>
    <w:rsid w:val="00D7448A"/>
    <w:rsid w:val="00D74C64"/>
    <w:rsid w:val="00D74F7F"/>
    <w:rsid w:val="00D75128"/>
    <w:rsid w:val="00D7517A"/>
    <w:rsid w:val="00D76098"/>
    <w:rsid w:val="00D818B5"/>
    <w:rsid w:val="00D81FA6"/>
    <w:rsid w:val="00D83753"/>
    <w:rsid w:val="00D87A8C"/>
    <w:rsid w:val="00D90BEC"/>
    <w:rsid w:val="00D91C28"/>
    <w:rsid w:val="00D91C65"/>
    <w:rsid w:val="00D92675"/>
    <w:rsid w:val="00D9313A"/>
    <w:rsid w:val="00D9320F"/>
    <w:rsid w:val="00D94B8F"/>
    <w:rsid w:val="00D9797A"/>
    <w:rsid w:val="00DA343E"/>
    <w:rsid w:val="00DA3C1D"/>
    <w:rsid w:val="00DA4844"/>
    <w:rsid w:val="00DA5F4C"/>
    <w:rsid w:val="00DA6EF6"/>
    <w:rsid w:val="00DA7501"/>
    <w:rsid w:val="00DB121B"/>
    <w:rsid w:val="00DB192A"/>
    <w:rsid w:val="00DB3CE2"/>
    <w:rsid w:val="00DC02CB"/>
    <w:rsid w:val="00DC5B3B"/>
    <w:rsid w:val="00DC784D"/>
    <w:rsid w:val="00DD0290"/>
    <w:rsid w:val="00DD1820"/>
    <w:rsid w:val="00DD49EA"/>
    <w:rsid w:val="00DE0583"/>
    <w:rsid w:val="00DE0CF4"/>
    <w:rsid w:val="00DE25A4"/>
    <w:rsid w:val="00DE3B56"/>
    <w:rsid w:val="00DE5E80"/>
    <w:rsid w:val="00DE6696"/>
    <w:rsid w:val="00DF10E8"/>
    <w:rsid w:val="00DF1398"/>
    <w:rsid w:val="00DF213B"/>
    <w:rsid w:val="00DF29A0"/>
    <w:rsid w:val="00DF2F8C"/>
    <w:rsid w:val="00DF372F"/>
    <w:rsid w:val="00DF3DEF"/>
    <w:rsid w:val="00DF3F1A"/>
    <w:rsid w:val="00DF4CB8"/>
    <w:rsid w:val="00DF53E1"/>
    <w:rsid w:val="00DF6D95"/>
    <w:rsid w:val="00E006FC"/>
    <w:rsid w:val="00E01C0E"/>
    <w:rsid w:val="00E02E42"/>
    <w:rsid w:val="00E04617"/>
    <w:rsid w:val="00E04694"/>
    <w:rsid w:val="00E04E69"/>
    <w:rsid w:val="00E05C11"/>
    <w:rsid w:val="00E06BAF"/>
    <w:rsid w:val="00E07C43"/>
    <w:rsid w:val="00E07E5C"/>
    <w:rsid w:val="00E07EEF"/>
    <w:rsid w:val="00E106F6"/>
    <w:rsid w:val="00E1187E"/>
    <w:rsid w:val="00E11A6B"/>
    <w:rsid w:val="00E12D30"/>
    <w:rsid w:val="00E1419F"/>
    <w:rsid w:val="00E14242"/>
    <w:rsid w:val="00E14EF5"/>
    <w:rsid w:val="00E158E3"/>
    <w:rsid w:val="00E15D60"/>
    <w:rsid w:val="00E15EE7"/>
    <w:rsid w:val="00E161F0"/>
    <w:rsid w:val="00E177BB"/>
    <w:rsid w:val="00E2006C"/>
    <w:rsid w:val="00E20DA3"/>
    <w:rsid w:val="00E21405"/>
    <w:rsid w:val="00E22100"/>
    <w:rsid w:val="00E23138"/>
    <w:rsid w:val="00E23F25"/>
    <w:rsid w:val="00E27CCB"/>
    <w:rsid w:val="00E30576"/>
    <w:rsid w:val="00E30C67"/>
    <w:rsid w:val="00E30F7E"/>
    <w:rsid w:val="00E319A7"/>
    <w:rsid w:val="00E3226E"/>
    <w:rsid w:val="00E32358"/>
    <w:rsid w:val="00E33EAE"/>
    <w:rsid w:val="00E340F9"/>
    <w:rsid w:val="00E356DC"/>
    <w:rsid w:val="00E36668"/>
    <w:rsid w:val="00E37E22"/>
    <w:rsid w:val="00E37E78"/>
    <w:rsid w:val="00E41ADA"/>
    <w:rsid w:val="00E4343A"/>
    <w:rsid w:val="00E448D6"/>
    <w:rsid w:val="00E448FE"/>
    <w:rsid w:val="00E452C6"/>
    <w:rsid w:val="00E4796A"/>
    <w:rsid w:val="00E47D72"/>
    <w:rsid w:val="00E47F4A"/>
    <w:rsid w:val="00E5027D"/>
    <w:rsid w:val="00E504C3"/>
    <w:rsid w:val="00E50CCB"/>
    <w:rsid w:val="00E51F58"/>
    <w:rsid w:val="00E55662"/>
    <w:rsid w:val="00E57599"/>
    <w:rsid w:val="00E605BF"/>
    <w:rsid w:val="00E6084F"/>
    <w:rsid w:val="00E6176C"/>
    <w:rsid w:val="00E6225C"/>
    <w:rsid w:val="00E62E79"/>
    <w:rsid w:val="00E645F1"/>
    <w:rsid w:val="00E666F7"/>
    <w:rsid w:val="00E670F2"/>
    <w:rsid w:val="00E67DC3"/>
    <w:rsid w:val="00E70D8E"/>
    <w:rsid w:val="00E70E16"/>
    <w:rsid w:val="00E71762"/>
    <w:rsid w:val="00E71A58"/>
    <w:rsid w:val="00E7371B"/>
    <w:rsid w:val="00E743CE"/>
    <w:rsid w:val="00E74F8C"/>
    <w:rsid w:val="00E7515E"/>
    <w:rsid w:val="00E774CD"/>
    <w:rsid w:val="00E8090A"/>
    <w:rsid w:val="00E81E1F"/>
    <w:rsid w:val="00E82797"/>
    <w:rsid w:val="00E82D69"/>
    <w:rsid w:val="00E85053"/>
    <w:rsid w:val="00E86361"/>
    <w:rsid w:val="00E86604"/>
    <w:rsid w:val="00E868DA"/>
    <w:rsid w:val="00E90351"/>
    <w:rsid w:val="00E90A26"/>
    <w:rsid w:val="00E91A44"/>
    <w:rsid w:val="00E9216F"/>
    <w:rsid w:val="00E92F4D"/>
    <w:rsid w:val="00E93909"/>
    <w:rsid w:val="00E9466F"/>
    <w:rsid w:val="00E94B96"/>
    <w:rsid w:val="00EA0C68"/>
    <w:rsid w:val="00EA59D1"/>
    <w:rsid w:val="00EA682A"/>
    <w:rsid w:val="00EA6B7C"/>
    <w:rsid w:val="00EA781F"/>
    <w:rsid w:val="00EA7D42"/>
    <w:rsid w:val="00EB0339"/>
    <w:rsid w:val="00EB0F76"/>
    <w:rsid w:val="00EB202E"/>
    <w:rsid w:val="00EB5A3F"/>
    <w:rsid w:val="00EB61E0"/>
    <w:rsid w:val="00EB74A4"/>
    <w:rsid w:val="00EB7F5D"/>
    <w:rsid w:val="00EC1A6F"/>
    <w:rsid w:val="00EC3A88"/>
    <w:rsid w:val="00EC4790"/>
    <w:rsid w:val="00EC51F6"/>
    <w:rsid w:val="00ED0D88"/>
    <w:rsid w:val="00ED1A01"/>
    <w:rsid w:val="00ED2197"/>
    <w:rsid w:val="00ED47AF"/>
    <w:rsid w:val="00ED47CE"/>
    <w:rsid w:val="00ED48F5"/>
    <w:rsid w:val="00ED7B6C"/>
    <w:rsid w:val="00ED7D19"/>
    <w:rsid w:val="00ED7E30"/>
    <w:rsid w:val="00EE01F9"/>
    <w:rsid w:val="00EE0758"/>
    <w:rsid w:val="00EE15DA"/>
    <w:rsid w:val="00EE18C8"/>
    <w:rsid w:val="00EE19D4"/>
    <w:rsid w:val="00EE3E78"/>
    <w:rsid w:val="00EE46B8"/>
    <w:rsid w:val="00EE52FC"/>
    <w:rsid w:val="00EE5A03"/>
    <w:rsid w:val="00EF1F5A"/>
    <w:rsid w:val="00EF242C"/>
    <w:rsid w:val="00EF360E"/>
    <w:rsid w:val="00EF472B"/>
    <w:rsid w:val="00EF66EC"/>
    <w:rsid w:val="00EF67EC"/>
    <w:rsid w:val="00F041E6"/>
    <w:rsid w:val="00F04227"/>
    <w:rsid w:val="00F0434B"/>
    <w:rsid w:val="00F04371"/>
    <w:rsid w:val="00F04811"/>
    <w:rsid w:val="00F0488C"/>
    <w:rsid w:val="00F04FA9"/>
    <w:rsid w:val="00F05A26"/>
    <w:rsid w:val="00F10454"/>
    <w:rsid w:val="00F10BC7"/>
    <w:rsid w:val="00F111AC"/>
    <w:rsid w:val="00F11CF4"/>
    <w:rsid w:val="00F1224F"/>
    <w:rsid w:val="00F12B9A"/>
    <w:rsid w:val="00F13E2C"/>
    <w:rsid w:val="00F14C04"/>
    <w:rsid w:val="00F15118"/>
    <w:rsid w:val="00F15BEF"/>
    <w:rsid w:val="00F20947"/>
    <w:rsid w:val="00F22E88"/>
    <w:rsid w:val="00F22E95"/>
    <w:rsid w:val="00F23B29"/>
    <w:rsid w:val="00F24FAA"/>
    <w:rsid w:val="00F26446"/>
    <w:rsid w:val="00F30D8A"/>
    <w:rsid w:val="00F30DDC"/>
    <w:rsid w:val="00F311BB"/>
    <w:rsid w:val="00F326AB"/>
    <w:rsid w:val="00F3364D"/>
    <w:rsid w:val="00F3436C"/>
    <w:rsid w:val="00F35998"/>
    <w:rsid w:val="00F36022"/>
    <w:rsid w:val="00F37D06"/>
    <w:rsid w:val="00F40065"/>
    <w:rsid w:val="00F408FA"/>
    <w:rsid w:val="00F40DE5"/>
    <w:rsid w:val="00F421F8"/>
    <w:rsid w:val="00F4270C"/>
    <w:rsid w:val="00F4288E"/>
    <w:rsid w:val="00F437B7"/>
    <w:rsid w:val="00F43EEB"/>
    <w:rsid w:val="00F458DB"/>
    <w:rsid w:val="00F46002"/>
    <w:rsid w:val="00F463E6"/>
    <w:rsid w:val="00F4728B"/>
    <w:rsid w:val="00F47B85"/>
    <w:rsid w:val="00F52700"/>
    <w:rsid w:val="00F52FA3"/>
    <w:rsid w:val="00F531AC"/>
    <w:rsid w:val="00F540E4"/>
    <w:rsid w:val="00F553C2"/>
    <w:rsid w:val="00F5744D"/>
    <w:rsid w:val="00F578EF"/>
    <w:rsid w:val="00F602B9"/>
    <w:rsid w:val="00F606B3"/>
    <w:rsid w:val="00F60D2B"/>
    <w:rsid w:val="00F624DF"/>
    <w:rsid w:val="00F62595"/>
    <w:rsid w:val="00F63783"/>
    <w:rsid w:val="00F638C8"/>
    <w:rsid w:val="00F63DDE"/>
    <w:rsid w:val="00F63FB7"/>
    <w:rsid w:val="00F647F4"/>
    <w:rsid w:val="00F6483C"/>
    <w:rsid w:val="00F64CCD"/>
    <w:rsid w:val="00F65CF4"/>
    <w:rsid w:val="00F6693A"/>
    <w:rsid w:val="00F709C7"/>
    <w:rsid w:val="00F71114"/>
    <w:rsid w:val="00F728A1"/>
    <w:rsid w:val="00F72D92"/>
    <w:rsid w:val="00F72EE1"/>
    <w:rsid w:val="00F73825"/>
    <w:rsid w:val="00F73A0C"/>
    <w:rsid w:val="00F76338"/>
    <w:rsid w:val="00F772E1"/>
    <w:rsid w:val="00F77436"/>
    <w:rsid w:val="00F801C6"/>
    <w:rsid w:val="00F81435"/>
    <w:rsid w:val="00F81CB0"/>
    <w:rsid w:val="00F831FB"/>
    <w:rsid w:val="00F83C23"/>
    <w:rsid w:val="00F85B8E"/>
    <w:rsid w:val="00F8628F"/>
    <w:rsid w:val="00F8791C"/>
    <w:rsid w:val="00F90072"/>
    <w:rsid w:val="00F91B9A"/>
    <w:rsid w:val="00F922A4"/>
    <w:rsid w:val="00F924CB"/>
    <w:rsid w:val="00F94952"/>
    <w:rsid w:val="00F96B12"/>
    <w:rsid w:val="00FA409B"/>
    <w:rsid w:val="00FA4137"/>
    <w:rsid w:val="00FA457D"/>
    <w:rsid w:val="00FA4C51"/>
    <w:rsid w:val="00FA4D1E"/>
    <w:rsid w:val="00FA6478"/>
    <w:rsid w:val="00FB0324"/>
    <w:rsid w:val="00FB1007"/>
    <w:rsid w:val="00FB1379"/>
    <w:rsid w:val="00FB259D"/>
    <w:rsid w:val="00FB3236"/>
    <w:rsid w:val="00FB3D49"/>
    <w:rsid w:val="00FB45E6"/>
    <w:rsid w:val="00FB479D"/>
    <w:rsid w:val="00FB57C8"/>
    <w:rsid w:val="00FB5C16"/>
    <w:rsid w:val="00FB6EB9"/>
    <w:rsid w:val="00FC075C"/>
    <w:rsid w:val="00FC0E5F"/>
    <w:rsid w:val="00FC15DA"/>
    <w:rsid w:val="00FC2C1F"/>
    <w:rsid w:val="00FC3922"/>
    <w:rsid w:val="00FC4307"/>
    <w:rsid w:val="00FC47B4"/>
    <w:rsid w:val="00FC56DE"/>
    <w:rsid w:val="00FC58DB"/>
    <w:rsid w:val="00FD0F83"/>
    <w:rsid w:val="00FD141D"/>
    <w:rsid w:val="00FD18DB"/>
    <w:rsid w:val="00FD2941"/>
    <w:rsid w:val="00FD3859"/>
    <w:rsid w:val="00FD4884"/>
    <w:rsid w:val="00FD72B0"/>
    <w:rsid w:val="00FD73C6"/>
    <w:rsid w:val="00FE026D"/>
    <w:rsid w:val="00FE06F5"/>
    <w:rsid w:val="00FE14FD"/>
    <w:rsid w:val="00FE2310"/>
    <w:rsid w:val="00FE2398"/>
    <w:rsid w:val="00FE2612"/>
    <w:rsid w:val="00FE2D71"/>
    <w:rsid w:val="00FE2F78"/>
    <w:rsid w:val="00FE44EA"/>
    <w:rsid w:val="00FE47AD"/>
    <w:rsid w:val="00FE4B35"/>
    <w:rsid w:val="00FE6728"/>
    <w:rsid w:val="00FE7501"/>
    <w:rsid w:val="00FF074A"/>
    <w:rsid w:val="00FF2B86"/>
    <w:rsid w:val="00FF3BF1"/>
    <w:rsid w:val="00FF4878"/>
    <w:rsid w:val="00FF5580"/>
    <w:rsid w:val="00FF56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ln">
    <w:name w:val="Normal"/>
    <w:qFormat/>
    <w:rsid w:val="002A67A5"/>
    <w:pPr>
      <w:spacing w:line="288" w:lineRule="auto"/>
    </w:pPr>
    <w:rPr>
      <w:rFonts w:ascii="Arial" w:eastAsia="Times New Roman" w:hAnsi="Arial"/>
      <w:szCs w:val="24"/>
    </w:rPr>
  </w:style>
  <w:style w:type="paragraph" w:styleId="Nadpis1">
    <w:name w:val="heading 1"/>
    <w:next w:val="Normln"/>
    <w:link w:val="Nadpis1Char"/>
    <w:uiPriority w:val="9"/>
    <w:qFormat/>
    <w:rsid w:val="007F0845"/>
    <w:pPr>
      <w:keepNext/>
      <w:keepLines/>
      <w:spacing w:after="200" w:line="288" w:lineRule="auto"/>
      <w:outlineLvl w:val="0"/>
    </w:pPr>
    <w:rPr>
      <w:rFonts w:ascii="Arial" w:eastAsia="MS Gothic" w:hAnsi="Arial"/>
      <w:b/>
      <w:bCs/>
      <w:color w:val="009BB4"/>
      <w:sz w:val="32"/>
      <w:szCs w:val="28"/>
    </w:rPr>
  </w:style>
  <w:style w:type="paragraph" w:styleId="Nadpis2">
    <w:name w:val="heading 2"/>
    <w:next w:val="Normln"/>
    <w:link w:val="Nadpis2Char"/>
    <w:uiPriority w:val="9"/>
    <w:qFormat/>
    <w:rsid w:val="007F0845"/>
    <w:pPr>
      <w:keepNext/>
      <w:keepLines/>
      <w:spacing w:line="288" w:lineRule="auto"/>
      <w:outlineLvl w:val="1"/>
    </w:pPr>
    <w:rPr>
      <w:rFonts w:ascii="Arial" w:eastAsia="MS Gothic" w:hAnsi="Arial"/>
      <w:b/>
      <w:bCs/>
      <w:color w:val="009BB4"/>
      <w:sz w:val="28"/>
      <w:szCs w:val="26"/>
    </w:rPr>
  </w:style>
  <w:style w:type="paragraph" w:styleId="Nadpis3">
    <w:name w:val="heading 3"/>
    <w:next w:val="Normln"/>
    <w:link w:val="Nadpis3Char"/>
    <w:uiPriority w:val="9"/>
    <w:qFormat/>
    <w:rsid w:val="007F0845"/>
    <w:pPr>
      <w:keepNext/>
      <w:keepLines/>
      <w:spacing w:line="288" w:lineRule="auto"/>
      <w:outlineLvl w:val="2"/>
    </w:pPr>
    <w:rPr>
      <w:rFonts w:ascii="Arial" w:eastAsia="MS Gothic" w:hAnsi="Arial"/>
      <w:b/>
      <w:bCs/>
      <w:color w:val="009BB4"/>
      <w:sz w:val="24"/>
      <w:szCs w:val="24"/>
    </w:rPr>
  </w:style>
  <w:style w:type="paragraph" w:styleId="Nadpis4">
    <w:name w:val="heading 4"/>
    <w:next w:val="Normln"/>
    <w:link w:val="Nadpis4Char"/>
    <w:uiPriority w:val="9"/>
    <w:qFormat/>
    <w:rsid w:val="005108C0"/>
    <w:pPr>
      <w:keepNext/>
      <w:keepLines/>
      <w:spacing w:line="288" w:lineRule="auto"/>
      <w:outlineLvl w:val="3"/>
    </w:pPr>
    <w:rPr>
      <w:rFonts w:ascii="Arial" w:eastAsia="MS Gothic" w:hAnsi="Arial"/>
      <w:b/>
      <w:bCs/>
      <w:i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E71A58"/>
    <w:rPr>
      <w:color w:val="0000FF"/>
      <w:u w:val="single"/>
    </w:rPr>
  </w:style>
  <w:style w:type="paragraph" w:customStyle="1" w:styleId="Styl1">
    <w:name w:val="Styl1"/>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E71A58"/>
  </w:style>
  <w:style w:type="paragraph" w:styleId="Zpat">
    <w:name w:val="footer"/>
    <w:basedOn w:val="Normln"/>
    <w:link w:val="Zpat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E71A58"/>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eastAsia="Calibri" w:hAnsi="Minion Pro"/>
      <w:color w:val="000000"/>
      <w:sz w:val="24"/>
    </w:rPr>
  </w:style>
  <w:style w:type="paragraph" w:styleId="Nzev">
    <w:name w:val="Title"/>
    <w:next w:val="Normln"/>
    <w:link w:val="NzevChar"/>
    <w:uiPriority w:val="10"/>
    <w:qFormat/>
    <w:rsid w:val="007C3F6A"/>
    <w:pPr>
      <w:spacing w:line="288" w:lineRule="auto"/>
      <w:contextualSpacing/>
      <w:outlineLvl w:val="0"/>
    </w:pPr>
    <w:rPr>
      <w:rFonts w:ascii="Arial" w:eastAsia="MS Gothic" w:hAnsi="Arial"/>
      <w:b/>
      <w:caps/>
      <w:color w:val="009BB4"/>
      <w:sz w:val="56"/>
      <w:szCs w:val="52"/>
    </w:rPr>
  </w:style>
  <w:style w:type="character" w:customStyle="1" w:styleId="NzevChar">
    <w:name w:val="Název Char"/>
    <w:link w:val="Nzev"/>
    <w:uiPriority w:val="10"/>
    <w:rsid w:val="007C3F6A"/>
    <w:rPr>
      <w:rFonts w:ascii="Arial" w:eastAsia="MS Gothic" w:hAnsi="Arial"/>
      <w:b/>
      <w:caps/>
      <w:color w:val="009BB4"/>
      <w:sz w:val="56"/>
      <w:szCs w:val="52"/>
      <w:lang w:bidi="ar-SA"/>
    </w:rPr>
  </w:style>
  <w:style w:type="paragraph" w:styleId="Podtitul">
    <w:name w:val="Subtitle"/>
    <w:next w:val="Normln"/>
    <w:link w:val="PodtitulChar"/>
    <w:uiPriority w:val="11"/>
    <w:qFormat/>
    <w:rsid w:val="007F0845"/>
    <w:pPr>
      <w:numPr>
        <w:ilvl w:val="1"/>
      </w:numPr>
      <w:spacing w:line="288" w:lineRule="auto"/>
    </w:pPr>
    <w:rPr>
      <w:rFonts w:ascii="Arial" w:eastAsia="MS Gothic" w:hAnsi="Arial"/>
      <w:b/>
      <w:iCs/>
      <w:color w:val="009BB4"/>
      <w:sz w:val="28"/>
      <w:szCs w:val="24"/>
    </w:rPr>
  </w:style>
  <w:style w:type="character" w:customStyle="1" w:styleId="PodtitulChar">
    <w:name w:val="Podtitul Char"/>
    <w:link w:val="Podtitul"/>
    <w:uiPriority w:val="11"/>
    <w:rsid w:val="007F0845"/>
    <w:rPr>
      <w:rFonts w:ascii="Arial" w:eastAsia="MS Gothic" w:hAnsi="Arial"/>
      <w:b/>
      <w:iCs/>
      <w:color w:val="009BB4"/>
      <w:sz w:val="28"/>
      <w:szCs w:val="24"/>
      <w:lang w:bidi="ar-SA"/>
    </w:rPr>
  </w:style>
  <w:style w:type="character" w:customStyle="1" w:styleId="Nadpis1Char">
    <w:name w:val="Nadpis 1 Char"/>
    <w:link w:val="Nadpis1"/>
    <w:uiPriority w:val="9"/>
    <w:rsid w:val="007F0845"/>
    <w:rPr>
      <w:rFonts w:ascii="Arial" w:eastAsia="MS Gothic" w:hAnsi="Arial"/>
      <w:b/>
      <w:bCs/>
      <w:color w:val="009BB4"/>
      <w:sz w:val="32"/>
      <w:szCs w:val="28"/>
      <w:lang w:bidi="ar-SA"/>
    </w:rPr>
  </w:style>
  <w:style w:type="character" w:customStyle="1" w:styleId="Nadpis2Char">
    <w:name w:val="Nadpis 2 Char"/>
    <w:link w:val="Nadpis2"/>
    <w:uiPriority w:val="9"/>
    <w:rsid w:val="007F0845"/>
    <w:rPr>
      <w:rFonts w:ascii="Arial" w:eastAsia="MS Gothic" w:hAnsi="Arial"/>
      <w:b/>
      <w:bCs/>
      <w:color w:val="009BB4"/>
      <w:sz w:val="28"/>
      <w:szCs w:val="26"/>
      <w:lang w:bidi="ar-SA"/>
    </w:rPr>
  </w:style>
  <w:style w:type="character" w:customStyle="1" w:styleId="Nadpis3Char">
    <w:name w:val="Nadpis 3 Char"/>
    <w:link w:val="Nadpis3"/>
    <w:uiPriority w:val="9"/>
    <w:rsid w:val="007F0845"/>
    <w:rPr>
      <w:rFonts w:ascii="Arial" w:eastAsia="MS Gothic" w:hAnsi="Arial"/>
      <w:b/>
      <w:bCs/>
      <w:color w:val="009BB4"/>
      <w:sz w:val="24"/>
      <w:szCs w:val="24"/>
      <w:lang w:bidi="ar-SA"/>
    </w:rPr>
  </w:style>
  <w:style w:type="character" w:customStyle="1" w:styleId="Nadpis4Char">
    <w:name w:val="Nadpis 4 Char"/>
    <w:link w:val="Nadpis4"/>
    <w:uiPriority w:val="9"/>
    <w:rsid w:val="005108C0"/>
    <w:rPr>
      <w:rFonts w:ascii="Arial" w:eastAsia="MS Gothic" w:hAnsi="Arial"/>
      <w:b/>
      <w:bCs/>
      <w:iCs/>
      <w:szCs w:val="24"/>
      <w:lang w:bidi="ar-SA"/>
    </w:rPr>
  </w:style>
  <w:style w:type="paragraph" w:customStyle="1" w:styleId="Stednmka21">
    <w:name w:val="Střední mřížka 21"/>
    <w:aliases w:val="Bez zarážky"/>
    <w:link w:val="Stednmka2Char"/>
    <w:uiPriority w:val="1"/>
    <w:qFormat/>
    <w:rsid w:val="008D2A16"/>
    <w:pPr>
      <w:spacing w:line="288" w:lineRule="auto"/>
    </w:pPr>
    <w:rPr>
      <w:rFonts w:ascii="Arial" w:eastAsia="Times New Roman" w:hAnsi="Arial"/>
      <w:szCs w:val="24"/>
    </w:rPr>
  </w:style>
  <w:style w:type="paragraph" w:customStyle="1" w:styleId="Box1">
    <w:name w:val="Box 1"/>
    <w:basedOn w:val="Zkladnodstavec"/>
    <w:next w:val="Normln"/>
    <w:qFormat/>
    <w:rsid w:val="007F0845"/>
    <w:pPr>
      <w:ind w:left="1134"/>
    </w:pPr>
    <w:rPr>
      <w:rFonts w:ascii="Arial" w:hAnsi="Arial" w:cs="Arial"/>
      <w:color w:val="009BB4"/>
      <w:sz w:val="20"/>
      <w:szCs w:val="20"/>
    </w:rPr>
  </w:style>
  <w:style w:type="paragraph" w:customStyle="1" w:styleId="Box2">
    <w:name w:val="Box 2"/>
    <w:basedOn w:val="Zkladnodstavec"/>
    <w:link w:val="Box2Char"/>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qFormat/>
    <w:rsid w:val="007C3F6A"/>
    <w:pPr>
      <w:shd w:val="clear" w:color="auto" w:fill="D9F0F4"/>
      <w:spacing w:line="288" w:lineRule="auto"/>
      <w:ind w:left="1134"/>
    </w:pPr>
    <w:rPr>
      <w:rFonts w:ascii="Arial" w:hAnsi="Arial"/>
      <w:color w:val="000000"/>
      <w:sz w:val="24"/>
      <w:szCs w:val="24"/>
    </w:rPr>
  </w:style>
  <w:style w:type="paragraph" w:customStyle="1" w:styleId="TL-Kontakty">
    <w:name w:val="TL - Kontakty"/>
    <w:next w:val="Normln"/>
    <w:link w:val="TL-KontaktyChar"/>
    <w:qFormat/>
    <w:rsid w:val="004F06F5"/>
    <w:pPr>
      <w:spacing w:after="80"/>
    </w:pPr>
    <w:rPr>
      <w:rFonts w:ascii="Arial" w:eastAsia="Times New Roman" w:hAnsi="Arial"/>
      <w:b/>
      <w:caps/>
      <w:color w:val="BD1B21"/>
      <w:sz w:val="24"/>
      <w:szCs w:val="24"/>
    </w:rPr>
  </w:style>
  <w:style w:type="character" w:customStyle="1" w:styleId="ZkladnodstavecChar">
    <w:name w:val="[Základní odstavec] Char"/>
    <w:link w:val="Zkladnodstavec"/>
    <w:uiPriority w:val="99"/>
    <w:rsid w:val="006710C9"/>
    <w:rPr>
      <w:rFonts w:ascii="Minion Pro" w:hAnsi="Minion Pro" w:cs="Minion Pro"/>
      <w:color w:val="000000"/>
      <w:sz w:val="24"/>
      <w:szCs w:val="24"/>
    </w:rPr>
  </w:style>
  <w:style w:type="character" w:customStyle="1" w:styleId="Box2Char">
    <w:name w:val="Box 2 Char"/>
    <w:link w:val="Box2"/>
    <w:rsid w:val="006710C9"/>
    <w:rPr>
      <w:rFonts w:ascii="Arial" w:hAnsi="Arial" w:cs="Arial"/>
      <w:b/>
      <w:color w:val="000000"/>
      <w:sz w:val="24"/>
      <w:szCs w:val="24"/>
      <w:shd w:val="clear" w:color="auto" w:fill="CCC0D9"/>
    </w:rPr>
  </w:style>
  <w:style w:type="character" w:customStyle="1" w:styleId="BoxChar">
    <w:name w:val="Box Char"/>
    <w:link w:val="Box"/>
    <w:rsid w:val="007C3F6A"/>
    <w:rPr>
      <w:rFonts w:ascii="Arial" w:hAnsi="Arial"/>
      <w:color w:val="000000"/>
      <w:sz w:val="24"/>
      <w:szCs w:val="24"/>
      <w:shd w:val="clear" w:color="auto" w:fill="D9F0F4"/>
      <w:lang w:bidi="ar-SA"/>
    </w:rPr>
  </w:style>
  <w:style w:type="paragraph" w:customStyle="1" w:styleId="TL-Identifikace">
    <w:name w:val="TL - Identifikace"/>
    <w:next w:val="Normln"/>
    <w:link w:val="TL-IdentifikaceChar"/>
    <w:qFormat/>
    <w:rsid w:val="004F06F5"/>
    <w:pPr>
      <w:spacing w:after="200" w:line="288" w:lineRule="auto"/>
    </w:pPr>
    <w:rPr>
      <w:rFonts w:ascii="Arial" w:eastAsia="Times New Roman" w:hAnsi="Arial"/>
      <w:sz w:val="24"/>
      <w:szCs w:val="24"/>
    </w:rPr>
  </w:style>
  <w:style w:type="character" w:customStyle="1" w:styleId="TL-KontaktyChar">
    <w:name w:val="TL - Kontakty Char"/>
    <w:link w:val="TL-Kontakty"/>
    <w:rsid w:val="004F06F5"/>
    <w:rPr>
      <w:rFonts w:ascii="Arial" w:eastAsia="Times New Roman" w:hAnsi="Arial"/>
      <w:b/>
      <w:caps/>
      <w:color w:val="BD1B21"/>
      <w:sz w:val="24"/>
      <w:szCs w:val="24"/>
      <w:lang w:bidi="ar-SA"/>
    </w:rPr>
  </w:style>
  <w:style w:type="character" w:customStyle="1" w:styleId="TL-IdentifikaceChar">
    <w:name w:val="TL - Identifikace Char"/>
    <w:link w:val="TL-Identifikace"/>
    <w:rsid w:val="004F06F5"/>
    <w:rPr>
      <w:rFonts w:ascii="Arial" w:eastAsia="Times New Roman" w:hAnsi="Arial"/>
      <w:sz w:val="24"/>
      <w:szCs w:val="24"/>
      <w:lang w:bidi="ar-SA"/>
    </w:rPr>
  </w:style>
  <w:style w:type="paragraph" w:customStyle="1" w:styleId="3372873BB58A4DED866D2BE34882C06C">
    <w:name w:val="3372873BB58A4DED866D2BE34882C06C"/>
    <w:rsid w:val="00EE3E78"/>
    <w:pPr>
      <w:spacing w:after="200" w:line="276" w:lineRule="auto"/>
    </w:pPr>
    <w:rPr>
      <w:rFonts w:eastAsia="MS Mincho"/>
      <w:sz w:val="22"/>
      <w:szCs w:val="22"/>
    </w:rPr>
  </w:style>
  <w:style w:type="paragraph" w:customStyle="1" w:styleId="233E5CD5853943F4BD7E8C4B124C0E1D">
    <w:name w:val="233E5CD5853943F4BD7E8C4B124C0E1D"/>
    <w:rsid w:val="00EE3E78"/>
    <w:pPr>
      <w:spacing w:after="200" w:line="276" w:lineRule="auto"/>
    </w:pPr>
    <w:rPr>
      <w:rFonts w:eastAsia="MS Mincho"/>
      <w:sz w:val="22"/>
      <w:szCs w:val="22"/>
    </w:rPr>
  </w:style>
  <w:style w:type="paragraph" w:customStyle="1" w:styleId="D345FF3D873148C5AE3FBF3267827368">
    <w:name w:val="D345FF3D873148C5AE3FBF3267827368"/>
    <w:rsid w:val="00EE3E78"/>
    <w:pPr>
      <w:spacing w:after="200" w:line="276" w:lineRule="auto"/>
    </w:pPr>
    <w:rPr>
      <w:rFonts w:eastAsia="MS Mincho"/>
      <w:sz w:val="22"/>
      <w:szCs w:val="22"/>
    </w:rPr>
  </w:style>
  <w:style w:type="character" w:customStyle="1" w:styleId="Stednmka2Char">
    <w:name w:val="Střední mřížka 2 Char"/>
    <w:aliases w:val="Bez zarážky Char"/>
    <w:link w:val="Stednmka21"/>
    <w:uiPriority w:val="1"/>
    <w:rsid w:val="00EE3E78"/>
    <w:rPr>
      <w:rFonts w:ascii="Arial" w:eastAsia="Times New Roman" w:hAnsi="Arial"/>
      <w:szCs w:val="24"/>
      <w:lang w:bidi="ar-SA"/>
    </w:rPr>
  </w:style>
  <w:style w:type="paragraph" w:customStyle="1" w:styleId="TL-identifikace-sted">
    <w:name w:val="TL - identifikace - střed"/>
    <w:basedOn w:val="Normln"/>
    <w:link w:val="TL-identifikace-stedChar"/>
    <w:qFormat/>
    <w:rsid w:val="006C113F"/>
    <w:pPr>
      <w:spacing w:after="200"/>
    </w:pPr>
    <w:rPr>
      <w:sz w:val="24"/>
    </w:rPr>
  </w:style>
  <w:style w:type="paragraph" w:customStyle="1" w:styleId="TL-Identifikace-dole">
    <w:name w:val="TL - Identifikace - dole"/>
    <w:basedOn w:val="Normln"/>
    <w:link w:val="TL-Identifikace-doleChar"/>
    <w:qFormat/>
    <w:rsid w:val="006C113F"/>
    <w:pPr>
      <w:spacing w:after="200"/>
    </w:pPr>
    <w:rPr>
      <w:szCs w:val="20"/>
      <w:lang w:eastAsia="ar-SA"/>
    </w:rPr>
  </w:style>
  <w:style w:type="character" w:customStyle="1" w:styleId="TL-identifikace-stedChar">
    <w:name w:val="TL - identifikace - střed Char"/>
    <w:link w:val="TL-identifikace-sted"/>
    <w:rsid w:val="006C113F"/>
    <w:rPr>
      <w:rFonts w:ascii="Arial" w:eastAsia="Times New Roman" w:hAnsi="Arial"/>
      <w:sz w:val="24"/>
      <w:szCs w:val="24"/>
    </w:rPr>
  </w:style>
  <w:style w:type="character" w:customStyle="1" w:styleId="TL-Identifikace-doleChar">
    <w:name w:val="TL - Identifikace - dole Char"/>
    <w:link w:val="TL-Identifikace-dole"/>
    <w:rsid w:val="006C113F"/>
    <w:rPr>
      <w:rFonts w:ascii="Arial" w:eastAsia="Times New Roman" w:hAnsi="Arial" w:cs="Arial"/>
      <w:lang w:eastAsia="ar-SA"/>
    </w:rPr>
  </w:style>
  <w:style w:type="paragraph" w:styleId="Nadpisobsahu">
    <w:name w:val="TOC Heading"/>
    <w:basedOn w:val="Nadpis1"/>
    <w:next w:val="Normln"/>
    <w:uiPriority w:val="39"/>
    <w:semiHidden/>
    <w:unhideWhenUsed/>
    <w:qFormat/>
    <w:rsid w:val="00BC6AC1"/>
    <w:pPr>
      <w:spacing w:before="480" w:after="0" w:line="276" w:lineRule="auto"/>
      <w:outlineLvl w:val="9"/>
    </w:pPr>
    <w:rPr>
      <w:rFonts w:ascii="Cambria" w:eastAsia="Times New Roman" w:hAnsi="Cambria"/>
      <w:color w:val="365F91"/>
      <w:sz w:val="28"/>
    </w:rPr>
  </w:style>
  <w:style w:type="paragraph" w:styleId="Obsah1">
    <w:name w:val="toc 1"/>
    <w:basedOn w:val="Normln"/>
    <w:next w:val="Normln"/>
    <w:autoRedefine/>
    <w:uiPriority w:val="39"/>
    <w:unhideWhenUsed/>
    <w:rsid w:val="00BC6AC1"/>
  </w:style>
  <w:style w:type="paragraph" w:styleId="Obsah2">
    <w:name w:val="toc 2"/>
    <w:basedOn w:val="Normln"/>
    <w:next w:val="Normln"/>
    <w:autoRedefine/>
    <w:uiPriority w:val="39"/>
    <w:unhideWhenUsed/>
    <w:rsid w:val="00BC6AC1"/>
    <w:pPr>
      <w:ind w:left="200"/>
    </w:pPr>
  </w:style>
  <w:style w:type="paragraph" w:styleId="Obsah3">
    <w:name w:val="toc 3"/>
    <w:basedOn w:val="Normln"/>
    <w:next w:val="Normln"/>
    <w:autoRedefine/>
    <w:uiPriority w:val="39"/>
    <w:unhideWhenUsed/>
    <w:rsid w:val="00BC6AC1"/>
    <w:pPr>
      <w:ind w:left="400"/>
    </w:pPr>
  </w:style>
  <w:style w:type="paragraph" w:styleId="Odstavecseseznamem">
    <w:name w:val="List Paragraph"/>
    <w:basedOn w:val="Normln"/>
    <w:uiPriority w:val="34"/>
    <w:qFormat/>
    <w:rsid w:val="00ED48F5"/>
    <w:pPr>
      <w:spacing w:line="240" w:lineRule="auto"/>
      <w:ind w:left="720"/>
      <w:contextualSpacing/>
      <w:jc w:val="both"/>
    </w:pPr>
  </w:style>
  <w:style w:type="paragraph" w:styleId="Textpoznpodarou">
    <w:name w:val="footnote text"/>
    <w:basedOn w:val="Normln"/>
    <w:link w:val="TextpoznpodarouChar"/>
    <w:semiHidden/>
    <w:unhideWhenUsed/>
    <w:rsid w:val="00ED48F5"/>
    <w:pPr>
      <w:spacing w:line="240" w:lineRule="auto"/>
      <w:jc w:val="both"/>
    </w:pPr>
    <w:rPr>
      <w:szCs w:val="20"/>
    </w:rPr>
  </w:style>
  <w:style w:type="character" w:customStyle="1" w:styleId="TextpoznpodarouChar">
    <w:name w:val="Text pozn. pod čarou Char"/>
    <w:link w:val="Textpoznpodarou"/>
    <w:semiHidden/>
    <w:rsid w:val="00ED48F5"/>
    <w:rPr>
      <w:rFonts w:ascii="Arial" w:eastAsia="Times New Roman" w:hAnsi="Arial"/>
    </w:rPr>
  </w:style>
  <w:style w:type="character" w:styleId="Znakapoznpodarou">
    <w:name w:val="footnote reference"/>
    <w:semiHidden/>
    <w:unhideWhenUsed/>
    <w:rsid w:val="00ED48F5"/>
    <w:rPr>
      <w:vertAlign w:val="superscript"/>
    </w:rPr>
  </w:style>
  <w:style w:type="table" w:styleId="Mkatabulky">
    <w:name w:val="Table Grid"/>
    <w:basedOn w:val="Normlntabulka"/>
    <w:uiPriority w:val="59"/>
    <w:rsid w:val="00D72C5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uiPriority w:val="99"/>
    <w:semiHidden/>
    <w:unhideWhenUsed/>
    <w:rsid w:val="00840E30"/>
    <w:rPr>
      <w:sz w:val="16"/>
      <w:szCs w:val="16"/>
    </w:rPr>
  </w:style>
  <w:style w:type="paragraph" w:styleId="Textkomente">
    <w:name w:val="annotation text"/>
    <w:basedOn w:val="Normln"/>
    <w:link w:val="TextkomenteChar"/>
    <w:uiPriority w:val="99"/>
    <w:semiHidden/>
    <w:unhideWhenUsed/>
    <w:rsid w:val="00840E30"/>
    <w:rPr>
      <w:szCs w:val="20"/>
    </w:rPr>
  </w:style>
  <w:style w:type="character" w:customStyle="1" w:styleId="TextkomenteChar">
    <w:name w:val="Text komentáře Char"/>
    <w:link w:val="Textkomente"/>
    <w:uiPriority w:val="99"/>
    <w:semiHidden/>
    <w:rsid w:val="00840E30"/>
    <w:rPr>
      <w:rFonts w:ascii="Arial" w:eastAsia="Times New Roman" w:hAnsi="Arial"/>
    </w:rPr>
  </w:style>
  <w:style w:type="paragraph" w:styleId="Pedmtkomente">
    <w:name w:val="annotation subject"/>
    <w:basedOn w:val="Textkomente"/>
    <w:next w:val="Textkomente"/>
    <w:link w:val="PedmtkomenteChar"/>
    <w:uiPriority w:val="99"/>
    <w:semiHidden/>
    <w:unhideWhenUsed/>
    <w:rsid w:val="00840E30"/>
    <w:rPr>
      <w:b/>
      <w:bCs/>
    </w:rPr>
  </w:style>
  <w:style w:type="character" w:customStyle="1" w:styleId="PedmtkomenteChar">
    <w:name w:val="Předmět komentáře Char"/>
    <w:link w:val="Pedmtkomente"/>
    <w:uiPriority w:val="99"/>
    <w:semiHidden/>
    <w:rsid w:val="00840E30"/>
    <w:rPr>
      <w:rFonts w:ascii="Arial" w:eastAsia="Times New Roman" w:hAnsi="Arial"/>
      <w:b/>
      <w:bCs/>
    </w:rPr>
  </w:style>
  <w:style w:type="character" w:styleId="Sledovanodkaz">
    <w:name w:val="FollowedHyperlink"/>
    <w:basedOn w:val="Standardnpsmoodstavce"/>
    <w:uiPriority w:val="99"/>
    <w:semiHidden/>
    <w:unhideWhenUsed/>
    <w:rsid w:val="005C0BF9"/>
    <w:rPr>
      <w:color w:val="800080" w:themeColor="followedHyperlink"/>
      <w:u w:val="single"/>
    </w:rPr>
  </w:style>
  <w:style w:type="paragraph" w:styleId="Zkladntext2">
    <w:name w:val="Body Text 2"/>
    <w:basedOn w:val="Normln"/>
    <w:link w:val="Zkladntext2Char"/>
    <w:rsid w:val="00857CF9"/>
    <w:pPr>
      <w:spacing w:line="240" w:lineRule="auto"/>
      <w:jc w:val="both"/>
    </w:pPr>
    <w:rPr>
      <w:rFonts w:ascii="Garamond" w:hAnsi="Garamond"/>
      <w:sz w:val="24"/>
    </w:rPr>
  </w:style>
  <w:style w:type="character" w:customStyle="1" w:styleId="Zkladntext2Char">
    <w:name w:val="Základní text 2 Char"/>
    <w:basedOn w:val="Standardnpsmoodstavce"/>
    <w:link w:val="Zkladntext2"/>
    <w:rsid w:val="00857CF9"/>
    <w:rPr>
      <w:rFonts w:ascii="Garamond" w:eastAsia="Times New Roman" w:hAnsi="Garamond"/>
      <w:sz w:val="24"/>
      <w:szCs w:val="24"/>
    </w:rPr>
  </w:style>
  <w:style w:type="paragraph" w:styleId="Titulek">
    <w:name w:val="caption"/>
    <w:basedOn w:val="Normln"/>
    <w:next w:val="Normln"/>
    <w:qFormat/>
    <w:rsid w:val="00857CF9"/>
    <w:pPr>
      <w:pBdr>
        <w:bottom w:val="single" w:sz="4" w:space="1" w:color="808080"/>
      </w:pBdr>
      <w:spacing w:line="240" w:lineRule="auto"/>
    </w:pPr>
    <w:rPr>
      <w:rFonts w:ascii="Calibri" w:hAnsi="Calibri"/>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15816143">
      <w:bodyDiv w:val="1"/>
      <w:marLeft w:val="0"/>
      <w:marRight w:val="0"/>
      <w:marTop w:val="0"/>
      <w:marBottom w:val="0"/>
      <w:divBdr>
        <w:top w:val="none" w:sz="0" w:space="0" w:color="auto"/>
        <w:left w:val="none" w:sz="0" w:space="0" w:color="auto"/>
        <w:bottom w:val="none" w:sz="0" w:space="0" w:color="auto"/>
        <w:right w:val="none" w:sz="0" w:space="0" w:color="auto"/>
      </w:divBdr>
    </w:div>
    <w:div w:id="42367243">
      <w:bodyDiv w:val="1"/>
      <w:marLeft w:val="0"/>
      <w:marRight w:val="0"/>
      <w:marTop w:val="0"/>
      <w:marBottom w:val="0"/>
      <w:divBdr>
        <w:top w:val="none" w:sz="0" w:space="0" w:color="auto"/>
        <w:left w:val="none" w:sz="0" w:space="0" w:color="auto"/>
        <w:bottom w:val="none" w:sz="0" w:space="0" w:color="auto"/>
        <w:right w:val="none" w:sz="0" w:space="0" w:color="auto"/>
      </w:divBdr>
    </w:div>
    <w:div w:id="43411705">
      <w:bodyDiv w:val="1"/>
      <w:marLeft w:val="0"/>
      <w:marRight w:val="0"/>
      <w:marTop w:val="0"/>
      <w:marBottom w:val="0"/>
      <w:divBdr>
        <w:top w:val="none" w:sz="0" w:space="0" w:color="auto"/>
        <w:left w:val="none" w:sz="0" w:space="0" w:color="auto"/>
        <w:bottom w:val="none" w:sz="0" w:space="0" w:color="auto"/>
        <w:right w:val="none" w:sz="0" w:space="0" w:color="auto"/>
      </w:divBdr>
    </w:div>
    <w:div w:id="134808413">
      <w:bodyDiv w:val="1"/>
      <w:marLeft w:val="0"/>
      <w:marRight w:val="0"/>
      <w:marTop w:val="0"/>
      <w:marBottom w:val="0"/>
      <w:divBdr>
        <w:top w:val="none" w:sz="0" w:space="0" w:color="auto"/>
        <w:left w:val="none" w:sz="0" w:space="0" w:color="auto"/>
        <w:bottom w:val="none" w:sz="0" w:space="0" w:color="auto"/>
        <w:right w:val="none" w:sz="0" w:space="0" w:color="auto"/>
      </w:divBdr>
    </w:div>
    <w:div w:id="489713502">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89193588">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720176151">
      <w:bodyDiv w:val="1"/>
      <w:marLeft w:val="0"/>
      <w:marRight w:val="0"/>
      <w:marTop w:val="0"/>
      <w:marBottom w:val="0"/>
      <w:divBdr>
        <w:top w:val="none" w:sz="0" w:space="0" w:color="auto"/>
        <w:left w:val="none" w:sz="0" w:space="0" w:color="auto"/>
        <w:bottom w:val="none" w:sz="0" w:space="0" w:color="auto"/>
        <w:right w:val="none" w:sz="0" w:space="0" w:color="auto"/>
      </w:divBdr>
    </w:div>
    <w:div w:id="1167862942">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393306900">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69958323">
      <w:bodyDiv w:val="1"/>
      <w:marLeft w:val="0"/>
      <w:marRight w:val="0"/>
      <w:marTop w:val="0"/>
      <w:marBottom w:val="0"/>
      <w:divBdr>
        <w:top w:val="none" w:sz="0" w:space="0" w:color="auto"/>
        <w:left w:val="none" w:sz="0" w:space="0" w:color="auto"/>
        <w:bottom w:val="none" w:sz="0" w:space="0" w:color="auto"/>
        <w:right w:val="none" w:sz="0" w:space="0" w:color="auto"/>
      </w:divBdr>
    </w:div>
    <w:div w:id="2084907204">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chart" Target="charts/chart11.xml"/><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footer" Target="footer2.xml"/><Relationship Id="rId30"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E:\_PRACOVNI\02_Statistick&#233;%20&#250;lohy\00_GBOARD\07_Nep&#345;&#237;m&#225;%20podpora%20VaV\05_V&#253;stupy\03_Publikace\npvv2013\Tir&#225;&#382;\publikace%20bar_veda%20IT.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_PRACOVNI\02_Statistick&#233;%20&#250;lohy\00_GBOARD\02_IS%20VaV_GBAORD\06_V&#253;stupy%20z%20projektu\01_Publikace\GBAORD%202014\01_TEXTY\ANA14_2015-11-08\GBARD14_ANALYZA_2015-11-09.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01_PRACE_CSU\__GBAORD%202014\___PUB%20GBARD%202014\01_TEXTY\ANA14\GBARD14_ANAL_PART2_v01_2015-11-07.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01_PRACE_CSU\__GBAORD%202014\___PUB%20GBARD%202014\01_TEXTY\ANA14\GBARD14_ANAL_PART2_v01_2015-11-07.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01_PRACE_CSU\__GBAORD%202014\___PUB%20GBARD%202014\01_TEXTY\ANA14\GBARD14_ANAL_PART2_v01_2015-11-07.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01_PRACE_CSU\__GBAORD%202014\___PUB%20GBARD%202014\01_TEXTY\ANA14\GBARD14_ANAL_PART2_v01_2015-11-07.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D:\_PRACOVNI\02_Statistick&#233;%20&#250;lohy\00_GBOARD\02_IS%20VaV_GBAORD\06_V&#253;stupy%20z%20projektu\01_Publikace\GBAORD%202014\01_TEXTY\ANA14_2015-11-08\GBARD14_ANALYZA_2015-11-10.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D:\_PRACOVNI\02_Statistick&#233;%20&#250;lohy\00_GBOARD\02_IS%20VaV_GBAORD\06_V&#253;stupy%20z%20projektu\01_Publikace\GBAORD%202014\01_TEXTY\ANA14_2015-11-08\GBARD14_ANALYZA_2015-11-1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_PRACOVNI\02_Statistick&#233;%20&#250;lohy\00_GBOARD\02_IS%20VaV_GBAORD\06_V&#253;stupy%20z%20projektu\01_Publikace\GBAORD%202014\01_TEXTY\ANA14_2015-11-08\GBARD14_ANALYZA_2015-11-0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_PRACOVNI\02_Statistick&#233;%20&#250;lohy\00_GBOARD\02_IS%20VaV_GBAORD\06_V&#253;stupy%20z%20projektu\01_Publikace\GBAORD%202014\01_TEXTY\ANA14_2015-11-08\GBARD14_ANALYZA_2015-11-0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_PRACOVNI\02_Statistick&#233;%20&#250;lohy\00_GBOARD\02_IS%20VaV_GBAORD\06_V&#253;stupy%20z%20projektu\01_Publikace\GBAORD%202014\01_TEXTY\ANA14_2015-11-08\GBARD14_ANALYZA_2015-11-0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_PRACOVNI\02_Statistick&#233;%20&#250;lohy\00_GBOARD\02_IS%20VaV_GBAORD\06_V&#253;stupy%20z%20projektu\01_Publikace\GBAORD%202014\01_TEXTY\ANA14_2015-11-08\GBARD14_ANALYZA_2015-11-18.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_PRACOVNI\02_Statistick&#233;%20&#250;lohy\00_GBOARD\02_IS%20VaV_GBAORD\06_V&#253;stupy%20z%20projektu\01_Publikace\GBAORD%202014\01_TEXTY\ANA14_2015-11-08\GBARD14_ANALYZA_2015-11-09.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_PRACOVNI\02_Statistick&#233;%20&#250;lohy\00_GBOARD\02_IS%20VaV_GBAORD\06_V&#253;stupy%20z%20projektu\01_Publikace\GBAORD%202014\01_TEXTY\ANA14_2015-11-08\GBARD14_ANALYZA_2015-11-09.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01_PRACE_CSU\__GBAORD%202014\___PUB%20GBARD%202014\01_TEXTY\ANA14\GBARD14_ANAL_PART2_v01_2015-11-07.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01_PRACE_CSU\__GBAORD%202014\___PUB%20GBARD%202014\01_TEXTY\ANA14\GBARD14_ANAL_PART2_v01_2015-11-0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47951813725490294"/>
          <c:y val="4.5111943838345568E-2"/>
          <c:w val="0.49179656862745164"/>
          <c:h val="0.89676216677734411"/>
        </c:manualLayout>
      </c:layout>
      <c:barChart>
        <c:barDir val="bar"/>
        <c:grouping val="clustered"/>
        <c:varyColors val="0"/>
        <c:ser>
          <c:idx val="0"/>
          <c:order val="0"/>
          <c:tx>
            <c:strRef>
              <c:f>'GRF2-1'!$B$55</c:f>
              <c:strCache>
                <c:ptCount val="1"/>
                <c:pt idx="0">
                  <c:v>2005</c:v>
                </c:pt>
              </c:strCache>
            </c:strRef>
          </c:tx>
          <c:spPr>
            <a:solidFill>
              <a:schemeClr val="accent5">
                <a:lumMod val="40000"/>
                <a:lumOff val="60000"/>
              </a:schemeClr>
            </a:solidFill>
          </c:spPr>
          <c:invertIfNegative val="0"/>
          <c:cat>
            <c:strRef>
              <c:f>'GRF2-1'!$A$56:$A$68</c:f>
              <c:strCache>
                <c:ptCount val="13"/>
                <c:pt idx="0">
                  <c:v>Průzkum a využití vesmíru (0,6%)</c:v>
                </c:pt>
                <c:pt idx="1">
                  <c:v>Obrana (1,4%)</c:v>
                </c:pt>
                <c:pt idx="2">
                  <c:v>Průzkum a využití zdrojů Země (1,6%)</c:v>
                </c:pt>
                <c:pt idx="3">
                  <c:v>Ochrana životního prostředí  (2%)</c:v>
                </c:pt>
                <c:pt idx="4">
                  <c:v>Výroba, distribuce a racionální využití energie (3,1%)</c:v>
                </c:pt>
                <c:pt idx="5">
                  <c:v>Ostatní civilní výzkum (3,7%)</c:v>
                </c:pt>
                <c:pt idx="6">
                  <c:v>Infrastruktura a územní plánování (4%)</c:v>
                </c:pt>
                <c:pt idx="7">
                  <c:v>Zemědělská výroba a technologie (4,1%)</c:v>
                </c:pt>
                <c:pt idx="8">
                  <c:v>Ochrana a zlepšování lidského zdraví (6,3%)</c:v>
                </c:pt>
                <c:pt idx="9">
                  <c:v>Společenské struktury a vztahy (6,5%)</c:v>
                </c:pt>
                <c:pt idx="10">
                  <c:v>Průmyslová výroba a technologie (12,6%)</c:v>
                </c:pt>
                <c:pt idx="11">
                  <c:v>Všeobecný výzkum na vysokých školách (23%)</c:v>
                </c:pt>
                <c:pt idx="12">
                  <c:v>Neorientovaný výzkum (31,2%)</c:v>
                </c:pt>
              </c:strCache>
            </c:strRef>
          </c:cat>
          <c:val>
            <c:numRef>
              <c:f>'GRF2-1'!$B$56:$B$68</c:f>
              <c:numCache>
                <c:formatCode>#,##0</c:formatCode>
                <c:ptCount val="13"/>
                <c:pt idx="0">
                  <c:v>126.87299999999998</c:v>
                </c:pt>
                <c:pt idx="1">
                  <c:v>417.43299999999977</c:v>
                </c:pt>
                <c:pt idx="2">
                  <c:v>378.55699999999979</c:v>
                </c:pt>
                <c:pt idx="3">
                  <c:v>516.0010000000002</c:v>
                </c:pt>
                <c:pt idx="4">
                  <c:v>394.58700000000016</c:v>
                </c:pt>
                <c:pt idx="5">
                  <c:v>969.86400999999967</c:v>
                </c:pt>
                <c:pt idx="6">
                  <c:v>727.44900000000018</c:v>
                </c:pt>
                <c:pt idx="7">
                  <c:v>857.56800000000021</c:v>
                </c:pt>
                <c:pt idx="8">
                  <c:v>1144.8199999999997</c:v>
                </c:pt>
                <c:pt idx="9">
                  <c:v>466.91699999999963</c:v>
                </c:pt>
                <c:pt idx="10">
                  <c:v>2203.2050000000004</c:v>
                </c:pt>
                <c:pt idx="11">
                  <c:v>3470.5740000000005</c:v>
                </c:pt>
                <c:pt idx="12">
                  <c:v>4767.2480000000005</c:v>
                </c:pt>
              </c:numCache>
            </c:numRef>
          </c:val>
        </c:ser>
        <c:ser>
          <c:idx val="1"/>
          <c:order val="1"/>
          <c:tx>
            <c:strRef>
              <c:f>'GRF2-1'!$C$55</c:f>
              <c:strCache>
                <c:ptCount val="1"/>
                <c:pt idx="0">
                  <c:v>2010</c:v>
                </c:pt>
              </c:strCache>
            </c:strRef>
          </c:tx>
          <c:spPr>
            <a:solidFill>
              <a:schemeClr val="accent5">
                <a:lumMod val="60000"/>
                <a:lumOff val="40000"/>
              </a:schemeClr>
            </a:solidFill>
          </c:spPr>
          <c:invertIfNegative val="0"/>
          <c:cat>
            <c:strRef>
              <c:f>'GRF2-1'!$A$56:$A$68</c:f>
              <c:strCache>
                <c:ptCount val="13"/>
                <c:pt idx="0">
                  <c:v>Průzkum a využití vesmíru (0,6%)</c:v>
                </c:pt>
                <c:pt idx="1">
                  <c:v>Obrana (1,4%)</c:v>
                </c:pt>
                <c:pt idx="2">
                  <c:v>Průzkum a využití zdrojů Země (1,6%)</c:v>
                </c:pt>
                <c:pt idx="3">
                  <c:v>Ochrana životního prostředí  (2%)</c:v>
                </c:pt>
                <c:pt idx="4">
                  <c:v>Výroba, distribuce a racionální využití energie (3,1%)</c:v>
                </c:pt>
                <c:pt idx="5">
                  <c:v>Ostatní civilní výzkum (3,7%)</c:v>
                </c:pt>
                <c:pt idx="6">
                  <c:v>Infrastruktura a územní plánování (4%)</c:v>
                </c:pt>
                <c:pt idx="7">
                  <c:v>Zemědělská výroba a technologie (4,1%)</c:v>
                </c:pt>
                <c:pt idx="8">
                  <c:v>Ochrana a zlepšování lidského zdraví (6,3%)</c:v>
                </c:pt>
                <c:pt idx="9">
                  <c:v>Společenské struktury a vztahy (6,5%)</c:v>
                </c:pt>
                <c:pt idx="10">
                  <c:v>Průmyslová výroba a technologie (12,6%)</c:v>
                </c:pt>
                <c:pt idx="11">
                  <c:v>Všeobecný výzkum na vysokých školách (23%)</c:v>
                </c:pt>
                <c:pt idx="12">
                  <c:v>Neorientovaný výzkum (31,2%)</c:v>
                </c:pt>
              </c:strCache>
            </c:strRef>
          </c:cat>
          <c:val>
            <c:numRef>
              <c:f>'GRF2-1'!$C$56:$C$68</c:f>
              <c:numCache>
                <c:formatCode>#,##0</c:formatCode>
                <c:ptCount val="13"/>
                <c:pt idx="0">
                  <c:v>141.251</c:v>
                </c:pt>
                <c:pt idx="1">
                  <c:v>507.6820000000003</c:v>
                </c:pt>
                <c:pt idx="2">
                  <c:v>395.38400000000001</c:v>
                </c:pt>
                <c:pt idx="3">
                  <c:v>619.96299999999917</c:v>
                </c:pt>
                <c:pt idx="4">
                  <c:v>830.02700000000038</c:v>
                </c:pt>
                <c:pt idx="5">
                  <c:v>1251.741</c:v>
                </c:pt>
                <c:pt idx="6">
                  <c:v>599.78500000000031</c:v>
                </c:pt>
                <c:pt idx="7">
                  <c:v>1130.0360000000001</c:v>
                </c:pt>
                <c:pt idx="8">
                  <c:v>1391.7549999999994</c:v>
                </c:pt>
                <c:pt idx="9">
                  <c:v>355.51</c:v>
                </c:pt>
                <c:pt idx="10">
                  <c:v>3326.449000000001</c:v>
                </c:pt>
                <c:pt idx="11">
                  <c:v>4584.2070000000003</c:v>
                </c:pt>
                <c:pt idx="12">
                  <c:v>7468.3349999999946</c:v>
                </c:pt>
              </c:numCache>
            </c:numRef>
          </c:val>
        </c:ser>
        <c:ser>
          <c:idx val="2"/>
          <c:order val="2"/>
          <c:tx>
            <c:strRef>
              <c:f>'GRF2-1'!$D$55</c:f>
              <c:strCache>
                <c:ptCount val="1"/>
                <c:pt idx="0">
                  <c:v>2013</c:v>
                </c:pt>
              </c:strCache>
            </c:strRef>
          </c:tx>
          <c:spPr>
            <a:solidFill>
              <a:schemeClr val="accent5"/>
            </a:solidFill>
          </c:spPr>
          <c:invertIfNegative val="0"/>
          <c:cat>
            <c:strRef>
              <c:f>'GRF2-1'!$A$56:$A$68</c:f>
              <c:strCache>
                <c:ptCount val="13"/>
                <c:pt idx="0">
                  <c:v>Průzkum a využití vesmíru (0,6%)</c:v>
                </c:pt>
                <c:pt idx="1">
                  <c:v>Obrana (1,4%)</c:v>
                </c:pt>
                <c:pt idx="2">
                  <c:v>Průzkum a využití zdrojů Země (1,6%)</c:v>
                </c:pt>
                <c:pt idx="3">
                  <c:v>Ochrana životního prostředí  (2%)</c:v>
                </c:pt>
                <c:pt idx="4">
                  <c:v>Výroba, distribuce a racionální využití energie (3,1%)</c:v>
                </c:pt>
                <c:pt idx="5">
                  <c:v>Ostatní civilní výzkum (3,7%)</c:v>
                </c:pt>
                <c:pt idx="6">
                  <c:v>Infrastruktura a územní plánování (4%)</c:v>
                </c:pt>
                <c:pt idx="7">
                  <c:v>Zemědělská výroba a technologie (4,1%)</c:v>
                </c:pt>
                <c:pt idx="8">
                  <c:v>Ochrana a zlepšování lidského zdraví (6,3%)</c:v>
                </c:pt>
                <c:pt idx="9">
                  <c:v>Společenské struktury a vztahy (6,5%)</c:v>
                </c:pt>
                <c:pt idx="10">
                  <c:v>Průmyslová výroba a technologie (12,6%)</c:v>
                </c:pt>
                <c:pt idx="11">
                  <c:v>Všeobecný výzkum na vysokých školách (23%)</c:v>
                </c:pt>
                <c:pt idx="12">
                  <c:v>Neorientovaný výzkum (31,2%)</c:v>
                </c:pt>
              </c:strCache>
            </c:strRef>
          </c:cat>
          <c:val>
            <c:numRef>
              <c:f>'GRF2-1'!$D$56:$D$68</c:f>
              <c:numCache>
                <c:formatCode>#,##0</c:formatCode>
                <c:ptCount val="13"/>
                <c:pt idx="0">
                  <c:v>144.10898616498008</c:v>
                </c:pt>
                <c:pt idx="1">
                  <c:v>385.5733728681696</c:v>
                </c:pt>
                <c:pt idx="2">
                  <c:v>462.05064987377551</c:v>
                </c:pt>
                <c:pt idx="3">
                  <c:v>525.12742525888552</c:v>
                </c:pt>
                <c:pt idx="4">
                  <c:v>843.18553953738308</c:v>
                </c:pt>
                <c:pt idx="5">
                  <c:v>1317.3882699999997</c:v>
                </c:pt>
                <c:pt idx="6">
                  <c:v>1128.7406607640287</c:v>
                </c:pt>
                <c:pt idx="7">
                  <c:v>1013.5410023739564</c:v>
                </c:pt>
                <c:pt idx="8">
                  <c:v>1704.8208761805399</c:v>
                </c:pt>
                <c:pt idx="9">
                  <c:v>1097.9947808233458</c:v>
                </c:pt>
                <c:pt idx="10">
                  <c:v>3847.4785070569656</c:v>
                </c:pt>
                <c:pt idx="11">
                  <c:v>6115.6031250300002</c:v>
                </c:pt>
                <c:pt idx="12">
                  <c:v>8119.5251990979759</c:v>
                </c:pt>
              </c:numCache>
            </c:numRef>
          </c:val>
        </c:ser>
        <c:ser>
          <c:idx val="3"/>
          <c:order val="3"/>
          <c:tx>
            <c:strRef>
              <c:f>'GRF2-1'!$E$55</c:f>
              <c:strCache>
                <c:ptCount val="1"/>
                <c:pt idx="0">
                  <c:v>2014</c:v>
                </c:pt>
              </c:strCache>
            </c:strRef>
          </c:tx>
          <c:spPr>
            <a:solidFill>
              <a:schemeClr val="accent5">
                <a:lumMod val="75000"/>
              </a:schemeClr>
            </a:solidFill>
          </c:spPr>
          <c:invertIfNegative val="0"/>
          <c:cat>
            <c:strRef>
              <c:f>'GRF2-1'!$A$56:$A$68</c:f>
              <c:strCache>
                <c:ptCount val="13"/>
                <c:pt idx="0">
                  <c:v>Průzkum a využití vesmíru (0,6%)</c:v>
                </c:pt>
                <c:pt idx="1">
                  <c:v>Obrana (1,4%)</c:v>
                </c:pt>
                <c:pt idx="2">
                  <c:v>Průzkum a využití zdrojů Země (1,6%)</c:v>
                </c:pt>
                <c:pt idx="3">
                  <c:v>Ochrana životního prostředí  (2%)</c:v>
                </c:pt>
                <c:pt idx="4">
                  <c:v>Výroba, distribuce a racionální využití energie (3,1%)</c:v>
                </c:pt>
                <c:pt idx="5">
                  <c:v>Ostatní civilní výzkum (3,7%)</c:v>
                </c:pt>
                <c:pt idx="6">
                  <c:v>Infrastruktura a územní plánování (4%)</c:v>
                </c:pt>
                <c:pt idx="7">
                  <c:v>Zemědělská výroba a technologie (4,1%)</c:v>
                </c:pt>
                <c:pt idx="8">
                  <c:v>Ochrana a zlepšování lidského zdraví (6,3%)</c:v>
                </c:pt>
                <c:pt idx="9">
                  <c:v>Společenské struktury a vztahy (6,5%)</c:v>
                </c:pt>
                <c:pt idx="10">
                  <c:v>Průmyslová výroba a technologie (12,6%)</c:v>
                </c:pt>
                <c:pt idx="11">
                  <c:v>Všeobecný výzkum na vysokých školách (23%)</c:v>
                </c:pt>
                <c:pt idx="12">
                  <c:v>Neorientovaný výzkum (31,2%)</c:v>
                </c:pt>
              </c:strCache>
            </c:strRef>
          </c:cat>
          <c:val>
            <c:numRef>
              <c:f>'GRF2-1'!$E$56:$E$68</c:f>
              <c:numCache>
                <c:formatCode>#,##0</c:formatCode>
                <c:ptCount val="13"/>
                <c:pt idx="0">
                  <c:v>150.20261080675772</c:v>
                </c:pt>
                <c:pt idx="1">
                  <c:v>377.18661495325324</c:v>
                </c:pt>
                <c:pt idx="2">
                  <c:v>434.40696610563066</c:v>
                </c:pt>
                <c:pt idx="3">
                  <c:v>548.5622299999992</c:v>
                </c:pt>
                <c:pt idx="4">
                  <c:v>832.37834172716225</c:v>
                </c:pt>
                <c:pt idx="5">
                  <c:v>1015.2414</c:v>
                </c:pt>
                <c:pt idx="6">
                  <c:v>1086.7066822232141</c:v>
                </c:pt>
                <c:pt idx="7">
                  <c:v>1112.1874756367602</c:v>
                </c:pt>
                <c:pt idx="8">
                  <c:v>1722.2260526255386</c:v>
                </c:pt>
                <c:pt idx="9">
                  <c:v>1773.2258952236789</c:v>
                </c:pt>
                <c:pt idx="10">
                  <c:v>3437.1233729685814</c:v>
                </c:pt>
                <c:pt idx="11">
                  <c:v>6273.5807691999998</c:v>
                </c:pt>
                <c:pt idx="12">
                  <c:v>8521.0736985294279</c:v>
                </c:pt>
              </c:numCache>
            </c:numRef>
          </c:val>
        </c:ser>
        <c:dLbls>
          <c:showLegendKey val="0"/>
          <c:showVal val="0"/>
          <c:showCatName val="0"/>
          <c:showSerName val="0"/>
          <c:showPercent val="0"/>
          <c:showBubbleSize val="0"/>
        </c:dLbls>
        <c:gapWidth val="100"/>
        <c:axId val="188653568"/>
        <c:axId val="188655104"/>
      </c:barChart>
      <c:catAx>
        <c:axId val="188653568"/>
        <c:scaling>
          <c:orientation val="minMax"/>
        </c:scaling>
        <c:delete val="0"/>
        <c:axPos val="l"/>
        <c:majorGridlines>
          <c:spPr>
            <a:ln>
              <a:solidFill>
                <a:schemeClr val="bg1">
                  <a:lumMod val="85000"/>
                </a:schemeClr>
              </a:solidFill>
            </a:ln>
          </c:spPr>
        </c:majorGridlines>
        <c:numFmt formatCode="General" sourceLinked="0"/>
        <c:majorTickMark val="out"/>
        <c:minorTickMark val="none"/>
        <c:tickLblPos val="nextTo"/>
        <c:crossAx val="188655104"/>
        <c:crosses val="autoZero"/>
        <c:auto val="1"/>
        <c:lblAlgn val="ctr"/>
        <c:lblOffset val="100"/>
        <c:noMultiLvlLbl val="0"/>
      </c:catAx>
      <c:valAx>
        <c:axId val="188655104"/>
        <c:scaling>
          <c:orientation val="minMax"/>
        </c:scaling>
        <c:delete val="0"/>
        <c:axPos val="b"/>
        <c:majorGridlines>
          <c:spPr>
            <a:ln>
              <a:solidFill>
                <a:schemeClr val="bg1">
                  <a:lumMod val="85000"/>
                </a:schemeClr>
              </a:solidFill>
            </a:ln>
          </c:spPr>
        </c:majorGridlines>
        <c:numFmt formatCode="#,##0" sourceLinked="0"/>
        <c:majorTickMark val="out"/>
        <c:minorTickMark val="none"/>
        <c:tickLblPos val="nextTo"/>
        <c:crossAx val="188653568"/>
        <c:crosses val="autoZero"/>
        <c:crossBetween val="between"/>
      </c:valAx>
      <c:spPr>
        <a:solidFill>
          <a:schemeClr val="bg1"/>
        </a:solidFill>
        <a:ln>
          <a:solidFill>
            <a:schemeClr val="bg1">
              <a:lumMod val="85000"/>
            </a:schemeClr>
          </a:solidFill>
        </a:ln>
      </c:spPr>
    </c:plotArea>
    <c:legend>
      <c:legendPos val="r"/>
      <c:layout>
        <c:manualLayout>
          <c:xMode val="edge"/>
          <c:yMode val="edge"/>
          <c:x val="0.87315245098039262"/>
          <c:y val="0.68862420304444805"/>
          <c:w val="7.2489904827760784E-2"/>
          <c:h val="0.19216298263921835"/>
        </c:manualLayout>
      </c:layout>
      <c:overlay val="1"/>
      <c:spPr>
        <a:solidFill>
          <a:schemeClr val="bg1"/>
        </a:solidFill>
      </c:spPr>
    </c:legend>
    <c:plotVisOnly val="1"/>
    <c:dispBlanksAs val="zero"/>
    <c:showDLblsOverMax val="0"/>
  </c:chart>
  <c:spPr>
    <a:ln>
      <a:noFill/>
    </a:ln>
  </c:spPr>
  <c:txPr>
    <a:bodyPr/>
    <a:lstStyle/>
    <a:p>
      <a:pPr>
        <a:defRPr sz="900">
          <a:latin typeface="Arial" pitchFamily="34" charset="0"/>
          <a:cs typeface="Arial" pitchFamily="34" charset="0"/>
        </a:defRPr>
      </a:pPr>
      <a:endParaRPr lang="cs-CZ"/>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36810935089245328"/>
          <c:y val="4.5111943838345533E-2"/>
          <c:w val="0.57543227298994459"/>
          <c:h val="0.89676216677734033"/>
        </c:manualLayout>
      </c:layout>
      <c:barChart>
        <c:barDir val="bar"/>
        <c:grouping val="clustered"/>
        <c:varyColors val="0"/>
        <c:ser>
          <c:idx val="0"/>
          <c:order val="0"/>
          <c:tx>
            <c:strRef>
              <c:f>'GRF2-10'!$C$13</c:f>
              <c:strCache>
                <c:ptCount val="1"/>
                <c:pt idx="0">
                  <c:v>2005</c:v>
                </c:pt>
              </c:strCache>
            </c:strRef>
          </c:tx>
          <c:spPr>
            <a:solidFill>
              <a:schemeClr val="accent5">
                <a:lumMod val="40000"/>
                <a:lumOff val="60000"/>
              </a:schemeClr>
            </a:solidFill>
          </c:spPr>
          <c:invertIfNegative val="0"/>
          <c:cat>
            <c:strRef>
              <c:f>'GRF2-10'!$B$14:$B$19</c:f>
              <c:strCache>
                <c:ptCount val="6"/>
                <c:pt idx="0">
                  <c:v>Územní plánování</c:v>
                </c:pt>
                <c:pt idx="1">
                  <c:v>Vodárenství</c:v>
                </c:pt>
                <c:pt idx="2">
                  <c:v>Inženýrské a vodohospodářské stavby</c:v>
                </c:pt>
                <c:pt idx="3">
                  <c:v>Plánování a stavba budov</c:v>
                </c:pt>
                <c:pt idx="4">
                  <c:v>Dopravní systémy</c:v>
                </c:pt>
                <c:pt idx="5">
                  <c:v>Telekomunikační systémy</c:v>
                </c:pt>
              </c:strCache>
            </c:strRef>
          </c:cat>
          <c:val>
            <c:numRef>
              <c:f>'GRF2-10'!$C$14:$C$19</c:f>
              <c:numCache>
                <c:formatCode>#,##0</c:formatCode>
                <c:ptCount val="6"/>
                <c:pt idx="0">
                  <c:v>64.931000000000026</c:v>
                </c:pt>
                <c:pt idx="1">
                  <c:v>33.394000000000005</c:v>
                </c:pt>
                <c:pt idx="2">
                  <c:v>62.53700000000002</c:v>
                </c:pt>
                <c:pt idx="3">
                  <c:v>101.37199999999999</c:v>
                </c:pt>
                <c:pt idx="4">
                  <c:v>151.64100000000008</c:v>
                </c:pt>
                <c:pt idx="5">
                  <c:v>313.57400000000007</c:v>
                </c:pt>
              </c:numCache>
            </c:numRef>
          </c:val>
        </c:ser>
        <c:ser>
          <c:idx val="1"/>
          <c:order val="1"/>
          <c:tx>
            <c:strRef>
              <c:f>'GRF2-10'!$D$13</c:f>
              <c:strCache>
                <c:ptCount val="1"/>
                <c:pt idx="0">
                  <c:v>2010</c:v>
                </c:pt>
              </c:strCache>
            </c:strRef>
          </c:tx>
          <c:spPr>
            <a:solidFill>
              <a:schemeClr val="accent5">
                <a:lumMod val="60000"/>
                <a:lumOff val="40000"/>
              </a:schemeClr>
            </a:solidFill>
          </c:spPr>
          <c:invertIfNegative val="0"/>
          <c:cat>
            <c:strRef>
              <c:f>'GRF2-10'!$B$14:$B$19</c:f>
              <c:strCache>
                <c:ptCount val="6"/>
                <c:pt idx="0">
                  <c:v>Územní plánování</c:v>
                </c:pt>
                <c:pt idx="1">
                  <c:v>Vodárenství</c:v>
                </c:pt>
                <c:pt idx="2">
                  <c:v>Inženýrské a vodohospodářské stavby</c:v>
                </c:pt>
                <c:pt idx="3">
                  <c:v>Plánování a stavba budov</c:v>
                </c:pt>
                <c:pt idx="4">
                  <c:v>Dopravní systémy</c:v>
                </c:pt>
                <c:pt idx="5">
                  <c:v>Telekomunikační systémy</c:v>
                </c:pt>
              </c:strCache>
            </c:strRef>
          </c:cat>
          <c:val>
            <c:numRef>
              <c:f>'GRF2-10'!$D$14:$D$19</c:f>
              <c:numCache>
                <c:formatCode>#,##0</c:formatCode>
                <c:ptCount val="6"/>
                <c:pt idx="0">
                  <c:v>61.565000000000012</c:v>
                </c:pt>
                <c:pt idx="1">
                  <c:v>18.535000000000004</c:v>
                </c:pt>
                <c:pt idx="2">
                  <c:v>74.588000000000008</c:v>
                </c:pt>
                <c:pt idx="3">
                  <c:v>125.88399999999997</c:v>
                </c:pt>
                <c:pt idx="4">
                  <c:v>132.34800000000001</c:v>
                </c:pt>
                <c:pt idx="5">
                  <c:v>186.86500000000001</c:v>
                </c:pt>
              </c:numCache>
            </c:numRef>
          </c:val>
        </c:ser>
        <c:ser>
          <c:idx val="2"/>
          <c:order val="2"/>
          <c:tx>
            <c:strRef>
              <c:f>'GRF2-10'!$E$13</c:f>
              <c:strCache>
                <c:ptCount val="1"/>
                <c:pt idx="0">
                  <c:v>2013</c:v>
                </c:pt>
              </c:strCache>
            </c:strRef>
          </c:tx>
          <c:spPr>
            <a:solidFill>
              <a:schemeClr val="accent5"/>
            </a:solidFill>
          </c:spPr>
          <c:invertIfNegative val="0"/>
          <c:cat>
            <c:strRef>
              <c:f>'GRF2-10'!$B$14:$B$19</c:f>
              <c:strCache>
                <c:ptCount val="6"/>
                <c:pt idx="0">
                  <c:v>Územní plánování</c:v>
                </c:pt>
                <c:pt idx="1">
                  <c:v>Vodárenství</c:v>
                </c:pt>
                <c:pt idx="2">
                  <c:v>Inženýrské a vodohospodářské stavby</c:v>
                </c:pt>
                <c:pt idx="3">
                  <c:v>Plánování a stavba budov</c:v>
                </c:pt>
                <c:pt idx="4">
                  <c:v>Dopravní systémy</c:v>
                </c:pt>
                <c:pt idx="5">
                  <c:v>Telekomunikační systémy</c:v>
                </c:pt>
              </c:strCache>
            </c:strRef>
          </c:cat>
          <c:val>
            <c:numRef>
              <c:f>'GRF2-10'!$E$14:$E$19</c:f>
              <c:numCache>
                <c:formatCode>#,##0</c:formatCode>
                <c:ptCount val="6"/>
                <c:pt idx="0">
                  <c:v>44.367000000000004</c:v>
                </c:pt>
                <c:pt idx="1">
                  <c:v>105.99700000000007</c:v>
                </c:pt>
                <c:pt idx="2">
                  <c:v>161.64999999999998</c:v>
                </c:pt>
                <c:pt idx="3">
                  <c:v>143.01899840294317</c:v>
                </c:pt>
                <c:pt idx="4">
                  <c:v>300.19866236108425</c:v>
                </c:pt>
                <c:pt idx="5">
                  <c:v>373.50899999999962</c:v>
                </c:pt>
              </c:numCache>
            </c:numRef>
          </c:val>
        </c:ser>
        <c:ser>
          <c:idx val="3"/>
          <c:order val="3"/>
          <c:tx>
            <c:strRef>
              <c:f>'GRF2-10'!$F$13</c:f>
              <c:strCache>
                <c:ptCount val="1"/>
                <c:pt idx="0">
                  <c:v>2014</c:v>
                </c:pt>
              </c:strCache>
            </c:strRef>
          </c:tx>
          <c:spPr>
            <a:solidFill>
              <a:schemeClr val="accent5">
                <a:lumMod val="50000"/>
              </a:schemeClr>
            </a:solidFill>
          </c:spPr>
          <c:invertIfNegative val="0"/>
          <c:cat>
            <c:strRef>
              <c:f>'GRF2-10'!$B$14:$B$19</c:f>
              <c:strCache>
                <c:ptCount val="6"/>
                <c:pt idx="0">
                  <c:v>Územní plánování</c:v>
                </c:pt>
                <c:pt idx="1">
                  <c:v>Vodárenství</c:v>
                </c:pt>
                <c:pt idx="2">
                  <c:v>Inženýrské a vodohospodářské stavby</c:v>
                </c:pt>
                <c:pt idx="3">
                  <c:v>Plánování a stavba budov</c:v>
                </c:pt>
                <c:pt idx="4">
                  <c:v>Dopravní systémy</c:v>
                </c:pt>
                <c:pt idx="5">
                  <c:v>Telekomunikační systémy</c:v>
                </c:pt>
              </c:strCache>
            </c:strRef>
          </c:cat>
          <c:val>
            <c:numRef>
              <c:f>'GRF2-10'!$F$14:$F$19</c:f>
              <c:numCache>
                <c:formatCode>#,##0</c:formatCode>
                <c:ptCount val="6"/>
                <c:pt idx="0">
                  <c:v>73.079000000000008</c:v>
                </c:pt>
                <c:pt idx="1">
                  <c:v>79.875999999999948</c:v>
                </c:pt>
                <c:pt idx="2">
                  <c:v>149.05100000000004</c:v>
                </c:pt>
                <c:pt idx="3">
                  <c:v>182.92166718372997</c:v>
                </c:pt>
                <c:pt idx="4">
                  <c:v>228.69601503948272</c:v>
                </c:pt>
                <c:pt idx="5">
                  <c:v>373.08300000000003</c:v>
                </c:pt>
              </c:numCache>
            </c:numRef>
          </c:val>
        </c:ser>
        <c:dLbls>
          <c:showLegendKey val="0"/>
          <c:showVal val="0"/>
          <c:showCatName val="0"/>
          <c:showSerName val="0"/>
          <c:showPercent val="0"/>
          <c:showBubbleSize val="0"/>
        </c:dLbls>
        <c:gapWidth val="100"/>
        <c:axId val="197360256"/>
        <c:axId val="197366144"/>
      </c:barChart>
      <c:catAx>
        <c:axId val="197360256"/>
        <c:scaling>
          <c:orientation val="minMax"/>
        </c:scaling>
        <c:delete val="0"/>
        <c:axPos val="l"/>
        <c:majorGridlines>
          <c:spPr>
            <a:ln>
              <a:solidFill>
                <a:schemeClr val="bg1">
                  <a:lumMod val="85000"/>
                </a:schemeClr>
              </a:solidFill>
            </a:ln>
          </c:spPr>
        </c:majorGridlines>
        <c:numFmt formatCode="General" sourceLinked="0"/>
        <c:majorTickMark val="out"/>
        <c:minorTickMark val="none"/>
        <c:tickLblPos val="nextTo"/>
        <c:crossAx val="197366144"/>
        <c:crosses val="autoZero"/>
        <c:auto val="1"/>
        <c:lblAlgn val="ctr"/>
        <c:lblOffset val="100"/>
        <c:noMultiLvlLbl val="0"/>
      </c:catAx>
      <c:valAx>
        <c:axId val="197366144"/>
        <c:scaling>
          <c:orientation val="minMax"/>
        </c:scaling>
        <c:delete val="0"/>
        <c:axPos val="b"/>
        <c:majorGridlines>
          <c:spPr>
            <a:ln>
              <a:solidFill>
                <a:schemeClr val="bg1">
                  <a:lumMod val="85000"/>
                </a:schemeClr>
              </a:solidFill>
            </a:ln>
          </c:spPr>
        </c:majorGridlines>
        <c:numFmt formatCode="#,##0" sourceLinked="0"/>
        <c:majorTickMark val="out"/>
        <c:minorTickMark val="none"/>
        <c:tickLblPos val="nextTo"/>
        <c:crossAx val="197360256"/>
        <c:crosses val="autoZero"/>
        <c:crossBetween val="between"/>
      </c:valAx>
      <c:spPr>
        <a:noFill/>
        <a:ln>
          <a:solidFill>
            <a:schemeClr val="bg1">
              <a:lumMod val="85000"/>
            </a:schemeClr>
          </a:solidFill>
        </a:ln>
      </c:spPr>
    </c:plotArea>
    <c:legend>
      <c:legendPos val="r"/>
      <c:layout>
        <c:manualLayout>
          <c:xMode val="edge"/>
          <c:yMode val="edge"/>
          <c:x val="0.85938408956653645"/>
          <c:y val="0.68187947528687776"/>
          <c:w val="7.2489904827760923E-2"/>
          <c:h val="0.1921629826392183"/>
        </c:manualLayout>
      </c:layout>
      <c:overlay val="1"/>
      <c:spPr>
        <a:solidFill>
          <a:schemeClr val="bg1"/>
        </a:solidFill>
      </c:spPr>
    </c:legend>
    <c:plotVisOnly val="1"/>
    <c:dispBlanksAs val="zero"/>
    <c:showDLblsOverMax val="0"/>
  </c:chart>
  <c:spPr>
    <a:ln>
      <a:noFill/>
    </a:ln>
  </c:spPr>
  <c:txPr>
    <a:bodyPr/>
    <a:lstStyle/>
    <a:p>
      <a:pPr>
        <a:defRPr sz="900">
          <a:latin typeface="Arial" pitchFamily="34" charset="0"/>
          <a:cs typeface="Arial" pitchFamily="34" charset="0"/>
        </a:defRPr>
      </a:pPr>
      <a:endParaRPr lang="cs-CZ"/>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36810935089245339"/>
          <c:y val="4.5111943838345533E-2"/>
          <c:w val="0.57543227298994459"/>
          <c:h val="0.89676216677733989"/>
        </c:manualLayout>
      </c:layout>
      <c:barChart>
        <c:barDir val="bar"/>
        <c:grouping val="clustered"/>
        <c:varyColors val="0"/>
        <c:ser>
          <c:idx val="0"/>
          <c:order val="0"/>
          <c:tx>
            <c:strRef>
              <c:f>'GRF2-11'!$C$16</c:f>
              <c:strCache>
                <c:ptCount val="1"/>
                <c:pt idx="0">
                  <c:v>2005</c:v>
                </c:pt>
              </c:strCache>
            </c:strRef>
          </c:tx>
          <c:spPr>
            <a:solidFill>
              <a:schemeClr val="accent5">
                <a:lumMod val="40000"/>
                <a:lumOff val="60000"/>
              </a:schemeClr>
            </a:solidFill>
          </c:spPr>
          <c:invertIfNegative val="0"/>
          <c:cat>
            <c:strRef>
              <c:f>'GRF2-11'!$B$17:$B$24</c:f>
              <c:strCache>
                <c:ptCount val="8"/>
                <c:pt idx="0">
                  <c:v>Ostatní výzkum</c:v>
                </c:pt>
                <c:pt idx="1">
                  <c:v>Obecný výzkum</c:v>
                </c:pt>
                <c:pt idx="2">
                  <c:v>Jaderná syntéza</c:v>
                </c:pt>
                <c:pt idx="3">
                  <c:v>Fosilní paliva a jejich deriváty</c:v>
                </c:pt>
                <c:pt idx="4">
                  <c:v>Zacházení s radioaktivním odpadem v oblasti paliv/energie (včetně likvidace)</c:v>
                </c:pt>
                <c:pt idx="5">
                  <c:v>Obnovitelné zdroje energie</c:v>
                </c:pt>
                <c:pt idx="6">
                  <c:v>Racionální využití energie</c:v>
                </c:pt>
                <c:pt idx="7">
                  <c:v>Jaderné štěpení</c:v>
                </c:pt>
              </c:strCache>
            </c:strRef>
          </c:cat>
          <c:val>
            <c:numRef>
              <c:f>'GRF2-11'!$C$17:$C$24</c:f>
              <c:numCache>
                <c:formatCode>#,##0</c:formatCode>
                <c:ptCount val="8"/>
                <c:pt idx="0">
                  <c:v>12.632</c:v>
                </c:pt>
                <c:pt idx="1">
                  <c:v>40.344000000000001</c:v>
                </c:pt>
                <c:pt idx="2">
                  <c:v>65.766999999999996</c:v>
                </c:pt>
                <c:pt idx="3">
                  <c:v>1.4689999999999988</c:v>
                </c:pt>
                <c:pt idx="4">
                  <c:v>43.876999999999995</c:v>
                </c:pt>
                <c:pt idx="5">
                  <c:v>48.073</c:v>
                </c:pt>
                <c:pt idx="6">
                  <c:v>77.043999999999997</c:v>
                </c:pt>
                <c:pt idx="7">
                  <c:v>105.38100000000001</c:v>
                </c:pt>
              </c:numCache>
            </c:numRef>
          </c:val>
        </c:ser>
        <c:ser>
          <c:idx val="1"/>
          <c:order val="1"/>
          <c:tx>
            <c:strRef>
              <c:f>'GRF2-11'!$D$16</c:f>
              <c:strCache>
                <c:ptCount val="1"/>
                <c:pt idx="0">
                  <c:v>2010</c:v>
                </c:pt>
              </c:strCache>
            </c:strRef>
          </c:tx>
          <c:spPr>
            <a:solidFill>
              <a:schemeClr val="accent5">
                <a:lumMod val="60000"/>
                <a:lumOff val="40000"/>
              </a:schemeClr>
            </a:solidFill>
          </c:spPr>
          <c:invertIfNegative val="0"/>
          <c:cat>
            <c:strRef>
              <c:f>'GRF2-11'!$B$17:$B$24</c:f>
              <c:strCache>
                <c:ptCount val="8"/>
                <c:pt idx="0">
                  <c:v>Ostatní výzkum</c:v>
                </c:pt>
                <c:pt idx="1">
                  <c:v>Obecný výzkum</c:v>
                </c:pt>
                <c:pt idx="2">
                  <c:v>Jaderná syntéza</c:v>
                </c:pt>
                <c:pt idx="3">
                  <c:v>Fosilní paliva a jejich deriváty</c:v>
                </c:pt>
                <c:pt idx="4">
                  <c:v>Zacházení s radioaktivním odpadem v oblasti paliv/energie (včetně likvidace)</c:v>
                </c:pt>
                <c:pt idx="5">
                  <c:v>Obnovitelné zdroje energie</c:v>
                </c:pt>
                <c:pt idx="6">
                  <c:v>Racionální využití energie</c:v>
                </c:pt>
                <c:pt idx="7">
                  <c:v>Jaderné štěpení</c:v>
                </c:pt>
              </c:strCache>
            </c:strRef>
          </c:cat>
          <c:val>
            <c:numRef>
              <c:f>'GRF2-11'!$D$17:$D$24</c:f>
              <c:numCache>
                <c:formatCode>#,##0</c:formatCode>
                <c:ptCount val="8"/>
                <c:pt idx="0">
                  <c:v>8.2510000000000012</c:v>
                </c:pt>
                <c:pt idx="1">
                  <c:v>5.3959999999999955</c:v>
                </c:pt>
                <c:pt idx="2">
                  <c:v>77.045999999999992</c:v>
                </c:pt>
                <c:pt idx="3">
                  <c:v>18.656000000000024</c:v>
                </c:pt>
                <c:pt idx="4">
                  <c:v>63.652000000000001</c:v>
                </c:pt>
                <c:pt idx="5">
                  <c:v>192.14899999999997</c:v>
                </c:pt>
                <c:pt idx="6">
                  <c:v>160.86100000000013</c:v>
                </c:pt>
                <c:pt idx="7">
                  <c:v>304.01599999999962</c:v>
                </c:pt>
              </c:numCache>
            </c:numRef>
          </c:val>
        </c:ser>
        <c:ser>
          <c:idx val="2"/>
          <c:order val="2"/>
          <c:tx>
            <c:strRef>
              <c:f>'GRF2-11'!$E$16</c:f>
              <c:strCache>
                <c:ptCount val="1"/>
                <c:pt idx="0">
                  <c:v>2013</c:v>
                </c:pt>
              </c:strCache>
            </c:strRef>
          </c:tx>
          <c:spPr>
            <a:solidFill>
              <a:schemeClr val="accent5"/>
            </a:solidFill>
          </c:spPr>
          <c:invertIfNegative val="0"/>
          <c:cat>
            <c:strRef>
              <c:f>'GRF2-11'!$B$17:$B$24</c:f>
              <c:strCache>
                <c:ptCount val="8"/>
                <c:pt idx="0">
                  <c:v>Ostatní výzkum</c:v>
                </c:pt>
                <c:pt idx="1">
                  <c:v>Obecný výzkum</c:v>
                </c:pt>
                <c:pt idx="2">
                  <c:v>Jaderná syntéza</c:v>
                </c:pt>
                <c:pt idx="3">
                  <c:v>Fosilní paliva a jejich deriváty</c:v>
                </c:pt>
                <c:pt idx="4">
                  <c:v>Zacházení s radioaktivním odpadem v oblasti paliv/energie (včetně likvidace)</c:v>
                </c:pt>
                <c:pt idx="5">
                  <c:v>Obnovitelné zdroje energie</c:v>
                </c:pt>
                <c:pt idx="6">
                  <c:v>Racionální využití energie</c:v>
                </c:pt>
                <c:pt idx="7">
                  <c:v>Jaderné štěpení</c:v>
                </c:pt>
              </c:strCache>
            </c:strRef>
          </c:cat>
          <c:val>
            <c:numRef>
              <c:f>'GRF2-11'!$E$17:$E$24</c:f>
              <c:numCache>
                <c:formatCode>#,##0</c:formatCode>
                <c:ptCount val="8"/>
                <c:pt idx="0">
                  <c:v>3.4729999999999972</c:v>
                </c:pt>
                <c:pt idx="1">
                  <c:v>1.4957211853082086</c:v>
                </c:pt>
                <c:pt idx="2">
                  <c:v>5.6479999999999944</c:v>
                </c:pt>
                <c:pt idx="3">
                  <c:v>18.575999999999986</c:v>
                </c:pt>
                <c:pt idx="4">
                  <c:v>67.201000000000022</c:v>
                </c:pt>
                <c:pt idx="5">
                  <c:v>78.194999999999993</c:v>
                </c:pt>
                <c:pt idx="6">
                  <c:v>256.59473024705449</c:v>
                </c:pt>
                <c:pt idx="7">
                  <c:v>412.00208810501971</c:v>
                </c:pt>
              </c:numCache>
            </c:numRef>
          </c:val>
        </c:ser>
        <c:ser>
          <c:idx val="3"/>
          <c:order val="3"/>
          <c:tx>
            <c:strRef>
              <c:f>'GRF2-11'!$F$16</c:f>
              <c:strCache>
                <c:ptCount val="1"/>
                <c:pt idx="0">
                  <c:v>2014</c:v>
                </c:pt>
              </c:strCache>
            </c:strRef>
          </c:tx>
          <c:spPr>
            <a:solidFill>
              <a:schemeClr val="accent5">
                <a:lumMod val="50000"/>
              </a:schemeClr>
            </a:solidFill>
          </c:spPr>
          <c:invertIfNegative val="0"/>
          <c:cat>
            <c:strRef>
              <c:f>'GRF2-11'!$B$17:$B$24</c:f>
              <c:strCache>
                <c:ptCount val="8"/>
                <c:pt idx="0">
                  <c:v>Ostatní výzkum</c:v>
                </c:pt>
                <c:pt idx="1">
                  <c:v>Obecný výzkum</c:v>
                </c:pt>
                <c:pt idx="2">
                  <c:v>Jaderná syntéza</c:v>
                </c:pt>
                <c:pt idx="3">
                  <c:v>Fosilní paliva a jejich deriváty</c:v>
                </c:pt>
                <c:pt idx="4">
                  <c:v>Zacházení s radioaktivním odpadem v oblasti paliv/energie (včetně likvidace)</c:v>
                </c:pt>
                <c:pt idx="5">
                  <c:v>Obnovitelné zdroje energie</c:v>
                </c:pt>
                <c:pt idx="6">
                  <c:v>Racionální využití energie</c:v>
                </c:pt>
                <c:pt idx="7">
                  <c:v>Jaderné štěpení</c:v>
                </c:pt>
              </c:strCache>
            </c:strRef>
          </c:cat>
          <c:val>
            <c:numRef>
              <c:f>'GRF2-11'!$F$17:$F$24</c:f>
              <c:numCache>
                <c:formatCode>#,##0</c:formatCode>
                <c:ptCount val="8"/>
                <c:pt idx="0">
                  <c:v>0</c:v>
                </c:pt>
                <c:pt idx="1">
                  <c:v>0.37429165967618067</c:v>
                </c:pt>
                <c:pt idx="2">
                  <c:v>3.8030000000000004</c:v>
                </c:pt>
                <c:pt idx="3">
                  <c:v>17.311000000000021</c:v>
                </c:pt>
                <c:pt idx="4">
                  <c:v>48.394000000000005</c:v>
                </c:pt>
                <c:pt idx="5">
                  <c:v>82.287999999999997</c:v>
                </c:pt>
                <c:pt idx="6">
                  <c:v>251.16616656583179</c:v>
                </c:pt>
                <c:pt idx="7">
                  <c:v>429.04188350165356</c:v>
                </c:pt>
              </c:numCache>
            </c:numRef>
          </c:val>
        </c:ser>
        <c:dLbls>
          <c:showLegendKey val="0"/>
          <c:showVal val="0"/>
          <c:showCatName val="0"/>
          <c:showSerName val="0"/>
          <c:showPercent val="0"/>
          <c:showBubbleSize val="0"/>
        </c:dLbls>
        <c:gapWidth val="100"/>
        <c:axId val="198203648"/>
        <c:axId val="198209536"/>
      </c:barChart>
      <c:catAx>
        <c:axId val="198203648"/>
        <c:scaling>
          <c:orientation val="minMax"/>
        </c:scaling>
        <c:delete val="0"/>
        <c:axPos val="l"/>
        <c:majorGridlines>
          <c:spPr>
            <a:ln>
              <a:solidFill>
                <a:schemeClr val="bg1">
                  <a:lumMod val="85000"/>
                </a:schemeClr>
              </a:solidFill>
            </a:ln>
          </c:spPr>
        </c:majorGridlines>
        <c:numFmt formatCode="General" sourceLinked="0"/>
        <c:majorTickMark val="out"/>
        <c:minorTickMark val="none"/>
        <c:tickLblPos val="nextTo"/>
        <c:crossAx val="198209536"/>
        <c:crosses val="autoZero"/>
        <c:auto val="1"/>
        <c:lblAlgn val="ctr"/>
        <c:lblOffset val="100"/>
        <c:noMultiLvlLbl val="0"/>
      </c:catAx>
      <c:valAx>
        <c:axId val="198209536"/>
        <c:scaling>
          <c:orientation val="minMax"/>
        </c:scaling>
        <c:delete val="0"/>
        <c:axPos val="b"/>
        <c:majorGridlines>
          <c:spPr>
            <a:ln>
              <a:solidFill>
                <a:schemeClr val="bg1">
                  <a:lumMod val="85000"/>
                </a:schemeClr>
              </a:solidFill>
            </a:ln>
          </c:spPr>
        </c:majorGridlines>
        <c:numFmt formatCode="#,##0" sourceLinked="0"/>
        <c:majorTickMark val="out"/>
        <c:minorTickMark val="none"/>
        <c:tickLblPos val="nextTo"/>
        <c:crossAx val="198203648"/>
        <c:crosses val="autoZero"/>
        <c:crossBetween val="between"/>
      </c:valAx>
      <c:spPr>
        <a:noFill/>
        <a:ln>
          <a:solidFill>
            <a:schemeClr val="bg1">
              <a:lumMod val="85000"/>
            </a:schemeClr>
          </a:solidFill>
        </a:ln>
      </c:spPr>
    </c:plotArea>
    <c:legend>
      <c:legendPos val="r"/>
      <c:layout>
        <c:manualLayout>
          <c:xMode val="edge"/>
          <c:yMode val="edge"/>
          <c:x val="0.85938408956653645"/>
          <c:y val="0.6818794752868782"/>
          <c:w val="7.2489904827760923E-2"/>
          <c:h val="0.1921629826392183"/>
        </c:manualLayout>
      </c:layout>
      <c:overlay val="1"/>
      <c:spPr>
        <a:solidFill>
          <a:schemeClr val="bg1"/>
        </a:solidFill>
      </c:spPr>
    </c:legend>
    <c:plotVisOnly val="1"/>
    <c:dispBlanksAs val="zero"/>
    <c:showDLblsOverMax val="0"/>
  </c:chart>
  <c:spPr>
    <a:ln>
      <a:noFill/>
    </a:ln>
  </c:spPr>
  <c:txPr>
    <a:bodyPr/>
    <a:lstStyle/>
    <a:p>
      <a:pPr>
        <a:defRPr sz="900">
          <a:latin typeface="Arial" pitchFamily="34" charset="0"/>
          <a:cs typeface="Arial" pitchFamily="34" charset="0"/>
        </a:defRPr>
      </a:pPr>
      <a:endParaRPr lang="cs-CZ"/>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3681093508924535"/>
          <c:y val="4.5111943838345533E-2"/>
          <c:w val="0.57543227298994459"/>
          <c:h val="0.89676216677733944"/>
        </c:manualLayout>
      </c:layout>
      <c:barChart>
        <c:barDir val="bar"/>
        <c:grouping val="clustered"/>
        <c:varyColors val="0"/>
        <c:ser>
          <c:idx val="0"/>
          <c:order val="0"/>
          <c:spPr>
            <a:solidFill>
              <a:schemeClr val="accent5"/>
            </a:solidFill>
          </c:spPr>
          <c:invertIfNegative val="0"/>
          <c:cat>
            <c:strRef>
              <c:f>'GRF2-12'!$A$12:$A$15</c:f>
              <c:strCache>
                <c:ptCount val="4"/>
                <c:pt idx="0">
                  <c:v>Vodní, větrná energie a energie získaná z vln (4,3%)</c:v>
                </c:pt>
                <c:pt idx="1">
                  <c:v>Solární, termální a fotoelektrické energie (7,6%)</c:v>
                </c:pt>
                <c:pt idx="2">
                  <c:v>Geotermální energie (9,4%)</c:v>
                </c:pt>
                <c:pt idx="3">
                  <c:v>Výzkum přeměny biomasy v procesu zpracování odpadu (77,8%)</c:v>
                </c:pt>
              </c:strCache>
            </c:strRef>
          </c:cat>
          <c:val>
            <c:numRef>
              <c:f>'GRF2-12'!$B$12:$B$15</c:f>
              <c:numCache>
                <c:formatCode>#,##0.0</c:formatCode>
                <c:ptCount val="4"/>
                <c:pt idx="0">
                  <c:v>4.2750000000000004</c:v>
                </c:pt>
                <c:pt idx="1">
                  <c:v>6.2759999999999998</c:v>
                </c:pt>
                <c:pt idx="2">
                  <c:v>7.74</c:v>
                </c:pt>
                <c:pt idx="3">
                  <c:v>63.997</c:v>
                </c:pt>
              </c:numCache>
            </c:numRef>
          </c:val>
        </c:ser>
        <c:dLbls>
          <c:showLegendKey val="0"/>
          <c:showVal val="0"/>
          <c:showCatName val="0"/>
          <c:showSerName val="0"/>
          <c:showPercent val="0"/>
          <c:showBubbleSize val="0"/>
        </c:dLbls>
        <c:gapWidth val="100"/>
        <c:axId val="198217088"/>
        <c:axId val="198231168"/>
      </c:barChart>
      <c:catAx>
        <c:axId val="198217088"/>
        <c:scaling>
          <c:orientation val="minMax"/>
        </c:scaling>
        <c:delete val="0"/>
        <c:axPos val="l"/>
        <c:majorGridlines>
          <c:spPr>
            <a:ln>
              <a:solidFill>
                <a:schemeClr val="bg1">
                  <a:lumMod val="85000"/>
                </a:schemeClr>
              </a:solidFill>
            </a:ln>
          </c:spPr>
        </c:majorGridlines>
        <c:numFmt formatCode="General" sourceLinked="0"/>
        <c:majorTickMark val="out"/>
        <c:minorTickMark val="none"/>
        <c:tickLblPos val="nextTo"/>
        <c:crossAx val="198231168"/>
        <c:crosses val="autoZero"/>
        <c:auto val="1"/>
        <c:lblAlgn val="ctr"/>
        <c:lblOffset val="100"/>
        <c:noMultiLvlLbl val="0"/>
      </c:catAx>
      <c:valAx>
        <c:axId val="198231168"/>
        <c:scaling>
          <c:orientation val="minMax"/>
        </c:scaling>
        <c:delete val="0"/>
        <c:axPos val="b"/>
        <c:majorGridlines>
          <c:spPr>
            <a:ln>
              <a:solidFill>
                <a:schemeClr val="bg1">
                  <a:lumMod val="85000"/>
                </a:schemeClr>
              </a:solidFill>
            </a:ln>
          </c:spPr>
        </c:majorGridlines>
        <c:numFmt formatCode="#,##0" sourceLinked="0"/>
        <c:majorTickMark val="out"/>
        <c:minorTickMark val="none"/>
        <c:tickLblPos val="nextTo"/>
        <c:crossAx val="198217088"/>
        <c:crosses val="autoZero"/>
        <c:crossBetween val="between"/>
      </c:valAx>
      <c:spPr>
        <a:noFill/>
        <a:ln>
          <a:solidFill>
            <a:schemeClr val="bg1">
              <a:lumMod val="85000"/>
            </a:schemeClr>
          </a:solidFill>
        </a:ln>
      </c:spPr>
    </c:plotArea>
    <c:plotVisOnly val="1"/>
    <c:dispBlanksAs val="zero"/>
    <c:showDLblsOverMax val="0"/>
  </c:chart>
  <c:spPr>
    <a:ln>
      <a:noFill/>
    </a:ln>
  </c:spPr>
  <c:txPr>
    <a:bodyPr/>
    <a:lstStyle/>
    <a:p>
      <a:pPr>
        <a:defRPr sz="900">
          <a:latin typeface="Arial" pitchFamily="34" charset="0"/>
          <a:cs typeface="Arial" pitchFamily="34" charset="0"/>
        </a:defRPr>
      </a:pPr>
      <a:endParaRPr lang="cs-CZ"/>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36810935089245345"/>
          <c:y val="4.5111943838345533E-2"/>
          <c:w val="0.57543227298994459"/>
          <c:h val="0.89676216677733966"/>
        </c:manualLayout>
      </c:layout>
      <c:barChart>
        <c:barDir val="bar"/>
        <c:grouping val="clustered"/>
        <c:varyColors val="0"/>
        <c:ser>
          <c:idx val="0"/>
          <c:order val="0"/>
          <c:tx>
            <c:strRef>
              <c:f>'GRF2-13'!$C$19</c:f>
              <c:strCache>
                <c:ptCount val="1"/>
                <c:pt idx="0">
                  <c:v>2005</c:v>
                </c:pt>
              </c:strCache>
            </c:strRef>
          </c:tx>
          <c:spPr>
            <a:solidFill>
              <a:schemeClr val="accent5">
                <a:lumMod val="40000"/>
                <a:lumOff val="60000"/>
              </a:schemeClr>
            </a:solidFill>
          </c:spPr>
          <c:invertIfNegative val="0"/>
          <c:cat>
            <c:strRef>
              <c:f>'GRF2-13'!$B$20:$B$30</c:f>
              <c:strCache>
                <c:ptCount val="11"/>
                <c:pt idx="0">
                  <c:v>Snižování hluku a vibrací</c:v>
                </c:pt>
                <c:pt idx="1">
                  <c:v>Ostatní výzkum</c:v>
                </c:pt>
                <c:pt idx="2">
                  <c:v>Ochrana atmosféry a klimatu</c:v>
                </c:pt>
                <c:pt idx="3">
                  <c:v>Ochrana proti přírodním rizikům</c:v>
                </c:pt>
                <c:pt idx="4">
                  <c:v>Ochrana okolního ovzduší</c:v>
                </c:pt>
                <c:pt idx="5">
                  <c:v>Tuhý odpad</c:v>
                </c:pt>
                <c:pt idx="6">
                  <c:v>Obecný výzkum</c:v>
                </c:pt>
                <c:pt idx="7">
                  <c:v>Ochrana přírodních druhů a přirozených prostředí</c:v>
                </c:pt>
                <c:pt idx="8">
                  <c:v>Ochrana okolních vod (kromě podzemní vody)</c:v>
                </c:pt>
                <c:pt idx="9">
                  <c:v>Ochrana před radioaktivním zářením</c:v>
                </c:pt>
                <c:pt idx="10">
                  <c:v>Ochrana půdy a podzemních vod</c:v>
                </c:pt>
              </c:strCache>
            </c:strRef>
          </c:cat>
          <c:val>
            <c:numRef>
              <c:f>'GRF2-13'!$C$20:$C$30</c:f>
              <c:numCache>
                <c:formatCode>#,##0</c:formatCode>
                <c:ptCount val="11"/>
                <c:pt idx="0">
                  <c:v>4.3179999999999961</c:v>
                </c:pt>
                <c:pt idx="1">
                  <c:v>15.055000000000007</c:v>
                </c:pt>
                <c:pt idx="2">
                  <c:v>7.8839999999999995</c:v>
                </c:pt>
                <c:pt idx="3">
                  <c:v>17.382999999999985</c:v>
                </c:pt>
                <c:pt idx="4">
                  <c:v>38.269000000000013</c:v>
                </c:pt>
                <c:pt idx="5">
                  <c:v>50.516999999999996</c:v>
                </c:pt>
                <c:pt idx="6">
                  <c:v>53.253</c:v>
                </c:pt>
                <c:pt idx="7">
                  <c:v>89.367000000000004</c:v>
                </c:pt>
                <c:pt idx="8">
                  <c:v>149.44800000000001</c:v>
                </c:pt>
                <c:pt idx="9">
                  <c:v>21.959999999999987</c:v>
                </c:pt>
                <c:pt idx="10">
                  <c:v>68.547000000000025</c:v>
                </c:pt>
              </c:numCache>
            </c:numRef>
          </c:val>
        </c:ser>
        <c:ser>
          <c:idx val="1"/>
          <c:order val="1"/>
          <c:tx>
            <c:strRef>
              <c:f>'GRF2-13'!$D$19</c:f>
              <c:strCache>
                <c:ptCount val="1"/>
                <c:pt idx="0">
                  <c:v>2010</c:v>
                </c:pt>
              </c:strCache>
            </c:strRef>
          </c:tx>
          <c:spPr>
            <a:solidFill>
              <a:schemeClr val="accent5">
                <a:lumMod val="60000"/>
                <a:lumOff val="40000"/>
              </a:schemeClr>
            </a:solidFill>
          </c:spPr>
          <c:invertIfNegative val="0"/>
          <c:cat>
            <c:strRef>
              <c:f>'GRF2-13'!$B$20:$B$30</c:f>
              <c:strCache>
                <c:ptCount val="11"/>
                <c:pt idx="0">
                  <c:v>Snižování hluku a vibrací</c:v>
                </c:pt>
                <c:pt idx="1">
                  <c:v>Ostatní výzkum</c:v>
                </c:pt>
                <c:pt idx="2">
                  <c:v>Ochrana atmosféry a klimatu</c:v>
                </c:pt>
                <c:pt idx="3">
                  <c:v>Ochrana proti přírodním rizikům</c:v>
                </c:pt>
                <c:pt idx="4">
                  <c:v>Ochrana okolního ovzduší</c:v>
                </c:pt>
                <c:pt idx="5">
                  <c:v>Tuhý odpad</c:v>
                </c:pt>
                <c:pt idx="6">
                  <c:v>Obecný výzkum</c:v>
                </c:pt>
                <c:pt idx="7">
                  <c:v>Ochrana přírodních druhů a přirozených prostředí</c:v>
                </c:pt>
                <c:pt idx="8">
                  <c:v>Ochrana okolních vod (kromě podzemní vody)</c:v>
                </c:pt>
                <c:pt idx="9">
                  <c:v>Ochrana před radioaktivním zářením</c:v>
                </c:pt>
                <c:pt idx="10">
                  <c:v>Ochrana půdy a podzemních vod</c:v>
                </c:pt>
              </c:strCache>
            </c:strRef>
          </c:cat>
          <c:val>
            <c:numRef>
              <c:f>'GRF2-13'!$D$20:$D$30</c:f>
              <c:numCache>
                <c:formatCode>#,##0</c:formatCode>
                <c:ptCount val="11"/>
                <c:pt idx="0">
                  <c:v>0.59399999999999997</c:v>
                </c:pt>
                <c:pt idx="1">
                  <c:v>6.6370000000000005</c:v>
                </c:pt>
                <c:pt idx="2">
                  <c:v>6.3890000000000002</c:v>
                </c:pt>
                <c:pt idx="3">
                  <c:v>24.507999999999999</c:v>
                </c:pt>
                <c:pt idx="4">
                  <c:v>64.912000000000006</c:v>
                </c:pt>
                <c:pt idx="5">
                  <c:v>43.134</c:v>
                </c:pt>
                <c:pt idx="6">
                  <c:v>56.801000000000002</c:v>
                </c:pt>
                <c:pt idx="7">
                  <c:v>99.38</c:v>
                </c:pt>
                <c:pt idx="8">
                  <c:v>131.77199999999996</c:v>
                </c:pt>
                <c:pt idx="9">
                  <c:v>37.065000000000012</c:v>
                </c:pt>
                <c:pt idx="10">
                  <c:v>148.77100000000002</c:v>
                </c:pt>
              </c:numCache>
            </c:numRef>
          </c:val>
        </c:ser>
        <c:ser>
          <c:idx val="2"/>
          <c:order val="2"/>
          <c:tx>
            <c:strRef>
              <c:f>'GRF2-13'!$E$19</c:f>
              <c:strCache>
                <c:ptCount val="1"/>
                <c:pt idx="0">
                  <c:v>2013</c:v>
                </c:pt>
              </c:strCache>
            </c:strRef>
          </c:tx>
          <c:spPr>
            <a:solidFill>
              <a:schemeClr val="accent5"/>
            </a:solidFill>
          </c:spPr>
          <c:invertIfNegative val="0"/>
          <c:cat>
            <c:strRef>
              <c:f>'GRF2-13'!$B$20:$B$30</c:f>
              <c:strCache>
                <c:ptCount val="11"/>
                <c:pt idx="0">
                  <c:v>Snižování hluku a vibrací</c:v>
                </c:pt>
                <c:pt idx="1">
                  <c:v>Ostatní výzkum</c:v>
                </c:pt>
                <c:pt idx="2">
                  <c:v>Ochrana atmosféry a klimatu</c:v>
                </c:pt>
                <c:pt idx="3">
                  <c:v>Ochrana proti přírodním rizikům</c:v>
                </c:pt>
                <c:pt idx="4">
                  <c:v>Ochrana okolního ovzduší</c:v>
                </c:pt>
                <c:pt idx="5">
                  <c:v>Tuhý odpad</c:v>
                </c:pt>
                <c:pt idx="6">
                  <c:v>Obecný výzkum</c:v>
                </c:pt>
                <c:pt idx="7">
                  <c:v>Ochrana přírodních druhů a přirozených prostředí</c:v>
                </c:pt>
                <c:pt idx="8">
                  <c:v>Ochrana okolních vod (kromě podzemní vody)</c:v>
                </c:pt>
                <c:pt idx="9">
                  <c:v>Ochrana před radioaktivním zářením</c:v>
                </c:pt>
                <c:pt idx="10">
                  <c:v>Ochrana půdy a podzemních vod</c:v>
                </c:pt>
              </c:strCache>
            </c:strRef>
          </c:cat>
          <c:val>
            <c:numRef>
              <c:f>'GRF2-13'!$E$20:$E$30</c:f>
              <c:numCache>
                <c:formatCode>#,##0</c:formatCode>
                <c:ptCount val="11"/>
                <c:pt idx="0">
                  <c:v>4.6969999999999965</c:v>
                </c:pt>
                <c:pt idx="1">
                  <c:v>28.763000000000002</c:v>
                </c:pt>
                <c:pt idx="2">
                  <c:v>24.997999999999987</c:v>
                </c:pt>
                <c:pt idx="3">
                  <c:v>33.614999999999988</c:v>
                </c:pt>
                <c:pt idx="4">
                  <c:v>45.14884</c:v>
                </c:pt>
                <c:pt idx="5">
                  <c:v>40.37177294110257</c:v>
                </c:pt>
                <c:pt idx="6">
                  <c:v>5.6605923177826885</c:v>
                </c:pt>
                <c:pt idx="7">
                  <c:v>57.946010000000001</c:v>
                </c:pt>
                <c:pt idx="8">
                  <c:v>62.797210000000021</c:v>
                </c:pt>
                <c:pt idx="9">
                  <c:v>97.834000000000003</c:v>
                </c:pt>
                <c:pt idx="10">
                  <c:v>123.29599999999999</c:v>
                </c:pt>
              </c:numCache>
            </c:numRef>
          </c:val>
        </c:ser>
        <c:ser>
          <c:idx val="3"/>
          <c:order val="3"/>
          <c:tx>
            <c:strRef>
              <c:f>'GRF2-13'!$F$19</c:f>
              <c:strCache>
                <c:ptCount val="1"/>
                <c:pt idx="0">
                  <c:v>2014</c:v>
                </c:pt>
              </c:strCache>
            </c:strRef>
          </c:tx>
          <c:spPr>
            <a:solidFill>
              <a:schemeClr val="accent5">
                <a:lumMod val="50000"/>
              </a:schemeClr>
            </a:solidFill>
          </c:spPr>
          <c:invertIfNegative val="0"/>
          <c:cat>
            <c:strRef>
              <c:f>'GRF2-13'!$B$20:$B$30</c:f>
              <c:strCache>
                <c:ptCount val="11"/>
                <c:pt idx="0">
                  <c:v>Snižování hluku a vibrací</c:v>
                </c:pt>
                <c:pt idx="1">
                  <c:v>Ostatní výzkum</c:v>
                </c:pt>
                <c:pt idx="2">
                  <c:v>Ochrana atmosféry a klimatu</c:v>
                </c:pt>
                <c:pt idx="3">
                  <c:v>Ochrana proti přírodním rizikům</c:v>
                </c:pt>
                <c:pt idx="4">
                  <c:v>Ochrana okolního ovzduší</c:v>
                </c:pt>
                <c:pt idx="5">
                  <c:v>Tuhý odpad</c:v>
                </c:pt>
                <c:pt idx="6">
                  <c:v>Obecný výzkum</c:v>
                </c:pt>
                <c:pt idx="7">
                  <c:v>Ochrana přírodních druhů a přirozených prostředí</c:v>
                </c:pt>
                <c:pt idx="8">
                  <c:v>Ochrana okolních vod (kromě podzemní vody)</c:v>
                </c:pt>
                <c:pt idx="9">
                  <c:v>Ochrana před radioaktivním zářením</c:v>
                </c:pt>
                <c:pt idx="10">
                  <c:v>Ochrana půdy a podzemních vod</c:v>
                </c:pt>
              </c:strCache>
            </c:strRef>
          </c:cat>
          <c:val>
            <c:numRef>
              <c:f>'GRF2-13'!$F$20:$F$30</c:f>
              <c:numCache>
                <c:formatCode>#,##0</c:formatCode>
                <c:ptCount val="11"/>
                <c:pt idx="0">
                  <c:v>0.70800000000000041</c:v>
                </c:pt>
                <c:pt idx="1">
                  <c:v>15.630000000000003</c:v>
                </c:pt>
                <c:pt idx="2">
                  <c:v>29.502999999999989</c:v>
                </c:pt>
                <c:pt idx="3">
                  <c:v>32.304000000000002</c:v>
                </c:pt>
                <c:pt idx="4">
                  <c:v>44.281079999999996</c:v>
                </c:pt>
                <c:pt idx="5">
                  <c:v>46.316999999999993</c:v>
                </c:pt>
                <c:pt idx="6">
                  <c:v>53.461000000000006</c:v>
                </c:pt>
                <c:pt idx="7">
                  <c:v>57.707699999999988</c:v>
                </c:pt>
                <c:pt idx="8">
                  <c:v>58.08744999999999</c:v>
                </c:pt>
                <c:pt idx="9">
                  <c:v>92.45</c:v>
                </c:pt>
                <c:pt idx="10">
                  <c:v>118.113</c:v>
                </c:pt>
              </c:numCache>
            </c:numRef>
          </c:val>
        </c:ser>
        <c:dLbls>
          <c:showLegendKey val="0"/>
          <c:showVal val="0"/>
          <c:showCatName val="0"/>
          <c:showSerName val="0"/>
          <c:showPercent val="0"/>
          <c:showBubbleSize val="0"/>
        </c:dLbls>
        <c:gapWidth val="100"/>
        <c:axId val="200362624"/>
        <c:axId val="200364416"/>
      </c:barChart>
      <c:catAx>
        <c:axId val="200362624"/>
        <c:scaling>
          <c:orientation val="minMax"/>
        </c:scaling>
        <c:delete val="0"/>
        <c:axPos val="l"/>
        <c:majorGridlines>
          <c:spPr>
            <a:ln>
              <a:solidFill>
                <a:schemeClr val="bg1">
                  <a:lumMod val="85000"/>
                </a:schemeClr>
              </a:solidFill>
            </a:ln>
          </c:spPr>
        </c:majorGridlines>
        <c:numFmt formatCode="General" sourceLinked="0"/>
        <c:majorTickMark val="out"/>
        <c:minorTickMark val="none"/>
        <c:tickLblPos val="nextTo"/>
        <c:crossAx val="200364416"/>
        <c:crosses val="autoZero"/>
        <c:auto val="1"/>
        <c:lblAlgn val="ctr"/>
        <c:lblOffset val="100"/>
        <c:noMultiLvlLbl val="0"/>
      </c:catAx>
      <c:valAx>
        <c:axId val="200364416"/>
        <c:scaling>
          <c:orientation val="minMax"/>
        </c:scaling>
        <c:delete val="0"/>
        <c:axPos val="b"/>
        <c:majorGridlines>
          <c:spPr>
            <a:ln>
              <a:solidFill>
                <a:schemeClr val="bg1">
                  <a:lumMod val="85000"/>
                </a:schemeClr>
              </a:solidFill>
            </a:ln>
          </c:spPr>
        </c:majorGridlines>
        <c:numFmt formatCode="#,##0" sourceLinked="0"/>
        <c:majorTickMark val="out"/>
        <c:minorTickMark val="none"/>
        <c:tickLblPos val="nextTo"/>
        <c:crossAx val="200362624"/>
        <c:crosses val="autoZero"/>
        <c:crossBetween val="between"/>
      </c:valAx>
      <c:spPr>
        <a:noFill/>
        <a:ln>
          <a:solidFill>
            <a:schemeClr val="bg1">
              <a:lumMod val="85000"/>
            </a:schemeClr>
          </a:solidFill>
        </a:ln>
      </c:spPr>
    </c:plotArea>
    <c:legend>
      <c:legendPos val="r"/>
      <c:layout>
        <c:manualLayout>
          <c:xMode val="edge"/>
          <c:yMode val="edge"/>
          <c:x val="0.85938408956653645"/>
          <c:y val="0.68187947528687842"/>
          <c:w val="7.2489904827760923E-2"/>
          <c:h val="0.1921629826392183"/>
        </c:manualLayout>
      </c:layout>
      <c:overlay val="1"/>
      <c:spPr>
        <a:solidFill>
          <a:schemeClr val="bg1"/>
        </a:solidFill>
      </c:spPr>
    </c:legend>
    <c:plotVisOnly val="1"/>
    <c:dispBlanksAs val="zero"/>
    <c:showDLblsOverMax val="0"/>
  </c:chart>
  <c:spPr>
    <a:ln>
      <a:noFill/>
    </a:ln>
  </c:spPr>
  <c:txPr>
    <a:bodyPr/>
    <a:lstStyle/>
    <a:p>
      <a:pPr>
        <a:defRPr sz="900">
          <a:latin typeface="Arial" pitchFamily="34" charset="0"/>
          <a:cs typeface="Arial" pitchFamily="34" charset="0"/>
        </a:defRPr>
      </a:pPr>
      <a:endParaRPr lang="cs-CZ"/>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36810935089245339"/>
          <c:y val="4.5111943838345533E-2"/>
          <c:w val="0.47068851376640591"/>
          <c:h val="0.89676216677733989"/>
        </c:manualLayout>
      </c:layout>
      <c:barChart>
        <c:barDir val="bar"/>
        <c:grouping val="clustered"/>
        <c:varyColors val="0"/>
        <c:ser>
          <c:idx val="0"/>
          <c:order val="0"/>
          <c:tx>
            <c:strRef>
              <c:f>'GRF2-14'!$C$27</c:f>
              <c:strCache>
                <c:ptCount val="1"/>
                <c:pt idx="0">
                  <c:v>2005</c:v>
                </c:pt>
              </c:strCache>
            </c:strRef>
          </c:tx>
          <c:spPr>
            <a:solidFill>
              <a:schemeClr val="accent5">
                <a:lumMod val="40000"/>
                <a:lumOff val="60000"/>
              </a:schemeClr>
            </a:solidFill>
          </c:spPr>
          <c:invertIfNegative val="0"/>
          <c:cat>
            <c:strRef>
              <c:f>'GRF2-14'!$B$28:$B$32</c:f>
              <c:strCache>
                <c:ptCount val="5"/>
                <c:pt idx="0">
                  <c:v>Geologický průzkum nerostů, 
ropy a zemního plynu</c:v>
                </c:pt>
                <c:pt idx="1">
                  <c:v>Hydrologie</c:v>
                </c:pt>
                <c:pt idx="2">
                  <c:v>Atmosféra</c:v>
                </c:pt>
                <c:pt idx="3">
                  <c:v>Obecný výzkum</c:v>
                </c:pt>
                <c:pt idx="4">
                  <c:v>Zemská kůra a zemský plášť 
(vyjma mořského dna)</c:v>
                </c:pt>
              </c:strCache>
            </c:strRef>
          </c:cat>
          <c:val>
            <c:numRef>
              <c:f>'GRF2-14'!$C$28:$C$32</c:f>
              <c:numCache>
                <c:formatCode>General</c:formatCode>
                <c:ptCount val="5"/>
                <c:pt idx="0">
                  <c:v>97.341000000000022</c:v>
                </c:pt>
                <c:pt idx="1">
                  <c:v>35.122000000000021</c:v>
                </c:pt>
                <c:pt idx="2">
                  <c:v>57.014000000000003</c:v>
                </c:pt>
                <c:pt idx="3">
                  <c:v>94</c:v>
                </c:pt>
                <c:pt idx="4">
                  <c:v>94.065999999999931</c:v>
                </c:pt>
              </c:numCache>
            </c:numRef>
          </c:val>
        </c:ser>
        <c:ser>
          <c:idx val="1"/>
          <c:order val="1"/>
          <c:tx>
            <c:strRef>
              <c:f>'GRF2-14'!$D$27</c:f>
              <c:strCache>
                <c:ptCount val="1"/>
                <c:pt idx="0">
                  <c:v>2010</c:v>
                </c:pt>
              </c:strCache>
            </c:strRef>
          </c:tx>
          <c:spPr>
            <a:solidFill>
              <a:schemeClr val="accent5">
                <a:lumMod val="60000"/>
                <a:lumOff val="40000"/>
              </a:schemeClr>
            </a:solidFill>
          </c:spPr>
          <c:invertIfNegative val="0"/>
          <c:cat>
            <c:strRef>
              <c:f>'GRF2-14'!$B$28:$B$32</c:f>
              <c:strCache>
                <c:ptCount val="5"/>
                <c:pt idx="0">
                  <c:v>Geologický průzkum nerostů, 
ropy a zemního plynu</c:v>
                </c:pt>
                <c:pt idx="1">
                  <c:v>Hydrologie</c:v>
                </c:pt>
                <c:pt idx="2">
                  <c:v>Atmosféra</c:v>
                </c:pt>
                <c:pt idx="3">
                  <c:v>Obecný výzkum</c:v>
                </c:pt>
                <c:pt idx="4">
                  <c:v>Zemská kůra a zemský plášť 
(vyjma mořského dna)</c:v>
                </c:pt>
              </c:strCache>
            </c:strRef>
          </c:cat>
          <c:val>
            <c:numRef>
              <c:f>'GRF2-14'!$D$28:$D$32</c:f>
              <c:numCache>
                <c:formatCode>General</c:formatCode>
                <c:ptCount val="5"/>
                <c:pt idx="0">
                  <c:v>82.877999999999986</c:v>
                </c:pt>
                <c:pt idx="1">
                  <c:v>38.225000000000023</c:v>
                </c:pt>
                <c:pt idx="2">
                  <c:v>82.524000000000015</c:v>
                </c:pt>
                <c:pt idx="3">
                  <c:v>76.010999999999996</c:v>
                </c:pt>
                <c:pt idx="4">
                  <c:v>114.69599999999998</c:v>
                </c:pt>
              </c:numCache>
            </c:numRef>
          </c:val>
        </c:ser>
        <c:ser>
          <c:idx val="2"/>
          <c:order val="2"/>
          <c:tx>
            <c:strRef>
              <c:f>'GRF2-14'!$E$27</c:f>
              <c:strCache>
                <c:ptCount val="1"/>
                <c:pt idx="0">
                  <c:v>2013</c:v>
                </c:pt>
              </c:strCache>
            </c:strRef>
          </c:tx>
          <c:spPr>
            <a:solidFill>
              <a:schemeClr val="accent5"/>
            </a:solidFill>
          </c:spPr>
          <c:invertIfNegative val="0"/>
          <c:cat>
            <c:strRef>
              <c:f>'GRF2-14'!$B$28:$B$32</c:f>
              <c:strCache>
                <c:ptCount val="5"/>
                <c:pt idx="0">
                  <c:v>Geologický průzkum nerostů, 
ropy a zemního plynu</c:v>
                </c:pt>
                <c:pt idx="1">
                  <c:v>Hydrologie</c:v>
                </c:pt>
                <c:pt idx="2">
                  <c:v>Atmosféra</c:v>
                </c:pt>
                <c:pt idx="3">
                  <c:v>Obecný výzkum</c:v>
                </c:pt>
                <c:pt idx="4">
                  <c:v>Zemská kůra a zemský plášť 
(vyjma mořského dna)</c:v>
                </c:pt>
              </c:strCache>
            </c:strRef>
          </c:cat>
          <c:val>
            <c:numRef>
              <c:f>'GRF2-14'!$E$28:$E$32</c:f>
              <c:numCache>
                <c:formatCode>General</c:formatCode>
                <c:ptCount val="5"/>
                <c:pt idx="0">
                  <c:v>13.233384753750434</c:v>
                </c:pt>
                <c:pt idx="1">
                  <c:v>65.003910000000005</c:v>
                </c:pt>
                <c:pt idx="2">
                  <c:v>75.317355120024814</c:v>
                </c:pt>
                <c:pt idx="3">
                  <c:v>85.087000000000003</c:v>
                </c:pt>
                <c:pt idx="4">
                  <c:v>222.83399999999997</c:v>
                </c:pt>
              </c:numCache>
            </c:numRef>
          </c:val>
        </c:ser>
        <c:ser>
          <c:idx val="3"/>
          <c:order val="3"/>
          <c:tx>
            <c:strRef>
              <c:f>'GRF2-14'!$F$27</c:f>
              <c:strCache>
                <c:ptCount val="1"/>
                <c:pt idx="0">
                  <c:v>2014</c:v>
                </c:pt>
              </c:strCache>
            </c:strRef>
          </c:tx>
          <c:spPr>
            <a:solidFill>
              <a:schemeClr val="accent5">
                <a:lumMod val="50000"/>
              </a:schemeClr>
            </a:solidFill>
          </c:spPr>
          <c:invertIfNegative val="0"/>
          <c:cat>
            <c:strRef>
              <c:f>'GRF2-14'!$B$28:$B$32</c:f>
              <c:strCache>
                <c:ptCount val="5"/>
                <c:pt idx="0">
                  <c:v>Geologický průzkum nerostů, 
ropy a zemního plynu</c:v>
                </c:pt>
                <c:pt idx="1">
                  <c:v>Hydrologie</c:v>
                </c:pt>
                <c:pt idx="2">
                  <c:v>Atmosféra</c:v>
                </c:pt>
                <c:pt idx="3">
                  <c:v>Obecný výzkum</c:v>
                </c:pt>
                <c:pt idx="4">
                  <c:v>Zemská kůra a zemský plášť 
(vyjma mořského dna)</c:v>
                </c:pt>
              </c:strCache>
            </c:strRef>
          </c:cat>
          <c:val>
            <c:numRef>
              <c:f>'GRF2-14'!$F$28:$F$32</c:f>
              <c:numCache>
                <c:formatCode>General</c:formatCode>
                <c:ptCount val="5"/>
                <c:pt idx="0">
                  <c:v>3.2652721784568062</c:v>
                </c:pt>
                <c:pt idx="1">
                  <c:v>68.256999999999977</c:v>
                </c:pt>
                <c:pt idx="2">
                  <c:v>75.744693927173969</c:v>
                </c:pt>
                <c:pt idx="3">
                  <c:v>88.169999999999987</c:v>
                </c:pt>
                <c:pt idx="4">
                  <c:v>198.39499999999998</c:v>
                </c:pt>
              </c:numCache>
            </c:numRef>
          </c:val>
        </c:ser>
        <c:dLbls>
          <c:showLegendKey val="0"/>
          <c:showVal val="0"/>
          <c:showCatName val="0"/>
          <c:showSerName val="0"/>
          <c:showPercent val="0"/>
          <c:showBubbleSize val="0"/>
        </c:dLbls>
        <c:gapWidth val="100"/>
        <c:axId val="200403584"/>
        <c:axId val="200409472"/>
      </c:barChart>
      <c:catAx>
        <c:axId val="200403584"/>
        <c:scaling>
          <c:orientation val="minMax"/>
        </c:scaling>
        <c:delete val="0"/>
        <c:axPos val="l"/>
        <c:majorGridlines>
          <c:spPr>
            <a:ln>
              <a:solidFill>
                <a:schemeClr val="bg1">
                  <a:lumMod val="85000"/>
                </a:schemeClr>
              </a:solidFill>
            </a:ln>
          </c:spPr>
        </c:majorGridlines>
        <c:numFmt formatCode="General" sourceLinked="0"/>
        <c:majorTickMark val="out"/>
        <c:minorTickMark val="none"/>
        <c:tickLblPos val="nextTo"/>
        <c:crossAx val="200409472"/>
        <c:crosses val="autoZero"/>
        <c:auto val="1"/>
        <c:lblAlgn val="ctr"/>
        <c:lblOffset val="100"/>
        <c:noMultiLvlLbl val="0"/>
      </c:catAx>
      <c:valAx>
        <c:axId val="200409472"/>
        <c:scaling>
          <c:orientation val="minMax"/>
        </c:scaling>
        <c:delete val="0"/>
        <c:axPos val="b"/>
        <c:majorGridlines>
          <c:spPr>
            <a:ln>
              <a:solidFill>
                <a:schemeClr val="bg1">
                  <a:lumMod val="85000"/>
                </a:schemeClr>
              </a:solidFill>
            </a:ln>
          </c:spPr>
        </c:majorGridlines>
        <c:numFmt formatCode="#,##0" sourceLinked="0"/>
        <c:majorTickMark val="out"/>
        <c:minorTickMark val="none"/>
        <c:tickLblPos val="nextTo"/>
        <c:crossAx val="200403584"/>
        <c:crosses val="autoZero"/>
        <c:crossBetween val="between"/>
      </c:valAx>
      <c:spPr>
        <a:noFill/>
        <a:ln>
          <a:solidFill>
            <a:schemeClr val="bg1">
              <a:lumMod val="85000"/>
            </a:schemeClr>
          </a:solidFill>
        </a:ln>
      </c:spPr>
    </c:plotArea>
    <c:legend>
      <c:legendPos val="r"/>
      <c:overlay val="0"/>
      <c:spPr>
        <a:solidFill>
          <a:schemeClr val="bg1"/>
        </a:solidFill>
      </c:spPr>
    </c:legend>
    <c:plotVisOnly val="1"/>
    <c:dispBlanksAs val="zero"/>
    <c:showDLblsOverMax val="0"/>
  </c:chart>
  <c:spPr>
    <a:ln>
      <a:noFill/>
    </a:ln>
  </c:spPr>
  <c:txPr>
    <a:bodyPr/>
    <a:lstStyle/>
    <a:p>
      <a:pPr>
        <a:defRPr sz="900">
          <a:latin typeface="Arial" pitchFamily="34" charset="0"/>
          <a:cs typeface="Arial" pitchFamily="34" charset="0"/>
        </a:defRPr>
      </a:pPr>
      <a:endParaRPr lang="cs-CZ"/>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36810935089245339"/>
          <c:y val="8.0751848726299688E-2"/>
          <c:w val="0.49644067158680566"/>
          <c:h val="0.7837678650152875"/>
        </c:manualLayout>
      </c:layout>
      <c:barChart>
        <c:barDir val="bar"/>
        <c:grouping val="clustered"/>
        <c:varyColors val="0"/>
        <c:ser>
          <c:idx val="0"/>
          <c:order val="0"/>
          <c:tx>
            <c:strRef>
              <c:f>'GRF2-15'!$C$23</c:f>
              <c:strCache>
                <c:ptCount val="1"/>
                <c:pt idx="0">
                  <c:v>2005</c:v>
                </c:pt>
              </c:strCache>
            </c:strRef>
          </c:tx>
          <c:spPr>
            <a:solidFill>
              <a:schemeClr val="accent5">
                <a:lumMod val="40000"/>
                <a:lumOff val="60000"/>
              </a:schemeClr>
            </a:solidFill>
          </c:spPr>
          <c:invertIfNegative val="0"/>
          <c:cat>
            <c:strRef>
              <c:f>'GRF2-15'!$B$24:$B$25</c:f>
              <c:strCache>
                <c:ptCount val="2"/>
                <c:pt idx="0">
                  <c:v>Aplikované výzkumné programy</c:v>
                </c:pt>
                <c:pt idx="1">
                  <c:v>Vědecký průzkum (výzkum) vesmíru</c:v>
                </c:pt>
              </c:strCache>
            </c:strRef>
          </c:cat>
          <c:val>
            <c:numRef>
              <c:f>'GRF2-15'!$C$24:$C$25</c:f>
              <c:numCache>
                <c:formatCode>General</c:formatCode>
                <c:ptCount val="2"/>
                <c:pt idx="0">
                  <c:v>22.785999999999984</c:v>
                </c:pt>
                <c:pt idx="1">
                  <c:v>103.08999999999997</c:v>
                </c:pt>
              </c:numCache>
            </c:numRef>
          </c:val>
        </c:ser>
        <c:ser>
          <c:idx val="1"/>
          <c:order val="1"/>
          <c:tx>
            <c:strRef>
              <c:f>'GRF2-15'!$D$23</c:f>
              <c:strCache>
                <c:ptCount val="1"/>
                <c:pt idx="0">
                  <c:v>2010</c:v>
                </c:pt>
              </c:strCache>
            </c:strRef>
          </c:tx>
          <c:spPr>
            <a:solidFill>
              <a:schemeClr val="accent5">
                <a:lumMod val="60000"/>
                <a:lumOff val="40000"/>
              </a:schemeClr>
            </a:solidFill>
          </c:spPr>
          <c:invertIfNegative val="0"/>
          <c:cat>
            <c:strRef>
              <c:f>'GRF2-15'!$B$24:$B$25</c:f>
              <c:strCache>
                <c:ptCount val="2"/>
                <c:pt idx="0">
                  <c:v>Aplikované výzkumné programy</c:v>
                </c:pt>
                <c:pt idx="1">
                  <c:v>Vědecký průzkum (výzkum) vesmíru</c:v>
                </c:pt>
              </c:strCache>
            </c:strRef>
          </c:cat>
          <c:val>
            <c:numRef>
              <c:f>'GRF2-15'!$D$24:$D$25</c:f>
              <c:numCache>
                <c:formatCode>General</c:formatCode>
                <c:ptCount val="2"/>
                <c:pt idx="0">
                  <c:v>12.277000000000003</c:v>
                </c:pt>
                <c:pt idx="1">
                  <c:v>128.73899999999998</c:v>
                </c:pt>
              </c:numCache>
            </c:numRef>
          </c:val>
        </c:ser>
        <c:ser>
          <c:idx val="2"/>
          <c:order val="2"/>
          <c:tx>
            <c:strRef>
              <c:f>'GRF2-15'!$E$23</c:f>
              <c:strCache>
                <c:ptCount val="1"/>
                <c:pt idx="0">
                  <c:v>2013</c:v>
                </c:pt>
              </c:strCache>
            </c:strRef>
          </c:tx>
          <c:spPr>
            <a:solidFill>
              <a:schemeClr val="accent5"/>
            </a:solidFill>
          </c:spPr>
          <c:invertIfNegative val="0"/>
          <c:cat>
            <c:strRef>
              <c:f>'GRF2-15'!$B$24:$B$25</c:f>
              <c:strCache>
                <c:ptCount val="2"/>
                <c:pt idx="0">
                  <c:v>Aplikované výzkumné programy</c:v>
                </c:pt>
                <c:pt idx="1">
                  <c:v>Vědecký průzkum (výzkum) vesmíru</c:v>
                </c:pt>
              </c:strCache>
            </c:strRef>
          </c:cat>
          <c:val>
            <c:numRef>
              <c:f>'GRF2-15'!$E$24:$E$25</c:f>
              <c:numCache>
                <c:formatCode>General</c:formatCode>
                <c:ptCount val="2"/>
                <c:pt idx="0">
                  <c:v>10.516000000000002</c:v>
                </c:pt>
                <c:pt idx="1">
                  <c:v>132.84598616498008</c:v>
                </c:pt>
              </c:numCache>
            </c:numRef>
          </c:val>
        </c:ser>
        <c:ser>
          <c:idx val="3"/>
          <c:order val="3"/>
          <c:tx>
            <c:strRef>
              <c:f>'GRF2-15'!$F$23</c:f>
              <c:strCache>
                <c:ptCount val="1"/>
                <c:pt idx="0">
                  <c:v>2014</c:v>
                </c:pt>
              </c:strCache>
            </c:strRef>
          </c:tx>
          <c:spPr>
            <a:solidFill>
              <a:schemeClr val="accent5">
                <a:lumMod val="50000"/>
              </a:schemeClr>
            </a:solidFill>
          </c:spPr>
          <c:invertIfNegative val="0"/>
          <c:cat>
            <c:strRef>
              <c:f>'GRF2-15'!$B$24:$B$25</c:f>
              <c:strCache>
                <c:ptCount val="2"/>
                <c:pt idx="0">
                  <c:v>Aplikované výzkumné programy</c:v>
                </c:pt>
                <c:pt idx="1">
                  <c:v>Vědecký průzkum (výzkum) vesmíru</c:v>
                </c:pt>
              </c:strCache>
            </c:strRef>
          </c:cat>
          <c:val>
            <c:numRef>
              <c:f>'GRF2-15'!$F$24:$F$25</c:f>
              <c:numCache>
                <c:formatCode>General</c:formatCode>
                <c:ptCount val="2"/>
                <c:pt idx="0">
                  <c:v>9.6820000000000004</c:v>
                </c:pt>
                <c:pt idx="1">
                  <c:v>140.21861080675768</c:v>
                </c:pt>
              </c:numCache>
            </c:numRef>
          </c:val>
        </c:ser>
        <c:dLbls>
          <c:showLegendKey val="0"/>
          <c:showVal val="0"/>
          <c:showCatName val="0"/>
          <c:showSerName val="0"/>
          <c:showPercent val="0"/>
          <c:showBubbleSize val="0"/>
        </c:dLbls>
        <c:gapWidth val="100"/>
        <c:axId val="200465024"/>
        <c:axId val="200532352"/>
      </c:barChart>
      <c:catAx>
        <c:axId val="200465024"/>
        <c:scaling>
          <c:orientation val="minMax"/>
        </c:scaling>
        <c:delete val="0"/>
        <c:axPos val="l"/>
        <c:majorGridlines>
          <c:spPr>
            <a:ln>
              <a:solidFill>
                <a:schemeClr val="bg1">
                  <a:lumMod val="85000"/>
                </a:schemeClr>
              </a:solidFill>
            </a:ln>
          </c:spPr>
        </c:majorGridlines>
        <c:numFmt formatCode="General" sourceLinked="0"/>
        <c:majorTickMark val="out"/>
        <c:minorTickMark val="none"/>
        <c:tickLblPos val="nextTo"/>
        <c:crossAx val="200532352"/>
        <c:crosses val="autoZero"/>
        <c:auto val="1"/>
        <c:lblAlgn val="ctr"/>
        <c:lblOffset val="100"/>
        <c:noMultiLvlLbl val="0"/>
      </c:catAx>
      <c:valAx>
        <c:axId val="200532352"/>
        <c:scaling>
          <c:orientation val="minMax"/>
        </c:scaling>
        <c:delete val="0"/>
        <c:axPos val="b"/>
        <c:majorGridlines>
          <c:spPr>
            <a:ln>
              <a:solidFill>
                <a:schemeClr val="bg1">
                  <a:lumMod val="85000"/>
                </a:schemeClr>
              </a:solidFill>
            </a:ln>
          </c:spPr>
        </c:majorGridlines>
        <c:numFmt formatCode="#,##0" sourceLinked="0"/>
        <c:majorTickMark val="out"/>
        <c:minorTickMark val="none"/>
        <c:tickLblPos val="nextTo"/>
        <c:crossAx val="200465024"/>
        <c:crosses val="autoZero"/>
        <c:crossBetween val="between"/>
      </c:valAx>
      <c:spPr>
        <a:noFill/>
        <a:ln>
          <a:solidFill>
            <a:schemeClr val="bg1">
              <a:lumMod val="85000"/>
            </a:schemeClr>
          </a:solidFill>
        </a:ln>
      </c:spPr>
    </c:plotArea>
    <c:legend>
      <c:legendPos val="r"/>
      <c:overlay val="0"/>
    </c:legend>
    <c:plotVisOnly val="1"/>
    <c:dispBlanksAs val="zero"/>
    <c:showDLblsOverMax val="0"/>
  </c:chart>
  <c:spPr>
    <a:ln>
      <a:noFill/>
    </a:ln>
  </c:spPr>
  <c:txPr>
    <a:bodyPr/>
    <a:lstStyle/>
    <a:p>
      <a:pPr>
        <a:defRPr sz="900">
          <a:latin typeface="Arial" pitchFamily="34" charset="0"/>
          <a:cs typeface="Arial" pitchFamily="34" charset="0"/>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0.44408921568627452"/>
          <c:y val="1.9139629629629631E-2"/>
          <c:w val="0.51966601553772296"/>
          <c:h val="0.86014380060657181"/>
        </c:manualLayout>
      </c:layout>
      <c:barChart>
        <c:barDir val="bar"/>
        <c:grouping val="percentStacked"/>
        <c:varyColors val="0"/>
        <c:ser>
          <c:idx val="0"/>
          <c:order val="0"/>
          <c:tx>
            <c:strRef>
              <c:f>'GRF2-2'!$B$20</c:f>
              <c:strCache>
                <c:ptCount val="1"/>
                <c:pt idx="0">
                  <c:v>Institucionální</c:v>
                </c:pt>
              </c:strCache>
            </c:strRef>
          </c:tx>
          <c:spPr>
            <a:solidFill>
              <a:schemeClr val="accent5">
                <a:lumMod val="50000"/>
              </a:schemeClr>
            </a:solidFill>
          </c:spPr>
          <c:invertIfNegative val="0"/>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numFmt formatCode="0.0%" sourceLinked="0"/>
            <c:spPr>
              <a:noFill/>
              <a:ln>
                <a:noFill/>
              </a:ln>
              <a:effectLst/>
            </c:spPr>
            <c:txPr>
              <a:bodyPr/>
              <a:lstStyle/>
              <a:p>
                <a:pPr>
                  <a:defRPr>
                    <a:solidFill>
                      <a:schemeClr val="bg1"/>
                    </a:solidFill>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'GRF2-2'!$A$21:$A$33</c:f>
              <c:strCache>
                <c:ptCount val="13"/>
                <c:pt idx="0">
                  <c:v>Obrana</c:v>
                </c:pt>
                <c:pt idx="1">
                  <c:v>Infrastruktura a územní plánování</c:v>
                </c:pt>
                <c:pt idx="2">
                  <c:v>Výroba, distribuce a racionální využití energie</c:v>
                </c:pt>
                <c:pt idx="3">
                  <c:v>Ochrana životního prostředí</c:v>
                </c:pt>
                <c:pt idx="4">
                  <c:v>Průmyslová výroba a technologie</c:v>
                </c:pt>
                <c:pt idx="5">
                  <c:v>Společenské struktury a vztahy</c:v>
                </c:pt>
                <c:pt idx="6">
                  <c:v>Ochrana a zlepšování lidského zdraví</c:v>
                </c:pt>
                <c:pt idx="7">
                  <c:v>Zemědělská výroba a technologie</c:v>
                </c:pt>
                <c:pt idx="8">
                  <c:v>Průzkum a využití vesmíru</c:v>
                </c:pt>
                <c:pt idx="9">
                  <c:v>Neorientovaný výzkum</c:v>
                </c:pt>
                <c:pt idx="10">
                  <c:v>Průzkum a využití zdrojů Země</c:v>
                </c:pt>
                <c:pt idx="11">
                  <c:v>Ostatní civilní výzkum</c:v>
                </c:pt>
                <c:pt idx="12">
                  <c:v>Všeobecný výzkum na vysokých školách</c:v>
                </c:pt>
              </c:strCache>
            </c:strRef>
          </c:cat>
          <c:val>
            <c:numRef>
              <c:f>'GRF2-2'!$B$21:$B$33</c:f>
              <c:numCache>
                <c:formatCode>0.0%</c:formatCode>
                <c:ptCount val="13"/>
                <c:pt idx="0">
                  <c:v>8.8550332052847354E-3</c:v>
                </c:pt>
                <c:pt idx="1">
                  <c:v>3.5101468155106896E-2</c:v>
                </c:pt>
                <c:pt idx="2">
                  <c:v>3.6355210705277002E-2</c:v>
                </c:pt>
                <c:pt idx="3">
                  <c:v>4.6055358204300699E-2</c:v>
                </c:pt>
                <c:pt idx="4">
                  <c:v>4.7408705570921493E-2</c:v>
                </c:pt>
                <c:pt idx="5">
                  <c:v>0.14003149326255365</c:v>
                </c:pt>
                <c:pt idx="6">
                  <c:v>0.25939794565233804</c:v>
                </c:pt>
                <c:pt idx="7">
                  <c:v>0.40139706639333106</c:v>
                </c:pt>
                <c:pt idx="8">
                  <c:v>0.45803464820269785</c:v>
                </c:pt>
                <c:pt idx="9">
                  <c:v>0.48412536329922179</c:v>
                </c:pt>
                <c:pt idx="10">
                  <c:v>0.51678234355342234</c:v>
                </c:pt>
                <c:pt idx="11">
                  <c:v>0.99262638422743565</c:v>
                </c:pt>
                <c:pt idx="12">
                  <c:v>1</c:v>
                </c:pt>
              </c:numCache>
            </c:numRef>
          </c:val>
        </c:ser>
        <c:ser>
          <c:idx val="1"/>
          <c:order val="1"/>
          <c:tx>
            <c:strRef>
              <c:f>'GRF2-2'!$C$20</c:f>
              <c:strCache>
                <c:ptCount val="1"/>
                <c:pt idx="0">
                  <c:v>Účelová</c:v>
                </c:pt>
              </c:strCache>
            </c:strRef>
          </c:tx>
          <c:spPr>
            <a:solidFill>
              <a:schemeClr val="accent5">
                <a:lumMod val="60000"/>
                <a:lumOff val="40000"/>
              </a:schemeClr>
            </a:solidFill>
          </c:spPr>
          <c:invertIfNegative val="0"/>
          <c:dLbls>
            <c:dLbl>
              <c:idx val="11"/>
              <c:delete val="1"/>
              <c:extLst>
                <c:ext xmlns:c15="http://schemas.microsoft.com/office/drawing/2012/chart" uri="{CE6537A1-D6FC-4f65-9D91-7224C49458BB}"/>
              </c:extLst>
            </c:dLbl>
            <c:dLbl>
              <c:idx val="12"/>
              <c:delete val="1"/>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'GRF2-2'!$A$21:$A$33</c:f>
              <c:strCache>
                <c:ptCount val="13"/>
                <c:pt idx="0">
                  <c:v>Obrana</c:v>
                </c:pt>
                <c:pt idx="1">
                  <c:v>Infrastruktura a územní plánování</c:v>
                </c:pt>
                <c:pt idx="2">
                  <c:v>Výroba, distribuce a racionální využití energie</c:v>
                </c:pt>
                <c:pt idx="3">
                  <c:v>Ochrana životního prostředí</c:v>
                </c:pt>
                <c:pt idx="4">
                  <c:v>Průmyslová výroba a technologie</c:v>
                </c:pt>
                <c:pt idx="5">
                  <c:v>Společenské struktury a vztahy</c:v>
                </c:pt>
                <c:pt idx="6">
                  <c:v>Ochrana a zlepšování lidského zdraví</c:v>
                </c:pt>
                <c:pt idx="7">
                  <c:v>Zemědělská výroba a technologie</c:v>
                </c:pt>
                <c:pt idx="8">
                  <c:v>Průzkum a využití vesmíru</c:v>
                </c:pt>
                <c:pt idx="9">
                  <c:v>Neorientovaný výzkum</c:v>
                </c:pt>
                <c:pt idx="10">
                  <c:v>Průzkum a využití zdrojů Země</c:v>
                </c:pt>
                <c:pt idx="11">
                  <c:v>Ostatní civilní výzkum</c:v>
                </c:pt>
                <c:pt idx="12">
                  <c:v>Všeobecný výzkum na vysokých školách</c:v>
                </c:pt>
              </c:strCache>
            </c:strRef>
          </c:cat>
          <c:val>
            <c:numRef>
              <c:f>'GRF2-2'!$C$21:$C$33</c:f>
              <c:numCache>
                <c:formatCode>0.0%</c:formatCode>
                <c:ptCount val="13"/>
                <c:pt idx="0">
                  <c:v>0.99114496679471531</c:v>
                </c:pt>
                <c:pt idx="1">
                  <c:v>0.96489853184489371</c:v>
                </c:pt>
                <c:pt idx="2">
                  <c:v>0.9636447892947233</c:v>
                </c:pt>
                <c:pt idx="3">
                  <c:v>0.9539446417956996</c:v>
                </c:pt>
                <c:pt idx="4">
                  <c:v>0.95259129442907908</c:v>
                </c:pt>
                <c:pt idx="5">
                  <c:v>0.85996850673744651</c:v>
                </c:pt>
                <c:pt idx="6">
                  <c:v>0.74060205434766191</c:v>
                </c:pt>
                <c:pt idx="7">
                  <c:v>0.59860293360666861</c:v>
                </c:pt>
                <c:pt idx="8">
                  <c:v>0.54196535179730188</c:v>
                </c:pt>
                <c:pt idx="9">
                  <c:v>0.51587463670077893</c:v>
                </c:pt>
                <c:pt idx="10">
                  <c:v>0.48321765644657744</c:v>
                </c:pt>
                <c:pt idx="11">
                  <c:v>7.3736157725640475E-3</c:v>
                </c:pt>
                <c:pt idx="12">
                  <c:v>0</c:v>
                </c:pt>
              </c:numCache>
            </c:numRef>
          </c:val>
        </c:ser>
        <c:dLbls>
          <c:showLegendKey val="0"/>
          <c:showVal val="1"/>
          <c:showCatName val="0"/>
          <c:showSerName val="0"/>
          <c:showPercent val="0"/>
          <c:showBubbleSize val="0"/>
        </c:dLbls>
        <c:gapWidth val="51"/>
        <c:overlap val="100"/>
        <c:axId val="188677120"/>
        <c:axId val="188793600"/>
      </c:barChart>
      <c:catAx>
        <c:axId val="188677120"/>
        <c:scaling>
          <c:orientation val="minMax"/>
        </c:scaling>
        <c:delete val="0"/>
        <c:axPos val="l"/>
        <c:numFmt formatCode="General" sourceLinked="0"/>
        <c:majorTickMark val="none"/>
        <c:minorTickMark val="none"/>
        <c:tickLblPos val="nextTo"/>
        <c:crossAx val="188793600"/>
        <c:crosses val="autoZero"/>
        <c:auto val="1"/>
        <c:lblAlgn val="ctr"/>
        <c:lblOffset val="100"/>
        <c:noMultiLvlLbl val="0"/>
      </c:catAx>
      <c:valAx>
        <c:axId val="188793600"/>
        <c:scaling>
          <c:orientation val="minMax"/>
        </c:scaling>
        <c:delete val="1"/>
        <c:axPos val="b"/>
        <c:majorGridlines/>
        <c:numFmt formatCode="0%" sourceLinked="0"/>
        <c:majorTickMark val="out"/>
        <c:minorTickMark val="none"/>
        <c:tickLblPos val="none"/>
        <c:crossAx val="188677120"/>
        <c:crosses val="autoZero"/>
        <c:crossBetween val="between"/>
      </c:valAx>
      <c:spPr>
        <a:noFill/>
      </c:spPr>
    </c:plotArea>
    <c:legend>
      <c:legendPos val="b"/>
      <c:layout>
        <c:manualLayout>
          <c:xMode val="edge"/>
          <c:yMode val="edge"/>
          <c:x val="0.55908578431372569"/>
          <c:y val="0.8924022222222211"/>
          <c:w val="0.25120735294117547"/>
          <c:h val="7.9375555555555546E-2"/>
        </c:manualLayout>
      </c:layout>
      <c:overlay val="0"/>
    </c:legend>
    <c:plotVisOnly val="1"/>
    <c:dispBlanksAs val="gap"/>
    <c:showDLblsOverMax val="0"/>
  </c:chart>
  <c:spPr>
    <a:ln>
      <a:noFill/>
    </a:ln>
  </c:spPr>
  <c:txPr>
    <a:bodyPr/>
    <a:lstStyle/>
    <a:p>
      <a:pPr>
        <a:defRPr sz="900">
          <a:latin typeface="Arial" pitchFamily="34" charset="0"/>
          <a:cs typeface="Arial" pitchFamily="34" charset="0"/>
        </a:defRPr>
      </a:pPr>
      <a:endParaRPr lang="cs-C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29059966796255438"/>
          <c:y val="4.5111943838345533E-2"/>
          <c:w val="0.58689222033235233"/>
          <c:h val="0.89676216677734299"/>
        </c:manualLayout>
      </c:layout>
      <c:barChart>
        <c:barDir val="bar"/>
        <c:grouping val="clustered"/>
        <c:varyColors val="0"/>
        <c:ser>
          <c:idx val="0"/>
          <c:order val="0"/>
          <c:tx>
            <c:strRef>
              <c:f>'GRF2-3'!$C$20</c:f>
              <c:strCache>
                <c:ptCount val="1"/>
                <c:pt idx="0">
                  <c:v>2005</c:v>
                </c:pt>
              </c:strCache>
            </c:strRef>
          </c:tx>
          <c:spPr>
            <a:solidFill>
              <a:schemeClr val="accent5">
                <a:lumMod val="40000"/>
                <a:lumOff val="60000"/>
              </a:schemeClr>
            </a:solidFill>
          </c:spPr>
          <c:invertIfNegative val="0"/>
          <c:cat>
            <c:strRef>
              <c:f>'GRF2-3'!$B$21:$B$30</c:f>
              <c:strCache>
                <c:ptCount val="10"/>
                <c:pt idx="0">
                  <c:v>Zemědělské vědy</c:v>
                </c:pt>
                <c:pt idx="1">
                  <c:v>Vědy o Zemi ekologické vědy</c:v>
                </c:pt>
                <c:pt idx="2">
                  <c:v>Technické vědy</c:v>
                </c:pt>
                <c:pt idx="3">
                  <c:v>Společenské vědy</c:v>
                </c:pt>
                <c:pt idx="4">
                  <c:v>Matematické a výpočetní vědy</c:v>
                </c:pt>
                <c:pt idx="5">
                  <c:v>Lékařské vědy</c:v>
                </c:pt>
                <c:pt idx="6">
                  <c:v>Humanitní vědy</c:v>
                </c:pt>
                <c:pt idx="7">
                  <c:v>Chemické vědy</c:v>
                </c:pt>
                <c:pt idx="8">
                  <c:v>Fyzikální vědy</c:v>
                </c:pt>
                <c:pt idx="9">
                  <c:v>Přírodní vědy</c:v>
                </c:pt>
              </c:strCache>
            </c:strRef>
          </c:cat>
          <c:val>
            <c:numRef>
              <c:f>'GRF2-3'!$C$21:$C$30</c:f>
              <c:numCache>
                <c:formatCode>#,##0</c:formatCode>
                <c:ptCount val="10"/>
                <c:pt idx="0">
                  <c:v>8.6010000000000009</c:v>
                </c:pt>
                <c:pt idx="1">
                  <c:v>146.46999999999997</c:v>
                </c:pt>
                <c:pt idx="2">
                  <c:v>329.48899999999963</c:v>
                </c:pt>
                <c:pt idx="3">
                  <c:v>223.76199999999997</c:v>
                </c:pt>
                <c:pt idx="4">
                  <c:v>463.14699999999993</c:v>
                </c:pt>
                <c:pt idx="5">
                  <c:v>530.99199999999951</c:v>
                </c:pt>
                <c:pt idx="6">
                  <c:v>567.4060000000004</c:v>
                </c:pt>
                <c:pt idx="7">
                  <c:v>770.7100000000006</c:v>
                </c:pt>
                <c:pt idx="8">
                  <c:v>798.9479999999993</c:v>
                </c:pt>
                <c:pt idx="9">
                  <c:v>927.72299999999996</c:v>
                </c:pt>
              </c:numCache>
            </c:numRef>
          </c:val>
        </c:ser>
        <c:ser>
          <c:idx val="1"/>
          <c:order val="1"/>
          <c:tx>
            <c:strRef>
              <c:f>'GRF2-3'!$D$20</c:f>
              <c:strCache>
                <c:ptCount val="1"/>
                <c:pt idx="0">
                  <c:v>2010</c:v>
                </c:pt>
              </c:strCache>
            </c:strRef>
          </c:tx>
          <c:spPr>
            <a:solidFill>
              <a:schemeClr val="accent5">
                <a:lumMod val="60000"/>
                <a:lumOff val="40000"/>
              </a:schemeClr>
            </a:solidFill>
          </c:spPr>
          <c:invertIfNegative val="0"/>
          <c:cat>
            <c:strRef>
              <c:f>'GRF2-3'!$B$21:$B$30</c:f>
              <c:strCache>
                <c:ptCount val="10"/>
                <c:pt idx="0">
                  <c:v>Zemědělské vědy</c:v>
                </c:pt>
                <c:pt idx="1">
                  <c:v>Vědy o Zemi ekologické vědy</c:v>
                </c:pt>
                <c:pt idx="2">
                  <c:v>Technické vědy</c:v>
                </c:pt>
                <c:pt idx="3">
                  <c:v>Společenské vědy</c:v>
                </c:pt>
                <c:pt idx="4">
                  <c:v>Matematické a výpočetní vědy</c:v>
                </c:pt>
                <c:pt idx="5">
                  <c:v>Lékařské vědy</c:v>
                </c:pt>
                <c:pt idx="6">
                  <c:v>Humanitní vědy</c:v>
                </c:pt>
                <c:pt idx="7">
                  <c:v>Chemické vědy</c:v>
                </c:pt>
                <c:pt idx="8">
                  <c:v>Fyzikální vědy</c:v>
                </c:pt>
                <c:pt idx="9">
                  <c:v>Přírodní vědy</c:v>
                </c:pt>
              </c:strCache>
            </c:strRef>
          </c:cat>
          <c:val>
            <c:numRef>
              <c:f>'GRF2-3'!$D$21:$D$30</c:f>
              <c:numCache>
                <c:formatCode>#,##0</c:formatCode>
                <c:ptCount val="10"/>
                <c:pt idx="0">
                  <c:v>10.354000000000006</c:v>
                </c:pt>
                <c:pt idx="1">
                  <c:v>235.20999999999998</c:v>
                </c:pt>
                <c:pt idx="2">
                  <c:v>604.58900000000062</c:v>
                </c:pt>
                <c:pt idx="3">
                  <c:v>324.12300000000027</c:v>
                </c:pt>
                <c:pt idx="4">
                  <c:v>679.91799999999898</c:v>
                </c:pt>
                <c:pt idx="5">
                  <c:v>960.92499999999939</c:v>
                </c:pt>
                <c:pt idx="6">
                  <c:v>714.67399999999952</c:v>
                </c:pt>
                <c:pt idx="7">
                  <c:v>1105.068</c:v>
                </c:pt>
                <c:pt idx="8">
                  <c:v>1275.1790000000012</c:v>
                </c:pt>
                <c:pt idx="9">
                  <c:v>1558.295000000001</c:v>
                </c:pt>
              </c:numCache>
            </c:numRef>
          </c:val>
        </c:ser>
        <c:ser>
          <c:idx val="2"/>
          <c:order val="2"/>
          <c:tx>
            <c:strRef>
              <c:f>'GRF2-3'!$E$20</c:f>
              <c:strCache>
                <c:ptCount val="1"/>
                <c:pt idx="0">
                  <c:v>2013</c:v>
                </c:pt>
              </c:strCache>
            </c:strRef>
          </c:tx>
          <c:spPr>
            <a:solidFill>
              <a:schemeClr val="accent5"/>
            </a:solidFill>
          </c:spPr>
          <c:invertIfNegative val="0"/>
          <c:cat>
            <c:strRef>
              <c:f>'GRF2-3'!$B$21:$B$30</c:f>
              <c:strCache>
                <c:ptCount val="10"/>
                <c:pt idx="0">
                  <c:v>Zemědělské vědy</c:v>
                </c:pt>
                <c:pt idx="1">
                  <c:v>Vědy o Zemi ekologické vědy</c:v>
                </c:pt>
                <c:pt idx="2">
                  <c:v>Technické vědy</c:v>
                </c:pt>
                <c:pt idx="3">
                  <c:v>Společenské vědy</c:v>
                </c:pt>
                <c:pt idx="4">
                  <c:v>Matematické a výpočetní vědy</c:v>
                </c:pt>
                <c:pt idx="5">
                  <c:v>Lékařské vědy</c:v>
                </c:pt>
                <c:pt idx="6">
                  <c:v>Humanitní vědy</c:v>
                </c:pt>
                <c:pt idx="7">
                  <c:v>Chemické vědy</c:v>
                </c:pt>
                <c:pt idx="8">
                  <c:v>Fyzikální vědy</c:v>
                </c:pt>
                <c:pt idx="9">
                  <c:v>Přírodní vědy</c:v>
                </c:pt>
              </c:strCache>
            </c:strRef>
          </c:cat>
          <c:val>
            <c:numRef>
              <c:f>'GRF2-3'!$E$21:$E$30</c:f>
              <c:numCache>
                <c:formatCode>#,##0</c:formatCode>
                <c:ptCount val="10"/>
                <c:pt idx="0">
                  <c:v>1.8620000000000001</c:v>
                </c:pt>
                <c:pt idx="1">
                  <c:v>217.73797000000008</c:v>
                </c:pt>
                <c:pt idx="2">
                  <c:v>431.98570913433957</c:v>
                </c:pt>
                <c:pt idx="3">
                  <c:v>409.94452720131943</c:v>
                </c:pt>
                <c:pt idx="4">
                  <c:v>767.1526034269782</c:v>
                </c:pt>
                <c:pt idx="5">
                  <c:v>677.54338355041261</c:v>
                </c:pt>
                <c:pt idx="6">
                  <c:v>1027.470080538103</c:v>
                </c:pt>
                <c:pt idx="7">
                  <c:v>1320.4891744580259</c:v>
                </c:pt>
                <c:pt idx="8">
                  <c:v>1637.5024193620459</c:v>
                </c:pt>
                <c:pt idx="9">
                  <c:v>1627.8373314267481</c:v>
                </c:pt>
              </c:numCache>
            </c:numRef>
          </c:val>
        </c:ser>
        <c:ser>
          <c:idx val="3"/>
          <c:order val="3"/>
          <c:tx>
            <c:strRef>
              <c:f>'GRF2-3'!$F$20</c:f>
              <c:strCache>
                <c:ptCount val="1"/>
                <c:pt idx="0">
                  <c:v>2014</c:v>
                </c:pt>
              </c:strCache>
            </c:strRef>
          </c:tx>
          <c:spPr>
            <a:solidFill>
              <a:schemeClr val="accent5">
                <a:lumMod val="50000"/>
              </a:schemeClr>
            </a:solidFill>
          </c:spPr>
          <c:invertIfNegative val="0"/>
          <c:cat>
            <c:strRef>
              <c:f>'GRF2-3'!$B$21:$B$30</c:f>
              <c:strCache>
                <c:ptCount val="10"/>
                <c:pt idx="0">
                  <c:v>Zemědělské vědy</c:v>
                </c:pt>
                <c:pt idx="1">
                  <c:v>Vědy o Zemi ekologické vědy</c:v>
                </c:pt>
                <c:pt idx="2">
                  <c:v>Technické vědy</c:v>
                </c:pt>
                <c:pt idx="3">
                  <c:v>Společenské vědy</c:v>
                </c:pt>
                <c:pt idx="4">
                  <c:v>Matematické a výpočetní vědy</c:v>
                </c:pt>
                <c:pt idx="5">
                  <c:v>Lékařské vědy</c:v>
                </c:pt>
                <c:pt idx="6">
                  <c:v>Humanitní vědy</c:v>
                </c:pt>
                <c:pt idx="7">
                  <c:v>Chemické vědy</c:v>
                </c:pt>
                <c:pt idx="8">
                  <c:v>Fyzikální vědy</c:v>
                </c:pt>
                <c:pt idx="9">
                  <c:v>Přírodní vědy</c:v>
                </c:pt>
              </c:strCache>
            </c:strRef>
          </c:cat>
          <c:val>
            <c:numRef>
              <c:f>'GRF2-3'!$F$21:$F$30</c:f>
              <c:numCache>
                <c:formatCode>#,##0</c:formatCode>
                <c:ptCount val="10"/>
                <c:pt idx="0">
                  <c:v>0.5</c:v>
                </c:pt>
                <c:pt idx="1">
                  <c:v>231.04450866063678</c:v>
                </c:pt>
                <c:pt idx="2">
                  <c:v>373.957687058369</c:v>
                </c:pt>
                <c:pt idx="3">
                  <c:v>425.06466529746763</c:v>
                </c:pt>
                <c:pt idx="4">
                  <c:v>707.33545404058441</c:v>
                </c:pt>
                <c:pt idx="5">
                  <c:v>794.55470468332214</c:v>
                </c:pt>
                <c:pt idx="6">
                  <c:v>1098.4448010701333</c:v>
                </c:pt>
                <c:pt idx="7">
                  <c:v>1292.0731434983702</c:v>
                </c:pt>
                <c:pt idx="8">
                  <c:v>1702.6556864793704</c:v>
                </c:pt>
                <c:pt idx="9">
                  <c:v>1895.4430477411752</c:v>
                </c:pt>
              </c:numCache>
            </c:numRef>
          </c:val>
        </c:ser>
        <c:dLbls>
          <c:showLegendKey val="0"/>
          <c:showVal val="0"/>
          <c:showCatName val="0"/>
          <c:showSerName val="0"/>
          <c:showPercent val="0"/>
          <c:showBubbleSize val="0"/>
        </c:dLbls>
        <c:gapWidth val="100"/>
        <c:axId val="188832768"/>
        <c:axId val="188863232"/>
      </c:barChart>
      <c:catAx>
        <c:axId val="188832768"/>
        <c:scaling>
          <c:orientation val="minMax"/>
        </c:scaling>
        <c:delete val="0"/>
        <c:axPos val="l"/>
        <c:majorGridlines>
          <c:spPr>
            <a:ln>
              <a:solidFill>
                <a:schemeClr val="bg1">
                  <a:lumMod val="85000"/>
                </a:schemeClr>
              </a:solidFill>
            </a:ln>
          </c:spPr>
        </c:majorGridlines>
        <c:numFmt formatCode="General" sourceLinked="0"/>
        <c:majorTickMark val="out"/>
        <c:minorTickMark val="none"/>
        <c:tickLblPos val="nextTo"/>
        <c:crossAx val="188863232"/>
        <c:crosses val="autoZero"/>
        <c:auto val="1"/>
        <c:lblAlgn val="ctr"/>
        <c:lblOffset val="100"/>
        <c:noMultiLvlLbl val="0"/>
      </c:catAx>
      <c:valAx>
        <c:axId val="188863232"/>
        <c:scaling>
          <c:orientation val="minMax"/>
        </c:scaling>
        <c:delete val="0"/>
        <c:axPos val="b"/>
        <c:majorGridlines>
          <c:spPr>
            <a:ln>
              <a:solidFill>
                <a:schemeClr val="bg1">
                  <a:lumMod val="85000"/>
                </a:schemeClr>
              </a:solidFill>
            </a:ln>
          </c:spPr>
        </c:majorGridlines>
        <c:numFmt formatCode="#,##0" sourceLinked="0"/>
        <c:majorTickMark val="out"/>
        <c:minorTickMark val="none"/>
        <c:tickLblPos val="nextTo"/>
        <c:crossAx val="188832768"/>
        <c:crosses val="autoZero"/>
        <c:crossBetween val="between"/>
      </c:valAx>
      <c:spPr>
        <a:noFill/>
        <a:ln>
          <a:solidFill>
            <a:schemeClr val="bg1">
              <a:lumMod val="85000"/>
            </a:schemeClr>
          </a:solidFill>
        </a:ln>
      </c:spPr>
    </c:plotArea>
    <c:legend>
      <c:legendPos val="r"/>
      <c:layout>
        <c:manualLayout>
          <c:xMode val="edge"/>
          <c:yMode val="edge"/>
          <c:x val="0.91036388849414851"/>
          <c:y val="0.42055189260980985"/>
          <c:w val="7.2489904827760826E-2"/>
          <c:h val="0.1921629826392183"/>
        </c:manualLayout>
      </c:layout>
      <c:overlay val="1"/>
      <c:spPr>
        <a:solidFill>
          <a:schemeClr val="bg1"/>
        </a:solidFill>
      </c:spPr>
    </c:legend>
    <c:plotVisOnly val="1"/>
    <c:dispBlanksAs val="zero"/>
    <c:showDLblsOverMax val="0"/>
  </c:chart>
  <c:spPr>
    <a:ln>
      <a:noFill/>
    </a:ln>
  </c:spPr>
  <c:txPr>
    <a:bodyPr/>
    <a:lstStyle/>
    <a:p>
      <a:pPr>
        <a:defRPr sz="900">
          <a:latin typeface="Arial" pitchFamily="34" charset="0"/>
          <a:cs typeface="Arial" pitchFamily="34" charset="0"/>
        </a:defRPr>
      </a:pPr>
      <a:endParaRPr lang="cs-CZ"/>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29059966796255454"/>
          <c:y val="4.5111943838345533E-2"/>
          <c:w val="0.58689222033235211"/>
          <c:h val="0.89676216677734255"/>
        </c:manualLayout>
      </c:layout>
      <c:barChart>
        <c:barDir val="bar"/>
        <c:grouping val="clustered"/>
        <c:varyColors val="0"/>
        <c:ser>
          <c:idx val="0"/>
          <c:order val="0"/>
          <c:tx>
            <c:strRef>
              <c:f>'GRF2-4'!$C$20</c:f>
              <c:strCache>
                <c:ptCount val="1"/>
                <c:pt idx="0">
                  <c:v>2005</c:v>
                </c:pt>
              </c:strCache>
            </c:strRef>
          </c:tx>
          <c:spPr>
            <a:solidFill>
              <a:schemeClr val="accent5">
                <a:lumMod val="40000"/>
                <a:lumOff val="60000"/>
              </a:schemeClr>
            </a:solidFill>
          </c:spPr>
          <c:invertIfNegative val="0"/>
          <c:cat>
            <c:strRef>
              <c:f>'GRF2-4'!$B$21:$B$30</c:f>
              <c:strCache>
                <c:ptCount val="10"/>
                <c:pt idx="0">
                  <c:v>Vědy o Zemi ekologické vědy</c:v>
                </c:pt>
                <c:pt idx="1">
                  <c:v>Zemědělské vědy</c:v>
                </c:pt>
                <c:pt idx="2">
                  <c:v>Humanitní vědy</c:v>
                </c:pt>
                <c:pt idx="3">
                  <c:v>Matematické a výpočetní vědy</c:v>
                </c:pt>
                <c:pt idx="4">
                  <c:v>Přírodní vědy</c:v>
                </c:pt>
                <c:pt idx="5">
                  <c:v>Fyzikální vědy</c:v>
                </c:pt>
                <c:pt idx="6">
                  <c:v>Chemické vědy</c:v>
                </c:pt>
                <c:pt idx="7">
                  <c:v>Lékařské vědy</c:v>
                </c:pt>
                <c:pt idx="8">
                  <c:v>Společenské vědy</c:v>
                </c:pt>
                <c:pt idx="9">
                  <c:v>Technické vědy</c:v>
                </c:pt>
              </c:strCache>
            </c:strRef>
          </c:cat>
          <c:val>
            <c:numRef>
              <c:f>'GRF2-4'!$C$21:$C$30</c:f>
              <c:numCache>
                <c:formatCode>#,##0</c:formatCode>
                <c:ptCount val="10"/>
                <c:pt idx="0">
                  <c:v>218.21099999999998</c:v>
                </c:pt>
                <c:pt idx="1">
                  <c:v>236.57099999999997</c:v>
                </c:pt>
                <c:pt idx="2">
                  <c:v>220.55999999999997</c:v>
                </c:pt>
                <c:pt idx="3">
                  <c:v>237.29800000000003</c:v>
                </c:pt>
                <c:pt idx="4">
                  <c:v>298.048</c:v>
                </c:pt>
                <c:pt idx="5">
                  <c:v>244.86200000000011</c:v>
                </c:pt>
                <c:pt idx="6">
                  <c:v>221.22800000000001</c:v>
                </c:pt>
                <c:pt idx="7">
                  <c:v>608.524</c:v>
                </c:pt>
                <c:pt idx="8">
                  <c:v>266.45999999999981</c:v>
                </c:pt>
                <c:pt idx="9">
                  <c:v>918.81199999999956</c:v>
                </c:pt>
              </c:numCache>
            </c:numRef>
          </c:val>
        </c:ser>
        <c:ser>
          <c:idx val="1"/>
          <c:order val="1"/>
          <c:tx>
            <c:strRef>
              <c:f>'GRF2-4'!$D$20</c:f>
              <c:strCache>
                <c:ptCount val="1"/>
                <c:pt idx="0">
                  <c:v>2010</c:v>
                </c:pt>
              </c:strCache>
            </c:strRef>
          </c:tx>
          <c:spPr>
            <a:solidFill>
              <a:schemeClr val="accent5">
                <a:lumMod val="60000"/>
                <a:lumOff val="40000"/>
              </a:schemeClr>
            </a:solidFill>
          </c:spPr>
          <c:invertIfNegative val="0"/>
          <c:cat>
            <c:strRef>
              <c:f>'GRF2-4'!$B$21:$B$30</c:f>
              <c:strCache>
                <c:ptCount val="10"/>
                <c:pt idx="0">
                  <c:v>Vědy o Zemi ekologické vědy</c:v>
                </c:pt>
                <c:pt idx="1">
                  <c:v>Zemědělské vědy</c:v>
                </c:pt>
                <c:pt idx="2">
                  <c:v>Humanitní vědy</c:v>
                </c:pt>
                <c:pt idx="3">
                  <c:v>Matematické a výpočetní vědy</c:v>
                </c:pt>
                <c:pt idx="4">
                  <c:v>Přírodní vědy</c:v>
                </c:pt>
                <c:pt idx="5">
                  <c:v>Fyzikální vědy</c:v>
                </c:pt>
                <c:pt idx="6">
                  <c:v>Chemické vědy</c:v>
                </c:pt>
                <c:pt idx="7">
                  <c:v>Lékařské vědy</c:v>
                </c:pt>
                <c:pt idx="8">
                  <c:v>Společenské vědy</c:v>
                </c:pt>
                <c:pt idx="9">
                  <c:v>Technické vědy</c:v>
                </c:pt>
              </c:strCache>
            </c:strRef>
          </c:cat>
          <c:val>
            <c:numRef>
              <c:f>'GRF2-4'!$D$21:$D$30</c:f>
              <c:numCache>
                <c:formatCode>#,##0</c:formatCode>
                <c:ptCount val="10"/>
                <c:pt idx="0">
                  <c:v>231.01199999999997</c:v>
                </c:pt>
                <c:pt idx="1">
                  <c:v>213.27799999999996</c:v>
                </c:pt>
                <c:pt idx="2">
                  <c:v>312.37799999999993</c:v>
                </c:pt>
                <c:pt idx="3">
                  <c:v>388.97700000000003</c:v>
                </c:pt>
                <c:pt idx="4">
                  <c:v>448.00900000000007</c:v>
                </c:pt>
                <c:pt idx="5">
                  <c:v>381.92599999999987</c:v>
                </c:pt>
                <c:pt idx="6">
                  <c:v>289.91699999999963</c:v>
                </c:pt>
                <c:pt idx="7">
                  <c:v>734.28900000000033</c:v>
                </c:pt>
                <c:pt idx="8">
                  <c:v>520.49900000000002</c:v>
                </c:pt>
                <c:pt idx="9">
                  <c:v>1063.922</c:v>
                </c:pt>
              </c:numCache>
            </c:numRef>
          </c:val>
        </c:ser>
        <c:ser>
          <c:idx val="2"/>
          <c:order val="2"/>
          <c:tx>
            <c:strRef>
              <c:f>'GRF2-4'!$E$20</c:f>
              <c:strCache>
                <c:ptCount val="1"/>
                <c:pt idx="0">
                  <c:v>2013</c:v>
                </c:pt>
              </c:strCache>
            </c:strRef>
          </c:tx>
          <c:spPr>
            <a:solidFill>
              <a:schemeClr val="accent5"/>
            </a:solidFill>
          </c:spPr>
          <c:invertIfNegative val="0"/>
          <c:cat>
            <c:strRef>
              <c:f>'GRF2-4'!$B$21:$B$30</c:f>
              <c:strCache>
                <c:ptCount val="10"/>
                <c:pt idx="0">
                  <c:v>Vědy o Zemi ekologické vědy</c:v>
                </c:pt>
                <c:pt idx="1">
                  <c:v>Zemědělské vědy</c:v>
                </c:pt>
                <c:pt idx="2">
                  <c:v>Humanitní vědy</c:v>
                </c:pt>
                <c:pt idx="3">
                  <c:v>Matematické a výpočetní vědy</c:v>
                </c:pt>
                <c:pt idx="4">
                  <c:v>Přírodní vědy</c:v>
                </c:pt>
                <c:pt idx="5">
                  <c:v>Fyzikální vědy</c:v>
                </c:pt>
                <c:pt idx="6">
                  <c:v>Chemické vědy</c:v>
                </c:pt>
                <c:pt idx="7">
                  <c:v>Lékařské vědy</c:v>
                </c:pt>
                <c:pt idx="8">
                  <c:v>Společenské vědy</c:v>
                </c:pt>
                <c:pt idx="9">
                  <c:v>Technické vědy</c:v>
                </c:pt>
              </c:strCache>
            </c:strRef>
          </c:cat>
          <c:val>
            <c:numRef>
              <c:f>'GRF2-4'!$E$21:$E$30</c:f>
              <c:numCache>
                <c:formatCode>#,##0</c:formatCode>
                <c:ptCount val="10"/>
                <c:pt idx="0">
                  <c:v>189.88233679325091</c:v>
                </c:pt>
                <c:pt idx="1">
                  <c:v>331.9032351567202</c:v>
                </c:pt>
                <c:pt idx="2">
                  <c:v>457.49726039175408</c:v>
                </c:pt>
                <c:pt idx="3">
                  <c:v>495.89672594302056</c:v>
                </c:pt>
                <c:pt idx="4">
                  <c:v>559.00323406915936</c:v>
                </c:pt>
                <c:pt idx="5">
                  <c:v>622.70253625901353</c:v>
                </c:pt>
                <c:pt idx="6">
                  <c:v>658.28804350840392</c:v>
                </c:pt>
                <c:pt idx="7">
                  <c:v>774.99986158882655</c:v>
                </c:pt>
                <c:pt idx="8">
                  <c:v>791.52556339463126</c:v>
                </c:pt>
                <c:pt idx="9">
                  <c:v>1233.9043279252212</c:v>
                </c:pt>
              </c:numCache>
            </c:numRef>
          </c:val>
        </c:ser>
        <c:ser>
          <c:idx val="3"/>
          <c:order val="3"/>
          <c:tx>
            <c:strRef>
              <c:f>'GRF2-4'!$F$20</c:f>
              <c:strCache>
                <c:ptCount val="1"/>
                <c:pt idx="0">
                  <c:v>2014</c:v>
                </c:pt>
              </c:strCache>
            </c:strRef>
          </c:tx>
          <c:spPr>
            <a:solidFill>
              <a:schemeClr val="accent5">
                <a:lumMod val="50000"/>
              </a:schemeClr>
            </a:solidFill>
          </c:spPr>
          <c:invertIfNegative val="0"/>
          <c:cat>
            <c:strRef>
              <c:f>'GRF2-4'!$B$21:$B$30</c:f>
              <c:strCache>
                <c:ptCount val="10"/>
                <c:pt idx="0">
                  <c:v>Vědy o Zemi ekologické vědy</c:v>
                </c:pt>
                <c:pt idx="1">
                  <c:v>Zemědělské vědy</c:v>
                </c:pt>
                <c:pt idx="2">
                  <c:v>Humanitní vědy</c:v>
                </c:pt>
                <c:pt idx="3">
                  <c:v>Matematické a výpočetní vědy</c:v>
                </c:pt>
                <c:pt idx="4">
                  <c:v>Přírodní vědy</c:v>
                </c:pt>
                <c:pt idx="5">
                  <c:v>Fyzikální vědy</c:v>
                </c:pt>
                <c:pt idx="6">
                  <c:v>Chemické vědy</c:v>
                </c:pt>
                <c:pt idx="7">
                  <c:v>Lékařské vědy</c:v>
                </c:pt>
                <c:pt idx="8">
                  <c:v>Společenské vědy</c:v>
                </c:pt>
                <c:pt idx="9">
                  <c:v>Technické vědy</c:v>
                </c:pt>
              </c:strCache>
            </c:strRef>
          </c:cat>
          <c:val>
            <c:numRef>
              <c:f>'GRF2-4'!$F$21:$F$30</c:f>
              <c:numCache>
                <c:formatCode>#,##0</c:formatCode>
                <c:ptCount val="10"/>
                <c:pt idx="0">
                  <c:v>171.34051967750997</c:v>
                </c:pt>
                <c:pt idx="1">
                  <c:v>260.87018848277165</c:v>
                </c:pt>
                <c:pt idx="2">
                  <c:v>463.27236607274688</c:v>
                </c:pt>
                <c:pt idx="3">
                  <c:v>515.66694298390325</c:v>
                </c:pt>
                <c:pt idx="4">
                  <c:v>589.58378371065498</c:v>
                </c:pt>
                <c:pt idx="5">
                  <c:v>635.4388614637279</c:v>
                </c:pt>
                <c:pt idx="6">
                  <c:v>672.6455291769164</c:v>
                </c:pt>
                <c:pt idx="7">
                  <c:v>773.97419069259877</c:v>
                </c:pt>
                <c:pt idx="8">
                  <c:v>891.75002520566466</c:v>
                </c:pt>
                <c:pt idx="9">
                  <c:v>1299.0383617335031</c:v>
                </c:pt>
              </c:numCache>
            </c:numRef>
          </c:val>
        </c:ser>
        <c:dLbls>
          <c:showLegendKey val="0"/>
          <c:showVal val="0"/>
          <c:showCatName val="0"/>
          <c:showSerName val="0"/>
          <c:showPercent val="0"/>
          <c:showBubbleSize val="0"/>
        </c:dLbls>
        <c:gapWidth val="100"/>
        <c:axId val="188984320"/>
        <c:axId val="189018880"/>
      </c:barChart>
      <c:catAx>
        <c:axId val="188984320"/>
        <c:scaling>
          <c:orientation val="minMax"/>
        </c:scaling>
        <c:delete val="0"/>
        <c:axPos val="l"/>
        <c:majorGridlines>
          <c:spPr>
            <a:ln>
              <a:solidFill>
                <a:schemeClr val="bg1">
                  <a:lumMod val="85000"/>
                </a:schemeClr>
              </a:solidFill>
            </a:ln>
          </c:spPr>
        </c:majorGridlines>
        <c:numFmt formatCode="General" sourceLinked="0"/>
        <c:majorTickMark val="out"/>
        <c:minorTickMark val="none"/>
        <c:tickLblPos val="nextTo"/>
        <c:crossAx val="189018880"/>
        <c:crosses val="autoZero"/>
        <c:auto val="1"/>
        <c:lblAlgn val="ctr"/>
        <c:lblOffset val="100"/>
        <c:noMultiLvlLbl val="0"/>
      </c:catAx>
      <c:valAx>
        <c:axId val="189018880"/>
        <c:scaling>
          <c:orientation val="minMax"/>
        </c:scaling>
        <c:delete val="0"/>
        <c:axPos val="b"/>
        <c:majorGridlines>
          <c:spPr>
            <a:ln>
              <a:solidFill>
                <a:schemeClr val="bg1">
                  <a:lumMod val="85000"/>
                </a:schemeClr>
              </a:solidFill>
            </a:ln>
          </c:spPr>
        </c:majorGridlines>
        <c:numFmt formatCode="#,##0" sourceLinked="0"/>
        <c:majorTickMark val="out"/>
        <c:minorTickMark val="none"/>
        <c:tickLblPos val="nextTo"/>
        <c:crossAx val="188984320"/>
        <c:crosses val="autoZero"/>
        <c:crossBetween val="between"/>
      </c:valAx>
      <c:spPr>
        <a:noFill/>
        <a:ln>
          <a:solidFill>
            <a:schemeClr val="bg1">
              <a:lumMod val="85000"/>
            </a:schemeClr>
          </a:solidFill>
        </a:ln>
      </c:spPr>
    </c:plotArea>
    <c:legend>
      <c:legendPos val="r"/>
      <c:layout>
        <c:manualLayout>
          <c:xMode val="edge"/>
          <c:yMode val="edge"/>
          <c:x val="0.91036388849414851"/>
          <c:y val="0.42055189260980996"/>
          <c:w val="7.2489904827760854E-2"/>
          <c:h val="0.1921629826392183"/>
        </c:manualLayout>
      </c:layout>
      <c:overlay val="1"/>
      <c:spPr>
        <a:solidFill>
          <a:schemeClr val="bg1"/>
        </a:solidFill>
      </c:spPr>
    </c:legend>
    <c:plotVisOnly val="1"/>
    <c:dispBlanksAs val="zero"/>
    <c:showDLblsOverMax val="0"/>
  </c:chart>
  <c:spPr>
    <a:ln>
      <a:noFill/>
    </a:ln>
  </c:spPr>
  <c:txPr>
    <a:bodyPr/>
    <a:lstStyle/>
    <a:p>
      <a:pPr>
        <a:defRPr sz="900">
          <a:latin typeface="Arial" pitchFamily="34" charset="0"/>
          <a:cs typeface="Arial" pitchFamily="34" charset="0"/>
        </a:defRPr>
      </a:pPr>
      <a:endParaRPr lang="cs-CZ"/>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plotArea>
      <c:layout>
        <c:manualLayout>
          <c:layoutTarget val="inner"/>
          <c:xMode val="edge"/>
          <c:yMode val="edge"/>
          <c:x val="0.11778333333333336"/>
          <c:y val="4.9382716049382873E-2"/>
          <c:w val="0.84309101307189782"/>
          <c:h val="0.47810682956665873"/>
        </c:manualLayout>
      </c:layout>
      <c:barChart>
        <c:barDir val="bar"/>
        <c:grouping val="percentStacked"/>
        <c:varyColors val="0"/>
        <c:ser>
          <c:idx val="0"/>
          <c:order val="0"/>
          <c:tx>
            <c:strRef>
              <c:f>'GRF2-5'!$I$4</c:f>
              <c:strCache>
                <c:ptCount val="1"/>
                <c:pt idx="0">
                  <c:v>Přírodní vědy</c:v>
                </c:pt>
              </c:strCache>
            </c:strRef>
          </c:tx>
          <c:invertIfNegative val="0"/>
          <c:dLbls>
            <c:numFmt formatCode="0%" sourceLinked="0"/>
            <c:txPr>
              <a:bodyPr/>
              <a:lstStyle/>
              <a:p>
                <a:pPr>
                  <a:defRPr>
                    <a:solidFill>
                      <a:schemeClr val="bg1"/>
                    </a:solidFill>
                  </a:defRPr>
                </a:pPr>
                <a:endParaRPr lang="cs-CZ"/>
              </a:p>
            </c:txPr>
            <c:showLegendKey val="0"/>
            <c:showVal val="1"/>
            <c:showCatName val="0"/>
            <c:showSerName val="0"/>
            <c:showPercent val="0"/>
            <c:showBubbleSize val="0"/>
            <c:showLeaderLines val="0"/>
          </c:dLbls>
          <c:cat>
            <c:strRef>
              <c:f>'GRF2-5'!$J$3:$L$3</c:f>
              <c:strCache>
                <c:ptCount val="3"/>
                <c:pt idx="0">
                  <c:v>SE011</c:v>
                </c:pt>
                <c:pt idx="1">
                  <c:v>SEO10</c:v>
                </c:pt>
                <c:pt idx="2">
                  <c:v>SEO10+11</c:v>
                </c:pt>
              </c:strCache>
            </c:strRef>
          </c:cat>
          <c:val>
            <c:numRef>
              <c:f>'GRF2-5'!$J$4:$L$4</c:f>
              <c:numCache>
                <c:formatCode>0.0%</c:formatCode>
                <c:ptCount val="3"/>
                <c:pt idx="0">
                  <c:v>0.22244180895516616</c:v>
                </c:pt>
                <c:pt idx="1">
                  <c:v>9.3978830495847376E-2</c:v>
                </c:pt>
                <c:pt idx="2">
                  <c:v>0.16796788575713267</c:v>
                </c:pt>
              </c:numCache>
            </c:numRef>
          </c:val>
        </c:ser>
        <c:ser>
          <c:idx val="1"/>
          <c:order val="1"/>
          <c:tx>
            <c:strRef>
              <c:f>'GRF2-5'!$I$5</c:f>
              <c:strCache>
                <c:ptCount val="1"/>
                <c:pt idx="0">
                  <c:v>Fyzikální vědy</c:v>
                </c:pt>
              </c:strCache>
            </c:strRef>
          </c:tx>
          <c:invertIfNegative val="0"/>
          <c:dLbls>
            <c:numFmt formatCode="0%" sourceLinked="0"/>
            <c:txPr>
              <a:bodyPr/>
              <a:lstStyle/>
              <a:p>
                <a:pPr>
                  <a:defRPr>
                    <a:solidFill>
                      <a:schemeClr val="bg1"/>
                    </a:solidFill>
                  </a:defRPr>
                </a:pPr>
                <a:endParaRPr lang="cs-CZ"/>
              </a:p>
            </c:txPr>
            <c:showLegendKey val="0"/>
            <c:showVal val="1"/>
            <c:showCatName val="0"/>
            <c:showSerName val="0"/>
            <c:showPercent val="0"/>
            <c:showBubbleSize val="0"/>
            <c:showLeaderLines val="0"/>
          </c:dLbls>
          <c:cat>
            <c:strRef>
              <c:f>'GRF2-5'!$J$3:$L$3</c:f>
              <c:strCache>
                <c:ptCount val="3"/>
                <c:pt idx="0">
                  <c:v>SE011</c:v>
                </c:pt>
                <c:pt idx="1">
                  <c:v>SEO10</c:v>
                </c:pt>
                <c:pt idx="2">
                  <c:v>SEO10+11</c:v>
                </c:pt>
              </c:strCache>
            </c:strRef>
          </c:cat>
          <c:val>
            <c:numRef>
              <c:f>'GRF2-5'!$J$5:$L$5</c:f>
              <c:numCache>
                <c:formatCode>0.0%</c:formatCode>
                <c:ptCount val="3"/>
                <c:pt idx="0">
                  <c:v>0.19981703558944872</c:v>
                </c:pt>
                <c:pt idx="1">
                  <c:v>0.10128806575399502</c:v>
                </c:pt>
                <c:pt idx="2">
                  <c:v>0.15803644167851469</c:v>
                </c:pt>
              </c:numCache>
            </c:numRef>
          </c:val>
        </c:ser>
        <c:ser>
          <c:idx val="2"/>
          <c:order val="2"/>
          <c:tx>
            <c:strRef>
              <c:f>'GRF2-5'!$I$6</c:f>
              <c:strCache>
                <c:ptCount val="1"/>
                <c:pt idx="0">
                  <c:v>Chemické vědy</c:v>
                </c:pt>
              </c:strCache>
            </c:strRef>
          </c:tx>
          <c:invertIfNegative val="0"/>
          <c:dLbls>
            <c:numFmt formatCode="0%" sourceLinked="0"/>
            <c:txPr>
              <a:bodyPr/>
              <a:lstStyle/>
              <a:p>
                <a:pPr>
                  <a:defRPr>
                    <a:solidFill>
                      <a:schemeClr val="bg1"/>
                    </a:solidFill>
                  </a:defRPr>
                </a:pPr>
                <a:endParaRPr lang="cs-CZ"/>
              </a:p>
            </c:txPr>
            <c:showLegendKey val="0"/>
            <c:showVal val="1"/>
            <c:showCatName val="0"/>
            <c:showSerName val="0"/>
            <c:showPercent val="0"/>
            <c:showBubbleSize val="0"/>
            <c:showLeaderLines val="0"/>
          </c:dLbls>
          <c:cat>
            <c:strRef>
              <c:f>'GRF2-5'!$J$3:$L$3</c:f>
              <c:strCache>
                <c:ptCount val="3"/>
                <c:pt idx="0">
                  <c:v>SE011</c:v>
                </c:pt>
                <c:pt idx="1">
                  <c:v>SEO10</c:v>
                </c:pt>
                <c:pt idx="2">
                  <c:v>SEO10+11</c:v>
                </c:pt>
              </c:strCache>
            </c:strRef>
          </c:cat>
          <c:val>
            <c:numRef>
              <c:f>'GRF2-5'!$J$6:$L$6</c:f>
              <c:numCache>
                <c:formatCode>0.0%</c:formatCode>
                <c:ptCount val="3"/>
                <c:pt idx="0">
                  <c:v>0.15163266851234458</c:v>
                </c:pt>
                <c:pt idx="1">
                  <c:v>0.1072187565479757</c:v>
                </c:pt>
                <c:pt idx="2">
                  <c:v>0.13279922670453675</c:v>
                </c:pt>
              </c:numCache>
            </c:numRef>
          </c:val>
        </c:ser>
        <c:ser>
          <c:idx val="3"/>
          <c:order val="3"/>
          <c:tx>
            <c:strRef>
              <c:f>'GRF2-5'!$I$7</c:f>
              <c:strCache>
                <c:ptCount val="1"/>
                <c:pt idx="0">
                  <c:v>Technické vědy</c:v>
                </c:pt>
              </c:strCache>
            </c:strRef>
          </c:tx>
          <c:invertIfNegative val="0"/>
          <c:dLbls>
            <c:numFmt formatCode="0%" sourceLinked="0"/>
            <c:txPr>
              <a:bodyPr/>
              <a:lstStyle/>
              <a:p>
                <a:pPr>
                  <a:defRPr>
                    <a:solidFill>
                      <a:schemeClr val="bg1"/>
                    </a:solidFill>
                  </a:defRPr>
                </a:pPr>
                <a:endParaRPr lang="cs-CZ"/>
              </a:p>
            </c:txPr>
            <c:showLegendKey val="0"/>
            <c:showVal val="1"/>
            <c:showCatName val="0"/>
            <c:showSerName val="0"/>
            <c:showPercent val="0"/>
            <c:showBubbleSize val="0"/>
            <c:showLeaderLines val="0"/>
          </c:dLbls>
          <c:cat>
            <c:strRef>
              <c:f>'GRF2-5'!$J$3:$L$3</c:f>
              <c:strCache>
                <c:ptCount val="3"/>
                <c:pt idx="0">
                  <c:v>SE011</c:v>
                </c:pt>
                <c:pt idx="1">
                  <c:v>SEO10</c:v>
                </c:pt>
                <c:pt idx="2">
                  <c:v>SEO10+11</c:v>
                </c:pt>
              </c:strCache>
            </c:strRef>
          </c:cat>
          <c:val>
            <c:numRef>
              <c:f>'GRF2-5'!$J$7:$L$7</c:f>
              <c:numCache>
                <c:formatCode>0.0%</c:formatCode>
                <c:ptCount val="3"/>
                <c:pt idx="0">
                  <c:v>4.3886216724414284E-2</c:v>
                </c:pt>
                <c:pt idx="1">
                  <c:v>0.20706489794649688</c:v>
                </c:pt>
                <c:pt idx="2">
                  <c:v>0.11308111672638683</c:v>
                </c:pt>
              </c:numCache>
            </c:numRef>
          </c:val>
        </c:ser>
        <c:ser>
          <c:idx val="4"/>
          <c:order val="4"/>
          <c:tx>
            <c:strRef>
              <c:f>'GRF2-5'!$I$8</c:f>
              <c:strCache>
                <c:ptCount val="1"/>
                <c:pt idx="0">
                  <c:v>Lékařské vědy</c:v>
                </c:pt>
              </c:strCache>
            </c:strRef>
          </c:tx>
          <c:invertIfNegative val="0"/>
          <c:dLbls>
            <c:numFmt formatCode="0%" sourceLinked="0"/>
            <c:showLegendKey val="0"/>
            <c:showVal val="1"/>
            <c:showCatName val="0"/>
            <c:showSerName val="0"/>
            <c:showPercent val="0"/>
            <c:showBubbleSize val="0"/>
            <c:showLeaderLines val="0"/>
          </c:dLbls>
          <c:cat>
            <c:strRef>
              <c:f>'GRF2-5'!$J$3:$L$3</c:f>
              <c:strCache>
                <c:ptCount val="3"/>
                <c:pt idx="0">
                  <c:v>SE011</c:v>
                </c:pt>
                <c:pt idx="1">
                  <c:v>SEO10</c:v>
                </c:pt>
                <c:pt idx="2">
                  <c:v>SEO10+11</c:v>
                </c:pt>
              </c:strCache>
            </c:strRef>
          </c:cat>
          <c:val>
            <c:numRef>
              <c:f>'GRF2-5'!$J$8:$L$8</c:f>
              <c:numCache>
                <c:formatCode>0.0%</c:formatCode>
                <c:ptCount val="3"/>
                <c:pt idx="0">
                  <c:v>9.3245843516228097E-2</c:v>
                </c:pt>
                <c:pt idx="1">
                  <c:v>0.12337040346916509</c:v>
                </c:pt>
                <c:pt idx="2">
                  <c:v>0.10601997490358739</c:v>
                </c:pt>
              </c:numCache>
            </c:numRef>
          </c:val>
        </c:ser>
        <c:ser>
          <c:idx val="5"/>
          <c:order val="5"/>
          <c:tx>
            <c:strRef>
              <c:f>'GRF2-5'!$I$9</c:f>
              <c:strCache>
                <c:ptCount val="1"/>
                <c:pt idx="0">
                  <c:v>Humanitní vědy </c:v>
                </c:pt>
              </c:strCache>
            </c:strRef>
          </c:tx>
          <c:invertIfNegative val="0"/>
          <c:dLbls>
            <c:numFmt formatCode="0%" sourceLinked="0"/>
            <c:showLegendKey val="0"/>
            <c:showVal val="1"/>
            <c:showCatName val="0"/>
            <c:showSerName val="0"/>
            <c:showPercent val="0"/>
            <c:showBubbleSize val="0"/>
            <c:showLeaderLines val="0"/>
          </c:dLbls>
          <c:cat>
            <c:strRef>
              <c:f>'GRF2-5'!$J$3:$L$3</c:f>
              <c:strCache>
                <c:ptCount val="3"/>
                <c:pt idx="0">
                  <c:v>SE011</c:v>
                </c:pt>
                <c:pt idx="1">
                  <c:v>SEO10</c:v>
                </c:pt>
                <c:pt idx="2">
                  <c:v>SEO10+11</c:v>
                </c:pt>
              </c:strCache>
            </c:strRef>
          </c:cat>
          <c:val>
            <c:numRef>
              <c:f>'GRF2-5'!$J$9:$L$9</c:f>
              <c:numCache>
                <c:formatCode>0.0%</c:formatCode>
                <c:ptCount val="3"/>
                <c:pt idx="0">
                  <c:v>0.12890920087449817</c:v>
                </c:pt>
                <c:pt idx="1">
                  <c:v>7.3844967191172867E-2</c:v>
                </c:pt>
                <c:pt idx="2">
                  <c:v>0.10555955669997885</c:v>
                </c:pt>
              </c:numCache>
            </c:numRef>
          </c:val>
        </c:ser>
        <c:ser>
          <c:idx val="6"/>
          <c:order val="6"/>
          <c:tx>
            <c:strRef>
              <c:f>'GRF2-5'!$I$10</c:f>
              <c:strCache>
                <c:ptCount val="1"/>
                <c:pt idx="0">
                  <c:v>Společenské vědy</c:v>
                </c:pt>
              </c:strCache>
            </c:strRef>
          </c:tx>
          <c:invertIfNegative val="0"/>
          <c:dLbls>
            <c:numFmt formatCode="0%" sourceLinked="0"/>
            <c:showLegendKey val="0"/>
            <c:showVal val="1"/>
            <c:showCatName val="0"/>
            <c:showSerName val="0"/>
            <c:showPercent val="0"/>
            <c:showBubbleSize val="0"/>
            <c:showLeaderLines val="0"/>
          </c:dLbls>
          <c:cat>
            <c:strRef>
              <c:f>'GRF2-5'!$J$3:$L$3</c:f>
              <c:strCache>
                <c:ptCount val="3"/>
                <c:pt idx="0">
                  <c:v>SE011</c:v>
                </c:pt>
                <c:pt idx="1">
                  <c:v>SEO10</c:v>
                </c:pt>
                <c:pt idx="2">
                  <c:v>SEO10+11</c:v>
                </c:pt>
              </c:strCache>
            </c:strRef>
          </c:cat>
          <c:val>
            <c:numRef>
              <c:f>'GRF2-5'!$J$10:$L$10</c:f>
              <c:numCache>
                <c:formatCode>0.0%</c:formatCode>
                <c:ptCount val="3"/>
                <c:pt idx="0">
                  <c:v>4.988393251085544E-2</c:v>
                </c:pt>
                <c:pt idx="1">
                  <c:v>0.14214370676212398</c:v>
                </c:pt>
                <c:pt idx="2">
                  <c:v>8.9006113213080468E-2</c:v>
                </c:pt>
              </c:numCache>
            </c:numRef>
          </c:val>
        </c:ser>
        <c:ser>
          <c:idx val="7"/>
          <c:order val="7"/>
          <c:tx>
            <c:strRef>
              <c:f>'GRF2-5'!$I$11</c:f>
              <c:strCache>
                <c:ptCount val="1"/>
                <c:pt idx="0">
                  <c:v>Matematické a výpočetní vědy</c:v>
                </c:pt>
              </c:strCache>
            </c:strRef>
          </c:tx>
          <c:invertIfNegative val="0"/>
          <c:dLbls>
            <c:numFmt formatCode="0%" sourceLinked="0"/>
            <c:showLegendKey val="0"/>
            <c:showVal val="1"/>
            <c:showCatName val="0"/>
            <c:showSerName val="0"/>
            <c:showPercent val="0"/>
            <c:showBubbleSize val="0"/>
            <c:showLeaderLines val="0"/>
          </c:dLbls>
          <c:cat>
            <c:strRef>
              <c:f>'GRF2-5'!$J$3:$L$3</c:f>
              <c:strCache>
                <c:ptCount val="3"/>
                <c:pt idx="0">
                  <c:v>SE011</c:v>
                </c:pt>
                <c:pt idx="1">
                  <c:v>SEO10</c:v>
                </c:pt>
                <c:pt idx="2">
                  <c:v>SEO10+11</c:v>
                </c:pt>
              </c:strCache>
            </c:strRef>
          </c:cat>
          <c:val>
            <c:numRef>
              <c:f>'GRF2-5'!$J$11:$L$11</c:f>
              <c:numCache>
                <c:formatCode>0.0%</c:formatCode>
                <c:ptCount val="3"/>
                <c:pt idx="0">
                  <c:v>8.3010132181189425E-2</c:v>
                </c:pt>
                <c:pt idx="1">
                  <c:v>8.2196589468578912E-2</c:v>
                </c:pt>
                <c:pt idx="2">
                  <c:v>8.2665154478067743E-2</c:v>
                </c:pt>
              </c:numCache>
            </c:numRef>
          </c:val>
        </c:ser>
        <c:ser>
          <c:idx val="8"/>
          <c:order val="8"/>
          <c:tx>
            <c:strRef>
              <c:f>'GRF2-5'!$I$12</c:f>
              <c:strCache>
                <c:ptCount val="1"/>
                <c:pt idx="0">
                  <c:v>Vědy o Zemi ekologické vědy</c:v>
                </c:pt>
              </c:strCache>
            </c:strRef>
          </c:tx>
          <c:invertIfNegative val="0"/>
          <c:dLbls>
            <c:dLbl>
              <c:idx val="1"/>
              <c:layout>
                <c:manualLayout>
                  <c:x val="1.0375816993464052E-2"/>
                  <c:y val="0"/>
                </c:manualLayout>
              </c:layout>
              <c:showLegendKey val="0"/>
              <c:showVal val="1"/>
              <c:showCatName val="0"/>
              <c:showSerName val="0"/>
              <c:showPercent val="0"/>
              <c:showBubbleSize val="0"/>
            </c:dLbl>
            <c:numFmt formatCode="0%" sourceLinked="0"/>
            <c:showLegendKey val="0"/>
            <c:showVal val="1"/>
            <c:showCatName val="0"/>
            <c:showSerName val="0"/>
            <c:showPercent val="0"/>
            <c:showBubbleSize val="0"/>
            <c:showLeaderLines val="0"/>
          </c:dLbls>
          <c:cat>
            <c:strRef>
              <c:f>'GRF2-5'!$J$3:$L$3</c:f>
              <c:strCache>
                <c:ptCount val="3"/>
                <c:pt idx="0">
                  <c:v>SE011</c:v>
                </c:pt>
                <c:pt idx="1">
                  <c:v>SEO10</c:v>
                </c:pt>
                <c:pt idx="2">
                  <c:v>SEO10+11</c:v>
                </c:pt>
              </c:strCache>
            </c:strRef>
          </c:cat>
          <c:val>
            <c:numRef>
              <c:f>'GRF2-5'!$J$12:$L$12</c:f>
              <c:numCache>
                <c:formatCode>0.0%</c:formatCode>
                <c:ptCount val="3"/>
                <c:pt idx="0">
                  <c:v>2.7114483084509713E-2</c:v>
                </c:pt>
                <c:pt idx="1">
                  <c:v>2.731143918935456E-2</c:v>
                </c:pt>
                <c:pt idx="2">
                  <c:v>2.7198001089909996E-2</c:v>
                </c:pt>
              </c:numCache>
            </c:numRef>
          </c:val>
        </c:ser>
        <c:ser>
          <c:idx val="9"/>
          <c:order val="9"/>
          <c:tx>
            <c:strRef>
              <c:f>'GRF2-5'!$I$13</c:f>
              <c:strCache>
                <c:ptCount val="1"/>
                <c:pt idx="0">
                  <c:v>Zemědělské vědy</c:v>
                </c:pt>
              </c:strCache>
            </c:strRef>
          </c:tx>
          <c:invertIfNegative val="0"/>
          <c:cat>
            <c:strRef>
              <c:f>'GRF2-5'!$J$3:$L$3</c:f>
              <c:strCache>
                <c:ptCount val="3"/>
                <c:pt idx="0">
                  <c:v>SE011</c:v>
                </c:pt>
                <c:pt idx="1">
                  <c:v>SEO10</c:v>
                </c:pt>
                <c:pt idx="2">
                  <c:v>SEO10+11</c:v>
                </c:pt>
              </c:strCache>
            </c:strRef>
          </c:cat>
          <c:val>
            <c:numRef>
              <c:f>'GRF2-5'!$J$13:$L$13</c:f>
              <c:numCache>
                <c:formatCode>0.0%</c:formatCode>
                <c:ptCount val="3"/>
                <c:pt idx="0">
                  <c:v>5.8678051345370971E-5</c:v>
                </c:pt>
                <c:pt idx="1">
                  <c:v>4.1582343175289631E-2</c:v>
                </c:pt>
                <c:pt idx="2">
                  <c:v>1.7666528748804564E-2</c:v>
                </c:pt>
              </c:numCache>
            </c:numRef>
          </c:val>
        </c:ser>
        <c:dLbls>
          <c:showLegendKey val="0"/>
          <c:showVal val="0"/>
          <c:showCatName val="0"/>
          <c:showSerName val="0"/>
          <c:showPercent val="0"/>
          <c:showBubbleSize val="0"/>
        </c:dLbls>
        <c:gapWidth val="100"/>
        <c:overlap val="100"/>
        <c:axId val="191337600"/>
        <c:axId val="191319424"/>
      </c:barChart>
      <c:valAx>
        <c:axId val="191319424"/>
        <c:scaling>
          <c:orientation val="minMax"/>
        </c:scaling>
        <c:delete val="0"/>
        <c:axPos val="b"/>
        <c:majorGridlines/>
        <c:numFmt formatCode="0%" sourceLinked="1"/>
        <c:majorTickMark val="out"/>
        <c:minorTickMark val="none"/>
        <c:tickLblPos val="nextTo"/>
        <c:crossAx val="191337600"/>
        <c:crosses val="autoZero"/>
        <c:crossBetween val="between"/>
      </c:valAx>
      <c:catAx>
        <c:axId val="191337600"/>
        <c:scaling>
          <c:orientation val="minMax"/>
        </c:scaling>
        <c:delete val="0"/>
        <c:axPos val="l"/>
        <c:majorGridlines>
          <c:spPr>
            <a:ln>
              <a:solidFill>
                <a:schemeClr val="bg1"/>
              </a:solidFill>
            </a:ln>
          </c:spPr>
        </c:majorGridlines>
        <c:majorTickMark val="out"/>
        <c:minorTickMark val="none"/>
        <c:tickLblPos val="nextTo"/>
        <c:crossAx val="191319424"/>
        <c:crosses val="autoZero"/>
        <c:auto val="1"/>
        <c:lblAlgn val="ctr"/>
        <c:lblOffset val="100"/>
        <c:noMultiLvlLbl val="0"/>
      </c:catAx>
      <c:spPr>
        <a:noFill/>
      </c:spPr>
    </c:plotArea>
    <c:legend>
      <c:legendPos val="b"/>
      <c:layout>
        <c:manualLayout>
          <c:xMode val="edge"/>
          <c:yMode val="edge"/>
          <c:x val="0.12848349673202636"/>
          <c:y val="0.66536702166966155"/>
          <c:w val="0.83722777777777779"/>
          <c:h val="0.33463297833033867"/>
        </c:manualLayout>
      </c:layout>
      <c:overlay val="0"/>
    </c:legend>
    <c:plotVisOnly val="1"/>
    <c:dispBlanksAs val="gap"/>
    <c:showDLblsOverMax val="0"/>
  </c:chart>
  <c:spPr>
    <a:ln>
      <a:noFill/>
    </a:ln>
  </c:spPr>
  <c:txPr>
    <a:bodyPr/>
    <a:lstStyle/>
    <a:p>
      <a:pPr>
        <a:defRPr sz="900">
          <a:latin typeface="Arial" pitchFamily="34" charset="0"/>
          <a:cs typeface="Arial" pitchFamily="34" charset="0"/>
        </a:defRPr>
      </a:pPr>
      <a:endParaRPr lang="cs-CZ"/>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50091115776369088"/>
          <c:y val="4.5111943838345533E-2"/>
          <c:w val="0.49183783328881375"/>
          <c:h val="0.89676216677734299"/>
        </c:manualLayout>
      </c:layout>
      <c:barChart>
        <c:barDir val="bar"/>
        <c:grouping val="clustered"/>
        <c:varyColors val="0"/>
        <c:ser>
          <c:idx val="0"/>
          <c:order val="0"/>
          <c:tx>
            <c:strRef>
              <c:f>'GRF2-6'!$C$20</c:f>
              <c:strCache>
                <c:ptCount val="1"/>
                <c:pt idx="0">
                  <c:v>2005</c:v>
                </c:pt>
              </c:strCache>
            </c:strRef>
          </c:tx>
          <c:spPr>
            <a:solidFill>
              <a:schemeClr val="accent5">
                <a:lumMod val="40000"/>
                <a:lumOff val="60000"/>
              </a:schemeClr>
            </a:solidFill>
          </c:spPr>
          <c:invertIfNegative val="0"/>
          <c:cat>
            <c:strRef>
              <c:f>'GRF2-6'!$B$21:$B$33</c:f>
              <c:strCache>
                <c:ptCount val="13"/>
                <c:pt idx="0">
                  <c:v>Recyklace odpadu</c:v>
                </c:pt>
                <c:pt idx="1">
                  <c:v>Výroba potravinářských výrobků a nápojů</c:v>
                </c:pt>
                <c:pt idx="2">
                  <c:v>Výroba textilního, oděvního a koženého zboží</c:v>
                </c:pt>
                <c:pt idx="3">
                  <c:v>Výroba ostatních produktů</c:v>
                </c:pt>
                <c:pt idx="4">
                  <c:v>Výroba elektrických strojů a přístrojů</c:v>
                </c:pt>
                <c:pt idx="5">
                  <c:v>Výroba strojů a zařízení jiných než elektrických a elektronických</c:v>
                </c:pt>
                <c:pt idx="6">
                  <c:v>Výroba přístrojů a nástrojů</c:v>
                </c:pt>
                <c:pt idx="7">
                  <c:v>Výroba a výrobní technologie </c:v>
                </c:pt>
                <c:pt idx="8">
                  <c:v>Výroba motorových vozidel a jiných dopravních prostředků</c:v>
                </c:pt>
                <c:pt idx="9">
                  <c:v>Produkty chemického průmyslu </c:v>
                </c:pt>
                <c:pt idx="10">
                  <c:v>Těžba a zpracování ne-energ. nerost. látek a odvoz. produktů</c:v>
                </c:pt>
                <c:pt idx="11">
                  <c:v>Odvětví elektroniky a příbuzná odvětví</c:v>
                </c:pt>
                <c:pt idx="12">
                  <c:v>Zvyšování ekonomické efektivnosti a konkurenceschopnosti</c:v>
                </c:pt>
              </c:strCache>
            </c:strRef>
          </c:cat>
          <c:val>
            <c:numRef>
              <c:f>'GRF2-6'!$C$21:$C$33</c:f>
              <c:numCache>
                <c:formatCode>#,##0</c:formatCode>
                <c:ptCount val="13"/>
                <c:pt idx="0">
                  <c:v>66.648999999999972</c:v>
                </c:pt>
                <c:pt idx="1">
                  <c:v>14.671000000000001</c:v>
                </c:pt>
                <c:pt idx="2">
                  <c:v>89.591000000000022</c:v>
                </c:pt>
                <c:pt idx="3">
                  <c:v>96.137999999999963</c:v>
                </c:pt>
                <c:pt idx="4">
                  <c:v>89.89800000000001</c:v>
                </c:pt>
                <c:pt idx="5">
                  <c:v>271.69500000000011</c:v>
                </c:pt>
                <c:pt idx="6">
                  <c:v>86.527000000000015</c:v>
                </c:pt>
                <c:pt idx="7">
                  <c:v>179.50800000000007</c:v>
                </c:pt>
                <c:pt idx="8">
                  <c:v>521.50800000000061</c:v>
                </c:pt>
                <c:pt idx="9">
                  <c:v>108.11999999999999</c:v>
                </c:pt>
                <c:pt idx="10">
                  <c:v>381.57299999999975</c:v>
                </c:pt>
                <c:pt idx="11">
                  <c:v>246.37700000000004</c:v>
                </c:pt>
                <c:pt idx="12">
                  <c:v>50.95</c:v>
                </c:pt>
              </c:numCache>
            </c:numRef>
          </c:val>
        </c:ser>
        <c:ser>
          <c:idx val="1"/>
          <c:order val="1"/>
          <c:tx>
            <c:strRef>
              <c:f>'GRF2-6'!$D$20</c:f>
              <c:strCache>
                <c:ptCount val="1"/>
                <c:pt idx="0">
                  <c:v>2010</c:v>
                </c:pt>
              </c:strCache>
            </c:strRef>
          </c:tx>
          <c:spPr>
            <a:solidFill>
              <a:schemeClr val="accent5">
                <a:lumMod val="60000"/>
                <a:lumOff val="40000"/>
              </a:schemeClr>
            </a:solidFill>
          </c:spPr>
          <c:invertIfNegative val="0"/>
          <c:cat>
            <c:strRef>
              <c:f>'GRF2-6'!$B$21:$B$33</c:f>
              <c:strCache>
                <c:ptCount val="13"/>
                <c:pt idx="0">
                  <c:v>Recyklace odpadu</c:v>
                </c:pt>
                <c:pt idx="1">
                  <c:v>Výroba potravinářských výrobků a nápojů</c:v>
                </c:pt>
                <c:pt idx="2">
                  <c:v>Výroba textilního, oděvního a koženého zboží</c:v>
                </c:pt>
                <c:pt idx="3">
                  <c:v>Výroba ostatních produktů</c:v>
                </c:pt>
                <c:pt idx="4">
                  <c:v>Výroba elektrických strojů a přístrojů</c:v>
                </c:pt>
                <c:pt idx="5">
                  <c:v>Výroba strojů a zařízení jiných než elektrických a elektronických</c:v>
                </c:pt>
                <c:pt idx="6">
                  <c:v>Výroba přístrojů a nástrojů</c:v>
                </c:pt>
                <c:pt idx="7">
                  <c:v>Výroba a výrobní technologie </c:v>
                </c:pt>
                <c:pt idx="8">
                  <c:v>Výroba motorových vozidel a jiných dopravních prostředků</c:v>
                </c:pt>
                <c:pt idx="9">
                  <c:v>Produkty chemického průmyslu </c:v>
                </c:pt>
                <c:pt idx="10">
                  <c:v>Těžba a zpracování ne-energ. nerost. látek a odvoz. produktů</c:v>
                </c:pt>
                <c:pt idx="11">
                  <c:v>Odvětví elektroniky a příbuzná odvětví</c:v>
                </c:pt>
                <c:pt idx="12">
                  <c:v>Zvyšování ekonomické efektivnosti a konkurenceschopnosti</c:v>
                </c:pt>
              </c:strCache>
            </c:strRef>
          </c:cat>
          <c:val>
            <c:numRef>
              <c:f>'GRF2-6'!$D$21:$D$33</c:f>
              <c:numCache>
                <c:formatCode>#,##0</c:formatCode>
                <c:ptCount val="13"/>
                <c:pt idx="0">
                  <c:v>86.271999999999991</c:v>
                </c:pt>
                <c:pt idx="1">
                  <c:v>6.6619999999999964</c:v>
                </c:pt>
                <c:pt idx="2">
                  <c:v>77.72399999999999</c:v>
                </c:pt>
                <c:pt idx="3">
                  <c:v>120.82499999999993</c:v>
                </c:pt>
                <c:pt idx="4">
                  <c:v>229.60900000000001</c:v>
                </c:pt>
                <c:pt idx="5">
                  <c:v>270.1839999999998</c:v>
                </c:pt>
                <c:pt idx="6">
                  <c:v>248.35999999999999</c:v>
                </c:pt>
                <c:pt idx="7">
                  <c:v>376.0400000000003</c:v>
                </c:pt>
                <c:pt idx="8">
                  <c:v>644.81400000000008</c:v>
                </c:pt>
                <c:pt idx="9">
                  <c:v>368.87799999999993</c:v>
                </c:pt>
                <c:pt idx="10">
                  <c:v>445.69999999999965</c:v>
                </c:pt>
                <c:pt idx="11">
                  <c:v>421.1459999999999</c:v>
                </c:pt>
                <c:pt idx="12">
                  <c:v>30.234999999999996</c:v>
                </c:pt>
              </c:numCache>
            </c:numRef>
          </c:val>
        </c:ser>
        <c:ser>
          <c:idx val="2"/>
          <c:order val="2"/>
          <c:tx>
            <c:strRef>
              <c:f>'GRF2-6'!$E$20</c:f>
              <c:strCache>
                <c:ptCount val="1"/>
                <c:pt idx="0">
                  <c:v>2013</c:v>
                </c:pt>
              </c:strCache>
            </c:strRef>
          </c:tx>
          <c:spPr>
            <a:solidFill>
              <a:schemeClr val="accent5"/>
            </a:solidFill>
          </c:spPr>
          <c:invertIfNegative val="0"/>
          <c:cat>
            <c:strRef>
              <c:f>'GRF2-6'!$B$21:$B$33</c:f>
              <c:strCache>
                <c:ptCount val="13"/>
                <c:pt idx="0">
                  <c:v>Recyklace odpadu</c:v>
                </c:pt>
                <c:pt idx="1">
                  <c:v>Výroba potravinářských výrobků a nápojů</c:v>
                </c:pt>
                <c:pt idx="2">
                  <c:v>Výroba textilního, oděvního a koženého zboží</c:v>
                </c:pt>
                <c:pt idx="3">
                  <c:v>Výroba ostatních produktů</c:v>
                </c:pt>
                <c:pt idx="4">
                  <c:v>Výroba elektrických strojů a přístrojů</c:v>
                </c:pt>
                <c:pt idx="5">
                  <c:v>Výroba strojů a zařízení jiných než elektrických a elektronických</c:v>
                </c:pt>
                <c:pt idx="6">
                  <c:v>Výroba přístrojů a nástrojů</c:v>
                </c:pt>
                <c:pt idx="7">
                  <c:v>Výroba a výrobní technologie </c:v>
                </c:pt>
                <c:pt idx="8">
                  <c:v>Výroba motorových vozidel a jiných dopravních prostředků</c:v>
                </c:pt>
                <c:pt idx="9">
                  <c:v>Produkty chemického průmyslu </c:v>
                </c:pt>
                <c:pt idx="10">
                  <c:v>Těžba a zpracování ne-energ. nerost. látek a odvoz. produktů</c:v>
                </c:pt>
                <c:pt idx="11">
                  <c:v>Odvětví elektroniky a příbuzná odvětví</c:v>
                </c:pt>
                <c:pt idx="12">
                  <c:v>Zvyšování ekonomické efektivnosti a konkurenceschopnosti</c:v>
                </c:pt>
              </c:strCache>
            </c:strRef>
          </c:cat>
          <c:val>
            <c:numRef>
              <c:f>'GRF2-6'!$E$21:$E$33</c:f>
              <c:numCache>
                <c:formatCode>#,##0</c:formatCode>
                <c:ptCount val="13"/>
                <c:pt idx="0">
                  <c:v>40.85</c:v>
                </c:pt>
                <c:pt idx="1">
                  <c:v>23.571999999999999</c:v>
                </c:pt>
                <c:pt idx="2">
                  <c:v>63.775000000000013</c:v>
                </c:pt>
                <c:pt idx="3">
                  <c:v>90.513999999999996</c:v>
                </c:pt>
                <c:pt idx="4">
                  <c:v>213.63616999999996</c:v>
                </c:pt>
                <c:pt idx="5">
                  <c:v>328.8919600000001</c:v>
                </c:pt>
                <c:pt idx="6">
                  <c:v>351.18898000000002</c:v>
                </c:pt>
                <c:pt idx="7">
                  <c:v>442.6550232685675</c:v>
                </c:pt>
                <c:pt idx="8">
                  <c:v>525.27526999999998</c:v>
                </c:pt>
                <c:pt idx="9">
                  <c:v>514.4758223450051</c:v>
                </c:pt>
                <c:pt idx="10">
                  <c:v>430.21599999999984</c:v>
                </c:pt>
                <c:pt idx="11">
                  <c:v>548.8319999999992</c:v>
                </c:pt>
                <c:pt idx="12">
                  <c:v>273.59628144338785</c:v>
                </c:pt>
              </c:numCache>
            </c:numRef>
          </c:val>
        </c:ser>
        <c:ser>
          <c:idx val="3"/>
          <c:order val="3"/>
          <c:tx>
            <c:strRef>
              <c:f>'GRF2-6'!$F$20</c:f>
              <c:strCache>
                <c:ptCount val="1"/>
                <c:pt idx="0">
                  <c:v>2014</c:v>
                </c:pt>
              </c:strCache>
            </c:strRef>
          </c:tx>
          <c:spPr>
            <a:solidFill>
              <a:schemeClr val="accent5">
                <a:lumMod val="50000"/>
              </a:schemeClr>
            </a:solidFill>
          </c:spPr>
          <c:invertIfNegative val="0"/>
          <c:cat>
            <c:strRef>
              <c:f>'GRF2-6'!$B$21:$B$33</c:f>
              <c:strCache>
                <c:ptCount val="13"/>
                <c:pt idx="0">
                  <c:v>Recyklace odpadu</c:v>
                </c:pt>
                <c:pt idx="1">
                  <c:v>Výroba potravinářských výrobků a nápojů</c:v>
                </c:pt>
                <c:pt idx="2">
                  <c:v>Výroba textilního, oděvního a koženého zboží</c:v>
                </c:pt>
                <c:pt idx="3">
                  <c:v>Výroba ostatních produktů</c:v>
                </c:pt>
                <c:pt idx="4">
                  <c:v>Výroba elektrických strojů a přístrojů</c:v>
                </c:pt>
                <c:pt idx="5">
                  <c:v>Výroba strojů a zařízení jiných než elektrických a elektronických</c:v>
                </c:pt>
                <c:pt idx="6">
                  <c:v>Výroba přístrojů a nástrojů</c:v>
                </c:pt>
                <c:pt idx="7">
                  <c:v>Výroba a výrobní technologie </c:v>
                </c:pt>
                <c:pt idx="8">
                  <c:v>Výroba motorových vozidel a jiných dopravních prostředků</c:v>
                </c:pt>
                <c:pt idx="9">
                  <c:v>Produkty chemického průmyslu </c:v>
                </c:pt>
                <c:pt idx="10">
                  <c:v>Těžba a zpracování ne-energ. nerost. látek a odvoz. produktů</c:v>
                </c:pt>
                <c:pt idx="11">
                  <c:v>Odvětví elektroniky a příbuzná odvětví</c:v>
                </c:pt>
                <c:pt idx="12">
                  <c:v>Zvyšování ekonomické efektivnosti a konkurenceschopnosti</c:v>
                </c:pt>
              </c:strCache>
            </c:strRef>
          </c:cat>
          <c:val>
            <c:numRef>
              <c:f>'GRF2-6'!$F$21:$F$33</c:f>
              <c:numCache>
                <c:formatCode>#,##0</c:formatCode>
                <c:ptCount val="13"/>
                <c:pt idx="0">
                  <c:v>20.093999999999987</c:v>
                </c:pt>
                <c:pt idx="1">
                  <c:v>21.906000000000002</c:v>
                </c:pt>
                <c:pt idx="2">
                  <c:v>45.438000000000002</c:v>
                </c:pt>
                <c:pt idx="3">
                  <c:v>58.735000000000028</c:v>
                </c:pt>
                <c:pt idx="4">
                  <c:v>187.29</c:v>
                </c:pt>
                <c:pt idx="5">
                  <c:v>248.84417082526892</c:v>
                </c:pt>
                <c:pt idx="6">
                  <c:v>268.09586000000007</c:v>
                </c:pt>
                <c:pt idx="7">
                  <c:v>339.53495264053225</c:v>
                </c:pt>
                <c:pt idx="8">
                  <c:v>368.6430000000002</c:v>
                </c:pt>
                <c:pt idx="9">
                  <c:v>420.54424417273981</c:v>
                </c:pt>
                <c:pt idx="10">
                  <c:v>463.18664354195454</c:v>
                </c:pt>
                <c:pt idx="11">
                  <c:v>486.26399999999967</c:v>
                </c:pt>
                <c:pt idx="12">
                  <c:v>508.54750178808263</c:v>
                </c:pt>
              </c:numCache>
            </c:numRef>
          </c:val>
        </c:ser>
        <c:dLbls>
          <c:showLegendKey val="0"/>
          <c:showVal val="0"/>
          <c:showCatName val="0"/>
          <c:showSerName val="0"/>
          <c:showPercent val="0"/>
          <c:showBubbleSize val="0"/>
        </c:dLbls>
        <c:gapWidth val="100"/>
        <c:axId val="191360384"/>
        <c:axId val="191370368"/>
      </c:barChart>
      <c:catAx>
        <c:axId val="191360384"/>
        <c:scaling>
          <c:orientation val="minMax"/>
        </c:scaling>
        <c:delete val="0"/>
        <c:axPos val="l"/>
        <c:majorGridlines>
          <c:spPr>
            <a:ln>
              <a:solidFill>
                <a:schemeClr val="bg1">
                  <a:lumMod val="85000"/>
                </a:schemeClr>
              </a:solidFill>
            </a:ln>
          </c:spPr>
        </c:majorGridlines>
        <c:numFmt formatCode="General" sourceLinked="0"/>
        <c:majorTickMark val="out"/>
        <c:minorTickMark val="none"/>
        <c:tickLblPos val="nextTo"/>
        <c:crossAx val="191370368"/>
        <c:crosses val="autoZero"/>
        <c:auto val="1"/>
        <c:lblAlgn val="ctr"/>
        <c:lblOffset val="100"/>
        <c:noMultiLvlLbl val="0"/>
      </c:catAx>
      <c:valAx>
        <c:axId val="191370368"/>
        <c:scaling>
          <c:orientation val="minMax"/>
        </c:scaling>
        <c:delete val="0"/>
        <c:axPos val="b"/>
        <c:majorGridlines>
          <c:spPr>
            <a:ln>
              <a:solidFill>
                <a:schemeClr val="bg1">
                  <a:lumMod val="85000"/>
                </a:schemeClr>
              </a:solidFill>
            </a:ln>
          </c:spPr>
        </c:majorGridlines>
        <c:numFmt formatCode="#,##0" sourceLinked="0"/>
        <c:majorTickMark val="out"/>
        <c:minorTickMark val="none"/>
        <c:tickLblPos val="nextTo"/>
        <c:crossAx val="191360384"/>
        <c:crosses val="autoZero"/>
        <c:crossBetween val="between"/>
      </c:valAx>
      <c:spPr>
        <a:noFill/>
        <a:ln>
          <a:solidFill>
            <a:schemeClr val="bg1">
              <a:lumMod val="85000"/>
            </a:schemeClr>
          </a:solidFill>
        </a:ln>
      </c:spPr>
    </c:plotArea>
    <c:legend>
      <c:legendPos val="r"/>
      <c:layout>
        <c:manualLayout>
          <c:xMode val="edge"/>
          <c:yMode val="edge"/>
          <c:x val="0.89589279868760729"/>
          <c:y val="0.71061381956662573"/>
          <c:w val="7.2489904827760826E-2"/>
          <c:h val="0.1921629826392183"/>
        </c:manualLayout>
      </c:layout>
      <c:overlay val="1"/>
      <c:spPr>
        <a:solidFill>
          <a:schemeClr val="bg1"/>
        </a:solidFill>
      </c:spPr>
    </c:legend>
    <c:plotVisOnly val="1"/>
    <c:dispBlanksAs val="zero"/>
    <c:showDLblsOverMax val="0"/>
  </c:chart>
  <c:spPr>
    <a:ln>
      <a:noFill/>
    </a:ln>
  </c:spPr>
  <c:txPr>
    <a:bodyPr/>
    <a:lstStyle/>
    <a:p>
      <a:pPr>
        <a:defRPr sz="900">
          <a:latin typeface="Arial" pitchFamily="34" charset="0"/>
          <a:cs typeface="Arial" pitchFamily="34" charset="0"/>
        </a:defRPr>
      </a:pPr>
      <a:endParaRPr lang="cs-CZ"/>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36810935089245284"/>
          <c:y val="4.5111943838345533E-2"/>
          <c:w val="0.57543227298994459"/>
          <c:h val="0.89676216677734211"/>
        </c:manualLayout>
      </c:layout>
      <c:barChart>
        <c:barDir val="bar"/>
        <c:grouping val="clustered"/>
        <c:varyColors val="0"/>
        <c:ser>
          <c:idx val="0"/>
          <c:order val="0"/>
          <c:tx>
            <c:strRef>
              <c:f>'GRF2-7'!$C$36</c:f>
              <c:strCache>
                <c:ptCount val="1"/>
                <c:pt idx="0">
                  <c:v>2005</c:v>
                </c:pt>
              </c:strCache>
            </c:strRef>
          </c:tx>
          <c:spPr>
            <a:solidFill>
              <a:schemeClr val="accent5">
                <a:lumMod val="40000"/>
                <a:lumOff val="60000"/>
              </a:schemeClr>
            </a:solidFill>
          </c:spPr>
          <c:invertIfNegative val="0"/>
          <c:cat>
            <c:strRef>
              <c:f>'GRF2-7'!$B$37:$B$43</c:f>
              <c:strCache>
                <c:ptCount val="7"/>
                <c:pt idx="0">
                  <c:v>Zlepšování pracovních podmínek</c:v>
                </c:pt>
                <c:pt idx="1">
                  <c:v>Systém sociálního zabezpečení</c:v>
                </c:pt>
                <c:pt idx="2">
                  <c:v>Politická struktura společnosti</c:v>
                </c:pt>
                <c:pt idx="3">
                  <c:v>Sociální změny, procesy a střety</c:v>
                </c:pt>
                <c:pt idx="4">
                  <c:v>Řízení podniků a institucí</c:v>
                </c:pt>
                <c:pt idx="5">
                  <c:v>Kulturní aktivity</c:v>
                </c:pt>
                <c:pt idx="6">
                  <c:v>Vzdělávání, výcvik, další vzdělávání a rekvalifikace</c:v>
                </c:pt>
              </c:strCache>
            </c:strRef>
          </c:cat>
          <c:val>
            <c:numRef>
              <c:f>'GRF2-7'!$C$37:$C$43</c:f>
              <c:numCache>
                <c:formatCode>General</c:formatCode>
                <c:ptCount val="7"/>
                <c:pt idx="0">
                  <c:v>31.776000000000003</c:v>
                </c:pt>
                <c:pt idx="1">
                  <c:v>60.173000000000009</c:v>
                </c:pt>
                <c:pt idx="2">
                  <c:v>36.907000000000004</c:v>
                </c:pt>
                <c:pt idx="3">
                  <c:v>23.19</c:v>
                </c:pt>
                <c:pt idx="4">
                  <c:v>46.809000000000005</c:v>
                </c:pt>
                <c:pt idx="5">
                  <c:v>124.85400000000007</c:v>
                </c:pt>
                <c:pt idx="6">
                  <c:v>101.093</c:v>
                </c:pt>
              </c:numCache>
            </c:numRef>
          </c:val>
        </c:ser>
        <c:ser>
          <c:idx val="1"/>
          <c:order val="1"/>
          <c:tx>
            <c:strRef>
              <c:f>'GRF2-7'!$D$36</c:f>
              <c:strCache>
                <c:ptCount val="1"/>
                <c:pt idx="0">
                  <c:v>2010</c:v>
                </c:pt>
              </c:strCache>
            </c:strRef>
          </c:tx>
          <c:spPr>
            <a:solidFill>
              <a:schemeClr val="accent5">
                <a:lumMod val="60000"/>
                <a:lumOff val="40000"/>
              </a:schemeClr>
            </a:solidFill>
          </c:spPr>
          <c:invertIfNegative val="0"/>
          <c:cat>
            <c:strRef>
              <c:f>'GRF2-7'!$B$37:$B$43</c:f>
              <c:strCache>
                <c:ptCount val="7"/>
                <c:pt idx="0">
                  <c:v>Zlepšování pracovních podmínek</c:v>
                </c:pt>
                <c:pt idx="1">
                  <c:v>Systém sociálního zabezpečení</c:v>
                </c:pt>
                <c:pt idx="2">
                  <c:v>Politická struktura společnosti</c:v>
                </c:pt>
                <c:pt idx="3">
                  <c:v>Sociální změny, procesy a střety</c:v>
                </c:pt>
                <c:pt idx="4">
                  <c:v>Řízení podniků a institucí</c:v>
                </c:pt>
                <c:pt idx="5">
                  <c:v>Kulturní aktivity</c:v>
                </c:pt>
                <c:pt idx="6">
                  <c:v>Vzdělávání, výcvik, další vzdělávání a rekvalifikace</c:v>
                </c:pt>
              </c:strCache>
            </c:strRef>
          </c:cat>
          <c:val>
            <c:numRef>
              <c:f>'GRF2-7'!$D$37:$D$43</c:f>
              <c:numCache>
                <c:formatCode>General</c:formatCode>
                <c:ptCount val="7"/>
                <c:pt idx="0">
                  <c:v>16.187999999999999</c:v>
                </c:pt>
                <c:pt idx="1">
                  <c:v>46.20000000000001</c:v>
                </c:pt>
                <c:pt idx="2">
                  <c:v>42.00200000000001</c:v>
                </c:pt>
                <c:pt idx="3">
                  <c:v>54.700999999999986</c:v>
                </c:pt>
                <c:pt idx="4">
                  <c:v>55.287000000000027</c:v>
                </c:pt>
                <c:pt idx="5">
                  <c:v>94.165999999999983</c:v>
                </c:pt>
                <c:pt idx="6">
                  <c:v>45.516000000000005</c:v>
                </c:pt>
              </c:numCache>
            </c:numRef>
          </c:val>
        </c:ser>
        <c:ser>
          <c:idx val="2"/>
          <c:order val="2"/>
          <c:tx>
            <c:strRef>
              <c:f>'GRF2-7'!$E$36</c:f>
              <c:strCache>
                <c:ptCount val="1"/>
                <c:pt idx="0">
                  <c:v>2013</c:v>
                </c:pt>
              </c:strCache>
            </c:strRef>
          </c:tx>
          <c:spPr>
            <a:solidFill>
              <a:schemeClr val="accent5"/>
            </a:solidFill>
          </c:spPr>
          <c:invertIfNegative val="0"/>
          <c:cat>
            <c:strRef>
              <c:f>'GRF2-7'!$B$37:$B$43</c:f>
              <c:strCache>
                <c:ptCount val="7"/>
                <c:pt idx="0">
                  <c:v>Zlepšování pracovních podmínek</c:v>
                </c:pt>
                <c:pt idx="1">
                  <c:v>Systém sociálního zabezpečení</c:v>
                </c:pt>
                <c:pt idx="2">
                  <c:v>Politická struktura společnosti</c:v>
                </c:pt>
                <c:pt idx="3">
                  <c:v>Sociální změny, procesy a střety</c:v>
                </c:pt>
                <c:pt idx="4">
                  <c:v>Řízení podniků a institucí</c:v>
                </c:pt>
                <c:pt idx="5">
                  <c:v>Kulturní aktivity</c:v>
                </c:pt>
                <c:pt idx="6">
                  <c:v>Vzdělávání, výcvik, další vzdělávání a rekvalifikace</c:v>
                </c:pt>
              </c:strCache>
            </c:strRef>
          </c:cat>
          <c:val>
            <c:numRef>
              <c:f>'GRF2-7'!$E$37:$E$43</c:f>
              <c:numCache>
                <c:formatCode>General</c:formatCode>
                <c:ptCount val="7"/>
                <c:pt idx="0">
                  <c:v>4.7620000000000005</c:v>
                </c:pt>
                <c:pt idx="1">
                  <c:v>42.263000000000012</c:v>
                </c:pt>
                <c:pt idx="2">
                  <c:v>42.809000000000005</c:v>
                </c:pt>
                <c:pt idx="3">
                  <c:v>107.81957535100064</c:v>
                </c:pt>
                <c:pt idx="4">
                  <c:v>160.64438464346895</c:v>
                </c:pt>
                <c:pt idx="5">
                  <c:v>456.56115449719147</c:v>
                </c:pt>
                <c:pt idx="6">
                  <c:v>283.13566633168517</c:v>
                </c:pt>
              </c:numCache>
            </c:numRef>
          </c:val>
        </c:ser>
        <c:ser>
          <c:idx val="3"/>
          <c:order val="3"/>
          <c:tx>
            <c:strRef>
              <c:f>'GRF2-7'!$F$36</c:f>
              <c:strCache>
                <c:ptCount val="1"/>
                <c:pt idx="0">
                  <c:v>2014</c:v>
                </c:pt>
              </c:strCache>
            </c:strRef>
          </c:tx>
          <c:spPr>
            <a:solidFill>
              <a:schemeClr val="accent5">
                <a:lumMod val="50000"/>
              </a:schemeClr>
            </a:solidFill>
          </c:spPr>
          <c:invertIfNegative val="0"/>
          <c:cat>
            <c:strRef>
              <c:f>'GRF2-7'!$B$37:$B$43</c:f>
              <c:strCache>
                <c:ptCount val="7"/>
                <c:pt idx="0">
                  <c:v>Zlepšování pracovních podmínek</c:v>
                </c:pt>
                <c:pt idx="1">
                  <c:v>Systém sociálního zabezpečení</c:v>
                </c:pt>
                <c:pt idx="2">
                  <c:v>Politická struktura společnosti</c:v>
                </c:pt>
                <c:pt idx="3">
                  <c:v>Sociální změny, procesy a střety</c:v>
                </c:pt>
                <c:pt idx="4">
                  <c:v>Řízení podniků a institucí</c:v>
                </c:pt>
                <c:pt idx="5">
                  <c:v>Kulturní aktivity</c:v>
                </c:pt>
                <c:pt idx="6">
                  <c:v>Vzdělávání, výcvik, další vzdělávání a rekvalifikace</c:v>
                </c:pt>
              </c:strCache>
            </c:strRef>
          </c:cat>
          <c:val>
            <c:numRef>
              <c:f>'GRF2-7'!$F$37:$F$43</c:f>
              <c:numCache>
                <c:formatCode>General</c:formatCode>
                <c:ptCount val="7"/>
                <c:pt idx="0">
                  <c:v>5.2530000000000001</c:v>
                </c:pt>
                <c:pt idx="1">
                  <c:v>44.302</c:v>
                </c:pt>
                <c:pt idx="2">
                  <c:v>59.437999999999981</c:v>
                </c:pt>
                <c:pt idx="3">
                  <c:v>99.272505753450275</c:v>
                </c:pt>
                <c:pt idx="4">
                  <c:v>189.13345271628822</c:v>
                </c:pt>
                <c:pt idx="5">
                  <c:v>379.91572981324839</c:v>
                </c:pt>
                <c:pt idx="6">
                  <c:v>995.91120694069309</c:v>
                </c:pt>
              </c:numCache>
            </c:numRef>
          </c:val>
        </c:ser>
        <c:dLbls>
          <c:showLegendKey val="0"/>
          <c:showVal val="0"/>
          <c:showCatName val="0"/>
          <c:showSerName val="0"/>
          <c:showPercent val="0"/>
          <c:showBubbleSize val="0"/>
        </c:dLbls>
        <c:gapWidth val="100"/>
        <c:axId val="191389056"/>
        <c:axId val="191399040"/>
      </c:barChart>
      <c:catAx>
        <c:axId val="191389056"/>
        <c:scaling>
          <c:orientation val="minMax"/>
        </c:scaling>
        <c:delete val="0"/>
        <c:axPos val="l"/>
        <c:majorGridlines>
          <c:spPr>
            <a:ln>
              <a:solidFill>
                <a:schemeClr val="bg1">
                  <a:lumMod val="85000"/>
                </a:schemeClr>
              </a:solidFill>
            </a:ln>
          </c:spPr>
        </c:majorGridlines>
        <c:numFmt formatCode="General" sourceLinked="0"/>
        <c:majorTickMark val="out"/>
        <c:minorTickMark val="none"/>
        <c:tickLblPos val="nextTo"/>
        <c:crossAx val="191399040"/>
        <c:crosses val="autoZero"/>
        <c:auto val="1"/>
        <c:lblAlgn val="ctr"/>
        <c:lblOffset val="100"/>
        <c:noMultiLvlLbl val="0"/>
      </c:catAx>
      <c:valAx>
        <c:axId val="191399040"/>
        <c:scaling>
          <c:orientation val="minMax"/>
          <c:max val="1200"/>
        </c:scaling>
        <c:delete val="0"/>
        <c:axPos val="b"/>
        <c:majorGridlines>
          <c:spPr>
            <a:ln>
              <a:solidFill>
                <a:schemeClr val="bg1">
                  <a:lumMod val="85000"/>
                </a:schemeClr>
              </a:solidFill>
            </a:ln>
          </c:spPr>
        </c:majorGridlines>
        <c:numFmt formatCode="#,##0" sourceLinked="0"/>
        <c:majorTickMark val="out"/>
        <c:minorTickMark val="none"/>
        <c:tickLblPos val="nextTo"/>
        <c:crossAx val="191389056"/>
        <c:crosses val="autoZero"/>
        <c:crossBetween val="between"/>
      </c:valAx>
      <c:spPr>
        <a:noFill/>
        <a:ln>
          <a:solidFill>
            <a:schemeClr val="bg1">
              <a:lumMod val="85000"/>
            </a:schemeClr>
          </a:solidFill>
        </a:ln>
      </c:spPr>
    </c:plotArea>
    <c:legend>
      <c:legendPos val="r"/>
      <c:layout>
        <c:manualLayout>
          <c:xMode val="edge"/>
          <c:yMode val="edge"/>
          <c:x val="0.85938408956653645"/>
          <c:y val="0.6818794752868762"/>
          <c:w val="7.2489904827760882E-2"/>
          <c:h val="0.1921629826392183"/>
        </c:manualLayout>
      </c:layout>
      <c:overlay val="1"/>
      <c:spPr>
        <a:solidFill>
          <a:schemeClr val="bg1"/>
        </a:solidFill>
      </c:spPr>
    </c:legend>
    <c:plotVisOnly val="1"/>
    <c:dispBlanksAs val="zero"/>
    <c:showDLblsOverMax val="0"/>
  </c:chart>
  <c:spPr>
    <a:ln>
      <a:noFill/>
    </a:ln>
  </c:spPr>
  <c:txPr>
    <a:bodyPr/>
    <a:lstStyle/>
    <a:p>
      <a:pPr>
        <a:defRPr sz="900">
          <a:latin typeface="Arial" pitchFamily="34" charset="0"/>
          <a:cs typeface="Arial" pitchFamily="34" charset="0"/>
        </a:defRPr>
      </a:pPr>
      <a:endParaRPr lang="cs-CZ"/>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36810935089245295"/>
          <c:y val="4.5111943838345533E-2"/>
          <c:w val="0.57543227298994459"/>
          <c:h val="0.89676216677734166"/>
        </c:manualLayout>
      </c:layout>
      <c:barChart>
        <c:barDir val="bar"/>
        <c:grouping val="clustered"/>
        <c:varyColors val="0"/>
        <c:ser>
          <c:idx val="0"/>
          <c:order val="0"/>
          <c:tx>
            <c:strRef>
              <c:f>'GRF2-8'!$C$18</c:f>
              <c:strCache>
                <c:ptCount val="1"/>
                <c:pt idx="0">
                  <c:v>2005</c:v>
                </c:pt>
              </c:strCache>
            </c:strRef>
          </c:tx>
          <c:spPr>
            <a:solidFill>
              <a:schemeClr val="accent5">
                <a:lumMod val="40000"/>
                <a:lumOff val="60000"/>
              </a:schemeClr>
            </a:solidFill>
          </c:spPr>
          <c:invertIfNegative val="0"/>
          <c:cat>
            <c:strRef>
              <c:f>'GRF2-8'!$B$19:$B$28</c:f>
              <c:strCache>
                <c:ptCount val="10"/>
                <c:pt idx="0">
                  <c:v>Zaměstnanecká medicína</c:v>
                </c:pt>
                <c:pt idx="1">
                  <c:v>Obecný výzkum</c:v>
                </c:pt>
                <c:pt idx="2">
                  <c:v>Nemocniční struktura a organizace lékařské péče</c:v>
                </c:pt>
                <c:pt idx="3">
                  <c:v>Návykovost a narkomanie</c:v>
                </c:pt>
                <c:pt idx="4">
                  <c:v>Preventivní medicína</c:v>
                </c:pt>
                <c:pt idx="5">
                  <c:v>Sociální medicína</c:v>
                </c:pt>
                <c:pt idx="6">
                  <c:v>Ostatní výzkum</c:v>
                </c:pt>
                <c:pt idx="7">
                  <c:v>Výživa a potravní hygiena</c:v>
                </c:pt>
                <c:pt idx="8">
                  <c:v>Bio-medicínské inženýrství a léky</c:v>
                </c:pt>
                <c:pt idx="9">
                  <c:v>Lékařský výzkum, nemoc. ošetření, lékař. zákroky</c:v>
                </c:pt>
              </c:strCache>
            </c:strRef>
          </c:cat>
          <c:val>
            <c:numRef>
              <c:f>'GRF2-8'!$C$19:$C$28</c:f>
              <c:numCache>
                <c:formatCode>#,##0</c:formatCode>
                <c:ptCount val="10"/>
                <c:pt idx="0">
                  <c:v>1.2969999999999986</c:v>
                </c:pt>
                <c:pt idx="1">
                  <c:v>0.90399999999999991</c:v>
                </c:pt>
                <c:pt idx="2">
                  <c:v>8.7349999999999994</c:v>
                </c:pt>
                <c:pt idx="3">
                  <c:v>2.4969999999999977</c:v>
                </c:pt>
                <c:pt idx="4">
                  <c:v>33.698000000000043</c:v>
                </c:pt>
                <c:pt idx="5">
                  <c:v>30.695</c:v>
                </c:pt>
                <c:pt idx="6">
                  <c:v>18.452000000000002</c:v>
                </c:pt>
                <c:pt idx="7">
                  <c:v>65.075999999999979</c:v>
                </c:pt>
                <c:pt idx="8">
                  <c:v>156.85300000000001</c:v>
                </c:pt>
                <c:pt idx="9">
                  <c:v>826.61300000000153</c:v>
                </c:pt>
              </c:numCache>
            </c:numRef>
          </c:val>
        </c:ser>
        <c:ser>
          <c:idx val="1"/>
          <c:order val="1"/>
          <c:tx>
            <c:strRef>
              <c:f>'GRF2-8'!$D$18</c:f>
              <c:strCache>
                <c:ptCount val="1"/>
                <c:pt idx="0">
                  <c:v>2010</c:v>
                </c:pt>
              </c:strCache>
            </c:strRef>
          </c:tx>
          <c:spPr>
            <a:solidFill>
              <a:schemeClr val="accent5">
                <a:lumMod val="60000"/>
                <a:lumOff val="40000"/>
              </a:schemeClr>
            </a:solidFill>
          </c:spPr>
          <c:invertIfNegative val="0"/>
          <c:cat>
            <c:strRef>
              <c:f>'GRF2-8'!$B$19:$B$28</c:f>
              <c:strCache>
                <c:ptCount val="10"/>
                <c:pt idx="0">
                  <c:v>Zaměstnanecká medicína</c:v>
                </c:pt>
                <c:pt idx="1">
                  <c:v>Obecný výzkum</c:v>
                </c:pt>
                <c:pt idx="2">
                  <c:v>Nemocniční struktura a organizace lékařské péče</c:v>
                </c:pt>
                <c:pt idx="3">
                  <c:v>Návykovost a narkomanie</c:v>
                </c:pt>
                <c:pt idx="4">
                  <c:v>Preventivní medicína</c:v>
                </c:pt>
                <c:pt idx="5">
                  <c:v>Sociální medicína</c:v>
                </c:pt>
                <c:pt idx="6">
                  <c:v>Ostatní výzkum</c:v>
                </c:pt>
                <c:pt idx="7">
                  <c:v>Výživa a potravní hygiena</c:v>
                </c:pt>
                <c:pt idx="8">
                  <c:v>Bio-medicínské inženýrství a léky</c:v>
                </c:pt>
                <c:pt idx="9">
                  <c:v>Lékařský výzkum, nemoc. ošetření, lékař. zákroky</c:v>
                </c:pt>
              </c:strCache>
            </c:strRef>
          </c:cat>
          <c:val>
            <c:numRef>
              <c:f>'GRF2-8'!$D$19:$D$28</c:f>
              <c:numCache>
                <c:formatCode>General</c:formatCode>
                <c:ptCount val="10"/>
                <c:pt idx="0" formatCode="#,##0">
                  <c:v>1.75</c:v>
                </c:pt>
                <c:pt idx="2" formatCode="#,##0">
                  <c:v>2.4779999999999998</c:v>
                </c:pt>
                <c:pt idx="3" formatCode="#,##0">
                  <c:v>5.2999999999999989</c:v>
                </c:pt>
                <c:pt idx="4" formatCode="#,##0">
                  <c:v>6.2890000000000024</c:v>
                </c:pt>
                <c:pt idx="5" formatCode="#,##0">
                  <c:v>17.211999999999996</c:v>
                </c:pt>
                <c:pt idx="6" formatCode="#,##0">
                  <c:v>2.08</c:v>
                </c:pt>
                <c:pt idx="7" formatCode="#,##0">
                  <c:v>42.835000000000008</c:v>
                </c:pt>
                <c:pt idx="8" formatCode="#,##0">
                  <c:v>269.73299999999978</c:v>
                </c:pt>
                <c:pt idx="9" formatCode="#,##0">
                  <c:v>1044.0779999999997</c:v>
                </c:pt>
              </c:numCache>
            </c:numRef>
          </c:val>
        </c:ser>
        <c:ser>
          <c:idx val="2"/>
          <c:order val="2"/>
          <c:tx>
            <c:strRef>
              <c:f>'GRF2-8'!$E$18</c:f>
              <c:strCache>
                <c:ptCount val="1"/>
                <c:pt idx="0">
                  <c:v>2013</c:v>
                </c:pt>
              </c:strCache>
            </c:strRef>
          </c:tx>
          <c:spPr>
            <a:solidFill>
              <a:schemeClr val="accent5"/>
            </a:solidFill>
          </c:spPr>
          <c:invertIfNegative val="0"/>
          <c:cat>
            <c:strRef>
              <c:f>'GRF2-8'!$B$19:$B$28</c:f>
              <c:strCache>
                <c:ptCount val="10"/>
                <c:pt idx="0">
                  <c:v>Zaměstnanecká medicína</c:v>
                </c:pt>
                <c:pt idx="1">
                  <c:v>Obecný výzkum</c:v>
                </c:pt>
                <c:pt idx="2">
                  <c:v>Nemocniční struktura a organizace lékařské péče</c:v>
                </c:pt>
                <c:pt idx="3">
                  <c:v>Návykovost a narkomanie</c:v>
                </c:pt>
                <c:pt idx="4">
                  <c:v>Preventivní medicína</c:v>
                </c:pt>
                <c:pt idx="5">
                  <c:v>Sociální medicína</c:v>
                </c:pt>
                <c:pt idx="6">
                  <c:v>Ostatní výzkum</c:v>
                </c:pt>
                <c:pt idx="7">
                  <c:v>Výživa a potravní hygiena</c:v>
                </c:pt>
                <c:pt idx="8">
                  <c:v>Bio-medicínské inženýrství a léky</c:v>
                </c:pt>
                <c:pt idx="9">
                  <c:v>Lékařský výzkum, nemoc. ošetření, lékař. zákroky</c:v>
                </c:pt>
              </c:strCache>
            </c:strRef>
          </c:cat>
          <c:val>
            <c:numRef>
              <c:f>'GRF2-8'!$E$19:$E$28</c:f>
              <c:numCache>
                <c:formatCode>General</c:formatCode>
                <c:ptCount val="10"/>
                <c:pt idx="0" formatCode="#,##0">
                  <c:v>1.3670000000000002</c:v>
                </c:pt>
                <c:pt idx="2" formatCode="#,##0">
                  <c:v>5.1265650752307845</c:v>
                </c:pt>
                <c:pt idx="3" formatCode="#,##0">
                  <c:v>6.5430000000000001</c:v>
                </c:pt>
                <c:pt idx="4" formatCode="#,##0">
                  <c:v>15.168000000000001</c:v>
                </c:pt>
                <c:pt idx="5" formatCode="#,##0">
                  <c:v>16.455108429352791</c:v>
                </c:pt>
                <c:pt idx="6" formatCode="#,##0">
                  <c:v>11.817</c:v>
                </c:pt>
                <c:pt idx="7" formatCode="#,##0">
                  <c:v>29.970469999999974</c:v>
                </c:pt>
                <c:pt idx="8" formatCode="#,##0">
                  <c:v>150.63815200997252</c:v>
                </c:pt>
                <c:pt idx="9" formatCode="#,##0">
                  <c:v>1467.7355806659859</c:v>
                </c:pt>
              </c:numCache>
            </c:numRef>
          </c:val>
        </c:ser>
        <c:ser>
          <c:idx val="3"/>
          <c:order val="3"/>
          <c:tx>
            <c:strRef>
              <c:f>'GRF2-8'!$F$18</c:f>
              <c:strCache>
                <c:ptCount val="1"/>
                <c:pt idx="0">
                  <c:v>2014</c:v>
                </c:pt>
              </c:strCache>
            </c:strRef>
          </c:tx>
          <c:spPr>
            <a:solidFill>
              <a:schemeClr val="accent5">
                <a:lumMod val="50000"/>
              </a:schemeClr>
            </a:solidFill>
          </c:spPr>
          <c:invertIfNegative val="0"/>
          <c:cat>
            <c:strRef>
              <c:f>'GRF2-8'!$B$19:$B$28</c:f>
              <c:strCache>
                <c:ptCount val="10"/>
                <c:pt idx="0">
                  <c:v>Zaměstnanecká medicína</c:v>
                </c:pt>
                <c:pt idx="1">
                  <c:v>Obecný výzkum</c:v>
                </c:pt>
                <c:pt idx="2">
                  <c:v>Nemocniční struktura a organizace lékařské péče</c:v>
                </c:pt>
                <c:pt idx="3">
                  <c:v>Návykovost a narkomanie</c:v>
                </c:pt>
                <c:pt idx="4">
                  <c:v>Preventivní medicína</c:v>
                </c:pt>
                <c:pt idx="5">
                  <c:v>Sociální medicína</c:v>
                </c:pt>
                <c:pt idx="6">
                  <c:v>Ostatní výzkum</c:v>
                </c:pt>
                <c:pt idx="7">
                  <c:v>Výživa a potravní hygiena</c:v>
                </c:pt>
                <c:pt idx="8">
                  <c:v>Bio-medicínské inženýrství a léky</c:v>
                </c:pt>
                <c:pt idx="9">
                  <c:v>Lékařský výzkum, nemoc. ošetření, lékař. zákroky</c:v>
                </c:pt>
              </c:strCache>
            </c:strRef>
          </c:cat>
          <c:val>
            <c:numRef>
              <c:f>'GRF2-8'!$F$19:$F$28</c:f>
              <c:numCache>
                <c:formatCode>#,##0</c:formatCode>
                <c:ptCount val="10"/>
                <c:pt idx="0">
                  <c:v>1.7669999999999986</c:v>
                </c:pt>
                <c:pt idx="1">
                  <c:v>3.7909999999999999</c:v>
                </c:pt>
                <c:pt idx="2">
                  <c:v>5.9267494078777991</c:v>
                </c:pt>
                <c:pt idx="3">
                  <c:v>7.3360000000000003</c:v>
                </c:pt>
                <c:pt idx="4">
                  <c:v>12.587</c:v>
                </c:pt>
                <c:pt idx="5">
                  <c:v>17.105047614405926</c:v>
                </c:pt>
                <c:pt idx="6">
                  <c:v>19.166</c:v>
                </c:pt>
                <c:pt idx="7">
                  <c:v>31.444269999999989</c:v>
                </c:pt>
                <c:pt idx="8">
                  <c:v>134.49403101998737</c:v>
                </c:pt>
                <c:pt idx="9">
                  <c:v>1488.6089545832681</c:v>
                </c:pt>
              </c:numCache>
            </c:numRef>
          </c:val>
        </c:ser>
        <c:dLbls>
          <c:showLegendKey val="0"/>
          <c:showVal val="0"/>
          <c:showCatName val="0"/>
          <c:showSerName val="0"/>
          <c:showPercent val="0"/>
          <c:showBubbleSize val="0"/>
        </c:dLbls>
        <c:gapWidth val="100"/>
        <c:axId val="191433728"/>
        <c:axId val="191456000"/>
      </c:barChart>
      <c:catAx>
        <c:axId val="191433728"/>
        <c:scaling>
          <c:orientation val="minMax"/>
        </c:scaling>
        <c:delete val="0"/>
        <c:axPos val="l"/>
        <c:majorGridlines>
          <c:spPr>
            <a:ln>
              <a:solidFill>
                <a:schemeClr val="bg1">
                  <a:lumMod val="85000"/>
                </a:schemeClr>
              </a:solidFill>
            </a:ln>
          </c:spPr>
        </c:majorGridlines>
        <c:numFmt formatCode="General" sourceLinked="0"/>
        <c:majorTickMark val="out"/>
        <c:minorTickMark val="none"/>
        <c:tickLblPos val="nextTo"/>
        <c:crossAx val="191456000"/>
        <c:crosses val="autoZero"/>
        <c:auto val="1"/>
        <c:lblAlgn val="ctr"/>
        <c:lblOffset val="100"/>
        <c:noMultiLvlLbl val="0"/>
      </c:catAx>
      <c:valAx>
        <c:axId val="191456000"/>
        <c:scaling>
          <c:orientation val="minMax"/>
        </c:scaling>
        <c:delete val="0"/>
        <c:axPos val="b"/>
        <c:majorGridlines>
          <c:spPr>
            <a:ln>
              <a:solidFill>
                <a:schemeClr val="bg1">
                  <a:lumMod val="85000"/>
                </a:schemeClr>
              </a:solidFill>
            </a:ln>
          </c:spPr>
        </c:majorGridlines>
        <c:numFmt formatCode="#,##0" sourceLinked="0"/>
        <c:majorTickMark val="out"/>
        <c:minorTickMark val="none"/>
        <c:tickLblPos val="nextTo"/>
        <c:crossAx val="191433728"/>
        <c:crosses val="autoZero"/>
        <c:crossBetween val="between"/>
      </c:valAx>
      <c:spPr>
        <a:noFill/>
        <a:ln>
          <a:solidFill>
            <a:schemeClr val="bg1">
              <a:lumMod val="85000"/>
            </a:schemeClr>
          </a:solidFill>
        </a:ln>
      </c:spPr>
    </c:plotArea>
    <c:legend>
      <c:legendPos val="r"/>
      <c:layout>
        <c:manualLayout>
          <c:xMode val="edge"/>
          <c:yMode val="edge"/>
          <c:x val="0.85938408956653645"/>
          <c:y val="0.68187947528687665"/>
          <c:w val="7.2489904827760909E-2"/>
          <c:h val="0.1921629826392183"/>
        </c:manualLayout>
      </c:layout>
      <c:overlay val="1"/>
      <c:spPr>
        <a:solidFill>
          <a:schemeClr val="bg1"/>
        </a:solidFill>
      </c:spPr>
    </c:legend>
    <c:plotVisOnly val="1"/>
    <c:dispBlanksAs val="zero"/>
    <c:showDLblsOverMax val="0"/>
  </c:chart>
  <c:spPr>
    <a:ln>
      <a:noFill/>
    </a:ln>
  </c:spPr>
  <c:txPr>
    <a:bodyPr/>
    <a:lstStyle/>
    <a:p>
      <a:pPr>
        <a:defRPr sz="900">
          <a:latin typeface="Arial" pitchFamily="34" charset="0"/>
          <a:cs typeface="Arial" pitchFamily="34" charset="0"/>
        </a:defRPr>
      </a:pPr>
      <a:endParaRPr lang="cs-CZ"/>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36810935089245317"/>
          <c:y val="4.5111943838345533E-2"/>
          <c:w val="0.57543227298994459"/>
          <c:h val="0.89676216677734077"/>
        </c:manualLayout>
      </c:layout>
      <c:barChart>
        <c:barDir val="bar"/>
        <c:grouping val="clustered"/>
        <c:varyColors val="0"/>
        <c:ser>
          <c:idx val="0"/>
          <c:order val="0"/>
          <c:tx>
            <c:strRef>
              <c:f>'GRF2-9'!$C$16</c:f>
              <c:strCache>
                <c:ptCount val="1"/>
                <c:pt idx="0">
                  <c:v>2005</c:v>
                </c:pt>
              </c:strCache>
            </c:strRef>
          </c:tx>
          <c:spPr>
            <a:solidFill>
              <a:schemeClr val="accent5">
                <a:lumMod val="40000"/>
                <a:lumOff val="60000"/>
              </a:schemeClr>
            </a:solidFill>
          </c:spPr>
          <c:invertIfNegative val="0"/>
          <c:cat>
            <c:strRef>
              <c:f>'GRF2-9'!$B$17:$B$24</c:f>
              <c:strCache>
                <c:ptCount val="8"/>
                <c:pt idx="0">
                  <c:v>Ostatní výzkum</c:v>
                </c:pt>
                <c:pt idx="1">
                  <c:v>Obecný výzkum</c:v>
                </c:pt>
                <c:pt idx="2">
                  <c:v>Rybolov a chov ryb</c:v>
                </c:pt>
                <c:pt idx="3">
                  <c:v>Lesnictví a produkce dřeva</c:v>
                </c:pt>
                <c:pt idx="4">
                  <c:v>Potravinářské technologie</c:v>
                </c:pt>
                <c:pt idx="5">
                  <c:v>Veterinární medicína</c:v>
                </c:pt>
                <c:pt idx="6">
                  <c:v>Živočišné produkty</c:v>
                </c:pt>
                <c:pt idx="7">
                  <c:v>Plodiny</c:v>
                </c:pt>
              </c:strCache>
            </c:strRef>
          </c:cat>
          <c:val>
            <c:numRef>
              <c:f>'GRF2-9'!$C$17:$C$24</c:f>
              <c:numCache>
                <c:formatCode>#,##0</c:formatCode>
                <c:ptCount val="8"/>
                <c:pt idx="0">
                  <c:v>0</c:v>
                </c:pt>
                <c:pt idx="1">
                  <c:v>90.459000000000017</c:v>
                </c:pt>
                <c:pt idx="2">
                  <c:v>5.4039999999999999</c:v>
                </c:pt>
                <c:pt idx="3">
                  <c:v>63.439</c:v>
                </c:pt>
                <c:pt idx="4">
                  <c:v>141.92500000000001</c:v>
                </c:pt>
                <c:pt idx="5">
                  <c:v>125.37100000000001</c:v>
                </c:pt>
                <c:pt idx="6">
                  <c:v>147.22800000000001</c:v>
                </c:pt>
                <c:pt idx="7">
                  <c:v>283.74200000000042</c:v>
                </c:pt>
              </c:numCache>
            </c:numRef>
          </c:val>
        </c:ser>
        <c:ser>
          <c:idx val="1"/>
          <c:order val="1"/>
          <c:tx>
            <c:strRef>
              <c:f>'GRF2-9'!$D$16</c:f>
              <c:strCache>
                <c:ptCount val="1"/>
                <c:pt idx="0">
                  <c:v>2010</c:v>
                </c:pt>
              </c:strCache>
            </c:strRef>
          </c:tx>
          <c:spPr>
            <a:solidFill>
              <a:schemeClr val="accent5">
                <a:lumMod val="60000"/>
                <a:lumOff val="40000"/>
              </a:schemeClr>
            </a:solidFill>
          </c:spPr>
          <c:invertIfNegative val="0"/>
          <c:cat>
            <c:strRef>
              <c:f>'GRF2-9'!$B$17:$B$24</c:f>
              <c:strCache>
                <c:ptCount val="8"/>
                <c:pt idx="0">
                  <c:v>Ostatní výzkum</c:v>
                </c:pt>
                <c:pt idx="1">
                  <c:v>Obecný výzkum</c:v>
                </c:pt>
                <c:pt idx="2">
                  <c:v>Rybolov a chov ryb</c:v>
                </c:pt>
                <c:pt idx="3">
                  <c:v>Lesnictví a produkce dřeva</c:v>
                </c:pt>
                <c:pt idx="4">
                  <c:v>Potravinářské technologie</c:v>
                </c:pt>
                <c:pt idx="5">
                  <c:v>Veterinární medicína</c:v>
                </c:pt>
                <c:pt idx="6">
                  <c:v>Živočišné produkty</c:v>
                </c:pt>
                <c:pt idx="7">
                  <c:v>Plodiny</c:v>
                </c:pt>
              </c:strCache>
            </c:strRef>
          </c:cat>
          <c:val>
            <c:numRef>
              <c:f>'GRF2-9'!$D$17:$D$24</c:f>
              <c:numCache>
                <c:formatCode>#,##0</c:formatCode>
                <c:ptCount val="8"/>
                <c:pt idx="0">
                  <c:v>4.9340000000000002</c:v>
                </c:pt>
                <c:pt idx="1">
                  <c:v>49.407999999999987</c:v>
                </c:pt>
                <c:pt idx="2">
                  <c:v>30.041000000000004</c:v>
                </c:pt>
                <c:pt idx="3">
                  <c:v>94.386999999999944</c:v>
                </c:pt>
                <c:pt idx="4">
                  <c:v>154.82100000000023</c:v>
                </c:pt>
                <c:pt idx="5">
                  <c:v>128.15600000000001</c:v>
                </c:pt>
                <c:pt idx="6">
                  <c:v>196.33200000000028</c:v>
                </c:pt>
                <c:pt idx="7">
                  <c:v>471.95699999999886</c:v>
                </c:pt>
              </c:numCache>
            </c:numRef>
          </c:val>
        </c:ser>
        <c:ser>
          <c:idx val="2"/>
          <c:order val="2"/>
          <c:tx>
            <c:strRef>
              <c:f>'GRF2-9'!$E$16</c:f>
              <c:strCache>
                <c:ptCount val="1"/>
                <c:pt idx="0">
                  <c:v>2013</c:v>
                </c:pt>
              </c:strCache>
            </c:strRef>
          </c:tx>
          <c:spPr>
            <a:solidFill>
              <a:schemeClr val="accent5"/>
            </a:solidFill>
          </c:spPr>
          <c:invertIfNegative val="0"/>
          <c:cat>
            <c:strRef>
              <c:f>'GRF2-9'!$B$17:$B$24</c:f>
              <c:strCache>
                <c:ptCount val="8"/>
                <c:pt idx="0">
                  <c:v>Ostatní výzkum</c:v>
                </c:pt>
                <c:pt idx="1">
                  <c:v>Obecný výzkum</c:v>
                </c:pt>
                <c:pt idx="2">
                  <c:v>Rybolov a chov ryb</c:v>
                </c:pt>
                <c:pt idx="3">
                  <c:v>Lesnictví a produkce dřeva</c:v>
                </c:pt>
                <c:pt idx="4">
                  <c:v>Potravinářské technologie</c:v>
                </c:pt>
                <c:pt idx="5">
                  <c:v>Veterinární medicína</c:v>
                </c:pt>
                <c:pt idx="6">
                  <c:v>Živočišné produkty</c:v>
                </c:pt>
                <c:pt idx="7">
                  <c:v>Plodiny</c:v>
                </c:pt>
              </c:strCache>
            </c:strRef>
          </c:cat>
          <c:val>
            <c:numRef>
              <c:f>'GRF2-9'!$E$17:$E$24</c:f>
              <c:numCache>
                <c:formatCode>#,##0</c:formatCode>
                <c:ptCount val="8"/>
                <c:pt idx="0">
                  <c:v>0</c:v>
                </c:pt>
                <c:pt idx="1">
                  <c:v>23.503</c:v>
                </c:pt>
                <c:pt idx="2">
                  <c:v>10.993597537386323</c:v>
                </c:pt>
                <c:pt idx="3">
                  <c:v>111.65627999999994</c:v>
                </c:pt>
                <c:pt idx="4">
                  <c:v>122.07486322135044</c:v>
                </c:pt>
                <c:pt idx="5">
                  <c:v>134.02767418475679</c:v>
                </c:pt>
                <c:pt idx="6">
                  <c:v>161.75657198022321</c:v>
                </c:pt>
                <c:pt idx="7">
                  <c:v>449.52901545023889</c:v>
                </c:pt>
              </c:numCache>
            </c:numRef>
          </c:val>
        </c:ser>
        <c:ser>
          <c:idx val="3"/>
          <c:order val="3"/>
          <c:tx>
            <c:strRef>
              <c:f>'GRF2-9'!$F$16</c:f>
              <c:strCache>
                <c:ptCount val="1"/>
                <c:pt idx="0">
                  <c:v>2014</c:v>
                </c:pt>
              </c:strCache>
            </c:strRef>
          </c:tx>
          <c:spPr>
            <a:solidFill>
              <a:schemeClr val="accent5">
                <a:lumMod val="50000"/>
              </a:schemeClr>
            </a:solidFill>
          </c:spPr>
          <c:invertIfNegative val="0"/>
          <c:cat>
            <c:strRef>
              <c:f>'GRF2-9'!$B$17:$B$24</c:f>
              <c:strCache>
                <c:ptCount val="8"/>
                <c:pt idx="0">
                  <c:v>Ostatní výzkum</c:v>
                </c:pt>
                <c:pt idx="1">
                  <c:v>Obecný výzkum</c:v>
                </c:pt>
                <c:pt idx="2">
                  <c:v>Rybolov a chov ryb</c:v>
                </c:pt>
                <c:pt idx="3">
                  <c:v>Lesnictví a produkce dřeva</c:v>
                </c:pt>
                <c:pt idx="4">
                  <c:v>Potravinářské technologie</c:v>
                </c:pt>
                <c:pt idx="5">
                  <c:v>Veterinární medicína</c:v>
                </c:pt>
                <c:pt idx="6">
                  <c:v>Živočišné produkty</c:v>
                </c:pt>
                <c:pt idx="7">
                  <c:v>Plodiny</c:v>
                </c:pt>
              </c:strCache>
            </c:strRef>
          </c:cat>
          <c:val>
            <c:numRef>
              <c:f>'GRF2-9'!$F$17:$F$24</c:f>
              <c:numCache>
                <c:formatCode>#,##0</c:formatCode>
                <c:ptCount val="8"/>
                <c:pt idx="0">
                  <c:v>0</c:v>
                </c:pt>
                <c:pt idx="1">
                  <c:v>17.810000000000024</c:v>
                </c:pt>
                <c:pt idx="2">
                  <c:v>40.238110108958132</c:v>
                </c:pt>
                <c:pt idx="3">
                  <c:v>123.05137661386705</c:v>
                </c:pt>
                <c:pt idx="4">
                  <c:v>138.4927784183518</c:v>
                </c:pt>
                <c:pt idx="5">
                  <c:v>149.56714000000017</c:v>
                </c:pt>
                <c:pt idx="6">
                  <c:v>163.74248785903447</c:v>
                </c:pt>
                <c:pt idx="7">
                  <c:v>479.28558263654935</c:v>
                </c:pt>
              </c:numCache>
            </c:numRef>
          </c:val>
        </c:ser>
        <c:dLbls>
          <c:showLegendKey val="0"/>
          <c:showVal val="0"/>
          <c:showCatName val="0"/>
          <c:showSerName val="0"/>
          <c:showPercent val="0"/>
          <c:showBubbleSize val="0"/>
        </c:dLbls>
        <c:gapWidth val="100"/>
        <c:axId val="191482496"/>
        <c:axId val="196174208"/>
      </c:barChart>
      <c:catAx>
        <c:axId val="191482496"/>
        <c:scaling>
          <c:orientation val="minMax"/>
        </c:scaling>
        <c:delete val="0"/>
        <c:axPos val="l"/>
        <c:majorGridlines>
          <c:spPr>
            <a:ln>
              <a:solidFill>
                <a:schemeClr val="bg1">
                  <a:lumMod val="85000"/>
                </a:schemeClr>
              </a:solidFill>
            </a:ln>
          </c:spPr>
        </c:majorGridlines>
        <c:numFmt formatCode="General" sourceLinked="0"/>
        <c:majorTickMark val="out"/>
        <c:minorTickMark val="none"/>
        <c:tickLblPos val="nextTo"/>
        <c:crossAx val="196174208"/>
        <c:crosses val="autoZero"/>
        <c:auto val="1"/>
        <c:lblAlgn val="ctr"/>
        <c:lblOffset val="100"/>
        <c:noMultiLvlLbl val="0"/>
      </c:catAx>
      <c:valAx>
        <c:axId val="196174208"/>
        <c:scaling>
          <c:orientation val="minMax"/>
        </c:scaling>
        <c:delete val="0"/>
        <c:axPos val="b"/>
        <c:majorGridlines>
          <c:spPr>
            <a:ln>
              <a:solidFill>
                <a:schemeClr val="bg1">
                  <a:lumMod val="85000"/>
                </a:schemeClr>
              </a:solidFill>
            </a:ln>
          </c:spPr>
        </c:majorGridlines>
        <c:numFmt formatCode="#,##0" sourceLinked="0"/>
        <c:majorTickMark val="out"/>
        <c:minorTickMark val="none"/>
        <c:tickLblPos val="nextTo"/>
        <c:crossAx val="191482496"/>
        <c:crosses val="autoZero"/>
        <c:crossBetween val="between"/>
      </c:valAx>
      <c:spPr>
        <a:noFill/>
        <a:ln>
          <a:solidFill>
            <a:schemeClr val="bg1">
              <a:lumMod val="85000"/>
            </a:schemeClr>
          </a:solidFill>
        </a:ln>
      </c:spPr>
    </c:plotArea>
    <c:legend>
      <c:legendPos val="r"/>
      <c:layout>
        <c:manualLayout>
          <c:xMode val="edge"/>
          <c:yMode val="edge"/>
          <c:x val="0.85938408956653645"/>
          <c:y val="0.68187947528687742"/>
          <c:w val="7.2489904827760923E-2"/>
          <c:h val="0.1921629826392183"/>
        </c:manualLayout>
      </c:layout>
      <c:overlay val="1"/>
      <c:spPr>
        <a:solidFill>
          <a:schemeClr val="bg1"/>
        </a:solidFill>
      </c:spPr>
    </c:legend>
    <c:plotVisOnly val="1"/>
    <c:dispBlanksAs val="zero"/>
    <c:showDLblsOverMax val="0"/>
  </c:chart>
  <c:spPr>
    <a:ln>
      <a:noFill/>
    </a:ln>
  </c:spPr>
  <c:txPr>
    <a:bodyPr/>
    <a:lstStyle/>
    <a:p>
      <a:pPr>
        <a:defRPr sz="900">
          <a:latin typeface="Arial" pitchFamily="34" charset="0"/>
          <a:cs typeface="Arial" pitchFamily="34" charset="0"/>
        </a:defRPr>
      </a:pPr>
      <a:endParaRPr lang="cs-CZ"/>
    </a:p>
  </c:txPr>
  <c:externalData r:id="rId1">
    <c:autoUpdate val="0"/>
  </c:externalData>
</c:chartSpac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75846-0075-4AC4-8820-75094A80C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bar_veda IT</Template>
  <TotalTime>219</TotalTime>
  <Pages>12</Pages>
  <Words>3204</Words>
  <Characters>18905</Characters>
  <Application>Microsoft Office Word</Application>
  <DocSecurity>0</DocSecurity>
  <Lines>157</Lines>
  <Paragraphs>44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22065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Václav Sojka</dc:creator>
  <cp:lastModifiedBy>sojka7725</cp:lastModifiedBy>
  <cp:revision>51</cp:revision>
  <cp:lastPrinted>2015-11-04T14:17:00Z</cp:lastPrinted>
  <dcterms:created xsi:type="dcterms:W3CDTF">2015-11-18T09:54:00Z</dcterms:created>
  <dcterms:modified xsi:type="dcterms:W3CDTF">2015-11-19T14:05:00Z</dcterms:modified>
</cp:coreProperties>
</file>