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782" w:rsidRPr="00360DE3" w:rsidRDefault="00141782" w:rsidP="00141782">
      <w:pPr>
        <w:pStyle w:val="Nadpis1"/>
        <w:rPr>
          <w:lang w:eastAsia="en-US"/>
        </w:rPr>
      </w:pPr>
      <w:bookmarkStart w:id="0" w:name="_Toc527639474"/>
      <w:r w:rsidRPr="00360DE3">
        <w:rPr>
          <w:lang w:eastAsia="en-US"/>
        </w:rPr>
        <w:t>Hlavní institucionální sektory ekonomiky</w:t>
      </w:r>
      <w:bookmarkEnd w:id="0"/>
    </w:p>
    <w:p w:rsidR="00141782" w:rsidRPr="00360DE3" w:rsidRDefault="00E212C9" w:rsidP="00141782">
      <w:pPr>
        <w:pStyle w:val="Nadpis1"/>
        <w:rPr>
          <w:lang w:eastAsia="en-US"/>
        </w:rPr>
      </w:pPr>
      <w:bookmarkStart w:id="1" w:name="_Toc527639475"/>
      <w:r w:rsidRPr="00360DE3">
        <w:rPr>
          <w:lang w:eastAsia="en-US"/>
        </w:rPr>
        <w:t>6</w:t>
      </w:r>
      <w:r w:rsidR="00141782" w:rsidRPr="00360DE3">
        <w:rPr>
          <w:lang w:eastAsia="en-US"/>
        </w:rPr>
        <w:t>. Nefinanční podniky</w:t>
      </w:r>
      <w:bookmarkEnd w:id="1"/>
    </w:p>
    <w:tbl>
      <w:tblPr>
        <w:tblW w:w="9644" w:type="dxa"/>
        <w:tblInd w:w="-15" w:type="dxa"/>
        <w:tblLayout w:type="fixed"/>
        <w:tblCellMar>
          <w:left w:w="0" w:type="dxa"/>
          <w:right w:w="0" w:type="dxa"/>
        </w:tblCellMar>
        <w:tblLook w:val="00A0"/>
      </w:tblPr>
      <w:tblGrid>
        <w:gridCol w:w="1976"/>
        <w:gridCol w:w="277"/>
        <w:gridCol w:w="7391"/>
      </w:tblGrid>
      <w:tr w:rsidR="009C03C8" w:rsidRPr="00157A87" w:rsidTr="00DF7AD4">
        <w:trPr>
          <w:trHeight w:val="145"/>
        </w:trPr>
        <w:tc>
          <w:tcPr>
            <w:tcW w:w="1976" w:type="dxa"/>
          </w:tcPr>
          <w:p w:rsidR="009C03C8" w:rsidRPr="00157A87" w:rsidRDefault="009C03C8" w:rsidP="00DF7AD4">
            <w:pPr>
              <w:pStyle w:val="Marginlie"/>
            </w:pPr>
            <w:r>
              <w:t>Váha sektoru nefinančních podniků na hrubé přidané hodnotě v celé ekonomice po roce 2010 plynule narůstala.</w:t>
            </w:r>
          </w:p>
        </w:tc>
        <w:tc>
          <w:tcPr>
            <w:tcW w:w="277" w:type="dxa"/>
          </w:tcPr>
          <w:p w:rsidR="009C03C8" w:rsidRPr="00157A87" w:rsidRDefault="009C03C8" w:rsidP="00DF7AD4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391" w:type="dxa"/>
          </w:tcPr>
          <w:p w:rsidR="009C03C8" w:rsidRPr="00E972A9" w:rsidRDefault="009C03C8" w:rsidP="00DF7AD4">
            <w:pPr>
              <w:rPr>
                <w:rFonts w:cs="Arial"/>
                <w:spacing w:val="-4"/>
                <w:szCs w:val="20"/>
              </w:rPr>
            </w:pPr>
            <w:r w:rsidRPr="00E972A9">
              <w:rPr>
                <w:rFonts w:cs="Arial"/>
                <w:spacing w:val="-4"/>
                <w:szCs w:val="20"/>
              </w:rPr>
              <w:t>Nefinanční podniky tvoří v Česku podobně jako v ostatních vyspělých státech páteř celé ekonomiky, neboť prostupují drtivou většinou odvětví</w:t>
            </w:r>
            <w:r w:rsidRPr="00E04F27">
              <w:rPr>
                <w:rStyle w:val="Znakapoznpodarou"/>
                <w:rFonts w:cs="Arial"/>
                <w:spacing w:val="-4"/>
                <w:szCs w:val="20"/>
              </w:rPr>
              <w:footnoteReference w:id="1"/>
            </w:r>
            <w:r w:rsidRPr="00E04F27">
              <w:rPr>
                <w:rFonts w:cs="Arial"/>
                <w:spacing w:val="-4"/>
                <w:szCs w:val="20"/>
                <w:vertAlign w:val="superscript"/>
              </w:rPr>
              <w:t>.</w:t>
            </w:r>
            <w:r w:rsidRPr="00E972A9">
              <w:rPr>
                <w:rFonts w:cs="Arial"/>
                <w:spacing w:val="-4"/>
                <w:szCs w:val="20"/>
              </w:rPr>
              <w:t xml:space="preserve"> Sehrávají klíčovou roli v oblasti produkce, investic či zaměstnanosti. V roce 2017 se tento sektor podílel na hrubé přidané hodnotě (HPH) v národním hospodářství rekordními 62,7 %. Po </w:t>
            </w:r>
            <w:proofErr w:type="gramStart"/>
            <w:r w:rsidRPr="00E972A9">
              <w:rPr>
                <w:rFonts w:cs="Arial"/>
                <w:spacing w:val="-4"/>
                <w:szCs w:val="20"/>
              </w:rPr>
              <w:t>roce  2010</w:t>
            </w:r>
            <w:proofErr w:type="gramEnd"/>
            <w:r w:rsidRPr="00E972A9">
              <w:rPr>
                <w:rFonts w:cs="Arial"/>
                <w:spacing w:val="-4"/>
                <w:szCs w:val="20"/>
              </w:rPr>
              <w:t xml:space="preserve"> jeho váha plynule narůstá </w:t>
            </w:r>
            <w:r w:rsidR="0026743D">
              <w:rPr>
                <w:rFonts w:cs="Arial"/>
                <w:spacing w:val="-4"/>
                <w:szCs w:val="20"/>
              </w:rPr>
              <w:t>(na úkor všech ostatních sektorů</w:t>
            </w:r>
            <w:r w:rsidRPr="00E972A9">
              <w:rPr>
                <w:rFonts w:cs="Arial"/>
                <w:spacing w:val="-4"/>
                <w:szCs w:val="20"/>
              </w:rPr>
              <w:t xml:space="preserve">, především domácností). Působení nefinančních podniků má </w:t>
            </w:r>
            <w:proofErr w:type="spellStart"/>
            <w:r w:rsidRPr="00E972A9">
              <w:rPr>
                <w:rFonts w:cs="Arial"/>
                <w:spacing w:val="-4"/>
                <w:szCs w:val="20"/>
              </w:rPr>
              <w:t>procyklický</w:t>
            </w:r>
            <w:proofErr w:type="spellEnd"/>
            <w:r w:rsidRPr="00E972A9">
              <w:rPr>
                <w:rFonts w:cs="Arial"/>
                <w:spacing w:val="-4"/>
                <w:szCs w:val="20"/>
              </w:rPr>
              <w:t xml:space="preserve"> charakter, což souvisí se skutečností, že téměř polovina jeho HPH pochází z průmyslu (výrazně exportně orientovaného) a další osminu z oborů na něj těsněji navázaných (doprava a skladování, stavebnictví). Citlivost nefinančních podniků na vývoj zahraniční poptávky nepřímo dokládá i vysoký podíl HPH vytvořené v tomto sektoru v subjektech pod zahraniční kontrolou (v roce 2016 již 48 %, v samotném průmyslu 60 %).</w:t>
            </w:r>
          </w:p>
        </w:tc>
      </w:tr>
      <w:tr w:rsidR="009C03C8" w:rsidRPr="00894C66" w:rsidTr="00DF7AD4">
        <w:tc>
          <w:tcPr>
            <w:tcW w:w="1976" w:type="dxa"/>
            <w:vMerge w:val="restart"/>
          </w:tcPr>
          <w:p w:rsidR="009C03C8" w:rsidRDefault="009C03C8" w:rsidP="00DF7AD4">
            <w:pPr>
              <w:pStyle w:val="Marginlie"/>
            </w:pPr>
          </w:p>
        </w:tc>
        <w:tc>
          <w:tcPr>
            <w:tcW w:w="277" w:type="dxa"/>
            <w:vMerge w:val="restart"/>
          </w:tcPr>
          <w:p w:rsidR="009C03C8" w:rsidRPr="005E4483" w:rsidRDefault="009C03C8" w:rsidP="00DF7AD4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391" w:type="dxa"/>
          </w:tcPr>
          <w:p w:rsidR="009C03C8" w:rsidRPr="006C7614" w:rsidRDefault="009C03C8" w:rsidP="00DF7AD4">
            <w:pPr>
              <w:spacing w:after="0"/>
              <w:rPr>
                <w:b/>
              </w:rPr>
            </w:pPr>
            <w:r>
              <w:rPr>
                <w:b/>
              </w:rPr>
              <w:t xml:space="preserve">Graf </w:t>
            </w:r>
            <w:proofErr w:type="gramStart"/>
            <w:r>
              <w:rPr>
                <w:b/>
              </w:rPr>
              <w:t xml:space="preserve">6.1  </w:t>
            </w:r>
            <w:r w:rsidRPr="006C7614">
              <w:rPr>
                <w:b/>
                <w:bCs/>
              </w:rPr>
              <w:t>Základní</w:t>
            </w:r>
            <w:proofErr w:type="gramEnd"/>
            <w:r w:rsidRPr="006C7614">
              <w:rPr>
                <w:b/>
                <w:bCs/>
              </w:rPr>
              <w:t xml:space="preserve"> ukazatele </w:t>
            </w:r>
            <w:r>
              <w:rPr>
                <w:b/>
                <w:bCs/>
              </w:rPr>
              <w:t xml:space="preserve">sektoru nefinančních podniků </w:t>
            </w:r>
          </w:p>
          <w:p w:rsidR="009C03C8" w:rsidRPr="004454DC" w:rsidRDefault="009C03C8" w:rsidP="00DF7AD4">
            <w:pPr>
              <w:spacing w:after="0"/>
              <w:rPr>
                <w:b/>
              </w:rPr>
            </w:pPr>
            <w:r w:rsidRPr="00CE22E1">
              <w:rPr>
                <w:b/>
                <w:noProof/>
              </w:rPr>
              <w:drawing>
                <wp:inline distT="0" distB="0" distL="0" distR="0">
                  <wp:extent cx="4641850" cy="3657600"/>
                  <wp:effectExtent l="19050" t="0" r="6350" b="0"/>
                  <wp:docPr id="4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 w:rsidR="009C03C8" w:rsidRPr="00894C66" w:rsidTr="00DF7AD4">
        <w:trPr>
          <w:trHeight w:val="284"/>
        </w:trPr>
        <w:tc>
          <w:tcPr>
            <w:tcW w:w="1976" w:type="dxa"/>
            <w:vMerge/>
          </w:tcPr>
          <w:p w:rsidR="009C03C8" w:rsidRDefault="009C03C8" w:rsidP="00DF7AD4">
            <w:pPr>
              <w:pStyle w:val="Marginlie"/>
            </w:pPr>
          </w:p>
        </w:tc>
        <w:tc>
          <w:tcPr>
            <w:tcW w:w="277" w:type="dxa"/>
            <w:vMerge/>
          </w:tcPr>
          <w:p w:rsidR="009C03C8" w:rsidRPr="005E4483" w:rsidRDefault="009C03C8" w:rsidP="00DF7AD4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391" w:type="dxa"/>
          </w:tcPr>
          <w:p w:rsidR="009C03C8" w:rsidRPr="00B75F8F" w:rsidRDefault="009C03C8" w:rsidP="00DF7AD4">
            <w:pPr>
              <w:spacing w:after="0" w:line="240" w:lineRule="auto"/>
              <w:rPr>
                <w:sz w:val="14"/>
                <w:szCs w:val="14"/>
              </w:rPr>
            </w:pPr>
            <w:r w:rsidRPr="00B75F8F">
              <w:rPr>
                <w:sz w:val="14"/>
                <w:szCs w:val="14"/>
              </w:rPr>
              <w:t xml:space="preserve">Poznámky k výpočtu relativních ukazatelů: </w:t>
            </w:r>
          </w:p>
          <w:p w:rsidR="009C03C8" w:rsidRPr="00B75F8F" w:rsidRDefault="009C03C8" w:rsidP="00DF7AD4">
            <w:pPr>
              <w:spacing w:after="0" w:line="240" w:lineRule="auto"/>
              <w:rPr>
                <w:sz w:val="14"/>
                <w:szCs w:val="14"/>
              </w:rPr>
            </w:pPr>
            <w:r w:rsidRPr="00B75F8F">
              <w:rPr>
                <w:sz w:val="14"/>
                <w:szCs w:val="14"/>
              </w:rPr>
              <w:t>Míra zisku = hrubý provozní přebytek / hrubá přidaná hodnota * 100</w:t>
            </w:r>
          </w:p>
          <w:p w:rsidR="009C03C8" w:rsidRPr="00B75F8F" w:rsidRDefault="009C03C8" w:rsidP="00DF7AD4">
            <w:pPr>
              <w:spacing w:after="0" w:line="240" w:lineRule="auto"/>
              <w:rPr>
                <w:sz w:val="14"/>
                <w:szCs w:val="14"/>
              </w:rPr>
            </w:pPr>
            <w:r w:rsidRPr="00B75F8F">
              <w:rPr>
                <w:sz w:val="14"/>
                <w:szCs w:val="14"/>
              </w:rPr>
              <w:t>Míra investic = hrubá tvorba fixního kapitálu / hrubá přidaná hodnota * 100</w:t>
            </w:r>
          </w:p>
          <w:p w:rsidR="009C03C8" w:rsidRPr="00B75F8F" w:rsidRDefault="009C03C8" w:rsidP="00DF7AD4">
            <w:pPr>
              <w:spacing w:after="0" w:line="240" w:lineRule="auto"/>
              <w:rPr>
                <w:sz w:val="14"/>
                <w:szCs w:val="14"/>
              </w:rPr>
            </w:pPr>
            <w:r w:rsidRPr="00B75F8F">
              <w:rPr>
                <w:sz w:val="14"/>
                <w:szCs w:val="14"/>
              </w:rPr>
              <w:t>Míra samofinancování (užší pojetí) = hrubé úspory / hrubá tvorba fixního kapitálu *100</w:t>
            </w:r>
          </w:p>
          <w:p w:rsidR="009C03C8" w:rsidRPr="00D209A6" w:rsidRDefault="009C03C8" w:rsidP="00DF7AD4">
            <w:pPr>
              <w:spacing w:after="0" w:line="240" w:lineRule="auto"/>
              <w:rPr>
                <w:sz w:val="14"/>
                <w:szCs w:val="14"/>
              </w:rPr>
            </w:pPr>
            <w:r w:rsidRPr="00B75F8F">
              <w:rPr>
                <w:sz w:val="14"/>
                <w:szCs w:val="14"/>
              </w:rPr>
              <w:t>Míra samofinancování (širší pojetí) = (hrubé úspory + saldo kapitálových transferů) / (hrubá tvorba kapitálu+čisté přírůstky půdy a nehmotných aktiv) * 100</w:t>
            </w:r>
          </w:p>
          <w:p w:rsidR="009C03C8" w:rsidRPr="00444E6D" w:rsidRDefault="009C03C8" w:rsidP="009C03C8">
            <w:pPr>
              <w:pStyle w:val="Zhlav"/>
              <w:spacing w:after="240" w:line="276" w:lineRule="auto"/>
              <w:jc w:val="both"/>
              <w:rPr>
                <w:rFonts w:cs="Arial"/>
                <w:sz w:val="14"/>
                <w:szCs w:val="14"/>
                <w:lang w:eastAsia="cs-CZ"/>
              </w:rPr>
            </w:pPr>
            <w:r w:rsidRPr="00B75F8F">
              <w:rPr>
                <w:rFonts w:cs="Arial"/>
                <w:sz w:val="14"/>
                <w:szCs w:val="14"/>
                <w:lang w:eastAsia="cs-CZ"/>
              </w:rPr>
              <w:t>Zdroj: ČSÚ (národní účty)</w:t>
            </w:r>
            <w:r w:rsidRPr="00B75F8F">
              <w:rPr>
                <w:rFonts w:cs="Arial"/>
                <w:szCs w:val="16"/>
                <w:lang w:eastAsia="cs-CZ"/>
              </w:rPr>
              <w:t xml:space="preserve"> </w:t>
            </w:r>
          </w:p>
        </w:tc>
      </w:tr>
      <w:tr w:rsidR="009C03C8" w:rsidRPr="00894C66" w:rsidTr="00DF7AD4">
        <w:trPr>
          <w:trHeight w:val="145"/>
        </w:trPr>
        <w:tc>
          <w:tcPr>
            <w:tcW w:w="1976" w:type="dxa"/>
          </w:tcPr>
          <w:p w:rsidR="009C03C8" w:rsidRDefault="009C03C8" w:rsidP="00DF7AD4">
            <w:pPr>
              <w:pStyle w:val="Marginlie"/>
            </w:pPr>
            <w:r>
              <w:t>Růstové tempo zaměstnanosti v nefinančních podnicích sláblo, přesto bylo vyšší než v celé ekonomice.</w:t>
            </w:r>
          </w:p>
          <w:p w:rsidR="009C03C8" w:rsidRDefault="009C03C8" w:rsidP="00DF7AD4">
            <w:pPr>
              <w:pStyle w:val="Marginlie"/>
            </w:pPr>
          </w:p>
          <w:p w:rsidR="009C03C8" w:rsidRDefault="009C03C8" w:rsidP="00DF7AD4">
            <w:pPr>
              <w:pStyle w:val="Marginlie"/>
            </w:pPr>
          </w:p>
          <w:p w:rsidR="009C03C8" w:rsidRDefault="009C03C8" w:rsidP="00DF7AD4">
            <w:pPr>
              <w:pStyle w:val="Marginlie"/>
            </w:pPr>
          </w:p>
          <w:p w:rsidR="009C03C8" w:rsidRDefault="009C03C8" w:rsidP="00DF7AD4">
            <w:pPr>
              <w:pStyle w:val="Marginlie"/>
            </w:pPr>
          </w:p>
          <w:p w:rsidR="009C03C8" w:rsidRDefault="009C03C8" w:rsidP="00DF7AD4">
            <w:pPr>
              <w:pStyle w:val="Marginlie"/>
            </w:pPr>
            <w:r>
              <w:t>Náklady práce jsou relativně nejvíce zatíženy soukromé podniky s převahou národního kapitálu, nejméně veřejné nefinanční podniky.</w:t>
            </w:r>
          </w:p>
        </w:tc>
        <w:tc>
          <w:tcPr>
            <w:tcW w:w="277" w:type="dxa"/>
          </w:tcPr>
          <w:p w:rsidR="009C03C8" w:rsidRPr="005E4483" w:rsidRDefault="009C03C8" w:rsidP="00DF7AD4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391" w:type="dxa"/>
          </w:tcPr>
          <w:p w:rsidR="009C03C8" w:rsidRPr="00E972A9" w:rsidRDefault="009C03C8" w:rsidP="009C03C8">
            <w:pPr>
              <w:rPr>
                <w:rFonts w:cs="Arial"/>
                <w:spacing w:val="-4"/>
                <w:szCs w:val="20"/>
              </w:rPr>
            </w:pPr>
            <w:r w:rsidRPr="00E972A9">
              <w:rPr>
                <w:rFonts w:cs="Arial"/>
                <w:spacing w:val="-4"/>
                <w:szCs w:val="20"/>
              </w:rPr>
              <w:t>V sektoru nefinančních podniků loni pracovalo 3,183 mil. lidí (po přepočtu na plné úvazky)</w:t>
            </w:r>
            <w:r w:rsidRPr="00E04F27">
              <w:rPr>
                <w:rStyle w:val="Znakapoznpodarou"/>
                <w:rFonts w:cs="Arial"/>
                <w:spacing w:val="-4"/>
                <w:szCs w:val="20"/>
              </w:rPr>
              <w:footnoteReference w:id="2"/>
            </w:r>
            <w:r w:rsidRPr="00E972A9">
              <w:rPr>
                <w:rFonts w:cs="Arial"/>
                <w:spacing w:val="-4"/>
                <w:szCs w:val="20"/>
              </w:rPr>
              <w:t xml:space="preserve">. Na zaměstnanosti v celé ekonomice se podílel 60,6 % (v případě zaměstnanců byl tento podíl ještě o zhruba 10 p. </w:t>
            </w:r>
            <w:proofErr w:type="spellStart"/>
            <w:r w:rsidRPr="00E972A9">
              <w:rPr>
                <w:rFonts w:cs="Arial"/>
                <w:spacing w:val="-4"/>
                <w:szCs w:val="20"/>
              </w:rPr>
              <w:t>b</w:t>
            </w:r>
            <w:proofErr w:type="spellEnd"/>
            <w:r w:rsidRPr="00E972A9">
              <w:rPr>
                <w:rFonts w:cs="Arial"/>
                <w:spacing w:val="-4"/>
                <w:szCs w:val="20"/>
              </w:rPr>
              <w:t xml:space="preserve">. </w:t>
            </w:r>
            <w:proofErr w:type="gramStart"/>
            <w:r w:rsidRPr="00E972A9">
              <w:rPr>
                <w:rFonts w:cs="Arial"/>
                <w:spacing w:val="-4"/>
                <w:szCs w:val="20"/>
              </w:rPr>
              <w:t>vyšší</w:t>
            </w:r>
            <w:proofErr w:type="gramEnd"/>
            <w:r w:rsidRPr="00E972A9">
              <w:rPr>
                <w:rFonts w:cs="Arial"/>
                <w:spacing w:val="-4"/>
                <w:szCs w:val="20"/>
              </w:rPr>
              <w:t>). Přestože meziroční přírůstek pracovníků byl loni v podnicích nejslabší</w:t>
            </w:r>
            <w:r w:rsidR="00DF7AD4" w:rsidRPr="00E972A9">
              <w:rPr>
                <w:rFonts w:cs="Arial"/>
                <w:spacing w:val="-4"/>
                <w:szCs w:val="20"/>
              </w:rPr>
              <w:t xml:space="preserve"> za posledních čtyři roky (+1,7 </w:t>
            </w:r>
            <w:r w:rsidRPr="00E972A9">
              <w:rPr>
                <w:rFonts w:cs="Arial"/>
                <w:spacing w:val="-4"/>
                <w:szCs w:val="20"/>
              </w:rPr>
              <w:t xml:space="preserve">%), </w:t>
            </w:r>
            <w:r w:rsidRPr="00E972A9">
              <w:rPr>
                <w:rFonts w:cs="Arial"/>
                <w:spacing w:val="-4"/>
                <w:szCs w:val="20"/>
              </w:rPr>
              <w:lastRenderedPageBreak/>
              <w:t xml:space="preserve">stále šlo o silnější tempo než v národním hospodářství (+1,2 %). Zvolnění růstového tempa nevypovídá ani tak o snížení vysoké důvěry podnikové sféry v ekonomiku, jako spíše o vyčerpání velké části rezerv potenciální pracovní síly na tuzemském trhu. Sílící napětí na pracovním trhu vedlo v letech 2016 a 2017 k akceleraci růstu průměrných mezd.  Nominální růst výdajů na mzdy a platy se loni rovnal 8,4 % (v roce 2016 dosáhl 6,0 %). Výdělky v nefinančních podnicích tak rostly nejvyšším tempem za posledních devět let. Pro podniky ale takový vývoj znamenal zátěž. Z vytvořené hrubé přidané hodnoty putovalo loni na náhrady zaměstnancům (vyjadřující celkové náklady práce) 51,6 %. Tento podíl rostl již druhým rokem v řadě. Z podrobnějšího pohledu plyne, že dlouhodobě jsou v Česku náklady práce nejvíce zatíženy soukromé podniky s převahou národního kapitálu, nejméně pak veřejné nefinanční podniky. I přes celkově vyšší hladinu průměrných mezd v podnicích pod zahraniční kontrolou směřuje na náhrady zaměstnancům jen menší část HPH (ve prospěch provozního přebytku). Tyto podniky si tak udržují vysokou míru zisku (ta v roce 2016 činila ve všech nefinančních podnicích 50,5 %, v podnicích pod zahraniční kontrolou 53,1 %). </w:t>
            </w:r>
          </w:p>
        </w:tc>
      </w:tr>
      <w:tr w:rsidR="009C03C8" w:rsidRPr="004454DC" w:rsidTr="00DF7AD4">
        <w:trPr>
          <w:trHeight w:val="170"/>
        </w:trPr>
        <w:tc>
          <w:tcPr>
            <w:tcW w:w="1976" w:type="dxa"/>
          </w:tcPr>
          <w:p w:rsidR="009C03C8" w:rsidRDefault="009C03C8" w:rsidP="00DF7AD4">
            <w:pPr>
              <w:pStyle w:val="Marginlie"/>
            </w:pPr>
          </w:p>
        </w:tc>
        <w:tc>
          <w:tcPr>
            <w:tcW w:w="277" w:type="dxa"/>
          </w:tcPr>
          <w:p w:rsidR="009C03C8" w:rsidRPr="005E4483" w:rsidRDefault="009C03C8" w:rsidP="00DF7AD4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391" w:type="dxa"/>
          </w:tcPr>
          <w:p w:rsidR="009C03C8" w:rsidRPr="005673A4" w:rsidRDefault="009C03C8" w:rsidP="00DF7AD4">
            <w:pPr>
              <w:spacing w:after="0"/>
              <w:rPr>
                <w:rFonts w:cs="Arial"/>
                <w:spacing w:val="-2"/>
                <w:szCs w:val="20"/>
              </w:rPr>
            </w:pPr>
            <w:r>
              <w:rPr>
                <w:rFonts w:cs="Arial"/>
                <w:b/>
                <w:spacing w:val="-2"/>
                <w:szCs w:val="20"/>
              </w:rPr>
              <w:t xml:space="preserve">Graf </w:t>
            </w:r>
            <w:proofErr w:type="gramStart"/>
            <w:r>
              <w:rPr>
                <w:rFonts w:cs="Arial"/>
                <w:b/>
                <w:spacing w:val="-2"/>
                <w:szCs w:val="20"/>
              </w:rPr>
              <w:t>6.2</w:t>
            </w:r>
            <w:r w:rsidRPr="005673A4">
              <w:rPr>
                <w:rFonts w:cs="Arial"/>
                <w:b/>
                <w:spacing w:val="-2"/>
                <w:szCs w:val="20"/>
              </w:rPr>
              <w:t xml:space="preserve">  </w:t>
            </w:r>
            <w:r>
              <w:rPr>
                <w:rFonts w:cs="Arial"/>
                <w:b/>
                <w:spacing w:val="-2"/>
                <w:szCs w:val="20"/>
              </w:rPr>
              <w:t>Náklady</w:t>
            </w:r>
            <w:proofErr w:type="gramEnd"/>
            <w:r>
              <w:rPr>
                <w:rFonts w:cs="Arial"/>
                <w:b/>
                <w:spacing w:val="-2"/>
                <w:szCs w:val="20"/>
              </w:rPr>
              <w:t xml:space="preserve"> práce nefinančních podniků a jejich </w:t>
            </w:r>
            <w:proofErr w:type="spellStart"/>
            <w:r>
              <w:rPr>
                <w:rFonts w:cs="Arial"/>
                <w:b/>
                <w:spacing w:val="-2"/>
                <w:szCs w:val="20"/>
              </w:rPr>
              <w:t>subsektorů</w:t>
            </w:r>
            <w:proofErr w:type="spellEnd"/>
          </w:p>
          <w:p w:rsidR="009C03C8" w:rsidRPr="00D6151E" w:rsidRDefault="009C03C8" w:rsidP="00DF7AD4">
            <w:pPr>
              <w:spacing w:after="0"/>
            </w:pPr>
            <w:r w:rsidRPr="002A4D16">
              <w:rPr>
                <w:noProof/>
              </w:rPr>
              <w:drawing>
                <wp:inline distT="0" distB="0" distL="0" distR="0">
                  <wp:extent cx="4641850" cy="3676650"/>
                  <wp:effectExtent l="19050" t="0" r="6350" b="0"/>
                  <wp:docPr id="5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9C03C8" w:rsidRPr="00444E6D" w:rsidTr="00DF7AD4">
        <w:trPr>
          <w:trHeight w:val="170"/>
        </w:trPr>
        <w:tc>
          <w:tcPr>
            <w:tcW w:w="1976" w:type="dxa"/>
          </w:tcPr>
          <w:p w:rsidR="009C03C8" w:rsidRDefault="009C03C8" w:rsidP="00DF7AD4">
            <w:pPr>
              <w:pStyle w:val="Marginlie"/>
            </w:pPr>
          </w:p>
        </w:tc>
        <w:tc>
          <w:tcPr>
            <w:tcW w:w="277" w:type="dxa"/>
          </w:tcPr>
          <w:p w:rsidR="009C03C8" w:rsidRPr="005E4483" w:rsidRDefault="009C03C8" w:rsidP="00DF7AD4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391" w:type="dxa"/>
          </w:tcPr>
          <w:p w:rsidR="009C03C8" w:rsidRPr="00D6151E" w:rsidRDefault="009C03C8" w:rsidP="009C03C8">
            <w:r>
              <w:rPr>
                <w:rFonts w:cs="Arial"/>
                <w:sz w:val="14"/>
                <w:szCs w:val="14"/>
              </w:rPr>
              <w:t>Zdroj: ČSÚ (národní účty)</w:t>
            </w:r>
          </w:p>
        </w:tc>
      </w:tr>
      <w:tr w:rsidR="009C03C8" w:rsidRPr="00C07CE0" w:rsidTr="00DF7AD4">
        <w:trPr>
          <w:trHeight w:val="170"/>
        </w:trPr>
        <w:tc>
          <w:tcPr>
            <w:tcW w:w="1976" w:type="dxa"/>
          </w:tcPr>
          <w:p w:rsidR="009C03C8" w:rsidRDefault="009C03C8" w:rsidP="00DF7AD4">
            <w:pPr>
              <w:pStyle w:val="Marginlie"/>
            </w:pPr>
            <w:r>
              <w:t>Míra zisku podniků se poprvé po třech letech snížila pod 50 %, Výrazně se lišila mezi odvětvími.</w:t>
            </w:r>
          </w:p>
        </w:tc>
        <w:tc>
          <w:tcPr>
            <w:tcW w:w="277" w:type="dxa"/>
          </w:tcPr>
          <w:p w:rsidR="009C03C8" w:rsidRPr="00891CBB" w:rsidRDefault="009C03C8" w:rsidP="00DF7AD4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391" w:type="dxa"/>
          </w:tcPr>
          <w:p w:rsidR="009C03C8" w:rsidRPr="00E972A9" w:rsidRDefault="009C03C8" w:rsidP="00DF7AD4">
            <w:pPr>
              <w:rPr>
                <w:rFonts w:cs="Arial"/>
                <w:spacing w:val="-4"/>
                <w:szCs w:val="20"/>
              </w:rPr>
            </w:pPr>
            <w:r w:rsidRPr="00E972A9">
              <w:rPr>
                <w:rFonts w:cs="Arial"/>
                <w:spacing w:val="-4"/>
                <w:szCs w:val="20"/>
              </w:rPr>
              <w:t>Míra zisku nefinančních podniků klesla loni poprvé po třech letech pod 50 % Neudržitelnost vysokých hodnot z období 2014 až 2015 (kdy se blížila 52 % a atakovala úroveň z vrcholu konjunktury minulé dekády) byla patrná nejen ve světle sílících nákladů na pracovní sílu, ale i z časově omezeného působení režimu řízeného oslabení české koruny (jež měla krátkodobě pozitivní vliv na zisky exportérů). Míra zisku se lišila podle odvětví. Vysokou úroveň si dlouhodobě udržují podniky v zemědělství, lesnictví a rybářství, energetice, činnostech v oblasti nemovitostí, informačních a komunikačních činnostech a také v kulturních, zábavních a rekreačních činnostech. Na opačném konci spektra se nacházely podniky v ubytování, stravování a pohostinství a také nepočetně zastoupené podniky ve veřejných službách.</w:t>
            </w:r>
          </w:p>
        </w:tc>
      </w:tr>
      <w:tr w:rsidR="009C03C8" w:rsidRPr="00BB5E91" w:rsidTr="00DF7AD4">
        <w:trPr>
          <w:trHeight w:val="170"/>
        </w:trPr>
        <w:tc>
          <w:tcPr>
            <w:tcW w:w="1976" w:type="dxa"/>
          </w:tcPr>
          <w:p w:rsidR="009C03C8" w:rsidRDefault="009C03C8" w:rsidP="00DF7AD4">
            <w:pPr>
              <w:pStyle w:val="Marginlie"/>
            </w:pPr>
            <w:r>
              <w:t xml:space="preserve">Míra zisku nefinančních podniků v Irsku byla více než dvojnásobná oproti těm </w:t>
            </w:r>
            <w:r>
              <w:lastRenderedPageBreak/>
              <w:t>ve Francii, Velké Británii či Slovinsku.</w:t>
            </w:r>
          </w:p>
        </w:tc>
        <w:tc>
          <w:tcPr>
            <w:tcW w:w="277" w:type="dxa"/>
          </w:tcPr>
          <w:p w:rsidR="009C03C8" w:rsidRPr="005E4483" w:rsidRDefault="009C03C8" w:rsidP="00DF7AD4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391" w:type="dxa"/>
          </w:tcPr>
          <w:p w:rsidR="009C03C8" w:rsidRPr="00E972A9" w:rsidRDefault="009C03C8" w:rsidP="009C03C8">
            <w:pPr>
              <w:rPr>
                <w:rFonts w:cs="Arial"/>
                <w:spacing w:val="-4"/>
                <w:szCs w:val="20"/>
              </w:rPr>
            </w:pPr>
            <w:r w:rsidRPr="00E972A9">
              <w:rPr>
                <w:rFonts w:cs="Arial"/>
                <w:spacing w:val="-4"/>
                <w:szCs w:val="20"/>
              </w:rPr>
              <w:t xml:space="preserve">Rozdílná odvětvová skladba společně s celkovou kondicí ekonomiky představují významné faktory stojící v pozadí rozdílů v míře zisku nefinančních podniků napříč </w:t>
            </w:r>
            <w:r w:rsidRPr="00E972A9">
              <w:rPr>
                <w:rFonts w:cs="Arial"/>
                <w:spacing w:val="-4"/>
                <w:szCs w:val="20"/>
              </w:rPr>
              <w:lastRenderedPageBreak/>
              <w:t xml:space="preserve">státy EU. Největší ziskovosti dosáhly podniky v Irsku, kde podíl hrubého provozního přebytku na přidané hodnotě v roce 2016 činil 72 %. S větším odstupem následovaly Malta, Rumunsko a Řecko. Česko se řadilo na pátou pozici a dosáhlo nejvyššího umístění po roce 2008.  Jen v těsném závěsu za ČR (o 1 až 2 p. </w:t>
            </w:r>
            <w:proofErr w:type="spellStart"/>
            <w:r w:rsidRPr="00E972A9">
              <w:rPr>
                <w:rFonts w:cs="Arial"/>
                <w:spacing w:val="-4"/>
                <w:szCs w:val="20"/>
              </w:rPr>
              <w:t>b</w:t>
            </w:r>
            <w:proofErr w:type="spellEnd"/>
            <w:r w:rsidRPr="00E972A9">
              <w:rPr>
                <w:rFonts w:cs="Arial"/>
                <w:spacing w:val="-4"/>
                <w:szCs w:val="20"/>
              </w:rPr>
              <w:t xml:space="preserve">.) figurovaly ostatní státy </w:t>
            </w:r>
            <w:proofErr w:type="spellStart"/>
            <w:r w:rsidRPr="00E972A9">
              <w:rPr>
                <w:rFonts w:cs="Arial"/>
                <w:spacing w:val="-4"/>
                <w:szCs w:val="20"/>
              </w:rPr>
              <w:t>Visegradského</w:t>
            </w:r>
            <w:proofErr w:type="spellEnd"/>
            <w:r w:rsidRPr="00E972A9">
              <w:rPr>
                <w:rFonts w:cs="Arial"/>
                <w:spacing w:val="-4"/>
                <w:szCs w:val="20"/>
              </w:rPr>
              <w:t xml:space="preserve"> uskupení. Z novějších členských států měly nejhorší postavení Kypr (38 %) a Slovinsko (35 %), z největších ekonomik Unie pak Velká Británie (35 %) a Francie (32 %).</w:t>
            </w:r>
          </w:p>
        </w:tc>
      </w:tr>
      <w:tr w:rsidR="009C03C8" w:rsidRPr="00D6151E" w:rsidTr="00DF7AD4">
        <w:trPr>
          <w:trHeight w:val="170"/>
        </w:trPr>
        <w:tc>
          <w:tcPr>
            <w:tcW w:w="1976" w:type="dxa"/>
          </w:tcPr>
          <w:p w:rsidR="009C03C8" w:rsidRDefault="009C03C8" w:rsidP="00DF7AD4">
            <w:pPr>
              <w:pStyle w:val="Marginlie"/>
            </w:pPr>
          </w:p>
        </w:tc>
        <w:tc>
          <w:tcPr>
            <w:tcW w:w="277" w:type="dxa"/>
          </w:tcPr>
          <w:p w:rsidR="009C03C8" w:rsidRPr="005E4483" w:rsidRDefault="009C03C8" w:rsidP="00DF7AD4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391" w:type="dxa"/>
          </w:tcPr>
          <w:p w:rsidR="009C03C8" w:rsidRDefault="009C03C8" w:rsidP="00DF7AD4">
            <w:pPr>
              <w:spacing w:after="0"/>
              <w:jc w:val="left"/>
            </w:pPr>
            <w:r>
              <w:rPr>
                <w:b/>
              </w:rPr>
              <w:t xml:space="preserve">Graf </w:t>
            </w:r>
            <w:proofErr w:type="gramStart"/>
            <w:r>
              <w:rPr>
                <w:b/>
              </w:rPr>
              <w:t xml:space="preserve">6.3 </w:t>
            </w:r>
            <w:r w:rsidRPr="00D3312A">
              <w:rPr>
                <w:b/>
              </w:rPr>
              <w:t xml:space="preserve"> </w:t>
            </w:r>
            <w:r>
              <w:rPr>
                <w:b/>
              </w:rPr>
              <w:t>Přijaté</w:t>
            </w:r>
            <w:proofErr w:type="gramEnd"/>
            <w:r>
              <w:rPr>
                <w:b/>
              </w:rPr>
              <w:t xml:space="preserve"> (+) a vyplacené (-)</w:t>
            </w:r>
            <w:r>
              <w:t xml:space="preserve"> </w:t>
            </w:r>
            <w:r w:rsidRPr="0021330F">
              <w:rPr>
                <w:b/>
              </w:rPr>
              <w:t>druhy vlas</w:t>
            </w:r>
            <w:r>
              <w:rPr>
                <w:b/>
              </w:rPr>
              <w:t xml:space="preserve">tnických důchodů </w:t>
            </w:r>
            <w:proofErr w:type="spellStart"/>
            <w:r>
              <w:rPr>
                <w:b/>
              </w:rPr>
              <w:t>nef</w:t>
            </w:r>
            <w:proofErr w:type="spellEnd"/>
            <w:r>
              <w:rPr>
                <w:b/>
              </w:rPr>
              <w:t>.</w:t>
            </w:r>
            <w:r w:rsidRPr="0021330F">
              <w:rPr>
                <w:b/>
              </w:rPr>
              <w:t xml:space="preserve"> podniky celkem a saldo vlastnických důchodů</w:t>
            </w:r>
            <w:r>
              <w:t xml:space="preserve"> </w:t>
            </w:r>
            <w:r w:rsidRPr="0021330F">
              <w:rPr>
                <w:b/>
              </w:rPr>
              <w:t xml:space="preserve">celkem a dle </w:t>
            </w:r>
            <w:proofErr w:type="spellStart"/>
            <w:r w:rsidRPr="0021330F">
              <w:rPr>
                <w:b/>
              </w:rPr>
              <w:t>subsektorů</w:t>
            </w:r>
            <w:proofErr w:type="spellEnd"/>
            <w:r w:rsidRPr="0021330F">
              <w:rPr>
                <w:b/>
              </w:rPr>
              <w:t xml:space="preserve"> </w:t>
            </w:r>
            <w:r w:rsidRPr="0021330F">
              <w:t>(v mld. korun)</w:t>
            </w:r>
          </w:p>
          <w:p w:rsidR="009C03C8" w:rsidRPr="00B62688" w:rsidRDefault="009C03C8" w:rsidP="00DF7AD4">
            <w:pPr>
              <w:spacing w:after="0"/>
              <w:rPr>
                <w:rFonts w:cs="Arial"/>
                <w:spacing w:val="-2"/>
                <w:szCs w:val="20"/>
              </w:rPr>
            </w:pPr>
            <w:r w:rsidRPr="0021330F">
              <w:rPr>
                <w:rFonts w:cs="Arial"/>
                <w:noProof/>
                <w:spacing w:val="-2"/>
                <w:szCs w:val="20"/>
              </w:rPr>
              <w:drawing>
                <wp:inline distT="0" distB="0" distL="0" distR="0">
                  <wp:extent cx="4695825" cy="3752850"/>
                  <wp:effectExtent l="0" t="0" r="0" b="0"/>
                  <wp:docPr id="6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9C03C8" w:rsidRPr="00D6151E" w:rsidTr="00DF7AD4">
        <w:trPr>
          <w:trHeight w:val="170"/>
        </w:trPr>
        <w:tc>
          <w:tcPr>
            <w:tcW w:w="1976" w:type="dxa"/>
          </w:tcPr>
          <w:p w:rsidR="009C03C8" w:rsidRDefault="009C03C8" w:rsidP="00DF7AD4">
            <w:pPr>
              <w:pStyle w:val="Marginlie"/>
              <w:spacing w:line="240" w:lineRule="auto"/>
            </w:pPr>
          </w:p>
        </w:tc>
        <w:tc>
          <w:tcPr>
            <w:tcW w:w="277" w:type="dxa"/>
          </w:tcPr>
          <w:p w:rsidR="009C03C8" w:rsidRPr="005E4483" w:rsidRDefault="009C03C8" w:rsidP="00DF7AD4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391" w:type="dxa"/>
          </w:tcPr>
          <w:p w:rsidR="009C03C8" w:rsidRPr="00A7195D" w:rsidRDefault="009C03C8" w:rsidP="00DF7AD4">
            <w:pPr>
              <w:spacing w:after="0" w:line="240" w:lineRule="auto"/>
              <w:rPr>
                <w:rFonts w:cs="Arial"/>
                <w:spacing w:val="-4"/>
                <w:sz w:val="14"/>
                <w:szCs w:val="14"/>
              </w:rPr>
            </w:pPr>
            <w:r w:rsidRPr="00A7195D">
              <w:rPr>
                <w:rFonts w:cs="Arial"/>
                <w:spacing w:val="-4"/>
                <w:sz w:val="14"/>
                <w:szCs w:val="14"/>
              </w:rPr>
              <w:t>Poznámka. U jednotlivých druhů vlastnických důchodů jsou uvedeny kódy v souladu s mezinárodním standardem ESA 2010.</w:t>
            </w:r>
          </w:p>
          <w:p w:rsidR="009C03C8" w:rsidRPr="00A7195D" w:rsidRDefault="009C03C8" w:rsidP="009C03C8">
            <w:pPr>
              <w:rPr>
                <w:rFonts w:cs="Arial"/>
                <w:spacing w:val="-2"/>
                <w:sz w:val="14"/>
                <w:szCs w:val="14"/>
              </w:rPr>
            </w:pPr>
            <w:r w:rsidRPr="00A7195D">
              <w:rPr>
                <w:rFonts w:cs="Arial"/>
                <w:spacing w:val="-2"/>
                <w:sz w:val="14"/>
                <w:szCs w:val="14"/>
              </w:rPr>
              <w:t>Zdroj: ČSÚ (národní účty)</w:t>
            </w:r>
          </w:p>
        </w:tc>
      </w:tr>
      <w:tr w:rsidR="009C03C8" w:rsidRPr="00D6151E" w:rsidTr="00DF7AD4">
        <w:trPr>
          <w:trHeight w:val="170"/>
        </w:trPr>
        <w:tc>
          <w:tcPr>
            <w:tcW w:w="1976" w:type="dxa"/>
          </w:tcPr>
          <w:p w:rsidR="009C03C8" w:rsidRDefault="009C03C8" w:rsidP="00DF7AD4">
            <w:pPr>
              <w:pStyle w:val="Marginlie"/>
            </w:pPr>
            <w:r>
              <w:t>Výše odlivu vlastnických důchodů ze sektoru nefinančních podniků se meziročně v úhrnu nezměnila. Jeho struktura ano:…</w:t>
            </w:r>
          </w:p>
          <w:p w:rsidR="009C03C8" w:rsidRDefault="009C03C8" w:rsidP="00DF7AD4">
            <w:pPr>
              <w:pStyle w:val="Marginlie"/>
            </w:pPr>
          </w:p>
          <w:p w:rsidR="009C03C8" w:rsidRDefault="009C03C8" w:rsidP="00DF7AD4">
            <w:pPr>
              <w:pStyle w:val="Marginlie"/>
            </w:pPr>
          </w:p>
          <w:p w:rsidR="009C03C8" w:rsidRDefault="009C03C8" w:rsidP="00DF7AD4">
            <w:pPr>
              <w:pStyle w:val="Marginlie"/>
            </w:pPr>
          </w:p>
          <w:p w:rsidR="009C03C8" w:rsidRDefault="009C03C8" w:rsidP="00DF7AD4">
            <w:pPr>
              <w:pStyle w:val="Marginlie"/>
            </w:pPr>
            <w:r>
              <w:t>…úrokové saldo bylo vyrovnané, odliv dividend se snížil ve prospěch reinvestovaných zisků.</w:t>
            </w:r>
          </w:p>
          <w:p w:rsidR="009C03C8" w:rsidRDefault="009C03C8" w:rsidP="00DF7AD4">
            <w:pPr>
              <w:pStyle w:val="Marginlie"/>
            </w:pPr>
          </w:p>
          <w:p w:rsidR="009C03C8" w:rsidRDefault="009C03C8" w:rsidP="00DF7AD4">
            <w:pPr>
              <w:pStyle w:val="Marginlie"/>
            </w:pPr>
          </w:p>
          <w:p w:rsidR="009C03C8" w:rsidRPr="00FE39A1" w:rsidRDefault="009C03C8" w:rsidP="00DF7AD4">
            <w:pPr>
              <w:pStyle w:val="Marginlie"/>
            </w:pPr>
          </w:p>
        </w:tc>
        <w:tc>
          <w:tcPr>
            <w:tcW w:w="277" w:type="dxa"/>
          </w:tcPr>
          <w:p w:rsidR="009C03C8" w:rsidRPr="005E4483" w:rsidRDefault="009C03C8" w:rsidP="00DF7AD4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391" w:type="dxa"/>
          </w:tcPr>
          <w:p w:rsidR="009C03C8" w:rsidRPr="009C03C8" w:rsidRDefault="009C03C8" w:rsidP="00DF7AD4">
            <w:pPr>
              <w:keepNext/>
              <w:keepLines/>
              <w:contextualSpacing/>
              <w:outlineLvl w:val="0"/>
              <w:rPr>
                <w:rFonts w:cs="Arial"/>
                <w:szCs w:val="20"/>
              </w:rPr>
            </w:pPr>
            <w:r w:rsidRPr="009C03C8">
              <w:rPr>
                <w:rFonts w:cs="Arial"/>
                <w:szCs w:val="20"/>
              </w:rPr>
              <w:t>Vytvořený zisk sektoru nefinančních podniků se dále rozpouští v prvotních důchodech. Souhrnné saldo všech druhů vlastnických důchodů v tomto sektoru dosáhlo loni -508,6 mld. korun a ve srovnání s rokem 2016 se prakticky nezměnilo. Na úrovni hlavních druhů vlastnických důchodů lze vidět pozitivní tendence. Úrokové saldo (jako rozdíl mezi přijatými a zaplacenými úroky) bylo loni poprvé v historii ČR prakticky vyrovnané. Ještě v roce 2014 přitom činil deficit 40 mld. korun. Pro nefinanční podniky v ČR tak jejich zadluženost nepředstavovala vážnější problém. Čistý odliv rozdělovaných důchodů společností (v drtivě většině formou dividend) ze sektoru nefinančních podniků činil 368 mld. korun a meziročně se snížil o desetinu</w:t>
            </w:r>
            <w:r w:rsidRPr="009C03C8">
              <w:rPr>
                <w:rStyle w:val="Znakapoznpodarou"/>
                <w:rFonts w:cs="Arial"/>
                <w:szCs w:val="20"/>
              </w:rPr>
              <w:footnoteReference w:id="3"/>
            </w:r>
            <w:r w:rsidRPr="009C03C8">
              <w:rPr>
                <w:rFonts w:cs="Arial"/>
                <w:szCs w:val="20"/>
              </w:rPr>
              <w:t>. Objem přijatých dividend mírně vzrostl (ze 73 na 80 mld. korun), opačný tok přestavoval pokles ze 478 mld. (rok 2016) na 446 mld. (rok 2017). Oproti tomu negativní saldo z reinvestovaných zisků z přímých zahraničních investic vzrostlo ve stejném období z 89 mld. korun na 132 mld. Tyto navýšené prostředky mohou sloužit pro další rozvoj podniků v tuzemsku.</w:t>
            </w:r>
          </w:p>
          <w:p w:rsidR="009C03C8" w:rsidRPr="009C03C8" w:rsidRDefault="009C03C8" w:rsidP="00DF7AD4">
            <w:pPr>
              <w:keepNext/>
              <w:keepLines/>
              <w:contextualSpacing/>
              <w:outlineLvl w:val="0"/>
              <w:rPr>
                <w:rFonts w:cs="Arial"/>
                <w:szCs w:val="20"/>
              </w:rPr>
            </w:pPr>
          </w:p>
        </w:tc>
      </w:tr>
      <w:tr w:rsidR="009C03C8" w:rsidRPr="00D6151E" w:rsidTr="00DF7AD4">
        <w:trPr>
          <w:trHeight w:val="170"/>
        </w:trPr>
        <w:tc>
          <w:tcPr>
            <w:tcW w:w="1976" w:type="dxa"/>
          </w:tcPr>
          <w:p w:rsidR="009C03C8" w:rsidRDefault="009C03C8" w:rsidP="00DF7AD4">
            <w:pPr>
              <w:pStyle w:val="Marginlie"/>
            </w:pPr>
            <w:r>
              <w:lastRenderedPageBreak/>
              <w:t>Pokles míry úspor se zastavil, míra investic ale klesla na nové minimum.</w:t>
            </w:r>
          </w:p>
          <w:p w:rsidR="009C03C8" w:rsidRDefault="009C03C8" w:rsidP="00DF7AD4">
            <w:pPr>
              <w:pStyle w:val="Marginlie"/>
            </w:pPr>
          </w:p>
          <w:p w:rsidR="009C03C8" w:rsidRDefault="009C03C8" w:rsidP="00DF7AD4">
            <w:pPr>
              <w:pStyle w:val="Marginlie"/>
            </w:pPr>
          </w:p>
          <w:p w:rsidR="009C03C8" w:rsidRDefault="009C03C8" w:rsidP="00DF7AD4">
            <w:pPr>
              <w:pStyle w:val="Marginlie"/>
            </w:pPr>
          </w:p>
          <w:p w:rsidR="009C03C8" w:rsidRDefault="009C03C8" w:rsidP="00DF7AD4">
            <w:pPr>
              <w:pStyle w:val="Marginlie"/>
            </w:pPr>
            <w:r>
              <w:t>Tempo růstu objemu bankovních úvěrů nefinančním podnikům se po roce 2016 postupně snižovalo.</w:t>
            </w:r>
          </w:p>
          <w:p w:rsidR="009C03C8" w:rsidRDefault="009C03C8" w:rsidP="00DF7AD4">
            <w:pPr>
              <w:pStyle w:val="Marginlie"/>
            </w:pPr>
          </w:p>
        </w:tc>
        <w:tc>
          <w:tcPr>
            <w:tcW w:w="277" w:type="dxa"/>
          </w:tcPr>
          <w:p w:rsidR="009C03C8" w:rsidRPr="005E4483" w:rsidRDefault="009C03C8" w:rsidP="00DF7AD4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391" w:type="dxa"/>
          </w:tcPr>
          <w:p w:rsidR="009C03C8" w:rsidRPr="00E972A9" w:rsidRDefault="009C03C8" w:rsidP="00DF7AD4">
            <w:pPr>
              <w:spacing w:after="220"/>
              <w:rPr>
                <w:rFonts w:cs="Arial"/>
                <w:spacing w:val="-2"/>
                <w:szCs w:val="20"/>
              </w:rPr>
            </w:pPr>
            <w:r w:rsidRPr="00E972A9">
              <w:rPr>
                <w:rFonts w:cs="Arial"/>
                <w:spacing w:val="-2"/>
                <w:szCs w:val="20"/>
              </w:rPr>
              <w:t>Solidní hospodářské výsledky (meziroční růst hrubého provozní přebytku o necelá 4 %) i zastavení dalšího prohlubování čistého odlivu vlastnických důchodů vedly mj. k růstu hrubých úspor (+7,8 %). Míra úspor dosáhla 26,0 %</w:t>
            </w:r>
            <w:r w:rsidRPr="00E04F27">
              <w:rPr>
                <w:rStyle w:val="Znakapoznpodarou"/>
                <w:rFonts w:cs="Arial"/>
                <w:spacing w:val="-2"/>
                <w:szCs w:val="20"/>
              </w:rPr>
              <w:footnoteReference w:id="4"/>
            </w:r>
            <w:r w:rsidRPr="00E04F27">
              <w:rPr>
                <w:rFonts w:cs="Arial"/>
                <w:spacing w:val="-2"/>
                <w:szCs w:val="20"/>
                <w:vertAlign w:val="superscript"/>
              </w:rPr>
              <w:t>,</w:t>
            </w:r>
            <w:r w:rsidRPr="00E972A9">
              <w:rPr>
                <w:rFonts w:cs="Arial"/>
                <w:spacing w:val="-2"/>
                <w:szCs w:val="20"/>
              </w:rPr>
              <w:t xml:space="preserve"> její pokles z roku 2016 se tak loni již neopakoval. Nefinanční podniky si tak vytvořily větší prostor pro případnou investiční „expanzi“. Nicméně investice (prostřednictvím tvorby hrubého fixního kapitálu)</w:t>
            </w:r>
            <w:r w:rsidRPr="00E04F27">
              <w:rPr>
                <w:rStyle w:val="Znakapoznpodarou"/>
                <w:rFonts w:cs="Arial"/>
                <w:spacing w:val="-2"/>
                <w:szCs w:val="20"/>
              </w:rPr>
              <w:footnoteReference w:id="5"/>
            </w:r>
            <w:r w:rsidRPr="00E972A9">
              <w:rPr>
                <w:rFonts w:cs="Arial"/>
                <w:spacing w:val="-2"/>
                <w:szCs w:val="20"/>
              </w:rPr>
              <w:t xml:space="preserve"> loni vzrostly o mírných 3,4 %. Míra investic dosáhla 28,1 % a meziročně se snížila o 0,8 p. </w:t>
            </w:r>
            <w:proofErr w:type="spellStart"/>
            <w:r w:rsidRPr="00E972A9">
              <w:rPr>
                <w:rFonts w:cs="Arial"/>
                <w:spacing w:val="-2"/>
                <w:szCs w:val="20"/>
              </w:rPr>
              <w:t>b</w:t>
            </w:r>
            <w:proofErr w:type="spellEnd"/>
            <w:r w:rsidRPr="00E972A9">
              <w:rPr>
                <w:rFonts w:cs="Arial"/>
                <w:spacing w:val="-2"/>
                <w:szCs w:val="20"/>
              </w:rPr>
              <w:t xml:space="preserve">. Míra samofinancování vzrostla a blížila se 90 %. Tlak na krytí investiční potřeby formou např. bankovních půjček se tak snížil. To koresponduje i s údaji České národní banky. Zatímco v roce 2016 vzrostl objem klientských úvěrů nefinančním podnikům meziročně o 6,6 %, loni tempo oslabilo na 4,9 % a za prvních osm měsíců roku 2018 činilo 3,3 %. V souvislosti s pokračujícím hospodářským růstem </w:t>
            </w:r>
            <w:r w:rsidR="0026743D">
              <w:rPr>
                <w:rFonts w:cs="Arial"/>
                <w:spacing w:val="-2"/>
                <w:szCs w:val="20"/>
              </w:rPr>
              <w:t xml:space="preserve">se </w:t>
            </w:r>
            <w:r w:rsidRPr="00E972A9">
              <w:rPr>
                <w:rFonts w:cs="Arial"/>
                <w:spacing w:val="-2"/>
                <w:szCs w:val="20"/>
              </w:rPr>
              <w:t>také zlepšovala platební morálka podniků. Podíl tzv. nevýkonných úvěrů klesl na počátku roku 2018 p</w:t>
            </w:r>
            <w:r w:rsidR="0026743D">
              <w:rPr>
                <w:rFonts w:cs="Arial"/>
                <w:spacing w:val="-2"/>
                <w:szCs w:val="20"/>
              </w:rPr>
              <w:t>od 4 % (nejníže od září 2008).</w:t>
            </w:r>
          </w:p>
        </w:tc>
      </w:tr>
      <w:tr w:rsidR="009C03C8" w:rsidRPr="00D6151E" w:rsidTr="00DF7AD4">
        <w:trPr>
          <w:trHeight w:val="170"/>
        </w:trPr>
        <w:tc>
          <w:tcPr>
            <w:tcW w:w="1976" w:type="dxa"/>
          </w:tcPr>
          <w:p w:rsidR="009C03C8" w:rsidRDefault="009C03C8" w:rsidP="00DF7AD4">
            <w:pPr>
              <w:pStyle w:val="Marginlie"/>
            </w:pPr>
          </w:p>
        </w:tc>
        <w:tc>
          <w:tcPr>
            <w:tcW w:w="277" w:type="dxa"/>
          </w:tcPr>
          <w:p w:rsidR="009C03C8" w:rsidRPr="005E4483" w:rsidRDefault="009C03C8" w:rsidP="00DF7AD4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391" w:type="dxa"/>
          </w:tcPr>
          <w:p w:rsidR="009C03C8" w:rsidRDefault="009C03C8" w:rsidP="00DF7AD4">
            <w:pPr>
              <w:spacing w:after="0"/>
              <w:rPr>
                <w:rFonts w:cs="Arial"/>
                <w:spacing w:val="-2"/>
                <w:szCs w:val="20"/>
              </w:rPr>
            </w:pPr>
            <w:r>
              <w:rPr>
                <w:rFonts w:cs="Arial"/>
                <w:b/>
                <w:spacing w:val="-2"/>
                <w:szCs w:val="20"/>
              </w:rPr>
              <w:t xml:space="preserve">Graf </w:t>
            </w:r>
            <w:proofErr w:type="gramStart"/>
            <w:r>
              <w:rPr>
                <w:rFonts w:cs="Arial"/>
                <w:b/>
                <w:spacing w:val="-2"/>
                <w:szCs w:val="20"/>
              </w:rPr>
              <w:t>6.4  Míra</w:t>
            </w:r>
            <w:proofErr w:type="gramEnd"/>
            <w:r>
              <w:rPr>
                <w:rFonts w:cs="Arial"/>
                <w:b/>
                <w:spacing w:val="-2"/>
                <w:szCs w:val="20"/>
              </w:rPr>
              <w:t xml:space="preserve"> investic nefinančních</w:t>
            </w:r>
            <w:r w:rsidRPr="00B43EB7">
              <w:rPr>
                <w:rFonts w:cs="Arial"/>
                <w:b/>
                <w:spacing w:val="-2"/>
                <w:szCs w:val="20"/>
              </w:rPr>
              <w:t xml:space="preserve"> podnik</w:t>
            </w:r>
            <w:r>
              <w:rPr>
                <w:rFonts w:cs="Arial"/>
                <w:b/>
                <w:spacing w:val="-2"/>
                <w:szCs w:val="20"/>
              </w:rPr>
              <w:t>ů</w:t>
            </w:r>
            <w:r w:rsidRPr="00B43EB7">
              <w:rPr>
                <w:rFonts w:cs="Arial"/>
                <w:spacing w:val="-2"/>
                <w:szCs w:val="20"/>
              </w:rPr>
              <w:t xml:space="preserve"> </w:t>
            </w:r>
            <w:r>
              <w:rPr>
                <w:rFonts w:cs="Arial"/>
                <w:b/>
                <w:spacing w:val="-2"/>
                <w:szCs w:val="20"/>
              </w:rPr>
              <w:t xml:space="preserve">celkem ve vybraných evropských státech </w:t>
            </w:r>
            <w:r w:rsidRPr="00B43EB7">
              <w:rPr>
                <w:rFonts w:cs="Arial"/>
                <w:spacing w:val="-2"/>
                <w:szCs w:val="20"/>
              </w:rPr>
              <w:t>(v %)</w:t>
            </w:r>
          </w:p>
          <w:p w:rsidR="009C03C8" w:rsidRPr="00B43EB7" w:rsidRDefault="009C03C8" w:rsidP="00DF7AD4">
            <w:pPr>
              <w:spacing w:after="0"/>
              <w:rPr>
                <w:rFonts w:cs="Arial"/>
                <w:spacing w:val="-2"/>
                <w:sz w:val="14"/>
                <w:szCs w:val="14"/>
              </w:rPr>
            </w:pPr>
            <w:r w:rsidRPr="009A34EC">
              <w:rPr>
                <w:rFonts w:cs="Arial"/>
                <w:noProof/>
                <w:spacing w:val="-2"/>
                <w:sz w:val="14"/>
                <w:szCs w:val="14"/>
              </w:rPr>
              <w:drawing>
                <wp:inline distT="0" distB="0" distL="0" distR="0">
                  <wp:extent cx="4632463" cy="3442915"/>
                  <wp:effectExtent l="19050" t="0" r="0" b="0"/>
                  <wp:docPr id="30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9C03C8" w:rsidRPr="00D6151E" w:rsidTr="00DF7AD4">
        <w:trPr>
          <w:trHeight w:val="170"/>
        </w:trPr>
        <w:tc>
          <w:tcPr>
            <w:tcW w:w="1976" w:type="dxa"/>
          </w:tcPr>
          <w:p w:rsidR="009C03C8" w:rsidRDefault="009C03C8" w:rsidP="00DF7AD4">
            <w:pPr>
              <w:pStyle w:val="Marginlie"/>
            </w:pPr>
          </w:p>
        </w:tc>
        <w:tc>
          <w:tcPr>
            <w:tcW w:w="277" w:type="dxa"/>
          </w:tcPr>
          <w:p w:rsidR="009C03C8" w:rsidRPr="005E4483" w:rsidRDefault="009C03C8" w:rsidP="00DF7AD4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391" w:type="dxa"/>
          </w:tcPr>
          <w:p w:rsidR="009C03C8" w:rsidRPr="00D6151E" w:rsidRDefault="009C03C8" w:rsidP="00E972A9">
            <w:pPr>
              <w:spacing w:after="20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*Míra zisku se vztahuje jen k nefinančním podnikům, nezahrnuje tedy všechny ekonomické subjekty působící v příslušném odvětví. U popisů jednotlivých průmyslových oddílů či sekcí je v závorce uveden příslušný kód dle klasifikace CZ-NACE.                                                                                                               Zdroj: ČSÚ (národní účty)</w:t>
            </w:r>
          </w:p>
        </w:tc>
      </w:tr>
      <w:tr w:rsidR="009C03C8" w:rsidRPr="00D6151E" w:rsidTr="00DF7AD4">
        <w:trPr>
          <w:trHeight w:val="170"/>
        </w:trPr>
        <w:tc>
          <w:tcPr>
            <w:tcW w:w="1976" w:type="dxa"/>
          </w:tcPr>
          <w:p w:rsidR="009C03C8" w:rsidRDefault="009C03C8" w:rsidP="00DF7AD4">
            <w:pPr>
              <w:pStyle w:val="Marginlie"/>
            </w:pPr>
            <w:r>
              <w:t>V míře investic nefinančních podniků okupovalo Česko v EU, na rozdíl od většiny novějších členských států, čelní místo.</w:t>
            </w:r>
          </w:p>
        </w:tc>
        <w:tc>
          <w:tcPr>
            <w:tcW w:w="277" w:type="dxa"/>
          </w:tcPr>
          <w:p w:rsidR="009C03C8" w:rsidRPr="005E4483" w:rsidRDefault="009C03C8" w:rsidP="00DF7AD4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391" w:type="dxa"/>
          </w:tcPr>
          <w:p w:rsidR="009C03C8" w:rsidRPr="00E972A9" w:rsidRDefault="009C03C8" w:rsidP="00E972A9">
            <w:pPr>
              <w:spacing w:after="0"/>
              <w:rPr>
                <w:rFonts w:cs="Arial"/>
                <w:spacing w:val="-2"/>
                <w:szCs w:val="20"/>
              </w:rPr>
            </w:pPr>
            <w:r w:rsidRPr="00E972A9">
              <w:rPr>
                <w:rFonts w:cs="Arial"/>
                <w:spacing w:val="-2"/>
                <w:szCs w:val="20"/>
              </w:rPr>
              <w:t xml:space="preserve">Přestože míra investic nefinančních podniků klesla vloni na minimum v historii samostatné ČR, stále se nacházela o více než 6 p. </w:t>
            </w:r>
            <w:proofErr w:type="spellStart"/>
            <w:r w:rsidRPr="00E972A9">
              <w:rPr>
                <w:rFonts w:cs="Arial"/>
                <w:spacing w:val="-2"/>
                <w:szCs w:val="20"/>
              </w:rPr>
              <w:t>b</w:t>
            </w:r>
            <w:proofErr w:type="spellEnd"/>
            <w:r w:rsidRPr="00E972A9">
              <w:rPr>
                <w:rFonts w:cs="Arial"/>
                <w:spacing w:val="-2"/>
                <w:szCs w:val="20"/>
              </w:rPr>
              <w:t xml:space="preserve">. </w:t>
            </w:r>
            <w:proofErr w:type="gramStart"/>
            <w:r w:rsidRPr="00E972A9">
              <w:rPr>
                <w:rFonts w:cs="Arial"/>
                <w:spacing w:val="-2"/>
                <w:szCs w:val="20"/>
              </w:rPr>
              <w:t>výše</w:t>
            </w:r>
            <w:proofErr w:type="gramEnd"/>
            <w:r w:rsidRPr="00E972A9">
              <w:rPr>
                <w:rFonts w:cs="Arial"/>
                <w:spacing w:val="-2"/>
                <w:szCs w:val="20"/>
              </w:rPr>
              <w:t xml:space="preserve"> než v EU, resp. </w:t>
            </w:r>
            <w:proofErr w:type="spellStart"/>
            <w:r w:rsidRPr="00E972A9">
              <w:rPr>
                <w:rFonts w:cs="Arial"/>
                <w:spacing w:val="-2"/>
                <w:szCs w:val="20"/>
              </w:rPr>
              <w:t>Eurozóně</w:t>
            </w:r>
            <w:proofErr w:type="spellEnd"/>
            <w:r w:rsidRPr="00E972A9">
              <w:rPr>
                <w:rFonts w:cs="Arial"/>
                <w:spacing w:val="-2"/>
                <w:szCs w:val="20"/>
              </w:rPr>
              <w:t>. Z dosažitelných údajů za členské státy Unie</w:t>
            </w:r>
            <w:r w:rsidRPr="00E972A9">
              <w:rPr>
                <w:rStyle w:val="Znakapoznpodarou"/>
                <w:rFonts w:cs="Arial"/>
                <w:spacing w:val="-2"/>
                <w:szCs w:val="20"/>
              </w:rPr>
              <w:footnoteReference w:id="6"/>
            </w:r>
            <w:r w:rsidRPr="00E972A9">
              <w:rPr>
                <w:rFonts w:cs="Arial"/>
                <w:spacing w:val="-2"/>
                <w:szCs w:val="20"/>
              </w:rPr>
              <w:t xml:space="preserve"> za rok 2016 vyplynulo, že vyšší míru investic než Česko vykázalo jen Irsko (38,5 %). V těsném závěsu dále následovaly Slovensko, Švédsko a Španělsko (v rozmezí 27 až 28 %). Z novějších členských států Unie ze střední a východní Evropy, u nichž lze s ohledem k dlouhodobé </w:t>
            </w:r>
            <w:proofErr w:type="spellStart"/>
            <w:r w:rsidRPr="00E972A9">
              <w:rPr>
                <w:rFonts w:cs="Arial"/>
                <w:spacing w:val="-2"/>
                <w:szCs w:val="20"/>
              </w:rPr>
              <w:t>podkapitalizovanosti</w:t>
            </w:r>
            <w:proofErr w:type="spellEnd"/>
            <w:r w:rsidRPr="00E972A9">
              <w:rPr>
                <w:rFonts w:cs="Arial"/>
                <w:spacing w:val="-2"/>
                <w:szCs w:val="20"/>
              </w:rPr>
              <w:t xml:space="preserve"> ekonomiky i přílivu zahraničních investorů očekávat silnější investiční aktivitu v podnikové sféře, se tento předpoklad potvrdil jen v Rumunsku a Bulharsku. Naopak v Pobaltských státech, Polsku či Slovinsku míra investic nefinančních podniků průměrné úrovně EU nedosahovala.  </w:t>
            </w:r>
          </w:p>
        </w:tc>
      </w:tr>
      <w:tr w:rsidR="009C03C8" w:rsidRPr="00D6151E" w:rsidTr="00DF7AD4">
        <w:trPr>
          <w:trHeight w:val="170"/>
        </w:trPr>
        <w:tc>
          <w:tcPr>
            <w:tcW w:w="1976" w:type="dxa"/>
          </w:tcPr>
          <w:p w:rsidR="009C03C8" w:rsidRDefault="009C03C8" w:rsidP="00DF7AD4">
            <w:pPr>
              <w:pStyle w:val="Marginlie"/>
            </w:pPr>
            <w:r>
              <w:lastRenderedPageBreak/>
              <w:t>Nejsilnější investiční aktivitu v ČR mezi podniky mají podniky veřejné.</w:t>
            </w:r>
          </w:p>
        </w:tc>
        <w:tc>
          <w:tcPr>
            <w:tcW w:w="277" w:type="dxa"/>
          </w:tcPr>
          <w:p w:rsidR="009C03C8" w:rsidRPr="005E4483" w:rsidRDefault="009C03C8" w:rsidP="00DF7AD4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391" w:type="dxa"/>
          </w:tcPr>
          <w:p w:rsidR="009C03C8" w:rsidRPr="009C03C8" w:rsidRDefault="009C03C8" w:rsidP="009C03C8">
            <w:pPr>
              <w:rPr>
                <w:rFonts w:cs="Arial"/>
                <w:szCs w:val="20"/>
              </w:rPr>
            </w:pPr>
            <w:r w:rsidRPr="009C03C8">
              <w:rPr>
                <w:rFonts w:cs="Arial"/>
                <w:szCs w:val="20"/>
              </w:rPr>
              <w:t>V rámci podnikové sféry v ČR dosahují dlouhodobě nejsilnější investiční aktivity veřejné nefinanční podniky</w:t>
            </w:r>
            <w:r w:rsidRPr="009C03C8">
              <w:rPr>
                <w:rStyle w:val="Znakapoznpodarou"/>
                <w:rFonts w:cs="Arial"/>
                <w:szCs w:val="20"/>
              </w:rPr>
              <w:footnoteReference w:id="7"/>
            </w:r>
            <w:r w:rsidRPr="009C03C8">
              <w:rPr>
                <w:rFonts w:cs="Arial"/>
                <w:szCs w:val="20"/>
              </w:rPr>
              <w:t xml:space="preserve">. Počínaje rokem 2010 klesla míra investic v podnicích pod zahraniční kontrolou pod úroveň soukromých národních podniků. </w:t>
            </w:r>
          </w:p>
        </w:tc>
      </w:tr>
      <w:tr w:rsidR="009C03C8" w:rsidRPr="00D6151E" w:rsidTr="00DF7AD4">
        <w:trPr>
          <w:trHeight w:val="170"/>
        </w:trPr>
        <w:tc>
          <w:tcPr>
            <w:tcW w:w="1976" w:type="dxa"/>
          </w:tcPr>
          <w:p w:rsidR="009C03C8" w:rsidRDefault="009C03C8" w:rsidP="00DF7AD4">
            <w:pPr>
              <w:pStyle w:val="Marginlie"/>
            </w:pPr>
          </w:p>
        </w:tc>
        <w:tc>
          <w:tcPr>
            <w:tcW w:w="277" w:type="dxa"/>
          </w:tcPr>
          <w:p w:rsidR="009C03C8" w:rsidRPr="005E4483" w:rsidRDefault="009C03C8" w:rsidP="00DF7AD4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391" w:type="dxa"/>
          </w:tcPr>
          <w:p w:rsidR="004E02EB" w:rsidRDefault="009C03C8" w:rsidP="00DF7AD4">
            <w:pPr>
              <w:spacing w:after="0"/>
              <w:jc w:val="left"/>
              <w:rPr>
                <w:rFonts w:cs="Arial"/>
                <w:b/>
                <w:szCs w:val="20"/>
              </w:rPr>
            </w:pPr>
            <w:r w:rsidRPr="00C43FCE">
              <w:rPr>
                <w:rFonts w:cs="Arial"/>
                <w:b/>
                <w:szCs w:val="20"/>
              </w:rPr>
              <w:t xml:space="preserve">Graf </w:t>
            </w:r>
            <w:proofErr w:type="gramStart"/>
            <w:r w:rsidRPr="00C43FCE">
              <w:rPr>
                <w:rFonts w:cs="Arial"/>
                <w:b/>
                <w:szCs w:val="20"/>
              </w:rPr>
              <w:t>6.5  Poskytnuté</w:t>
            </w:r>
            <w:proofErr w:type="gramEnd"/>
            <w:r w:rsidRPr="00C43FCE">
              <w:rPr>
                <w:rFonts w:cs="Arial"/>
                <w:b/>
                <w:szCs w:val="20"/>
              </w:rPr>
              <w:t xml:space="preserve"> bankovní úvěry nefinančním podnikům </w:t>
            </w:r>
          </w:p>
          <w:p w:rsidR="009C03C8" w:rsidRPr="00C43FCE" w:rsidRDefault="009C03C8" w:rsidP="00DF7AD4">
            <w:pPr>
              <w:spacing w:after="0"/>
              <w:jc w:val="left"/>
              <w:rPr>
                <w:rFonts w:cs="Arial"/>
                <w:szCs w:val="20"/>
              </w:rPr>
            </w:pPr>
            <w:r w:rsidRPr="00C43FCE">
              <w:rPr>
                <w:rFonts w:cs="Arial"/>
                <w:szCs w:val="20"/>
              </w:rPr>
              <w:t>(meziroční změna v %)</w:t>
            </w:r>
            <w:r w:rsidRPr="00C43FCE">
              <w:rPr>
                <w:rFonts w:cs="Arial"/>
                <w:b/>
                <w:szCs w:val="20"/>
              </w:rPr>
              <w:t xml:space="preserve"> a podíl nevýkonných úvěrů </w:t>
            </w:r>
            <w:r w:rsidRPr="00C43FCE">
              <w:rPr>
                <w:rFonts w:cs="Arial"/>
                <w:szCs w:val="20"/>
              </w:rPr>
              <w:t>(v %)</w:t>
            </w:r>
          </w:p>
          <w:p w:rsidR="009C03C8" w:rsidRPr="007424A8" w:rsidRDefault="009C03C8" w:rsidP="00DF7AD4">
            <w:pPr>
              <w:spacing w:after="0"/>
              <w:rPr>
                <w:rFonts w:cs="Arial"/>
                <w:szCs w:val="20"/>
              </w:rPr>
            </w:pPr>
            <w:r w:rsidRPr="00BC5AC5">
              <w:rPr>
                <w:rFonts w:cs="Arial"/>
                <w:noProof/>
                <w:szCs w:val="20"/>
              </w:rPr>
              <w:drawing>
                <wp:inline distT="0" distB="0" distL="0" distR="0">
                  <wp:extent cx="4707172" cy="3371353"/>
                  <wp:effectExtent l="0" t="0" r="0" b="0"/>
                  <wp:docPr id="31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9C03C8" w:rsidRPr="00D6151E" w:rsidTr="00DF7AD4">
        <w:trPr>
          <w:trHeight w:val="170"/>
        </w:trPr>
        <w:tc>
          <w:tcPr>
            <w:tcW w:w="1976" w:type="dxa"/>
          </w:tcPr>
          <w:p w:rsidR="009C03C8" w:rsidRDefault="009C03C8" w:rsidP="00DF7AD4">
            <w:pPr>
              <w:pStyle w:val="Marginlie"/>
            </w:pPr>
          </w:p>
        </w:tc>
        <w:tc>
          <w:tcPr>
            <w:tcW w:w="277" w:type="dxa"/>
          </w:tcPr>
          <w:p w:rsidR="009C03C8" w:rsidRPr="005E4483" w:rsidRDefault="009C03C8" w:rsidP="00DF7AD4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391" w:type="dxa"/>
          </w:tcPr>
          <w:p w:rsidR="009C03C8" w:rsidRPr="00D6151E" w:rsidRDefault="009C03C8" w:rsidP="00E972A9">
            <w:pPr>
              <w:spacing w:after="10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Zdroj: Česká národní banka</w:t>
            </w:r>
          </w:p>
        </w:tc>
      </w:tr>
      <w:tr w:rsidR="009C03C8" w:rsidRPr="007424A8" w:rsidTr="00DF7AD4">
        <w:trPr>
          <w:trHeight w:val="170"/>
        </w:trPr>
        <w:tc>
          <w:tcPr>
            <w:tcW w:w="1976" w:type="dxa"/>
          </w:tcPr>
          <w:p w:rsidR="009C03C8" w:rsidRDefault="009C03C8" w:rsidP="00DF7AD4">
            <w:pPr>
              <w:pStyle w:val="Marginlie"/>
            </w:pPr>
          </w:p>
        </w:tc>
        <w:tc>
          <w:tcPr>
            <w:tcW w:w="277" w:type="dxa"/>
          </w:tcPr>
          <w:p w:rsidR="009C03C8" w:rsidRPr="005E4483" w:rsidRDefault="009C03C8" w:rsidP="00DF7AD4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391" w:type="dxa"/>
          </w:tcPr>
          <w:p w:rsidR="009C03C8" w:rsidRPr="00CD181A" w:rsidRDefault="009C03C8" w:rsidP="00DF7AD4">
            <w:pPr>
              <w:pStyle w:val="Textpoznpodarou"/>
              <w:rPr>
                <w:b/>
                <w:lang w:eastAsia="en-US"/>
              </w:rPr>
            </w:pPr>
            <w:r w:rsidRPr="00C43FCE">
              <w:rPr>
                <w:rFonts w:cs="Arial"/>
                <w:b/>
              </w:rPr>
              <w:t xml:space="preserve">Graf </w:t>
            </w:r>
            <w:proofErr w:type="gramStart"/>
            <w:r w:rsidRPr="00C43FCE">
              <w:rPr>
                <w:rFonts w:cs="Arial"/>
                <w:b/>
              </w:rPr>
              <w:t>6</w:t>
            </w:r>
            <w:r>
              <w:rPr>
                <w:rFonts w:cs="Arial"/>
                <w:b/>
              </w:rPr>
              <w:t>.6</w:t>
            </w:r>
            <w:r w:rsidRPr="00C43FCE">
              <w:rPr>
                <w:rFonts w:cs="Arial"/>
                <w:b/>
              </w:rPr>
              <w:t xml:space="preserve">  </w:t>
            </w:r>
            <w:r>
              <w:rPr>
                <w:b/>
                <w:lang w:eastAsia="en-US"/>
              </w:rPr>
              <w:t>Konsolidovaný</w:t>
            </w:r>
            <w:proofErr w:type="gramEnd"/>
            <w:r>
              <w:rPr>
                <w:b/>
                <w:lang w:eastAsia="en-US"/>
              </w:rPr>
              <w:t xml:space="preserve"> dluh nefinančních podniků* ve vybraných evropských zemích v roce 2017 </w:t>
            </w:r>
            <w:r>
              <w:rPr>
                <w:lang w:eastAsia="en-US"/>
              </w:rPr>
              <w:t>(v %</w:t>
            </w:r>
            <w:r w:rsidRPr="008A4447">
              <w:rPr>
                <w:lang w:eastAsia="en-US"/>
              </w:rPr>
              <w:t xml:space="preserve"> HDP)</w:t>
            </w:r>
          </w:p>
          <w:p w:rsidR="009C03C8" w:rsidRPr="007424A8" w:rsidRDefault="009C03C8" w:rsidP="00DF7AD4">
            <w:pPr>
              <w:spacing w:after="0"/>
              <w:rPr>
                <w:rFonts w:cs="Arial"/>
                <w:szCs w:val="20"/>
              </w:rPr>
            </w:pPr>
            <w:r w:rsidRPr="000A7A24">
              <w:rPr>
                <w:rFonts w:cs="Arial"/>
                <w:noProof/>
                <w:szCs w:val="20"/>
              </w:rPr>
              <w:drawing>
                <wp:inline distT="0" distB="0" distL="0" distR="0">
                  <wp:extent cx="4731026" cy="3387256"/>
                  <wp:effectExtent l="0" t="0" r="0" b="0"/>
                  <wp:docPr id="32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  <w:tr w:rsidR="009C03C8" w:rsidRPr="00D6151E" w:rsidTr="00DF7AD4">
        <w:trPr>
          <w:trHeight w:val="170"/>
        </w:trPr>
        <w:tc>
          <w:tcPr>
            <w:tcW w:w="1976" w:type="dxa"/>
          </w:tcPr>
          <w:p w:rsidR="009C03C8" w:rsidRDefault="009C03C8" w:rsidP="00DF7AD4">
            <w:pPr>
              <w:pStyle w:val="Marginlie"/>
            </w:pPr>
          </w:p>
        </w:tc>
        <w:tc>
          <w:tcPr>
            <w:tcW w:w="277" w:type="dxa"/>
          </w:tcPr>
          <w:p w:rsidR="009C03C8" w:rsidRPr="005E4483" w:rsidRDefault="009C03C8" w:rsidP="00DF7AD4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391" w:type="dxa"/>
          </w:tcPr>
          <w:p w:rsidR="009C03C8" w:rsidRPr="00E972A9" w:rsidRDefault="009C03C8" w:rsidP="00E972A9">
            <w:pPr>
              <w:pStyle w:val="Textpoznpodarou"/>
              <w:jc w:val="both"/>
              <w:rPr>
                <w:sz w:val="14"/>
                <w:szCs w:val="14"/>
                <w:lang w:eastAsia="en-US"/>
              </w:rPr>
            </w:pPr>
            <w:r w:rsidRPr="00CD181A">
              <w:rPr>
                <w:sz w:val="14"/>
                <w:szCs w:val="14"/>
                <w:lang w:eastAsia="en-US"/>
              </w:rPr>
              <w:t>*Pozn.: Součet vybraných finančních pasív v konečné rozvaze: Dluhové cenné papíry (</w:t>
            </w:r>
            <w:proofErr w:type="gramStart"/>
            <w:r w:rsidRPr="00CD181A">
              <w:rPr>
                <w:sz w:val="14"/>
                <w:szCs w:val="14"/>
                <w:lang w:eastAsia="en-US"/>
              </w:rPr>
              <w:t>AF.3), Půjčky</w:t>
            </w:r>
            <w:proofErr w:type="gramEnd"/>
            <w:r w:rsidRPr="00CD181A">
              <w:rPr>
                <w:sz w:val="14"/>
                <w:szCs w:val="14"/>
                <w:lang w:eastAsia="en-US"/>
              </w:rPr>
              <w:t xml:space="preserve"> (AF.4), Ostatní závazky (AF.8)</w:t>
            </w:r>
            <w:r>
              <w:rPr>
                <w:sz w:val="14"/>
                <w:szCs w:val="14"/>
                <w:lang w:eastAsia="en-US"/>
              </w:rPr>
              <w:t xml:space="preserve">. Za Lucembursko, EU28 a uskupení </w:t>
            </w:r>
            <w:proofErr w:type="spellStart"/>
            <w:r>
              <w:rPr>
                <w:sz w:val="14"/>
                <w:szCs w:val="14"/>
                <w:lang w:eastAsia="en-US"/>
              </w:rPr>
              <w:t>Eurozóny</w:t>
            </w:r>
            <w:proofErr w:type="spellEnd"/>
            <w:r>
              <w:rPr>
                <w:sz w:val="14"/>
                <w:szCs w:val="14"/>
                <w:lang w:eastAsia="en-US"/>
              </w:rPr>
              <w:t xml:space="preserve"> uveden rok 2016.</w:t>
            </w:r>
            <w:r w:rsidR="00E972A9">
              <w:rPr>
                <w:sz w:val="14"/>
                <w:szCs w:val="14"/>
                <w:lang w:eastAsia="en-US"/>
              </w:rPr>
              <w:t xml:space="preserve">                                    </w:t>
            </w:r>
            <w:r w:rsidRPr="00CD181A">
              <w:rPr>
                <w:rFonts w:cs="Arial"/>
                <w:sz w:val="14"/>
                <w:szCs w:val="14"/>
              </w:rPr>
              <w:t xml:space="preserve">Zdroj: </w:t>
            </w:r>
            <w:proofErr w:type="spellStart"/>
            <w:r w:rsidRPr="00CD181A">
              <w:rPr>
                <w:rFonts w:cs="Arial"/>
                <w:sz w:val="14"/>
                <w:szCs w:val="14"/>
              </w:rPr>
              <w:t>Eurostat</w:t>
            </w:r>
            <w:proofErr w:type="spellEnd"/>
          </w:p>
        </w:tc>
      </w:tr>
    </w:tbl>
    <w:p w:rsidR="00F46502" w:rsidRPr="00EA18A3" w:rsidRDefault="00F46502" w:rsidP="00EA18A3">
      <w:pPr>
        <w:pStyle w:val="Nadpis11"/>
        <w:rPr>
          <w:sz w:val="2"/>
          <w:szCs w:val="2"/>
        </w:rPr>
      </w:pPr>
    </w:p>
    <w:sectPr w:rsidR="00F46502" w:rsidRPr="00EA18A3" w:rsidSect="00EA18A3">
      <w:headerReference w:type="even" r:id="rId14"/>
      <w:headerReference w:type="default" r:id="rId15"/>
      <w:footerReference w:type="even" r:id="rId16"/>
      <w:footerReference w:type="default" r:id="rId17"/>
      <w:pgSz w:w="11906" w:h="16838" w:code="9"/>
      <w:pgMar w:top="1134" w:right="1134" w:bottom="1418" w:left="1134" w:header="680" w:footer="680" w:gutter="0"/>
      <w:pgNumType w:start="3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4AC" w:rsidRDefault="003224AC" w:rsidP="00E71A58">
      <w:r>
        <w:separator/>
      </w:r>
    </w:p>
  </w:endnote>
  <w:endnote w:type="continuationSeparator" w:id="0">
    <w:p w:rsidR="003224AC" w:rsidRDefault="003224AC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00000003" w:usb1="00000000" w:usb2="00000000" w:usb3="00000000" w:csb0="00000001" w:csb1="00000000"/>
  </w:font>
  <w:font w:name="Times New Roman CE obyèejné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5DC" w:rsidRPr="00932443" w:rsidRDefault="00C805DC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15" name="Picture 15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63FF4"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="00363FF4" w:rsidRPr="00932443">
      <w:rPr>
        <w:szCs w:val="16"/>
      </w:rPr>
      <w:fldChar w:fldCharType="separate"/>
    </w:r>
    <w:r w:rsidR="00EA18A3">
      <w:rPr>
        <w:szCs w:val="16"/>
      </w:rPr>
      <w:t>34</w:t>
    </w:r>
    <w:r w:rsidR="00363FF4"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5DC" w:rsidRPr="00932443" w:rsidRDefault="00C805DC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16" name="Picture 16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tab/>
    </w:r>
    <w:r>
      <w:rPr>
        <w:rStyle w:val="ZpatChar"/>
        <w:szCs w:val="16"/>
      </w:rPr>
      <w:t>2017</w:t>
    </w:r>
    <w:r w:rsidRPr="00932443">
      <w:rPr>
        <w:szCs w:val="16"/>
      </w:rPr>
      <w:tab/>
    </w:r>
    <w:r w:rsidR="00363FF4"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="00363FF4" w:rsidRPr="00932443">
      <w:rPr>
        <w:rStyle w:val="ZpatChar"/>
        <w:szCs w:val="16"/>
      </w:rPr>
      <w:fldChar w:fldCharType="separate"/>
    </w:r>
    <w:r w:rsidR="00EA18A3">
      <w:rPr>
        <w:rStyle w:val="ZpatChar"/>
        <w:szCs w:val="16"/>
      </w:rPr>
      <w:t>35</w:t>
    </w:r>
    <w:r w:rsidR="00363FF4"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4AC" w:rsidRDefault="003224AC" w:rsidP="00E71A58">
      <w:r>
        <w:separator/>
      </w:r>
    </w:p>
  </w:footnote>
  <w:footnote w:type="continuationSeparator" w:id="0">
    <w:p w:rsidR="003224AC" w:rsidRDefault="003224AC" w:rsidP="00E71A58">
      <w:r>
        <w:continuationSeparator/>
      </w:r>
    </w:p>
  </w:footnote>
  <w:footnote w:id="1">
    <w:p w:rsidR="00C805DC" w:rsidRPr="005B1D68" w:rsidRDefault="00C805DC" w:rsidP="009C03C8">
      <w:pPr>
        <w:pStyle w:val="Textpoznpodarou"/>
        <w:jc w:val="both"/>
        <w:rPr>
          <w:sz w:val="16"/>
          <w:szCs w:val="16"/>
        </w:rPr>
      </w:pPr>
      <w:r w:rsidRPr="005B1D68">
        <w:rPr>
          <w:rStyle w:val="Znakapoznpodarou"/>
          <w:sz w:val="16"/>
          <w:szCs w:val="16"/>
        </w:rPr>
        <w:footnoteRef/>
      </w:r>
      <w:r w:rsidRPr="005B1D68">
        <w:rPr>
          <w:sz w:val="16"/>
          <w:szCs w:val="16"/>
        </w:rPr>
        <w:t xml:space="preserve"> Z dvaceti hlavních odvětvových sekcí absentují pouze v peněžnictví a pojišťovnictví (kde výrazně dominuje sektor finančních institucí), veřejné, správě, obraně a sociálním zabezpečení (vládní sektor) a ve váhově téměř zanedbatelném odvětví činností domácností jako zaměstnavatelů (domácího personálu) a producentů blíže neurčených výrobků a služeb pro vlastní spotřebu. Naopak klíčová je role nefinančních podniků v průmyslu (v roce 2017 vytvářely 93 % přidané hodnoty tohoto odvětví), informačních a komunikačních činnostech (92 %), obchodu (85 %) a administrativních a podpůrných </w:t>
      </w:r>
      <w:proofErr w:type="gramStart"/>
      <w:r w:rsidRPr="005B1D68">
        <w:rPr>
          <w:sz w:val="16"/>
          <w:szCs w:val="16"/>
        </w:rPr>
        <w:t>činnostech</w:t>
      </w:r>
      <w:proofErr w:type="gramEnd"/>
      <w:r w:rsidRPr="005B1D68">
        <w:rPr>
          <w:sz w:val="16"/>
          <w:szCs w:val="16"/>
        </w:rPr>
        <w:t xml:space="preserve"> (83 %).</w:t>
      </w:r>
    </w:p>
  </w:footnote>
  <w:footnote w:id="2">
    <w:p w:rsidR="00C805DC" w:rsidRDefault="00C805DC" w:rsidP="009C03C8">
      <w:pPr>
        <w:pStyle w:val="Textpoznpodarou"/>
      </w:pPr>
      <w:r w:rsidRPr="005B1D68">
        <w:rPr>
          <w:rStyle w:val="Znakapoznpodarou"/>
          <w:sz w:val="16"/>
          <w:szCs w:val="16"/>
        </w:rPr>
        <w:footnoteRef/>
      </w:r>
      <w:r w:rsidRPr="005B1D68">
        <w:rPr>
          <w:sz w:val="16"/>
          <w:szCs w:val="16"/>
        </w:rPr>
        <w:t xml:space="preserve"> Zaměstnanost je uvedena v pojetí národních účtů.</w:t>
      </w:r>
    </w:p>
  </w:footnote>
  <w:footnote w:id="3">
    <w:p w:rsidR="00C805DC" w:rsidRPr="00624848" w:rsidRDefault="00C805DC" w:rsidP="009C03C8">
      <w:pPr>
        <w:pStyle w:val="Textpoznpodarou"/>
        <w:rPr>
          <w:sz w:val="16"/>
          <w:szCs w:val="16"/>
        </w:rPr>
      </w:pPr>
      <w:r w:rsidRPr="00624848">
        <w:rPr>
          <w:rStyle w:val="Znakapoznpodarou"/>
          <w:sz w:val="16"/>
          <w:szCs w:val="16"/>
        </w:rPr>
        <w:footnoteRef/>
      </w:r>
      <w:r w:rsidRPr="00624848">
        <w:rPr>
          <w:sz w:val="16"/>
          <w:szCs w:val="16"/>
        </w:rPr>
        <w:t xml:space="preserve"> Ne zdaleka všechny rozdělované důchody společností v sektoru nefinančních podniků náleží nerezidentům (např. dividendy plynoucí z veřejných nefinančních podniků mohou být později i příjmem státního rozpočtu).</w:t>
      </w:r>
      <w:r>
        <w:rPr>
          <w:sz w:val="16"/>
          <w:szCs w:val="16"/>
        </w:rPr>
        <w:t xml:space="preserve"> V roce 2016 dosáhl čistý odliv dividend z tohoto sektoru 405 mld. korun, z toho odliv z nefinančních podniků pod zahraniční kontrolou se rovnal „jen“ 236 mld. korun.</w:t>
      </w:r>
    </w:p>
  </w:footnote>
  <w:footnote w:id="4">
    <w:p w:rsidR="00C805DC" w:rsidRPr="00E6155C" w:rsidRDefault="00C805DC" w:rsidP="009C03C8">
      <w:pPr>
        <w:pStyle w:val="Textpoznpodarou"/>
        <w:rPr>
          <w:sz w:val="16"/>
          <w:szCs w:val="16"/>
        </w:rPr>
      </w:pPr>
      <w:r w:rsidRPr="00E6155C">
        <w:rPr>
          <w:rStyle w:val="Znakapoznpodarou"/>
          <w:sz w:val="16"/>
          <w:szCs w:val="16"/>
        </w:rPr>
        <w:footnoteRef/>
      </w:r>
      <w:r w:rsidRPr="00E6155C">
        <w:rPr>
          <w:sz w:val="16"/>
          <w:szCs w:val="16"/>
        </w:rPr>
        <w:t xml:space="preserve"> Vyjadřuje podíl hrubých úspor na hrubé přidané hodnotě.</w:t>
      </w:r>
    </w:p>
  </w:footnote>
  <w:footnote w:id="5">
    <w:p w:rsidR="00C805DC" w:rsidRPr="00436F65" w:rsidRDefault="00C805DC" w:rsidP="0026743D">
      <w:pPr>
        <w:pStyle w:val="Textpoznpodarou"/>
        <w:jc w:val="both"/>
        <w:rPr>
          <w:sz w:val="16"/>
          <w:szCs w:val="16"/>
        </w:rPr>
      </w:pPr>
      <w:r w:rsidRPr="00436F65">
        <w:rPr>
          <w:rStyle w:val="Znakapoznpodarou"/>
          <w:sz w:val="16"/>
          <w:szCs w:val="16"/>
        </w:rPr>
        <w:footnoteRef/>
      </w:r>
      <w:r w:rsidRPr="00436F65">
        <w:rPr>
          <w:sz w:val="16"/>
          <w:szCs w:val="16"/>
        </w:rPr>
        <w:t xml:space="preserve"> Investice v širším pojetí (prostřednictvím tvorby hrubého kapitálu) vzrostly loni svižněji – o necelých 5 %.</w:t>
      </w:r>
      <w:r>
        <w:rPr>
          <w:sz w:val="16"/>
          <w:szCs w:val="16"/>
        </w:rPr>
        <w:t xml:space="preserve"> </w:t>
      </w:r>
      <w:r w:rsidR="0026743D">
        <w:rPr>
          <w:sz w:val="16"/>
          <w:szCs w:val="16"/>
        </w:rPr>
        <w:t>Meziroční z</w:t>
      </w:r>
      <w:r>
        <w:rPr>
          <w:sz w:val="16"/>
          <w:szCs w:val="16"/>
        </w:rPr>
        <w:t>měna stavu zásob čítala 42</w:t>
      </w:r>
      <w:r w:rsidRPr="00436F65">
        <w:rPr>
          <w:sz w:val="16"/>
          <w:szCs w:val="16"/>
        </w:rPr>
        <w:t> </w:t>
      </w:r>
      <w:r>
        <w:rPr>
          <w:sz w:val="16"/>
          <w:szCs w:val="16"/>
        </w:rPr>
        <w:t>mld. korun, nejvíce za posledních devět let.</w:t>
      </w:r>
    </w:p>
  </w:footnote>
  <w:footnote w:id="6">
    <w:p w:rsidR="00C805DC" w:rsidRPr="005B327D" w:rsidRDefault="00C805DC" w:rsidP="009C03C8">
      <w:pPr>
        <w:pStyle w:val="Textpoznpodarou"/>
        <w:rPr>
          <w:sz w:val="16"/>
          <w:szCs w:val="16"/>
        </w:rPr>
      </w:pPr>
      <w:r w:rsidRPr="005B327D">
        <w:rPr>
          <w:rStyle w:val="Znakapoznpodarou"/>
          <w:sz w:val="16"/>
          <w:szCs w:val="16"/>
        </w:rPr>
        <w:footnoteRef/>
      </w:r>
      <w:r w:rsidRPr="005B327D">
        <w:rPr>
          <w:sz w:val="16"/>
          <w:szCs w:val="16"/>
        </w:rPr>
        <w:t xml:space="preserve"> Bez chybějících aktuálních údajů za Maďarsko, Chorvatsko a Maltu.</w:t>
      </w:r>
    </w:p>
  </w:footnote>
  <w:footnote w:id="7">
    <w:p w:rsidR="00C805DC" w:rsidRPr="00BE2C39" w:rsidRDefault="00C805DC" w:rsidP="009C03C8">
      <w:pPr>
        <w:pStyle w:val="Textpoznpodarou"/>
        <w:rPr>
          <w:sz w:val="16"/>
          <w:szCs w:val="16"/>
        </w:rPr>
      </w:pPr>
      <w:r w:rsidRPr="00BE2C39">
        <w:rPr>
          <w:rStyle w:val="Znakapoznpodarou"/>
          <w:sz w:val="16"/>
          <w:szCs w:val="16"/>
        </w:rPr>
        <w:footnoteRef/>
      </w:r>
      <w:r w:rsidRPr="00BE2C39">
        <w:rPr>
          <w:sz w:val="16"/>
          <w:szCs w:val="16"/>
        </w:rPr>
        <w:t xml:space="preserve"> </w:t>
      </w:r>
      <w:r w:rsidRPr="00BE2C39">
        <w:rPr>
          <w:rFonts w:cs="Arial"/>
          <w:spacing w:val="-4"/>
          <w:sz w:val="16"/>
          <w:szCs w:val="16"/>
        </w:rPr>
        <w:t>To zčásti souvisí se specifickou odvětvovou skladbou (</w:t>
      </w:r>
      <w:r>
        <w:rPr>
          <w:rFonts w:cs="Arial"/>
          <w:spacing w:val="-4"/>
          <w:sz w:val="16"/>
          <w:szCs w:val="16"/>
        </w:rPr>
        <w:t xml:space="preserve">se silnějším </w:t>
      </w:r>
      <w:r w:rsidRPr="00BE2C39">
        <w:rPr>
          <w:rFonts w:cs="Arial"/>
          <w:spacing w:val="-4"/>
          <w:sz w:val="16"/>
          <w:szCs w:val="16"/>
        </w:rPr>
        <w:t>zastoupení</w:t>
      </w:r>
      <w:r>
        <w:rPr>
          <w:rFonts w:cs="Arial"/>
          <w:spacing w:val="-4"/>
          <w:sz w:val="16"/>
          <w:szCs w:val="16"/>
        </w:rPr>
        <w:t>m</w:t>
      </w:r>
      <w:r w:rsidRPr="00BE2C39">
        <w:rPr>
          <w:rFonts w:cs="Arial"/>
          <w:spacing w:val="-4"/>
          <w:sz w:val="16"/>
          <w:szCs w:val="16"/>
        </w:rPr>
        <w:t xml:space="preserve"> veřejných podniků v investičně náročných oborech</w:t>
      </w:r>
      <w:r>
        <w:rPr>
          <w:rFonts w:cs="Arial"/>
          <w:spacing w:val="-4"/>
          <w:sz w:val="16"/>
          <w:szCs w:val="16"/>
        </w:rPr>
        <w:t xml:space="preserve"> – energetiky, dopravy a skladování či výzkumu a vývoje).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5DC" w:rsidRPr="00601A2E" w:rsidRDefault="00C805DC" w:rsidP="00601A2E">
    <w:pPr>
      <w:pStyle w:val="Zhlav"/>
    </w:pPr>
    <w:r>
      <w:t>Analýza ekonomického vývoje v roce 2017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5DC" w:rsidRDefault="00C805DC" w:rsidP="00937AE2">
    <w:pPr>
      <w:pStyle w:val="Zhlav"/>
    </w:pPr>
    <w:r>
      <w:t>Analýza ekonomického vývoje v roce 2017</w:t>
    </w:r>
  </w:p>
  <w:p w:rsidR="00C805DC" w:rsidRPr="006F5416" w:rsidRDefault="00C805DC" w:rsidP="00937AE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B35353"/>
    <w:multiLevelType w:val="multilevel"/>
    <w:tmpl w:val="1C0E9EAE"/>
    <w:name w:val="Analyza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352333"/>
    <w:multiLevelType w:val="multilevel"/>
    <w:tmpl w:val="D0ACFA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2A5A7A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C2420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D106E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11355C0"/>
    <w:multiLevelType w:val="multilevel"/>
    <w:tmpl w:val="697E8B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39914012"/>
    <w:multiLevelType w:val="multilevel"/>
    <w:tmpl w:val="F380F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DA4287"/>
    <w:multiLevelType w:val="multilevel"/>
    <w:tmpl w:val="1C0E9EAE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490F3B"/>
    <w:multiLevelType w:val="hybridMultilevel"/>
    <w:tmpl w:val="D64CB604"/>
    <w:lvl w:ilvl="0" w:tplc="67AC8A1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CB210F"/>
    <w:multiLevelType w:val="multilevel"/>
    <w:tmpl w:val="D64CB60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651B2D"/>
    <w:multiLevelType w:val="hybridMultilevel"/>
    <w:tmpl w:val="4C1C2D78"/>
    <w:lvl w:ilvl="0" w:tplc="B01A5632">
      <w:start w:val="1"/>
      <w:numFmt w:val="bullet"/>
      <w:pStyle w:val="Normal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20"/>
  </w:num>
  <w:num w:numId="14">
    <w:abstractNumId w:val="10"/>
  </w:num>
  <w:num w:numId="15">
    <w:abstractNumId w:val="16"/>
  </w:num>
  <w:num w:numId="16">
    <w:abstractNumId w:val="12"/>
  </w:num>
  <w:num w:numId="17">
    <w:abstractNumId w:val="21"/>
  </w:num>
  <w:num w:numId="18">
    <w:abstractNumId w:val="17"/>
  </w:num>
  <w:num w:numId="19">
    <w:abstractNumId w:val="22"/>
  </w:num>
  <w:num w:numId="20">
    <w:abstractNumId w:val="23"/>
  </w:num>
  <w:num w:numId="21">
    <w:abstractNumId w:val="19"/>
  </w:num>
  <w:num w:numId="22">
    <w:abstractNumId w:val="15"/>
  </w:num>
  <w:num w:numId="23">
    <w:abstractNumId w:val="13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attachedTemplate r:id="rId1"/>
  <w:stylePaneFormatFilter w:val="1001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7170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F46502"/>
    <w:rsid w:val="0000209D"/>
    <w:rsid w:val="0000437D"/>
    <w:rsid w:val="00004D5A"/>
    <w:rsid w:val="000056D5"/>
    <w:rsid w:val="00006ABD"/>
    <w:rsid w:val="0000767A"/>
    <w:rsid w:val="00007BEF"/>
    <w:rsid w:val="00010256"/>
    <w:rsid w:val="00010702"/>
    <w:rsid w:val="00011912"/>
    <w:rsid w:val="0002195D"/>
    <w:rsid w:val="000234D6"/>
    <w:rsid w:val="00023D29"/>
    <w:rsid w:val="00026389"/>
    <w:rsid w:val="00031AE0"/>
    <w:rsid w:val="000322EF"/>
    <w:rsid w:val="00033FCD"/>
    <w:rsid w:val="00041CEC"/>
    <w:rsid w:val="0004694F"/>
    <w:rsid w:val="000522E4"/>
    <w:rsid w:val="000610E1"/>
    <w:rsid w:val="00062EC5"/>
    <w:rsid w:val="00062F22"/>
    <w:rsid w:val="00067A82"/>
    <w:rsid w:val="000712B3"/>
    <w:rsid w:val="0008263E"/>
    <w:rsid w:val="00082A55"/>
    <w:rsid w:val="00082C19"/>
    <w:rsid w:val="00085395"/>
    <w:rsid w:val="00087634"/>
    <w:rsid w:val="00087F2B"/>
    <w:rsid w:val="00093E3F"/>
    <w:rsid w:val="00093E53"/>
    <w:rsid w:val="00095135"/>
    <w:rsid w:val="00096085"/>
    <w:rsid w:val="000974D1"/>
    <w:rsid w:val="0009799E"/>
    <w:rsid w:val="000A1183"/>
    <w:rsid w:val="000A256D"/>
    <w:rsid w:val="000A3A2C"/>
    <w:rsid w:val="000B525B"/>
    <w:rsid w:val="000C1D78"/>
    <w:rsid w:val="000C3408"/>
    <w:rsid w:val="000C6AFD"/>
    <w:rsid w:val="000D514E"/>
    <w:rsid w:val="000D5637"/>
    <w:rsid w:val="000E6FBD"/>
    <w:rsid w:val="000F030B"/>
    <w:rsid w:val="00100F5C"/>
    <w:rsid w:val="0010106F"/>
    <w:rsid w:val="00101CDA"/>
    <w:rsid w:val="00104C4C"/>
    <w:rsid w:val="00117623"/>
    <w:rsid w:val="0012192F"/>
    <w:rsid w:val="00125D69"/>
    <w:rsid w:val="001405FA"/>
    <w:rsid w:val="00141782"/>
    <w:rsid w:val="001425C3"/>
    <w:rsid w:val="001528B9"/>
    <w:rsid w:val="001612F4"/>
    <w:rsid w:val="00162312"/>
    <w:rsid w:val="0016256B"/>
    <w:rsid w:val="00162A7A"/>
    <w:rsid w:val="00163793"/>
    <w:rsid w:val="001706D6"/>
    <w:rsid w:val="001714F2"/>
    <w:rsid w:val="001730A6"/>
    <w:rsid w:val="00175B9F"/>
    <w:rsid w:val="00181BBC"/>
    <w:rsid w:val="00182799"/>
    <w:rsid w:val="00184B08"/>
    <w:rsid w:val="00185010"/>
    <w:rsid w:val="00186919"/>
    <w:rsid w:val="001916DB"/>
    <w:rsid w:val="00193818"/>
    <w:rsid w:val="001A0487"/>
    <w:rsid w:val="001A0D6B"/>
    <w:rsid w:val="001A552F"/>
    <w:rsid w:val="001B2CA9"/>
    <w:rsid w:val="001B3110"/>
    <w:rsid w:val="001B4729"/>
    <w:rsid w:val="001B6310"/>
    <w:rsid w:val="001B6C09"/>
    <w:rsid w:val="001C05CD"/>
    <w:rsid w:val="001C1B66"/>
    <w:rsid w:val="001D198A"/>
    <w:rsid w:val="001D463E"/>
    <w:rsid w:val="001D68B2"/>
    <w:rsid w:val="001D70E9"/>
    <w:rsid w:val="001E504C"/>
    <w:rsid w:val="001F4597"/>
    <w:rsid w:val="00203DA4"/>
    <w:rsid w:val="002052C6"/>
    <w:rsid w:val="002118B9"/>
    <w:rsid w:val="00217C5B"/>
    <w:rsid w:val="0022139E"/>
    <w:rsid w:val="00222729"/>
    <w:rsid w:val="00222FFB"/>
    <w:rsid w:val="002252E0"/>
    <w:rsid w:val="002255F6"/>
    <w:rsid w:val="00227850"/>
    <w:rsid w:val="00227A53"/>
    <w:rsid w:val="00230C6E"/>
    <w:rsid w:val="00236443"/>
    <w:rsid w:val="00241B06"/>
    <w:rsid w:val="002436BA"/>
    <w:rsid w:val="00244A15"/>
    <w:rsid w:val="00247319"/>
    <w:rsid w:val="0024799E"/>
    <w:rsid w:val="00253C0F"/>
    <w:rsid w:val="002558C1"/>
    <w:rsid w:val="0026207F"/>
    <w:rsid w:val="0026743D"/>
    <w:rsid w:val="00271465"/>
    <w:rsid w:val="00274037"/>
    <w:rsid w:val="00285412"/>
    <w:rsid w:val="00291640"/>
    <w:rsid w:val="002A16D4"/>
    <w:rsid w:val="002A230C"/>
    <w:rsid w:val="002A5D97"/>
    <w:rsid w:val="002B2127"/>
    <w:rsid w:val="002B213A"/>
    <w:rsid w:val="002B38B8"/>
    <w:rsid w:val="002B4845"/>
    <w:rsid w:val="002B6B06"/>
    <w:rsid w:val="002C43BD"/>
    <w:rsid w:val="002D0E59"/>
    <w:rsid w:val="002E02A1"/>
    <w:rsid w:val="002E4E4C"/>
    <w:rsid w:val="00303533"/>
    <w:rsid w:val="00304771"/>
    <w:rsid w:val="003052D4"/>
    <w:rsid w:val="00306C5B"/>
    <w:rsid w:val="003209D6"/>
    <w:rsid w:val="00321924"/>
    <w:rsid w:val="003224AC"/>
    <w:rsid w:val="0032656E"/>
    <w:rsid w:val="00330060"/>
    <w:rsid w:val="00332190"/>
    <w:rsid w:val="00336E03"/>
    <w:rsid w:val="0034335E"/>
    <w:rsid w:val="00344668"/>
    <w:rsid w:val="003462D9"/>
    <w:rsid w:val="00347378"/>
    <w:rsid w:val="00360C86"/>
    <w:rsid w:val="00360DE3"/>
    <w:rsid w:val="00360FBC"/>
    <w:rsid w:val="00362E90"/>
    <w:rsid w:val="00363FF4"/>
    <w:rsid w:val="00364FA0"/>
    <w:rsid w:val="003657F3"/>
    <w:rsid w:val="003818DC"/>
    <w:rsid w:val="00384327"/>
    <w:rsid w:val="00385D3E"/>
    <w:rsid w:val="00385D98"/>
    <w:rsid w:val="003870EE"/>
    <w:rsid w:val="00392244"/>
    <w:rsid w:val="003A2B4D"/>
    <w:rsid w:val="003A2D12"/>
    <w:rsid w:val="003A478C"/>
    <w:rsid w:val="003A5525"/>
    <w:rsid w:val="003A6B38"/>
    <w:rsid w:val="003B4331"/>
    <w:rsid w:val="003B461F"/>
    <w:rsid w:val="003B5A32"/>
    <w:rsid w:val="003C3490"/>
    <w:rsid w:val="003C4BE8"/>
    <w:rsid w:val="003C7E62"/>
    <w:rsid w:val="003D6920"/>
    <w:rsid w:val="003E38BA"/>
    <w:rsid w:val="003E4C91"/>
    <w:rsid w:val="003F313C"/>
    <w:rsid w:val="003F37FC"/>
    <w:rsid w:val="003F3890"/>
    <w:rsid w:val="003F4B2C"/>
    <w:rsid w:val="003F551C"/>
    <w:rsid w:val="003F72ED"/>
    <w:rsid w:val="003F7D23"/>
    <w:rsid w:val="00407C13"/>
    <w:rsid w:val="00410638"/>
    <w:rsid w:val="0041501E"/>
    <w:rsid w:val="004159C3"/>
    <w:rsid w:val="004225C6"/>
    <w:rsid w:val="00432A58"/>
    <w:rsid w:val="00433C0C"/>
    <w:rsid w:val="00434617"/>
    <w:rsid w:val="00436778"/>
    <w:rsid w:val="00440900"/>
    <w:rsid w:val="00441BF6"/>
    <w:rsid w:val="004441A0"/>
    <w:rsid w:val="0045078A"/>
    <w:rsid w:val="0045086D"/>
    <w:rsid w:val="00460FB3"/>
    <w:rsid w:val="00461976"/>
    <w:rsid w:val="0046535D"/>
    <w:rsid w:val="00476240"/>
    <w:rsid w:val="00476439"/>
    <w:rsid w:val="0047735C"/>
    <w:rsid w:val="004776BC"/>
    <w:rsid w:val="0048139F"/>
    <w:rsid w:val="00481E40"/>
    <w:rsid w:val="00484ECE"/>
    <w:rsid w:val="004915CB"/>
    <w:rsid w:val="004924DC"/>
    <w:rsid w:val="00493F18"/>
    <w:rsid w:val="004A14E4"/>
    <w:rsid w:val="004A3212"/>
    <w:rsid w:val="004A5494"/>
    <w:rsid w:val="004A61C5"/>
    <w:rsid w:val="004A77DF"/>
    <w:rsid w:val="004B1417"/>
    <w:rsid w:val="004B48DF"/>
    <w:rsid w:val="004B55B7"/>
    <w:rsid w:val="004B6468"/>
    <w:rsid w:val="004B7125"/>
    <w:rsid w:val="004C26B0"/>
    <w:rsid w:val="004C384C"/>
    <w:rsid w:val="004C3867"/>
    <w:rsid w:val="004C4CD0"/>
    <w:rsid w:val="004C5FBF"/>
    <w:rsid w:val="004C70DC"/>
    <w:rsid w:val="004D0211"/>
    <w:rsid w:val="004D0794"/>
    <w:rsid w:val="004E02EB"/>
    <w:rsid w:val="004E326C"/>
    <w:rsid w:val="004F06F5"/>
    <w:rsid w:val="004F16F7"/>
    <w:rsid w:val="004F33A0"/>
    <w:rsid w:val="0050689D"/>
    <w:rsid w:val="005108C0"/>
    <w:rsid w:val="00511873"/>
    <w:rsid w:val="00512A2F"/>
    <w:rsid w:val="00513B7E"/>
    <w:rsid w:val="00515C74"/>
    <w:rsid w:val="00515FFA"/>
    <w:rsid w:val="005173AF"/>
    <w:rsid w:val="0052007E"/>
    <w:rsid w:val="0052337A"/>
    <w:rsid w:val="00525137"/>
    <w:rsid w:val="005251DD"/>
    <w:rsid w:val="00532CE7"/>
    <w:rsid w:val="0053324C"/>
    <w:rsid w:val="00534A28"/>
    <w:rsid w:val="00541508"/>
    <w:rsid w:val="00543498"/>
    <w:rsid w:val="00551238"/>
    <w:rsid w:val="0055599F"/>
    <w:rsid w:val="00556D68"/>
    <w:rsid w:val="00563EB8"/>
    <w:rsid w:val="005647BF"/>
    <w:rsid w:val="00564AF1"/>
    <w:rsid w:val="0057364B"/>
    <w:rsid w:val="00574773"/>
    <w:rsid w:val="00583FFD"/>
    <w:rsid w:val="005911BE"/>
    <w:rsid w:val="00593152"/>
    <w:rsid w:val="005A10F2"/>
    <w:rsid w:val="005A21E0"/>
    <w:rsid w:val="005A28FF"/>
    <w:rsid w:val="005A2C7B"/>
    <w:rsid w:val="005A3DF8"/>
    <w:rsid w:val="005A5549"/>
    <w:rsid w:val="005A7666"/>
    <w:rsid w:val="005B08EB"/>
    <w:rsid w:val="005B121D"/>
    <w:rsid w:val="005C06ED"/>
    <w:rsid w:val="005C2609"/>
    <w:rsid w:val="005D3386"/>
    <w:rsid w:val="005D5802"/>
    <w:rsid w:val="005D7119"/>
    <w:rsid w:val="005D7890"/>
    <w:rsid w:val="005E2A7C"/>
    <w:rsid w:val="005E7C78"/>
    <w:rsid w:val="005F18C5"/>
    <w:rsid w:val="005F3EB1"/>
    <w:rsid w:val="005F46D8"/>
    <w:rsid w:val="005F5469"/>
    <w:rsid w:val="00600079"/>
    <w:rsid w:val="006003D1"/>
    <w:rsid w:val="00601A2E"/>
    <w:rsid w:val="0060404F"/>
    <w:rsid w:val="00604307"/>
    <w:rsid w:val="0060487F"/>
    <w:rsid w:val="00604EAD"/>
    <w:rsid w:val="006075F4"/>
    <w:rsid w:val="00607FF4"/>
    <w:rsid w:val="006104FB"/>
    <w:rsid w:val="0061249B"/>
    <w:rsid w:val="00612A2F"/>
    <w:rsid w:val="00616E05"/>
    <w:rsid w:val="00624093"/>
    <w:rsid w:val="0063201A"/>
    <w:rsid w:val="006350D5"/>
    <w:rsid w:val="006404A7"/>
    <w:rsid w:val="006451E4"/>
    <w:rsid w:val="00645B33"/>
    <w:rsid w:val="00650330"/>
    <w:rsid w:val="006516CB"/>
    <w:rsid w:val="006558BD"/>
    <w:rsid w:val="00657E87"/>
    <w:rsid w:val="00664803"/>
    <w:rsid w:val="00665BA4"/>
    <w:rsid w:val="00666D91"/>
    <w:rsid w:val="00667AF2"/>
    <w:rsid w:val="006710C9"/>
    <w:rsid w:val="00674D89"/>
    <w:rsid w:val="00675E37"/>
    <w:rsid w:val="00680001"/>
    <w:rsid w:val="0068174E"/>
    <w:rsid w:val="00681DCE"/>
    <w:rsid w:val="0068260E"/>
    <w:rsid w:val="006836CB"/>
    <w:rsid w:val="00695BEF"/>
    <w:rsid w:val="006977F6"/>
    <w:rsid w:val="00697A13"/>
    <w:rsid w:val="006A109C"/>
    <w:rsid w:val="006A3E08"/>
    <w:rsid w:val="006A73A6"/>
    <w:rsid w:val="006B0F92"/>
    <w:rsid w:val="006B344A"/>
    <w:rsid w:val="006B4B7B"/>
    <w:rsid w:val="006B78D8"/>
    <w:rsid w:val="006C113F"/>
    <w:rsid w:val="006C123E"/>
    <w:rsid w:val="006C1752"/>
    <w:rsid w:val="006C33B2"/>
    <w:rsid w:val="006C56D4"/>
    <w:rsid w:val="006C6924"/>
    <w:rsid w:val="006C7CA6"/>
    <w:rsid w:val="006D3E8A"/>
    <w:rsid w:val="006D61F6"/>
    <w:rsid w:val="006D64C2"/>
    <w:rsid w:val="006E279A"/>
    <w:rsid w:val="006E313B"/>
    <w:rsid w:val="006E7227"/>
    <w:rsid w:val="006F2595"/>
    <w:rsid w:val="006F438E"/>
    <w:rsid w:val="006F5416"/>
    <w:rsid w:val="00705242"/>
    <w:rsid w:val="00706AD4"/>
    <w:rsid w:val="00707150"/>
    <w:rsid w:val="007140BE"/>
    <w:rsid w:val="00716E3F"/>
    <w:rsid w:val="007211F5"/>
    <w:rsid w:val="007240E2"/>
    <w:rsid w:val="00725BB5"/>
    <w:rsid w:val="00730AE8"/>
    <w:rsid w:val="00730F1B"/>
    <w:rsid w:val="00741493"/>
    <w:rsid w:val="0074369B"/>
    <w:rsid w:val="00750EF8"/>
    <w:rsid w:val="00752180"/>
    <w:rsid w:val="00753CAB"/>
    <w:rsid w:val="00755202"/>
    <w:rsid w:val="00755D3A"/>
    <w:rsid w:val="007578D3"/>
    <w:rsid w:val="007609C6"/>
    <w:rsid w:val="0076175D"/>
    <w:rsid w:val="00763B85"/>
    <w:rsid w:val="0076521E"/>
    <w:rsid w:val="007661E9"/>
    <w:rsid w:val="00775F45"/>
    <w:rsid w:val="00776169"/>
    <w:rsid w:val="00776527"/>
    <w:rsid w:val="00780EF1"/>
    <w:rsid w:val="00783C17"/>
    <w:rsid w:val="00785232"/>
    <w:rsid w:val="00790764"/>
    <w:rsid w:val="0079453C"/>
    <w:rsid w:val="00794677"/>
    <w:rsid w:val="007A516D"/>
    <w:rsid w:val="007B6689"/>
    <w:rsid w:val="007C13A4"/>
    <w:rsid w:val="007C6BBD"/>
    <w:rsid w:val="007C7BAE"/>
    <w:rsid w:val="007D0C24"/>
    <w:rsid w:val="007D40DF"/>
    <w:rsid w:val="007E29B4"/>
    <w:rsid w:val="007E435A"/>
    <w:rsid w:val="007E7E61"/>
    <w:rsid w:val="007F0845"/>
    <w:rsid w:val="007F708D"/>
    <w:rsid w:val="00801E13"/>
    <w:rsid w:val="00807C82"/>
    <w:rsid w:val="00816905"/>
    <w:rsid w:val="00821FF6"/>
    <w:rsid w:val="00822574"/>
    <w:rsid w:val="00825C4D"/>
    <w:rsid w:val="0083143E"/>
    <w:rsid w:val="00831CDE"/>
    <w:rsid w:val="00833BF2"/>
    <w:rsid w:val="00834304"/>
    <w:rsid w:val="00834FAA"/>
    <w:rsid w:val="00836086"/>
    <w:rsid w:val="00846121"/>
    <w:rsid w:val="0084708F"/>
    <w:rsid w:val="008477C8"/>
    <w:rsid w:val="00847931"/>
    <w:rsid w:val="0085114D"/>
    <w:rsid w:val="00852217"/>
    <w:rsid w:val="00855408"/>
    <w:rsid w:val="00856D65"/>
    <w:rsid w:val="00861B41"/>
    <w:rsid w:val="00861BE3"/>
    <w:rsid w:val="00863434"/>
    <w:rsid w:val="00865E4C"/>
    <w:rsid w:val="008701E4"/>
    <w:rsid w:val="00875A32"/>
    <w:rsid w:val="00876086"/>
    <w:rsid w:val="008873D4"/>
    <w:rsid w:val="0089296D"/>
    <w:rsid w:val="00893E85"/>
    <w:rsid w:val="00894031"/>
    <w:rsid w:val="00895508"/>
    <w:rsid w:val="008B7C02"/>
    <w:rsid w:val="008B7D2B"/>
    <w:rsid w:val="008C0049"/>
    <w:rsid w:val="008C0E88"/>
    <w:rsid w:val="008D0A60"/>
    <w:rsid w:val="008D0DBD"/>
    <w:rsid w:val="008D1E6A"/>
    <w:rsid w:val="008D2A16"/>
    <w:rsid w:val="008E0DC9"/>
    <w:rsid w:val="008E2C57"/>
    <w:rsid w:val="008E31FF"/>
    <w:rsid w:val="008E6F06"/>
    <w:rsid w:val="008E7FC9"/>
    <w:rsid w:val="008F029B"/>
    <w:rsid w:val="008F3FC9"/>
    <w:rsid w:val="008F585B"/>
    <w:rsid w:val="009003A8"/>
    <w:rsid w:val="00902500"/>
    <w:rsid w:val="00902EFF"/>
    <w:rsid w:val="00906401"/>
    <w:rsid w:val="0091155E"/>
    <w:rsid w:val="00912A92"/>
    <w:rsid w:val="0091728D"/>
    <w:rsid w:val="0092180B"/>
    <w:rsid w:val="00921F14"/>
    <w:rsid w:val="00924AC8"/>
    <w:rsid w:val="0092597A"/>
    <w:rsid w:val="00930FB1"/>
    <w:rsid w:val="0093139F"/>
    <w:rsid w:val="00932443"/>
    <w:rsid w:val="00937AE2"/>
    <w:rsid w:val="00942C19"/>
    <w:rsid w:val="0094427A"/>
    <w:rsid w:val="00945245"/>
    <w:rsid w:val="009540B7"/>
    <w:rsid w:val="0095759C"/>
    <w:rsid w:val="00974923"/>
    <w:rsid w:val="00980D3D"/>
    <w:rsid w:val="00987A30"/>
    <w:rsid w:val="00992CF3"/>
    <w:rsid w:val="009942B6"/>
    <w:rsid w:val="00994868"/>
    <w:rsid w:val="009968D6"/>
    <w:rsid w:val="009A1CAB"/>
    <w:rsid w:val="009A60D1"/>
    <w:rsid w:val="009A7B2E"/>
    <w:rsid w:val="009B6FD3"/>
    <w:rsid w:val="009C03C8"/>
    <w:rsid w:val="009C1750"/>
    <w:rsid w:val="009C2E29"/>
    <w:rsid w:val="009C3ED8"/>
    <w:rsid w:val="009C554B"/>
    <w:rsid w:val="009C719E"/>
    <w:rsid w:val="009D3ACD"/>
    <w:rsid w:val="009E5273"/>
    <w:rsid w:val="009E5DDB"/>
    <w:rsid w:val="009F46EA"/>
    <w:rsid w:val="009F4CA7"/>
    <w:rsid w:val="00A10D66"/>
    <w:rsid w:val="00A14114"/>
    <w:rsid w:val="00A16413"/>
    <w:rsid w:val="00A16E1D"/>
    <w:rsid w:val="00A17D5B"/>
    <w:rsid w:val="00A230A8"/>
    <w:rsid w:val="00A23E43"/>
    <w:rsid w:val="00A25216"/>
    <w:rsid w:val="00A27420"/>
    <w:rsid w:val="00A30F65"/>
    <w:rsid w:val="00A329DF"/>
    <w:rsid w:val="00A35142"/>
    <w:rsid w:val="00A35EA6"/>
    <w:rsid w:val="00A40EAC"/>
    <w:rsid w:val="00A418BC"/>
    <w:rsid w:val="00A46DE0"/>
    <w:rsid w:val="00A4750C"/>
    <w:rsid w:val="00A50D73"/>
    <w:rsid w:val="00A51F19"/>
    <w:rsid w:val="00A52CAD"/>
    <w:rsid w:val="00A537F0"/>
    <w:rsid w:val="00A53FC7"/>
    <w:rsid w:val="00A55161"/>
    <w:rsid w:val="00A62CE1"/>
    <w:rsid w:val="00A6741E"/>
    <w:rsid w:val="00A75E40"/>
    <w:rsid w:val="00A77D1D"/>
    <w:rsid w:val="00A84923"/>
    <w:rsid w:val="00A857C0"/>
    <w:rsid w:val="00A90FED"/>
    <w:rsid w:val="00AA2996"/>
    <w:rsid w:val="00AA52BF"/>
    <w:rsid w:val="00AA559A"/>
    <w:rsid w:val="00AB2AF1"/>
    <w:rsid w:val="00AB5421"/>
    <w:rsid w:val="00AC45BD"/>
    <w:rsid w:val="00AD168E"/>
    <w:rsid w:val="00AD306C"/>
    <w:rsid w:val="00AD68C4"/>
    <w:rsid w:val="00AE09B3"/>
    <w:rsid w:val="00AE1A83"/>
    <w:rsid w:val="00AE7FB2"/>
    <w:rsid w:val="00B00913"/>
    <w:rsid w:val="00B01593"/>
    <w:rsid w:val="00B023F2"/>
    <w:rsid w:val="00B10A4D"/>
    <w:rsid w:val="00B120A1"/>
    <w:rsid w:val="00B121D2"/>
    <w:rsid w:val="00B14BC1"/>
    <w:rsid w:val="00B17E71"/>
    <w:rsid w:val="00B17FDE"/>
    <w:rsid w:val="00B20632"/>
    <w:rsid w:val="00B2379C"/>
    <w:rsid w:val="00B2687D"/>
    <w:rsid w:val="00B30358"/>
    <w:rsid w:val="00B32DDB"/>
    <w:rsid w:val="00B34528"/>
    <w:rsid w:val="00B34CC9"/>
    <w:rsid w:val="00B402FC"/>
    <w:rsid w:val="00B40FF9"/>
    <w:rsid w:val="00B42470"/>
    <w:rsid w:val="00B439DA"/>
    <w:rsid w:val="00B46604"/>
    <w:rsid w:val="00B530CD"/>
    <w:rsid w:val="00B55F5E"/>
    <w:rsid w:val="00B57338"/>
    <w:rsid w:val="00B5752E"/>
    <w:rsid w:val="00B63A11"/>
    <w:rsid w:val="00B64C24"/>
    <w:rsid w:val="00B6608F"/>
    <w:rsid w:val="00B679FB"/>
    <w:rsid w:val="00B76D1E"/>
    <w:rsid w:val="00B80EC6"/>
    <w:rsid w:val="00B84CF6"/>
    <w:rsid w:val="00B86F03"/>
    <w:rsid w:val="00B92D1D"/>
    <w:rsid w:val="00B938C5"/>
    <w:rsid w:val="00B95940"/>
    <w:rsid w:val="00BA0DD3"/>
    <w:rsid w:val="00BA6C2B"/>
    <w:rsid w:val="00BB2F03"/>
    <w:rsid w:val="00BB46F3"/>
    <w:rsid w:val="00BB4CB1"/>
    <w:rsid w:val="00BB4F98"/>
    <w:rsid w:val="00BC0E31"/>
    <w:rsid w:val="00BC5C12"/>
    <w:rsid w:val="00BC7154"/>
    <w:rsid w:val="00BC731E"/>
    <w:rsid w:val="00BD163C"/>
    <w:rsid w:val="00BD2211"/>
    <w:rsid w:val="00BD366B"/>
    <w:rsid w:val="00BD6D50"/>
    <w:rsid w:val="00BE18B9"/>
    <w:rsid w:val="00BE2495"/>
    <w:rsid w:val="00BE468E"/>
    <w:rsid w:val="00BE6186"/>
    <w:rsid w:val="00BF1578"/>
    <w:rsid w:val="00C21405"/>
    <w:rsid w:val="00C21F94"/>
    <w:rsid w:val="00C27913"/>
    <w:rsid w:val="00C33B68"/>
    <w:rsid w:val="00C36A79"/>
    <w:rsid w:val="00C401D2"/>
    <w:rsid w:val="00C405D4"/>
    <w:rsid w:val="00C4513B"/>
    <w:rsid w:val="00C466D2"/>
    <w:rsid w:val="00C517C6"/>
    <w:rsid w:val="00C5390B"/>
    <w:rsid w:val="00C54697"/>
    <w:rsid w:val="00C60191"/>
    <w:rsid w:val="00C6152B"/>
    <w:rsid w:val="00C73885"/>
    <w:rsid w:val="00C747B1"/>
    <w:rsid w:val="00C805DC"/>
    <w:rsid w:val="00C82191"/>
    <w:rsid w:val="00C83134"/>
    <w:rsid w:val="00C85545"/>
    <w:rsid w:val="00C90CF4"/>
    <w:rsid w:val="00C92EB6"/>
    <w:rsid w:val="00C93389"/>
    <w:rsid w:val="00C96D08"/>
    <w:rsid w:val="00CA6AB4"/>
    <w:rsid w:val="00CB259D"/>
    <w:rsid w:val="00CB4930"/>
    <w:rsid w:val="00CC2E7D"/>
    <w:rsid w:val="00CC71EC"/>
    <w:rsid w:val="00CD10A5"/>
    <w:rsid w:val="00CD2076"/>
    <w:rsid w:val="00CD29B5"/>
    <w:rsid w:val="00CD6331"/>
    <w:rsid w:val="00CE153B"/>
    <w:rsid w:val="00CE670B"/>
    <w:rsid w:val="00CF1C4C"/>
    <w:rsid w:val="00CF4908"/>
    <w:rsid w:val="00CF51EC"/>
    <w:rsid w:val="00CF73AE"/>
    <w:rsid w:val="00D040DD"/>
    <w:rsid w:val="00D050F8"/>
    <w:rsid w:val="00D075BE"/>
    <w:rsid w:val="00D1005A"/>
    <w:rsid w:val="00D11854"/>
    <w:rsid w:val="00D13986"/>
    <w:rsid w:val="00D21D83"/>
    <w:rsid w:val="00D235B7"/>
    <w:rsid w:val="00D25F28"/>
    <w:rsid w:val="00D26071"/>
    <w:rsid w:val="00D27973"/>
    <w:rsid w:val="00D279B8"/>
    <w:rsid w:val="00D32F90"/>
    <w:rsid w:val="00D35E1A"/>
    <w:rsid w:val="00D50F46"/>
    <w:rsid w:val="00D52BE2"/>
    <w:rsid w:val="00D57677"/>
    <w:rsid w:val="00D66223"/>
    <w:rsid w:val="00D8084C"/>
    <w:rsid w:val="00D915EA"/>
    <w:rsid w:val="00D93CE2"/>
    <w:rsid w:val="00D943C6"/>
    <w:rsid w:val="00D965EC"/>
    <w:rsid w:val="00DA7C0C"/>
    <w:rsid w:val="00DB08A9"/>
    <w:rsid w:val="00DB2EC8"/>
    <w:rsid w:val="00DC37E3"/>
    <w:rsid w:val="00DC5B3B"/>
    <w:rsid w:val="00DD129F"/>
    <w:rsid w:val="00DE4C19"/>
    <w:rsid w:val="00DF42FF"/>
    <w:rsid w:val="00DF7AD4"/>
    <w:rsid w:val="00E01C0E"/>
    <w:rsid w:val="00E03F9A"/>
    <w:rsid w:val="00E04694"/>
    <w:rsid w:val="00E04F27"/>
    <w:rsid w:val="00E102BD"/>
    <w:rsid w:val="00E11DE1"/>
    <w:rsid w:val="00E12B1E"/>
    <w:rsid w:val="00E17262"/>
    <w:rsid w:val="00E212C9"/>
    <w:rsid w:val="00E253A2"/>
    <w:rsid w:val="00E3309D"/>
    <w:rsid w:val="00E453F9"/>
    <w:rsid w:val="00E47EBA"/>
    <w:rsid w:val="00E50156"/>
    <w:rsid w:val="00E53470"/>
    <w:rsid w:val="00E539F6"/>
    <w:rsid w:val="00E6519D"/>
    <w:rsid w:val="00E67696"/>
    <w:rsid w:val="00E711D1"/>
    <w:rsid w:val="00E71A58"/>
    <w:rsid w:val="00E72A7A"/>
    <w:rsid w:val="00E733C7"/>
    <w:rsid w:val="00E75C94"/>
    <w:rsid w:val="00E76E61"/>
    <w:rsid w:val="00E924B2"/>
    <w:rsid w:val="00E93820"/>
    <w:rsid w:val="00E94A86"/>
    <w:rsid w:val="00E96143"/>
    <w:rsid w:val="00E972A9"/>
    <w:rsid w:val="00EA0840"/>
    <w:rsid w:val="00EA0C68"/>
    <w:rsid w:val="00EA17B0"/>
    <w:rsid w:val="00EA18A3"/>
    <w:rsid w:val="00EA32BC"/>
    <w:rsid w:val="00EA405F"/>
    <w:rsid w:val="00EB4511"/>
    <w:rsid w:val="00EC03D7"/>
    <w:rsid w:val="00EC25F0"/>
    <w:rsid w:val="00ED62C6"/>
    <w:rsid w:val="00ED64C1"/>
    <w:rsid w:val="00EE3446"/>
    <w:rsid w:val="00EE3E78"/>
    <w:rsid w:val="00EE4B1B"/>
    <w:rsid w:val="00EF150D"/>
    <w:rsid w:val="00EF1F5A"/>
    <w:rsid w:val="00EF47BF"/>
    <w:rsid w:val="00F04811"/>
    <w:rsid w:val="00F0488C"/>
    <w:rsid w:val="00F10F11"/>
    <w:rsid w:val="00F15AAA"/>
    <w:rsid w:val="00F15BEF"/>
    <w:rsid w:val="00F160CE"/>
    <w:rsid w:val="00F162B3"/>
    <w:rsid w:val="00F24407"/>
    <w:rsid w:val="00F24FAA"/>
    <w:rsid w:val="00F3364D"/>
    <w:rsid w:val="00F33E56"/>
    <w:rsid w:val="00F433FE"/>
    <w:rsid w:val="00F437CC"/>
    <w:rsid w:val="00F44537"/>
    <w:rsid w:val="00F46502"/>
    <w:rsid w:val="00F47067"/>
    <w:rsid w:val="00F525EB"/>
    <w:rsid w:val="00F55E08"/>
    <w:rsid w:val="00F63DDE"/>
    <w:rsid w:val="00F63FB7"/>
    <w:rsid w:val="00F6421B"/>
    <w:rsid w:val="00F649D2"/>
    <w:rsid w:val="00F6602B"/>
    <w:rsid w:val="00F73A0C"/>
    <w:rsid w:val="00F756DB"/>
    <w:rsid w:val="00F84E7D"/>
    <w:rsid w:val="00F85066"/>
    <w:rsid w:val="00F859D0"/>
    <w:rsid w:val="00F87A4D"/>
    <w:rsid w:val="00FA5D4D"/>
    <w:rsid w:val="00FB0EE2"/>
    <w:rsid w:val="00FB542E"/>
    <w:rsid w:val="00FC0359"/>
    <w:rsid w:val="00FC0E5F"/>
    <w:rsid w:val="00FC1A95"/>
    <w:rsid w:val="00FC56DE"/>
    <w:rsid w:val="00FC684B"/>
    <w:rsid w:val="00FD3265"/>
    <w:rsid w:val="00FD4916"/>
    <w:rsid w:val="00FE2F78"/>
    <w:rsid w:val="00FE6609"/>
    <w:rsid w:val="00FF3EEC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List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FA0"/>
    <w:pPr>
      <w:spacing w:after="240" w:line="276" w:lineRule="auto"/>
      <w:jc w:val="both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A25216"/>
    <w:pPr>
      <w:keepNext/>
      <w:keepLines/>
      <w:spacing w:after="100" w:line="276" w:lineRule="auto"/>
      <w:contextualSpacing/>
      <w:outlineLvl w:val="0"/>
    </w:pPr>
    <w:rPr>
      <w:rFonts w:ascii="Arial" w:eastAsia="MS Gothic" w:hAnsi="Arial"/>
      <w:b/>
      <w:bCs/>
      <w:color w:val="71818C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A25216"/>
    <w:pPr>
      <w:keepNext/>
      <w:keepLines/>
      <w:spacing w:line="276" w:lineRule="auto"/>
      <w:outlineLvl w:val="1"/>
    </w:pPr>
    <w:rPr>
      <w:rFonts w:ascii="Arial" w:eastAsia="MS Gothic" w:hAnsi="Arial"/>
      <w:b/>
      <w:bCs/>
      <w:color w:val="71818C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A25216"/>
    <w:pPr>
      <w:keepNext/>
      <w:keepLines/>
      <w:spacing w:line="276" w:lineRule="auto"/>
      <w:outlineLvl w:val="2"/>
    </w:pPr>
    <w:rPr>
      <w:rFonts w:ascii="Arial" w:eastAsia="MS Gothic" w:hAnsi="Arial"/>
      <w:b/>
      <w:bCs/>
      <w:color w:val="71818C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A25216"/>
    <w:pPr>
      <w:keepNext/>
      <w:keepLines/>
      <w:spacing w:line="276" w:lineRule="auto"/>
      <w:outlineLvl w:val="3"/>
    </w:pPr>
    <w:rPr>
      <w:rFonts w:ascii="Arial" w:eastAsia="MS Gothic" w:hAnsi="Arial"/>
      <w:b/>
      <w:bCs/>
      <w:iCs/>
      <w:color w:val="71818C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A516D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516D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516D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516D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516D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364FA0"/>
    <w:rPr>
      <w:rFonts w:ascii="Arial" w:eastAsia="MS Gothic" w:hAnsi="Arial"/>
      <w:b/>
      <w:bCs/>
      <w:color w:val="71818C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qFormat/>
    <w:rsid w:val="00364FA0"/>
    <w:rPr>
      <w:rFonts w:ascii="Arial" w:eastAsia="MS Gothic" w:hAnsi="Arial"/>
      <w:b/>
      <w:bCs/>
      <w:color w:val="71818C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364FA0"/>
    <w:rPr>
      <w:rFonts w:ascii="Arial" w:eastAsia="MS Gothic" w:hAnsi="Arial"/>
      <w:b/>
      <w:bCs/>
      <w:color w:val="71818C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364FA0"/>
    <w:rPr>
      <w:rFonts w:ascii="Arial" w:eastAsia="MS Gothic" w:hAnsi="Arial"/>
      <w:b/>
      <w:bCs/>
      <w:iCs/>
      <w:color w:val="71818C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7A516D"/>
    <w:rPr>
      <w:rFonts w:ascii="Cambria" w:eastAsia="Times New Roman" w:hAnsi="Cambria"/>
      <w:sz w:val="22"/>
      <w:szCs w:val="22"/>
      <w:lang w:eastAsia="cs-CZ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EA0840"/>
    <w:rPr>
      <w:noProof/>
      <w:lang w:eastAsia="en-US"/>
    </w:rPr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846121"/>
    <w:pPr>
      <w:spacing w:after="80" w:line="288" w:lineRule="auto"/>
    </w:pPr>
    <w:rPr>
      <w:rFonts w:ascii="Arial" w:eastAsia="Times New Roman" w:hAnsi="Arial"/>
      <w:b/>
      <w:color w:val="71818C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A-Box1">
    <w:name w:val="A-Box 1"/>
    <w:next w:val="Normln"/>
    <w:qFormat/>
    <w:rsid w:val="00F84E7D"/>
    <w:pPr>
      <w:shd w:val="clear" w:color="auto" w:fill="EAECEE"/>
      <w:spacing w:before="240" w:after="240" w:line="276" w:lineRule="auto"/>
      <w:contextualSpacing/>
      <w:jc w:val="both"/>
    </w:pPr>
    <w:rPr>
      <w:rFonts w:ascii="Arial" w:hAnsi="Arial" w:cs="Arial"/>
      <w:lang w:eastAsia="cs-CZ"/>
    </w:rPr>
  </w:style>
  <w:style w:type="paragraph" w:customStyle="1" w:styleId="A-Box2">
    <w:name w:val="A-Box 2"/>
    <w:next w:val="Normln"/>
    <w:qFormat/>
    <w:rsid w:val="00D075BE"/>
    <w:pPr>
      <w:spacing w:before="240" w:after="240" w:line="276" w:lineRule="auto"/>
      <w:contextualSpacing/>
      <w:jc w:val="both"/>
    </w:pPr>
    <w:rPr>
      <w:rFonts w:ascii="Arial" w:hAnsi="Arial" w:cs="Arial"/>
      <w:color w:val="71818C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846121"/>
    <w:pPr>
      <w:spacing w:line="288" w:lineRule="auto"/>
    </w:pPr>
    <w:rPr>
      <w:rFonts w:ascii="Arial" w:eastAsia="Times New Roman" w:hAnsi="Arial"/>
      <w:b/>
      <w:bCs/>
      <w:caps/>
      <w:color w:val="71818C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846121"/>
    <w:rPr>
      <w:rFonts w:ascii="Arial" w:eastAsia="Times New Roman" w:hAnsi="Arial"/>
      <w:b/>
      <w:bCs/>
      <w:caps/>
      <w:color w:val="71818C"/>
      <w:kern w:val="28"/>
      <w:sz w:val="56"/>
      <w:szCs w:val="32"/>
    </w:rPr>
  </w:style>
  <w:style w:type="paragraph" w:styleId="Podtitul">
    <w:name w:val="Subtitle"/>
    <w:link w:val="PodtitulChar"/>
    <w:uiPriority w:val="11"/>
    <w:qFormat/>
    <w:rsid w:val="00846121"/>
    <w:pPr>
      <w:spacing w:line="288" w:lineRule="auto"/>
    </w:pPr>
    <w:rPr>
      <w:rFonts w:ascii="Arial" w:eastAsia="Times New Roman" w:hAnsi="Arial" w:cs="Arial"/>
      <w:b/>
      <w:color w:val="71818C"/>
      <w:sz w:val="28"/>
      <w:szCs w:val="24"/>
      <w:lang w:eastAsia="cs-CZ"/>
    </w:rPr>
  </w:style>
  <w:style w:type="character" w:customStyle="1" w:styleId="PodtitulChar">
    <w:name w:val="Podtitul Char"/>
    <w:link w:val="Podtitul"/>
    <w:uiPriority w:val="11"/>
    <w:rsid w:val="00846121"/>
    <w:rPr>
      <w:rFonts w:ascii="Arial" w:eastAsia="Times New Roman" w:hAnsi="Arial" w:cs="Arial"/>
      <w:b/>
      <w:color w:val="71818C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A516D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516D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516D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516D"/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paragraph" w:styleId="Textpoznpodarou">
    <w:name w:val="footnote text"/>
    <w:aliases w:val="Text pozn. pod čarou_martin_ang"/>
    <w:basedOn w:val="Normln"/>
    <w:link w:val="TextpoznpodarouChar"/>
    <w:qFormat/>
    <w:rsid w:val="008E7FC9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qFormat/>
    <w:rsid w:val="008E7FC9"/>
    <w:rPr>
      <w:rFonts w:ascii="Arial" w:hAnsi="Arial"/>
      <w:lang w:eastAsia="cs-CZ"/>
    </w:rPr>
  </w:style>
  <w:style w:type="paragraph" w:styleId="Bezmezer">
    <w:name w:val="No Spacing"/>
    <w:uiPriority w:val="1"/>
    <w:qFormat/>
    <w:rsid w:val="00AD68C4"/>
    <w:pPr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Marginlie">
    <w:name w:val="Marginálie"/>
    <w:basedOn w:val="Normln"/>
    <w:qFormat/>
    <w:rsid w:val="0089296D"/>
    <w:pPr>
      <w:spacing w:after="0"/>
      <w:jc w:val="left"/>
    </w:pPr>
    <w:rPr>
      <w:spacing w:val="-2"/>
      <w:sz w:val="16"/>
      <w:szCs w:val="16"/>
    </w:rPr>
  </w:style>
  <w:style w:type="paragraph" w:styleId="Odstavecseseznamem">
    <w:name w:val="List Paragraph"/>
    <w:basedOn w:val="Normln"/>
    <w:uiPriority w:val="34"/>
    <w:rsid w:val="006B0F92"/>
    <w:pPr>
      <w:ind w:left="720"/>
      <w:contextualSpacing/>
    </w:pPr>
  </w:style>
  <w:style w:type="paragraph" w:customStyle="1" w:styleId="Normalodrka">
    <w:name w:val="Normal odrážka"/>
    <w:qFormat/>
    <w:rsid w:val="006B0F92"/>
    <w:pPr>
      <w:numPr>
        <w:numId w:val="20"/>
      </w:numPr>
      <w:spacing w:after="240" w:line="276" w:lineRule="auto"/>
      <w:ind w:left="357" w:hanging="357"/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A17D5B"/>
    <w:pPr>
      <w:shd w:val="clear" w:color="auto" w:fill="EBEBEB"/>
      <w:spacing w:before="240" w:after="240" w:line="276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next w:val="Normln"/>
    <w:qFormat/>
    <w:rsid w:val="00A17D5B"/>
    <w:pPr>
      <w:spacing w:before="240" w:after="240" w:line="276" w:lineRule="auto"/>
      <w:ind w:left="709"/>
      <w:contextualSpacing/>
    </w:pPr>
    <w:rPr>
      <w:rFonts w:ascii="Arial" w:hAnsi="Arial" w:cs="Arial"/>
      <w:b/>
      <w:color w:val="71818C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6E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6E6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6E6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E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E61"/>
    <w:rPr>
      <w:rFonts w:ascii="Arial" w:eastAsia="Times New Roman" w:hAnsi="Arial"/>
      <w:b/>
      <w:bCs/>
      <w:lang w:eastAsia="cs-CZ"/>
    </w:rPr>
  </w:style>
  <w:style w:type="paragraph" w:customStyle="1" w:styleId="Nadpis11">
    <w:name w:val="Nadpis 11"/>
    <w:basedOn w:val="Normln"/>
    <w:uiPriority w:val="9"/>
    <w:qFormat/>
    <w:rsid w:val="00F46502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paragraph" w:customStyle="1" w:styleId="Nadpis21">
    <w:name w:val="Nadpis 21"/>
    <w:basedOn w:val="Normln"/>
    <w:uiPriority w:val="9"/>
    <w:qFormat/>
    <w:rsid w:val="00F46502"/>
    <w:pPr>
      <w:keepNext/>
      <w:keepLines/>
      <w:spacing w:after="0"/>
      <w:jc w:val="left"/>
      <w:outlineLvl w:val="1"/>
    </w:pPr>
    <w:rPr>
      <w:rFonts w:eastAsia="MS Gothic"/>
      <w:b/>
      <w:bCs/>
      <w:color w:val="71818C"/>
      <w:sz w:val="28"/>
      <w:szCs w:val="26"/>
    </w:rPr>
  </w:style>
  <w:style w:type="paragraph" w:customStyle="1" w:styleId="Textpoznpodarou1">
    <w:name w:val="Text pozn. pod čarou1"/>
    <w:basedOn w:val="Normln"/>
    <w:rsid w:val="00F46502"/>
    <w:pPr>
      <w:spacing w:after="0" w:line="240" w:lineRule="auto"/>
      <w:jc w:val="left"/>
    </w:pPr>
    <w:rPr>
      <w:rFonts w:eastAsia="Calibri"/>
      <w:color w:val="00000A"/>
      <w:szCs w:val="20"/>
    </w:rPr>
  </w:style>
  <w:style w:type="character" w:customStyle="1" w:styleId="TextpoznpodarouChar1">
    <w:name w:val="Text pozn. pod čarou Char1"/>
    <w:aliases w:val="Text pozn. pod čarou_martin_ang Char1"/>
    <w:basedOn w:val="Standardnpsmoodstavce"/>
    <w:semiHidden/>
    <w:rsid w:val="00F46502"/>
    <w:rPr>
      <w:rFonts w:ascii="Arial" w:eastAsia="Times New Roman" w:hAnsi="Arial" w:cs="Times New Roman"/>
      <w:color w:val="00000A"/>
      <w:szCs w:val="20"/>
      <w:lang w:eastAsia="cs-CZ"/>
    </w:rPr>
  </w:style>
  <w:style w:type="character" w:styleId="Znakapoznpodarou">
    <w:name w:val="footnote reference"/>
    <w:basedOn w:val="Standardnpsmoodstavce"/>
    <w:rsid w:val="00F46502"/>
    <w:rPr>
      <w:rFonts w:cs="Times New Roman"/>
      <w:vertAlign w:val="superscript"/>
    </w:rPr>
  </w:style>
  <w:style w:type="character" w:customStyle="1" w:styleId="odkaz-style-wrapper">
    <w:name w:val="odkaz-style-wrapper"/>
    <w:basedOn w:val="Standardnpsmoodstavce"/>
    <w:rsid w:val="00BE6186"/>
  </w:style>
  <w:style w:type="paragraph" w:customStyle="1" w:styleId="Nadpis110">
    <w:name w:val="Nadpis 11"/>
    <w:basedOn w:val="Normln"/>
    <w:uiPriority w:val="9"/>
    <w:qFormat/>
    <w:rsid w:val="00BE6186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paragraph" w:customStyle="1" w:styleId="Nadpis210">
    <w:name w:val="Nadpis 21"/>
    <w:basedOn w:val="Normln"/>
    <w:uiPriority w:val="9"/>
    <w:qFormat/>
    <w:rsid w:val="00BE6186"/>
    <w:pPr>
      <w:keepNext/>
      <w:keepLines/>
      <w:spacing w:after="0"/>
      <w:jc w:val="left"/>
      <w:outlineLvl w:val="1"/>
    </w:pPr>
    <w:rPr>
      <w:rFonts w:eastAsia="MS Gothic"/>
      <w:b/>
      <w:bCs/>
      <w:color w:val="71818C"/>
      <w:sz w:val="28"/>
      <w:szCs w:val="26"/>
    </w:rPr>
  </w:style>
  <w:style w:type="paragraph" w:customStyle="1" w:styleId="Textpoznpodarou10">
    <w:name w:val="Text pozn. pod čarou1"/>
    <w:basedOn w:val="Normln"/>
    <w:rsid w:val="00BE6186"/>
    <w:pPr>
      <w:spacing w:after="0" w:line="240" w:lineRule="auto"/>
      <w:jc w:val="left"/>
    </w:pPr>
    <w:rPr>
      <w:rFonts w:eastAsia="Calibri"/>
      <w:color w:val="00000A"/>
      <w:szCs w:val="20"/>
    </w:rPr>
  </w:style>
  <w:style w:type="paragraph" w:styleId="Normlnweb">
    <w:name w:val="Normal (Web)"/>
    <w:basedOn w:val="Normln"/>
    <w:uiPriority w:val="99"/>
    <w:unhideWhenUsed/>
    <w:rsid w:val="00C96D0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semiHidden/>
    <w:rsid w:val="004C5FBF"/>
    <w:pPr>
      <w:widowControl w:val="0"/>
      <w:suppressAutoHyphens/>
      <w:autoSpaceDE w:val="0"/>
      <w:autoSpaceDN w:val="0"/>
      <w:adjustRightInd w:val="0"/>
      <w:spacing w:before="120" w:after="0" w:line="215" w:lineRule="exact"/>
    </w:pPr>
    <w:rPr>
      <w:rFonts w:ascii="Times New Roman CE obyèejné" w:hAnsi="Times New Roman CE obyèejné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4C5FBF"/>
    <w:rPr>
      <w:rFonts w:ascii="Times New Roman CE obyèejné" w:eastAsia="Times New Roman" w:hAnsi="Times New Roman CE obyèejné"/>
      <w:lang w:eastAsia="cs-CZ"/>
    </w:rPr>
  </w:style>
  <w:style w:type="character" w:customStyle="1" w:styleId="content">
    <w:name w:val="content"/>
    <w:basedOn w:val="Standardnpsmoodstavce"/>
    <w:rsid w:val="003C4B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572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82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nal&#253;za\Ro&#269;n&#237;%20anal&#253;za%202018\Ana&#253;za%20ekonomick&#233;ho%20v&#253;voje%20v%20roce%202017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JKAM%20CSU\PUBLIKACE\PUBLIKACE\2018\Velk&#225;%20makro\A-Sektor%20nefina&#269;n&#237;ch%20podnik&#367;\Grafy-nefona&#269;n&#237;%20podniky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Velk&#225;%20makro%202018\A-Sektor%20nefina&#269;n&#237;ch%20podnik&#367;-1\Grafy-nefinan&#269;n&#237;%20podniky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JKAM%20CSU\PUBLIKACE\PUBLIKACE\2018\Velk&#225;%20makro\A-Sektor%20nefina&#269;n&#237;ch%20podnik&#367;\Grafy-nefona&#269;n&#237;%20podniky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JKAM%20CSU\PUBLIKACE\PUBLIKACE\2018\Velk&#225;%20makro\A-Sektor%20nefina&#269;n&#237;ch%20podnik&#367;\Grafy-nefinan&#269;n&#237;%20podniky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JKAM%20CSU\PUBLIKACE\PUBLIKACE\2018\Velk&#225;%20makro\A-Sektor%20nefina&#269;n&#237;ch%20podnik&#367;\Grafy-nefinan&#269;n&#237;%20podniky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JKAM%20CSU\PUBLIKACE\PUBLIKACE\2018\Velk&#225;%20makro\A-Sektor%20nefina&#269;n&#237;ch%20podnik&#367;-1\Grafy-nefinan&#269;n&#237;%20podnik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6.2040029038385534E-2"/>
          <c:y val="1.9513175616353018E-2"/>
          <c:w val="0.92433548575002356"/>
          <c:h val="0.80087357874591858"/>
        </c:manualLayout>
      </c:layout>
      <c:barChart>
        <c:barDir val="col"/>
        <c:grouping val="clustered"/>
        <c:ser>
          <c:idx val="0"/>
          <c:order val="0"/>
          <c:tx>
            <c:strRef>
              <c:f>'Sektorové účty'!$B$30</c:f>
              <c:strCache>
                <c:ptCount val="1"/>
                <c:pt idx="0">
                  <c:v>Saldo hospodaření (v mld. korun, pr.osa)</c:v>
                </c:pt>
              </c:strCache>
            </c:strRef>
          </c:tx>
          <c:spPr>
            <a:solidFill>
              <a:srgbClr val="C5C5C5"/>
            </a:solidFill>
            <a:ln w="12700">
              <a:noFill/>
              <a:prstDash val="solid"/>
            </a:ln>
          </c:spPr>
          <c:cat>
            <c:numRef>
              <c:f>'Sektorové účty'!$C$29:$O$29</c:f>
              <c:numCache>
                <c:formatCode>General</c:formatCode>
                <c:ptCount val="13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</c:numCache>
            </c:numRef>
          </c:cat>
          <c:val>
            <c:numRef>
              <c:f>'Sektorové účty'!$C$30:$O$30</c:f>
              <c:numCache>
                <c:formatCode>0.0</c:formatCode>
                <c:ptCount val="13"/>
                <c:pt idx="0">
                  <c:v>-70.325999999999979</c:v>
                </c:pt>
                <c:pt idx="1">
                  <c:v>-124.30200000000001</c:v>
                </c:pt>
                <c:pt idx="2">
                  <c:v>-209.72499999999999</c:v>
                </c:pt>
                <c:pt idx="3">
                  <c:v>-137.05000000000001</c:v>
                </c:pt>
                <c:pt idx="4">
                  <c:v>9.7479999999999993</c:v>
                </c:pt>
                <c:pt idx="5">
                  <c:v>-61.682000000000002</c:v>
                </c:pt>
                <c:pt idx="6">
                  <c:v>-104.57</c:v>
                </c:pt>
                <c:pt idx="7">
                  <c:v>-49.120000000000012</c:v>
                </c:pt>
                <c:pt idx="8">
                  <c:v>-14.412000000000004</c:v>
                </c:pt>
                <c:pt idx="9">
                  <c:v>-47.303999999999995</c:v>
                </c:pt>
                <c:pt idx="10">
                  <c:v>-47.641000000000005</c:v>
                </c:pt>
                <c:pt idx="11">
                  <c:v>-120.47799999999999</c:v>
                </c:pt>
                <c:pt idx="12">
                  <c:v>-93.483000000000004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D62-4B45-96BA-0754909D93D0}"/>
            </c:ext>
          </c:extLst>
        </c:ser>
        <c:gapWidth val="75"/>
        <c:axId val="166274176"/>
        <c:axId val="150363520"/>
      </c:barChart>
      <c:lineChart>
        <c:grouping val="standard"/>
        <c:ser>
          <c:idx val="3"/>
          <c:order val="1"/>
          <c:tx>
            <c:strRef>
              <c:f>'Sektorové účty'!$B$31</c:f>
              <c:strCache>
                <c:ptCount val="1"/>
                <c:pt idx="0">
                  <c:v>Míra zisku (v %)</c:v>
                </c:pt>
              </c:strCache>
            </c:strRef>
          </c:tx>
          <c:spPr>
            <a:ln w="19050">
              <a:solidFill>
                <a:srgbClr val="0071BC"/>
              </a:solidFill>
              <a:prstDash val="solid"/>
            </a:ln>
          </c:spPr>
          <c:marker>
            <c:symbol val="none"/>
          </c:marker>
          <c:cat>
            <c:numRef>
              <c:f>'Sektorové účty'!$C$29:$O$29</c:f>
              <c:numCache>
                <c:formatCode>General</c:formatCode>
                <c:ptCount val="13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</c:numCache>
            </c:numRef>
          </c:cat>
          <c:val>
            <c:numRef>
              <c:f>'Sektorové účty'!$C$31:$O$31</c:f>
              <c:numCache>
                <c:formatCode>0.0</c:formatCode>
                <c:ptCount val="13"/>
                <c:pt idx="0">
                  <c:v>51.091354181715992</c:v>
                </c:pt>
                <c:pt idx="1">
                  <c:v>52.011626104236768</c:v>
                </c:pt>
                <c:pt idx="2">
                  <c:v>52.050782863143127</c:v>
                </c:pt>
                <c:pt idx="3">
                  <c:v>50.401451672294769</c:v>
                </c:pt>
                <c:pt idx="4">
                  <c:v>50.008232145538663</c:v>
                </c:pt>
                <c:pt idx="5">
                  <c:v>49.190628521923138</c:v>
                </c:pt>
                <c:pt idx="6">
                  <c:v>48.912290245307325</c:v>
                </c:pt>
                <c:pt idx="7">
                  <c:v>48.467856872370753</c:v>
                </c:pt>
                <c:pt idx="8">
                  <c:v>48.541000452922724</c:v>
                </c:pt>
                <c:pt idx="9">
                  <c:v>51.210706156991051</c:v>
                </c:pt>
                <c:pt idx="10">
                  <c:v>51.632696155739993</c:v>
                </c:pt>
                <c:pt idx="11">
                  <c:v>50.535833703082901</c:v>
                </c:pt>
                <c:pt idx="12">
                  <c:v>49.293417299844428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D62-4B45-96BA-0754909D93D0}"/>
            </c:ext>
          </c:extLst>
        </c:ser>
        <c:ser>
          <c:idx val="1"/>
          <c:order val="2"/>
          <c:tx>
            <c:strRef>
              <c:f>'Sektorové účty'!$B$32</c:f>
              <c:strCache>
                <c:ptCount val="1"/>
                <c:pt idx="0">
                  <c:v>Míra investic (v %)</c:v>
                </c:pt>
              </c:strCache>
            </c:strRef>
          </c:tx>
          <c:spPr>
            <a:ln w="19050">
              <a:solidFill>
                <a:srgbClr val="7DBB2D"/>
              </a:solidFill>
            </a:ln>
          </c:spPr>
          <c:marker>
            <c:symbol val="none"/>
          </c:marker>
          <c:cat>
            <c:numRef>
              <c:f>'Sektorové účty'!$C$29:$O$29</c:f>
              <c:numCache>
                <c:formatCode>General</c:formatCode>
                <c:ptCount val="13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</c:numCache>
            </c:numRef>
          </c:cat>
          <c:val>
            <c:numRef>
              <c:f>'Sektorové účty'!$C$32:$O$32</c:f>
              <c:numCache>
                <c:formatCode>0.0</c:formatCode>
                <c:ptCount val="13"/>
                <c:pt idx="0">
                  <c:v>32.507912972555488</c:v>
                </c:pt>
                <c:pt idx="1">
                  <c:v>30.862420779155553</c:v>
                </c:pt>
                <c:pt idx="2">
                  <c:v>33.412433778155361</c:v>
                </c:pt>
                <c:pt idx="3">
                  <c:v>31.846623673494289</c:v>
                </c:pt>
                <c:pt idx="4">
                  <c:v>28.76789646713009</c:v>
                </c:pt>
                <c:pt idx="5">
                  <c:v>29.071391059011141</c:v>
                </c:pt>
                <c:pt idx="6">
                  <c:v>30.543179540687522</c:v>
                </c:pt>
                <c:pt idx="7">
                  <c:v>30.84959940145459</c:v>
                </c:pt>
                <c:pt idx="8">
                  <c:v>30.493649275437377</c:v>
                </c:pt>
                <c:pt idx="9">
                  <c:v>28.605742566164711</c:v>
                </c:pt>
                <c:pt idx="10">
                  <c:v>28.970412227825378</c:v>
                </c:pt>
                <c:pt idx="11">
                  <c:v>28.914541528659125</c:v>
                </c:pt>
                <c:pt idx="12">
                  <c:v>28.093716884990691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D62-4B45-96BA-0754909D93D0}"/>
            </c:ext>
          </c:extLst>
        </c:ser>
        <c:ser>
          <c:idx val="7"/>
          <c:order val="3"/>
          <c:tx>
            <c:strRef>
              <c:f>'Sektorové účty'!$B$33</c:f>
              <c:strCache>
                <c:ptCount val="1"/>
                <c:pt idx="0">
                  <c:v>Míra samofinancování (v %, užší pojetí)</c:v>
                </c:pt>
              </c:strCache>
            </c:strRef>
          </c:tx>
          <c:spPr>
            <a:ln w="19050">
              <a:solidFill>
                <a:srgbClr val="F8A124"/>
              </a:solidFill>
              <a:prstDash val="dash"/>
            </a:ln>
          </c:spPr>
          <c:marker>
            <c:symbol val="none"/>
          </c:marker>
          <c:cat>
            <c:numRef>
              <c:f>'Sektorové účty'!$C$29:$O$29</c:f>
              <c:numCache>
                <c:formatCode>General</c:formatCode>
                <c:ptCount val="13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</c:numCache>
            </c:numRef>
          </c:cat>
          <c:val>
            <c:numRef>
              <c:f>'Sektorové účty'!$C$33:$O$33</c:f>
              <c:numCache>
                <c:formatCode>0.0</c:formatCode>
                <c:ptCount val="13"/>
                <c:pt idx="0">
                  <c:v>86.433463415325761</c:v>
                </c:pt>
                <c:pt idx="1">
                  <c:v>84.066214725960862</c:v>
                </c:pt>
                <c:pt idx="2">
                  <c:v>81.236130749162427</c:v>
                </c:pt>
                <c:pt idx="3">
                  <c:v>85.959915358334754</c:v>
                </c:pt>
                <c:pt idx="4">
                  <c:v>90.257222746238227</c:v>
                </c:pt>
                <c:pt idx="5">
                  <c:v>86.015800256798755</c:v>
                </c:pt>
                <c:pt idx="6">
                  <c:v>82.234399670540327</c:v>
                </c:pt>
                <c:pt idx="7">
                  <c:v>88.267563763402876</c:v>
                </c:pt>
                <c:pt idx="8">
                  <c:v>84.463862891537062</c:v>
                </c:pt>
                <c:pt idx="9">
                  <c:v>90.976599627973627</c:v>
                </c:pt>
                <c:pt idx="10">
                  <c:v>93.272269544939846</c:v>
                </c:pt>
                <c:pt idx="11">
                  <c:v>88.774005253428555</c:v>
                </c:pt>
                <c:pt idx="12">
                  <c:v>92.482688917145055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D62-4B45-96BA-0754909D93D0}"/>
            </c:ext>
          </c:extLst>
        </c:ser>
        <c:ser>
          <c:idx val="2"/>
          <c:order val="4"/>
          <c:tx>
            <c:strRef>
              <c:f>'Sektorové účty'!$B$34</c:f>
              <c:strCache>
                <c:ptCount val="1"/>
                <c:pt idx="0">
                  <c:v>Míra samofinancování (v %, širší pojetí)</c:v>
                </c:pt>
              </c:strCache>
            </c:strRef>
          </c:tx>
          <c:spPr>
            <a:ln w="19050">
              <a:solidFill>
                <a:srgbClr val="F8A124"/>
              </a:solidFill>
              <a:prstDash val="solid"/>
            </a:ln>
          </c:spPr>
          <c:marker>
            <c:symbol val="none"/>
          </c:marker>
          <c:cat>
            <c:numRef>
              <c:f>'Sektorové účty'!$C$29:$O$29</c:f>
              <c:numCache>
                <c:formatCode>General</c:formatCode>
                <c:ptCount val="13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</c:numCache>
            </c:numRef>
          </c:cat>
          <c:val>
            <c:numRef>
              <c:f>'Sektorové účty'!$C$34:$O$34</c:f>
              <c:numCache>
                <c:formatCode>0.0</c:formatCode>
                <c:ptCount val="13"/>
                <c:pt idx="0">
                  <c:v>88.125963459048023</c:v>
                </c:pt>
                <c:pt idx="1">
                  <c:v>80.963334716774156</c:v>
                </c:pt>
                <c:pt idx="2">
                  <c:v>74.051289919069973</c:v>
                </c:pt>
                <c:pt idx="3">
                  <c:v>82.339327180555088</c:v>
                </c:pt>
                <c:pt idx="4">
                  <c:v>101.742652987163</c:v>
                </c:pt>
                <c:pt idx="5">
                  <c:v>89.882590681393964</c:v>
                </c:pt>
                <c:pt idx="6">
                  <c:v>84.535343033805688</c:v>
                </c:pt>
                <c:pt idx="7">
                  <c:v>92.803710659943093</c:v>
                </c:pt>
                <c:pt idx="8">
                  <c:v>97.761750344776175</c:v>
                </c:pt>
                <c:pt idx="9">
                  <c:v>93.157972385422937</c:v>
                </c:pt>
                <c:pt idx="10">
                  <c:v>93.879672047748343</c:v>
                </c:pt>
                <c:pt idx="11">
                  <c:v>84.956816306042953</c:v>
                </c:pt>
                <c:pt idx="12">
                  <c:v>88.928826052662771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D62-4B45-96BA-0754909D93D0}"/>
            </c:ext>
          </c:extLst>
        </c:ser>
        <c:marker val="1"/>
        <c:axId val="146513280"/>
        <c:axId val="150361984"/>
      </c:lineChart>
      <c:catAx>
        <c:axId val="146513280"/>
        <c:scaling>
          <c:orientation val="minMax"/>
        </c:scaling>
        <c:axPos val="b"/>
        <c:numFmt formatCode="General" sourceLinked="1"/>
        <c:tickLblPos val="low"/>
        <c:spPr>
          <a:ln w="9525">
            <a:solidFill>
              <a:schemeClr val="tx1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50361984"/>
        <c:crossesAt val="110"/>
        <c:lblAlgn val="ctr"/>
        <c:lblOffset val="0"/>
        <c:tickLblSkip val="1"/>
        <c:tickMarkSkip val="4"/>
      </c:catAx>
      <c:valAx>
        <c:axId val="150361984"/>
        <c:scaling>
          <c:orientation val="minMax"/>
          <c:max val="120"/>
          <c:min val="0"/>
        </c:scaling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tickLblPos val="nextTo"/>
        <c:spPr>
          <a:ln w="9525">
            <a:solidFill>
              <a:schemeClr val="tx1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46513280"/>
        <c:crosses val="autoZero"/>
        <c:crossBetween val="between"/>
        <c:majorUnit val="10"/>
      </c:valAx>
      <c:valAx>
        <c:axId val="150363520"/>
        <c:scaling>
          <c:orientation val="minMax"/>
          <c:max val="20"/>
          <c:min val="-220"/>
        </c:scaling>
        <c:axPos val="r"/>
        <c:numFmt formatCode="0" sourceLinked="0"/>
        <c:tickLblPos val="nextTo"/>
        <c:crossAx val="166274176"/>
        <c:crosses val="max"/>
        <c:crossBetween val="between"/>
        <c:majorUnit val="20"/>
      </c:valAx>
      <c:catAx>
        <c:axId val="166274176"/>
        <c:scaling>
          <c:orientation val="minMax"/>
        </c:scaling>
        <c:delete val="1"/>
        <c:axPos val="b"/>
        <c:numFmt formatCode="General" sourceLinked="1"/>
        <c:tickLblPos val="none"/>
        <c:crossAx val="150363520"/>
        <c:crosses val="autoZero"/>
        <c:auto val="1"/>
        <c:lblAlgn val="ctr"/>
        <c:lblOffset val="100"/>
      </c:catAx>
      <c:spPr>
        <a:noFill/>
        <a:ln w="9525"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3.3663135107558401E-3"/>
          <c:y val="0.88286164584036575"/>
          <c:w val="0.98108250301190159"/>
          <c:h val="0.11356411122368652"/>
        </c:manualLayout>
      </c:layout>
      <c:spPr>
        <a:noFill/>
        <a:ln w="6350">
          <a:solidFill>
            <a:schemeClr val="tx1"/>
          </a:solidFill>
        </a:ln>
      </c:spPr>
    </c:legend>
    <c:plotVisOnly val="1"/>
    <c:dispBlanksAs val="gap"/>
  </c:chart>
  <c:spPr>
    <a:solidFill>
      <a:srgbClr val="FFFFFF"/>
    </a:solidFill>
    <a:ln w="3175">
      <a:noFill/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plotArea>
      <c:layout>
        <c:manualLayout>
          <c:layoutTarget val="inner"/>
          <c:xMode val="edge"/>
          <c:yMode val="edge"/>
          <c:x val="6.2040029038385493E-2"/>
          <c:y val="1.9513175616353028E-2"/>
          <c:w val="0.92433548575002356"/>
          <c:h val="0.65432961837218206"/>
        </c:manualLayout>
      </c:layout>
      <c:lineChart>
        <c:grouping val="standard"/>
        <c:ser>
          <c:idx val="0"/>
          <c:order val="2"/>
          <c:tx>
            <c:strRef>
              <c:f>'2-Sektor účty-Náhrady zam'!$B$44</c:f>
              <c:strCache>
                <c:ptCount val="1"/>
                <c:pt idx="0">
                  <c:v>Podíl vyplacených náhrad zaměstnancům na HPH (v %)</c:v>
                </c:pt>
              </c:strCache>
            </c:strRef>
          </c:tx>
          <c:spPr>
            <a:ln>
              <a:noFill/>
            </a:ln>
          </c:spPr>
          <c:marker>
            <c:symbol val="none"/>
          </c:marker>
          <c:cat>
            <c:numRef>
              <c:f>'2-Sektor účty-Náhrady zam'!$C$41:$T$41</c:f>
              <c:numCache>
                <c:formatCode>General</c:formatCode>
                <c:ptCount val="18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</c:numCache>
            </c:numRef>
          </c:cat>
          <c:val>
            <c:numRef>
              <c:f>'2-Sektor účty-Náhrady zam'!$C$44:$T$44</c:f>
              <c:numCache>
                <c:formatCode>0.0</c:formatCode>
                <c:ptCount val="18"/>
                <c:pt idx="0">
                  <c:v>-999</c:v>
                </c:pt>
                <c:pt idx="1">
                  <c:v>-999</c:v>
                </c:pt>
                <c:pt idx="2">
                  <c:v>-999</c:v>
                </c:pt>
                <c:pt idx="3">
                  <c:v>-999</c:v>
                </c:pt>
                <c:pt idx="4">
                  <c:v>-999</c:v>
                </c:pt>
                <c:pt idx="5">
                  <c:v>-999</c:v>
                </c:pt>
                <c:pt idx="6">
                  <c:v>-999</c:v>
                </c:pt>
                <c:pt idx="7">
                  <c:v>-999</c:v>
                </c:pt>
                <c:pt idx="8">
                  <c:v>-999</c:v>
                </c:pt>
                <c:pt idx="9">
                  <c:v>-999</c:v>
                </c:pt>
                <c:pt idx="10">
                  <c:v>-999</c:v>
                </c:pt>
                <c:pt idx="11">
                  <c:v>-999</c:v>
                </c:pt>
                <c:pt idx="12">
                  <c:v>-999</c:v>
                </c:pt>
                <c:pt idx="13">
                  <c:v>-999</c:v>
                </c:pt>
                <c:pt idx="14">
                  <c:v>-999</c:v>
                </c:pt>
                <c:pt idx="15">
                  <c:v>-999</c:v>
                </c:pt>
                <c:pt idx="16">
                  <c:v>-999</c:v>
                </c:pt>
                <c:pt idx="17">
                  <c:v>-999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CFA-4F34-87C0-027F79ED8099}"/>
            </c:ext>
          </c:extLst>
        </c:ser>
        <c:ser>
          <c:idx val="2"/>
          <c:order val="1"/>
          <c:tx>
            <c:strRef>
              <c:f>'2-Sektor účty-Náhrady zam'!$B$43</c:f>
              <c:strCache>
                <c:ptCount val="1"/>
                <c:pt idx="0">
                  <c:v>  veřejné nefinanční podniky</c:v>
                </c:pt>
              </c:strCache>
            </c:strRef>
          </c:tx>
          <c:spPr>
            <a:ln w="19050">
              <a:solidFill>
                <a:srgbClr val="80BB2D"/>
              </a:solidFill>
              <a:prstDash val="sysDash"/>
            </a:ln>
          </c:spPr>
          <c:marker>
            <c:symbol val="none"/>
          </c:marker>
          <c:cat>
            <c:numRef>
              <c:f>'2-Sektor účty-Náhrady zam'!$C$41:$T$41</c:f>
              <c:numCache>
                <c:formatCode>General</c:formatCode>
                <c:ptCount val="18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</c:numCache>
            </c:numRef>
          </c:cat>
          <c:val>
            <c:numRef>
              <c:f>'2-Sektor účty-Náhrady zam'!$C$43:$T$43</c:f>
              <c:numCache>
                <c:formatCode>0.0</c:formatCode>
                <c:ptCount val="18"/>
                <c:pt idx="0">
                  <c:v>45.774374341046546</c:v>
                </c:pt>
                <c:pt idx="1">
                  <c:v>51.663152267530229</c:v>
                </c:pt>
                <c:pt idx="2">
                  <c:v>50.791122754268201</c:v>
                </c:pt>
                <c:pt idx="3">
                  <c:v>51.552749805223407</c:v>
                </c:pt>
                <c:pt idx="4">
                  <c:v>53.097787050654944</c:v>
                </c:pt>
                <c:pt idx="5">
                  <c:v>51.5086001767623</c:v>
                </c:pt>
                <c:pt idx="6">
                  <c:v>48.413486996721645</c:v>
                </c:pt>
                <c:pt idx="7">
                  <c:v>46.793020589921113</c:v>
                </c:pt>
                <c:pt idx="8">
                  <c:v>43.396245366976011</c:v>
                </c:pt>
                <c:pt idx="9">
                  <c:v>39.307695304131038</c:v>
                </c:pt>
                <c:pt idx="10">
                  <c:v>42.631077216396314</c:v>
                </c:pt>
                <c:pt idx="11">
                  <c:v>44.561445171875931</c:v>
                </c:pt>
                <c:pt idx="12">
                  <c:v>42.486651835372371</c:v>
                </c:pt>
                <c:pt idx="13">
                  <c:v>44.56186578460504</c:v>
                </c:pt>
                <c:pt idx="14">
                  <c:v>41.623538960226035</c:v>
                </c:pt>
                <c:pt idx="15">
                  <c:v>41.711571833044104</c:v>
                </c:pt>
                <c:pt idx="16">
                  <c:v>44.089147790809555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CFA-4F34-87C0-027F79ED8099}"/>
            </c:ext>
          </c:extLst>
        </c:ser>
        <c:ser>
          <c:idx val="5"/>
          <c:order val="3"/>
          <c:tx>
            <c:strRef>
              <c:f>'2-Sektor účty-Náhrady zam'!$B$45</c:f>
              <c:strCache>
                <c:ptCount val="1"/>
                <c:pt idx="0">
                  <c:v>  národní soukromé nefinanční podniky</c:v>
                </c:pt>
              </c:strCache>
            </c:strRef>
          </c:tx>
          <c:spPr>
            <a:ln w="19050">
              <a:solidFill>
                <a:srgbClr val="0071BC"/>
              </a:solidFill>
              <a:prstDash val="sysDash"/>
            </a:ln>
          </c:spPr>
          <c:marker>
            <c:symbol val="none"/>
          </c:marker>
          <c:cat>
            <c:numRef>
              <c:f>'2-Sektor účty-Náhrady zam'!$C$41:$T$41</c:f>
              <c:numCache>
                <c:formatCode>General</c:formatCode>
                <c:ptCount val="18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</c:numCache>
            </c:numRef>
          </c:cat>
          <c:val>
            <c:numRef>
              <c:f>'2-Sektor účty-Náhrady zam'!$C$45:$T$45</c:f>
              <c:numCache>
                <c:formatCode>0.0</c:formatCode>
                <c:ptCount val="18"/>
                <c:pt idx="0">
                  <c:v>54.56081011827915</c:v>
                </c:pt>
                <c:pt idx="1">
                  <c:v>52.486272624275266</c:v>
                </c:pt>
                <c:pt idx="2">
                  <c:v>53.401666003241942</c:v>
                </c:pt>
                <c:pt idx="3">
                  <c:v>55.047094700156194</c:v>
                </c:pt>
                <c:pt idx="4">
                  <c:v>55.608710098581298</c:v>
                </c:pt>
                <c:pt idx="5">
                  <c:v>54.163956155889679</c:v>
                </c:pt>
                <c:pt idx="6">
                  <c:v>56.412266045360248</c:v>
                </c:pt>
                <c:pt idx="7">
                  <c:v>56.278575970855918</c:v>
                </c:pt>
                <c:pt idx="8">
                  <c:v>58.09473369246215</c:v>
                </c:pt>
                <c:pt idx="9">
                  <c:v>62.941206911283587</c:v>
                </c:pt>
                <c:pt idx="10">
                  <c:v>61.072345620581174</c:v>
                </c:pt>
                <c:pt idx="11">
                  <c:v>58.547345665849775</c:v>
                </c:pt>
                <c:pt idx="12">
                  <c:v>59.642538986904135</c:v>
                </c:pt>
                <c:pt idx="13">
                  <c:v>58.309092519642526</c:v>
                </c:pt>
                <c:pt idx="14">
                  <c:v>56.145230427730198</c:v>
                </c:pt>
                <c:pt idx="15">
                  <c:v>54.654308062585699</c:v>
                </c:pt>
                <c:pt idx="16">
                  <c:v>55.483596763190114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CFA-4F34-87C0-027F79ED8099}"/>
            </c:ext>
          </c:extLst>
        </c:ser>
        <c:ser>
          <c:idx val="4"/>
          <c:order val="4"/>
          <c:tx>
            <c:strRef>
              <c:f>'2-Sektor účty-Náhrady zam'!$B$46</c:f>
              <c:strCache>
                <c:ptCount val="1"/>
                <c:pt idx="0">
                  <c:v>  nefinanční podniky pod zahraniční kontrolou</c:v>
                </c:pt>
              </c:strCache>
            </c:strRef>
          </c:tx>
          <c:spPr>
            <a:ln w="19050">
              <a:solidFill>
                <a:srgbClr val="BD1B21"/>
              </a:solidFill>
              <a:prstDash val="sysDash"/>
            </a:ln>
          </c:spPr>
          <c:marker>
            <c:symbol val="none"/>
          </c:marker>
          <c:cat>
            <c:numRef>
              <c:f>'2-Sektor účty-Náhrady zam'!$C$41:$T$41</c:f>
              <c:numCache>
                <c:formatCode>General</c:formatCode>
                <c:ptCount val="18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</c:numCache>
            </c:numRef>
          </c:cat>
          <c:val>
            <c:numRef>
              <c:f>'2-Sektor účty-Náhrady zam'!$C$46:$T$46</c:f>
              <c:numCache>
                <c:formatCode>0.0</c:formatCode>
                <c:ptCount val="18"/>
                <c:pt idx="0">
                  <c:v>41.609837764340234</c:v>
                </c:pt>
                <c:pt idx="1">
                  <c:v>41.347744015501995</c:v>
                </c:pt>
                <c:pt idx="2">
                  <c:v>42.955864180948794</c:v>
                </c:pt>
                <c:pt idx="3">
                  <c:v>42.712768381282196</c:v>
                </c:pt>
                <c:pt idx="4">
                  <c:v>43.138371022701463</c:v>
                </c:pt>
                <c:pt idx="5">
                  <c:v>44.869386514609893</c:v>
                </c:pt>
                <c:pt idx="6">
                  <c:v>42.645488388426969</c:v>
                </c:pt>
                <c:pt idx="7">
                  <c:v>42.985795181594057</c:v>
                </c:pt>
                <c:pt idx="8">
                  <c:v>45.671216976704152</c:v>
                </c:pt>
                <c:pt idx="9">
                  <c:v>45.093472845234963</c:v>
                </c:pt>
                <c:pt idx="10">
                  <c:v>45.928102056443336</c:v>
                </c:pt>
                <c:pt idx="11">
                  <c:v>47.726930877424664</c:v>
                </c:pt>
                <c:pt idx="12">
                  <c:v>48.006906638101185</c:v>
                </c:pt>
                <c:pt idx="13">
                  <c:v>48.913749227152294</c:v>
                </c:pt>
                <c:pt idx="14">
                  <c:v>45.825233060978213</c:v>
                </c:pt>
                <c:pt idx="15">
                  <c:v>45.794856567451205</c:v>
                </c:pt>
                <c:pt idx="16">
                  <c:v>46.921428599409992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CFA-4F34-87C0-027F79ED8099}"/>
            </c:ext>
          </c:extLst>
        </c:ser>
        <c:ser>
          <c:idx val="3"/>
          <c:order val="5"/>
          <c:tx>
            <c:strRef>
              <c:f>'2-Sektor účty-Náhrady zam'!$B$47</c:f>
              <c:strCache>
                <c:ptCount val="1"/>
                <c:pt idx="0">
                  <c:v>Nefinanční podniky celkem</c:v>
                </c:pt>
              </c:strCache>
            </c:strRef>
          </c:tx>
          <c:spPr>
            <a:ln w="19050">
              <a:noFill/>
              <a:prstDash val="solid"/>
            </a:ln>
          </c:spPr>
          <c:marker>
            <c:symbol val="none"/>
          </c:marker>
          <c:cat>
            <c:numRef>
              <c:f>'2-Sektor účty-Náhrady zam'!$C$41:$T$41</c:f>
              <c:numCache>
                <c:formatCode>General</c:formatCode>
                <c:ptCount val="18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</c:numCache>
            </c:numRef>
          </c:cat>
          <c:val>
            <c:numRef>
              <c:f>'2-Sektor účty-Náhrady zam'!$C$47:$T$47</c:f>
              <c:numCache>
                <c:formatCode>0.0</c:formatCode>
                <c:ptCount val="18"/>
                <c:pt idx="0">
                  <c:v>-999</c:v>
                </c:pt>
                <c:pt idx="1">
                  <c:v>-999</c:v>
                </c:pt>
                <c:pt idx="2">
                  <c:v>-999</c:v>
                </c:pt>
                <c:pt idx="3">
                  <c:v>-999</c:v>
                </c:pt>
                <c:pt idx="4">
                  <c:v>-999</c:v>
                </c:pt>
                <c:pt idx="5">
                  <c:v>-999</c:v>
                </c:pt>
                <c:pt idx="6">
                  <c:v>-999</c:v>
                </c:pt>
                <c:pt idx="7">
                  <c:v>-999</c:v>
                </c:pt>
                <c:pt idx="8">
                  <c:v>-999</c:v>
                </c:pt>
                <c:pt idx="9">
                  <c:v>-999</c:v>
                </c:pt>
                <c:pt idx="10">
                  <c:v>-999</c:v>
                </c:pt>
                <c:pt idx="11">
                  <c:v>-999</c:v>
                </c:pt>
                <c:pt idx="12">
                  <c:v>-999</c:v>
                </c:pt>
                <c:pt idx="13">
                  <c:v>-999</c:v>
                </c:pt>
                <c:pt idx="14">
                  <c:v>-999</c:v>
                </c:pt>
                <c:pt idx="15">
                  <c:v>-999</c:v>
                </c:pt>
                <c:pt idx="16">
                  <c:v>-999</c:v>
                </c:pt>
                <c:pt idx="17">
                  <c:v>-999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CFA-4F34-87C0-027F79ED8099}"/>
            </c:ext>
          </c:extLst>
        </c:ser>
        <c:ser>
          <c:idx val="1"/>
          <c:order val="0"/>
          <c:tx>
            <c:strRef>
              <c:f>'2-Sektor účty-Náhrady zam'!$B$42</c:f>
              <c:strCache>
                <c:ptCount val="1"/>
                <c:pt idx="0">
                  <c:v>  podíl vyplacených náhrad zaměstnancům na HPH (v %)</c:v>
                </c:pt>
              </c:strCache>
            </c:strRef>
          </c:tx>
          <c:spPr>
            <a:ln w="22225">
              <a:solidFill>
                <a:srgbClr val="808080"/>
              </a:solidFill>
            </a:ln>
          </c:spPr>
          <c:marker>
            <c:symbol val="none"/>
          </c:marker>
          <c:cat>
            <c:numRef>
              <c:f>'2-Sektor účty-Náhrady zam'!$C$41:$T$41</c:f>
              <c:numCache>
                <c:formatCode>General</c:formatCode>
                <c:ptCount val="18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</c:numCache>
            </c:numRef>
          </c:cat>
          <c:val>
            <c:numRef>
              <c:f>'2-Sektor účty-Náhrady zam'!$C$42:$T$42</c:f>
              <c:numCache>
                <c:formatCode>0.0</c:formatCode>
                <c:ptCount val="18"/>
                <c:pt idx="0">
                  <c:v>49.87828129441229</c:v>
                </c:pt>
                <c:pt idx="1">
                  <c:v>48.908956016108156</c:v>
                </c:pt>
                <c:pt idx="2">
                  <c:v>49.831042370360244</c:v>
                </c:pt>
                <c:pt idx="3">
                  <c:v>50.393367441834407</c:v>
                </c:pt>
                <c:pt idx="4">
                  <c:v>50.387734572041921</c:v>
                </c:pt>
                <c:pt idx="5">
                  <c:v>50.242526349234481</c:v>
                </c:pt>
                <c:pt idx="6">
                  <c:v>49.203132658797962</c:v>
                </c:pt>
                <c:pt idx="7">
                  <c:v>49.132467287293267</c:v>
                </c:pt>
                <c:pt idx="8">
                  <c:v>50.831533448153863</c:v>
                </c:pt>
                <c:pt idx="9">
                  <c:v>51.680154349107667</c:v>
                </c:pt>
                <c:pt idx="10">
                  <c:v>52.200315487645</c:v>
                </c:pt>
                <c:pt idx="11">
                  <c:v>52.235967734224623</c:v>
                </c:pt>
                <c:pt idx="12">
                  <c:v>52.767239737172467</c:v>
                </c:pt>
                <c:pt idx="13">
                  <c:v>52.768598452764913</c:v>
                </c:pt>
                <c:pt idx="14">
                  <c:v>50.004420309738379</c:v>
                </c:pt>
                <c:pt idx="15">
                  <c:v>49.440924193216041</c:v>
                </c:pt>
                <c:pt idx="16">
                  <c:v>50.563100780543536</c:v>
                </c:pt>
                <c:pt idx="17">
                  <c:v>51.556440657903238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3CFA-4F34-87C0-027F79ED8099}"/>
            </c:ext>
          </c:extLst>
        </c:ser>
        <c:marker val="1"/>
        <c:axId val="106435712"/>
        <c:axId val="106437632"/>
      </c:lineChart>
      <c:lineChart>
        <c:grouping val="standard"/>
        <c:ser>
          <c:idx val="7"/>
          <c:order val="6"/>
          <c:tx>
            <c:strRef>
              <c:f>'2-Sektor účty-Náhrady zam'!$B$48</c:f>
              <c:strCache>
                <c:ptCount val="1"/>
                <c:pt idx="0">
                  <c:v>  podíl vyplacených mezd a platů na celkových náhradách zam. (v %, pravá osa)</c:v>
                </c:pt>
              </c:strCache>
            </c:strRef>
          </c:tx>
          <c:spPr>
            <a:ln w="19050">
              <a:noFill/>
            </a:ln>
          </c:spPr>
          <c:marker>
            <c:symbol val="diamond"/>
            <c:size val="5"/>
            <c:spPr>
              <a:solidFill>
                <a:srgbClr val="FFFF00"/>
              </a:solidFill>
              <a:ln w="6350">
                <a:solidFill>
                  <a:sysClr val="windowText" lastClr="000000">
                    <a:lumMod val="65000"/>
                    <a:lumOff val="35000"/>
                  </a:sysClr>
                </a:solidFill>
              </a:ln>
            </c:spPr>
          </c:marker>
          <c:cat>
            <c:numRef>
              <c:f>'2-Sektor účty-Náhrady zam'!$C$41:$T$41</c:f>
              <c:numCache>
                <c:formatCode>General</c:formatCode>
                <c:ptCount val="18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</c:numCache>
            </c:numRef>
          </c:cat>
          <c:val>
            <c:numRef>
              <c:f>'2-Sektor účty-Náhrady zam'!$C$48:$T$48</c:f>
              <c:numCache>
                <c:formatCode>0.0</c:formatCode>
                <c:ptCount val="18"/>
                <c:pt idx="0">
                  <c:v>75.248889244490314</c:v>
                </c:pt>
                <c:pt idx="1">
                  <c:v>75.496405917072821</c:v>
                </c:pt>
                <c:pt idx="2">
                  <c:v>75.332526861372543</c:v>
                </c:pt>
                <c:pt idx="3">
                  <c:v>75.082562793170212</c:v>
                </c:pt>
                <c:pt idx="4">
                  <c:v>75.301959592588048</c:v>
                </c:pt>
                <c:pt idx="5">
                  <c:v>75.416035615352527</c:v>
                </c:pt>
                <c:pt idx="6">
                  <c:v>75.279313458076203</c:v>
                </c:pt>
                <c:pt idx="7">
                  <c:v>75.099588773052858</c:v>
                </c:pt>
                <c:pt idx="8">
                  <c:v>75.746175801967965</c:v>
                </c:pt>
                <c:pt idx="9">
                  <c:v>76.504545611669954</c:v>
                </c:pt>
                <c:pt idx="10">
                  <c:v>75.924720690519322</c:v>
                </c:pt>
                <c:pt idx="11">
                  <c:v>75.958713859966181</c:v>
                </c:pt>
                <c:pt idx="12">
                  <c:v>76.225888247599357</c:v>
                </c:pt>
                <c:pt idx="13">
                  <c:v>76.028015935511078</c:v>
                </c:pt>
                <c:pt idx="14">
                  <c:v>76.132771030682221</c:v>
                </c:pt>
                <c:pt idx="15">
                  <c:v>76.009481346993525</c:v>
                </c:pt>
                <c:pt idx="16">
                  <c:v>75.876088457803164</c:v>
                </c:pt>
                <c:pt idx="17">
                  <c:v>75.790258405154304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3CFA-4F34-87C0-027F79ED8099}"/>
            </c:ext>
          </c:extLst>
        </c:ser>
        <c:marker val="1"/>
        <c:axId val="109275392"/>
        <c:axId val="109273856"/>
      </c:lineChart>
      <c:catAx>
        <c:axId val="106435712"/>
        <c:scaling>
          <c:orientation val="minMax"/>
        </c:scaling>
        <c:axPos val="b"/>
        <c:numFmt formatCode="General" sourceLinked="1"/>
        <c:tickLblPos val="low"/>
        <c:spPr>
          <a:ln w="9525">
            <a:solidFill>
              <a:schemeClr val="tx1"/>
            </a:solidFill>
            <a:prstDash val="solid"/>
          </a:ln>
        </c:spPr>
        <c:txPr>
          <a:bodyPr rot="-5400000" vert="horz" anchor="t" anchorCtr="0"/>
          <a:lstStyle/>
          <a:p>
            <a:pPr>
              <a:defRPr/>
            </a:pPr>
            <a:endParaRPr lang="cs-CZ"/>
          </a:p>
        </c:txPr>
        <c:crossAx val="106437632"/>
        <c:crossesAt val="0"/>
        <c:lblAlgn val="ctr"/>
        <c:lblOffset val="0"/>
        <c:tickLblSkip val="1"/>
        <c:tickMarkSkip val="4"/>
      </c:catAx>
      <c:valAx>
        <c:axId val="106437632"/>
        <c:scaling>
          <c:orientation val="minMax"/>
          <c:max val="65"/>
          <c:min val="0"/>
        </c:scaling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tickLblPos val="nextTo"/>
        <c:spPr>
          <a:ln w="9525">
            <a:solidFill>
              <a:schemeClr val="tx1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06435712"/>
        <c:crosses val="autoZero"/>
        <c:crossBetween val="between"/>
        <c:majorUnit val="5"/>
      </c:valAx>
      <c:valAx>
        <c:axId val="109273856"/>
        <c:scaling>
          <c:orientation val="minMax"/>
          <c:max val="81.5"/>
          <c:min val="75"/>
        </c:scaling>
        <c:axPos val="r"/>
        <c:numFmt formatCode="0.0" sourceLinked="1"/>
        <c:tickLblPos val="nextTo"/>
        <c:crossAx val="109275392"/>
        <c:crosses val="max"/>
        <c:crossBetween val="between"/>
      </c:valAx>
      <c:catAx>
        <c:axId val="109275392"/>
        <c:scaling>
          <c:orientation val="minMax"/>
        </c:scaling>
        <c:delete val="1"/>
        <c:axPos val="b"/>
        <c:numFmt formatCode="General" sourceLinked="1"/>
        <c:tickLblPos val="none"/>
        <c:crossAx val="109273856"/>
        <c:crosses val="autoZero"/>
        <c:auto val="1"/>
        <c:lblAlgn val="ctr"/>
        <c:lblOffset val="100"/>
      </c:catAx>
      <c:spPr>
        <a:noFill/>
        <a:ln w="9525"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4.7133710169576334E-2"/>
          <c:y val="0.75776314308229198"/>
          <c:w val="0.88531755998340556"/>
          <c:h val="0.23151412810987279"/>
        </c:manualLayout>
      </c:layout>
      <c:spPr>
        <a:noFill/>
        <a:ln w="6350">
          <a:solidFill>
            <a:schemeClr val="tx1"/>
          </a:solidFill>
        </a:ln>
      </c:spPr>
    </c:legend>
    <c:plotVisOnly val="1"/>
    <c:dispBlanksAs val="gap"/>
  </c:chart>
  <c:spPr>
    <a:solidFill>
      <a:srgbClr val="FFFFFF"/>
    </a:solidFill>
    <a:ln w="3175">
      <a:noFill/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plotArea>
      <c:layout>
        <c:manualLayout>
          <c:layoutTarget val="inner"/>
          <c:xMode val="edge"/>
          <c:yMode val="edge"/>
          <c:x val="7.3699724781365911E-2"/>
          <c:y val="2.1390374331550797E-2"/>
          <c:w val="0.91022729446268613"/>
          <c:h val="0.65373756087975632"/>
        </c:manualLayout>
      </c:layout>
      <c:barChart>
        <c:barDir val="col"/>
        <c:grouping val="stacked"/>
        <c:ser>
          <c:idx val="0"/>
          <c:order val="0"/>
          <c:tx>
            <c:strRef>
              <c:f>'3-Sektor účty-odlivy zisků ČR'!$B$116</c:f>
              <c:strCache>
                <c:ptCount val="1"/>
                <c:pt idx="0">
                  <c:v>Ostatní vlastnické důchody (D.44+45) (-)</c:v>
                </c:pt>
              </c:strCache>
            </c:strRef>
          </c:tx>
          <c:spPr>
            <a:solidFill>
              <a:srgbClr val="BABABA"/>
            </a:solidFill>
            <a:ln w="22225"/>
          </c:spPr>
          <c:cat>
            <c:numRef>
              <c:f>'3-Sektor účty-odlivy zisků ČR'!$C$108:$T$108</c:f>
              <c:numCache>
                <c:formatCode>0</c:formatCode>
                <c:ptCount val="18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</c:numCache>
            </c:numRef>
          </c:cat>
          <c:val>
            <c:numRef>
              <c:f>'3-Sektor účty-odlivy zisků ČR'!$C$116:$T$116</c:f>
              <c:numCache>
                <c:formatCode>0.0</c:formatCode>
                <c:ptCount val="18"/>
                <c:pt idx="0">
                  <c:v>-6.0030000000000001</c:v>
                </c:pt>
                <c:pt idx="1">
                  <c:v>-6.9690000000000003</c:v>
                </c:pt>
                <c:pt idx="2">
                  <c:v>-7.1369999999999996</c:v>
                </c:pt>
                <c:pt idx="3">
                  <c:v>-7.8209999999999855</c:v>
                </c:pt>
                <c:pt idx="4">
                  <c:v>-8.447000000000001</c:v>
                </c:pt>
                <c:pt idx="5">
                  <c:v>-7.3890000000000002</c:v>
                </c:pt>
                <c:pt idx="6">
                  <c:v>-8.847999999999999</c:v>
                </c:pt>
                <c:pt idx="7">
                  <c:v>-9.1650000000000027</c:v>
                </c:pt>
                <c:pt idx="8">
                  <c:v>-9.5610000000000035</c:v>
                </c:pt>
                <c:pt idx="9">
                  <c:v>-9.3590000000000266</c:v>
                </c:pt>
                <c:pt idx="10">
                  <c:v>-9.327</c:v>
                </c:pt>
                <c:pt idx="11">
                  <c:v>-9.5409999999999986</c:v>
                </c:pt>
                <c:pt idx="12">
                  <c:v>-10.522</c:v>
                </c:pt>
                <c:pt idx="13">
                  <c:v>-10.002000000000002</c:v>
                </c:pt>
                <c:pt idx="14">
                  <c:v>-11.692</c:v>
                </c:pt>
                <c:pt idx="15">
                  <c:v>-12.373000000000006</c:v>
                </c:pt>
                <c:pt idx="16">
                  <c:v>-12.646999999999998</c:v>
                </c:pt>
                <c:pt idx="17">
                  <c:v>-12.715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707-4627-99AD-0A630E162320}"/>
            </c:ext>
          </c:extLst>
        </c:ser>
        <c:ser>
          <c:idx val="2"/>
          <c:order val="1"/>
          <c:tx>
            <c:strRef>
              <c:f>'3-Sektor účty-odlivy zisků ČR'!$B$112</c:f>
              <c:strCache>
                <c:ptCount val="1"/>
                <c:pt idx="0">
                  <c:v>Ostatní vlastnické důchody (D.44+45) (+)</c:v>
                </c:pt>
              </c:strCache>
            </c:strRef>
          </c:tx>
          <c:spPr>
            <a:solidFill>
              <a:srgbClr val="A6A6A6"/>
            </a:solidFill>
            <a:ln w="22225">
              <a:noFill/>
            </a:ln>
          </c:spPr>
          <c:cat>
            <c:numRef>
              <c:f>'3-Sektor účty-odlivy zisků ČR'!$C$108:$T$108</c:f>
              <c:numCache>
                <c:formatCode>0</c:formatCode>
                <c:ptCount val="18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</c:numCache>
            </c:numRef>
          </c:cat>
          <c:val>
            <c:numRef>
              <c:f>'3-Sektor účty-odlivy zisků ČR'!$C$112:$T$112</c:f>
              <c:numCache>
                <c:formatCode>0.0</c:formatCode>
                <c:ptCount val="18"/>
                <c:pt idx="0">
                  <c:v>4.8860000000000001</c:v>
                </c:pt>
                <c:pt idx="1">
                  <c:v>4.9390000000000134</c:v>
                </c:pt>
                <c:pt idx="2">
                  <c:v>2.5830000000000002</c:v>
                </c:pt>
                <c:pt idx="3">
                  <c:v>2.5209999999999999</c:v>
                </c:pt>
                <c:pt idx="4">
                  <c:v>4.0279999999999845</c:v>
                </c:pt>
                <c:pt idx="5">
                  <c:v>2.4259999999999997</c:v>
                </c:pt>
                <c:pt idx="6">
                  <c:v>3.2490000000000001</c:v>
                </c:pt>
                <c:pt idx="7">
                  <c:v>3.1869999999999998</c:v>
                </c:pt>
                <c:pt idx="8">
                  <c:v>3.4589999999999987</c:v>
                </c:pt>
                <c:pt idx="9">
                  <c:v>3.7850000000000001</c:v>
                </c:pt>
                <c:pt idx="10">
                  <c:v>3.823</c:v>
                </c:pt>
                <c:pt idx="11">
                  <c:v>3.6269999999999998</c:v>
                </c:pt>
                <c:pt idx="12">
                  <c:v>4.8549999999999756</c:v>
                </c:pt>
                <c:pt idx="13">
                  <c:v>5.0249999999999755</c:v>
                </c:pt>
                <c:pt idx="14">
                  <c:v>4.0179999999999945</c:v>
                </c:pt>
                <c:pt idx="15">
                  <c:v>3.734</c:v>
                </c:pt>
                <c:pt idx="16">
                  <c:v>4.0750000000000002</c:v>
                </c:pt>
                <c:pt idx="17">
                  <c:v>3.9509999999999987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707-4627-99AD-0A630E162320}"/>
            </c:ext>
          </c:extLst>
        </c:ser>
        <c:ser>
          <c:idx val="4"/>
          <c:order val="2"/>
          <c:tx>
            <c:strRef>
              <c:f>'3-Sektor účty-odlivy zisků ČR'!$B$115</c:f>
              <c:strCache>
                <c:ptCount val="1"/>
                <c:pt idx="0">
                  <c:v>Reinvestované zisky z PZI (D.43) (-)</c:v>
                </c:pt>
              </c:strCache>
            </c:strRef>
          </c:tx>
          <c:spPr>
            <a:solidFill>
              <a:srgbClr val="A6CDE8"/>
            </a:solidFill>
            <a:ln w="22225">
              <a:noFill/>
            </a:ln>
          </c:spPr>
          <c:cat>
            <c:numRef>
              <c:f>'3-Sektor účty-odlivy zisků ČR'!$C$108:$T$108</c:f>
              <c:numCache>
                <c:formatCode>0</c:formatCode>
                <c:ptCount val="18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</c:numCache>
            </c:numRef>
          </c:cat>
          <c:val>
            <c:numRef>
              <c:f>'3-Sektor účty-odlivy zisků ČR'!$C$115:$T$115</c:f>
              <c:numCache>
                <c:formatCode>0.0</c:formatCode>
                <c:ptCount val="18"/>
                <c:pt idx="0">
                  <c:v>-10.259</c:v>
                </c:pt>
                <c:pt idx="1">
                  <c:v>-41.997</c:v>
                </c:pt>
                <c:pt idx="2">
                  <c:v>-51.309000000000005</c:v>
                </c:pt>
                <c:pt idx="3">
                  <c:v>-50.549000000000007</c:v>
                </c:pt>
                <c:pt idx="4">
                  <c:v>-67.116</c:v>
                </c:pt>
                <c:pt idx="5">
                  <c:v>-78.361999999999995</c:v>
                </c:pt>
                <c:pt idx="6">
                  <c:v>-102.399</c:v>
                </c:pt>
                <c:pt idx="7">
                  <c:v>-103.04700000000012</c:v>
                </c:pt>
                <c:pt idx="8">
                  <c:v>-91.60899999999998</c:v>
                </c:pt>
                <c:pt idx="9">
                  <c:v>-66.63</c:v>
                </c:pt>
                <c:pt idx="10">
                  <c:v>-53.595000000000013</c:v>
                </c:pt>
                <c:pt idx="11">
                  <c:v>-53.379000000000005</c:v>
                </c:pt>
                <c:pt idx="12">
                  <c:v>-61.031000000000006</c:v>
                </c:pt>
                <c:pt idx="13">
                  <c:v>-46.958999999999996</c:v>
                </c:pt>
                <c:pt idx="14">
                  <c:v>-108.55200000000001</c:v>
                </c:pt>
                <c:pt idx="15">
                  <c:v>-109.75700000000002</c:v>
                </c:pt>
                <c:pt idx="16">
                  <c:v>-98.715999999999994</c:v>
                </c:pt>
                <c:pt idx="17">
                  <c:v>-150.494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707-4627-99AD-0A630E162320}"/>
            </c:ext>
          </c:extLst>
        </c:ser>
        <c:ser>
          <c:idx val="6"/>
          <c:order val="3"/>
          <c:tx>
            <c:strRef>
              <c:f>'3-Sektor účty-odlivy zisků ČR'!$B$111</c:f>
              <c:strCache>
                <c:ptCount val="1"/>
                <c:pt idx="0">
                  <c:v>Reinvestované zisky z PZI (D.43) (+)</c:v>
                </c:pt>
              </c:strCache>
            </c:strRef>
          </c:tx>
          <c:spPr>
            <a:solidFill>
              <a:srgbClr val="0071BC"/>
            </a:solidFill>
            <a:ln>
              <a:noFill/>
            </a:ln>
          </c:spPr>
          <c:cat>
            <c:numRef>
              <c:f>'3-Sektor účty-odlivy zisků ČR'!$C$108:$T$108</c:f>
              <c:numCache>
                <c:formatCode>0</c:formatCode>
                <c:ptCount val="18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</c:numCache>
            </c:numRef>
          </c:cat>
          <c:val>
            <c:numRef>
              <c:f>'3-Sektor účty-odlivy zisků ČR'!$C$111:$T$111</c:f>
              <c:numCache>
                <c:formatCode>0.0</c:formatCode>
                <c:ptCount val="18"/>
                <c:pt idx="0">
                  <c:v>-0.55600000000000005</c:v>
                </c:pt>
                <c:pt idx="1">
                  <c:v>2.5319999999999987</c:v>
                </c:pt>
                <c:pt idx="2">
                  <c:v>-3.3169999999999837</c:v>
                </c:pt>
                <c:pt idx="3">
                  <c:v>3.484</c:v>
                </c:pt>
                <c:pt idx="4">
                  <c:v>6.0750000000000002</c:v>
                </c:pt>
                <c:pt idx="5">
                  <c:v>-8.0570000000000004</c:v>
                </c:pt>
                <c:pt idx="6">
                  <c:v>5.5869999999999997</c:v>
                </c:pt>
                <c:pt idx="7">
                  <c:v>14.412000000000004</c:v>
                </c:pt>
                <c:pt idx="8">
                  <c:v>56.383999999999993</c:v>
                </c:pt>
                <c:pt idx="9">
                  <c:v>0.72000000000000064</c:v>
                </c:pt>
                <c:pt idx="10">
                  <c:v>0.74900000000000366</c:v>
                </c:pt>
                <c:pt idx="11">
                  <c:v>5.5490000000000004</c:v>
                </c:pt>
                <c:pt idx="12">
                  <c:v>24.600999999999999</c:v>
                </c:pt>
                <c:pt idx="13">
                  <c:v>7.7639999999999985</c:v>
                </c:pt>
                <c:pt idx="14">
                  <c:v>2.8859999999999997</c:v>
                </c:pt>
                <c:pt idx="15">
                  <c:v>10.351000000000004</c:v>
                </c:pt>
                <c:pt idx="16">
                  <c:v>9.5630000000000006</c:v>
                </c:pt>
                <c:pt idx="17">
                  <c:v>18.794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707-4627-99AD-0A630E162320}"/>
            </c:ext>
          </c:extLst>
        </c:ser>
        <c:ser>
          <c:idx val="1"/>
          <c:order val="4"/>
          <c:tx>
            <c:strRef>
              <c:f>'3-Sektor účty-odlivy zisků ČR'!$B$114</c:f>
              <c:strCache>
                <c:ptCount val="1"/>
                <c:pt idx="0">
                  <c:v>Rozděl. důchody společností (D.42) (-)</c:v>
                </c:pt>
              </c:strCache>
            </c:strRef>
          </c:tx>
          <c:spPr>
            <a:solidFill>
              <a:srgbClr val="E8AFB2"/>
            </a:solidFill>
            <a:ln w="22225">
              <a:noFill/>
            </a:ln>
          </c:spPr>
          <c:cat>
            <c:numRef>
              <c:f>'3-Sektor účty-odlivy zisků ČR'!$C$108:$T$108</c:f>
              <c:numCache>
                <c:formatCode>0</c:formatCode>
                <c:ptCount val="18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</c:numCache>
            </c:numRef>
          </c:cat>
          <c:val>
            <c:numRef>
              <c:f>'3-Sektor účty-odlivy zisků ČR'!$C$114:$T$114</c:f>
              <c:numCache>
                <c:formatCode>0.0</c:formatCode>
                <c:ptCount val="18"/>
                <c:pt idx="0">
                  <c:v>-80.122999999999948</c:v>
                </c:pt>
                <c:pt idx="1">
                  <c:v>-101.334</c:v>
                </c:pt>
                <c:pt idx="2">
                  <c:v>-118.94800000000002</c:v>
                </c:pt>
                <c:pt idx="3">
                  <c:v>-140.11499999999998</c:v>
                </c:pt>
                <c:pt idx="4">
                  <c:v>-185.35200000000103</c:v>
                </c:pt>
                <c:pt idx="5">
                  <c:v>-185.31300000000002</c:v>
                </c:pt>
                <c:pt idx="6">
                  <c:v>-243.35900000000001</c:v>
                </c:pt>
                <c:pt idx="7">
                  <c:v>-292.76799999999969</c:v>
                </c:pt>
                <c:pt idx="8">
                  <c:v>-327.13900000000001</c:v>
                </c:pt>
                <c:pt idx="9">
                  <c:v>-313.55200000000002</c:v>
                </c:pt>
                <c:pt idx="10">
                  <c:v>-303.08699999999823</c:v>
                </c:pt>
                <c:pt idx="11">
                  <c:v>-337.33099999999899</c:v>
                </c:pt>
                <c:pt idx="12">
                  <c:v>-330.95299999999969</c:v>
                </c:pt>
                <c:pt idx="13">
                  <c:v>-346.245</c:v>
                </c:pt>
                <c:pt idx="14">
                  <c:v>-382.93599999999748</c:v>
                </c:pt>
                <c:pt idx="15">
                  <c:v>-417.42299999999869</c:v>
                </c:pt>
                <c:pt idx="16">
                  <c:v>-480.55700000000002</c:v>
                </c:pt>
                <c:pt idx="17">
                  <c:v>-448.76400000000001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707-4627-99AD-0A630E162320}"/>
            </c:ext>
          </c:extLst>
        </c:ser>
        <c:ser>
          <c:idx val="3"/>
          <c:order val="5"/>
          <c:tx>
            <c:strRef>
              <c:f>'3-Sektor účty-odlivy zisků ČR'!$B$110</c:f>
              <c:strCache>
                <c:ptCount val="1"/>
                <c:pt idx="0">
                  <c:v>Rozděl. důchody společností (D.42) (+)</c:v>
                </c:pt>
              </c:strCache>
            </c:strRef>
          </c:tx>
          <c:spPr>
            <a:solidFill>
              <a:srgbClr val="BD1B21"/>
            </a:solidFill>
            <a:ln w="22225">
              <a:noFill/>
            </a:ln>
          </c:spPr>
          <c:cat>
            <c:numRef>
              <c:f>'3-Sektor účty-odlivy zisků ČR'!$C$108:$T$108</c:f>
              <c:numCache>
                <c:formatCode>0</c:formatCode>
                <c:ptCount val="18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</c:numCache>
            </c:numRef>
          </c:cat>
          <c:val>
            <c:numRef>
              <c:f>'3-Sektor účty-odlivy zisků ČR'!$C$110:$T$110</c:f>
              <c:numCache>
                <c:formatCode>0.0</c:formatCode>
                <c:ptCount val="18"/>
                <c:pt idx="0">
                  <c:v>4.4509999999999996</c:v>
                </c:pt>
                <c:pt idx="1">
                  <c:v>6.0960000000000001</c:v>
                </c:pt>
                <c:pt idx="2">
                  <c:v>7.2889999999999997</c:v>
                </c:pt>
                <c:pt idx="3">
                  <c:v>9.6060000000000034</c:v>
                </c:pt>
                <c:pt idx="4">
                  <c:v>24.282999999999852</c:v>
                </c:pt>
                <c:pt idx="5">
                  <c:v>36.935000000000002</c:v>
                </c:pt>
                <c:pt idx="6">
                  <c:v>31.356999999999999</c:v>
                </c:pt>
                <c:pt idx="7">
                  <c:v>39.437000000000005</c:v>
                </c:pt>
                <c:pt idx="8">
                  <c:v>41.107000000000006</c:v>
                </c:pt>
                <c:pt idx="9">
                  <c:v>30.630000000000031</c:v>
                </c:pt>
                <c:pt idx="10">
                  <c:v>25.077000000000005</c:v>
                </c:pt>
                <c:pt idx="11">
                  <c:v>36.535000000000011</c:v>
                </c:pt>
                <c:pt idx="12">
                  <c:v>55.308</c:v>
                </c:pt>
                <c:pt idx="13">
                  <c:v>48.564</c:v>
                </c:pt>
                <c:pt idx="14">
                  <c:v>64.063000000000002</c:v>
                </c:pt>
                <c:pt idx="15">
                  <c:v>65.233999999999995</c:v>
                </c:pt>
                <c:pt idx="16">
                  <c:v>74.498000000000005</c:v>
                </c:pt>
                <c:pt idx="17">
                  <c:v>81.078999999999979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E707-4627-99AD-0A630E162320}"/>
            </c:ext>
          </c:extLst>
        </c:ser>
        <c:ser>
          <c:idx val="5"/>
          <c:order val="6"/>
          <c:tx>
            <c:strRef>
              <c:f>'3-Sektor účty-odlivy zisků ČR'!$B$113</c:f>
              <c:strCache>
                <c:ptCount val="1"/>
                <c:pt idx="0">
                  <c:v>Úroky (D.41) (-)</c:v>
                </c:pt>
              </c:strCache>
            </c:strRef>
          </c:tx>
          <c:spPr>
            <a:solidFill>
              <a:srgbClr val="FDDEB3"/>
            </a:solidFill>
            <a:ln w="22225">
              <a:noFill/>
            </a:ln>
          </c:spPr>
          <c:cat>
            <c:numRef>
              <c:f>'3-Sektor účty-odlivy zisků ČR'!$C$108:$T$108</c:f>
              <c:numCache>
                <c:formatCode>0</c:formatCode>
                <c:ptCount val="18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</c:numCache>
            </c:numRef>
          </c:cat>
          <c:val>
            <c:numRef>
              <c:f>'3-Sektor účty-odlivy zisků ČR'!$C$113:$T$113</c:f>
              <c:numCache>
                <c:formatCode>0.0</c:formatCode>
                <c:ptCount val="18"/>
                <c:pt idx="0">
                  <c:v>-104.886</c:v>
                </c:pt>
                <c:pt idx="1">
                  <c:v>-99.897999999999996</c:v>
                </c:pt>
                <c:pt idx="2">
                  <c:v>-63.379000000000005</c:v>
                </c:pt>
                <c:pt idx="3">
                  <c:v>-80.588999999999999</c:v>
                </c:pt>
                <c:pt idx="4">
                  <c:v>-82.789000000000001</c:v>
                </c:pt>
                <c:pt idx="5">
                  <c:v>-77.986000000000004</c:v>
                </c:pt>
                <c:pt idx="6">
                  <c:v>-88.402000000000001</c:v>
                </c:pt>
                <c:pt idx="7">
                  <c:v>-80.164999999999992</c:v>
                </c:pt>
                <c:pt idx="8">
                  <c:v>-84.937000000000026</c:v>
                </c:pt>
                <c:pt idx="9">
                  <c:v>-61.022000000000013</c:v>
                </c:pt>
                <c:pt idx="10">
                  <c:v>-81.127999999999986</c:v>
                </c:pt>
                <c:pt idx="11">
                  <c:v>-82.881999999999991</c:v>
                </c:pt>
                <c:pt idx="12">
                  <c:v>-78.632999999999981</c:v>
                </c:pt>
                <c:pt idx="13">
                  <c:v>-71.799000000000007</c:v>
                </c:pt>
                <c:pt idx="14">
                  <c:v>-82.391000000000005</c:v>
                </c:pt>
                <c:pt idx="15">
                  <c:v>-76.095000000000013</c:v>
                </c:pt>
                <c:pt idx="16">
                  <c:v>-62.977000000000004</c:v>
                </c:pt>
                <c:pt idx="17">
                  <c:v>-54.127000000000002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E707-4627-99AD-0A630E162320}"/>
            </c:ext>
          </c:extLst>
        </c:ser>
        <c:ser>
          <c:idx val="7"/>
          <c:order val="7"/>
          <c:tx>
            <c:strRef>
              <c:f>'3-Sektor účty-odlivy zisků ČR'!$B$109</c:f>
              <c:strCache>
                <c:ptCount val="1"/>
                <c:pt idx="0">
                  <c:v>Úroky (D.41) (+)</c:v>
                </c:pt>
              </c:strCache>
            </c:strRef>
          </c:tx>
          <c:spPr>
            <a:solidFill>
              <a:srgbClr val="F8A124"/>
            </a:solidFill>
            <a:ln>
              <a:noFill/>
            </a:ln>
          </c:spPr>
          <c:cat>
            <c:numRef>
              <c:f>'3-Sektor účty-odlivy zisků ČR'!$C$108:$T$108</c:f>
              <c:numCache>
                <c:formatCode>0</c:formatCode>
                <c:ptCount val="18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</c:numCache>
            </c:numRef>
          </c:cat>
          <c:val>
            <c:numRef>
              <c:f>'3-Sektor účty-odlivy zisků ČR'!$C$109:$T$109</c:f>
              <c:numCache>
                <c:formatCode>0.0</c:formatCode>
                <c:ptCount val="18"/>
                <c:pt idx="0">
                  <c:v>11.944000000000001</c:v>
                </c:pt>
                <c:pt idx="1">
                  <c:v>22.477</c:v>
                </c:pt>
                <c:pt idx="2">
                  <c:v>12.106</c:v>
                </c:pt>
                <c:pt idx="3">
                  <c:v>30.521000000000001</c:v>
                </c:pt>
                <c:pt idx="4">
                  <c:v>40.677</c:v>
                </c:pt>
                <c:pt idx="5">
                  <c:v>43.350999999999999</c:v>
                </c:pt>
                <c:pt idx="6">
                  <c:v>45.239000000000011</c:v>
                </c:pt>
                <c:pt idx="7">
                  <c:v>60.167000000000002</c:v>
                </c:pt>
                <c:pt idx="8">
                  <c:v>51.206000000000003</c:v>
                </c:pt>
                <c:pt idx="9">
                  <c:v>38.328000000000003</c:v>
                </c:pt>
                <c:pt idx="10">
                  <c:v>30.872</c:v>
                </c:pt>
                <c:pt idx="11">
                  <c:v>36.07</c:v>
                </c:pt>
                <c:pt idx="12">
                  <c:v>38.867000000000004</c:v>
                </c:pt>
                <c:pt idx="13">
                  <c:v>37.486000000000004</c:v>
                </c:pt>
                <c:pt idx="14">
                  <c:v>42.303000000000004</c:v>
                </c:pt>
                <c:pt idx="15">
                  <c:v>49.033000000000001</c:v>
                </c:pt>
                <c:pt idx="16">
                  <c:v>56.641000000000005</c:v>
                </c:pt>
                <c:pt idx="17">
                  <c:v>53.656000000000006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E707-4627-99AD-0A630E162320}"/>
            </c:ext>
          </c:extLst>
        </c:ser>
        <c:overlap val="100"/>
        <c:axId val="109885312"/>
        <c:axId val="109886848"/>
      </c:barChart>
      <c:lineChart>
        <c:grouping val="standard"/>
        <c:ser>
          <c:idx val="8"/>
          <c:order val="8"/>
          <c:tx>
            <c:strRef>
              <c:f>'3-Sektor účty-odlivy zisků ČR'!$B$117</c:f>
              <c:strCache>
                <c:ptCount val="1"/>
                <c:pt idx="0">
                  <c:v>Důchod z vlastnictví celkem (D.4) (saldo)</c:v>
                </c:pt>
              </c:strCache>
            </c:strRef>
          </c:tx>
          <c:spPr>
            <a:ln>
              <a:noFill/>
            </a:ln>
          </c:spPr>
          <c:marker>
            <c:symbol val="none"/>
          </c:marker>
          <c:cat>
            <c:numRef>
              <c:f>'3-Sektor účty-odlivy zisků ČR'!$C$108:$T$108</c:f>
              <c:numCache>
                <c:formatCode>0</c:formatCode>
                <c:ptCount val="18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</c:numCache>
            </c:numRef>
          </c:cat>
          <c:val>
            <c:numRef>
              <c:f>'3-Sektor účty-odlivy zisků ČR'!$C$117:$T$117</c:f>
              <c:numCache>
                <c:formatCode>General</c:formatCode>
                <c:ptCount val="18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E707-4627-99AD-0A630E162320}"/>
            </c:ext>
          </c:extLst>
        </c:ser>
        <c:ser>
          <c:idx val="9"/>
          <c:order val="9"/>
          <c:tx>
            <c:strRef>
              <c:f>'3-Sektor účty-odlivy zisků ČR'!$B$118</c:f>
              <c:strCache>
                <c:ptCount val="1"/>
              </c:strCache>
            </c:strRef>
          </c:tx>
          <c:spPr>
            <a:ln>
              <a:noFill/>
            </a:ln>
          </c:spPr>
          <c:marker>
            <c:symbol val="none"/>
          </c:marker>
          <c:cat>
            <c:numRef>
              <c:f>'3-Sektor účty-odlivy zisků ČR'!$C$108:$T$108</c:f>
              <c:numCache>
                <c:formatCode>0</c:formatCode>
                <c:ptCount val="18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</c:numCache>
            </c:numRef>
          </c:cat>
          <c:val>
            <c:numRef>
              <c:f>'3-Sektor účty-odlivy zisků ČR'!$C$118:$T$118</c:f>
              <c:numCache>
                <c:formatCode>General</c:formatCode>
                <c:ptCount val="18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E707-4627-99AD-0A630E162320}"/>
            </c:ext>
          </c:extLst>
        </c:ser>
        <c:ser>
          <c:idx val="10"/>
          <c:order val="10"/>
          <c:tx>
            <c:strRef>
              <c:f>'3-Sektor účty-odlivy zisků ČR'!$B$119</c:f>
              <c:strCache>
                <c:ptCount val="1"/>
                <c:pt idx="0">
                  <c:v>   veřejné nefinanční podniky</c:v>
                </c:pt>
              </c:strCache>
            </c:strRef>
          </c:tx>
          <c:spPr>
            <a:ln w="19050">
              <a:solidFill>
                <a:srgbClr val="80BB2D"/>
              </a:solidFill>
              <a:prstDash val="sysDash"/>
            </a:ln>
          </c:spPr>
          <c:marker>
            <c:symbol val="none"/>
          </c:marker>
          <c:cat>
            <c:numRef>
              <c:f>'3-Sektor účty-odlivy zisků ČR'!$C$108:$T$108</c:f>
              <c:numCache>
                <c:formatCode>0</c:formatCode>
                <c:ptCount val="18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</c:numCache>
            </c:numRef>
          </c:cat>
          <c:val>
            <c:numRef>
              <c:f>'3-Sektor účty-odlivy zisků ČR'!$C$119:$T$119</c:f>
              <c:numCache>
                <c:formatCode>0.0</c:formatCode>
                <c:ptCount val="18"/>
                <c:pt idx="0">
                  <c:v>-14.027999999999999</c:v>
                </c:pt>
                <c:pt idx="1">
                  <c:v>-13.287000000000001</c:v>
                </c:pt>
                <c:pt idx="2">
                  <c:v>-6.9009999999999998</c:v>
                </c:pt>
                <c:pt idx="3">
                  <c:v>-4.5759999999999996</c:v>
                </c:pt>
                <c:pt idx="4">
                  <c:v>-5.5359999999999996</c:v>
                </c:pt>
                <c:pt idx="5">
                  <c:v>1.093</c:v>
                </c:pt>
                <c:pt idx="6">
                  <c:v>-14.747999999999999</c:v>
                </c:pt>
                <c:pt idx="7">
                  <c:v>-3.1000000000000052E-2</c:v>
                </c:pt>
                <c:pt idx="8">
                  <c:v>-13.196</c:v>
                </c:pt>
                <c:pt idx="9">
                  <c:v>-20.460999999999864</c:v>
                </c:pt>
                <c:pt idx="10">
                  <c:v>-18.09</c:v>
                </c:pt>
                <c:pt idx="11">
                  <c:v>-9.9600000000000026</c:v>
                </c:pt>
                <c:pt idx="12">
                  <c:v>-16.449000000000002</c:v>
                </c:pt>
                <c:pt idx="13">
                  <c:v>-14.557</c:v>
                </c:pt>
                <c:pt idx="14">
                  <c:v>-18.341999999999999</c:v>
                </c:pt>
                <c:pt idx="15">
                  <c:v>-13.989000000000004</c:v>
                </c:pt>
                <c:pt idx="16">
                  <c:v>-14.392000000000024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E707-4627-99AD-0A630E162320}"/>
            </c:ext>
          </c:extLst>
        </c:ser>
        <c:ser>
          <c:idx val="11"/>
          <c:order val="11"/>
          <c:tx>
            <c:strRef>
              <c:f>'3-Sektor účty-odlivy zisků ČR'!$B$120</c:f>
              <c:strCache>
                <c:ptCount val="1"/>
                <c:pt idx="0">
                  <c:v>   národní soukromé nefinanční podniky</c:v>
                </c:pt>
              </c:strCache>
            </c:strRef>
          </c:tx>
          <c:spPr>
            <a:ln w="19050">
              <a:solidFill>
                <a:srgbClr val="0071BC"/>
              </a:solidFill>
              <a:prstDash val="sysDash"/>
            </a:ln>
          </c:spPr>
          <c:marker>
            <c:symbol val="none"/>
          </c:marker>
          <c:cat>
            <c:numRef>
              <c:f>'3-Sektor účty-odlivy zisků ČR'!$C$108:$T$108</c:f>
              <c:numCache>
                <c:formatCode>0</c:formatCode>
                <c:ptCount val="18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</c:numCache>
            </c:numRef>
          </c:cat>
          <c:val>
            <c:numRef>
              <c:f>'3-Sektor účty-odlivy zisků ČR'!$C$120:$T$120</c:f>
              <c:numCache>
                <c:formatCode>0.0</c:formatCode>
                <c:ptCount val="18"/>
                <c:pt idx="0">
                  <c:v>-118.44400000000049</c:v>
                </c:pt>
                <c:pt idx="1">
                  <c:v>-129.72999999999999</c:v>
                </c:pt>
                <c:pt idx="2">
                  <c:v>-111.88500000000001</c:v>
                </c:pt>
                <c:pt idx="3">
                  <c:v>-115.926</c:v>
                </c:pt>
                <c:pt idx="4">
                  <c:v>-114.932</c:v>
                </c:pt>
                <c:pt idx="5">
                  <c:v>-131.31900000000002</c:v>
                </c:pt>
                <c:pt idx="6">
                  <c:v>-125.151</c:v>
                </c:pt>
                <c:pt idx="7">
                  <c:v>-116.979</c:v>
                </c:pt>
                <c:pt idx="8">
                  <c:v>-92.537999999999997</c:v>
                </c:pt>
                <c:pt idx="9">
                  <c:v>-112.21899999999999</c:v>
                </c:pt>
                <c:pt idx="10">
                  <c:v>-146.12900000000002</c:v>
                </c:pt>
                <c:pt idx="11">
                  <c:v>-165.137</c:v>
                </c:pt>
                <c:pt idx="12">
                  <c:v>-124.45699999999999</c:v>
                </c:pt>
                <c:pt idx="13">
                  <c:v>-153.98700000000093</c:v>
                </c:pt>
                <c:pt idx="14">
                  <c:v>-160.07399999999998</c:v>
                </c:pt>
                <c:pt idx="15">
                  <c:v>-173.24599999999998</c:v>
                </c:pt>
                <c:pt idx="16">
                  <c:v>-162.405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E707-4627-99AD-0A630E162320}"/>
            </c:ext>
          </c:extLst>
        </c:ser>
        <c:ser>
          <c:idx val="12"/>
          <c:order val="12"/>
          <c:tx>
            <c:strRef>
              <c:f>'3-Sektor účty-odlivy zisků ČR'!$B$121</c:f>
              <c:strCache>
                <c:ptCount val="1"/>
                <c:pt idx="0">
                  <c:v>   nef. podniky pod zahraniční kontrolou</c:v>
                </c:pt>
              </c:strCache>
            </c:strRef>
          </c:tx>
          <c:spPr>
            <a:ln w="19050">
              <a:solidFill>
                <a:srgbClr val="BD1B21"/>
              </a:solidFill>
              <a:prstDash val="sysDash"/>
            </a:ln>
          </c:spPr>
          <c:marker>
            <c:symbol val="none"/>
          </c:marker>
          <c:cat>
            <c:numRef>
              <c:f>'3-Sektor účty-odlivy zisků ČR'!$C$108:$T$108</c:f>
              <c:numCache>
                <c:formatCode>0</c:formatCode>
                <c:ptCount val="18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</c:numCache>
            </c:numRef>
          </c:cat>
          <c:val>
            <c:numRef>
              <c:f>'3-Sektor účty-odlivy zisků ČR'!$C$121:$T$121</c:f>
              <c:numCache>
                <c:formatCode>0.0</c:formatCode>
                <c:ptCount val="18"/>
                <c:pt idx="0">
                  <c:v>-48.074000000000005</c:v>
                </c:pt>
                <c:pt idx="1">
                  <c:v>-71.137</c:v>
                </c:pt>
                <c:pt idx="2">
                  <c:v>-103.32599999999998</c:v>
                </c:pt>
                <c:pt idx="3">
                  <c:v>-112.44000000000032</c:v>
                </c:pt>
                <c:pt idx="4">
                  <c:v>-148.17299999999997</c:v>
                </c:pt>
                <c:pt idx="5">
                  <c:v>-144.16899999999998</c:v>
                </c:pt>
                <c:pt idx="6">
                  <c:v>-217.67699999999999</c:v>
                </c:pt>
                <c:pt idx="7">
                  <c:v>-250.93200000000004</c:v>
                </c:pt>
                <c:pt idx="8">
                  <c:v>-255.35600000000093</c:v>
                </c:pt>
                <c:pt idx="9">
                  <c:v>-244.42000000000004</c:v>
                </c:pt>
                <c:pt idx="10">
                  <c:v>-222.39700000000047</c:v>
                </c:pt>
                <c:pt idx="11">
                  <c:v>-226.255</c:v>
                </c:pt>
                <c:pt idx="12">
                  <c:v>-216.602</c:v>
                </c:pt>
                <c:pt idx="13">
                  <c:v>-207.62200000000001</c:v>
                </c:pt>
                <c:pt idx="14">
                  <c:v>-293.88499999999999</c:v>
                </c:pt>
                <c:pt idx="15">
                  <c:v>-300.06099999999969</c:v>
                </c:pt>
                <c:pt idx="16">
                  <c:v>-333.32299999999969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E707-4627-99AD-0A630E162320}"/>
            </c:ext>
          </c:extLst>
        </c:ser>
        <c:ser>
          <c:idx val="13"/>
          <c:order val="13"/>
          <c:tx>
            <c:strRef>
              <c:f>'3-Sektor účty-odlivy zisků ČR'!$B$122</c:f>
              <c:strCache>
                <c:ptCount val="1"/>
                <c:pt idx="0">
                  <c:v>   nefinanční podniky celkem</c:v>
                </c:pt>
              </c:strCache>
            </c:strRef>
          </c:tx>
          <c:spPr>
            <a:ln w="22225">
              <a:solidFill>
                <a:srgbClr val="808080"/>
              </a:solidFill>
            </a:ln>
          </c:spPr>
          <c:marker>
            <c:symbol val="none"/>
          </c:marker>
          <c:cat>
            <c:numRef>
              <c:f>'3-Sektor účty-odlivy zisků ČR'!$C$108:$T$108</c:f>
              <c:numCache>
                <c:formatCode>0</c:formatCode>
                <c:ptCount val="18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</c:numCache>
            </c:numRef>
          </c:cat>
          <c:val>
            <c:numRef>
              <c:f>'3-Sektor účty-odlivy zisků ČR'!$C$122:$T$122</c:f>
              <c:numCache>
                <c:formatCode>0.0</c:formatCode>
                <c:ptCount val="18"/>
                <c:pt idx="0">
                  <c:v>-180.54599999999999</c:v>
                </c:pt>
                <c:pt idx="1">
                  <c:v>-214.154</c:v>
                </c:pt>
                <c:pt idx="2">
                  <c:v>-222.11199999999999</c:v>
                </c:pt>
                <c:pt idx="3">
                  <c:v>-232.94200000000001</c:v>
                </c:pt>
                <c:pt idx="4">
                  <c:v>-268.64100000000002</c:v>
                </c:pt>
                <c:pt idx="5">
                  <c:v>-274.39499999999964</c:v>
                </c:pt>
                <c:pt idx="6">
                  <c:v>-357.57599999999923</c:v>
                </c:pt>
                <c:pt idx="7">
                  <c:v>-367.94200000000001</c:v>
                </c:pt>
                <c:pt idx="8">
                  <c:v>-361.09</c:v>
                </c:pt>
                <c:pt idx="9">
                  <c:v>-377.1</c:v>
                </c:pt>
                <c:pt idx="10">
                  <c:v>-386.61599999999999</c:v>
                </c:pt>
                <c:pt idx="11">
                  <c:v>-401.35199999999969</c:v>
                </c:pt>
                <c:pt idx="12">
                  <c:v>-357.50799999999964</c:v>
                </c:pt>
                <c:pt idx="13">
                  <c:v>-376.166</c:v>
                </c:pt>
                <c:pt idx="14">
                  <c:v>-472.30099999999999</c:v>
                </c:pt>
                <c:pt idx="15">
                  <c:v>-487.29599999999863</c:v>
                </c:pt>
                <c:pt idx="16">
                  <c:v>-510.12</c:v>
                </c:pt>
                <c:pt idx="17">
                  <c:v>-508.62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E707-4627-99AD-0A630E162320}"/>
            </c:ext>
          </c:extLst>
        </c:ser>
        <c:marker val="1"/>
        <c:axId val="109885312"/>
        <c:axId val="109886848"/>
      </c:lineChart>
      <c:catAx>
        <c:axId val="109885312"/>
        <c:scaling>
          <c:orientation val="minMax"/>
        </c:scaling>
        <c:axPos val="b"/>
        <c:numFmt formatCode="0" sourceLinked="1"/>
        <c:majorTickMark val="none"/>
        <c:tickLblPos val="low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cs-CZ"/>
          </a:p>
        </c:txPr>
        <c:crossAx val="109886848"/>
        <c:crosses val="autoZero"/>
        <c:auto val="1"/>
        <c:lblAlgn val="ctr"/>
        <c:lblOffset val="20"/>
      </c:catAx>
      <c:valAx>
        <c:axId val="109886848"/>
        <c:scaling>
          <c:orientation val="minMax"/>
          <c:max val="200"/>
          <c:min val="-700"/>
        </c:scaling>
        <c:axPos val="l"/>
        <c:majorGridlines>
          <c:spPr>
            <a:ln w="9525">
              <a:solidFill>
                <a:srgbClr val="BFBFBF"/>
              </a:solidFill>
            </a:ln>
          </c:spPr>
        </c:majorGridlines>
        <c:numFmt formatCode="0" sourceLinked="0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cs-CZ"/>
          </a:p>
        </c:txPr>
        <c:crossAx val="109885312"/>
        <c:crosses val="autoZero"/>
        <c:crossBetween val="between"/>
      </c:valAx>
      <c:spPr>
        <a:ln>
          <a:solidFill>
            <a:sysClr val="windowText" lastClr="000000">
              <a:lumMod val="95000"/>
              <a:lumOff val="5000"/>
            </a:sysClr>
          </a:solidFill>
        </a:ln>
      </c:spPr>
    </c:plotArea>
    <c:legend>
      <c:legendPos val="r"/>
      <c:layout>
        <c:manualLayout>
          <c:xMode val="edge"/>
          <c:yMode val="edge"/>
          <c:x val="4.147884970778927E-3"/>
          <c:y val="0.76711749266635865"/>
          <c:w val="0.98653429122823366"/>
          <c:h val="0.21862225777927491"/>
        </c:manualLayout>
      </c:layout>
      <c:spPr>
        <a:ln w="6350">
          <a:solidFill>
            <a:schemeClr val="tx1">
              <a:lumMod val="95000"/>
              <a:lumOff val="5000"/>
            </a:schemeClr>
          </a:solidFill>
        </a:ln>
      </c:spPr>
      <c:txPr>
        <a:bodyPr/>
        <a:lstStyle/>
        <a:p>
          <a:pPr>
            <a:defRPr sz="800">
              <a:latin typeface="Arial" pitchFamily="34" charset="0"/>
              <a:cs typeface="Arial" pitchFamily="34" charset="0"/>
            </a:defRPr>
          </a:pPr>
          <a:endParaRPr lang="cs-CZ"/>
        </a:p>
      </c:txPr>
    </c:legend>
    <c:plotVisOnly val="1"/>
    <c:dispBlanksAs val="gap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plotArea>
      <c:layout>
        <c:manualLayout>
          <c:layoutTarget val="inner"/>
          <c:xMode val="edge"/>
          <c:yMode val="edge"/>
          <c:x val="4.6721833227243804E-2"/>
          <c:y val="2.1390374331550797E-2"/>
          <c:w val="0.94675610830925916"/>
          <c:h val="0.73929905820595965"/>
        </c:manualLayout>
      </c:layout>
      <c:barChart>
        <c:barDir val="col"/>
        <c:grouping val="clustered"/>
        <c:ser>
          <c:idx val="8"/>
          <c:order val="7"/>
          <c:tx>
            <c:strRef>
              <c:f>'4-Sektor účty-investice'!$A$52</c:f>
              <c:strCache>
                <c:ptCount val="1"/>
                <c:pt idx="0">
                  <c:v>Veřejné nef. podniky (ČR)</c:v>
                </c:pt>
              </c:strCache>
            </c:strRef>
          </c:tx>
          <c:spPr>
            <a:solidFill>
              <a:srgbClr val="CBCBCB"/>
            </a:solidFill>
          </c:spPr>
          <c:cat>
            <c:strRef>
              <c:f>'4-Sektor účty-investice'!$G$44:$S$44</c:f>
              <c:strCache>
                <c:ptCount val="13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</c:strCache>
            </c:strRef>
          </c:cat>
          <c:val>
            <c:numRef>
              <c:f>'4-Sektor účty-investice'!$G$52:$S$52</c:f>
              <c:numCache>
                <c:formatCode>0.0</c:formatCode>
                <c:ptCount val="13"/>
                <c:pt idx="0">
                  <c:v>34.578829288190903</c:v>
                </c:pt>
                <c:pt idx="1">
                  <c:v>39.260321407959637</c:v>
                </c:pt>
                <c:pt idx="2">
                  <c:v>43.544707023499846</c:v>
                </c:pt>
                <c:pt idx="3">
                  <c:v>40.311078075875997</c:v>
                </c:pt>
                <c:pt idx="4">
                  <c:v>40.473871803361384</c:v>
                </c:pt>
                <c:pt idx="5">
                  <c:v>43.145853193517624</c:v>
                </c:pt>
                <c:pt idx="6">
                  <c:v>45.959876726450375</c:v>
                </c:pt>
                <c:pt idx="7">
                  <c:v>41.516685205783972</c:v>
                </c:pt>
                <c:pt idx="8">
                  <c:v>46.257778774457584</c:v>
                </c:pt>
                <c:pt idx="9">
                  <c:v>42.531851042830446</c:v>
                </c:pt>
                <c:pt idx="10">
                  <c:v>40.382683350077379</c:v>
                </c:pt>
                <c:pt idx="11">
                  <c:v>35.572257041063104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A9A-4BDF-99F3-9C8030C10036}"/>
            </c:ext>
          </c:extLst>
        </c:ser>
        <c:ser>
          <c:idx val="9"/>
          <c:order val="8"/>
          <c:tx>
            <c:strRef>
              <c:f>'4-Sektor účty-investice'!$A$53</c:f>
              <c:strCache>
                <c:ptCount val="1"/>
                <c:pt idx="0">
                  <c:v>Soukromé národní podniky (ČR)</c:v>
                </c:pt>
              </c:strCache>
            </c:strRef>
          </c:tx>
          <c:spPr>
            <a:solidFill>
              <a:srgbClr val="BFE3F8"/>
            </a:solidFill>
          </c:spPr>
          <c:cat>
            <c:strRef>
              <c:f>'4-Sektor účty-investice'!$G$44:$S$44</c:f>
              <c:strCache>
                <c:ptCount val="13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</c:strCache>
            </c:strRef>
          </c:cat>
          <c:val>
            <c:numRef>
              <c:f>'4-Sektor účty-investice'!$G$53:$S$53</c:f>
              <c:numCache>
                <c:formatCode>0.0</c:formatCode>
                <c:ptCount val="13"/>
                <c:pt idx="0">
                  <c:v>30.209379312492146</c:v>
                </c:pt>
                <c:pt idx="1">
                  <c:v>29.559065048325788</c:v>
                </c:pt>
                <c:pt idx="2">
                  <c:v>31.41982560708783</c:v>
                </c:pt>
                <c:pt idx="3">
                  <c:v>30.743776148828189</c:v>
                </c:pt>
                <c:pt idx="4">
                  <c:v>26.645533744679089</c:v>
                </c:pt>
                <c:pt idx="5">
                  <c:v>30.608494102607768</c:v>
                </c:pt>
                <c:pt idx="6">
                  <c:v>30.493199118915889</c:v>
                </c:pt>
                <c:pt idx="7">
                  <c:v>30.908346218039711</c:v>
                </c:pt>
                <c:pt idx="8">
                  <c:v>30.381537001646372</c:v>
                </c:pt>
                <c:pt idx="9">
                  <c:v>28.511007070713788</c:v>
                </c:pt>
                <c:pt idx="10">
                  <c:v>29.215115898961024</c:v>
                </c:pt>
                <c:pt idx="11">
                  <c:v>29.89640104909909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A9A-4BDF-99F3-9C8030C10036}"/>
            </c:ext>
          </c:extLst>
        </c:ser>
        <c:ser>
          <c:idx val="10"/>
          <c:order val="9"/>
          <c:tx>
            <c:strRef>
              <c:f>'4-Sektor účty-investice'!$A$54</c:f>
              <c:strCache>
                <c:ptCount val="1"/>
                <c:pt idx="0">
                  <c:v>Podniky pod zahr. kontrolou (ČR)</c:v>
                </c:pt>
              </c:strCache>
            </c:strRef>
          </c:tx>
          <c:spPr>
            <a:ln w="19050"/>
          </c:spPr>
          <c:cat>
            <c:strRef>
              <c:f>'4-Sektor účty-investice'!$G$44:$S$44</c:f>
              <c:strCache>
                <c:ptCount val="13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</c:strCache>
            </c:strRef>
          </c:cat>
          <c:val>
            <c:numRef>
              <c:f>'4-Sektor účty-investice'!$G$54:$S$54</c:f>
              <c:numCache>
                <c:formatCode>0.0</c:formatCode>
                <c:ptCount val="13"/>
                <c:pt idx="0">
                  <c:v>35.058540891789811</c:v>
                </c:pt>
                <c:pt idx="1">
                  <c:v>30.515759470535549</c:v>
                </c:pt>
                <c:pt idx="2">
                  <c:v>33.422577747138213</c:v>
                </c:pt>
                <c:pt idx="3">
                  <c:v>31.25633141482254</c:v>
                </c:pt>
                <c:pt idx="4">
                  <c:v>28.148922641629689</c:v>
                </c:pt>
                <c:pt idx="5">
                  <c:v>25.09391374849233</c:v>
                </c:pt>
                <c:pt idx="6">
                  <c:v>27.781846709523002</c:v>
                </c:pt>
                <c:pt idx="7">
                  <c:v>28.917193713589739</c:v>
                </c:pt>
                <c:pt idx="8">
                  <c:v>27.875429548269075</c:v>
                </c:pt>
                <c:pt idx="9">
                  <c:v>26.26730724260316</c:v>
                </c:pt>
                <c:pt idx="10">
                  <c:v>26.900975140103277</c:v>
                </c:pt>
                <c:pt idx="11">
                  <c:v>26.990374934873007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A9A-4BDF-99F3-9C8030C10036}"/>
            </c:ext>
          </c:extLst>
        </c:ser>
        <c:axId val="118446336"/>
        <c:axId val="118468608"/>
      </c:barChart>
      <c:lineChart>
        <c:grouping val="standard"/>
        <c:ser>
          <c:idx val="0"/>
          <c:order val="0"/>
          <c:tx>
            <c:strRef>
              <c:f>'4-Sektor účty-investice'!$A$45</c:f>
              <c:strCache>
                <c:ptCount val="1"/>
                <c:pt idx="0">
                  <c:v>ČR (nefinanční podniky celkem)</c:v>
                </c:pt>
              </c:strCache>
            </c:strRef>
          </c:tx>
          <c:spPr>
            <a:ln w="22225">
              <a:solidFill>
                <a:schemeClr val="tx1">
                  <a:lumMod val="95000"/>
                  <a:lumOff val="5000"/>
                </a:schemeClr>
              </a:solidFill>
            </a:ln>
          </c:spPr>
          <c:marker>
            <c:symbol val="none"/>
          </c:marker>
          <c:cat>
            <c:strRef>
              <c:f>'4-Sektor účty-investice'!$G$44:$S$44</c:f>
              <c:strCache>
                <c:ptCount val="13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</c:strCache>
            </c:strRef>
          </c:cat>
          <c:val>
            <c:numRef>
              <c:f>'4-Sektor účty-investice'!$G$45:$S$45</c:f>
              <c:numCache>
                <c:formatCode>#,##0.00</c:formatCode>
                <c:ptCount val="13"/>
                <c:pt idx="0">
                  <c:v>32.51</c:v>
                </c:pt>
                <c:pt idx="1">
                  <c:v>30.86</c:v>
                </c:pt>
                <c:pt idx="2">
                  <c:v>33.410000000000004</c:v>
                </c:pt>
                <c:pt idx="3">
                  <c:v>31.85</c:v>
                </c:pt>
                <c:pt idx="4">
                  <c:v>28.77</c:v>
                </c:pt>
                <c:pt idx="5">
                  <c:v>29.07</c:v>
                </c:pt>
                <c:pt idx="6">
                  <c:v>30.54</c:v>
                </c:pt>
                <c:pt idx="7">
                  <c:v>30.85</c:v>
                </c:pt>
                <c:pt idx="8">
                  <c:v>30.49</c:v>
                </c:pt>
                <c:pt idx="9">
                  <c:v>28.610000000000031</c:v>
                </c:pt>
                <c:pt idx="10">
                  <c:v>28.97</c:v>
                </c:pt>
                <c:pt idx="11">
                  <c:v>28.91</c:v>
                </c:pt>
                <c:pt idx="12">
                  <c:v>28.09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A9A-4BDF-99F3-9C8030C10036}"/>
            </c:ext>
          </c:extLst>
        </c:ser>
        <c:ser>
          <c:idx val="1"/>
          <c:order val="1"/>
          <c:tx>
            <c:strRef>
              <c:f>'4-Sektor účty-investice'!$A$46</c:f>
              <c:strCache>
                <c:ptCount val="1"/>
                <c:pt idx="0">
                  <c:v>EU28</c:v>
                </c:pt>
              </c:strCache>
            </c:strRef>
          </c:tx>
          <c:spPr>
            <a:ln w="22225">
              <a:noFill/>
            </a:ln>
          </c:spPr>
          <c:marker>
            <c:symbol val="diamond"/>
            <c:size val="7"/>
            <c:spPr>
              <a:solidFill>
                <a:srgbClr val="FFFF00"/>
              </a:solidFill>
              <a:ln>
                <a:solidFill>
                  <a:schemeClr val="tx1">
                    <a:lumMod val="95000"/>
                    <a:lumOff val="5000"/>
                  </a:schemeClr>
                </a:solidFill>
              </a:ln>
            </c:spPr>
          </c:marker>
          <c:cat>
            <c:strRef>
              <c:f>'4-Sektor účty-investice'!$G$44:$S$44</c:f>
              <c:strCache>
                <c:ptCount val="13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</c:strCache>
            </c:strRef>
          </c:cat>
          <c:val>
            <c:numRef>
              <c:f>'4-Sektor účty-investice'!$G$46:$S$46</c:f>
              <c:numCache>
                <c:formatCode>#,##0.00</c:formatCode>
                <c:ptCount val="13"/>
                <c:pt idx="0">
                  <c:v>23.19</c:v>
                </c:pt>
                <c:pt idx="1">
                  <c:v>23.87</c:v>
                </c:pt>
                <c:pt idx="2">
                  <c:v>24.459999999999987</c:v>
                </c:pt>
                <c:pt idx="3">
                  <c:v>24.17</c:v>
                </c:pt>
                <c:pt idx="4">
                  <c:v>21.43</c:v>
                </c:pt>
                <c:pt idx="5">
                  <c:v>21.150000000000031</c:v>
                </c:pt>
                <c:pt idx="6">
                  <c:v>21.85</c:v>
                </c:pt>
                <c:pt idx="7">
                  <c:v>21.9</c:v>
                </c:pt>
                <c:pt idx="8">
                  <c:v>21.68</c:v>
                </c:pt>
                <c:pt idx="9">
                  <c:v>22.01</c:v>
                </c:pt>
                <c:pt idx="10">
                  <c:v>22.37</c:v>
                </c:pt>
                <c:pt idx="11">
                  <c:v>22.86</c:v>
                </c:pt>
                <c:pt idx="12">
                  <c:v>22.95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A9A-4BDF-99F3-9C8030C10036}"/>
            </c:ext>
          </c:extLst>
        </c:ser>
        <c:ser>
          <c:idx val="2"/>
          <c:order val="2"/>
          <c:tx>
            <c:strRef>
              <c:f>'4-Sektor účty-investice'!$A$47</c:f>
              <c:strCache>
                <c:ptCount val="1"/>
                <c:pt idx="0">
                  <c:v>Německo</c:v>
                </c:pt>
              </c:strCache>
            </c:strRef>
          </c:tx>
          <c:spPr>
            <a:ln w="19050">
              <a:solidFill>
                <a:srgbClr val="BD1B21"/>
              </a:solidFill>
              <a:prstDash val="solid"/>
            </a:ln>
          </c:spPr>
          <c:marker>
            <c:symbol val="none"/>
          </c:marker>
          <c:cat>
            <c:strRef>
              <c:f>'4-Sektor účty-investice'!$G$44:$S$44</c:f>
              <c:strCache>
                <c:ptCount val="13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</c:strCache>
            </c:strRef>
          </c:cat>
          <c:val>
            <c:numRef>
              <c:f>'4-Sektor účty-investice'!$G$47:$S$47</c:f>
              <c:numCache>
                <c:formatCode>#,##0.00</c:formatCode>
                <c:ptCount val="13"/>
                <c:pt idx="0">
                  <c:v>19.920000000000002</c:v>
                </c:pt>
                <c:pt idx="1">
                  <c:v>20.09</c:v>
                </c:pt>
                <c:pt idx="2">
                  <c:v>20.77</c:v>
                </c:pt>
                <c:pt idx="3">
                  <c:v>21.21</c:v>
                </c:pt>
                <c:pt idx="4">
                  <c:v>21.51</c:v>
                </c:pt>
                <c:pt idx="5">
                  <c:v>19.600000000000001</c:v>
                </c:pt>
                <c:pt idx="6">
                  <c:v>19.600000000000001</c:v>
                </c:pt>
                <c:pt idx="7">
                  <c:v>20.29</c:v>
                </c:pt>
                <c:pt idx="8">
                  <c:v>19.899999999999999</c:v>
                </c:pt>
                <c:pt idx="9">
                  <c:v>19.52</c:v>
                </c:pt>
                <c:pt idx="10">
                  <c:v>19.89</c:v>
                </c:pt>
                <c:pt idx="11">
                  <c:v>19.88</c:v>
                </c:pt>
                <c:pt idx="12">
                  <c:v>19.98999999999986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EA9A-4BDF-99F3-9C8030C10036}"/>
            </c:ext>
          </c:extLst>
        </c:ser>
        <c:ser>
          <c:idx val="3"/>
          <c:order val="3"/>
          <c:tx>
            <c:strRef>
              <c:f>'4-Sektor účty-investice'!$A$48</c:f>
              <c:strCache>
                <c:ptCount val="1"/>
                <c:pt idx="0">
                  <c:v>Rakousko</c:v>
                </c:pt>
              </c:strCache>
            </c:strRef>
          </c:tx>
          <c:spPr>
            <a:ln w="19050">
              <a:solidFill>
                <a:srgbClr val="F8A124"/>
              </a:solidFill>
              <a:prstDash val="solid"/>
            </a:ln>
          </c:spPr>
          <c:marker>
            <c:symbol val="none"/>
          </c:marker>
          <c:cat>
            <c:strRef>
              <c:f>'4-Sektor účty-investice'!$G$44:$S$44</c:f>
              <c:strCache>
                <c:ptCount val="13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</c:strCache>
            </c:strRef>
          </c:cat>
          <c:val>
            <c:numRef>
              <c:f>'4-Sektor účty-investice'!$G$48:$S$48</c:f>
              <c:numCache>
                <c:formatCode>#,##0.00</c:formatCode>
                <c:ptCount val="13"/>
                <c:pt idx="0">
                  <c:v>27.74</c:v>
                </c:pt>
                <c:pt idx="1">
                  <c:v>26.150000000000031</c:v>
                </c:pt>
                <c:pt idx="2">
                  <c:v>25.35</c:v>
                </c:pt>
                <c:pt idx="3">
                  <c:v>25.759999999999987</c:v>
                </c:pt>
                <c:pt idx="4">
                  <c:v>25.97</c:v>
                </c:pt>
                <c:pt idx="5">
                  <c:v>24.7</c:v>
                </c:pt>
                <c:pt idx="6">
                  <c:v>23.19</c:v>
                </c:pt>
                <c:pt idx="7">
                  <c:v>24.779999999999987</c:v>
                </c:pt>
                <c:pt idx="8">
                  <c:v>25.3</c:v>
                </c:pt>
                <c:pt idx="9">
                  <c:v>25.830000000000005</c:v>
                </c:pt>
                <c:pt idx="10">
                  <c:v>25.310000000000031</c:v>
                </c:pt>
                <c:pt idx="11">
                  <c:v>25.130000000000031</c:v>
                </c:pt>
                <c:pt idx="12">
                  <c:v>26.02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EA9A-4BDF-99F3-9C8030C10036}"/>
            </c:ext>
          </c:extLst>
        </c:ser>
        <c:ser>
          <c:idx val="4"/>
          <c:order val="4"/>
          <c:tx>
            <c:strRef>
              <c:f>'4-Sektor účty-investice'!$A$49</c:f>
              <c:strCache>
                <c:ptCount val="1"/>
                <c:pt idx="0">
                  <c:v>Polsko</c:v>
                </c:pt>
              </c:strCache>
            </c:strRef>
          </c:tx>
          <c:spPr>
            <a:ln w="19050">
              <a:solidFill>
                <a:srgbClr val="7030A0"/>
              </a:solidFill>
              <a:prstDash val="solid"/>
            </a:ln>
          </c:spPr>
          <c:marker>
            <c:symbol val="none"/>
          </c:marker>
          <c:cat>
            <c:strRef>
              <c:f>'4-Sektor účty-investice'!$G$44:$S$44</c:f>
              <c:strCache>
                <c:ptCount val="13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</c:strCache>
            </c:strRef>
          </c:cat>
          <c:val>
            <c:numRef>
              <c:f>'4-Sektor účty-investice'!$G$49:$S$49</c:f>
              <c:numCache>
                <c:formatCode>#,##0.00</c:formatCode>
                <c:ptCount val="13"/>
                <c:pt idx="0">
                  <c:v>23.29</c:v>
                </c:pt>
                <c:pt idx="1">
                  <c:v>23.24</c:v>
                </c:pt>
                <c:pt idx="2">
                  <c:v>24.89</c:v>
                </c:pt>
                <c:pt idx="3">
                  <c:v>27.610000000000031</c:v>
                </c:pt>
                <c:pt idx="4">
                  <c:v>27.68</c:v>
                </c:pt>
                <c:pt idx="5">
                  <c:v>23.87</c:v>
                </c:pt>
                <c:pt idx="6">
                  <c:v>21.16</c:v>
                </c:pt>
                <c:pt idx="7">
                  <c:v>21.830000000000005</c:v>
                </c:pt>
                <c:pt idx="8">
                  <c:v>21.630000000000031</c:v>
                </c:pt>
                <c:pt idx="9">
                  <c:v>21.54</c:v>
                </c:pt>
                <c:pt idx="10">
                  <c:v>22.1</c:v>
                </c:pt>
                <c:pt idx="11">
                  <c:v>23.06</c:v>
                </c:pt>
                <c:pt idx="12">
                  <c:v>21.59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EA9A-4BDF-99F3-9C8030C10036}"/>
            </c:ext>
          </c:extLst>
        </c:ser>
        <c:ser>
          <c:idx val="5"/>
          <c:order val="5"/>
          <c:tx>
            <c:strRef>
              <c:f>'4-Sektor účty-investice'!$A$50</c:f>
              <c:strCache>
                <c:ptCount val="1"/>
                <c:pt idx="0">
                  <c:v>Slovensko</c:v>
                </c:pt>
              </c:strCache>
            </c:strRef>
          </c:tx>
          <c:spPr>
            <a:ln w="19050">
              <a:solidFill>
                <a:srgbClr val="0071BC"/>
              </a:solidFill>
              <a:prstDash val="solid"/>
            </a:ln>
          </c:spPr>
          <c:marker>
            <c:symbol val="none"/>
          </c:marker>
          <c:cat>
            <c:strRef>
              <c:f>'4-Sektor účty-investice'!$G$44:$S$44</c:f>
              <c:strCache>
                <c:ptCount val="13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</c:strCache>
            </c:strRef>
          </c:cat>
          <c:val>
            <c:numRef>
              <c:f>'4-Sektor účty-investice'!$G$50:$S$50</c:f>
              <c:numCache>
                <c:formatCode>#,##0.00</c:formatCode>
                <c:ptCount val="13"/>
                <c:pt idx="0">
                  <c:v>36.47</c:v>
                </c:pt>
                <c:pt idx="1">
                  <c:v>40.75</c:v>
                </c:pt>
                <c:pt idx="2">
                  <c:v>37.800000000000004</c:v>
                </c:pt>
                <c:pt idx="3">
                  <c:v>37.97</c:v>
                </c:pt>
                <c:pt idx="4">
                  <c:v>35.550000000000004</c:v>
                </c:pt>
                <c:pt idx="5">
                  <c:v>27.759999999999987</c:v>
                </c:pt>
                <c:pt idx="6">
                  <c:v>29.45</c:v>
                </c:pt>
                <c:pt idx="7">
                  <c:v>32.760000000000012</c:v>
                </c:pt>
                <c:pt idx="8">
                  <c:v>27.7</c:v>
                </c:pt>
                <c:pt idx="9">
                  <c:v>27.279999999999987</c:v>
                </c:pt>
                <c:pt idx="10">
                  <c:v>26.37</c:v>
                </c:pt>
                <c:pt idx="11">
                  <c:v>27.91</c:v>
                </c:pt>
                <c:pt idx="12">
                  <c:v>27.939999999999987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EA9A-4BDF-99F3-9C8030C10036}"/>
            </c:ext>
          </c:extLst>
        </c:ser>
        <c:ser>
          <c:idx val="7"/>
          <c:order val="6"/>
          <c:tx>
            <c:strRef>
              <c:f>'4-Sektor účty-investice'!$A$51</c:f>
              <c:strCache>
                <c:ptCount val="1"/>
                <c:pt idx="0">
                  <c:v>Rumunsko</c:v>
                </c:pt>
              </c:strCache>
            </c:strRef>
          </c:tx>
          <c:spPr>
            <a:ln w="19050">
              <a:solidFill>
                <a:srgbClr val="80BB2D"/>
              </a:solidFill>
              <a:prstDash val="solid"/>
            </a:ln>
          </c:spPr>
          <c:marker>
            <c:symbol val="none"/>
          </c:marker>
          <c:cat>
            <c:strRef>
              <c:f>'4-Sektor účty-investice'!$G$44:$S$44</c:f>
              <c:strCache>
                <c:ptCount val="13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</c:strCache>
            </c:strRef>
          </c:cat>
          <c:val>
            <c:numRef>
              <c:f>'4-Sektor účty-investice'!$G$51:$S$51</c:f>
              <c:numCache>
                <c:formatCode>#,##0.00</c:formatCode>
                <c:ptCount val="13"/>
                <c:pt idx="0">
                  <c:v>34.520000000000003</c:v>
                </c:pt>
                <c:pt idx="1">
                  <c:v>36.65</c:v>
                </c:pt>
                <c:pt idx="2">
                  <c:v>37.61</c:v>
                </c:pt>
                <c:pt idx="3">
                  <c:v>41.08</c:v>
                </c:pt>
                <c:pt idx="4">
                  <c:v>44.78</c:v>
                </c:pt>
                <c:pt idx="5">
                  <c:v>31.97</c:v>
                </c:pt>
                <c:pt idx="6">
                  <c:v>25.66</c:v>
                </c:pt>
                <c:pt idx="7">
                  <c:v>31.610000000000031</c:v>
                </c:pt>
                <c:pt idx="8">
                  <c:v>32.14</c:v>
                </c:pt>
                <c:pt idx="9">
                  <c:v>29.04</c:v>
                </c:pt>
                <c:pt idx="10">
                  <c:v>27.23</c:v>
                </c:pt>
                <c:pt idx="11">
                  <c:v>26.72</c:v>
                </c:pt>
                <c:pt idx="12">
                  <c:v>25.36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EA9A-4BDF-99F3-9C8030C10036}"/>
            </c:ext>
          </c:extLst>
        </c:ser>
        <c:marker val="1"/>
        <c:axId val="118446336"/>
        <c:axId val="118468608"/>
      </c:lineChart>
      <c:catAx>
        <c:axId val="118446336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cs-CZ"/>
          </a:p>
        </c:txPr>
        <c:crossAx val="118468608"/>
        <c:crosses val="autoZero"/>
        <c:auto val="1"/>
        <c:lblAlgn val="ctr"/>
        <c:lblOffset val="20"/>
      </c:catAx>
      <c:valAx>
        <c:axId val="118468608"/>
        <c:scaling>
          <c:orientation val="minMax"/>
        </c:scaling>
        <c:axPos val="l"/>
        <c:majorGridlines>
          <c:spPr>
            <a:ln w="9525">
              <a:solidFill>
                <a:srgbClr val="BFBFBF"/>
              </a:solidFill>
            </a:ln>
          </c:spPr>
        </c:majorGridlines>
        <c:numFmt formatCode="0" sourceLinked="0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cs-CZ"/>
          </a:p>
        </c:txPr>
        <c:crossAx val="118446336"/>
        <c:crosses val="autoZero"/>
        <c:crossBetween val="between"/>
      </c:valAx>
      <c:spPr>
        <a:ln>
          <a:solidFill>
            <a:sysClr val="windowText" lastClr="000000">
              <a:lumMod val="95000"/>
              <a:lumOff val="5000"/>
            </a:sysClr>
          </a:solidFill>
        </a:ln>
      </c:spPr>
    </c:plotArea>
    <c:legend>
      <c:legendPos val="r"/>
      <c:layout>
        <c:manualLayout>
          <c:xMode val="edge"/>
          <c:yMode val="edge"/>
          <c:x val="4.9965831362338904E-2"/>
          <c:y val="0.80989824132945964"/>
          <c:w val="0.93865122230052689"/>
          <c:h val="0.17940657150476524"/>
        </c:manualLayout>
      </c:layout>
      <c:spPr>
        <a:ln>
          <a:solidFill>
            <a:schemeClr val="tx1">
              <a:lumMod val="95000"/>
              <a:lumOff val="5000"/>
            </a:schemeClr>
          </a:solidFill>
        </a:ln>
      </c:spPr>
      <c:txPr>
        <a:bodyPr/>
        <a:lstStyle/>
        <a:p>
          <a:pPr>
            <a:defRPr sz="800">
              <a:latin typeface="Arial" pitchFamily="34" charset="0"/>
              <a:cs typeface="Arial" pitchFamily="34" charset="0"/>
            </a:defRPr>
          </a:pPr>
          <a:endParaRPr lang="cs-CZ"/>
        </a:p>
      </c:txPr>
    </c:legend>
    <c:plotVisOnly val="1"/>
    <c:dispBlanksAs val="gap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plotArea>
      <c:layout>
        <c:manualLayout>
          <c:layoutTarget val="inner"/>
          <c:xMode val="edge"/>
          <c:yMode val="edge"/>
          <c:x val="0.10608838874897725"/>
          <c:y val="2.1390374331550797E-2"/>
          <c:w val="0.87783863049508737"/>
          <c:h val="0.72503880865159975"/>
        </c:manualLayout>
      </c:layout>
      <c:lineChart>
        <c:grouping val="standard"/>
        <c:ser>
          <c:idx val="0"/>
          <c:order val="0"/>
          <c:tx>
            <c:strRef>
              <c:f>'5-Sektor-nef. podn-úvěry'!$AB$5</c:f>
              <c:strCache>
                <c:ptCount val="1"/>
                <c:pt idx="0">
                  <c:v>Klientské úvěry nefinančním podnikům celkem (y/y, v %)</c:v>
                </c:pt>
              </c:strCache>
            </c:strRef>
          </c:tx>
          <c:spPr>
            <a:ln w="22225">
              <a:solidFill>
                <a:schemeClr val="tx1">
                  <a:lumMod val="95000"/>
                  <a:lumOff val="5000"/>
                </a:schemeClr>
              </a:solidFill>
            </a:ln>
          </c:spPr>
          <c:marker>
            <c:symbol val="none"/>
          </c:marker>
          <c:cat>
            <c:multiLvlStrRef>
              <c:f>'5-Sektor-nef. podn-úvěry'!$Z$6:$AA$137</c:f>
              <c:multiLvlStrCache>
                <c:ptCount val="129"/>
                <c:lvl>
                  <c:pt idx="0">
                    <c:v>1</c:v>
                  </c:pt>
                  <c:pt idx="4">
                    <c:v>5</c:v>
                  </c:pt>
                  <c:pt idx="8">
                    <c:v>9</c:v>
                  </c:pt>
                  <c:pt idx="12">
                    <c:v>1</c:v>
                  </c:pt>
                  <c:pt idx="16">
                    <c:v>5</c:v>
                  </c:pt>
                  <c:pt idx="20">
                    <c:v>9</c:v>
                  </c:pt>
                  <c:pt idx="24">
                    <c:v>1</c:v>
                  </c:pt>
                  <c:pt idx="28">
                    <c:v>5</c:v>
                  </c:pt>
                  <c:pt idx="32">
                    <c:v>9</c:v>
                  </c:pt>
                  <c:pt idx="36">
                    <c:v>1</c:v>
                  </c:pt>
                  <c:pt idx="40">
                    <c:v>5</c:v>
                  </c:pt>
                  <c:pt idx="44">
                    <c:v>9</c:v>
                  </c:pt>
                  <c:pt idx="48">
                    <c:v>1</c:v>
                  </c:pt>
                  <c:pt idx="52">
                    <c:v>5</c:v>
                  </c:pt>
                  <c:pt idx="56">
                    <c:v>9</c:v>
                  </c:pt>
                  <c:pt idx="60">
                    <c:v>1</c:v>
                  </c:pt>
                  <c:pt idx="64">
                    <c:v>5</c:v>
                  </c:pt>
                  <c:pt idx="68">
                    <c:v>9</c:v>
                  </c:pt>
                  <c:pt idx="72">
                    <c:v>1</c:v>
                  </c:pt>
                  <c:pt idx="76">
                    <c:v>5</c:v>
                  </c:pt>
                  <c:pt idx="80">
                    <c:v>9</c:v>
                  </c:pt>
                  <c:pt idx="84">
                    <c:v>1</c:v>
                  </c:pt>
                  <c:pt idx="88">
                    <c:v>5</c:v>
                  </c:pt>
                  <c:pt idx="92">
                    <c:v>9</c:v>
                  </c:pt>
                  <c:pt idx="96">
                    <c:v>1</c:v>
                  </c:pt>
                  <c:pt idx="100">
                    <c:v>5</c:v>
                  </c:pt>
                  <c:pt idx="104">
                    <c:v>9</c:v>
                  </c:pt>
                  <c:pt idx="108">
                    <c:v>1</c:v>
                  </c:pt>
                  <c:pt idx="112">
                    <c:v>5</c:v>
                  </c:pt>
                  <c:pt idx="116">
                    <c:v>9</c:v>
                  </c:pt>
                  <c:pt idx="120">
                    <c:v>1</c:v>
                  </c:pt>
                  <c:pt idx="124">
                    <c:v>5</c:v>
                  </c:pt>
                  <c:pt idx="128">
                    <c:v>9</c:v>
                  </c:pt>
                </c:lvl>
                <c:lvl>
                  <c:pt idx="0">
                    <c:v>2008</c:v>
                  </c:pt>
                  <c:pt idx="12">
                    <c:v>2009</c:v>
                  </c:pt>
                  <c:pt idx="24">
                    <c:v>2010</c:v>
                  </c:pt>
                  <c:pt idx="36">
                    <c:v>2011</c:v>
                  </c:pt>
                  <c:pt idx="48">
                    <c:v>2012</c:v>
                  </c:pt>
                  <c:pt idx="60">
                    <c:v>2013</c:v>
                  </c:pt>
                  <c:pt idx="72">
                    <c:v>2014</c:v>
                  </c:pt>
                  <c:pt idx="84">
                    <c:v>2015</c:v>
                  </c:pt>
                  <c:pt idx="96">
                    <c:v>2016</c:v>
                  </c:pt>
                  <c:pt idx="108">
                    <c:v>2017</c:v>
                  </c:pt>
                  <c:pt idx="120">
                    <c:v>2018</c:v>
                  </c:pt>
                </c:lvl>
              </c:multiLvlStrCache>
            </c:multiLvlStrRef>
          </c:cat>
          <c:val>
            <c:numRef>
              <c:f>'5-Sektor-nef. podn-úvěry'!$AB$6:$AB$137</c:f>
              <c:numCache>
                <c:formatCode>0.0</c:formatCode>
                <c:ptCount val="132"/>
                <c:pt idx="0">
                  <c:v>16.442496165672289</c:v>
                </c:pt>
                <c:pt idx="1">
                  <c:v>16.67307612994999</c:v>
                </c:pt>
                <c:pt idx="2">
                  <c:v>16.540607122939829</c:v>
                </c:pt>
                <c:pt idx="3">
                  <c:v>16.079863277964179</c:v>
                </c:pt>
                <c:pt idx="4">
                  <c:v>16.306179607415046</c:v>
                </c:pt>
                <c:pt idx="5">
                  <c:v>15.523992309238508</c:v>
                </c:pt>
                <c:pt idx="6">
                  <c:v>13.963941251569734</c:v>
                </c:pt>
                <c:pt idx="7">
                  <c:v>13.84590013961116</c:v>
                </c:pt>
                <c:pt idx="8">
                  <c:v>14.342194396868257</c:v>
                </c:pt>
                <c:pt idx="9">
                  <c:v>15.233431182923397</c:v>
                </c:pt>
                <c:pt idx="10">
                  <c:v>15.562951921750448</c:v>
                </c:pt>
                <c:pt idx="11">
                  <c:v>14.082757136323357</c:v>
                </c:pt>
                <c:pt idx="12">
                  <c:v>13.652450828420719</c:v>
                </c:pt>
                <c:pt idx="13">
                  <c:v>12.4425981224287</c:v>
                </c:pt>
                <c:pt idx="14">
                  <c:v>9.5117362438631048</c:v>
                </c:pt>
                <c:pt idx="15">
                  <c:v>6.3508949958355458</c:v>
                </c:pt>
                <c:pt idx="16">
                  <c:v>3.7725426672167544</c:v>
                </c:pt>
                <c:pt idx="17">
                  <c:v>1.2746259251352261</c:v>
                </c:pt>
                <c:pt idx="18">
                  <c:v>0.29449198330830689</c:v>
                </c:pt>
                <c:pt idx="19">
                  <c:v>-1.8342001571820106</c:v>
                </c:pt>
                <c:pt idx="20">
                  <c:v>-4.7211958704195665</c:v>
                </c:pt>
                <c:pt idx="21">
                  <c:v>-5.8812635595394482</c:v>
                </c:pt>
                <c:pt idx="22">
                  <c:v>-7.0959308507602339</c:v>
                </c:pt>
                <c:pt idx="23">
                  <c:v>-7.7687012038179946</c:v>
                </c:pt>
                <c:pt idx="24">
                  <c:v>-7.6654904744944865</c:v>
                </c:pt>
                <c:pt idx="25">
                  <c:v>-7.6864427520000804</c:v>
                </c:pt>
                <c:pt idx="26">
                  <c:v>-7.0984230980361804</c:v>
                </c:pt>
                <c:pt idx="27">
                  <c:v>-7.3611445117315055</c:v>
                </c:pt>
                <c:pt idx="28">
                  <c:v>-6.4475039005946924</c:v>
                </c:pt>
                <c:pt idx="29">
                  <c:v>-5.6762330489077186</c:v>
                </c:pt>
                <c:pt idx="30">
                  <c:v>-4.6642201857598904</c:v>
                </c:pt>
                <c:pt idx="31">
                  <c:v>-3.6842239817954412</c:v>
                </c:pt>
                <c:pt idx="32">
                  <c:v>-3.3338030181673401</c:v>
                </c:pt>
                <c:pt idx="33">
                  <c:v>-2.2297299150858132</c:v>
                </c:pt>
                <c:pt idx="34">
                  <c:v>-1.0995435951385133</c:v>
                </c:pt>
                <c:pt idx="35">
                  <c:v>-0.22501085102044271</c:v>
                </c:pt>
                <c:pt idx="36">
                  <c:v>0.50967148387792349</c:v>
                </c:pt>
                <c:pt idx="37">
                  <c:v>1.4999685795771278</c:v>
                </c:pt>
                <c:pt idx="38">
                  <c:v>2.2490280255224802</c:v>
                </c:pt>
                <c:pt idx="39">
                  <c:v>5.3931865091606745</c:v>
                </c:pt>
                <c:pt idx="40">
                  <c:v>5.6532238599180289</c:v>
                </c:pt>
                <c:pt idx="41">
                  <c:v>5.4232937854628531</c:v>
                </c:pt>
                <c:pt idx="42">
                  <c:v>6.2976429509488838</c:v>
                </c:pt>
                <c:pt idx="43">
                  <c:v>5.5203290960219107</c:v>
                </c:pt>
                <c:pt idx="44">
                  <c:v>6.4114675658127034</c:v>
                </c:pt>
                <c:pt idx="45">
                  <c:v>6.4382123785680294</c:v>
                </c:pt>
                <c:pt idx="46">
                  <c:v>6.5650233173152355</c:v>
                </c:pt>
                <c:pt idx="47">
                  <c:v>6.1030887677154739</c:v>
                </c:pt>
                <c:pt idx="48">
                  <c:v>5.8446021805605834</c:v>
                </c:pt>
                <c:pt idx="49">
                  <c:v>5.5634996158659362</c:v>
                </c:pt>
                <c:pt idx="50">
                  <c:v>5.1376493359477564</c:v>
                </c:pt>
                <c:pt idx="51">
                  <c:v>3.6508056562632727</c:v>
                </c:pt>
                <c:pt idx="52">
                  <c:v>3.9435281777768982</c:v>
                </c:pt>
                <c:pt idx="53">
                  <c:v>3.5770864220429246</c:v>
                </c:pt>
                <c:pt idx="54">
                  <c:v>3.088390135297375</c:v>
                </c:pt>
                <c:pt idx="55">
                  <c:v>2.5411380159263612</c:v>
                </c:pt>
                <c:pt idx="56">
                  <c:v>2.2676337873413748</c:v>
                </c:pt>
                <c:pt idx="57">
                  <c:v>0.47632182541784529</c:v>
                </c:pt>
                <c:pt idx="58">
                  <c:v>0.12365359010524912</c:v>
                </c:pt>
                <c:pt idx="59">
                  <c:v>0.88385486704076754</c:v>
                </c:pt>
                <c:pt idx="60">
                  <c:v>2.00485329422267</c:v>
                </c:pt>
                <c:pt idx="61">
                  <c:v>2.0837988391289883</c:v>
                </c:pt>
                <c:pt idx="62">
                  <c:v>2.6492224473234813</c:v>
                </c:pt>
                <c:pt idx="63">
                  <c:v>1.4566725955156699</c:v>
                </c:pt>
                <c:pt idx="64">
                  <c:v>-0.69472904591432894</c:v>
                </c:pt>
                <c:pt idx="65">
                  <c:v>0.14886483863232242</c:v>
                </c:pt>
                <c:pt idx="66">
                  <c:v>-0.84555600048584267</c:v>
                </c:pt>
                <c:pt idx="67">
                  <c:v>0.54248772689247449</c:v>
                </c:pt>
                <c:pt idx="68">
                  <c:v>0.70248292112380251</c:v>
                </c:pt>
                <c:pt idx="69">
                  <c:v>1.5543857933519831</c:v>
                </c:pt>
                <c:pt idx="70">
                  <c:v>3.9906488120227777</c:v>
                </c:pt>
                <c:pt idx="71">
                  <c:v>3.8028747148131137</c:v>
                </c:pt>
                <c:pt idx="72">
                  <c:v>2.6617386457154617</c:v>
                </c:pt>
                <c:pt idx="73">
                  <c:v>1.5481505727698845</c:v>
                </c:pt>
                <c:pt idx="74">
                  <c:v>0.55426346561351669</c:v>
                </c:pt>
                <c:pt idx="75">
                  <c:v>1.8083726621550937</c:v>
                </c:pt>
                <c:pt idx="76">
                  <c:v>2.9646806983957958</c:v>
                </c:pt>
                <c:pt idx="77">
                  <c:v>2.8494553282885127</c:v>
                </c:pt>
                <c:pt idx="78">
                  <c:v>2.0001323046111592</c:v>
                </c:pt>
                <c:pt idx="79">
                  <c:v>0.95424838149563129</c:v>
                </c:pt>
                <c:pt idx="80">
                  <c:v>0.18220456587496894</c:v>
                </c:pt>
                <c:pt idx="81">
                  <c:v>1.5031275720841177</c:v>
                </c:pt>
                <c:pt idx="82">
                  <c:v>-0.71079844504200262</c:v>
                </c:pt>
                <c:pt idx="83">
                  <c:v>0.86704419059635995</c:v>
                </c:pt>
                <c:pt idx="84">
                  <c:v>0.76530079948895491</c:v>
                </c:pt>
                <c:pt idx="85">
                  <c:v>2.1733692644034392</c:v>
                </c:pt>
                <c:pt idx="86">
                  <c:v>2.9045020468612002</c:v>
                </c:pt>
                <c:pt idx="87">
                  <c:v>3.4901072843260592</c:v>
                </c:pt>
                <c:pt idx="88">
                  <c:v>4.8157307633670285</c:v>
                </c:pt>
                <c:pt idx="89">
                  <c:v>4.7676959490357245</c:v>
                </c:pt>
                <c:pt idx="90">
                  <c:v>7.4175607016924801</c:v>
                </c:pt>
                <c:pt idx="91">
                  <c:v>10.02076952235965</c:v>
                </c:pt>
                <c:pt idx="92">
                  <c:v>10.791995325977695</c:v>
                </c:pt>
                <c:pt idx="93">
                  <c:v>9.5289720979861219</c:v>
                </c:pt>
                <c:pt idx="94">
                  <c:v>8.7581413286795389</c:v>
                </c:pt>
                <c:pt idx="95">
                  <c:v>5.2864541650469885</c:v>
                </c:pt>
                <c:pt idx="96">
                  <c:v>6.2857247532561473</c:v>
                </c:pt>
                <c:pt idx="97">
                  <c:v>5.8154933748081294</c:v>
                </c:pt>
                <c:pt idx="98">
                  <c:v>8.5297220548762738</c:v>
                </c:pt>
                <c:pt idx="99">
                  <c:v>8.2931999364527229</c:v>
                </c:pt>
                <c:pt idx="100">
                  <c:v>6.8898779155146448</c:v>
                </c:pt>
                <c:pt idx="101">
                  <c:v>6.6540498059641804</c:v>
                </c:pt>
                <c:pt idx="102">
                  <c:v>7.338862873070056</c:v>
                </c:pt>
                <c:pt idx="103">
                  <c:v>5.1308896280441587</c:v>
                </c:pt>
                <c:pt idx="104">
                  <c:v>5.9131605271810059</c:v>
                </c:pt>
                <c:pt idx="105">
                  <c:v>6.0978180846423129</c:v>
                </c:pt>
                <c:pt idx="106">
                  <c:v>6.7846256283677056</c:v>
                </c:pt>
                <c:pt idx="107">
                  <c:v>5.9414365426808624</c:v>
                </c:pt>
                <c:pt idx="108">
                  <c:v>5.2220562132695365</c:v>
                </c:pt>
                <c:pt idx="109">
                  <c:v>5.9484185310608684</c:v>
                </c:pt>
                <c:pt idx="110">
                  <c:v>4.7197124127546699</c:v>
                </c:pt>
                <c:pt idx="111">
                  <c:v>6.0288676168249955</c:v>
                </c:pt>
                <c:pt idx="112">
                  <c:v>7.1295425377703845</c:v>
                </c:pt>
                <c:pt idx="113">
                  <c:v>5.7703903896137776</c:v>
                </c:pt>
                <c:pt idx="114">
                  <c:v>5.0313029238100961</c:v>
                </c:pt>
                <c:pt idx="115">
                  <c:v>5.4692899664564845</c:v>
                </c:pt>
                <c:pt idx="116">
                  <c:v>4.3644366857659884</c:v>
                </c:pt>
                <c:pt idx="117">
                  <c:v>2.4799911355999313</c:v>
                </c:pt>
                <c:pt idx="118">
                  <c:v>1.62852286220894</c:v>
                </c:pt>
                <c:pt idx="119">
                  <c:v>4.7508484664668771</c:v>
                </c:pt>
                <c:pt idx="120">
                  <c:v>3.6618185676755401</c:v>
                </c:pt>
                <c:pt idx="121">
                  <c:v>4.0241127386282107</c:v>
                </c:pt>
                <c:pt idx="122">
                  <c:v>2.5146249534500953</c:v>
                </c:pt>
                <c:pt idx="123">
                  <c:v>1.6128317824752398</c:v>
                </c:pt>
                <c:pt idx="124">
                  <c:v>1.6349324704967592</c:v>
                </c:pt>
                <c:pt idx="125">
                  <c:v>4.1608493072521364</c:v>
                </c:pt>
                <c:pt idx="126">
                  <c:v>4.3427969895394885</c:v>
                </c:pt>
                <c:pt idx="127">
                  <c:v>4.4934150077158677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9FA-43ED-9640-2DCB6756FBF8}"/>
            </c:ext>
          </c:extLst>
        </c:ser>
        <c:ser>
          <c:idx val="1"/>
          <c:order val="1"/>
          <c:tx>
            <c:strRef>
              <c:f>'5-Sektor-nef. podn-úvěry'!$AC$5</c:f>
              <c:strCache>
                <c:ptCount val="1"/>
                <c:pt idx="0">
                  <c:v>Krátkodobé úvěry nefinančním podnikům (y/y, %)</c:v>
                </c:pt>
              </c:strCache>
            </c:strRef>
          </c:tx>
          <c:spPr>
            <a:ln w="22225">
              <a:solidFill>
                <a:srgbClr val="48AEE7"/>
              </a:solidFill>
            </a:ln>
          </c:spPr>
          <c:marker>
            <c:symbol val="none"/>
          </c:marker>
          <c:cat>
            <c:multiLvlStrRef>
              <c:f>'5-Sektor-nef. podn-úvěry'!$Z$6:$AA$137</c:f>
              <c:multiLvlStrCache>
                <c:ptCount val="129"/>
                <c:lvl>
                  <c:pt idx="0">
                    <c:v>1</c:v>
                  </c:pt>
                  <c:pt idx="4">
                    <c:v>5</c:v>
                  </c:pt>
                  <c:pt idx="8">
                    <c:v>9</c:v>
                  </c:pt>
                  <c:pt idx="12">
                    <c:v>1</c:v>
                  </c:pt>
                  <c:pt idx="16">
                    <c:v>5</c:v>
                  </c:pt>
                  <c:pt idx="20">
                    <c:v>9</c:v>
                  </c:pt>
                  <c:pt idx="24">
                    <c:v>1</c:v>
                  </c:pt>
                  <c:pt idx="28">
                    <c:v>5</c:v>
                  </c:pt>
                  <c:pt idx="32">
                    <c:v>9</c:v>
                  </c:pt>
                  <c:pt idx="36">
                    <c:v>1</c:v>
                  </c:pt>
                  <c:pt idx="40">
                    <c:v>5</c:v>
                  </c:pt>
                  <c:pt idx="44">
                    <c:v>9</c:v>
                  </c:pt>
                  <c:pt idx="48">
                    <c:v>1</c:v>
                  </c:pt>
                  <c:pt idx="52">
                    <c:v>5</c:v>
                  </c:pt>
                  <c:pt idx="56">
                    <c:v>9</c:v>
                  </c:pt>
                  <c:pt idx="60">
                    <c:v>1</c:v>
                  </c:pt>
                  <c:pt idx="64">
                    <c:v>5</c:v>
                  </c:pt>
                  <c:pt idx="68">
                    <c:v>9</c:v>
                  </c:pt>
                  <c:pt idx="72">
                    <c:v>1</c:v>
                  </c:pt>
                  <c:pt idx="76">
                    <c:v>5</c:v>
                  </c:pt>
                  <c:pt idx="80">
                    <c:v>9</c:v>
                  </c:pt>
                  <c:pt idx="84">
                    <c:v>1</c:v>
                  </c:pt>
                  <c:pt idx="88">
                    <c:v>5</c:v>
                  </c:pt>
                  <c:pt idx="92">
                    <c:v>9</c:v>
                  </c:pt>
                  <c:pt idx="96">
                    <c:v>1</c:v>
                  </c:pt>
                  <c:pt idx="100">
                    <c:v>5</c:v>
                  </c:pt>
                  <c:pt idx="104">
                    <c:v>9</c:v>
                  </c:pt>
                  <c:pt idx="108">
                    <c:v>1</c:v>
                  </c:pt>
                  <c:pt idx="112">
                    <c:v>5</c:v>
                  </c:pt>
                  <c:pt idx="116">
                    <c:v>9</c:v>
                  </c:pt>
                  <c:pt idx="120">
                    <c:v>1</c:v>
                  </c:pt>
                  <c:pt idx="124">
                    <c:v>5</c:v>
                  </c:pt>
                  <c:pt idx="128">
                    <c:v>9</c:v>
                  </c:pt>
                </c:lvl>
                <c:lvl>
                  <c:pt idx="0">
                    <c:v>2008</c:v>
                  </c:pt>
                  <c:pt idx="12">
                    <c:v>2009</c:v>
                  </c:pt>
                  <c:pt idx="24">
                    <c:v>2010</c:v>
                  </c:pt>
                  <c:pt idx="36">
                    <c:v>2011</c:v>
                  </c:pt>
                  <c:pt idx="48">
                    <c:v>2012</c:v>
                  </c:pt>
                  <c:pt idx="60">
                    <c:v>2013</c:v>
                  </c:pt>
                  <c:pt idx="72">
                    <c:v>2014</c:v>
                  </c:pt>
                  <c:pt idx="84">
                    <c:v>2015</c:v>
                  </c:pt>
                  <c:pt idx="96">
                    <c:v>2016</c:v>
                  </c:pt>
                  <c:pt idx="108">
                    <c:v>2017</c:v>
                  </c:pt>
                  <c:pt idx="120">
                    <c:v>2018</c:v>
                  </c:pt>
                </c:lvl>
              </c:multiLvlStrCache>
            </c:multiLvlStrRef>
          </c:cat>
          <c:val>
            <c:numRef>
              <c:f>'5-Sektor-nef. podn-úvěry'!$AC$6:$AC$137</c:f>
              <c:numCache>
                <c:formatCode>0.0</c:formatCode>
                <c:ptCount val="132"/>
                <c:pt idx="0">
                  <c:v>25.000916323063066</c:v>
                </c:pt>
                <c:pt idx="1">
                  <c:v>26.712979807453827</c:v>
                </c:pt>
                <c:pt idx="2">
                  <c:v>28.040917136623687</c:v>
                </c:pt>
                <c:pt idx="3">
                  <c:v>30.292510262008626</c:v>
                </c:pt>
                <c:pt idx="4">
                  <c:v>32.152542768080011</c:v>
                </c:pt>
                <c:pt idx="5">
                  <c:v>33.608335956292009</c:v>
                </c:pt>
                <c:pt idx="6">
                  <c:v>27.567374639876505</c:v>
                </c:pt>
                <c:pt idx="7">
                  <c:v>26.879559773577526</c:v>
                </c:pt>
                <c:pt idx="8">
                  <c:v>26.333182777595187</c:v>
                </c:pt>
                <c:pt idx="9">
                  <c:v>26.341955647032201</c:v>
                </c:pt>
                <c:pt idx="10">
                  <c:v>20.464529426811087</c:v>
                </c:pt>
                <c:pt idx="11">
                  <c:v>10.370444659884157</c:v>
                </c:pt>
                <c:pt idx="12">
                  <c:v>3.8266718749947377</c:v>
                </c:pt>
                <c:pt idx="13">
                  <c:v>0.56039914487877263</c:v>
                </c:pt>
                <c:pt idx="14">
                  <c:v>-2.8799246937307137</c:v>
                </c:pt>
                <c:pt idx="15">
                  <c:v>-8.9171566817928181</c:v>
                </c:pt>
                <c:pt idx="16">
                  <c:v>-12.920302402353798</c:v>
                </c:pt>
                <c:pt idx="17">
                  <c:v>-16.146126142528427</c:v>
                </c:pt>
                <c:pt idx="18">
                  <c:v>-17.269128146997176</c:v>
                </c:pt>
                <c:pt idx="19">
                  <c:v>-18.042940357825589</c:v>
                </c:pt>
                <c:pt idx="20">
                  <c:v>-22.750193506312112</c:v>
                </c:pt>
                <c:pt idx="21">
                  <c:v>-25.018339749811574</c:v>
                </c:pt>
                <c:pt idx="22">
                  <c:v>-24.598909359523777</c:v>
                </c:pt>
                <c:pt idx="23">
                  <c:v>-22.660667169242391</c:v>
                </c:pt>
                <c:pt idx="24">
                  <c:v>-15.375373874157546</c:v>
                </c:pt>
                <c:pt idx="25">
                  <c:v>-15.84912408739892</c:v>
                </c:pt>
                <c:pt idx="26">
                  <c:v>-15.20978060311468</c:v>
                </c:pt>
                <c:pt idx="27">
                  <c:v>-15.541826294907709</c:v>
                </c:pt>
                <c:pt idx="28">
                  <c:v>-14.254318701856649</c:v>
                </c:pt>
                <c:pt idx="29">
                  <c:v>-13.393836350506934</c:v>
                </c:pt>
                <c:pt idx="30">
                  <c:v>-9.306103580082862</c:v>
                </c:pt>
                <c:pt idx="31">
                  <c:v>-9.8344434292599505</c:v>
                </c:pt>
                <c:pt idx="32">
                  <c:v>-9.1295514406389682</c:v>
                </c:pt>
                <c:pt idx="33">
                  <c:v>-4.8989195753097246</c:v>
                </c:pt>
                <c:pt idx="34">
                  <c:v>-4.3126808807849386</c:v>
                </c:pt>
                <c:pt idx="35">
                  <c:v>-3.7610475059072286</c:v>
                </c:pt>
                <c:pt idx="36">
                  <c:v>-5.7647478970482755</c:v>
                </c:pt>
                <c:pt idx="37">
                  <c:v>-3.3788403518089325</c:v>
                </c:pt>
                <c:pt idx="38">
                  <c:v>-3.4199863124027985</c:v>
                </c:pt>
                <c:pt idx="39">
                  <c:v>3.737628821422831</c:v>
                </c:pt>
                <c:pt idx="40">
                  <c:v>4.2771417385037314</c:v>
                </c:pt>
                <c:pt idx="41">
                  <c:v>2.6106970135314498</c:v>
                </c:pt>
                <c:pt idx="42">
                  <c:v>4.6395227645090102</c:v>
                </c:pt>
                <c:pt idx="43">
                  <c:v>2.9584929563170448</c:v>
                </c:pt>
                <c:pt idx="44">
                  <c:v>5.5228083081123165</c:v>
                </c:pt>
                <c:pt idx="45">
                  <c:v>5.6186841348627752</c:v>
                </c:pt>
                <c:pt idx="46">
                  <c:v>4.6840627021368988</c:v>
                </c:pt>
                <c:pt idx="47">
                  <c:v>3.7093671385586759</c:v>
                </c:pt>
                <c:pt idx="48">
                  <c:v>5.9709815976891996</c:v>
                </c:pt>
                <c:pt idx="49">
                  <c:v>6.4816431282690941</c:v>
                </c:pt>
                <c:pt idx="50">
                  <c:v>7.6214244887102875</c:v>
                </c:pt>
                <c:pt idx="51">
                  <c:v>4.3671811940206595</c:v>
                </c:pt>
                <c:pt idx="52">
                  <c:v>3.9957866705007627</c:v>
                </c:pt>
                <c:pt idx="53">
                  <c:v>4.0900637541785594</c:v>
                </c:pt>
                <c:pt idx="54">
                  <c:v>3.2239600360180591</c:v>
                </c:pt>
                <c:pt idx="55">
                  <c:v>3.2690034389568008</c:v>
                </c:pt>
                <c:pt idx="56">
                  <c:v>3.6746207326555012</c:v>
                </c:pt>
                <c:pt idx="57">
                  <c:v>-0.54386088035725411</c:v>
                </c:pt>
                <c:pt idx="58">
                  <c:v>-0.41821063262334235</c:v>
                </c:pt>
                <c:pt idx="59">
                  <c:v>2.5317875544986066</c:v>
                </c:pt>
                <c:pt idx="60">
                  <c:v>0.26838661500983518</c:v>
                </c:pt>
                <c:pt idx="61">
                  <c:v>-0.83531711161882072</c:v>
                </c:pt>
                <c:pt idx="62">
                  <c:v>-0.68367297880396849</c:v>
                </c:pt>
                <c:pt idx="63">
                  <c:v>-1.5934147314195144</c:v>
                </c:pt>
                <c:pt idx="64">
                  <c:v>-2.8636605444200995</c:v>
                </c:pt>
                <c:pt idx="65">
                  <c:v>-2.0825053056265972</c:v>
                </c:pt>
                <c:pt idx="66">
                  <c:v>-5.5375595488786855</c:v>
                </c:pt>
                <c:pt idx="67">
                  <c:v>-4.3082882839383974</c:v>
                </c:pt>
                <c:pt idx="68">
                  <c:v>-4.4455079736917753</c:v>
                </c:pt>
                <c:pt idx="69">
                  <c:v>-2.0547533115005336</c:v>
                </c:pt>
                <c:pt idx="70">
                  <c:v>0.36026433040481731</c:v>
                </c:pt>
                <c:pt idx="71">
                  <c:v>-1.4234924969374327</c:v>
                </c:pt>
                <c:pt idx="72">
                  <c:v>-0.75523278554629758</c:v>
                </c:pt>
                <c:pt idx="73">
                  <c:v>-0.63766296886333851</c:v>
                </c:pt>
                <c:pt idx="74">
                  <c:v>-2.5137830905739542</c:v>
                </c:pt>
                <c:pt idx="75">
                  <c:v>-2.7271517539732755</c:v>
                </c:pt>
                <c:pt idx="76">
                  <c:v>-1.7408715535299206</c:v>
                </c:pt>
                <c:pt idx="77">
                  <c:v>-1.5580675795729564</c:v>
                </c:pt>
                <c:pt idx="78">
                  <c:v>-1.1038057358371698</c:v>
                </c:pt>
                <c:pt idx="79">
                  <c:v>-1.8372406961913719</c:v>
                </c:pt>
                <c:pt idx="80">
                  <c:v>-0.56872102603339536</c:v>
                </c:pt>
                <c:pt idx="81">
                  <c:v>-1.1597263826850426</c:v>
                </c:pt>
                <c:pt idx="82">
                  <c:v>-3.5009793494210402</c:v>
                </c:pt>
                <c:pt idx="83">
                  <c:v>-0.79543444783304551</c:v>
                </c:pt>
                <c:pt idx="84">
                  <c:v>-1.6418545923793118</c:v>
                </c:pt>
                <c:pt idx="85">
                  <c:v>-0.72719130273642962</c:v>
                </c:pt>
                <c:pt idx="86">
                  <c:v>-0.10338621871403575</c:v>
                </c:pt>
                <c:pt idx="87">
                  <c:v>1.8761670505031141</c:v>
                </c:pt>
                <c:pt idx="88">
                  <c:v>3.7683824614756212</c:v>
                </c:pt>
                <c:pt idx="89">
                  <c:v>3.4095081905994777</c:v>
                </c:pt>
                <c:pt idx="90">
                  <c:v>4.5400764781358545</c:v>
                </c:pt>
                <c:pt idx="91">
                  <c:v>4.6106039224493864</c:v>
                </c:pt>
                <c:pt idx="92">
                  <c:v>1.2846535191460691</c:v>
                </c:pt>
                <c:pt idx="93">
                  <c:v>0.79557290417868387</c:v>
                </c:pt>
                <c:pt idx="94">
                  <c:v>-1.2498908782693723</c:v>
                </c:pt>
                <c:pt idx="95">
                  <c:v>-8.4766237549752503</c:v>
                </c:pt>
                <c:pt idx="96">
                  <c:v>-5.7444194102759045</c:v>
                </c:pt>
                <c:pt idx="97">
                  <c:v>-7.8408138122208726</c:v>
                </c:pt>
                <c:pt idx="98">
                  <c:v>-4.8136190082670254</c:v>
                </c:pt>
                <c:pt idx="99">
                  <c:v>-5.3968379062558256</c:v>
                </c:pt>
                <c:pt idx="100">
                  <c:v>-7.0822791292242524</c:v>
                </c:pt>
                <c:pt idx="101">
                  <c:v>-7.4772739412624833</c:v>
                </c:pt>
                <c:pt idx="102">
                  <c:v>-5.3546138295410755</c:v>
                </c:pt>
                <c:pt idx="103">
                  <c:v>-5.1955464153194075</c:v>
                </c:pt>
                <c:pt idx="104">
                  <c:v>-3.2311354584598182</c:v>
                </c:pt>
                <c:pt idx="105">
                  <c:v>-1.5368729621114041</c:v>
                </c:pt>
                <c:pt idx="106">
                  <c:v>-1.8615113447043958</c:v>
                </c:pt>
                <c:pt idx="107">
                  <c:v>1.7374197198671548</c:v>
                </c:pt>
                <c:pt idx="108">
                  <c:v>-0.62855451198963408</c:v>
                </c:pt>
                <c:pt idx="109">
                  <c:v>0.17997413267447496</c:v>
                </c:pt>
                <c:pt idx="110">
                  <c:v>0.96279417974413661</c:v>
                </c:pt>
                <c:pt idx="111">
                  <c:v>2.6112964361119566</c:v>
                </c:pt>
                <c:pt idx="112">
                  <c:v>2.3844262770242182</c:v>
                </c:pt>
                <c:pt idx="113">
                  <c:v>2.5865314482771278</c:v>
                </c:pt>
                <c:pt idx="114">
                  <c:v>4.1070725836895425</c:v>
                </c:pt>
                <c:pt idx="115">
                  <c:v>3.9889467915833876</c:v>
                </c:pt>
                <c:pt idx="116">
                  <c:v>3.2180681164754077</c:v>
                </c:pt>
                <c:pt idx="117">
                  <c:v>2.6668001529165002</c:v>
                </c:pt>
                <c:pt idx="118">
                  <c:v>4.4956638992129534</c:v>
                </c:pt>
                <c:pt idx="119">
                  <c:v>7.3099908004773368</c:v>
                </c:pt>
                <c:pt idx="120">
                  <c:v>5.7898982026770414</c:v>
                </c:pt>
                <c:pt idx="121">
                  <c:v>4.2919483582906821</c:v>
                </c:pt>
                <c:pt idx="122">
                  <c:v>-0.22782614739438145</c:v>
                </c:pt>
                <c:pt idx="123">
                  <c:v>-1.8682859581793423</c:v>
                </c:pt>
                <c:pt idx="124">
                  <c:v>-6.7464921829214083E-2</c:v>
                </c:pt>
                <c:pt idx="125">
                  <c:v>0.84506260787200849</c:v>
                </c:pt>
                <c:pt idx="126">
                  <c:v>2.0786499553480543E-2</c:v>
                </c:pt>
                <c:pt idx="127">
                  <c:v>0.90066913751308375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9FA-43ED-9640-2DCB6756FBF8}"/>
            </c:ext>
          </c:extLst>
        </c:ser>
        <c:ser>
          <c:idx val="2"/>
          <c:order val="2"/>
          <c:tx>
            <c:strRef>
              <c:f>'5-Sektor-nef. podn-úvěry'!$AD$5</c:f>
              <c:strCache>
                <c:ptCount val="1"/>
                <c:pt idx="0">
                  <c:v>Dlouhodobé úvěry nefinančním podnikům (y/y, %)</c:v>
                </c:pt>
              </c:strCache>
            </c:strRef>
          </c:tx>
          <c:spPr>
            <a:ln w="22225">
              <a:solidFill>
                <a:schemeClr val="accent5">
                  <a:lumMod val="60000"/>
                  <a:lumOff val="40000"/>
                </a:schemeClr>
              </a:solidFill>
            </a:ln>
          </c:spPr>
          <c:marker>
            <c:symbol val="none"/>
          </c:marker>
          <c:cat>
            <c:multiLvlStrRef>
              <c:f>'5-Sektor-nef. podn-úvěry'!$Z$6:$AA$137</c:f>
              <c:multiLvlStrCache>
                <c:ptCount val="129"/>
                <c:lvl>
                  <c:pt idx="0">
                    <c:v>1</c:v>
                  </c:pt>
                  <c:pt idx="4">
                    <c:v>5</c:v>
                  </c:pt>
                  <c:pt idx="8">
                    <c:v>9</c:v>
                  </c:pt>
                  <c:pt idx="12">
                    <c:v>1</c:v>
                  </c:pt>
                  <c:pt idx="16">
                    <c:v>5</c:v>
                  </c:pt>
                  <c:pt idx="20">
                    <c:v>9</c:v>
                  </c:pt>
                  <c:pt idx="24">
                    <c:v>1</c:v>
                  </c:pt>
                  <c:pt idx="28">
                    <c:v>5</c:v>
                  </c:pt>
                  <c:pt idx="32">
                    <c:v>9</c:v>
                  </c:pt>
                  <c:pt idx="36">
                    <c:v>1</c:v>
                  </c:pt>
                  <c:pt idx="40">
                    <c:v>5</c:v>
                  </c:pt>
                  <c:pt idx="44">
                    <c:v>9</c:v>
                  </c:pt>
                  <c:pt idx="48">
                    <c:v>1</c:v>
                  </c:pt>
                  <c:pt idx="52">
                    <c:v>5</c:v>
                  </c:pt>
                  <c:pt idx="56">
                    <c:v>9</c:v>
                  </c:pt>
                  <c:pt idx="60">
                    <c:v>1</c:v>
                  </c:pt>
                  <c:pt idx="64">
                    <c:v>5</c:v>
                  </c:pt>
                  <c:pt idx="68">
                    <c:v>9</c:v>
                  </c:pt>
                  <c:pt idx="72">
                    <c:v>1</c:v>
                  </c:pt>
                  <c:pt idx="76">
                    <c:v>5</c:v>
                  </c:pt>
                  <c:pt idx="80">
                    <c:v>9</c:v>
                  </c:pt>
                  <c:pt idx="84">
                    <c:v>1</c:v>
                  </c:pt>
                  <c:pt idx="88">
                    <c:v>5</c:v>
                  </c:pt>
                  <c:pt idx="92">
                    <c:v>9</c:v>
                  </c:pt>
                  <c:pt idx="96">
                    <c:v>1</c:v>
                  </c:pt>
                  <c:pt idx="100">
                    <c:v>5</c:v>
                  </c:pt>
                  <c:pt idx="104">
                    <c:v>9</c:v>
                  </c:pt>
                  <c:pt idx="108">
                    <c:v>1</c:v>
                  </c:pt>
                  <c:pt idx="112">
                    <c:v>5</c:v>
                  </c:pt>
                  <c:pt idx="116">
                    <c:v>9</c:v>
                  </c:pt>
                  <c:pt idx="120">
                    <c:v>1</c:v>
                  </c:pt>
                  <c:pt idx="124">
                    <c:v>5</c:v>
                  </c:pt>
                  <c:pt idx="128">
                    <c:v>9</c:v>
                  </c:pt>
                </c:lvl>
                <c:lvl>
                  <c:pt idx="0">
                    <c:v>2008</c:v>
                  </c:pt>
                  <c:pt idx="12">
                    <c:v>2009</c:v>
                  </c:pt>
                  <c:pt idx="24">
                    <c:v>2010</c:v>
                  </c:pt>
                  <c:pt idx="36">
                    <c:v>2011</c:v>
                  </c:pt>
                  <c:pt idx="48">
                    <c:v>2012</c:v>
                  </c:pt>
                  <c:pt idx="60">
                    <c:v>2013</c:v>
                  </c:pt>
                  <c:pt idx="72">
                    <c:v>2014</c:v>
                  </c:pt>
                  <c:pt idx="84">
                    <c:v>2015</c:v>
                  </c:pt>
                  <c:pt idx="96">
                    <c:v>2016</c:v>
                  </c:pt>
                  <c:pt idx="108">
                    <c:v>2017</c:v>
                  </c:pt>
                  <c:pt idx="120">
                    <c:v>2018</c:v>
                  </c:pt>
                </c:lvl>
              </c:multiLvlStrCache>
            </c:multiLvlStrRef>
          </c:cat>
          <c:val>
            <c:numRef>
              <c:f>'5-Sektor-nef. podn-úvěry'!$AD$6:$AD$137</c:f>
              <c:numCache>
                <c:formatCode>0.0</c:formatCode>
                <c:ptCount val="132"/>
                <c:pt idx="0">
                  <c:v>16.701490991548269</c:v>
                </c:pt>
                <c:pt idx="1">
                  <c:v>16.05328378449639</c:v>
                </c:pt>
                <c:pt idx="2">
                  <c:v>15.175713359619509</c:v>
                </c:pt>
                <c:pt idx="3">
                  <c:v>14.779480291862555</c:v>
                </c:pt>
                <c:pt idx="4">
                  <c:v>15.556312790982602</c:v>
                </c:pt>
                <c:pt idx="5">
                  <c:v>12.406617438460406</c:v>
                </c:pt>
                <c:pt idx="6">
                  <c:v>14.566673677333327</c:v>
                </c:pt>
                <c:pt idx="7">
                  <c:v>12.621799781141819</c:v>
                </c:pt>
                <c:pt idx="8">
                  <c:v>13.117325231892448</c:v>
                </c:pt>
                <c:pt idx="9">
                  <c:v>14.453408111671024</c:v>
                </c:pt>
                <c:pt idx="10">
                  <c:v>14.95265100963417</c:v>
                </c:pt>
                <c:pt idx="11">
                  <c:v>20.680895286176806</c:v>
                </c:pt>
                <c:pt idx="12">
                  <c:v>21.460445981302701</c:v>
                </c:pt>
                <c:pt idx="13">
                  <c:v>21.813872051256237</c:v>
                </c:pt>
                <c:pt idx="14">
                  <c:v>19.364916035561219</c:v>
                </c:pt>
                <c:pt idx="15">
                  <c:v>16.62128257496607</c:v>
                </c:pt>
                <c:pt idx="16">
                  <c:v>15.375465600405114</c:v>
                </c:pt>
                <c:pt idx="17">
                  <c:v>15.138106175902163</c:v>
                </c:pt>
                <c:pt idx="18">
                  <c:v>13.866993983566434</c:v>
                </c:pt>
                <c:pt idx="19">
                  <c:v>12.748045972116948</c:v>
                </c:pt>
                <c:pt idx="20">
                  <c:v>11.558184690599974</c:v>
                </c:pt>
                <c:pt idx="21">
                  <c:v>10.869681064069306</c:v>
                </c:pt>
                <c:pt idx="22">
                  <c:v>8.7654153141111237</c:v>
                </c:pt>
                <c:pt idx="23">
                  <c:v>4.3594223558932184</c:v>
                </c:pt>
                <c:pt idx="24">
                  <c:v>1.3723636684117801</c:v>
                </c:pt>
                <c:pt idx="25">
                  <c:v>1.476905221688128</c:v>
                </c:pt>
                <c:pt idx="26">
                  <c:v>2.1804783069950582</c:v>
                </c:pt>
                <c:pt idx="27">
                  <c:v>3.8287766885141821</c:v>
                </c:pt>
                <c:pt idx="28">
                  <c:v>3.9222043535695827</c:v>
                </c:pt>
                <c:pt idx="29">
                  <c:v>5.3012838399558007</c:v>
                </c:pt>
                <c:pt idx="30">
                  <c:v>4.1875709812905475</c:v>
                </c:pt>
                <c:pt idx="31">
                  <c:v>6.0651154646295655</c:v>
                </c:pt>
                <c:pt idx="32">
                  <c:v>5.9898231905262822</c:v>
                </c:pt>
                <c:pt idx="33">
                  <c:v>6.6395703947932434</c:v>
                </c:pt>
                <c:pt idx="34">
                  <c:v>7.9871843704600245</c:v>
                </c:pt>
                <c:pt idx="35">
                  <c:v>8.6294168194874921</c:v>
                </c:pt>
                <c:pt idx="36">
                  <c:v>10.255020953768772</c:v>
                </c:pt>
                <c:pt idx="37">
                  <c:v>11.363137034828782</c:v>
                </c:pt>
                <c:pt idx="38">
                  <c:v>12.203461707299041</c:v>
                </c:pt>
                <c:pt idx="39">
                  <c:v>12.289103100702548</c:v>
                </c:pt>
                <c:pt idx="40">
                  <c:v>12.993664437646018</c:v>
                </c:pt>
                <c:pt idx="41">
                  <c:v>12.058177697620437</c:v>
                </c:pt>
                <c:pt idx="42">
                  <c:v>12.313849912230484</c:v>
                </c:pt>
                <c:pt idx="43">
                  <c:v>10.651027560592951</c:v>
                </c:pt>
                <c:pt idx="44">
                  <c:v>10.371839136465853</c:v>
                </c:pt>
                <c:pt idx="45">
                  <c:v>9.0115184902079637</c:v>
                </c:pt>
                <c:pt idx="46">
                  <c:v>8.7478741662491419</c:v>
                </c:pt>
                <c:pt idx="47">
                  <c:v>7.1071038067006356</c:v>
                </c:pt>
                <c:pt idx="48">
                  <c:v>6.1033161205086088</c:v>
                </c:pt>
                <c:pt idx="49">
                  <c:v>5.3867588110691154</c:v>
                </c:pt>
                <c:pt idx="50">
                  <c:v>4.1583279970024565</c:v>
                </c:pt>
                <c:pt idx="51">
                  <c:v>2.9350137521902013</c:v>
                </c:pt>
                <c:pt idx="52">
                  <c:v>3.2624918959225129</c:v>
                </c:pt>
                <c:pt idx="53">
                  <c:v>2.5329493558837264</c:v>
                </c:pt>
                <c:pt idx="54">
                  <c:v>2.2317107787646395</c:v>
                </c:pt>
                <c:pt idx="55">
                  <c:v>1.9983085759199002</c:v>
                </c:pt>
                <c:pt idx="56">
                  <c:v>1.8330613605998418</c:v>
                </c:pt>
                <c:pt idx="57">
                  <c:v>1.1905590905530101</c:v>
                </c:pt>
                <c:pt idx="58">
                  <c:v>1.1205606750106079</c:v>
                </c:pt>
                <c:pt idx="59">
                  <c:v>1.2520197041513661</c:v>
                </c:pt>
                <c:pt idx="60">
                  <c:v>2.8143403219368377</c:v>
                </c:pt>
                <c:pt idx="61">
                  <c:v>2.7036545144388797</c:v>
                </c:pt>
                <c:pt idx="62">
                  <c:v>3.1958968781431447</c:v>
                </c:pt>
                <c:pt idx="63">
                  <c:v>2.9588424687880028</c:v>
                </c:pt>
                <c:pt idx="64">
                  <c:v>0.79627813036869466</c:v>
                </c:pt>
                <c:pt idx="65">
                  <c:v>1.7501220910354498</c:v>
                </c:pt>
                <c:pt idx="66">
                  <c:v>1.9525475018417573</c:v>
                </c:pt>
                <c:pt idx="67">
                  <c:v>2.6345194614417271</c:v>
                </c:pt>
                <c:pt idx="68">
                  <c:v>2.0365530508407375</c:v>
                </c:pt>
                <c:pt idx="69">
                  <c:v>2.2588623681519806</c:v>
                </c:pt>
                <c:pt idx="70">
                  <c:v>4.9981998910946421</c:v>
                </c:pt>
                <c:pt idx="71">
                  <c:v>5.5869401676527559</c:v>
                </c:pt>
                <c:pt idx="72">
                  <c:v>4.9464757467863336</c:v>
                </c:pt>
                <c:pt idx="73">
                  <c:v>4.0302915530554895</c:v>
                </c:pt>
                <c:pt idx="74">
                  <c:v>3.3788042326339678</c:v>
                </c:pt>
                <c:pt idx="75">
                  <c:v>4.609100740021205</c:v>
                </c:pt>
                <c:pt idx="76">
                  <c:v>5.54647820872853</c:v>
                </c:pt>
                <c:pt idx="77">
                  <c:v>4.7013122603976294</c:v>
                </c:pt>
                <c:pt idx="78">
                  <c:v>3.8376892817232147</c:v>
                </c:pt>
                <c:pt idx="79">
                  <c:v>3.402350362512339</c:v>
                </c:pt>
                <c:pt idx="80">
                  <c:v>2.8658133787271822</c:v>
                </c:pt>
                <c:pt idx="81">
                  <c:v>6.0662997910299934</c:v>
                </c:pt>
                <c:pt idx="82">
                  <c:v>3.2321413203773552</c:v>
                </c:pt>
                <c:pt idx="83">
                  <c:v>3.8489207749894012</c:v>
                </c:pt>
                <c:pt idx="84">
                  <c:v>3.7128098025928287</c:v>
                </c:pt>
                <c:pt idx="85">
                  <c:v>4.2299706255458602</c:v>
                </c:pt>
                <c:pt idx="86">
                  <c:v>5.1334552663161679</c:v>
                </c:pt>
                <c:pt idx="87">
                  <c:v>4.7459627928416115</c:v>
                </c:pt>
                <c:pt idx="88">
                  <c:v>6.0726056443848524</c:v>
                </c:pt>
                <c:pt idx="89">
                  <c:v>7.4356827248019579</c:v>
                </c:pt>
                <c:pt idx="90">
                  <c:v>10.846003191136131</c:v>
                </c:pt>
                <c:pt idx="91">
                  <c:v>13.363887787827474</c:v>
                </c:pt>
                <c:pt idx="92">
                  <c:v>15.487173138732848</c:v>
                </c:pt>
                <c:pt idx="93">
                  <c:v>13.61884942892668</c:v>
                </c:pt>
                <c:pt idx="94">
                  <c:v>12.816776586209826</c:v>
                </c:pt>
                <c:pt idx="95">
                  <c:v>10.544026511058775</c:v>
                </c:pt>
                <c:pt idx="96">
                  <c:v>10.580193737818561</c:v>
                </c:pt>
                <c:pt idx="97">
                  <c:v>11.356690168059366</c:v>
                </c:pt>
                <c:pt idx="98">
                  <c:v>11.747735926897461</c:v>
                </c:pt>
                <c:pt idx="99">
                  <c:v>12.31590718419568</c:v>
                </c:pt>
                <c:pt idx="100">
                  <c:v>12.06370972836355</c:v>
                </c:pt>
                <c:pt idx="101">
                  <c:v>11.320156207706729</c:v>
                </c:pt>
                <c:pt idx="102">
                  <c:v>11.10089803983697</c:v>
                </c:pt>
                <c:pt idx="103">
                  <c:v>8.875248383939871</c:v>
                </c:pt>
                <c:pt idx="104">
                  <c:v>9.4554886997590746</c:v>
                </c:pt>
                <c:pt idx="105">
                  <c:v>7.9947957819463804</c:v>
                </c:pt>
                <c:pt idx="106">
                  <c:v>8.8987469613178209</c:v>
                </c:pt>
                <c:pt idx="107">
                  <c:v>6.8343795540251477</c:v>
                </c:pt>
                <c:pt idx="108">
                  <c:v>7.1627213335097455</c:v>
                </c:pt>
                <c:pt idx="109">
                  <c:v>7.7859036515534283</c:v>
                </c:pt>
                <c:pt idx="110">
                  <c:v>7.3677776024321844</c:v>
                </c:pt>
                <c:pt idx="111">
                  <c:v>7.6614466215618791</c:v>
                </c:pt>
                <c:pt idx="112">
                  <c:v>8.4399252389656567</c:v>
                </c:pt>
                <c:pt idx="113">
                  <c:v>5.0437580778617264</c:v>
                </c:pt>
                <c:pt idx="114">
                  <c:v>3.1884281628145041</c:v>
                </c:pt>
                <c:pt idx="115">
                  <c:v>3.6978422806000566</c:v>
                </c:pt>
                <c:pt idx="116">
                  <c:v>2.0985469133339967</c:v>
                </c:pt>
                <c:pt idx="117">
                  <c:v>0.98025468272385297</c:v>
                </c:pt>
                <c:pt idx="118">
                  <c:v>4.4905324016440533E-2</c:v>
                </c:pt>
                <c:pt idx="119">
                  <c:v>3.8430536079415991</c:v>
                </c:pt>
                <c:pt idx="120">
                  <c:v>2.7062142449740652</c:v>
                </c:pt>
                <c:pt idx="121">
                  <c:v>2.1797608709456284</c:v>
                </c:pt>
                <c:pt idx="122">
                  <c:v>2.5077907466600431</c:v>
                </c:pt>
                <c:pt idx="123">
                  <c:v>2.0266649834359778</c:v>
                </c:pt>
                <c:pt idx="124">
                  <c:v>0.6980067681632105</c:v>
                </c:pt>
                <c:pt idx="125">
                  <c:v>5.1843236515613853</c:v>
                </c:pt>
                <c:pt idx="126">
                  <c:v>5.8641888143896646</c:v>
                </c:pt>
                <c:pt idx="127">
                  <c:v>5.7004231444736089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9FA-43ED-9640-2DCB6756FBF8}"/>
            </c:ext>
          </c:extLst>
        </c:ser>
        <c:marker val="1"/>
        <c:axId val="118624640"/>
        <c:axId val="118626176"/>
      </c:lineChart>
      <c:lineChart>
        <c:grouping val="standard"/>
        <c:ser>
          <c:idx val="3"/>
          <c:order val="3"/>
          <c:tx>
            <c:strRef>
              <c:f>'5-Sektor-nef. podn-úvěry'!$AE$5</c:f>
              <c:strCache>
                <c:ptCount val="1"/>
                <c:pt idx="0">
                  <c:v>% nevýkonných úvěrů nefinančním podnikům (pravá osa)</c:v>
                </c:pt>
              </c:strCache>
            </c:strRef>
          </c:tx>
          <c:spPr>
            <a:ln w="22225">
              <a:solidFill>
                <a:srgbClr val="BD1B21"/>
              </a:solidFill>
            </a:ln>
          </c:spPr>
          <c:marker>
            <c:symbol val="none"/>
          </c:marker>
          <c:cat>
            <c:multiLvlStrRef>
              <c:f>'5-Sektor-nef. podn-úvěry'!$Z$6:$AA$137</c:f>
              <c:multiLvlStrCache>
                <c:ptCount val="129"/>
                <c:lvl>
                  <c:pt idx="0">
                    <c:v>1</c:v>
                  </c:pt>
                  <c:pt idx="4">
                    <c:v>5</c:v>
                  </c:pt>
                  <c:pt idx="8">
                    <c:v>9</c:v>
                  </c:pt>
                  <c:pt idx="12">
                    <c:v>1</c:v>
                  </c:pt>
                  <c:pt idx="16">
                    <c:v>5</c:v>
                  </c:pt>
                  <c:pt idx="20">
                    <c:v>9</c:v>
                  </c:pt>
                  <c:pt idx="24">
                    <c:v>1</c:v>
                  </c:pt>
                  <c:pt idx="28">
                    <c:v>5</c:v>
                  </c:pt>
                  <c:pt idx="32">
                    <c:v>9</c:v>
                  </c:pt>
                  <c:pt idx="36">
                    <c:v>1</c:v>
                  </c:pt>
                  <c:pt idx="40">
                    <c:v>5</c:v>
                  </c:pt>
                  <c:pt idx="44">
                    <c:v>9</c:v>
                  </c:pt>
                  <c:pt idx="48">
                    <c:v>1</c:v>
                  </c:pt>
                  <c:pt idx="52">
                    <c:v>5</c:v>
                  </c:pt>
                  <c:pt idx="56">
                    <c:v>9</c:v>
                  </c:pt>
                  <c:pt idx="60">
                    <c:v>1</c:v>
                  </c:pt>
                  <c:pt idx="64">
                    <c:v>5</c:v>
                  </c:pt>
                  <c:pt idx="68">
                    <c:v>9</c:v>
                  </c:pt>
                  <c:pt idx="72">
                    <c:v>1</c:v>
                  </c:pt>
                  <c:pt idx="76">
                    <c:v>5</c:v>
                  </c:pt>
                  <c:pt idx="80">
                    <c:v>9</c:v>
                  </c:pt>
                  <c:pt idx="84">
                    <c:v>1</c:v>
                  </c:pt>
                  <c:pt idx="88">
                    <c:v>5</c:v>
                  </c:pt>
                  <c:pt idx="92">
                    <c:v>9</c:v>
                  </c:pt>
                  <c:pt idx="96">
                    <c:v>1</c:v>
                  </c:pt>
                  <c:pt idx="100">
                    <c:v>5</c:v>
                  </c:pt>
                  <c:pt idx="104">
                    <c:v>9</c:v>
                  </c:pt>
                  <c:pt idx="108">
                    <c:v>1</c:v>
                  </c:pt>
                  <c:pt idx="112">
                    <c:v>5</c:v>
                  </c:pt>
                  <c:pt idx="116">
                    <c:v>9</c:v>
                  </c:pt>
                  <c:pt idx="120">
                    <c:v>1</c:v>
                  </c:pt>
                  <c:pt idx="124">
                    <c:v>5</c:v>
                  </c:pt>
                  <c:pt idx="128">
                    <c:v>9</c:v>
                  </c:pt>
                </c:lvl>
                <c:lvl>
                  <c:pt idx="0">
                    <c:v>2008</c:v>
                  </c:pt>
                  <c:pt idx="12">
                    <c:v>2009</c:v>
                  </c:pt>
                  <c:pt idx="24">
                    <c:v>2010</c:v>
                  </c:pt>
                  <c:pt idx="36">
                    <c:v>2011</c:v>
                  </c:pt>
                  <c:pt idx="48">
                    <c:v>2012</c:v>
                  </c:pt>
                  <c:pt idx="60">
                    <c:v>2013</c:v>
                  </c:pt>
                  <c:pt idx="72">
                    <c:v>2014</c:v>
                  </c:pt>
                  <c:pt idx="84">
                    <c:v>2015</c:v>
                  </c:pt>
                  <c:pt idx="96">
                    <c:v>2016</c:v>
                  </c:pt>
                  <c:pt idx="108">
                    <c:v>2017</c:v>
                  </c:pt>
                  <c:pt idx="120">
                    <c:v>2018</c:v>
                  </c:pt>
                </c:lvl>
              </c:multiLvlStrCache>
            </c:multiLvlStrRef>
          </c:cat>
          <c:val>
            <c:numRef>
              <c:f>'5-Sektor-nef. podn-úvěry'!$AE$6:$AE$137</c:f>
              <c:numCache>
                <c:formatCode>0.0</c:formatCode>
                <c:ptCount val="132"/>
                <c:pt idx="0">
                  <c:v>3.3109008178175112</c:v>
                </c:pt>
                <c:pt idx="1">
                  <c:v>3.307727023740211</c:v>
                </c:pt>
                <c:pt idx="2">
                  <c:v>3.5258714162305518</c:v>
                </c:pt>
                <c:pt idx="3">
                  <c:v>3.4390418478732143</c:v>
                </c:pt>
                <c:pt idx="4">
                  <c:v>3.4134248089705692</c:v>
                </c:pt>
                <c:pt idx="5">
                  <c:v>3.393113178934025</c:v>
                </c:pt>
                <c:pt idx="6">
                  <c:v>3.7397851148120598</c:v>
                </c:pt>
                <c:pt idx="7">
                  <c:v>3.7969391711285736</c:v>
                </c:pt>
                <c:pt idx="8">
                  <c:v>3.9885869675908641</c:v>
                </c:pt>
                <c:pt idx="9">
                  <c:v>4.1539954129847754</c:v>
                </c:pt>
                <c:pt idx="10">
                  <c:v>4.1634746459844347</c:v>
                </c:pt>
                <c:pt idx="11">
                  <c:v>4.3483289556915894</c:v>
                </c:pt>
                <c:pt idx="12">
                  <c:v>4.6453830819406434</c:v>
                </c:pt>
                <c:pt idx="13">
                  <c:v>4.9440202580309345</c:v>
                </c:pt>
                <c:pt idx="14">
                  <c:v>5.4290218349484949</c:v>
                </c:pt>
                <c:pt idx="15">
                  <c:v>5.5442057008161774</c:v>
                </c:pt>
                <c:pt idx="16">
                  <c:v>6.0791020152703563</c:v>
                </c:pt>
                <c:pt idx="17">
                  <c:v>6.5485880412236437</c:v>
                </c:pt>
                <c:pt idx="18">
                  <c:v>6.7567081324117124</c:v>
                </c:pt>
                <c:pt idx="19">
                  <c:v>7.1075922092277564</c:v>
                </c:pt>
                <c:pt idx="20">
                  <c:v>7.516567189189681</c:v>
                </c:pt>
                <c:pt idx="21">
                  <c:v>7.9139764284401339</c:v>
                </c:pt>
                <c:pt idx="22">
                  <c:v>8.1355624328145559</c:v>
                </c:pt>
                <c:pt idx="23">
                  <c:v>8.5944596846533194</c:v>
                </c:pt>
                <c:pt idx="24">
                  <c:v>8.6930331622885539</c:v>
                </c:pt>
                <c:pt idx="25">
                  <c:v>8.7652937924691692</c:v>
                </c:pt>
                <c:pt idx="26">
                  <c:v>8.9973215837097289</c:v>
                </c:pt>
                <c:pt idx="27">
                  <c:v>9.3949172937938457</c:v>
                </c:pt>
                <c:pt idx="28">
                  <c:v>9.2554991853825506</c:v>
                </c:pt>
                <c:pt idx="29">
                  <c:v>9.5367301056861287</c:v>
                </c:pt>
                <c:pt idx="30">
                  <c:v>9.6061270237677174</c:v>
                </c:pt>
                <c:pt idx="31">
                  <c:v>9.5526350225030754</c:v>
                </c:pt>
                <c:pt idx="32">
                  <c:v>9.945328198721219</c:v>
                </c:pt>
                <c:pt idx="33">
                  <c:v>9.8093156308356448</c:v>
                </c:pt>
                <c:pt idx="34">
                  <c:v>9.7059080371286708</c:v>
                </c:pt>
                <c:pt idx="35">
                  <c:v>9.878935661048569</c:v>
                </c:pt>
                <c:pt idx="36">
                  <c:v>9.7362498495691092</c:v>
                </c:pt>
                <c:pt idx="37">
                  <c:v>9.6546349844895207</c:v>
                </c:pt>
                <c:pt idx="38">
                  <c:v>9.6037763883778684</c:v>
                </c:pt>
                <c:pt idx="39">
                  <c:v>9.3467269969160203</c:v>
                </c:pt>
                <c:pt idx="40">
                  <c:v>9.2249788365549659</c:v>
                </c:pt>
                <c:pt idx="41">
                  <c:v>9.2957041415285175</c:v>
                </c:pt>
                <c:pt idx="42">
                  <c:v>9.0847188325859225</c:v>
                </c:pt>
                <c:pt idx="43">
                  <c:v>9.2761516878558439</c:v>
                </c:pt>
                <c:pt idx="44">
                  <c:v>9.2920819621418111</c:v>
                </c:pt>
                <c:pt idx="45">
                  <c:v>8.9446792734602028</c:v>
                </c:pt>
                <c:pt idx="46">
                  <c:v>8.8514594951797179</c:v>
                </c:pt>
                <c:pt idx="47">
                  <c:v>8.9289555018985389</c:v>
                </c:pt>
                <c:pt idx="48">
                  <c:v>8.7805994852465137</c:v>
                </c:pt>
                <c:pt idx="49">
                  <c:v>8.8125622516460655</c:v>
                </c:pt>
                <c:pt idx="50">
                  <c:v>8.761283818126854</c:v>
                </c:pt>
                <c:pt idx="51">
                  <c:v>8.5996806972785222</c:v>
                </c:pt>
                <c:pt idx="52">
                  <c:v>8.5305232749609257</c:v>
                </c:pt>
                <c:pt idx="53">
                  <c:v>8.5019209950418411</c:v>
                </c:pt>
                <c:pt idx="54">
                  <c:v>8.4317595513323269</c:v>
                </c:pt>
                <c:pt idx="55">
                  <c:v>8.1611905294903053</c:v>
                </c:pt>
                <c:pt idx="56">
                  <c:v>8.0229771447746483</c:v>
                </c:pt>
                <c:pt idx="57">
                  <c:v>8.1180372662670841</c:v>
                </c:pt>
                <c:pt idx="58">
                  <c:v>8.1190423131832663</c:v>
                </c:pt>
                <c:pt idx="59">
                  <c:v>7.9442625861375431</c:v>
                </c:pt>
                <c:pt idx="60">
                  <c:v>7.9709943254132094</c:v>
                </c:pt>
                <c:pt idx="61">
                  <c:v>8.018866966716045</c:v>
                </c:pt>
                <c:pt idx="62">
                  <c:v>7.9851771358559454</c:v>
                </c:pt>
                <c:pt idx="63">
                  <c:v>8.0975686105617193</c:v>
                </c:pt>
                <c:pt idx="64">
                  <c:v>8.2446090625934989</c:v>
                </c:pt>
                <c:pt idx="65">
                  <c:v>8.2194109004263733</c:v>
                </c:pt>
                <c:pt idx="66">
                  <c:v>8.2335058570674846</c:v>
                </c:pt>
                <c:pt idx="67">
                  <c:v>8.0265866528584766</c:v>
                </c:pt>
                <c:pt idx="68">
                  <c:v>7.8784384100927474</c:v>
                </c:pt>
                <c:pt idx="69">
                  <c:v>7.9738267399770884</c:v>
                </c:pt>
                <c:pt idx="70">
                  <c:v>7.7036556003236933</c:v>
                </c:pt>
                <c:pt idx="71">
                  <c:v>7.7047914233767489</c:v>
                </c:pt>
                <c:pt idx="72">
                  <c:v>7.6502283749733424</c:v>
                </c:pt>
                <c:pt idx="73">
                  <c:v>7.663996039837258</c:v>
                </c:pt>
                <c:pt idx="74">
                  <c:v>7.8010264419302784</c:v>
                </c:pt>
                <c:pt idx="75">
                  <c:v>7.9168117029483094</c:v>
                </c:pt>
                <c:pt idx="76">
                  <c:v>7.7888397037114334</c:v>
                </c:pt>
                <c:pt idx="77">
                  <c:v>7.5143970608595057</c:v>
                </c:pt>
                <c:pt idx="78">
                  <c:v>7.6590796316708527</c:v>
                </c:pt>
                <c:pt idx="79">
                  <c:v>7.4306267417914524</c:v>
                </c:pt>
                <c:pt idx="80">
                  <c:v>7.3917852691761921</c:v>
                </c:pt>
                <c:pt idx="81">
                  <c:v>7.3498452727557355</c:v>
                </c:pt>
                <c:pt idx="82">
                  <c:v>7.3679117077027545</c:v>
                </c:pt>
                <c:pt idx="83">
                  <c:v>7.1931393253447693</c:v>
                </c:pt>
                <c:pt idx="84">
                  <c:v>7.1174156026415245</c:v>
                </c:pt>
                <c:pt idx="85">
                  <c:v>7.0876957009899737</c:v>
                </c:pt>
                <c:pt idx="86">
                  <c:v>6.8349931945227924</c:v>
                </c:pt>
                <c:pt idx="87">
                  <c:v>6.5678451032415737</c:v>
                </c:pt>
                <c:pt idx="88">
                  <c:v>6.4686194061301121</c:v>
                </c:pt>
                <c:pt idx="89">
                  <c:v>6.3665123466750382</c:v>
                </c:pt>
                <c:pt idx="90">
                  <c:v>6.2342656697835794</c:v>
                </c:pt>
                <c:pt idx="91">
                  <c:v>6.059874691609215</c:v>
                </c:pt>
                <c:pt idx="92">
                  <c:v>5.9387887509232424</c:v>
                </c:pt>
                <c:pt idx="93">
                  <c:v>5.9170252474749772</c:v>
                </c:pt>
                <c:pt idx="94">
                  <c:v>5.9276065104363056</c:v>
                </c:pt>
                <c:pt idx="95">
                  <c:v>6.0672190218740294</c:v>
                </c:pt>
                <c:pt idx="96">
                  <c:v>5.8207386889486674</c:v>
                </c:pt>
                <c:pt idx="97">
                  <c:v>5.7065079065221598</c:v>
                </c:pt>
                <c:pt idx="98">
                  <c:v>5.4327181516567409</c:v>
                </c:pt>
                <c:pt idx="99">
                  <c:v>5.3817580076625511</c:v>
                </c:pt>
                <c:pt idx="100">
                  <c:v>5.2182344034203494</c:v>
                </c:pt>
                <c:pt idx="101">
                  <c:v>5.4549153747928942</c:v>
                </c:pt>
                <c:pt idx="102">
                  <c:v>5.2607184712459247</c:v>
                </c:pt>
                <c:pt idx="103">
                  <c:v>5.3552582365324755</c:v>
                </c:pt>
                <c:pt idx="104">
                  <c:v>5.4222791919250524</c:v>
                </c:pt>
                <c:pt idx="105">
                  <c:v>5.2781881961543924</c:v>
                </c:pt>
                <c:pt idx="106">
                  <c:v>5.1783098335308084</c:v>
                </c:pt>
                <c:pt idx="107">
                  <c:v>5.4367504644948381</c:v>
                </c:pt>
                <c:pt idx="108">
                  <c:v>5.4765579796613197</c:v>
                </c:pt>
                <c:pt idx="109">
                  <c:v>5.4482841329749574</c:v>
                </c:pt>
                <c:pt idx="110">
                  <c:v>5.2166700671707789</c:v>
                </c:pt>
                <c:pt idx="111">
                  <c:v>4.9110715869160364</c:v>
                </c:pt>
                <c:pt idx="112">
                  <c:v>4.8411707503129495</c:v>
                </c:pt>
                <c:pt idx="113">
                  <c:v>4.8684132791671999</c:v>
                </c:pt>
                <c:pt idx="114">
                  <c:v>4.7135839727091486</c:v>
                </c:pt>
                <c:pt idx="115">
                  <c:v>4.7077744382450355</c:v>
                </c:pt>
                <c:pt idx="116">
                  <c:v>4.6043491814790114</c:v>
                </c:pt>
                <c:pt idx="117">
                  <c:v>4.5661883377460146</c:v>
                </c:pt>
                <c:pt idx="118">
                  <c:v>4.5442468988194875</c:v>
                </c:pt>
                <c:pt idx="119">
                  <c:v>4.4164121977906534</c:v>
                </c:pt>
                <c:pt idx="120">
                  <c:v>4.4105226980265941</c:v>
                </c:pt>
                <c:pt idx="121">
                  <c:v>4.1003019534435969</c:v>
                </c:pt>
                <c:pt idx="122">
                  <c:v>4.0410313296539098</c:v>
                </c:pt>
                <c:pt idx="123">
                  <c:v>3.9972627300764838</c:v>
                </c:pt>
                <c:pt idx="124">
                  <c:v>3.9052530624484225</c:v>
                </c:pt>
                <c:pt idx="125">
                  <c:v>3.7217238694295682</c:v>
                </c:pt>
                <c:pt idx="126">
                  <c:v>3.6037644717569131</c:v>
                </c:pt>
                <c:pt idx="127">
                  <c:v>3.5794622350804377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9FA-43ED-9640-2DCB6756FBF8}"/>
            </c:ext>
          </c:extLst>
        </c:ser>
        <c:marker val="1"/>
        <c:axId val="140477568"/>
        <c:axId val="118627712"/>
      </c:lineChart>
      <c:catAx>
        <c:axId val="118624640"/>
        <c:scaling>
          <c:orientation val="minMax"/>
        </c:scaling>
        <c:axPos val="b"/>
        <c:numFmt formatCode="General" sourceLinked="1"/>
        <c:majorTickMark val="none"/>
        <c:tickLblPos val="low"/>
        <c:txPr>
          <a:bodyPr rot="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cs-CZ"/>
          </a:p>
        </c:txPr>
        <c:crossAx val="118626176"/>
        <c:crosses val="autoZero"/>
        <c:auto val="1"/>
        <c:lblAlgn val="ctr"/>
        <c:lblOffset val="0"/>
        <c:tickLblSkip val="12"/>
        <c:tickMarkSkip val="12"/>
      </c:catAx>
      <c:valAx>
        <c:axId val="118626176"/>
        <c:scaling>
          <c:orientation val="minMax"/>
          <c:min val="-30"/>
        </c:scaling>
        <c:axPos val="l"/>
        <c:majorGridlines>
          <c:spPr>
            <a:ln w="9525">
              <a:solidFill>
                <a:srgbClr val="BFBFBF"/>
              </a:solidFill>
            </a:ln>
          </c:spPr>
        </c:majorGridlines>
        <c:numFmt formatCode="0" sourceLinked="0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cs-CZ"/>
          </a:p>
        </c:txPr>
        <c:crossAx val="118624640"/>
        <c:crosses val="autoZero"/>
        <c:crossBetween val="between"/>
      </c:valAx>
      <c:valAx>
        <c:axId val="118627712"/>
        <c:scaling>
          <c:orientation val="minMax"/>
          <c:max val="14"/>
          <c:min val="0"/>
        </c:scaling>
        <c:axPos val="r"/>
        <c:numFmt formatCode="0" sourceLinked="0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cs-CZ"/>
          </a:p>
        </c:txPr>
        <c:crossAx val="140477568"/>
        <c:crosses val="max"/>
        <c:crossBetween val="between"/>
      </c:valAx>
      <c:catAx>
        <c:axId val="140477568"/>
        <c:scaling>
          <c:orientation val="minMax"/>
        </c:scaling>
        <c:delete val="1"/>
        <c:axPos val="b"/>
        <c:numFmt formatCode="General" sourceLinked="1"/>
        <c:tickLblPos val="none"/>
        <c:crossAx val="118627712"/>
        <c:crosses val="autoZero"/>
        <c:auto val="1"/>
        <c:lblAlgn val="ctr"/>
        <c:lblOffset val="100"/>
      </c:catAx>
      <c:spPr>
        <a:ln>
          <a:solidFill>
            <a:sysClr val="windowText" lastClr="000000">
              <a:lumMod val="95000"/>
              <a:lumOff val="5000"/>
            </a:sysClr>
          </a:solidFill>
        </a:ln>
      </c:spPr>
    </c:plotArea>
    <c:legend>
      <c:legendPos val="r"/>
      <c:layout>
        <c:manualLayout>
          <c:xMode val="edge"/>
          <c:yMode val="edge"/>
          <c:x val="5.5451985505860349E-2"/>
          <c:y val="0.84911392760396931"/>
          <c:w val="0.86504723346829526"/>
          <c:h val="0.14019088523025533"/>
        </c:manualLayout>
      </c:layout>
      <c:spPr>
        <a:ln>
          <a:solidFill>
            <a:schemeClr val="tx1">
              <a:lumMod val="95000"/>
              <a:lumOff val="5000"/>
            </a:schemeClr>
          </a:solidFill>
        </a:ln>
      </c:spPr>
      <c:txPr>
        <a:bodyPr/>
        <a:lstStyle/>
        <a:p>
          <a:pPr>
            <a:defRPr sz="800">
              <a:latin typeface="Arial" pitchFamily="34" charset="0"/>
              <a:cs typeface="Arial" pitchFamily="34" charset="0"/>
            </a:defRPr>
          </a:pPr>
          <a:endParaRPr lang="cs-CZ"/>
        </a:p>
      </c:txPr>
    </c:legend>
    <c:plotVisOnly val="1"/>
    <c:dispBlanksAs val="gap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0.10608838874897725"/>
          <c:y val="2.1390374331550797E-2"/>
          <c:w val="0.87783863049508737"/>
          <c:h val="0.70364843432004798"/>
        </c:manualLayout>
      </c:layout>
      <c:barChart>
        <c:barDir val="col"/>
        <c:grouping val="stacked"/>
        <c:ser>
          <c:idx val="0"/>
          <c:order val="0"/>
          <c:tx>
            <c:strRef>
              <c:f>'6-Sektor-nef. zadluženoist'!$P$168</c:f>
              <c:strCache>
                <c:ptCount val="1"/>
                <c:pt idx="0">
                  <c:v>Dluhové cenné papíry (AF.3)</c:v>
                </c:pt>
              </c:strCache>
            </c:strRef>
          </c:tx>
          <c:spPr>
            <a:solidFill>
              <a:schemeClr val="accent1"/>
            </a:solidFill>
            <a:ln w="22225">
              <a:noFill/>
            </a:ln>
          </c:spPr>
          <c:cat>
            <c:strRef>
              <c:f>'6-Sektor-nef. zadluženoist'!$L$169:$L$198</c:f>
              <c:strCache>
                <c:ptCount val="30"/>
                <c:pt idx="0">
                  <c:v>Lucemburs.</c:v>
                </c:pt>
                <c:pt idx="1">
                  <c:v>Irsko</c:v>
                </c:pt>
                <c:pt idx="2">
                  <c:v>Kypr</c:v>
                </c:pt>
                <c:pt idx="3">
                  <c:v>Nizozemsko</c:v>
                </c:pt>
                <c:pt idx="4">
                  <c:v>Belgie</c:v>
                </c:pt>
                <c:pt idx="5">
                  <c:v>Švédsko</c:v>
                </c:pt>
                <c:pt idx="6">
                  <c:v>Dánsko</c:v>
                </c:pt>
                <c:pt idx="7">
                  <c:v>Portugalsko</c:v>
                </c:pt>
                <c:pt idx="8">
                  <c:v>Malta</c:v>
                </c:pt>
                <c:pt idx="9">
                  <c:v>Francie</c:v>
                </c:pt>
                <c:pt idx="10">
                  <c:v>Bulharsko</c:v>
                </c:pt>
                <c:pt idx="11">
                  <c:v>Eurozóna (19)</c:v>
                </c:pt>
                <c:pt idx="12">
                  <c:v>Lotyšsko</c:v>
                </c:pt>
                <c:pt idx="13">
                  <c:v>EU28</c:v>
                </c:pt>
                <c:pt idx="14">
                  <c:v>V. Británie</c:v>
                </c:pt>
                <c:pt idx="15">
                  <c:v>Slovensko</c:v>
                </c:pt>
                <c:pt idx="16">
                  <c:v>Španělsko</c:v>
                </c:pt>
                <c:pt idx="17">
                  <c:v>Finsko</c:v>
                </c:pt>
                <c:pt idx="18">
                  <c:v>Estonsko</c:v>
                </c:pt>
                <c:pt idx="19">
                  <c:v>Chorvatsko</c:v>
                </c:pt>
                <c:pt idx="20">
                  <c:v>Rakousko</c:v>
                </c:pt>
                <c:pt idx="21">
                  <c:v>Itálie</c:v>
                </c:pt>
                <c:pt idx="22">
                  <c:v>Maďarsko</c:v>
                </c:pt>
                <c:pt idx="23">
                  <c:v>Slovinsko</c:v>
                </c:pt>
                <c:pt idx="24">
                  <c:v>Řecko</c:v>
                </c:pt>
                <c:pt idx="25">
                  <c:v>Německo</c:v>
                </c:pt>
                <c:pt idx="26">
                  <c:v>Rumunsko</c:v>
                </c:pt>
                <c:pt idx="27">
                  <c:v>Polsko</c:v>
                </c:pt>
                <c:pt idx="28">
                  <c:v>Česko</c:v>
                </c:pt>
                <c:pt idx="29">
                  <c:v>Litva</c:v>
                </c:pt>
              </c:strCache>
            </c:strRef>
          </c:cat>
          <c:val>
            <c:numRef>
              <c:f>'6-Sektor-nef. zadluženoist'!$P$169:$P$198</c:f>
              <c:numCache>
                <c:formatCode>#,##0.0</c:formatCode>
                <c:ptCount val="30"/>
                <c:pt idx="0">
                  <c:v>41.3</c:v>
                </c:pt>
                <c:pt idx="1">
                  <c:v>5.9</c:v>
                </c:pt>
                <c:pt idx="2">
                  <c:v>0.5</c:v>
                </c:pt>
                <c:pt idx="3">
                  <c:v>19.600000000000001</c:v>
                </c:pt>
                <c:pt idx="4">
                  <c:v>14.7</c:v>
                </c:pt>
                <c:pt idx="5">
                  <c:v>21.1</c:v>
                </c:pt>
                <c:pt idx="6">
                  <c:v>8.9</c:v>
                </c:pt>
                <c:pt idx="7">
                  <c:v>17.600000000000001</c:v>
                </c:pt>
                <c:pt idx="8">
                  <c:v>6.1</c:v>
                </c:pt>
                <c:pt idx="9">
                  <c:v>28.3</c:v>
                </c:pt>
                <c:pt idx="10">
                  <c:v>4.0999999999999996</c:v>
                </c:pt>
                <c:pt idx="11">
                  <c:v>12.6</c:v>
                </c:pt>
                <c:pt idx="12">
                  <c:v>0.70000000000000062</c:v>
                </c:pt>
                <c:pt idx="13">
                  <c:v>13.2</c:v>
                </c:pt>
                <c:pt idx="14">
                  <c:v>19.3</c:v>
                </c:pt>
                <c:pt idx="15">
                  <c:v>8.5</c:v>
                </c:pt>
                <c:pt idx="16">
                  <c:v>2.5</c:v>
                </c:pt>
                <c:pt idx="17">
                  <c:v>13.7</c:v>
                </c:pt>
                <c:pt idx="18">
                  <c:v>5.8</c:v>
                </c:pt>
                <c:pt idx="19">
                  <c:v>3.5</c:v>
                </c:pt>
                <c:pt idx="20">
                  <c:v>10.9</c:v>
                </c:pt>
                <c:pt idx="21">
                  <c:v>9.4</c:v>
                </c:pt>
                <c:pt idx="22">
                  <c:v>1.5</c:v>
                </c:pt>
                <c:pt idx="23">
                  <c:v>2.2000000000000002</c:v>
                </c:pt>
                <c:pt idx="24">
                  <c:v>0.4</c:v>
                </c:pt>
                <c:pt idx="25">
                  <c:v>6.4</c:v>
                </c:pt>
                <c:pt idx="26">
                  <c:v>0</c:v>
                </c:pt>
                <c:pt idx="27">
                  <c:v>4.5</c:v>
                </c:pt>
                <c:pt idx="28">
                  <c:v>6.5</c:v>
                </c:pt>
                <c:pt idx="29">
                  <c:v>1.3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D02-4F37-BAF3-FA42EF95A8D6}"/>
            </c:ext>
          </c:extLst>
        </c:ser>
        <c:ser>
          <c:idx val="1"/>
          <c:order val="1"/>
          <c:tx>
            <c:strRef>
              <c:f>'6-Sektor-nef. zadluženoist'!$Q$168</c:f>
              <c:strCache>
                <c:ptCount val="1"/>
                <c:pt idx="0">
                  <c:v>Půjčky (AF.4)</c:v>
                </c:pt>
              </c:strCache>
            </c:strRef>
          </c:tx>
          <c:spPr>
            <a:ln>
              <a:noFill/>
            </a:ln>
          </c:spPr>
          <c:cat>
            <c:strRef>
              <c:f>'6-Sektor-nef. zadluženoist'!$L$169:$L$198</c:f>
              <c:strCache>
                <c:ptCount val="30"/>
                <c:pt idx="0">
                  <c:v>Lucemburs.</c:v>
                </c:pt>
                <c:pt idx="1">
                  <c:v>Irsko</c:v>
                </c:pt>
                <c:pt idx="2">
                  <c:v>Kypr</c:v>
                </c:pt>
                <c:pt idx="3">
                  <c:v>Nizozemsko</c:v>
                </c:pt>
                <c:pt idx="4">
                  <c:v>Belgie</c:v>
                </c:pt>
                <c:pt idx="5">
                  <c:v>Švédsko</c:v>
                </c:pt>
                <c:pt idx="6">
                  <c:v>Dánsko</c:v>
                </c:pt>
                <c:pt idx="7">
                  <c:v>Portugalsko</c:v>
                </c:pt>
                <c:pt idx="8">
                  <c:v>Malta</c:v>
                </c:pt>
                <c:pt idx="9">
                  <c:v>Francie</c:v>
                </c:pt>
                <c:pt idx="10">
                  <c:v>Bulharsko</c:v>
                </c:pt>
                <c:pt idx="11">
                  <c:v>Eurozóna (19)</c:v>
                </c:pt>
                <c:pt idx="12">
                  <c:v>Lotyšsko</c:v>
                </c:pt>
                <c:pt idx="13">
                  <c:v>EU28</c:v>
                </c:pt>
                <c:pt idx="14">
                  <c:v>V. Británie</c:v>
                </c:pt>
                <c:pt idx="15">
                  <c:v>Slovensko</c:v>
                </c:pt>
                <c:pt idx="16">
                  <c:v>Španělsko</c:v>
                </c:pt>
                <c:pt idx="17">
                  <c:v>Finsko</c:v>
                </c:pt>
                <c:pt idx="18">
                  <c:v>Estonsko</c:v>
                </c:pt>
                <c:pt idx="19">
                  <c:v>Chorvatsko</c:v>
                </c:pt>
                <c:pt idx="20">
                  <c:v>Rakousko</c:v>
                </c:pt>
                <c:pt idx="21">
                  <c:v>Itálie</c:v>
                </c:pt>
                <c:pt idx="22">
                  <c:v>Maďarsko</c:v>
                </c:pt>
                <c:pt idx="23">
                  <c:v>Slovinsko</c:v>
                </c:pt>
                <c:pt idx="24">
                  <c:v>Řecko</c:v>
                </c:pt>
                <c:pt idx="25">
                  <c:v>Německo</c:v>
                </c:pt>
                <c:pt idx="26">
                  <c:v>Rumunsko</c:v>
                </c:pt>
                <c:pt idx="27">
                  <c:v>Polsko</c:v>
                </c:pt>
                <c:pt idx="28">
                  <c:v>Česko</c:v>
                </c:pt>
                <c:pt idx="29">
                  <c:v>Litva</c:v>
                </c:pt>
              </c:strCache>
            </c:strRef>
          </c:cat>
          <c:val>
            <c:numRef>
              <c:f>'6-Sektor-nef. zadluženoist'!$Q$169:$Q$198</c:f>
              <c:numCache>
                <c:formatCode>#,##0.0</c:formatCode>
                <c:ptCount val="30"/>
                <c:pt idx="0">
                  <c:v>249.2</c:v>
                </c:pt>
                <c:pt idx="1">
                  <c:v>190.1</c:v>
                </c:pt>
                <c:pt idx="2">
                  <c:v>208.3</c:v>
                </c:pt>
                <c:pt idx="3">
                  <c:v>128</c:v>
                </c:pt>
                <c:pt idx="4">
                  <c:v>113</c:v>
                </c:pt>
                <c:pt idx="5">
                  <c:v>85.1</c:v>
                </c:pt>
                <c:pt idx="6">
                  <c:v>67.099999999999994</c:v>
                </c:pt>
                <c:pt idx="7">
                  <c:v>75.7</c:v>
                </c:pt>
                <c:pt idx="8">
                  <c:v>63.7</c:v>
                </c:pt>
                <c:pt idx="9">
                  <c:v>61.4</c:v>
                </c:pt>
                <c:pt idx="10">
                  <c:v>75.599999999999994</c:v>
                </c:pt>
                <c:pt idx="11">
                  <c:v>69.3</c:v>
                </c:pt>
                <c:pt idx="12">
                  <c:v>60.7</c:v>
                </c:pt>
                <c:pt idx="13">
                  <c:v>66.7</c:v>
                </c:pt>
                <c:pt idx="14">
                  <c:v>63.5</c:v>
                </c:pt>
                <c:pt idx="15">
                  <c:v>47.1</c:v>
                </c:pt>
                <c:pt idx="16">
                  <c:v>75.2</c:v>
                </c:pt>
                <c:pt idx="17">
                  <c:v>65.5</c:v>
                </c:pt>
                <c:pt idx="18">
                  <c:v>61.2</c:v>
                </c:pt>
                <c:pt idx="19">
                  <c:v>60.8</c:v>
                </c:pt>
                <c:pt idx="20">
                  <c:v>61.2</c:v>
                </c:pt>
                <c:pt idx="21">
                  <c:v>60.3</c:v>
                </c:pt>
                <c:pt idx="22">
                  <c:v>51.2</c:v>
                </c:pt>
                <c:pt idx="23">
                  <c:v>46.2</c:v>
                </c:pt>
                <c:pt idx="24">
                  <c:v>60.6</c:v>
                </c:pt>
                <c:pt idx="25">
                  <c:v>40.9</c:v>
                </c:pt>
                <c:pt idx="26">
                  <c:v>34.700000000000003</c:v>
                </c:pt>
                <c:pt idx="27">
                  <c:v>37</c:v>
                </c:pt>
                <c:pt idx="28">
                  <c:v>31.3</c:v>
                </c:pt>
                <c:pt idx="29">
                  <c:v>32.300000000000004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D02-4F37-BAF3-FA42EF95A8D6}"/>
            </c:ext>
          </c:extLst>
        </c:ser>
        <c:ser>
          <c:idx val="2"/>
          <c:order val="2"/>
          <c:tx>
            <c:strRef>
              <c:f>'6-Sektor-nef. zadluženoist'!$R$168</c:f>
              <c:strCache>
                <c:ptCount val="1"/>
                <c:pt idx="0">
                  <c:v>Ostatní pohledávky/závazky (AF.8)</c:v>
                </c:pt>
              </c:strCache>
            </c:strRef>
          </c:tx>
          <c:spPr>
            <a:ln>
              <a:noFill/>
            </a:ln>
          </c:spPr>
          <c:cat>
            <c:strRef>
              <c:f>'6-Sektor-nef. zadluženoist'!$L$169:$L$198</c:f>
              <c:strCache>
                <c:ptCount val="30"/>
                <c:pt idx="0">
                  <c:v>Lucemburs.</c:v>
                </c:pt>
                <c:pt idx="1">
                  <c:v>Irsko</c:v>
                </c:pt>
                <c:pt idx="2">
                  <c:v>Kypr</c:v>
                </c:pt>
                <c:pt idx="3">
                  <c:v>Nizozemsko</c:v>
                </c:pt>
                <c:pt idx="4">
                  <c:v>Belgie</c:v>
                </c:pt>
                <c:pt idx="5">
                  <c:v>Švédsko</c:v>
                </c:pt>
                <c:pt idx="6">
                  <c:v>Dánsko</c:v>
                </c:pt>
                <c:pt idx="7">
                  <c:v>Portugalsko</c:v>
                </c:pt>
                <c:pt idx="8">
                  <c:v>Malta</c:v>
                </c:pt>
                <c:pt idx="9">
                  <c:v>Francie</c:v>
                </c:pt>
                <c:pt idx="10">
                  <c:v>Bulharsko</c:v>
                </c:pt>
                <c:pt idx="11">
                  <c:v>Eurozóna (19)</c:v>
                </c:pt>
                <c:pt idx="12">
                  <c:v>Lotyšsko</c:v>
                </c:pt>
                <c:pt idx="13">
                  <c:v>EU28</c:v>
                </c:pt>
                <c:pt idx="14">
                  <c:v>V. Británie</c:v>
                </c:pt>
                <c:pt idx="15">
                  <c:v>Slovensko</c:v>
                </c:pt>
                <c:pt idx="16">
                  <c:v>Španělsko</c:v>
                </c:pt>
                <c:pt idx="17">
                  <c:v>Finsko</c:v>
                </c:pt>
                <c:pt idx="18">
                  <c:v>Estonsko</c:v>
                </c:pt>
                <c:pt idx="19">
                  <c:v>Chorvatsko</c:v>
                </c:pt>
                <c:pt idx="20">
                  <c:v>Rakousko</c:v>
                </c:pt>
                <c:pt idx="21">
                  <c:v>Itálie</c:v>
                </c:pt>
                <c:pt idx="22">
                  <c:v>Maďarsko</c:v>
                </c:pt>
                <c:pt idx="23">
                  <c:v>Slovinsko</c:v>
                </c:pt>
                <c:pt idx="24">
                  <c:v>Řecko</c:v>
                </c:pt>
                <c:pt idx="25">
                  <c:v>Německo</c:v>
                </c:pt>
                <c:pt idx="26">
                  <c:v>Rumunsko</c:v>
                </c:pt>
                <c:pt idx="27">
                  <c:v>Polsko</c:v>
                </c:pt>
                <c:pt idx="28">
                  <c:v>Česko</c:v>
                </c:pt>
                <c:pt idx="29">
                  <c:v>Litva</c:v>
                </c:pt>
              </c:strCache>
            </c:strRef>
          </c:cat>
          <c:val>
            <c:numRef>
              <c:f>'6-Sektor-nef. zadluženoist'!$R$169:$R$198</c:f>
              <c:numCache>
                <c:formatCode>#,##0.0</c:formatCode>
                <c:ptCount val="30"/>
                <c:pt idx="0">
                  <c:v>27.3</c:v>
                </c:pt>
                <c:pt idx="1">
                  <c:v>69.099999999999994</c:v>
                </c:pt>
                <c:pt idx="2">
                  <c:v>15.3</c:v>
                </c:pt>
                <c:pt idx="3">
                  <c:v>15.9</c:v>
                </c:pt>
                <c:pt idx="4">
                  <c:v>12.9</c:v>
                </c:pt>
                <c:pt idx="5">
                  <c:v>19.2</c:v>
                </c:pt>
                <c:pt idx="6">
                  <c:v>48</c:v>
                </c:pt>
                <c:pt idx="7">
                  <c:v>29.5</c:v>
                </c:pt>
                <c:pt idx="8">
                  <c:v>47.1</c:v>
                </c:pt>
                <c:pt idx="9">
                  <c:v>22</c:v>
                </c:pt>
                <c:pt idx="10">
                  <c:v>23.1</c:v>
                </c:pt>
                <c:pt idx="11">
                  <c:v>15.7</c:v>
                </c:pt>
                <c:pt idx="12">
                  <c:v>34.5</c:v>
                </c:pt>
                <c:pt idx="13">
                  <c:v>15.4</c:v>
                </c:pt>
                <c:pt idx="14">
                  <c:v>7.4</c:v>
                </c:pt>
                <c:pt idx="15">
                  <c:v>32.9</c:v>
                </c:pt>
                <c:pt idx="16">
                  <c:v>10.3</c:v>
                </c:pt>
                <c:pt idx="17">
                  <c:v>8.6</c:v>
                </c:pt>
                <c:pt idx="18">
                  <c:v>18.7</c:v>
                </c:pt>
                <c:pt idx="19">
                  <c:v>19.2</c:v>
                </c:pt>
                <c:pt idx="20">
                  <c:v>10.5</c:v>
                </c:pt>
                <c:pt idx="21">
                  <c:v>7.8</c:v>
                </c:pt>
                <c:pt idx="22">
                  <c:v>16.8</c:v>
                </c:pt>
                <c:pt idx="23">
                  <c:v>20.2</c:v>
                </c:pt>
                <c:pt idx="24">
                  <c:v>7.3</c:v>
                </c:pt>
                <c:pt idx="25">
                  <c:v>14.7</c:v>
                </c:pt>
                <c:pt idx="26">
                  <c:v>26.9</c:v>
                </c:pt>
                <c:pt idx="27">
                  <c:v>19</c:v>
                </c:pt>
                <c:pt idx="28">
                  <c:v>19.399999999999999</c:v>
                </c:pt>
                <c:pt idx="29">
                  <c:v>22.2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D02-4F37-BAF3-FA42EF95A8D6}"/>
            </c:ext>
          </c:extLst>
        </c:ser>
        <c:gapWidth val="72"/>
        <c:overlap val="100"/>
        <c:axId val="157094272"/>
        <c:axId val="157095808"/>
      </c:barChart>
      <c:catAx>
        <c:axId val="157094272"/>
        <c:scaling>
          <c:orientation val="minMax"/>
        </c:scaling>
        <c:axPos val="b"/>
        <c:numFmt formatCode="General" sourceLinked="1"/>
        <c:majorTickMark val="none"/>
        <c:tickLblPos val="low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cs-CZ"/>
          </a:p>
        </c:txPr>
        <c:crossAx val="157095808"/>
        <c:crosses val="autoZero"/>
        <c:auto val="1"/>
        <c:lblAlgn val="ctr"/>
        <c:lblOffset val="0"/>
        <c:tickLblSkip val="1"/>
        <c:tickMarkSkip val="1"/>
      </c:catAx>
      <c:valAx>
        <c:axId val="157095808"/>
        <c:scaling>
          <c:orientation val="minMax"/>
          <c:max val="350"/>
          <c:min val="0"/>
        </c:scaling>
        <c:axPos val="l"/>
        <c:majorGridlines>
          <c:spPr>
            <a:ln w="9525">
              <a:solidFill>
                <a:srgbClr val="BFBFBF"/>
              </a:solidFill>
            </a:ln>
          </c:spPr>
        </c:majorGridlines>
        <c:numFmt formatCode="0" sourceLinked="0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cs-CZ"/>
          </a:p>
        </c:txPr>
        <c:crossAx val="157094272"/>
        <c:crosses val="autoZero"/>
        <c:crossBetween val="between"/>
        <c:majorUnit val="50"/>
      </c:valAx>
      <c:spPr>
        <a:ln>
          <a:solidFill>
            <a:sysClr val="windowText" lastClr="000000">
              <a:lumMod val="95000"/>
              <a:lumOff val="5000"/>
            </a:sysClr>
          </a:solidFill>
        </a:ln>
      </c:spPr>
    </c:plotArea>
    <c:legend>
      <c:legendPos val="r"/>
      <c:layout>
        <c:manualLayout>
          <c:xMode val="edge"/>
          <c:yMode val="edge"/>
          <c:x val="0.11213214744918108"/>
          <c:y val="0.91685011298721342"/>
          <c:w val="0.85914132921761699"/>
          <c:h val="6.8889637458419514E-2"/>
        </c:manualLayout>
      </c:layout>
      <c:spPr>
        <a:ln>
          <a:solidFill>
            <a:schemeClr val="tx1">
              <a:lumMod val="95000"/>
              <a:lumOff val="5000"/>
            </a:schemeClr>
          </a:solidFill>
        </a:ln>
      </c:spPr>
      <c:txPr>
        <a:bodyPr/>
        <a:lstStyle/>
        <a:p>
          <a:pPr>
            <a:defRPr sz="800">
              <a:latin typeface="Arial" pitchFamily="34" charset="0"/>
              <a:cs typeface="Arial" pitchFamily="34" charset="0"/>
            </a:defRPr>
          </a:pPr>
          <a:endParaRPr lang="cs-CZ"/>
        </a:p>
      </c:txPr>
    </c:legend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BE39C-C88F-4C9F-BBC9-5B4278141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Anaýza ekonomického vývoje v roce 2017.dotx</Template>
  <TotalTime>1</TotalTime>
  <Pages>5</Pages>
  <Words>1472</Words>
  <Characters>8688</Characters>
  <Application>Microsoft Office Word</Application>
  <DocSecurity>0</DocSecurity>
  <Lines>72</Lines>
  <Paragraphs>20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Company>CSU</Company>
  <LinksUpToDate>false</LinksUpToDate>
  <CharactersWithSpaces>10140</CharactersWithSpaces>
  <SharedDoc>false</SharedDoc>
  <HLinks>
    <vt:vector size="18" baseType="variant">
      <vt:variant>
        <vt:i4>7602181</vt:i4>
      </vt:variant>
      <vt:variant>
        <vt:i4>11092</vt:i4>
      </vt:variant>
      <vt:variant>
        <vt:i4>1025</vt:i4>
      </vt:variant>
      <vt:variant>
        <vt:i4>1</vt:i4>
      </vt:variant>
      <vt:variant>
        <vt:lpwstr>msoFAAF</vt:lpwstr>
      </vt:variant>
      <vt:variant>
        <vt:lpwstr/>
      </vt:variant>
      <vt:variant>
        <vt:i4>7995509</vt:i4>
      </vt:variant>
      <vt:variant>
        <vt:i4>-1</vt:i4>
      </vt:variant>
      <vt:variant>
        <vt:i4>2058</vt:i4>
      </vt:variant>
      <vt:variant>
        <vt:i4>1</vt:i4>
      </vt:variant>
      <vt:variant>
        <vt:lpwstr>CSU RGB CZ logo-02</vt:lpwstr>
      </vt:variant>
      <vt:variant>
        <vt:lpwstr/>
      </vt:variant>
      <vt:variant>
        <vt:i4>7929973</vt:i4>
      </vt:variant>
      <vt:variant>
        <vt:i4>-1</vt:i4>
      </vt:variant>
      <vt:variant>
        <vt:i4>2059</vt:i4>
      </vt:variant>
      <vt:variant>
        <vt:i4>1</vt:i4>
      </vt:variant>
      <vt:variant>
        <vt:lpwstr>CSU RGB CZ logo-01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Karolína Súkupová</dc:creator>
  <cp:lastModifiedBy>kamenicky3604</cp:lastModifiedBy>
  <cp:revision>3</cp:revision>
  <cp:lastPrinted>2014-07-17T14:07:00Z</cp:lastPrinted>
  <dcterms:created xsi:type="dcterms:W3CDTF">2018-10-29T15:34:00Z</dcterms:created>
  <dcterms:modified xsi:type="dcterms:W3CDTF">2018-10-29T15:35:00Z</dcterms:modified>
</cp:coreProperties>
</file>