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E3AF" w14:textId="77777777" w:rsidR="00556844" w:rsidRDefault="00556844" w:rsidP="00556844">
      <w:pPr>
        <w:pStyle w:val="Zhlav"/>
        <w:tabs>
          <w:tab w:val="clear" w:pos="4536"/>
          <w:tab w:val="clear" w:pos="9072"/>
        </w:tabs>
        <w:jc w:val="both"/>
        <w:rPr>
          <w:rFonts w:ascii="Arial" w:hAnsi="Arial" w:cs="Arial"/>
          <w:bCs/>
          <w:i/>
          <w:iCs/>
          <w:sz w:val="20"/>
          <w:lang w:val="en-GB"/>
        </w:rPr>
      </w:pPr>
    </w:p>
    <w:p w14:paraId="3ECB5DCA" w14:textId="77777777" w:rsidR="006D737E" w:rsidRDefault="006D737E" w:rsidP="006D737E">
      <w:pPr>
        <w:pStyle w:val="Zhlav"/>
        <w:tabs>
          <w:tab w:val="clear" w:pos="4536"/>
          <w:tab w:val="clear" w:pos="9072"/>
        </w:tabs>
        <w:jc w:val="both"/>
        <w:rPr>
          <w:rFonts w:ascii="Arial" w:hAnsi="Arial" w:cs="Arial"/>
          <w:bCs/>
          <w:i/>
          <w:iCs/>
          <w:sz w:val="20"/>
          <w:lang w:val="en-GB"/>
        </w:rPr>
      </w:pPr>
    </w:p>
    <w:p w14:paraId="4F84A31A" w14:textId="26215972" w:rsidR="0040133D" w:rsidRPr="006D737E" w:rsidRDefault="0040133D" w:rsidP="006D737E">
      <w:pPr>
        <w:pStyle w:val="Nadpis1"/>
        <w:jc w:val="center"/>
        <w:rPr>
          <w:sz w:val="28"/>
          <w:szCs w:val="28"/>
        </w:rPr>
      </w:pPr>
      <w:r w:rsidRPr="006D737E">
        <w:rPr>
          <w:sz w:val="28"/>
          <w:szCs w:val="28"/>
        </w:rPr>
        <w:t>I. Methodological introduction</w:t>
      </w:r>
    </w:p>
    <w:p w14:paraId="2E7204BF" w14:textId="77777777" w:rsidR="0040133D" w:rsidRDefault="0040133D">
      <w:pPr>
        <w:pStyle w:val="Normln-A"/>
        <w:rPr>
          <w:rFonts w:ascii="Arial" w:hAnsi="Arial" w:cs="Arial"/>
          <w:b/>
          <w:i/>
          <w:iCs/>
          <w:sz w:val="20"/>
        </w:rPr>
      </w:pPr>
    </w:p>
    <w:p w14:paraId="672CE73B" w14:textId="77777777" w:rsidR="0040133D" w:rsidRDefault="0040133D">
      <w:pPr>
        <w:pStyle w:val="Normln-A"/>
        <w:rPr>
          <w:rFonts w:ascii="Arial" w:hAnsi="Arial" w:cs="Arial"/>
          <w:b/>
          <w:i/>
          <w:iCs/>
          <w:sz w:val="20"/>
        </w:rPr>
      </w:pPr>
    </w:p>
    <w:p w14:paraId="40AFA617" w14:textId="579F04B9"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bCs/>
          <w:i/>
          <w:iCs/>
          <w:sz w:val="20"/>
        </w:rPr>
        <w:t>The publication “Economic Results of the Industry of the CR in 20</w:t>
      </w:r>
      <w:r w:rsidR="009861AE">
        <w:rPr>
          <w:rFonts w:ascii="Arial" w:hAnsi="Arial" w:cs="Arial"/>
          <w:bCs/>
          <w:i/>
          <w:iCs/>
          <w:sz w:val="20"/>
        </w:rPr>
        <w:t>1</w:t>
      </w:r>
      <w:r w:rsidR="005352E2">
        <w:rPr>
          <w:rFonts w:ascii="Arial" w:hAnsi="Arial" w:cs="Arial"/>
          <w:bCs/>
          <w:i/>
          <w:iCs/>
          <w:sz w:val="20"/>
        </w:rPr>
        <w:t>2</w:t>
      </w:r>
      <w:r>
        <w:rPr>
          <w:rFonts w:ascii="Arial" w:hAnsi="Arial" w:cs="Arial"/>
          <w:bCs/>
          <w:i/>
          <w:iCs/>
          <w:sz w:val="20"/>
        </w:rPr>
        <w:t xml:space="preserve"> to </w:t>
      </w:r>
      <w:r w:rsidR="00AB1616">
        <w:rPr>
          <w:rFonts w:ascii="Arial" w:hAnsi="Arial" w:cs="Arial"/>
          <w:bCs/>
          <w:i/>
          <w:iCs/>
          <w:sz w:val="20"/>
        </w:rPr>
        <w:t>202</w:t>
      </w:r>
      <w:r w:rsidR="003A5114">
        <w:rPr>
          <w:rFonts w:ascii="Arial" w:hAnsi="Arial" w:cs="Arial"/>
          <w:bCs/>
          <w:i/>
          <w:iCs/>
          <w:sz w:val="20"/>
        </w:rPr>
        <w:t>4</w:t>
      </w:r>
      <w:r>
        <w:rPr>
          <w:rFonts w:ascii="Arial" w:hAnsi="Arial" w:cs="Arial"/>
          <w:bCs/>
          <w:i/>
          <w:iCs/>
          <w:sz w:val="20"/>
        </w:rPr>
        <w:t>” contains selected performance indicators from an annual structural statistical survey carried out in enterprises with principal (prevailing) industrial activities.</w:t>
      </w:r>
    </w:p>
    <w:p w14:paraId="2D838A29" w14:textId="77777777" w:rsidR="0040133D" w:rsidRDefault="0040133D">
      <w:pPr>
        <w:pStyle w:val="Normln-A"/>
        <w:spacing w:before="0" w:after="0"/>
        <w:rPr>
          <w:rFonts w:ascii="Arial" w:hAnsi="Arial" w:cs="Arial"/>
          <w:bCs/>
          <w:i/>
          <w:iCs/>
          <w:sz w:val="20"/>
        </w:rPr>
      </w:pPr>
    </w:p>
    <w:p w14:paraId="2A581D83"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An</w:t>
      </w:r>
      <w:r>
        <w:rPr>
          <w:rFonts w:ascii="Arial" w:hAnsi="Arial" w:cs="Arial"/>
          <w:b/>
          <w:i/>
          <w:iCs/>
          <w:sz w:val="20"/>
          <w:lang w:val="en-GB"/>
        </w:rPr>
        <w:t xml:space="preserve"> industrial branch</w:t>
      </w:r>
      <w:r>
        <w:rPr>
          <w:rFonts w:ascii="Arial" w:hAnsi="Arial" w:cs="Arial"/>
          <w:bCs/>
          <w:i/>
          <w:iCs/>
          <w:sz w:val="20"/>
          <w:lang w:val="en-GB"/>
        </w:rPr>
        <w:t xml:space="preserve"> (hereinafter referred to as the industry only) is a grouping of enterprises, which produce manufactured goods of similar economic destination during production of which the same or similar kinds of materials and supplies or the same technological procedures were used. The industry includes industrial activities of the whole enterprise. If the enterprise manufactures goods falling under several industries (industrial branches), it is allocated to that industry, which prevails in quantity.</w:t>
      </w:r>
    </w:p>
    <w:p w14:paraId="244DDBDD" w14:textId="77777777" w:rsidR="009B0089" w:rsidRDefault="009B0089">
      <w:pPr>
        <w:pStyle w:val="Zhlav"/>
        <w:tabs>
          <w:tab w:val="clear" w:pos="4536"/>
          <w:tab w:val="clear" w:pos="9072"/>
        </w:tabs>
        <w:ind w:firstLine="705"/>
        <w:jc w:val="both"/>
        <w:rPr>
          <w:rFonts w:ascii="Arial" w:hAnsi="Arial" w:cs="Arial"/>
          <w:bCs/>
          <w:i/>
          <w:iCs/>
          <w:sz w:val="20"/>
          <w:lang w:val="en-GB"/>
        </w:rPr>
      </w:pPr>
    </w:p>
    <w:p w14:paraId="2681CD3F" w14:textId="77777777" w:rsidR="0068274E" w:rsidRDefault="0068274E">
      <w:pPr>
        <w:pStyle w:val="Zhlav"/>
        <w:tabs>
          <w:tab w:val="clear" w:pos="4536"/>
          <w:tab w:val="clear" w:pos="9072"/>
        </w:tabs>
        <w:jc w:val="center"/>
        <w:rPr>
          <w:rFonts w:ascii="Arial" w:hAnsi="Arial" w:cs="Arial"/>
          <w:b/>
          <w:i/>
          <w:iCs/>
          <w:caps/>
          <w:sz w:val="26"/>
          <w:lang w:val="en-GB"/>
        </w:rPr>
      </w:pPr>
    </w:p>
    <w:p w14:paraId="409B468E" w14:textId="40A8CB08" w:rsidR="0040133D" w:rsidRDefault="0040133D">
      <w:pPr>
        <w:pStyle w:val="Zhlav"/>
        <w:tabs>
          <w:tab w:val="clear" w:pos="4536"/>
          <w:tab w:val="clear" w:pos="9072"/>
        </w:tabs>
        <w:jc w:val="center"/>
        <w:rPr>
          <w:rFonts w:ascii="Arial" w:hAnsi="Arial" w:cs="Arial"/>
          <w:b/>
          <w:i/>
          <w:iCs/>
          <w:caps/>
          <w:sz w:val="26"/>
          <w:lang w:val="en-GB"/>
        </w:rPr>
      </w:pPr>
      <w:r>
        <w:rPr>
          <w:rFonts w:ascii="Arial" w:hAnsi="Arial" w:cs="Arial"/>
          <w:b/>
          <w:i/>
          <w:iCs/>
          <w:caps/>
          <w:sz w:val="26"/>
          <w:lang w:val="en-GB"/>
        </w:rPr>
        <w:t>classification of indicators</w:t>
      </w:r>
    </w:p>
    <w:p w14:paraId="1FEE7F51" w14:textId="77777777" w:rsidR="0040133D" w:rsidRDefault="0040133D">
      <w:pPr>
        <w:pStyle w:val="Zhlav"/>
        <w:tabs>
          <w:tab w:val="clear" w:pos="4536"/>
          <w:tab w:val="clear" w:pos="9072"/>
        </w:tabs>
        <w:jc w:val="both"/>
        <w:rPr>
          <w:rFonts w:ascii="Arial" w:hAnsi="Arial" w:cs="Arial"/>
          <w:bCs/>
          <w:i/>
          <w:iCs/>
          <w:sz w:val="20"/>
          <w:lang w:val="en-GB"/>
        </w:rPr>
      </w:pPr>
    </w:p>
    <w:p w14:paraId="1B971614" w14:textId="77777777" w:rsidR="0040133D" w:rsidRDefault="0040133D">
      <w:pPr>
        <w:pStyle w:val="Zhlav"/>
        <w:tabs>
          <w:tab w:val="clear" w:pos="4536"/>
          <w:tab w:val="clear" w:pos="9072"/>
        </w:tabs>
        <w:jc w:val="both"/>
        <w:rPr>
          <w:rFonts w:ascii="Arial" w:hAnsi="Arial" w:cs="Arial"/>
          <w:bCs/>
          <w:i/>
          <w:iCs/>
          <w:sz w:val="20"/>
          <w:lang w:val="en-GB"/>
        </w:rPr>
      </w:pPr>
    </w:p>
    <w:p w14:paraId="0E36B3F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The indicators are broken down according to the statistical </w:t>
      </w:r>
      <w:r>
        <w:rPr>
          <w:rFonts w:ascii="Arial" w:hAnsi="Arial" w:cs="Arial"/>
          <w:b/>
          <w:i/>
          <w:iCs/>
          <w:sz w:val="20"/>
          <w:lang w:val="en-GB"/>
        </w:rPr>
        <w:t>Classification of Economic Activities (CZ-NACE)</w:t>
      </w:r>
      <w:r>
        <w:rPr>
          <w:rFonts w:ascii="Arial" w:hAnsi="Arial" w:cs="Arial"/>
          <w:bCs/>
          <w:i/>
          <w:iCs/>
          <w:sz w:val="20"/>
          <w:lang w:val="en-GB"/>
        </w:rPr>
        <w:t>, in force since 1 January 2008, which breaks the industry into four sections: (</w:t>
      </w:r>
      <w:proofErr w:type="spellStart"/>
      <w:r>
        <w:rPr>
          <w:rFonts w:ascii="Arial" w:hAnsi="Arial" w:cs="Arial"/>
          <w:bCs/>
          <w:i/>
          <w:iCs/>
          <w:sz w:val="20"/>
          <w:lang w:val="en-GB"/>
        </w:rPr>
        <w:t>i</w:t>
      </w:r>
      <w:proofErr w:type="spellEnd"/>
      <w:r>
        <w:rPr>
          <w:rFonts w:ascii="Arial" w:hAnsi="Arial" w:cs="Arial"/>
          <w:bCs/>
          <w:i/>
          <w:iCs/>
          <w:sz w:val="20"/>
          <w:lang w:val="en-GB"/>
        </w:rPr>
        <w:t xml:space="preserve">) Mining and quarrying, (ii) Manufacturing, (iii) Electricity, gas, steam and air conditioning supply, and (iv) Water supply; sewerage, waste management and remediation activities, broken further down into </w:t>
      </w:r>
      <w:r w:rsidR="006B6159">
        <w:rPr>
          <w:rFonts w:ascii="Arial" w:hAnsi="Arial" w:cs="Arial"/>
          <w:bCs/>
          <w:i/>
          <w:iCs/>
          <w:sz w:val="20"/>
          <w:lang w:val="en-GB"/>
        </w:rPr>
        <w:t xml:space="preserve">34 </w:t>
      </w:r>
      <w:r>
        <w:rPr>
          <w:rFonts w:ascii="Arial" w:hAnsi="Arial" w:cs="Arial"/>
          <w:bCs/>
          <w:i/>
          <w:iCs/>
          <w:sz w:val="20"/>
          <w:lang w:val="en-GB"/>
        </w:rPr>
        <w:t>divisions.</w:t>
      </w:r>
    </w:p>
    <w:p w14:paraId="63A2D52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Selected indicators are broken down by size group according to the number of persons employed. (The enterprises are divided into size groups with 0-49, 50-249, and 250+ employed persons.)</w:t>
      </w:r>
    </w:p>
    <w:p w14:paraId="78D76159" w14:textId="77777777" w:rsidR="0040133D" w:rsidRDefault="0040133D">
      <w:pPr>
        <w:pStyle w:val="Normln-A"/>
        <w:spacing w:before="0" w:after="0"/>
        <w:rPr>
          <w:rFonts w:ascii="Arial" w:hAnsi="Arial" w:cs="Arial"/>
          <w:bCs/>
          <w:i/>
          <w:iCs/>
          <w:sz w:val="20"/>
        </w:rPr>
      </w:pPr>
    </w:p>
    <w:p w14:paraId="79BE9807" w14:textId="77777777" w:rsidR="0040133D" w:rsidRDefault="0040133D">
      <w:pPr>
        <w:pStyle w:val="Normln-A"/>
        <w:spacing w:before="0" w:after="0"/>
        <w:rPr>
          <w:rFonts w:ascii="Arial" w:hAnsi="Arial" w:cs="Arial"/>
          <w:bCs/>
          <w:i/>
          <w:iCs/>
          <w:sz w:val="20"/>
        </w:rPr>
      </w:pPr>
    </w:p>
    <w:p w14:paraId="1FDB38C2" w14:textId="77777777" w:rsidR="0040133D" w:rsidRDefault="0040133D">
      <w:pPr>
        <w:pStyle w:val="Nadpis9"/>
        <w:ind w:firstLine="0"/>
        <w:jc w:val="center"/>
        <w:rPr>
          <w:sz w:val="26"/>
          <w:lang w:val="en-GB"/>
        </w:rPr>
      </w:pPr>
      <w:r>
        <w:rPr>
          <w:sz w:val="26"/>
          <w:lang w:val="en-GB"/>
        </w:rPr>
        <w:t>contents of the SURVEY</w:t>
      </w:r>
    </w:p>
    <w:p w14:paraId="381D39D4" w14:textId="77777777" w:rsidR="0040133D" w:rsidRDefault="0040133D">
      <w:pPr>
        <w:pStyle w:val="Normln-A"/>
        <w:spacing w:before="0" w:after="0"/>
        <w:rPr>
          <w:rFonts w:ascii="Arial" w:hAnsi="Arial" w:cs="Arial"/>
          <w:b/>
          <w:i/>
          <w:iCs/>
          <w:sz w:val="20"/>
        </w:rPr>
      </w:pPr>
    </w:p>
    <w:p w14:paraId="54403B34" w14:textId="77777777" w:rsidR="0040133D" w:rsidRDefault="0040133D">
      <w:pPr>
        <w:pStyle w:val="Normln-A"/>
        <w:spacing w:before="0" w:after="0"/>
        <w:rPr>
          <w:rFonts w:ascii="Arial" w:hAnsi="Arial" w:cs="Arial"/>
          <w:b/>
          <w:i/>
          <w:iCs/>
          <w:sz w:val="20"/>
        </w:rPr>
      </w:pPr>
    </w:p>
    <w:p w14:paraId="3F2C14C7" w14:textId="77777777"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i/>
          <w:iCs/>
          <w:sz w:val="20"/>
        </w:rPr>
        <w:t>The</w:t>
      </w:r>
      <w:r>
        <w:rPr>
          <w:rFonts w:ascii="Arial" w:hAnsi="Arial" w:cs="Arial"/>
          <w:b/>
          <w:i/>
          <w:iCs/>
          <w:sz w:val="20"/>
        </w:rPr>
        <w:t xml:space="preserve"> basic reporting unit </w:t>
      </w:r>
      <w:r>
        <w:rPr>
          <w:rFonts w:ascii="Arial" w:hAnsi="Arial" w:cs="Arial"/>
          <w:i/>
          <w:iCs/>
          <w:sz w:val="20"/>
        </w:rPr>
        <w:t>of statistics</w:t>
      </w:r>
      <w:r>
        <w:rPr>
          <w:rFonts w:ascii="Arial" w:hAnsi="Arial" w:cs="Arial"/>
          <w:bCs/>
          <w:i/>
          <w:iCs/>
          <w:sz w:val="20"/>
        </w:rPr>
        <w:t xml:space="preserve"> on industry is the enterprise - i.e. a legal person or a natural person with the status of an entrepreneur. The enterprises are divided into two groups, irrespective of their principal activity:</w:t>
      </w:r>
    </w:p>
    <w:p w14:paraId="1925FCCC"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natural persons in business under the Trade Act (and similar regulations</w:t>
      </w:r>
      <w:proofErr w:type="gramStart"/>
      <w:r>
        <w:rPr>
          <w:rFonts w:ascii="Arial" w:hAnsi="Arial" w:cs="Arial"/>
          <w:bCs/>
          <w:i/>
          <w:iCs/>
          <w:sz w:val="20"/>
          <w:lang w:val="en-GB"/>
        </w:rPr>
        <w:t>);</w:t>
      </w:r>
      <w:proofErr w:type="gramEnd"/>
    </w:p>
    <w:p w14:paraId="615FE42A"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 xml:space="preserve">legal persons in business under the </w:t>
      </w:r>
      <w:r w:rsidR="00B80B27" w:rsidRPr="00B80B27">
        <w:rPr>
          <w:rFonts w:ascii="Arial" w:hAnsi="Arial" w:cs="Arial"/>
          <w:bCs/>
          <w:i/>
          <w:iCs/>
          <w:sz w:val="20"/>
          <w:lang w:val="en-GB"/>
        </w:rPr>
        <w:t>Business Corporations</w:t>
      </w:r>
      <w:r>
        <w:rPr>
          <w:rFonts w:ascii="Arial" w:hAnsi="Arial" w:cs="Arial"/>
          <w:bCs/>
          <w:i/>
          <w:iCs/>
          <w:sz w:val="20"/>
          <w:lang w:val="en-GB"/>
        </w:rPr>
        <w:t xml:space="preserve"> Act – i.e. trade companies and partnerships (which also include incorporated natural persons).</w:t>
      </w:r>
    </w:p>
    <w:p w14:paraId="36C11918" w14:textId="77777777" w:rsidR="0040133D" w:rsidRDefault="0040133D">
      <w:pPr>
        <w:pStyle w:val="Normln-A"/>
        <w:spacing w:before="0" w:after="0"/>
        <w:rPr>
          <w:rFonts w:ascii="Arial" w:hAnsi="Arial" w:cs="Arial"/>
          <w:bCs/>
          <w:i/>
          <w:iCs/>
          <w:sz w:val="20"/>
        </w:rPr>
      </w:pPr>
    </w:p>
    <w:p w14:paraId="28EC6E89"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As these two groups use different accounting systems, as laid down in regulations, adjustments had to be made to their questionnaires accordingly. </w:t>
      </w:r>
    </w:p>
    <w:p w14:paraId="115935D2" w14:textId="77777777" w:rsidR="0040133D" w:rsidRDefault="0040133D">
      <w:pPr>
        <w:pStyle w:val="Normln-A"/>
        <w:spacing w:before="0" w:after="0"/>
        <w:rPr>
          <w:rFonts w:ascii="Arial" w:hAnsi="Arial" w:cs="Arial"/>
          <w:bCs/>
          <w:i/>
          <w:iCs/>
          <w:sz w:val="20"/>
        </w:rPr>
      </w:pPr>
    </w:p>
    <w:p w14:paraId="267267AC"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 xml:space="preserve">Legal persons </w:t>
      </w:r>
      <w:r>
        <w:rPr>
          <w:rFonts w:ascii="Arial" w:hAnsi="Arial" w:cs="Arial"/>
          <w:bCs/>
          <w:i/>
          <w:iCs/>
          <w:sz w:val="20"/>
          <w:lang w:val="en-GB"/>
        </w:rPr>
        <w:t>and incorporated natural persons (using double-entry accounting as stipulated by the law) are sent the P 5-01 questionnaire.</w:t>
      </w:r>
    </w:p>
    <w:p w14:paraId="0DFFF5AC" w14:textId="77777777" w:rsidR="0040133D" w:rsidRDefault="0040133D">
      <w:pPr>
        <w:pStyle w:val="Zhlav"/>
        <w:tabs>
          <w:tab w:val="clear" w:pos="4536"/>
          <w:tab w:val="clear" w:pos="9072"/>
        </w:tabs>
        <w:jc w:val="both"/>
        <w:rPr>
          <w:rFonts w:ascii="Arial" w:hAnsi="Arial" w:cs="Arial"/>
          <w:bCs/>
          <w:i/>
          <w:iCs/>
          <w:sz w:val="20"/>
          <w:lang w:val="en-GB"/>
        </w:rPr>
      </w:pPr>
    </w:p>
    <w:p w14:paraId="2F808633"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Unincorporated natural persons</w:t>
      </w:r>
      <w:r>
        <w:rPr>
          <w:rFonts w:ascii="Arial" w:hAnsi="Arial" w:cs="Arial"/>
          <w:bCs/>
          <w:i/>
          <w:iCs/>
          <w:sz w:val="20"/>
          <w:lang w:val="en-GB"/>
        </w:rPr>
        <w:t xml:space="preserve"> have not been covered by any statistical survey since the year 2010. Results for these enterprises are based on administrative data resources (income tax, value added tax, data from the Czech Social Security Administration). Historical data until the year 2009 were based on the direct survey (the P 4-01 questionnaire).</w:t>
      </w:r>
    </w:p>
    <w:p w14:paraId="70A92DA3" w14:textId="77777777" w:rsidR="0040133D" w:rsidRDefault="0040133D">
      <w:pPr>
        <w:pStyle w:val="Zhlav"/>
        <w:tabs>
          <w:tab w:val="clear" w:pos="4536"/>
          <w:tab w:val="clear" w:pos="9072"/>
        </w:tabs>
        <w:jc w:val="both"/>
        <w:rPr>
          <w:rFonts w:ascii="Arial" w:hAnsi="Arial" w:cs="Arial"/>
          <w:bCs/>
          <w:i/>
          <w:iCs/>
          <w:sz w:val="20"/>
          <w:lang w:val="en-GB"/>
        </w:rPr>
      </w:pPr>
    </w:p>
    <w:p w14:paraId="2548C1A0" w14:textId="77777777" w:rsidR="0040133D" w:rsidRDefault="0040133D">
      <w:pPr>
        <w:pStyle w:val="Zhlav"/>
        <w:tabs>
          <w:tab w:val="clear" w:pos="4536"/>
          <w:tab w:val="clear" w:pos="9072"/>
        </w:tabs>
        <w:jc w:val="both"/>
        <w:rPr>
          <w:rFonts w:ascii="Arial" w:hAnsi="Arial" w:cs="Arial"/>
          <w:bCs/>
          <w:i/>
          <w:iCs/>
          <w:sz w:val="20"/>
          <w:lang w:val="en-GB"/>
        </w:rPr>
      </w:pPr>
    </w:p>
    <w:p w14:paraId="7338D0E4" w14:textId="77777777" w:rsidR="0040133D" w:rsidRDefault="0040133D">
      <w:pPr>
        <w:pStyle w:val="Nadpis9"/>
        <w:ind w:firstLine="0"/>
        <w:jc w:val="center"/>
        <w:rPr>
          <w:sz w:val="26"/>
          <w:lang w:val="en-GB"/>
        </w:rPr>
      </w:pPr>
      <w:r>
        <w:rPr>
          <w:sz w:val="26"/>
          <w:lang w:val="en-GB"/>
        </w:rPr>
        <w:t>Methodology of indicators</w:t>
      </w:r>
    </w:p>
    <w:p w14:paraId="65B2BCC0" w14:textId="77777777" w:rsidR="0040133D" w:rsidRDefault="0040133D">
      <w:pPr>
        <w:pStyle w:val="Zhlav"/>
        <w:tabs>
          <w:tab w:val="clear" w:pos="4536"/>
          <w:tab w:val="clear" w:pos="9072"/>
        </w:tabs>
        <w:jc w:val="both"/>
        <w:rPr>
          <w:rFonts w:ascii="Arial" w:hAnsi="Arial" w:cs="Arial"/>
          <w:b/>
          <w:i/>
          <w:iCs/>
          <w:sz w:val="20"/>
          <w:lang w:val="en-GB"/>
        </w:rPr>
      </w:pPr>
    </w:p>
    <w:p w14:paraId="150010C2" w14:textId="77777777" w:rsidR="0040133D" w:rsidRDefault="0040133D">
      <w:pPr>
        <w:pStyle w:val="Zhlav"/>
        <w:tabs>
          <w:tab w:val="clear" w:pos="4536"/>
          <w:tab w:val="clear" w:pos="9072"/>
        </w:tabs>
        <w:jc w:val="both"/>
        <w:rPr>
          <w:rFonts w:ascii="Arial" w:hAnsi="Arial" w:cs="Arial"/>
          <w:b/>
          <w:i/>
          <w:iCs/>
          <w:sz w:val="20"/>
          <w:lang w:val="en-GB"/>
        </w:rPr>
      </w:pPr>
    </w:p>
    <w:p w14:paraId="3E8F916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number of active enterprises</w:t>
      </w:r>
      <w:r>
        <w:rPr>
          <w:rFonts w:ascii="Arial" w:hAnsi="Arial" w:cs="Arial"/>
          <w:bCs/>
          <w:i/>
          <w:iCs/>
          <w:sz w:val="20"/>
          <w:lang w:val="en-GB"/>
        </w:rPr>
        <w:t xml:space="preserve"> is the number of enterprises, which were active at least for a part of the year. The given numbers of enterprises are numbers from the survey, grossed up to the basic population of enterprises. The basic population is generated from the Statistical Business Register.</w:t>
      </w:r>
    </w:p>
    <w:p w14:paraId="24C92B34" w14:textId="77777777" w:rsidR="0040133D" w:rsidRDefault="0040133D">
      <w:pPr>
        <w:pStyle w:val="Zhlav"/>
        <w:tabs>
          <w:tab w:val="clear" w:pos="4536"/>
          <w:tab w:val="clear" w:pos="9072"/>
        </w:tabs>
        <w:jc w:val="both"/>
        <w:rPr>
          <w:rFonts w:ascii="Arial" w:hAnsi="Arial" w:cs="Arial"/>
          <w:bCs/>
          <w:i/>
          <w:iCs/>
          <w:sz w:val="20"/>
          <w:lang w:val="en-GB"/>
        </w:rPr>
      </w:pPr>
    </w:p>
    <w:p w14:paraId="548B321F" w14:textId="77777777" w:rsidR="0040133D" w:rsidRDefault="0040133D">
      <w:pPr>
        <w:pStyle w:val="Zhlav"/>
        <w:tabs>
          <w:tab w:val="clear" w:pos="4536"/>
          <w:tab w:val="clear" w:pos="9072"/>
        </w:tabs>
        <w:ind w:firstLine="705"/>
        <w:jc w:val="both"/>
        <w:rPr>
          <w:lang w:val="en-GB"/>
        </w:rPr>
      </w:pPr>
      <w:r>
        <w:rPr>
          <w:rFonts w:ascii="Arial" w:hAnsi="Arial" w:cs="Arial"/>
          <w:i/>
          <w:iCs/>
          <w:sz w:val="20"/>
          <w:lang w:val="en-GB"/>
        </w:rPr>
        <w:lastRenderedPageBreak/>
        <w:t>The</w:t>
      </w:r>
      <w:r>
        <w:rPr>
          <w:rFonts w:ascii="Arial" w:hAnsi="Arial" w:cs="Arial"/>
          <w:b/>
          <w:i/>
          <w:iCs/>
          <w:sz w:val="20"/>
          <w:lang w:val="en-GB"/>
        </w:rPr>
        <w:t xml:space="preserve"> number of persons employed</w:t>
      </w:r>
      <w:r>
        <w:rPr>
          <w:rFonts w:ascii="Arial" w:hAnsi="Arial" w:cs="Arial"/>
          <w:bCs/>
          <w:i/>
          <w:iCs/>
          <w:sz w:val="20"/>
          <w:lang w:val="en-GB"/>
        </w:rPr>
        <w:t xml:space="preserve"> is the sum of registered number of employees (headcount), the number of working owners of companies and cooperating household members, for whom the work in the company is their main economic activity, and the number of persons working under various contracts for work.</w:t>
      </w:r>
    </w:p>
    <w:p w14:paraId="7B0EACFE"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7D0F9564" w14:textId="77777777" w:rsidR="00BD6634" w:rsidRPr="009861AE" w:rsidRDefault="00BD6634" w:rsidP="00BD6634">
      <w:pPr>
        <w:pStyle w:val="Zhlav"/>
        <w:tabs>
          <w:tab w:val="clear" w:pos="4536"/>
          <w:tab w:val="clear" w:pos="9072"/>
        </w:tabs>
        <w:ind w:firstLine="705"/>
        <w:jc w:val="both"/>
        <w:rPr>
          <w:rFonts w:ascii="Arial" w:hAnsi="Arial" w:cs="Arial"/>
          <w:i/>
          <w:iCs/>
          <w:sz w:val="20"/>
          <w:lang w:val="en-GB"/>
        </w:rPr>
      </w:pPr>
      <w:r>
        <w:rPr>
          <w:rFonts w:ascii="Arial" w:hAnsi="Arial" w:cs="Arial"/>
          <w:i/>
          <w:iCs/>
          <w:sz w:val="20"/>
          <w:lang w:val="en-GB"/>
        </w:rPr>
        <w:t xml:space="preserve">The </w:t>
      </w:r>
      <w:r w:rsidRPr="009861AE">
        <w:rPr>
          <w:rFonts w:ascii="Arial" w:hAnsi="Arial" w:cs="Arial"/>
          <w:b/>
          <w:i/>
          <w:iCs/>
          <w:sz w:val="20"/>
          <w:lang w:val="en-GB"/>
        </w:rPr>
        <w:t>number of active entrepreneurs and cooperating household members in principal activity</w:t>
      </w:r>
      <w:r>
        <w:rPr>
          <w:rFonts w:ascii="Arial" w:hAnsi="Arial" w:cs="Arial"/>
          <w:b/>
          <w:i/>
          <w:iCs/>
          <w:sz w:val="20"/>
          <w:lang w:val="en-GB"/>
        </w:rPr>
        <w:t xml:space="preserve"> </w:t>
      </w:r>
      <w:r>
        <w:rPr>
          <w:rFonts w:ascii="Arial" w:hAnsi="Arial" w:cs="Arial"/>
          <w:i/>
          <w:iCs/>
          <w:sz w:val="20"/>
          <w:lang w:val="en-GB"/>
        </w:rPr>
        <w:t xml:space="preserve">include active entrepreneurs and cooperating household members </w:t>
      </w:r>
      <w:r w:rsidR="00B92BDB">
        <w:rPr>
          <w:rFonts w:ascii="Arial" w:hAnsi="Arial" w:cs="Arial"/>
          <w:i/>
          <w:iCs/>
          <w:sz w:val="20"/>
          <w:lang w:val="en-GB"/>
        </w:rPr>
        <w:t>with self-employment as their principal activity.</w:t>
      </w:r>
    </w:p>
    <w:p w14:paraId="59E306C0" w14:textId="77777777" w:rsidR="00BD6634" w:rsidRDefault="00BD6634">
      <w:pPr>
        <w:pStyle w:val="Zhlav"/>
        <w:tabs>
          <w:tab w:val="clear" w:pos="4536"/>
          <w:tab w:val="clear" w:pos="9072"/>
        </w:tabs>
        <w:ind w:firstLine="705"/>
        <w:jc w:val="both"/>
        <w:rPr>
          <w:rFonts w:ascii="Arial" w:hAnsi="Arial" w:cs="Arial"/>
          <w:bCs/>
          <w:i/>
          <w:iCs/>
          <w:sz w:val="20"/>
          <w:lang w:val="en-GB"/>
        </w:rPr>
      </w:pPr>
    </w:p>
    <w:p w14:paraId="7586E37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registered number of employees</w:t>
      </w:r>
      <w:r>
        <w:rPr>
          <w:rFonts w:ascii="Arial" w:hAnsi="Arial" w:cs="Arial"/>
          <w:bCs/>
          <w:i/>
          <w:iCs/>
          <w:sz w:val="20"/>
          <w:lang w:val="en-GB"/>
        </w:rPr>
        <w:t xml:space="preserve"> (headcount) is calculated as the arithmetic average of the average number of employees in individual months. It covers all categories of permanent, seasonal, and temporary employees, who have contracts of employment with their employers.</w:t>
      </w:r>
    </w:p>
    <w:p w14:paraId="52D145C3" w14:textId="77777777" w:rsidR="0040133D" w:rsidRDefault="0040133D">
      <w:pPr>
        <w:pStyle w:val="Zhlav"/>
        <w:tabs>
          <w:tab w:val="clear" w:pos="4536"/>
          <w:tab w:val="clear" w:pos="9072"/>
        </w:tabs>
        <w:jc w:val="both"/>
        <w:rPr>
          <w:rFonts w:ascii="Arial" w:hAnsi="Arial" w:cs="Arial"/>
          <w:bCs/>
          <w:i/>
          <w:iCs/>
          <w:sz w:val="20"/>
          <w:lang w:val="en-GB"/>
        </w:rPr>
      </w:pPr>
    </w:p>
    <w:p w14:paraId="416E3BA8"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monthly gross wage</w:t>
      </w:r>
      <w:r>
        <w:rPr>
          <w:rFonts w:ascii="Arial" w:hAnsi="Arial" w:cs="Arial"/>
          <w:bCs/>
          <w:i/>
          <w:iCs/>
          <w:sz w:val="20"/>
          <w:lang w:val="en-GB"/>
        </w:rPr>
        <w:t xml:space="preserve"> per employee includes all incomes from employment (direct wages and salaries, personal bonuses and other bonuses, company profit sharing, and wage compensations) charged to be paid to registered employees in compliance with regulations on wages and salaries.</w:t>
      </w:r>
    </w:p>
    <w:p w14:paraId="3CF37280"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27C638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Values of assets, liabilities and components</w:t>
      </w:r>
      <w:r>
        <w:rPr>
          <w:rFonts w:ascii="Arial" w:hAnsi="Arial" w:cs="Arial"/>
          <w:bCs/>
          <w:i/>
          <w:iCs/>
          <w:sz w:val="20"/>
          <w:lang w:val="en-GB"/>
        </w:rPr>
        <w:t xml:space="preserve"> </w:t>
      </w:r>
      <w:r>
        <w:rPr>
          <w:rFonts w:ascii="Arial" w:hAnsi="Arial" w:cs="Arial"/>
          <w:i/>
          <w:iCs/>
          <w:sz w:val="20"/>
          <w:lang w:val="en-GB"/>
        </w:rPr>
        <w:t>thereof</w:t>
      </w:r>
      <w:r>
        <w:rPr>
          <w:rFonts w:ascii="Arial" w:hAnsi="Arial" w:cs="Arial"/>
          <w:bCs/>
          <w:i/>
          <w:iCs/>
          <w:sz w:val="20"/>
          <w:lang w:val="en-GB"/>
        </w:rPr>
        <w:t xml:space="preserve"> refer to end-of-calendar-year balances on balance sheets. For natural persons using single-entry accounting, they refer to the values of individual components of assets and liabilities as at the end of calendar year. The content of the indicators corresponds to the chart of accounts for entrepreneurs.</w:t>
      </w:r>
    </w:p>
    <w:p w14:paraId="59021EE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4167A7D5" w14:textId="2EB4BAB0" w:rsidR="0040133D" w:rsidRPr="00BD6634" w:rsidRDefault="00BD6634">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 xml:space="preserve">Not-own capital </w:t>
      </w:r>
      <w:r w:rsidR="002223B2" w:rsidRPr="002223B2">
        <w:rPr>
          <w:rFonts w:ascii="Arial" w:hAnsi="Arial" w:cs="Arial"/>
          <w:bCs/>
          <w:i/>
          <w:iCs/>
          <w:sz w:val="20"/>
          <w:lang w:val="en-GB"/>
        </w:rPr>
        <w:t>includes</w:t>
      </w:r>
      <w:r w:rsidR="002223B2">
        <w:rPr>
          <w:rFonts w:ascii="Arial" w:hAnsi="Arial" w:cs="Arial"/>
          <w:bCs/>
          <w:i/>
          <w:iCs/>
          <w:sz w:val="20"/>
          <w:lang w:val="en-GB"/>
        </w:rPr>
        <w:t xml:space="preserve"> </w:t>
      </w:r>
      <w:r w:rsidR="007B311C">
        <w:rPr>
          <w:rFonts w:ascii="Arial" w:hAnsi="Arial" w:cs="Arial"/>
          <w:bCs/>
          <w:i/>
          <w:iCs/>
          <w:sz w:val="20"/>
          <w:lang w:val="en-GB"/>
        </w:rPr>
        <w:t>trade liabilities, received advances and liability estimates, debt securities, warrants and financial derivatives, borrowing and financial assistance received, settlement of grants and since 2016 also liabilities to credit institutions. In purpose of year on year comparability, the years 201</w:t>
      </w:r>
      <w:r w:rsidR="00B0165C">
        <w:rPr>
          <w:rFonts w:ascii="Arial" w:hAnsi="Arial" w:cs="Arial"/>
          <w:bCs/>
          <w:i/>
          <w:iCs/>
          <w:sz w:val="20"/>
          <w:lang w:val="en-GB"/>
        </w:rPr>
        <w:t>2</w:t>
      </w:r>
      <w:r w:rsidR="007B311C">
        <w:rPr>
          <w:rFonts w:ascii="Arial" w:hAnsi="Arial" w:cs="Arial"/>
          <w:bCs/>
          <w:i/>
          <w:iCs/>
          <w:sz w:val="20"/>
          <w:lang w:val="en-GB"/>
        </w:rPr>
        <w:t>-2015 were retrospectively recalculated in the 2016 methodology.</w:t>
      </w:r>
    </w:p>
    <w:p w14:paraId="409E6727" w14:textId="77777777" w:rsidR="00BD6634" w:rsidRDefault="00BD6634">
      <w:pPr>
        <w:pStyle w:val="Zhlav"/>
        <w:tabs>
          <w:tab w:val="clear" w:pos="4536"/>
          <w:tab w:val="clear" w:pos="9072"/>
        </w:tabs>
        <w:jc w:val="both"/>
        <w:rPr>
          <w:rFonts w:ascii="Arial" w:hAnsi="Arial" w:cs="Arial"/>
          <w:bCs/>
          <w:i/>
          <w:iCs/>
          <w:sz w:val="20"/>
          <w:lang w:val="en-GB"/>
        </w:rPr>
      </w:pPr>
    </w:p>
    <w:p w14:paraId="17E815AB" w14:textId="77777777" w:rsidR="0040133D" w:rsidRDefault="0040133D">
      <w:pPr>
        <w:pStyle w:val="Zhlav"/>
        <w:tabs>
          <w:tab w:val="clear" w:pos="4536"/>
          <w:tab w:val="clear" w:pos="9072"/>
        </w:tabs>
        <w:ind w:firstLine="705"/>
        <w:jc w:val="both"/>
        <w:rPr>
          <w:rFonts w:ascii="Arial" w:hAnsi="Arial" w:cs="Arial"/>
          <w:bCs/>
          <w:i/>
          <w:iCs/>
          <w:snapToGrid w:val="0"/>
          <w:sz w:val="20"/>
          <w:lang w:val="en-GB"/>
        </w:rPr>
      </w:pPr>
      <w:r>
        <w:rPr>
          <w:rFonts w:ascii="Arial" w:hAnsi="Arial" w:cs="Arial"/>
          <w:b/>
          <w:i/>
          <w:iCs/>
          <w:snapToGrid w:val="0"/>
          <w:sz w:val="20"/>
          <w:lang w:val="en-GB"/>
        </w:rPr>
        <w:t>Acquisition of intangible and tangible fixed assets</w:t>
      </w:r>
      <w:r>
        <w:rPr>
          <w:rFonts w:ascii="Arial" w:hAnsi="Arial" w:cs="Arial"/>
          <w:bCs/>
          <w:i/>
          <w:iCs/>
          <w:snapToGrid w:val="0"/>
          <w:sz w:val="20"/>
          <w:lang w:val="en-GB"/>
        </w:rPr>
        <w:t xml:space="preserve"> is a sum </w:t>
      </w:r>
      <w:r>
        <w:rPr>
          <w:rFonts w:ascii="Arial" w:hAnsi="Arial" w:cs="Arial"/>
          <w:bCs/>
          <w:i/>
          <w:iCs/>
          <w:sz w:val="20"/>
          <w:lang w:val="en-GB"/>
        </w:rPr>
        <w:t xml:space="preserve">of expenses outlaid by reporting units on the acquisition of fixed assets (by purchase, through own activity, by acquiring of the right to the result of own intellectual activity). Things become fixed assets when they are put in use. Putting in use implies the provision of all technical functions required for the use and the meeting of all obligations laid down by legal regulations such as building, environmental, fire, occupational safety, and sanitary ones. </w:t>
      </w:r>
      <w:r>
        <w:rPr>
          <w:rFonts w:ascii="Arial" w:hAnsi="Arial" w:cs="Arial"/>
          <w:bCs/>
          <w:i/>
          <w:iCs/>
          <w:snapToGrid w:val="0"/>
          <w:sz w:val="20"/>
          <w:lang w:val="en-GB"/>
        </w:rPr>
        <w:t>The indicator does not include free acquisition and includes fixed assets acquired under financial leasing.</w:t>
      </w:r>
    </w:p>
    <w:p w14:paraId="3D93F413" w14:textId="77777777" w:rsidR="0040133D" w:rsidRDefault="0040133D">
      <w:pPr>
        <w:pStyle w:val="Zhlav"/>
        <w:tabs>
          <w:tab w:val="clear" w:pos="4536"/>
          <w:tab w:val="clear" w:pos="9072"/>
        </w:tabs>
        <w:ind w:firstLine="705"/>
        <w:jc w:val="both"/>
        <w:rPr>
          <w:rFonts w:ascii="Arial" w:hAnsi="Arial" w:cs="Arial"/>
          <w:b/>
          <w:i/>
          <w:iCs/>
          <w:sz w:val="20"/>
          <w:lang w:val="en-GB"/>
        </w:rPr>
      </w:pPr>
    </w:p>
    <w:p w14:paraId="70074428" w14:textId="77777777" w:rsidR="0040133D" w:rsidRDefault="0040133D">
      <w:pPr>
        <w:pStyle w:val="Zhlav"/>
        <w:tabs>
          <w:tab w:val="clear" w:pos="4536"/>
          <w:tab w:val="clear" w:pos="9072"/>
        </w:tabs>
        <w:ind w:firstLine="705"/>
        <w:jc w:val="both"/>
        <w:rPr>
          <w:rFonts w:ascii="Arial" w:hAnsi="Arial" w:cs="Arial"/>
          <w:b/>
          <w:i/>
          <w:iCs/>
          <w:sz w:val="20"/>
          <w:lang w:val="en-GB"/>
        </w:rPr>
      </w:pPr>
      <w:r>
        <w:rPr>
          <w:rFonts w:ascii="Arial" w:hAnsi="Arial" w:cs="Arial"/>
          <w:b/>
          <w:i/>
          <w:iCs/>
          <w:sz w:val="20"/>
          <w:lang w:val="en-GB"/>
        </w:rPr>
        <w:t>Acquisition of intangible fixed assets</w:t>
      </w:r>
      <w:r>
        <w:rPr>
          <w:rFonts w:ascii="Arial" w:hAnsi="Arial" w:cs="Arial"/>
          <w:bCs/>
          <w:i/>
          <w:iCs/>
          <w:sz w:val="20"/>
          <w:lang w:val="en-GB"/>
        </w:rPr>
        <w:t xml:space="preserve"> includes acquisition costs, intangible results of R&amp;D and similar activities, software expenses, and valuable rights (such as know-how, licences, objects of industrial rights, and other results of intellectual activities). The indicator does not include intangible fixed assets acquired for free.</w:t>
      </w:r>
    </w:p>
    <w:p w14:paraId="61CEA8C4" w14:textId="77777777" w:rsidR="0040133D" w:rsidRDefault="0040133D">
      <w:pPr>
        <w:pStyle w:val="Zhlav"/>
        <w:tabs>
          <w:tab w:val="clear" w:pos="4536"/>
          <w:tab w:val="clear" w:pos="9072"/>
        </w:tabs>
        <w:ind w:firstLine="705"/>
        <w:jc w:val="both"/>
        <w:rPr>
          <w:rFonts w:ascii="Arial" w:hAnsi="Arial" w:cs="Arial"/>
          <w:b/>
          <w:i/>
          <w:iCs/>
          <w:sz w:val="20"/>
          <w:lang w:val="en-GB"/>
        </w:rPr>
      </w:pPr>
    </w:p>
    <w:p w14:paraId="502D595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Acquisition of tangible fixed assets</w:t>
      </w:r>
      <w:r>
        <w:rPr>
          <w:rFonts w:ascii="Arial" w:hAnsi="Arial" w:cs="Arial"/>
          <w:bCs/>
          <w:i/>
          <w:iCs/>
          <w:sz w:val="20"/>
          <w:lang w:val="en-GB"/>
        </w:rPr>
        <w:t xml:space="preserve"> does not include free acquisition and includes tangible fixed assets acquired under financial leasing.</w:t>
      </w:r>
    </w:p>
    <w:p w14:paraId="76C86AC3" w14:textId="77777777" w:rsidR="0040133D" w:rsidRDefault="0040133D">
      <w:pPr>
        <w:pStyle w:val="Zhlav"/>
        <w:tabs>
          <w:tab w:val="clear" w:pos="4536"/>
          <w:tab w:val="clear" w:pos="9072"/>
        </w:tabs>
        <w:jc w:val="both"/>
        <w:rPr>
          <w:rFonts w:ascii="Arial" w:hAnsi="Arial" w:cs="Arial"/>
          <w:bCs/>
          <w:i/>
          <w:iCs/>
          <w:sz w:val="20"/>
          <w:lang w:val="en-GB"/>
        </w:rPr>
      </w:pPr>
    </w:p>
    <w:p w14:paraId="01B4C217" w14:textId="47183DCE" w:rsidR="0025759E" w:rsidRPr="00BD6634" w:rsidRDefault="0012586A" w:rsidP="0025759E">
      <w:pPr>
        <w:pStyle w:val="Zhlav"/>
        <w:tabs>
          <w:tab w:val="clear" w:pos="4536"/>
          <w:tab w:val="clear" w:pos="9072"/>
        </w:tabs>
        <w:ind w:firstLine="705"/>
        <w:jc w:val="both"/>
        <w:rPr>
          <w:rFonts w:ascii="Arial" w:hAnsi="Arial" w:cs="Arial"/>
          <w:bCs/>
          <w:i/>
          <w:iCs/>
          <w:sz w:val="20"/>
          <w:lang w:val="en-GB"/>
        </w:rPr>
      </w:pPr>
      <w:r w:rsidRPr="0012586A">
        <w:rPr>
          <w:rFonts w:ascii="Arial" w:hAnsi="Arial" w:cs="Arial"/>
          <w:b/>
          <w:bCs/>
          <w:i/>
          <w:iCs/>
          <w:sz w:val="20"/>
          <w:lang w:val="en-GB"/>
        </w:rPr>
        <w:t>Net turnover</w:t>
      </w:r>
      <w:r w:rsidR="0040133D">
        <w:rPr>
          <w:rFonts w:ascii="Arial" w:hAnsi="Arial" w:cs="Arial"/>
          <w:bCs/>
          <w:i/>
          <w:iCs/>
          <w:sz w:val="20"/>
          <w:lang w:val="en-GB"/>
        </w:rPr>
        <w:t xml:space="preserve"> include the sum of turnover (sales of own goods and services and sales of goods for resale),</w:t>
      </w:r>
      <w:r w:rsidR="0025759E">
        <w:rPr>
          <w:rFonts w:ascii="Arial" w:hAnsi="Arial" w:cs="Arial"/>
          <w:bCs/>
          <w:i/>
          <w:iCs/>
          <w:sz w:val="20"/>
          <w:lang w:val="en-GB"/>
        </w:rPr>
        <w:t xml:space="preserve"> other operating revenues, revenues from long-term financial assets, revenues from other long-term financial assets, interest income and other finance revenues. </w:t>
      </w:r>
      <w:r w:rsidR="0040133D">
        <w:rPr>
          <w:rFonts w:ascii="Arial" w:hAnsi="Arial" w:cs="Arial"/>
          <w:bCs/>
          <w:i/>
          <w:iCs/>
          <w:sz w:val="20"/>
          <w:lang w:val="en-GB"/>
        </w:rPr>
        <w:t>Revenues of natural persons are obtained as the sum of revenues from sales of own goods, services, goods for resale, other revenues, and closing adjustments to revenues.</w:t>
      </w:r>
      <w:r w:rsidR="0025759E">
        <w:rPr>
          <w:rFonts w:ascii="Arial" w:hAnsi="Arial" w:cs="Arial"/>
          <w:bCs/>
          <w:i/>
          <w:iCs/>
          <w:sz w:val="20"/>
          <w:lang w:val="en-GB"/>
        </w:rPr>
        <w:t xml:space="preserve"> In purpose of year on year comparability, the years 201</w:t>
      </w:r>
      <w:r w:rsidR="00B0165C">
        <w:rPr>
          <w:rFonts w:ascii="Arial" w:hAnsi="Arial" w:cs="Arial"/>
          <w:bCs/>
          <w:i/>
          <w:iCs/>
          <w:sz w:val="20"/>
          <w:lang w:val="en-GB"/>
        </w:rPr>
        <w:t>2</w:t>
      </w:r>
      <w:r w:rsidR="0025759E">
        <w:rPr>
          <w:rFonts w:ascii="Arial" w:hAnsi="Arial" w:cs="Arial"/>
          <w:bCs/>
          <w:i/>
          <w:iCs/>
          <w:sz w:val="20"/>
          <w:lang w:val="en-GB"/>
        </w:rPr>
        <w:t>-2015 were retrospectively recalculated in the 2016 methodology.</w:t>
      </w:r>
    </w:p>
    <w:p w14:paraId="0E869A97" w14:textId="77777777" w:rsidR="0040133D" w:rsidRDefault="0040133D">
      <w:pPr>
        <w:pStyle w:val="Zhlav"/>
        <w:tabs>
          <w:tab w:val="clear" w:pos="4536"/>
          <w:tab w:val="clear" w:pos="9072"/>
        </w:tabs>
        <w:jc w:val="both"/>
        <w:rPr>
          <w:rFonts w:ascii="Arial" w:hAnsi="Arial" w:cs="Arial"/>
          <w:bCs/>
          <w:i/>
          <w:iCs/>
          <w:sz w:val="20"/>
          <w:lang w:val="en-GB"/>
        </w:rPr>
      </w:pPr>
    </w:p>
    <w:p w14:paraId="5CE5491B"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Turnover</w:t>
      </w:r>
      <w:r>
        <w:rPr>
          <w:rFonts w:ascii="Arial" w:hAnsi="Arial" w:cs="Arial"/>
          <w:i/>
          <w:iCs/>
          <w:sz w:val="20"/>
          <w:lang w:val="en-GB"/>
        </w:rPr>
        <w:t xml:space="preserve"> is the sum of </w:t>
      </w:r>
      <w:r>
        <w:rPr>
          <w:rFonts w:ascii="Arial" w:hAnsi="Arial" w:cs="Arial"/>
          <w:bCs/>
          <w:i/>
          <w:iCs/>
          <w:sz w:val="20"/>
          <w:lang w:val="en-GB"/>
        </w:rPr>
        <w:t>sales (</w:t>
      </w:r>
      <w:r>
        <w:rPr>
          <w:rFonts w:ascii="Arial" w:hAnsi="Arial" w:cs="Arial"/>
          <w:i/>
          <w:iCs/>
          <w:sz w:val="20"/>
          <w:lang w:val="en-GB"/>
        </w:rPr>
        <w:t>revenues from sale) of</w:t>
      </w:r>
      <w:r>
        <w:rPr>
          <w:rFonts w:ascii="Arial" w:hAnsi="Arial" w:cs="Arial"/>
          <w:bCs/>
          <w:i/>
          <w:iCs/>
          <w:sz w:val="20"/>
          <w:lang w:val="en-GB"/>
        </w:rPr>
        <w:t xml:space="preserve"> own goods and services</w:t>
      </w:r>
      <w:r>
        <w:rPr>
          <w:rFonts w:ascii="Arial" w:hAnsi="Arial" w:cs="Arial"/>
          <w:i/>
          <w:iCs/>
          <w:sz w:val="20"/>
          <w:lang w:val="en-GB"/>
        </w:rPr>
        <w:t xml:space="preserve"> and sales of goods for resale.</w:t>
      </w:r>
    </w:p>
    <w:p w14:paraId="63326EC4" w14:textId="77777777" w:rsidR="0040133D" w:rsidRDefault="0040133D">
      <w:pPr>
        <w:pStyle w:val="Zhlav"/>
        <w:tabs>
          <w:tab w:val="clear" w:pos="4536"/>
          <w:tab w:val="clear" w:pos="9072"/>
        </w:tabs>
        <w:jc w:val="both"/>
        <w:rPr>
          <w:rFonts w:ascii="Arial" w:hAnsi="Arial" w:cs="Arial"/>
          <w:bCs/>
          <w:i/>
          <w:iCs/>
          <w:sz w:val="20"/>
          <w:lang w:val="en-GB"/>
        </w:rPr>
      </w:pPr>
    </w:p>
    <w:p w14:paraId="20D04C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Sales of own goods and services</w:t>
      </w:r>
      <w:r>
        <w:rPr>
          <w:rFonts w:ascii="Arial" w:hAnsi="Arial" w:cs="Arial"/>
          <w:bCs/>
          <w:i/>
          <w:iCs/>
          <w:sz w:val="20"/>
          <w:lang w:val="en-GB"/>
        </w:rPr>
        <w:t xml:space="preserve"> are revenues from sale of own tangible and intangible production to external users.</w:t>
      </w:r>
    </w:p>
    <w:p w14:paraId="72219732" w14:textId="77777777" w:rsidR="0040133D" w:rsidRDefault="0040133D">
      <w:pPr>
        <w:pStyle w:val="Zhlav"/>
        <w:tabs>
          <w:tab w:val="clear" w:pos="4536"/>
          <w:tab w:val="clear" w:pos="9072"/>
        </w:tabs>
        <w:jc w:val="both"/>
        <w:rPr>
          <w:rFonts w:ascii="Arial" w:hAnsi="Arial" w:cs="Arial"/>
          <w:bCs/>
          <w:i/>
          <w:iCs/>
          <w:sz w:val="20"/>
          <w:lang w:val="en-GB"/>
        </w:rPr>
      </w:pPr>
    </w:p>
    <w:p w14:paraId="0DB23BFF"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Sales of goods for resale </w:t>
      </w:r>
      <w:r>
        <w:rPr>
          <w:rFonts w:ascii="Arial" w:hAnsi="Arial" w:cs="Arial"/>
          <w:bCs/>
          <w:i/>
          <w:iCs/>
          <w:sz w:val="20"/>
          <w:lang w:val="en-GB"/>
        </w:rPr>
        <w:t>are revenues from sale of goods for resale, i.e. products bought to be resold in an unchanged state.</w:t>
      </w:r>
    </w:p>
    <w:p w14:paraId="09B46F98" w14:textId="77777777" w:rsidR="0040133D" w:rsidRDefault="0040133D">
      <w:pPr>
        <w:pStyle w:val="Zhlav"/>
        <w:tabs>
          <w:tab w:val="clear" w:pos="4536"/>
          <w:tab w:val="clear" w:pos="9072"/>
        </w:tabs>
        <w:jc w:val="both"/>
        <w:rPr>
          <w:rFonts w:ascii="Arial" w:hAnsi="Arial" w:cs="Arial"/>
          <w:bCs/>
          <w:i/>
          <w:iCs/>
          <w:sz w:val="20"/>
          <w:lang w:val="en-GB"/>
        </w:rPr>
      </w:pPr>
    </w:p>
    <w:p w14:paraId="6A29D868" w14:textId="29634B1D"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lastRenderedPageBreak/>
        <w:t>Total expenses</w:t>
      </w:r>
      <w:r w:rsidR="00E9786A">
        <w:rPr>
          <w:rFonts w:ascii="Arial" w:hAnsi="Arial" w:cs="Arial"/>
          <w:b/>
          <w:i/>
          <w:iCs/>
          <w:sz w:val="20"/>
          <w:lang w:val="en-GB"/>
        </w:rPr>
        <w:t xml:space="preserve"> </w:t>
      </w:r>
      <w:r w:rsidR="00E9786A">
        <w:rPr>
          <w:rFonts w:ascii="Arial" w:hAnsi="Arial" w:cs="Arial"/>
          <w:i/>
          <w:iCs/>
          <w:sz w:val="20"/>
          <w:lang w:val="en-GB"/>
        </w:rPr>
        <w:t xml:space="preserve">include purchases of goods for resale, </w:t>
      </w:r>
      <w:proofErr w:type="spellStart"/>
      <w:r w:rsidR="00E9786A">
        <w:rPr>
          <w:rFonts w:ascii="Arial" w:hAnsi="Arial" w:cs="Arial"/>
          <w:i/>
          <w:iCs/>
          <w:sz w:val="20"/>
          <w:lang w:val="en-GB"/>
        </w:rPr>
        <w:t>comsumption</w:t>
      </w:r>
      <w:proofErr w:type="spellEnd"/>
      <w:r w:rsidR="00E9786A">
        <w:rPr>
          <w:rFonts w:ascii="Arial" w:hAnsi="Arial" w:cs="Arial"/>
          <w:i/>
          <w:iCs/>
          <w:sz w:val="20"/>
          <w:lang w:val="en-GB"/>
        </w:rPr>
        <w:t xml:space="preserve"> of material and energy and services costs, change in internally produced inventory, capitalised output, personnel costs, value adjustments in the operating area, other operating expenses, costs spent for sold shares, costs related to other financial assets, value adjustments</w:t>
      </w:r>
      <w:r w:rsidR="00FF3604">
        <w:rPr>
          <w:rFonts w:ascii="Arial" w:hAnsi="Arial" w:cs="Arial"/>
          <w:i/>
          <w:iCs/>
          <w:sz w:val="20"/>
          <w:lang w:val="en-GB"/>
        </w:rPr>
        <w:t xml:space="preserve"> and reserves in the financial area, interest expenses, other finance cost, income tax and transfer of share on profit or loss to partners.</w:t>
      </w:r>
      <w:r>
        <w:rPr>
          <w:rFonts w:ascii="Arial" w:hAnsi="Arial" w:cs="Arial"/>
          <w:bCs/>
          <w:i/>
          <w:iCs/>
          <w:sz w:val="20"/>
          <w:lang w:val="en-GB"/>
        </w:rPr>
        <w:t xml:space="preserve"> For natural persons, total expenses are the sum of expenses on purchases of material, goods, wages and insurance premiums (social and health insurance), overheads, and closing adjustments to expenses.</w:t>
      </w:r>
      <w:r w:rsidR="00E9786A">
        <w:rPr>
          <w:rFonts w:ascii="Arial" w:hAnsi="Arial" w:cs="Arial"/>
          <w:bCs/>
          <w:i/>
          <w:iCs/>
          <w:sz w:val="20"/>
          <w:lang w:val="en-GB"/>
        </w:rPr>
        <w:t xml:space="preserve"> In purpose of year on year comparability, the years 201</w:t>
      </w:r>
      <w:r w:rsidR="00B0165C">
        <w:rPr>
          <w:rFonts w:ascii="Arial" w:hAnsi="Arial" w:cs="Arial"/>
          <w:bCs/>
          <w:i/>
          <w:iCs/>
          <w:sz w:val="20"/>
          <w:lang w:val="en-GB"/>
        </w:rPr>
        <w:t>2</w:t>
      </w:r>
      <w:r w:rsidR="00E9786A">
        <w:rPr>
          <w:rFonts w:ascii="Arial" w:hAnsi="Arial" w:cs="Arial"/>
          <w:bCs/>
          <w:i/>
          <w:iCs/>
          <w:sz w:val="20"/>
          <w:lang w:val="en-GB"/>
        </w:rPr>
        <w:t>-2015 were retrospectively recalculated in the 2016 methodology.</w:t>
      </w:r>
    </w:p>
    <w:p w14:paraId="626004D7" w14:textId="77777777" w:rsidR="0040133D" w:rsidRDefault="0040133D">
      <w:pPr>
        <w:pStyle w:val="Zhlav"/>
        <w:tabs>
          <w:tab w:val="clear" w:pos="4536"/>
          <w:tab w:val="clear" w:pos="9072"/>
        </w:tabs>
        <w:jc w:val="both"/>
        <w:rPr>
          <w:rFonts w:ascii="Arial" w:hAnsi="Arial" w:cs="Arial"/>
          <w:bCs/>
          <w:i/>
          <w:iCs/>
          <w:sz w:val="20"/>
          <w:lang w:val="en-GB"/>
        </w:rPr>
      </w:pPr>
    </w:p>
    <w:p w14:paraId="18A69E0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Personnel costs</w:t>
      </w:r>
      <w:r>
        <w:rPr>
          <w:rFonts w:ascii="Arial" w:hAnsi="Arial" w:cs="Arial"/>
          <w:bCs/>
          <w:i/>
          <w:iCs/>
          <w:sz w:val="20"/>
          <w:lang w:val="en-GB"/>
        </w:rPr>
        <w:t xml:space="preserve"> include all benefits of employees, persons working under various contracts for work, including income of partners and members of cooperatives from employment, remuneration to board members, and expenses on statutory and other social insurance. In the system of double-entry accounting, they are the difference between the turnovers of debit and credit sides of Account Group 52 – Personnel costs. They also include payments in kind, provided they are part of wages. In the single-entry accounting system, they are the sum of expenses on wages and social and health insurance payments.</w:t>
      </w:r>
    </w:p>
    <w:p w14:paraId="4B081D12" w14:textId="77777777" w:rsidR="0040133D" w:rsidRDefault="0040133D">
      <w:pPr>
        <w:pStyle w:val="Zhlav"/>
        <w:tabs>
          <w:tab w:val="clear" w:pos="4536"/>
          <w:tab w:val="clear" w:pos="9072"/>
        </w:tabs>
        <w:jc w:val="both"/>
        <w:rPr>
          <w:rFonts w:ascii="Arial" w:hAnsi="Arial" w:cs="Arial"/>
          <w:bCs/>
          <w:i/>
          <w:iCs/>
          <w:sz w:val="20"/>
          <w:lang w:val="en-GB"/>
        </w:rPr>
      </w:pPr>
    </w:p>
    <w:p w14:paraId="115028CA"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Wages excl. other personnel </w:t>
      </w:r>
      <w:r>
        <w:rPr>
          <w:rFonts w:ascii="Arial" w:hAnsi="Arial" w:cs="Arial"/>
          <w:b/>
          <w:bCs/>
          <w:i/>
          <w:iCs/>
          <w:sz w:val="20"/>
          <w:lang w:val="en-GB"/>
        </w:rPr>
        <w:t>expenses</w:t>
      </w:r>
      <w:r>
        <w:rPr>
          <w:rFonts w:ascii="Arial" w:hAnsi="Arial" w:cs="Arial"/>
          <w:bCs/>
          <w:i/>
          <w:iCs/>
          <w:sz w:val="20"/>
          <w:lang w:val="en-GB"/>
        </w:rPr>
        <w:t xml:space="preserve"> </w:t>
      </w:r>
      <w:r>
        <w:rPr>
          <w:rFonts w:ascii="Arial" w:eastAsia="NimbusSanDEE-ReguItal" w:hAnsi="Arial" w:cs="Arial"/>
          <w:i/>
          <w:iCs/>
          <w:sz w:val="20"/>
          <w:lang w:val="en-GB"/>
        </w:rPr>
        <w:t xml:space="preserve">include all </w:t>
      </w:r>
      <w:r>
        <w:rPr>
          <w:rFonts w:ascii="Arial" w:hAnsi="Arial" w:cs="Arial"/>
          <w:bCs/>
          <w:i/>
          <w:iCs/>
          <w:sz w:val="20"/>
          <w:lang w:val="en-GB"/>
        </w:rPr>
        <w:t xml:space="preserve">incomes from employment (direct wages and salaries, personal bonuses and other bonuses, company profit sharing, and wage compensations) charged to be paid to </w:t>
      </w:r>
      <w:r>
        <w:rPr>
          <w:rFonts w:ascii="Arial" w:hAnsi="Arial" w:cs="Arial"/>
          <w:b/>
          <w:bCs/>
          <w:i/>
          <w:iCs/>
          <w:sz w:val="20"/>
          <w:lang w:val="en-GB"/>
        </w:rPr>
        <w:t>registered employees</w:t>
      </w:r>
      <w:r>
        <w:rPr>
          <w:rFonts w:ascii="Arial" w:hAnsi="Arial" w:cs="Arial"/>
          <w:bCs/>
          <w:i/>
          <w:iCs/>
          <w:sz w:val="20"/>
          <w:lang w:val="en-GB"/>
        </w:rPr>
        <w:t xml:space="preserve"> in compliance with relevant regulations on wages and salaries. They contain also salaries of associates and members of cooperatives provided that they have contract of employment with the company and are kept in the registered number of employees. They include also remunerations from distributable profit and funds generated from profit. They exclude payments resulting from various contracts for work and remuneration of board members – i.e. payments to persons not included in the average registered number of employees.</w:t>
      </w:r>
    </w:p>
    <w:p w14:paraId="4B397A6A" w14:textId="77777777" w:rsidR="0040133D" w:rsidRDefault="0040133D">
      <w:pPr>
        <w:pStyle w:val="Zhlav"/>
        <w:tabs>
          <w:tab w:val="clear" w:pos="4536"/>
          <w:tab w:val="clear" w:pos="9072"/>
        </w:tabs>
        <w:jc w:val="both"/>
        <w:rPr>
          <w:rFonts w:ascii="Arial" w:hAnsi="Arial" w:cs="Arial"/>
          <w:bCs/>
          <w:i/>
          <w:iCs/>
          <w:sz w:val="20"/>
          <w:lang w:val="en-GB"/>
        </w:rPr>
      </w:pPr>
    </w:p>
    <w:p w14:paraId="771A14B6"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After tax</w:t>
      </w:r>
      <w:r>
        <w:rPr>
          <w:rFonts w:ascii="Arial" w:hAnsi="Arial" w:cs="Arial"/>
          <w:bCs/>
          <w:i/>
          <w:iCs/>
          <w:sz w:val="20"/>
          <w:lang w:val="en-GB"/>
        </w:rPr>
        <w:t xml:space="preserve"> </w:t>
      </w:r>
      <w:r>
        <w:rPr>
          <w:rFonts w:ascii="Arial" w:hAnsi="Arial" w:cs="Arial"/>
          <w:b/>
          <w:i/>
          <w:iCs/>
          <w:sz w:val="20"/>
          <w:lang w:val="en-GB"/>
        </w:rPr>
        <w:t>profit/loss</w:t>
      </w:r>
      <w:r>
        <w:rPr>
          <w:rFonts w:ascii="Arial" w:hAnsi="Arial" w:cs="Arial"/>
          <w:bCs/>
          <w:i/>
          <w:iCs/>
          <w:sz w:val="20"/>
          <w:lang w:val="en-GB"/>
        </w:rPr>
        <w:t xml:space="preserve"> is the difference between </w:t>
      </w:r>
      <w:r w:rsidR="0012586A">
        <w:rPr>
          <w:rFonts w:ascii="Arial" w:hAnsi="Arial" w:cs="Arial"/>
          <w:bCs/>
          <w:i/>
          <w:iCs/>
          <w:sz w:val="20"/>
          <w:lang w:val="en-GB"/>
        </w:rPr>
        <w:t>net turnover</w:t>
      </w:r>
      <w:r>
        <w:rPr>
          <w:rFonts w:ascii="Arial" w:hAnsi="Arial" w:cs="Arial"/>
          <w:bCs/>
          <w:i/>
          <w:iCs/>
          <w:sz w:val="20"/>
          <w:lang w:val="en-GB"/>
        </w:rPr>
        <w:t xml:space="preserve"> and total expenses for the reference period. It is either positive (profit) or negative (loss).</w:t>
      </w:r>
    </w:p>
    <w:p w14:paraId="3E999303" w14:textId="77777777" w:rsidR="0040133D" w:rsidRDefault="0040133D">
      <w:pPr>
        <w:pStyle w:val="Zhlav"/>
        <w:tabs>
          <w:tab w:val="clear" w:pos="4536"/>
          <w:tab w:val="clear" w:pos="9072"/>
        </w:tabs>
        <w:jc w:val="both"/>
        <w:rPr>
          <w:rFonts w:ascii="Arial" w:hAnsi="Arial" w:cs="Arial"/>
          <w:bCs/>
          <w:i/>
          <w:iCs/>
          <w:sz w:val="20"/>
          <w:lang w:val="en-GB"/>
        </w:rPr>
      </w:pPr>
    </w:p>
    <w:p w14:paraId="24A9AE8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Outputs incl. trade margin </w:t>
      </w:r>
      <w:r>
        <w:rPr>
          <w:rFonts w:ascii="Arial" w:hAnsi="Arial" w:cs="Arial"/>
          <w:bCs/>
          <w:i/>
          <w:iCs/>
          <w:sz w:val="20"/>
          <w:lang w:val="en-GB"/>
        </w:rPr>
        <w:t xml:space="preserve">include sales of own goods and services, trade margin (the difference between revenues from the goods sold and costs of goods sold), change in inventories of own production, and capitalization of material, goods, services, and fixed assets. </w:t>
      </w:r>
    </w:p>
    <w:p w14:paraId="1C998C72" w14:textId="77777777" w:rsidR="0040133D" w:rsidRDefault="0040133D">
      <w:pPr>
        <w:pStyle w:val="Zhlav"/>
        <w:tabs>
          <w:tab w:val="clear" w:pos="4536"/>
          <w:tab w:val="clear" w:pos="9072"/>
        </w:tabs>
        <w:jc w:val="both"/>
        <w:rPr>
          <w:rFonts w:ascii="Arial" w:hAnsi="Arial" w:cs="Arial"/>
          <w:bCs/>
          <w:i/>
          <w:iCs/>
          <w:sz w:val="20"/>
          <w:lang w:val="en-GB"/>
        </w:rPr>
      </w:pPr>
    </w:p>
    <w:p w14:paraId="49ADC09D" w14:textId="77777777" w:rsidR="0040133D" w:rsidRDefault="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C</w:t>
      </w:r>
      <w:r w:rsidRPr="0012586A">
        <w:rPr>
          <w:rFonts w:ascii="Arial" w:hAnsi="Arial" w:cs="Arial"/>
          <w:b/>
          <w:i/>
          <w:iCs/>
          <w:sz w:val="20"/>
          <w:lang w:val="en-GB"/>
        </w:rPr>
        <w:t xml:space="preserve">onsumption of </w:t>
      </w:r>
      <w:r>
        <w:rPr>
          <w:rFonts w:ascii="Arial" w:hAnsi="Arial" w:cs="Arial"/>
          <w:b/>
          <w:i/>
          <w:iCs/>
          <w:sz w:val="20"/>
          <w:lang w:val="en-GB"/>
        </w:rPr>
        <w:t>materia</w:t>
      </w:r>
      <w:r w:rsidRPr="0012586A">
        <w:rPr>
          <w:rFonts w:ascii="Arial" w:hAnsi="Arial" w:cs="Arial"/>
          <w:b/>
          <w:i/>
          <w:iCs/>
          <w:sz w:val="20"/>
          <w:lang w:val="en-GB"/>
        </w:rPr>
        <w:t>l and energy and services costs</w:t>
      </w:r>
      <w:r w:rsidR="0040133D">
        <w:rPr>
          <w:rFonts w:ascii="Arial" w:hAnsi="Arial" w:cs="Arial"/>
          <w:bCs/>
          <w:i/>
          <w:iCs/>
          <w:sz w:val="20"/>
          <w:lang w:val="en-GB"/>
        </w:rPr>
        <w:t xml:space="preserve"> includes consumed purchases (the value of consumed material and energy) and services (external services, costs of representation, and low-value intangible property not considered by the accounting unit to be fixed assets).</w:t>
      </w:r>
    </w:p>
    <w:p w14:paraId="29C320A7" w14:textId="77777777" w:rsidR="0040133D" w:rsidRDefault="0040133D">
      <w:pPr>
        <w:pStyle w:val="Zhlav"/>
        <w:tabs>
          <w:tab w:val="clear" w:pos="4536"/>
          <w:tab w:val="clear" w:pos="9072"/>
        </w:tabs>
        <w:jc w:val="both"/>
        <w:rPr>
          <w:rFonts w:ascii="Arial" w:hAnsi="Arial" w:cs="Arial"/>
          <w:bCs/>
          <w:i/>
          <w:iCs/>
          <w:sz w:val="20"/>
          <w:lang w:val="en-GB"/>
        </w:rPr>
      </w:pPr>
    </w:p>
    <w:p w14:paraId="3DC8636F" w14:textId="77777777" w:rsidR="0040133D" w:rsidRDefault="0040133D" w:rsidP="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w:t>
      </w:r>
      <w:r>
        <w:rPr>
          <w:rFonts w:ascii="Arial" w:hAnsi="Arial" w:cs="Arial"/>
          <w:bCs/>
          <w:i/>
          <w:iCs/>
          <w:sz w:val="20"/>
          <w:lang w:val="en-GB"/>
        </w:rPr>
        <w:t xml:space="preserve"> is the difference between outputs incl. trade margin and </w:t>
      </w:r>
      <w:r w:rsidR="0012586A">
        <w:rPr>
          <w:rFonts w:ascii="Arial" w:hAnsi="Arial" w:cs="Arial"/>
          <w:bCs/>
          <w:i/>
          <w:iCs/>
          <w:sz w:val="20"/>
          <w:lang w:val="en-GB"/>
        </w:rPr>
        <w:t>c</w:t>
      </w:r>
      <w:r w:rsidR="0012586A" w:rsidRPr="0012586A">
        <w:rPr>
          <w:rFonts w:ascii="Arial" w:hAnsi="Arial" w:cs="Arial"/>
          <w:bCs/>
          <w:i/>
          <w:iCs/>
          <w:sz w:val="20"/>
          <w:lang w:val="en-GB"/>
        </w:rPr>
        <w:t>onsumption of material and energy and services costs</w:t>
      </w:r>
      <w:r w:rsidR="0012586A">
        <w:rPr>
          <w:rFonts w:ascii="Arial" w:hAnsi="Arial" w:cs="Arial"/>
          <w:bCs/>
          <w:i/>
          <w:iCs/>
          <w:sz w:val="20"/>
          <w:lang w:val="en-GB"/>
        </w:rPr>
        <w:t>.</w:t>
      </w:r>
    </w:p>
    <w:p w14:paraId="4B9B7F14" w14:textId="77777777" w:rsidR="0012586A" w:rsidRDefault="0012586A">
      <w:pPr>
        <w:pStyle w:val="Zhlav"/>
        <w:tabs>
          <w:tab w:val="clear" w:pos="4536"/>
          <w:tab w:val="clear" w:pos="9072"/>
        </w:tabs>
        <w:ind w:firstLine="705"/>
        <w:jc w:val="both"/>
        <w:rPr>
          <w:rFonts w:ascii="Arial" w:hAnsi="Arial" w:cs="Arial"/>
          <w:b/>
          <w:i/>
          <w:iCs/>
          <w:sz w:val="20"/>
          <w:lang w:val="en-GB"/>
        </w:rPr>
      </w:pPr>
    </w:p>
    <w:p w14:paraId="2766EF5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Trade margin</w:t>
      </w:r>
      <w:r>
        <w:rPr>
          <w:rFonts w:ascii="Arial" w:hAnsi="Arial" w:cs="Arial"/>
          <w:bCs/>
          <w:i/>
          <w:iCs/>
          <w:sz w:val="20"/>
          <w:lang w:val="en-GB"/>
        </w:rPr>
        <w:t xml:space="preserve"> is the difference between revenues from sale of goods for resale and expenses spent on goods sold (i.e. on purchases of goods resold in an unchanged state).</w:t>
      </w:r>
    </w:p>
    <w:p w14:paraId="32F9BF78" w14:textId="77777777" w:rsidR="0040133D" w:rsidRDefault="0040133D">
      <w:pPr>
        <w:pStyle w:val="Zhlav"/>
        <w:tabs>
          <w:tab w:val="clear" w:pos="4536"/>
          <w:tab w:val="clear" w:pos="9072"/>
        </w:tabs>
        <w:jc w:val="both"/>
        <w:rPr>
          <w:rFonts w:ascii="Arial" w:hAnsi="Arial" w:cs="Arial"/>
          <w:bCs/>
          <w:i/>
          <w:iCs/>
          <w:sz w:val="20"/>
          <w:lang w:val="en-GB"/>
        </w:rPr>
      </w:pPr>
    </w:p>
    <w:p w14:paraId="32331BA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 per employee</w:t>
      </w:r>
      <w:r>
        <w:rPr>
          <w:rFonts w:ascii="Arial" w:hAnsi="Arial" w:cs="Arial"/>
          <w:bCs/>
          <w:i/>
          <w:iCs/>
          <w:sz w:val="20"/>
          <w:lang w:val="en-GB"/>
        </w:rPr>
        <w:t xml:space="preserve"> (in CZK </w:t>
      </w:r>
      <w:proofErr w:type="spellStart"/>
      <w:r>
        <w:rPr>
          <w:rFonts w:ascii="Arial" w:hAnsi="Arial" w:cs="Arial"/>
          <w:bCs/>
          <w:i/>
          <w:iCs/>
          <w:sz w:val="20"/>
          <w:lang w:val="en-GB"/>
        </w:rPr>
        <w:t>thous</w:t>
      </w:r>
      <w:proofErr w:type="spellEnd"/>
      <w:r>
        <w:rPr>
          <w:rFonts w:ascii="Arial" w:hAnsi="Arial" w:cs="Arial"/>
          <w:bCs/>
          <w:i/>
          <w:iCs/>
          <w:sz w:val="20"/>
          <w:lang w:val="en-GB"/>
        </w:rPr>
        <w:t>.) is the ratio of the value added to the number of registered employees (FTE).</w:t>
      </w:r>
    </w:p>
    <w:p w14:paraId="6DB8FDA8" w14:textId="77777777" w:rsidR="0040133D" w:rsidRDefault="0040133D">
      <w:pPr>
        <w:pStyle w:val="Zhlav"/>
        <w:tabs>
          <w:tab w:val="clear" w:pos="4536"/>
          <w:tab w:val="clear" w:pos="9072"/>
        </w:tabs>
        <w:jc w:val="both"/>
        <w:rPr>
          <w:rFonts w:ascii="Arial" w:hAnsi="Arial" w:cs="Arial"/>
          <w:bCs/>
          <w:i/>
          <w:iCs/>
          <w:sz w:val="20"/>
          <w:lang w:val="en-GB"/>
        </w:rPr>
      </w:pPr>
    </w:p>
    <w:p w14:paraId="6CE7F90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assets, ROA</w:t>
      </w:r>
      <w:r>
        <w:rPr>
          <w:rFonts w:ascii="Arial" w:hAnsi="Arial" w:cs="Arial"/>
          <w:bCs/>
          <w:i/>
          <w:iCs/>
          <w:sz w:val="20"/>
          <w:lang w:val="en-GB"/>
        </w:rPr>
        <w:t>, (%) is the ratio of after-tax profit/loss to assets in total.</w:t>
      </w:r>
    </w:p>
    <w:p w14:paraId="1A48BFFC" w14:textId="77777777" w:rsidR="0040133D" w:rsidRDefault="0040133D">
      <w:pPr>
        <w:pStyle w:val="Zhlav"/>
        <w:tabs>
          <w:tab w:val="clear" w:pos="4536"/>
          <w:tab w:val="clear" w:pos="9072"/>
        </w:tabs>
        <w:jc w:val="both"/>
        <w:rPr>
          <w:rFonts w:ascii="Arial" w:hAnsi="Arial" w:cs="Arial"/>
          <w:bCs/>
          <w:i/>
          <w:iCs/>
          <w:sz w:val="20"/>
          <w:lang w:val="en-GB"/>
        </w:rPr>
      </w:pPr>
    </w:p>
    <w:p w14:paraId="73F9DC9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equity, ROE</w:t>
      </w:r>
      <w:r>
        <w:rPr>
          <w:rFonts w:ascii="Arial" w:hAnsi="Arial" w:cs="Arial"/>
          <w:bCs/>
          <w:i/>
          <w:iCs/>
          <w:sz w:val="20"/>
          <w:lang w:val="en-GB"/>
        </w:rPr>
        <w:t>, (%) is the ratio of after-tax profit/loss to equity.</w:t>
      </w:r>
    </w:p>
    <w:p w14:paraId="538FA574" w14:textId="77777777" w:rsidR="0040133D" w:rsidRDefault="0040133D">
      <w:pPr>
        <w:pStyle w:val="Zhlav"/>
        <w:tabs>
          <w:tab w:val="clear" w:pos="4536"/>
          <w:tab w:val="clear" w:pos="9072"/>
        </w:tabs>
        <w:jc w:val="both"/>
        <w:rPr>
          <w:rFonts w:ascii="Arial" w:hAnsi="Arial" w:cs="Arial"/>
          <w:bCs/>
          <w:i/>
          <w:iCs/>
          <w:sz w:val="20"/>
          <w:lang w:val="en-GB"/>
        </w:rPr>
      </w:pPr>
    </w:p>
    <w:p w14:paraId="48CB39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sales, ROS</w:t>
      </w:r>
      <w:r>
        <w:rPr>
          <w:rFonts w:ascii="Arial" w:hAnsi="Arial" w:cs="Arial"/>
          <w:i/>
          <w:iCs/>
          <w:sz w:val="20"/>
          <w:lang w:val="en-GB"/>
        </w:rPr>
        <w:t>,</w:t>
      </w:r>
      <w:r>
        <w:rPr>
          <w:rFonts w:ascii="Arial" w:hAnsi="Arial" w:cs="Arial"/>
          <w:bCs/>
          <w:i/>
          <w:iCs/>
          <w:sz w:val="20"/>
          <w:lang w:val="en-GB"/>
        </w:rPr>
        <w:t xml:space="preserve"> (%) is the ratio of after-tax profit/loss to the sum of revenues from sale of own goods, services, and goods for resale.</w:t>
      </w:r>
    </w:p>
    <w:p w14:paraId="3777D49D" w14:textId="77777777" w:rsidR="0040133D" w:rsidRDefault="0040133D">
      <w:pPr>
        <w:pStyle w:val="Zhlav"/>
        <w:tabs>
          <w:tab w:val="clear" w:pos="4536"/>
          <w:tab w:val="clear" w:pos="9072"/>
        </w:tabs>
        <w:jc w:val="both"/>
        <w:rPr>
          <w:rFonts w:ascii="Arial" w:hAnsi="Arial" w:cs="Arial"/>
          <w:bCs/>
          <w:i/>
          <w:iCs/>
          <w:sz w:val="20"/>
          <w:lang w:val="en-GB"/>
        </w:rPr>
      </w:pPr>
    </w:p>
    <w:p w14:paraId="0B24522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costs</w:t>
      </w:r>
      <w:r>
        <w:rPr>
          <w:rFonts w:ascii="Arial" w:hAnsi="Arial" w:cs="Arial"/>
          <w:bCs/>
          <w:i/>
          <w:iCs/>
          <w:sz w:val="20"/>
          <w:lang w:val="en-GB"/>
        </w:rPr>
        <w:t xml:space="preserve"> (%) is the ratio of after-tax profit/loss to total costs (expenses).</w:t>
      </w:r>
    </w:p>
    <w:p w14:paraId="0B70176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63DB81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Expense-to-revenue ratio</w:t>
      </w:r>
      <w:r>
        <w:rPr>
          <w:rFonts w:ascii="Arial" w:hAnsi="Arial" w:cs="Arial"/>
          <w:bCs/>
          <w:i/>
          <w:iCs/>
          <w:sz w:val="20"/>
          <w:lang w:val="en-GB"/>
        </w:rPr>
        <w:t xml:space="preserve"> (%) is the ratio of total costs (expenses) to </w:t>
      </w:r>
      <w:r w:rsidR="0012586A">
        <w:rPr>
          <w:rFonts w:ascii="Arial" w:hAnsi="Arial" w:cs="Arial"/>
          <w:bCs/>
          <w:i/>
          <w:iCs/>
          <w:sz w:val="20"/>
          <w:lang w:val="en-GB"/>
        </w:rPr>
        <w:t>net turnover</w:t>
      </w:r>
      <w:r>
        <w:rPr>
          <w:rFonts w:ascii="Arial" w:hAnsi="Arial" w:cs="Arial"/>
          <w:bCs/>
          <w:i/>
          <w:iCs/>
          <w:sz w:val="20"/>
          <w:lang w:val="en-GB"/>
        </w:rPr>
        <w:t>.</w:t>
      </w:r>
    </w:p>
    <w:p w14:paraId="68CBE148" w14:textId="77777777" w:rsidR="0040133D" w:rsidRDefault="0040133D">
      <w:pPr>
        <w:pStyle w:val="Zhlav"/>
        <w:tabs>
          <w:tab w:val="clear" w:pos="4536"/>
          <w:tab w:val="clear" w:pos="9072"/>
        </w:tabs>
        <w:jc w:val="both"/>
        <w:rPr>
          <w:rFonts w:ascii="Arial" w:hAnsi="Arial" w:cs="Arial"/>
          <w:bCs/>
          <w:i/>
          <w:iCs/>
          <w:sz w:val="20"/>
          <w:lang w:val="en-GB"/>
        </w:rPr>
      </w:pPr>
    </w:p>
    <w:p w14:paraId="708E775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Inventories turnover time</w:t>
      </w:r>
      <w:r>
        <w:rPr>
          <w:rFonts w:ascii="Arial" w:hAnsi="Arial" w:cs="Arial"/>
          <w:bCs/>
          <w:i/>
          <w:iCs/>
          <w:sz w:val="20"/>
          <w:lang w:val="en-GB"/>
        </w:rPr>
        <w:t xml:space="preserve"> (days) is the ratio of inventories (total stock) to average daily sales (total sales divided by 360). It shows the number of days for which the stock of inventories would be sufficient.</w:t>
      </w:r>
    </w:p>
    <w:p w14:paraId="248481C5"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A733B83"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1BEB502" w14:textId="77777777" w:rsidR="00004AF5" w:rsidRPr="0057781A" w:rsidRDefault="00004AF5">
      <w:pPr>
        <w:pStyle w:val="Zhlav"/>
        <w:tabs>
          <w:tab w:val="clear" w:pos="4536"/>
          <w:tab w:val="clear" w:pos="9072"/>
        </w:tabs>
        <w:ind w:firstLine="705"/>
        <w:jc w:val="both"/>
        <w:rPr>
          <w:rFonts w:ascii="Arial" w:hAnsi="Arial" w:cs="Arial"/>
          <w:bCs/>
          <w:i/>
          <w:iCs/>
          <w:sz w:val="20"/>
          <w:lang w:val="en-GB"/>
        </w:rPr>
      </w:pPr>
      <w:r w:rsidRPr="0057781A">
        <w:rPr>
          <w:b/>
          <w:bCs/>
          <w:i/>
        </w:rPr>
        <w:t xml:space="preserve">In </w:t>
      </w:r>
      <w:proofErr w:type="spellStart"/>
      <w:r w:rsidRPr="0057781A">
        <w:rPr>
          <w:rStyle w:val="spelle"/>
          <w:b/>
          <w:bCs/>
          <w:i/>
        </w:rPr>
        <w:t>compliance</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an</w:t>
      </w:r>
      <w:proofErr w:type="spellEnd"/>
      <w:r w:rsidRPr="0057781A">
        <w:rPr>
          <w:b/>
          <w:bCs/>
          <w:i/>
        </w:rPr>
        <w:t xml:space="preserve"> </w:t>
      </w:r>
      <w:proofErr w:type="spellStart"/>
      <w:r w:rsidRPr="0057781A">
        <w:rPr>
          <w:rStyle w:val="spelle"/>
          <w:b/>
          <w:bCs/>
          <w:i/>
        </w:rPr>
        <w:t>amendment</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Decree</w:t>
      </w:r>
      <w:proofErr w:type="spellEnd"/>
      <w:r w:rsidRPr="0057781A">
        <w:rPr>
          <w:b/>
          <w:bCs/>
          <w:i/>
        </w:rPr>
        <w:t xml:space="preserve"> No 500/2002 </w:t>
      </w:r>
      <w:proofErr w:type="spellStart"/>
      <w:r w:rsidRPr="0057781A">
        <w:rPr>
          <w:rStyle w:val="spelle"/>
          <w:b/>
          <w:bCs/>
          <w:i/>
        </w:rPr>
        <w:t>Sb</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effect</w:t>
      </w:r>
      <w:proofErr w:type="spellEnd"/>
      <w:r w:rsidRPr="0057781A">
        <w:rPr>
          <w:b/>
          <w:bCs/>
          <w:i/>
        </w:rPr>
        <w:t xml:space="preserve"> </w:t>
      </w:r>
      <w:proofErr w:type="spellStart"/>
      <w:r w:rsidRPr="0057781A">
        <w:rPr>
          <w:rStyle w:val="spelle"/>
          <w:b/>
          <w:bCs/>
          <w:i/>
        </w:rPr>
        <w:t>from</w:t>
      </w:r>
      <w:proofErr w:type="spellEnd"/>
      <w:r w:rsidRPr="0057781A">
        <w:rPr>
          <w:b/>
          <w:bCs/>
          <w:i/>
        </w:rPr>
        <w:t xml:space="preserve"> 1 </w:t>
      </w:r>
      <w:proofErr w:type="spellStart"/>
      <w:r w:rsidRPr="0057781A">
        <w:rPr>
          <w:rStyle w:val="spelle"/>
          <w:b/>
          <w:bCs/>
          <w:i/>
        </w:rPr>
        <w:t>January</w:t>
      </w:r>
      <w:proofErr w:type="spellEnd"/>
      <w:r w:rsidRPr="0057781A">
        <w:rPr>
          <w:b/>
          <w:bCs/>
          <w:i/>
        </w:rPr>
        <w:t xml:space="preserve"> 2016, </w:t>
      </w:r>
      <w:proofErr w:type="spellStart"/>
      <w:r w:rsidRPr="0057781A">
        <w:rPr>
          <w:rStyle w:val="spelle"/>
          <w:b/>
          <w:bCs/>
          <w:i/>
        </w:rPr>
        <w:t>names</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some</w:t>
      </w:r>
      <w:proofErr w:type="spellEnd"/>
      <w:r w:rsidRPr="0057781A">
        <w:rPr>
          <w:b/>
          <w:bCs/>
          <w:i/>
        </w:rPr>
        <w:t xml:space="preserve"> </w:t>
      </w:r>
      <w:proofErr w:type="spellStart"/>
      <w:r w:rsidRPr="0057781A">
        <w:rPr>
          <w:rStyle w:val="spelle"/>
          <w:b/>
          <w:bCs/>
          <w:i/>
        </w:rPr>
        <w:t>indicators</w:t>
      </w:r>
      <w:proofErr w:type="spellEnd"/>
      <w:r w:rsidRPr="0057781A">
        <w:rPr>
          <w:b/>
          <w:bCs/>
          <w:i/>
        </w:rPr>
        <w:t xml:space="preserve"> </w:t>
      </w:r>
      <w:proofErr w:type="spellStart"/>
      <w:r w:rsidRPr="0057781A">
        <w:rPr>
          <w:rStyle w:val="spelle"/>
          <w:b/>
          <w:bCs/>
          <w:i/>
        </w:rPr>
        <w:t>have</w:t>
      </w:r>
      <w:proofErr w:type="spellEnd"/>
      <w:r w:rsidRPr="0057781A">
        <w:rPr>
          <w:b/>
          <w:bCs/>
          <w:i/>
        </w:rPr>
        <w:t xml:space="preserve"> </w:t>
      </w:r>
      <w:proofErr w:type="spellStart"/>
      <w:r w:rsidRPr="0057781A">
        <w:rPr>
          <w:rStyle w:val="spelle"/>
          <w:b/>
          <w:bCs/>
          <w:i/>
        </w:rPr>
        <w:t>been</w:t>
      </w:r>
      <w:proofErr w:type="spellEnd"/>
      <w:r w:rsidRPr="0057781A">
        <w:rPr>
          <w:b/>
          <w:bCs/>
          <w:i/>
        </w:rPr>
        <w:t xml:space="preserve"> </w:t>
      </w:r>
      <w:proofErr w:type="spellStart"/>
      <w:r w:rsidRPr="0057781A">
        <w:rPr>
          <w:rStyle w:val="spelle"/>
          <w:b/>
          <w:bCs/>
          <w:i/>
        </w:rPr>
        <w:t>modified</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consumption</w:t>
      </w:r>
      <w:proofErr w:type="spellEnd"/>
      <w:r w:rsidRPr="0057781A">
        <w:rPr>
          <w:rStyle w:val="spelle"/>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material</w:t>
      </w:r>
      <w:proofErr w:type="spellEnd"/>
      <w:r w:rsidRPr="0057781A">
        <w:rPr>
          <w:rStyle w:val="spelle"/>
          <w:b/>
          <w:bCs/>
          <w:i/>
        </w:rPr>
        <w:t xml:space="preserve"> and</w:t>
      </w:r>
      <w:r w:rsidRPr="0057781A">
        <w:rPr>
          <w:b/>
          <w:bCs/>
          <w:i/>
        </w:rPr>
        <w:t xml:space="preserve"> </w:t>
      </w:r>
      <w:proofErr w:type="spellStart"/>
      <w:r w:rsidRPr="0057781A">
        <w:rPr>
          <w:rStyle w:val="spelle"/>
          <w:b/>
          <w:bCs/>
          <w:i/>
        </w:rPr>
        <w:t>energy</w:t>
      </w:r>
      <w:proofErr w:type="spellEnd"/>
      <w:r w:rsidRPr="0057781A">
        <w:rPr>
          <w:b/>
          <w:bCs/>
          <w:i/>
        </w:rPr>
        <w:t xml:space="preserve"> </w:t>
      </w:r>
      <w:r w:rsidRPr="0057781A">
        <w:rPr>
          <w:rStyle w:val="spelle"/>
          <w:b/>
          <w:bCs/>
          <w:i/>
        </w:rPr>
        <w:t>and</w:t>
      </w:r>
      <w:r w:rsidRPr="0057781A">
        <w:rPr>
          <w:b/>
          <w:bCs/>
          <w:i/>
        </w:rPr>
        <w:t xml:space="preserve"> </w:t>
      </w:r>
      <w:proofErr w:type="spellStart"/>
      <w:r w:rsidRPr="0057781A">
        <w:rPr>
          <w:rStyle w:val="spelle"/>
          <w:b/>
          <w:bCs/>
          <w:i/>
        </w:rPr>
        <w:t>services</w:t>
      </w:r>
      <w:proofErr w:type="spellEnd"/>
      <w:r w:rsidRPr="0057781A">
        <w:rPr>
          <w:rStyle w:val="spelle"/>
          <w:b/>
          <w:bCs/>
          <w:i/>
        </w:rPr>
        <w:t xml:space="preserve"> </w:t>
      </w:r>
      <w:proofErr w:type="spellStart"/>
      <w:r w:rsidRPr="0057781A">
        <w:rPr>
          <w:rStyle w:val="spelle"/>
          <w:b/>
          <w:bCs/>
          <w:i/>
        </w:rPr>
        <w:t>costs</w:t>
      </w:r>
      <w:proofErr w:type="spellEnd"/>
      <w:r w:rsidRPr="0057781A">
        <w:rPr>
          <w:b/>
          <w:bCs/>
          <w:i/>
        </w:rPr>
        <w:t xml:space="preserve">” has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same</w:t>
      </w:r>
      <w:proofErr w:type="spellEnd"/>
      <w:r w:rsidRPr="0057781A">
        <w:rPr>
          <w:b/>
          <w:bCs/>
          <w:i/>
        </w:rPr>
        <w:t xml:space="preserve"> </w:t>
      </w:r>
      <w:proofErr w:type="spellStart"/>
      <w:r w:rsidRPr="0057781A">
        <w:rPr>
          <w:rStyle w:val="spelle"/>
          <w:b/>
          <w:bCs/>
          <w:i/>
        </w:rPr>
        <w:t>content</w:t>
      </w:r>
      <w:proofErr w:type="spellEnd"/>
      <w:r w:rsidRPr="0057781A">
        <w:rPr>
          <w:b/>
          <w:bCs/>
          <w:i/>
        </w:rPr>
        <w:t xml:space="preserve"> 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previous</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production</w:t>
      </w:r>
      <w:proofErr w:type="spellEnd"/>
      <w:r w:rsidRPr="0057781A">
        <w:rPr>
          <w:b/>
          <w:bCs/>
          <w:i/>
        </w:rPr>
        <w:t xml:space="preserve"> </w:t>
      </w:r>
      <w:proofErr w:type="spellStart"/>
      <w:r w:rsidRPr="0057781A">
        <w:rPr>
          <w:rStyle w:val="spelle"/>
          <w:b/>
          <w:bCs/>
          <w:i/>
        </w:rPr>
        <w:t>consumption</w:t>
      </w:r>
      <w:proofErr w:type="spellEnd"/>
      <w:r w:rsidRPr="0057781A">
        <w:rPr>
          <w:b/>
          <w:bCs/>
          <w:i/>
        </w:rPr>
        <w:t>”.</w:t>
      </w:r>
      <w:r w:rsidR="00CB39D6" w:rsidRPr="0057781A">
        <w:rPr>
          <w:b/>
          <w:bCs/>
          <w:i/>
        </w:rPr>
        <w:t xml:space="preserve">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rStyle w:val="spelle"/>
          <w:b/>
          <w:bCs/>
          <w:i/>
        </w:rPr>
        <w:t xml:space="preserve"> and cash and bank </w:t>
      </w:r>
      <w:proofErr w:type="spellStart"/>
      <w:r w:rsidR="00CB39D6" w:rsidRPr="0057781A">
        <w:rPr>
          <w:rStyle w:val="spelle"/>
          <w:b/>
          <w:bCs/>
          <w:i/>
        </w:rPr>
        <w:t>accounts</w:t>
      </w:r>
      <w:proofErr w:type="spellEnd"/>
      <w:r w:rsidR="00CB39D6" w:rsidRPr="0057781A">
        <w:rPr>
          <w:b/>
          <w:bCs/>
          <w:i/>
        </w:rPr>
        <w:t xml:space="preserve">” has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same</w:t>
      </w:r>
      <w:proofErr w:type="spellEnd"/>
      <w:r w:rsidR="00CB39D6" w:rsidRPr="0057781A">
        <w:rPr>
          <w:b/>
          <w:bCs/>
          <w:i/>
        </w:rPr>
        <w:t xml:space="preserve"> </w:t>
      </w:r>
      <w:proofErr w:type="spellStart"/>
      <w:r w:rsidR="00CB39D6" w:rsidRPr="0057781A">
        <w:rPr>
          <w:rStyle w:val="spelle"/>
          <w:b/>
          <w:bCs/>
          <w:i/>
        </w:rPr>
        <w:t>content</w:t>
      </w:r>
      <w:proofErr w:type="spellEnd"/>
      <w:r w:rsidR="00CB39D6" w:rsidRPr="0057781A">
        <w:rPr>
          <w:b/>
          <w:bCs/>
          <w:i/>
        </w:rPr>
        <w:t xml:space="preserve"> 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previous</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b/>
          <w:bCs/>
          <w:i/>
        </w:rPr>
        <w:t>”</w:t>
      </w:r>
    </w:p>
    <w:p w14:paraId="0C32CBD8" w14:textId="77777777" w:rsidR="001E6AB4" w:rsidRPr="00784379" w:rsidRDefault="001E6AB4" w:rsidP="00784379">
      <w:pPr>
        <w:pStyle w:val="Zhlav"/>
        <w:tabs>
          <w:tab w:val="clear" w:pos="4536"/>
          <w:tab w:val="clear" w:pos="9072"/>
        </w:tabs>
        <w:jc w:val="center"/>
        <w:rPr>
          <w:rFonts w:ascii="Arial" w:hAnsi="Arial" w:cs="Arial"/>
          <w:bCs/>
          <w:i/>
          <w:iCs/>
          <w:sz w:val="20"/>
          <w:lang w:val="en-GB"/>
        </w:rPr>
      </w:pPr>
      <w:r>
        <w:rPr>
          <w:rFonts w:ascii="Arial" w:hAnsi="Arial" w:cs="Arial"/>
          <w:bCs/>
          <w:i/>
          <w:iCs/>
          <w:sz w:val="20"/>
          <w:lang w:val="en-GB"/>
        </w:rPr>
        <w:t xml:space="preserve">                                                                                                                                                                                                                                                                                                           </w:t>
      </w:r>
      <w:r w:rsidR="00784379">
        <w:rPr>
          <w:rFonts w:ascii="Arial" w:hAnsi="Arial" w:cs="Arial"/>
          <w:bCs/>
          <w:i/>
          <w:iCs/>
          <w:sz w:val="20"/>
          <w:lang w:val="en-GB"/>
        </w:rPr>
        <w:t xml:space="preserve">                               </w:t>
      </w:r>
    </w:p>
    <w:p w14:paraId="13C2E734" w14:textId="77777777" w:rsidR="001E6AB4" w:rsidRDefault="001E6AB4" w:rsidP="001E6AB4">
      <w:pPr>
        <w:pStyle w:val="Zhlav"/>
        <w:tabs>
          <w:tab w:val="clear" w:pos="4536"/>
          <w:tab w:val="clear" w:pos="9072"/>
        </w:tabs>
        <w:rPr>
          <w:lang w:val="en-GB"/>
        </w:rPr>
      </w:pPr>
    </w:p>
    <w:p w14:paraId="372C762C" w14:textId="77777777" w:rsidR="0040133D" w:rsidRDefault="0040133D">
      <w:pPr>
        <w:pStyle w:val="Zhlav"/>
        <w:tabs>
          <w:tab w:val="clear" w:pos="4536"/>
          <w:tab w:val="clear" w:pos="9072"/>
        </w:tabs>
        <w:jc w:val="center"/>
        <w:rPr>
          <w:rFonts w:ascii="Arial" w:hAnsi="Arial" w:cs="Arial"/>
          <w:b/>
          <w:i/>
          <w:iCs/>
          <w:sz w:val="26"/>
          <w:lang w:val="en-GB"/>
        </w:rPr>
      </w:pPr>
      <w:r w:rsidRPr="001E6AB4">
        <w:rPr>
          <w:lang w:val="en-GB"/>
        </w:rPr>
        <w:br w:type="page"/>
      </w:r>
      <w:r>
        <w:rPr>
          <w:rFonts w:ascii="Arial" w:hAnsi="Arial" w:cs="Arial"/>
          <w:b/>
          <w:i/>
          <w:iCs/>
          <w:sz w:val="26"/>
          <w:lang w:val="en-GB"/>
        </w:rPr>
        <w:lastRenderedPageBreak/>
        <w:t>NOTE</w:t>
      </w:r>
    </w:p>
    <w:p w14:paraId="3FBE3ABB" w14:textId="77777777" w:rsidR="0040133D" w:rsidRDefault="0040133D">
      <w:pPr>
        <w:pStyle w:val="Zhlav"/>
        <w:tabs>
          <w:tab w:val="clear" w:pos="4536"/>
          <w:tab w:val="clear" w:pos="9072"/>
        </w:tabs>
        <w:jc w:val="both"/>
        <w:rPr>
          <w:rFonts w:ascii="Arial" w:hAnsi="Arial" w:cs="Arial"/>
          <w:bCs/>
          <w:i/>
          <w:iCs/>
          <w:sz w:val="20"/>
          <w:lang w:val="en-GB"/>
        </w:rPr>
      </w:pPr>
    </w:p>
    <w:p w14:paraId="7FDFF7B0" w14:textId="77777777" w:rsidR="0040133D" w:rsidRDefault="0040133D">
      <w:pPr>
        <w:pStyle w:val="Zhlav"/>
        <w:tabs>
          <w:tab w:val="clear" w:pos="4536"/>
          <w:tab w:val="clear" w:pos="9072"/>
        </w:tabs>
        <w:jc w:val="both"/>
        <w:rPr>
          <w:rFonts w:ascii="Arial" w:hAnsi="Arial" w:cs="Arial"/>
          <w:bCs/>
          <w:i/>
          <w:iCs/>
          <w:sz w:val="20"/>
          <w:lang w:val="en-GB"/>
        </w:rPr>
      </w:pPr>
    </w:p>
    <w:p w14:paraId="4E2E2062" w14:textId="77777777" w:rsidR="0040133D" w:rsidRDefault="0040133D">
      <w:pPr>
        <w:pStyle w:val="Zkladntext2"/>
        <w:rPr>
          <w:bCs/>
          <w:i/>
          <w:iCs/>
          <w:lang w:val="en-GB"/>
        </w:rPr>
      </w:pPr>
      <w:r>
        <w:rPr>
          <w:bCs/>
          <w:i/>
          <w:iCs/>
          <w:lang w:val="en-GB"/>
        </w:rPr>
        <w:tab/>
        <w:t xml:space="preserve">The data provided in the publication represent the basic population of all </w:t>
      </w:r>
      <w:r>
        <w:rPr>
          <w:b/>
          <w:i/>
          <w:iCs/>
          <w:lang w:val="en-GB"/>
        </w:rPr>
        <w:t>active enterprises</w:t>
      </w:r>
      <w:r>
        <w:rPr>
          <w:bCs/>
          <w:i/>
          <w:iCs/>
          <w:lang w:val="en-GB"/>
        </w:rPr>
        <w:t>.</w:t>
      </w:r>
    </w:p>
    <w:p w14:paraId="5A9D3CC5" w14:textId="77777777" w:rsidR="0040133D" w:rsidRDefault="0040133D">
      <w:pPr>
        <w:rPr>
          <w:rFonts w:cs="Arial"/>
          <w:bCs/>
          <w:i/>
          <w:iCs/>
          <w:sz w:val="20"/>
          <w:lang w:val="en-GB"/>
        </w:rPr>
      </w:pPr>
    </w:p>
    <w:p w14:paraId="5D31445B" w14:textId="77777777" w:rsidR="0040133D" w:rsidRDefault="0040133D">
      <w:pPr>
        <w:ind w:firstLine="708"/>
        <w:rPr>
          <w:rFonts w:cs="Arial"/>
          <w:bCs/>
          <w:i/>
          <w:iCs/>
          <w:sz w:val="20"/>
          <w:lang w:val="en-GB"/>
        </w:rPr>
      </w:pPr>
      <w:r>
        <w:rPr>
          <w:rFonts w:cs="Arial"/>
          <w:bCs/>
          <w:i/>
          <w:iCs/>
          <w:sz w:val="20"/>
          <w:lang w:val="en-GB"/>
        </w:rPr>
        <w:t>The year-on-year indices are calculated from current prices.</w:t>
      </w:r>
    </w:p>
    <w:p w14:paraId="46183B63" w14:textId="77777777" w:rsidR="0040133D" w:rsidRDefault="0040133D">
      <w:pPr>
        <w:rPr>
          <w:rFonts w:cs="Arial"/>
          <w:bCs/>
          <w:i/>
          <w:iCs/>
          <w:sz w:val="20"/>
          <w:lang w:val="en-GB"/>
        </w:rPr>
      </w:pPr>
    </w:p>
    <w:p w14:paraId="2AAB271F"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Financial data in the tables are given in millions of CZK. The calculations used source data in thousands of CZK. Differences between calculated and summed up data, if any, may be due to rounding off.</w:t>
      </w:r>
    </w:p>
    <w:p w14:paraId="0308A828" w14:textId="77777777" w:rsidR="0040133D" w:rsidRDefault="0040133D">
      <w:pPr>
        <w:pStyle w:val="Zhlav"/>
        <w:tabs>
          <w:tab w:val="clear" w:pos="4536"/>
          <w:tab w:val="clear" w:pos="9072"/>
        </w:tabs>
        <w:jc w:val="both"/>
        <w:rPr>
          <w:rFonts w:ascii="Arial" w:hAnsi="Arial" w:cs="Arial"/>
          <w:bCs/>
          <w:i/>
          <w:iCs/>
          <w:sz w:val="20"/>
          <w:lang w:val="en-GB"/>
        </w:rPr>
      </w:pPr>
    </w:p>
    <w:p w14:paraId="7E27BC7A"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If the data released in the publication are compared with data derived from other surveys with different periodicity (monthly or quarterly), they will differ in value even if the indicators are identical in terms of methodology. Differences are attributed to the state of the register on the day of generating samples for the survey (i.e. due to different samples), to the system used to gross up the results to the basic population, and, where annual data are concerned, to statement-of-accounts operations. These operations are reflected in neither monthly nor quarterly data, as the calendar year was the accounting period.</w:t>
      </w:r>
    </w:p>
    <w:p w14:paraId="55768C22" w14:textId="77777777" w:rsidR="0040133D" w:rsidRDefault="0040133D">
      <w:pPr>
        <w:pStyle w:val="Zhlav"/>
        <w:tabs>
          <w:tab w:val="clear" w:pos="4536"/>
          <w:tab w:val="clear" w:pos="9072"/>
        </w:tabs>
        <w:ind w:firstLine="708"/>
        <w:jc w:val="both"/>
        <w:rPr>
          <w:rFonts w:ascii="Arial" w:hAnsi="Arial" w:cs="Arial"/>
          <w:bCs/>
          <w:i/>
          <w:iCs/>
          <w:sz w:val="20"/>
          <w:lang w:val="en-GB"/>
        </w:rPr>
      </w:pPr>
    </w:p>
    <w:p w14:paraId="3FEACFD7" w14:textId="77777777" w:rsidR="0040133D" w:rsidRDefault="0040133D">
      <w:pPr>
        <w:pStyle w:val="Zhlav"/>
        <w:tabs>
          <w:tab w:val="clear" w:pos="4536"/>
          <w:tab w:val="clear" w:pos="9072"/>
        </w:tabs>
        <w:jc w:val="both"/>
        <w:rPr>
          <w:rFonts w:ascii="Arial" w:hAnsi="Arial" w:cs="Arial"/>
          <w:bCs/>
          <w:i/>
          <w:iCs/>
          <w:sz w:val="20"/>
          <w:lang w:val="en-GB"/>
        </w:rPr>
      </w:pPr>
    </w:p>
    <w:p w14:paraId="2E343CA1" w14:textId="77777777" w:rsidR="0040133D" w:rsidRDefault="0040133D">
      <w:pPr>
        <w:pStyle w:val="Zhlav"/>
        <w:tabs>
          <w:tab w:val="clear" w:pos="4536"/>
          <w:tab w:val="clear" w:pos="9072"/>
        </w:tabs>
        <w:jc w:val="both"/>
        <w:rPr>
          <w:rFonts w:ascii="Arial" w:hAnsi="Arial" w:cs="Arial"/>
          <w:i/>
          <w:iCs/>
          <w:sz w:val="20"/>
          <w:shd w:val="clear" w:color="auto" w:fill="FFFFFF"/>
          <w:lang w:val="en-GB"/>
        </w:rPr>
      </w:pPr>
    </w:p>
    <w:p w14:paraId="2506B7F1" w14:textId="77777777" w:rsidR="0040133D" w:rsidRDefault="0040133D">
      <w:pPr>
        <w:pStyle w:val="Zhlav"/>
        <w:tabs>
          <w:tab w:val="clear" w:pos="4536"/>
          <w:tab w:val="clear" w:pos="9072"/>
        </w:tabs>
        <w:ind w:firstLine="684"/>
        <w:jc w:val="both"/>
        <w:rPr>
          <w:bCs/>
          <w:lang w:val="en-GB"/>
        </w:rPr>
      </w:pPr>
    </w:p>
    <w:sectPr w:rsidR="0040133D">
      <w:footerReference w:type="even" r:id="rId8"/>
      <w:footerReference w:type="default" r:id="rId9"/>
      <w:pgSz w:w="11906" w:h="16838" w:code="9"/>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4095" w14:textId="77777777" w:rsidR="004512F0" w:rsidRDefault="004512F0">
      <w:r>
        <w:separator/>
      </w:r>
    </w:p>
  </w:endnote>
  <w:endnote w:type="continuationSeparator" w:id="0">
    <w:p w14:paraId="459527F6" w14:textId="77777777" w:rsidR="004512F0" w:rsidRDefault="004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It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9A94" w14:textId="77777777" w:rsidR="0040133D" w:rsidRDefault="00401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DE06F1" w14:textId="77777777" w:rsidR="0040133D" w:rsidRDefault="00401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71D" w14:textId="77777777" w:rsidR="0040133D" w:rsidRDefault="0040133D">
    <w:pPr>
      <w:pStyle w:val="Zpat"/>
      <w:framePr w:wrap="around" w:vAnchor="text" w:hAnchor="margin" w:xAlign="center" w:y="1"/>
      <w:rPr>
        <w:rStyle w:val="slostrnky"/>
      </w:rPr>
    </w:pPr>
  </w:p>
  <w:p w14:paraId="6F54F7B8" w14:textId="77777777" w:rsidR="0040133D" w:rsidRDefault="00401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8469" w14:textId="77777777" w:rsidR="004512F0" w:rsidRDefault="004512F0">
      <w:r>
        <w:separator/>
      </w:r>
    </w:p>
  </w:footnote>
  <w:footnote w:type="continuationSeparator" w:id="0">
    <w:p w14:paraId="718036ED" w14:textId="77777777" w:rsidR="004512F0" w:rsidRDefault="00451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CF4"/>
    <w:multiLevelType w:val="hybridMultilevel"/>
    <w:tmpl w:val="8BA24AF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0B"/>
    <w:multiLevelType w:val="singleLevel"/>
    <w:tmpl w:val="AA18101C"/>
    <w:lvl w:ilvl="0">
      <w:start w:val="3210"/>
      <w:numFmt w:val="decimal"/>
      <w:lvlText w:val="%1"/>
      <w:lvlJc w:val="left"/>
      <w:pPr>
        <w:tabs>
          <w:tab w:val="num" w:pos="2136"/>
        </w:tabs>
        <w:ind w:left="2136" w:hanging="720"/>
      </w:pPr>
      <w:rPr>
        <w:rFonts w:hint="default"/>
      </w:rPr>
    </w:lvl>
  </w:abstractNum>
  <w:abstractNum w:abstractNumId="2" w15:restartNumberingAfterBreak="0">
    <w:nsid w:val="185471F4"/>
    <w:multiLevelType w:val="hybridMultilevel"/>
    <w:tmpl w:val="FE6AEC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B0FBE"/>
    <w:multiLevelType w:val="hybridMultilevel"/>
    <w:tmpl w:val="26D4E5F8"/>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92A85"/>
    <w:multiLevelType w:val="hybridMultilevel"/>
    <w:tmpl w:val="ECDAF3F2"/>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75903"/>
    <w:multiLevelType w:val="hybridMultilevel"/>
    <w:tmpl w:val="ED70886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3F7C"/>
    <w:multiLevelType w:val="hybridMultilevel"/>
    <w:tmpl w:val="5082DE1C"/>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844B2"/>
    <w:multiLevelType w:val="hybridMultilevel"/>
    <w:tmpl w:val="6EA677A8"/>
    <w:lvl w:ilvl="0" w:tplc="5B5E8B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A4837"/>
    <w:multiLevelType w:val="singleLevel"/>
    <w:tmpl w:val="6A1E5E1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7C4ADE"/>
    <w:multiLevelType w:val="hybridMultilevel"/>
    <w:tmpl w:val="6CCA0D10"/>
    <w:lvl w:ilvl="0" w:tplc="4472462C">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947"/>
    <w:multiLevelType w:val="hybridMultilevel"/>
    <w:tmpl w:val="576A0C44"/>
    <w:lvl w:ilvl="0" w:tplc="FFFFFFFF">
      <w:start w:val="1"/>
      <w:numFmt w:val="bullet"/>
      <w:pStyle w:val="odrka2"/>
      <w:lvlText w:val="―"/>
      <w:lvlJc w:val="left"/>
      <w:pPr>
        <w:tabs>
          <w:tab w:val="num" w:pos="2126"/>
        </w:tabs>
        <w:ind w:left="2126" w:hanging="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23C4"/>
    <w:multiLevelType w:val="singleLevel"/>
    <w:tmpl w:val="98FEDD94"/>
    <w:lvl w:ilvl="0">
      <w:start w:val="3230"/>
      <w:numFmt w:val="decimal"/>
      <w:lvlText w:val="%1"/>
      <w:lvlJc w:val="left"/>
      <w:pPr>
        <w:tabs>
          <w:tab w:val="num" w:pos="2136"/>
        </w:tabs>
        <w:ind w:left="2136" w:hanging="720"/>
      </w:pPr>
      <w:rPr>
        <w:rFonts w:hint="default"/>
      </w:rPr>
    </w:lvl>
  </w:abstractNum>
  <w:abstractNum w:abstractNumId="12" w15:restartNumberingAfterBreak="0">
    <w:nsid w:val="488E272D"/>
    <w:multiLevelType w:val="singleLevel"/>
    <w:tmpl w:val="40403CCE"/>
    <w:lvl w:ilvl="0">
      <w:start w:val="3130"/>
      <w:numFmt w:val="decimal"/>
      <w:lvlText w:val="%1"/>
      <w:lvlJc w:val="left"/>
      <w:pPr>
        <w:tabs>
          <w:tab w:val="num" w:pos="2136"/>
        </w:tabs>
        <w:ind w:left="2136" w:hanging="720"/>
      </w:pPr>
      <w:rPr>
        <w:rFonts w:hint="default"/>
      </w:rPr>
    </w:lvl>
  </w:abstractNum>
  <w:abstractNum w:abstractNumId="13" w15:restartNumberingAfterBreak="0">
    <w:nsid w:val="4F1B7902"/>
    <w:multiLevelType w:val="hybridMultilevel"/>
    <w:tmpl w:val="5A20E780"/>
    <w:lvl w:ilvl="0" w:tplc="FFFFFFFF">
      <w:start w:val="1"/>
      <w:numFmt w:val="bullet"/>
      <w:lvlText w:val="―"/>
      <w:lvlJc w:val="left"/>
      <w:pPr>
        <w:tabs>
          <w:tab w:val="num" w:pos="1418"/>
        </w:tabs>
        <w:ind w:left="1418"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12E29"/>
    <w:multiLevelType w:val="hybridMultilevel"/>
    <w:tmpl w:val="1ADA8006"/>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9A2C44"/>
    <w:multiLevelType w:val="hybridMultilevel"/>
    <w:tmpl w:val="D3806E94"/>
    <w:lvl w:ilvl="0" w:tplc="352E9C5A">
      <w:start w:val="1"/>
      <w:numFmt w:val="bullet"/>
      <w:lvlText w:val=""/>
      <w:lvlJc w:val="left"/>
      <w:pPr>
        <w:tabs>
          <w:tab w:val="num" w:pos="1068"/>
        </w:tabs>
        <w:ind w:left="1068" w:hanging="36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6AB57F8"/>
    <w:multiLevelType w:val="hybridMultilevel"/>
    <w:tmpl w:val="B8005E3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97337E"/>
    <w:multiLevelType w:val="singleLevel"/>
    <w:tmpl w:val="4EA0C7FC"/>
    <w:lvl w:ilvl="0">
      <w:start w:val="3220"/>
      <w:numFmt w:val="decimal"/>
      <w:lvlText w:val="%1"/>
      <w:lvlJc w:val="left"/>
      <w:pPr>
        <w:tabs>
          <w:tab w:val="num" w:pos="2136"/>
        </w:tabs>
        <w:ind w:left="2136" w:hanging="720"/>
      </w:pPr>
      <w:rPr>
        <w:rFonts w:hint="default"/>
      </w:rPr>
    </w:lvl>
  </w:abstractNum>
  <w:num w:numId="1" w16cid:durableId="1113095098">
    <w:abstractNumId w:val="13"/>
  </w:num>
  <w:num w:numId="2" w16cid:durableId="1454014271">
    <w:abstractNumId w:val="14"/>
  </w:num>
  <w:num w:numId="3" w16cid:durableId="831334084">
    <w:abstractNumId w:val="10"/>
  </w:num>
  <w:num w:numId="4" w16cid:durableId="839739191">
    <w:abstractNumId w:val="6"/>
  </w:num>
  <w:num w:numId="5" w16cid:durableId="108858405">
    <w:abstractNumId w:val="16"/>
  </w:num>
  <w:num w:numId="6" w16cid:durableId="776490715">
    <w:abstractNumId w:val="0"/>
  </w:num>
  <w:num w:numId="7" w16cid:durableId="1596328287">
    <w:abstractNumId w:val="4"/>
  </w:num>
  <w:num w:numId="8" w16cid:durableId="204292223">
    <w:abstractNumId w:val="3"/>
  </w:num>
  <w:num w:numId="9" w16cid:durableId="1673994816">
    <w:abstractNumId w:val="5"/>
  </w:num>
  <w:num w:numId="10" w16cid:durableId="1776170406">
    <w:abstractNumId w:val="2"/>
  </w:num>
  <w:num w:numId="11" w16cid:durableId="1923878028">
    <w:abstractNumId w:val="8"/>
  </w:num>
  <w:num w:numId="12" w16cid:durableId="1211840863">
    <w:abstractNumId w:val="12"/>
  </w:num>
  <w:num w:numId="13" w16cid:durableId="567423782">
    <w:abstractNumId w:val="1"/>
  </w:num>
  <w:num w:numId="14" w16cid:durableId="1760446528">
    <w:abstractNumId w:val="17"/>
  </w:num>
  <w:num w:numId="15" w16cid:durableId="1868445914">
    <w:abstractNumId w:val="11"/>
  </w:num>
  <w:num w:numId="16" w16cid:durableId="1971594455">
    <w:abstractNumId w:val="7"/>
  </w:num>
  <w:num w:numId="17" w16cid:durableId="2078895811">
    <w:abstractNumId w:val="9"/>
  </w:num>
  <w:num w:numId="18" w16cid:durableId="843743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8C"/>
    <w:rsid w:val="00004AF5"/>
    <w:rsid w:val="0009106F"/>
    <w:rsid w:val="000929AD"/>
    <w:rsid w:val="000B6CA8"/>
    <w:rsid w:val="000F2364"/>
    <w:rsid w:val="00123C5F"/>
    <w:rsid w:val="0012586A"/>
    <w:rsid w:val="00147539"/>
    <w:rsid w:val="001A7F38"/>
    <w:rsid w:val="001B2D0A"/>
    <w:rsid w:val="001E6AB4"/>
    <w:rsid w:val="002223B2"/>
    <w:rsid w:val="0025759E"/>
    <w:rsid w:val="00292E8B"/>
    <w:rsid w:val="0031522C"/>
    <w:rsid w:val="0031573C"/>
    <w:rsid w:val="003A5114"/>
    <w:rsid w:val="0040133D"/>
    <w:rsid w:val="00404BEA"/>
    <w:rsid w:val="004512F0"/>
    <w:rsid w:val="004F1C90"/>
    <w:rsid w:val="004F4899"/>
    <w:rsid w:val="00500008"/>
    <w:rsid w:val="0050482F"/>
    <w:rsid w:val="005352E2"/>
    <w:rsid w:val="005530E2"/>
    <w:rsid w:val="00556844"/>
    <w:rsid w:val="0057781A"/>
    <w:rsid w:val="00604729"/>
    <w:rsid w:val="006254CE"/>
    <w:rsid w:val="0068274E"/>
    <w:rsid w:val="00693441"/>
    <w:rsid w:val="006B6159"/>
    <w:rsid w:val="006D737E"/>
    <w:rsid w:val="006E2430"/>
    <w:rsid w:val="00720F8C"/>
    <w:rsid w:val="00776DF3"/>
    <w:rsid w:val="00784379"/>
    <w:rsid w:val="007B311C"/>
    <w:rsid w:val="007D0444"/>
    <w:rsid w:val="007F23EF"/>
    <w:rsid w:val="00842405"/>
    <w:rsid w:val="008601A6"/>
    <w:rsid w:val="008D2E39"/>
    <w:rsid w:val="008D5144"/>
    <w:rsid w:val="00913D9A"/>
    <w:rsid w:val="009413B3"/>
    <w:rsid w:val="009861AE"/>
    <w:rsid w:val="009B0089"/>
    <w:rsid w:val="00A136BB"/>
    <w:rsid w:val="00A14DCF"/>
    <w:rsid w:val="00A2758B"/>
    <w:rsid w:val="00A50E42"/>
    <w:rsid w:val="00A640AA"/>
    <w:rsid w:val="00A71FDF"/>
    <w:rsid w:val="00AB1616"/>
    <w:rsid w:val="00B0165C"/>
    <w:rsid w:val="00B44716"/>
    <w:rsid w:val="00B80B27"/>
    <w:rsid w:val="00B92BDB"/>
    <w:rsid w:val="00BB6ED8"/>
    <w:rsid w:val="00BD6634"/>
    <w:rsid w:val="00C43AE1"/>
    <w:rsid w:val="00C45EE5"/>
    <w:rsid w:val="00C47039"/>
    <w:rsid w:val="00CA5254"/>
    <w:rsid w:val="00CB39D6"/>
    <w:rsid w:val="00CD31AE"/>
    <w:rsid w:val="00CF11FE"/>
    <w:rsid w:val="00CF2F3A"/>
    <w:rsid w:val="00DA41F5"/>
    <w:rsid w:val="00DC1BC8"/>
    <w:rsid w:val="00E9786A"/>
    <w:rsid w:val="00EC5494"/>
    <w:rsid w:val="00F0510E"/>
    <w:rsid w:val="00F510C6"/>
    <w:rsid w:val="00F833C5"/>
    <w:rsid w:val="00F97E19"/>
    <w:rsid w:val="00FE7820"/>
    <w:rsid w:val="00FF3604"/>
    <w:rsid w:val="00FF5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2254"/>
  <w15:chartTrackingRefBased/>
  <w15:docId w15:val="{D4D4372F-9AC7-4778-990D-FAC79DD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olor w:val="000000"/>
      <w:sz w:val="24"/>
      <w:szCs w:val="24"/>
    </w:rPr>
  </w:style>
  <w:style w:type="paragraph" w:styleId="Nadpis1">
    <w:name w:val="heading 1"/>
    <w:basedOn w:val="Normln"/>
    <w:next w:val="Normln"/>
    <w:qFormat/>
    <w:rsid w:val="006D737E"/>
    <w:pPr>
      <w:keepNext/>
      <w:outlineLvl w:val="0"/>
    </w:pPr>
    <w:rPr>
      <w:b/>
      <w:bCs/>
      <w:i/>
      <w:iCs/>
      <w:caps/>
      <w:sz w:val="26"/>
    </w:rPr>
  </w:style>
  <w:style w:type="paragraph" w:styleId="Nadpis2">
    <w:name w:val="heading 2"/>
    <w:basedOn w:val="Normln"/>
    <w:next w:val="Normln"/>
    <w:qFormat/>
    <w:pPr>
      <w:keepNext/>
      <w:outlineLvl w:val="1"/>
    </w:pPr>
    <w:rPr>
      <w:rFonts w:ascii="Times New Roman" w:hAnsi="Times New Roman"/>
      <w:b/>
      <w:bCs/>
      <w:color w:val="auto"/>
      <w:szCs w:val="20"/>
      <w:lang w:val="en-GB"/>
    </w:rPr>
  </w:style>
  <w:style w:type="paragraph" w:styleId="Nadpis3">
    <w:name w:val="heading 3"/>
    <w:basedOn w:val="Normln"/>
    <w:next w:val="Normln"/>
    <w:qFormat/>
    <w:pPr>
      <w:keepNext/>
      <w:tabs>
        <w:tab w:val="left" w:pos="709"/>
        <w:tab w:val="left" w:pos="1418"/>
        <w:tab w:val="left" w:pos="2126"/>
        <w:tab w:val="left" w:pos="2835"/>
      </w:tabs>
      <w:spacing w:before="60" w:after="60"/>
      <w:jc w:val="both"/>
      <w:outlineLvl w:val="2"/>
    </w:pPr>
    <w:rPr>
      <w:rFonts w:ascii="Times New Roman" w:hAnsi="Times New Roman"/>
      <w:b/>
      <w:bCs/>
      <w:i/>
      <w:iCs/>
      <w:color w:val="auto"/>
      <w:szCs w:val="20"/>
      <w:lang w:val="en-GB"/>
    </w:rPr>
  </w:style>
  <w:style w:type="paragraph" w:styleId="Nadpis4">
    <w:name w:val="heading 4"/>
    <w:basedOn w:val="Normln"/>
    <w:next w:val="Normln"/>
    <w:qFormat/>
    <w:pPr>
      <w:keepNext/>
      <w:outlineLvl w:val="3"/>
    </w:pPr>
    <w:rPr>
      <w:rFonts w:cs="Arial"/>
      <w:b/>
      <w:sz w:val="20"/>
    </w:rPr>
  </w:style>
  <w:style w:type="paragraph" w:styleId="Nadpis5">
    <w:name w:val="heading 5"/>
    <w:basedOn w:val="Normln"/>
    <w:next w:val="Normln"/>
    <w:qFormat/>
    <w:pPr>
      <w:keepNext/>
      <w:tabs>
        <w:tab w:val="left" w:pos="709"/>
        <w:tab w:val="left" w:pos="1418"/>
        <w:tab w:val="left" w:pos="2126"/>
        <w:tab w:val="left" w:pos="2835"/>
      </w:tabs>
      <w:spacing w:before="60" w:after="60"/>
      <w:ind w:left="2832" w:hanging="2832"/>
      <w:jc w:val="both"/>
      <w:outlineLvl w:val="4"/>
    </w:pPr>
    <w:rPr>
      <w:rFonts w:ascii="Times New Roman" w:hAnsi="Times New Roman"/>
      <w:i/>
      <w:iCs/>
      <w:color w:val="auto"/>
      <w:szCs w:val="20"/>
      <w:u w:val="single"/>
      <w:lang w:val="en-GB"/>
    </w:rPr>
  </w:style>
  <w:style w:type="paragraph" w:styleId="Nadpis6">
    <w:name w:val="heading 6"/>
    <w:basedOn w:val="Normln"/>
    <w:next w:val="Normln"/>
    <w:qFormat/>
    <w:pPr>
      <w:keepNext/>
      <w:tabs>
        <w:tab w:val="left" w:pos="709"/>
        <w:tab w:val="left" w:pos="1418"/>
        <w:tab w:val="left" w:pos="2126"/>
        <w:tab w:val="left" w:pos="2835"/>
      </w:tabs>
      <w:spacing w:before="60" w:after="60"/>
      <w:ind w:left="2832" w:hanging="2832"/>
      <w:jc w:val="both"/>
      <w:outlineLvl w:val="5"/>
    </w:pPr>
    <w:rPr>
      <w:rFonts w:ascii="Times New Roman" w:hAnsi="Times New Roman"/>
      <w:b/>
      <w:bCs/>
      <w:i/>
      <w:iCs/>
      <w:color w:val="auto"/>
      <w:szCs w:val="20"/>
      <w:lang w:val="en-GB"/>
    </w:rPr>
  </w:style>
  <w:style w:type="paragraph" w:styleId="Nadpis7">
    <w:name w:val="heading 7"/>
    <w:basedOn w:val="Normln"/>
    <w:next w:val="Normln"/>
    <w:qFormat/>
    <w:pPr>
      <w:keepNext/>
      <w:tabs>
        <w:tab w:val="left" w:pos="709"/>
        <w:tab w:val="left" w:pos="1418"/>
        <w:tab w:val="left" w:pos="2126"/>
        <w:tab w:val="left" w:pos="2835"/>
      </w:tabs>
      <w:spacing w:before="60" w:after="60"/>
      <w:jc w:val="both"/>
      <w:outlineLvl w:val="6"/>
    </w:pPr>
    <w:rPr>
      <w:b/>
      <w:color w:val="auto"/>
      <w:szCs w:val="20"/>
      <w:lang w:val="en-GB"/>
    </w:rPr>
  </w:style>
  <w:style w:type="paragraph" w:styleId="Nadpis8">
    <w:name w:val="heading 8"/>
    <w:basedOn w:val="Normln"/>
    <w:next w:val="Normln"/>
    <w:qFormat/>
    <w:pPr>
      <w:keepNext/>
      <w:jc w:val="center"/>
      <w:outlineLvl w:val="7"/>
    </w:pPr>
    <w:rPr>
      <w:rFonts w:cs="Arial"/>
      <w:b/>
    </w:rPr>
  </w:style>
  <w:style w:type="paragraph" w:styleId="Nadpis9">
    <w:name w:val="heading 9"/>
    <w:basedOn w:val="Normln"/>
    <w:next w:val="Normln"/>
    <w:qFormat/>
    <w:pPr>
      <w:keepNext/>
      <w:ind w:firstLine="708"/>
      <w:outlineLvl w:val="8"/>
    </w:pPr>
    <w:rPr>
      <w:rFonts w:cs="Arial"/>
      <w:b/>
      <w:i/>
      <w:cap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odsazen">
    <w:name w:val="Body Text Indent"/>
    <w:basedOn w:val="Normln"/>
    <w:semiHidden/>
    <w:pPr>
      <w:ind w:left="705"/>
    </w:pPr>
    <w:rPr>
      <w:b/>
      <w:bCs/>
      <w:sz w:val="20"/>
    </w:rPr>
  </w:style>
  <w:style w:type="paragraph" w:customStyle="1" w:styleId="odrka2">
    <w:name w:val="odrážka 2"/>
    <w:aliases w:val="5"/>
    <w:basedOn w:val="Zkladntext"/>
    <w:next w:val="Zkladntext"/>
    <w:pPr>
      <w:numPr>
        <w:numId w:val="3"/>
      </w:numPr>
      <w:tabs>
        <w:tab w:val="clear" w:pos="709"/>
        <w:tab w:val="clear" w:pos="1418"/>
        <w:tab w:val="clear" w:pos="2835"/>
      </w:tabs>
      <w:spacing w:before="0" w:after="0" w:line="360" w:lineRule="auto"/>
      <w:jc w:val="left"/>
    </w:pPr>
  </w:style>
  <w:style w:type="paragraph" w:styleId="Zkladntext">
    <w:name w:val="Body Text"/>
    <w:basedOn w:val="Normln"/>
    <w:semiHidden/>
    <w:pPr>
      <w:tabs>
        <w:tab w:val="left" w:pos="709"/>
        <w:tab w:val="left" w:pos="1418"/>
        <w:tab w:val="left" w:pos="2126"/>
        <w:tab w:val="left" w:pos="2835"/>
      </w:tabs>
      <w:spacing w:before="60" w:after="120"/>
      <w:jc w:val="both"/>
    </w:pPr>
    <w:rPr>
      <w:rFonts w:ascii="Times New Roman" w:hAnsi="Times New Roman"/>
      <w:color w:val="auto"/>
      <w:szCs w:val="20"/>
      <w:lang w:val="en-GB"/>
    </w:rPr>
  </w:style>
  <w:style w:type="paragraph" w:styleId="Zhlav">
    <w:name w:val="header"/>
    <w:basedOn w:val="Normln"/>
    <w:semiHidden/>
    <w:pPr>
      <w:tabs>
        <w:tab w:val="center" w:pos="4536"/>
        <w:tab w:val="right" w:pos="9072"/>
      </w:tabs>
    </w:pPr>
    <w:rPr>
      <w:rFonts w:ascii="Times New Roman" w:hAnsi="Times New Roman"/>
      <w:color w:val="auto"/>
      <w:szCs w:val="20"/>
    </w:rPr>
  </w:style>
  <w:style w:type="paragraph" w:customStyle="1" w:styleId="Normln-A">
    <w:name w:val="Normální - A"/>
    <w:basedOn w:val="Normln"/>
    <w:pPr>
      <w:tabs>
        <w:tab w:val="left" w:pos="709"/>
        <w:tab w:val="left" w:pos="1418"/>
        <w:tab w:val="left" w:pos="2126"/>
        <w:tab w:val="left" w:pos="2835"/>
      </w:tabs>
      <w:spacing w:before="60" w:after="60"/>
      <w:jc w:val="both"/>
    </w:pPr>
    <w:rPr>
      <w:rFonts w:ascii="Times New Roman" w:hAnsi="Times New Roman"/>
      <w:color w:val="auto"/>
      <w:szCs w:val="20"/>
      <w:lang w:val="en-GB"/>
    </w:rPr>
  </w:style>
  <w:style w:type="paragraph" w:styleId="Zkladntextodsazen3">
    <w:name w:val="Body Text Indent 3"/>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jc w:val="both"/>
    </w:pPr>
    <w:rPr>
      <w:noProof/>
      <w:color w:val="auto"/>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Pr>
      <w:rFonts w:cs="Arial"/>
      <w:noProof/>
      <w:sz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firstLine="708"/>
      <w:jc w:val="both"/>
    </w:pPr>
    <w:rPr>
      <w:sz w:val="20"/>
    </w:rPr>
  </w:style>
  <w:style w:type="paragraph" w:styleId="Obsah2">
    <w:name w:val="toc 2"/>
    <w:basedOn w:val="Normln"/>
    <w:next w:val="Normln"/>
    <w:autoRedefine/>
    <w:semiHidden/>
    <w:pPr>
      <w:ind w:left="240"/>
    </w:pPr>
  </w:style>
  <w:style w:type="paragraph" w:styleId="Obsah1">
    <w:name w:val="toc 1"/>
    <w:basedOn w:val="Normln"/>
    <w:next w:val="Normln"/>
    <w:autoRedefine/>
    <w:semiHidden/>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720F8C"/>
    <w:rPr>
      <w:rFonts w:ascii="Tahoma" w:hAnsi="Tahoma" w:cs="Tahoma"/>
      <w:sz w:val="16"/>
      <w:szCs w:val="16"/>
    </w:rPr>
  </w:style>
  <w:style w:type="character" w:customStyle="1" w:styleId="TextbublinyChar">
    <w:name w:val="Text bubliny Char"/>
    <w:link w:val="Textbubliny"/>
    <w:uiPriority w:val="99"/>
    <w:semiHidden/>
    <w:rsid w:val="00720F8C"/>
    <w:rPr>
      <w:rFonts w:ascii="Tahoma" w:hAnsi="Tahoma" w:cs="Tahoma"/>
      <w:color w:val="000000"/>
      <w:sz w:val="16"/>
      <w:szCs w:val="16"/>
    </w:rPr>
  </w:style>
  <w:style w:type="character" w:customStyle="1" w:styleId="spelle">
    <w:name w:val="spelle"/>
    <w:rsid w:val="0000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13090">
      <w:bodyDiv w:val="1"/>
      <w:marLeft w:val="0"/>
      <w:marRight w:val="0"/>
      <w:marTop w:val="0"/>
      <w:marBottom w:val="0"/>
      <w:divBdr>
        <w:top w:val="none" w:sz="0" w:space="0" w:color="auto"/>
        <w:left w:val="none" w:sz="0" w:space="0" w:color="auto"/>
        <w:bottom w:val="none" w:sz="0" w:space="0" w:color="auto"/>
        <w:right w:val="none" w:sz="0" w:space="0" w:color="auto"/>
      </w:divBdr>
    </w:div>
    <w:div w:id="12691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36958-387B-4BDD-9109-A156F3CF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1805</Words>
  <Characters>10654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OBSAH</vt:lpstr>
    </vt:vector>
  </TitlesOfParts>
  <Company>ČSÚ</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ČSÚ</dc:creator>
  <cp:keywords/>
  <cp:lastModifiedBy>Novotný Karel</cp:lastModifiedBy>
  <cp:revision>22</cp:revision>
  <cp:lastPrinted>2016-06-22T13:10:00Z</cp:lastPrinted>
  <dcterms:created xsi:type="dcterms:W3CDTF">2023-06-01T12:41:00Z</dcterms:created>
  <dcterms:modified xsi:type="dcterms:W3CDTF">2026-03-06T10:26:00Z</dcterms:modified>
</cp:coreProperties>
</file>