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3A" w:rsidRPr="005E0476" w:rsidRDefault="00576A3E" w:rsidP="000E153A">
      <w:pPr>
        <w:pStyle w:val="Nadpis1"/>
        <w:numPr>
          <w:ilvl w:val="0"/>
          <w:numId w:val="1"/>
        </w:numPr>
        <w:rPr>
          <w:lang w:val="en-GB"/>
        </w:rPr>
      </w:pPr>
      <w:bookmarkStart w:id="0" w:name="_Toc433292808"/>
      <w:r w:rsidRPr="005E0476">
        <w:rPr>
          <w:lang w:val="en-GB"/>
        </w:rPr>
        <w:t>S</w:t>
      </w:r>
      <w:r w:rsidR="00F8309A" w:rsidRPr="005E0476">
        <w:rPr>
          <w:lang w:val="en-GB"/>
        </w:rPr>
        <w:t>ummary</w:t>
      </w:r>
      <w:bookmarkEnd w:id="0"/>
    </w:p>
    <w:p w:rsidR="002C01D2" w:rsidRPr="005E0476" w:rsidRDefault="002C01D2" w:rsidP="002C01D2">
      <w:pPr>
        <w:pStyle w:val="Textpoznpodarou"/>
        <w:numPr>
          <w:ilvl w:val="0"/>
          <w:numId w:val="2"/>
        </w:numPr>
        <w:ind w:left="425" w:hanging="357"/>
        <w:jc w:val="both"/>
        <w:rPr>
          <w:lang w:val="en-GB" w:eastAsia="ar-SA"/>
        </w:rPr>
      </w:pPr>
      <w:r w:rsidRPr="005E0476">
        <w:rPr>
          <w:lang w:val="en-GB" w:eastAsia="ar-SA"/>
        </w:rPr>
        <w:t>Robust economic growth from the first three months of 2015 further accelerated according to the gross domestic product (GDP)</w:t>
      </w:r>
      <w:r>
        <w:rPr>
          <w:rStyle w:val="Znakapoznpodarou"/>
          <w:lang w:val="en-GB" w:eastAsia="ar-SA"/>
        </w:rPr>
        <w:footnoteReference w:id="1"/>
      </w:r>
      <w:r w:rsidRPr="005E0476">
        <w:rPr>
          <w:lang w:val="en-GB" w:eastAsia="ar-SA"/>
        </w:rPr>
        <w:t xml:space="preserve"> in Q2. Loose fiscal and monetary policy contributing to the improvement on the labour market, i.e. </w:t>
      </w:r>
      <w:r>
        <w:rPr>
          <w:lang w:val="en-GB" w:eastAsia="ar-SA"/>
        </w:rPr>
        <w:t xml:space="preserve">a </w:t>
      </w:r>
      <w:r w:rsidRPr="005E0476">
        <w:rPr>
          <w:lang w:val="en-GB" w:eastAsia="ar-SA"/>
        </w:rPr>
        <w:t xml:space="preserve">fast drop of the unemployment rate and rising incomes, but also the strengthened investment activity, favourable result of foreign trade and continuing positive expectations on the side of households and firms upturned the performance of the Czech economy more than in Q1. </w:t>
      </w:r>
      <w:r>
        <w:rPr>
          <w:lang w:val="en-GB" w:eastAsia="ar-SA"/>
        </w:rPr>
        <w:t xml:space="preserve">The </w:t>
      </w:r>
      <w:r w:rsidRPr="005E0476">
        <w:rPr>
          <w:lang w:val="en-GB" w:eastAsia="ar-SA"/>
        </w:rPr>
        <w:t>GDP growth increased from +4.0 % to +4.4 % in a year-on-year comparison and the domestic economy thus expanded in total by 4.2 % for the whole half-year. The growth was non-inflationary and</w:t>
      </w:r>
      <w:r>
        <w:rPr>
          <w:lang w:val="en-GB" w:eastAsia="ar-SA"/>
        </w:rPr>
        <w:t xml:space="preserve"> – </w:t>
      </w:r>
      <w:r w:rsidRPr="005E0476">
        <w:rPr>
          <w:lang w:val="en-GB" w:eastAsia="ar-SA"/>
        </w:rPr>
        <w:t>with respect t</w:t>
      </w:r>
      <w:r>
        <w:rPr>
          <w:lang w:val="en-GB" w:eastAsia="ar-SA"/>
        </w:rPr>
        <w:t>o the state finances</w:t>
      </w:r>
      <w:r w:rsidRPr="005E0476">
        <w:rPr>
          <w:lang w:val="en-GB" w:eastAsia="ar-SA"/>
        </w:rPr>
        <w:t xml:space="preserve"> and external relations</w:t>
      </w:r>
      <w:r>
        <w:rPr>
          <w:lang w:val="en-GB" w:eastAsia="ar-SA"/>
        </w:rPr>
        <w:t xml:space="preserve"> development – also balanced</w:t>
      </w:r>
      <w:r w:rsidRPr="005E0476">
        <w:rPr>
          <w:lang w:val="en-GB" w:eastAsia="ar-SA"/>
        </w:rPr>
        <w:t>.</w:t>
      </w:r>
    </w:p>
    <w:p w:rsidR="002C01D2" w:rsidRPr="009726B9" w:rsidRDefault="002C01D2" w:rsidP="002C01D2">
      <w:pPr>
        <w:pStyle w:val="Textpoznpodarou"/>
        <w:ind w:left="68"/>
        <w:jc w:val="both"/>
        <w:rPr>
          <w:lang w:val="en-GB" w:eastAsia="ar-SA"/>
        </w:rPr>
      </w:pPr>
    </w:p>
    <w:p w:rsidR="002C01D2" w:rsidRPr="005E0476" w:rsidRDefault="002C01D2" w:rsidP="002C01D2">
      <w:pPr>
        <w:pStyle w:val="Textpoznpodarou"/>
        <w:numPr>
          <w:ilvl w:val="0"/>
          <w:numId w:val="2"/>
        </w:numPr>
        <w:ind w:left="425" w:hanging="357"/>
        <w:jc w:val="both"/>
        <w:rPr>
          <w:lang w:val="en-GB" w:eastAsia="ar-SA"/>
        </w:rPr>
      </w:pPr>
      <w:r>
        <w:rPr>
          <w:lang w:val="en-GB" w:eastAsia="ar-SA"/>
        </w:rPr>
        <w:t>All key demand items</w:t>
      </w:r>
      <w:r w:rsidRPr="005E0476">
        <w:rPr>
          <w:lang w:val="en-GB" w:eastAsia="ar-SA"/>
        </w:rPr>
        <w:t xml:space="preserve"> contributed to the high growth of the Czech economy</w:t>
      </w:r>
      <w:r>
        <w:rPr>
          <w:lang w:val="en-GB" w:eastAsia="ar-SA"/>
        </w:rPr>
        <w:t xml:space="preserve"> in Q2,</w:t>
      </w:r>
      <w:r w:rsidRPr="005E0476">
        <w:rPr>
          <w:lang w:val="en-GB" w:eastAsia="ar-SA"/>
        </w:rPr>
        <w:t xml:space="preserve"> mostly however the final consumption expenditure of households and gross fixed capital formation (further only investment)</w:t>
      </w:r>
      <w:r>
        <w:rPr>
          <w:lang w:val="en-GB" w:eastAsia="ar-SA"/>
        </w:rPr>
        <w:t xml:space="preserve"> which added similarly</w:t>
      </w:r>
      <w:r w:rsidRPr="005E0476">
        <w:rPr>
          <w:lang w:val="en-GB" w:eastAsia="ar-SA"/>
        </w:rPr>
        <w:t xml:space="preserve"> +1.5 p. p.</w:t>
      </w:r>
      <w:r>
        <w:rPr>
          <w:rStyle w:val="Znakapoznpodarou"/>
          <w:lang w:val="en-GB" w:eastAsia="ar-SA"/>
        </w:rPr>
        <w:footnoteReference w:id="2"/>
      </w:r>
      <w:r w:rsidRPr="005E0476">
        <w:rPr>
          <w:lang w:val="en-GB" w:eastAsia="ar-SA"/>
        </w:rPr>
        <w:t xml:space="preserve"> Contribution of </w:t>
      </w:r>
      <w:r>
        <w:rPr>
          <w:lang w:val="en-GB" w:eastAsia="ar-SA"/>
        </w:rPr>
        <w:t>change in</w:t>
      </w:r>
      <w:r w:rsidRPr="005E0476">
        <w:rPr>
          <w:lang w:val="en-GB" w:eastAsia="ar-SA"/>
        </w:rPr>
        <w:t xml:space="preserve"> inventories shrank to +0.7 p. p., the impact of </w:t>
      </w:r>
      <w:r>
        <w:rPr>
          <w:lang w:val="en-GB" w:eastAsia="ar-SA"/>
        </w:rPr>
        <w:t xml:space="preserve">final consumption </w:t>
      </w:r>
      <w:r w:rsidRPr="005E0476">
        <w:rPr>
          <w:lang w:val="en-GB" w:eastAsia="ar-SA"/>
        </w:rPr>
        <w:t>expenditure of government did not change in comparison with Q1 (+0.5 p. p.). Result of the foreign trade also worked towards the growth of the Czech economy (+0.3 p. p.), for the first time after two quarters.</w:t>
      </w:r>
    </w:p>
    <w:p w:rsidR="002C01D2" w:rsidRPr="003D1419" w:rsidRDefault="002C01D2" w:rsidP="002C01D2">
      <w:pPr>
        <w:pStyle w:val="Odstavecseseznamem"/>
        <w:ind w:left="0"/>
        <w:rPr>
          <w:szCs w:val="20"/>
          <w:lang w:val="en-GB" w:eastAsia="ar-SA"/>
        </w:rPr>
      </w:pPr>
    </w:p>
    <w:p w:rsidR="002C01D2" w:rsidRPr="005E0476" w:rsidRDefault="002C01D2" w:rsidP="002C01D2">
      <w:pPr>
        <w:pStyle w:val="Textpoznpodarou"/>
        <w:numPr>
          <w:ilvl w:val="0"/>
          <w:numId w:val="2"/>
        </w:numPr>
        <w:ind w:left="425" w:hanging="357"/>
        <w:jc w:val="both"/>
        <w:rPr>
          <w:lang w:val="en-GB" w:eastAsia="ar-SA"/>
        </w:rPr>
      </w:pPr>
      <w:r w:rsidRPr="005E0476">
        <w:rPr>
          <w:lang w:val="en-GB" w:eastAsia="ar-SA"/>
        </w:rPr>
        <w:t>The GDP increased by 1.0 % compared to Q1 2015, being driven mostly by investment (+3.5 %). This rate of growth was nevertheless significantly influenced by extraordinary factors (drawing on EU funds at the end of the program period, exceptional profits of companies mostly from year 2014). Total final consumption expenditure rose by 0.6 %.</w:t>
      </w:r>
    </w:p>
    <w:p w:rsidR="002C01D2" w:rsidRPr="003D1419" w:rsidRDefault="002C01D2" w:rsidP="002C01D2">
      <w:pPr>
        <w:pStyle w:val="Textpoznpodarou"/>
        <w:jc w:val="both"/>
        <w:rPr>
          <w:lang w:val="en-GB" w:eastAsia="ar-SA"/>
        </w:rPr>
      </w:pPr>
    </w:p>
    <w:p w:rsidR="00B30B30" w:rsidRDefault="002C01D2" w:rsidP="00B30B30">
      <w:pPr>
        <w:pStyle w:val="Textpoznpodarou"/>
        <w:numPr>
          <w:ilvl w:val="0"/>
          <w:numId w:val="2"/>
        </w:numPr>
        <w:ind w:left="425" w:hanging="357"/>
        <w:jc w:val="both"/>
        <w:rPr>
          <w:lang w:val="en-GB" w:eastAsia="ar-SA"/>
        </w:rPr>
      </w:pPr>
      <w:r w:rsidRPr="00B30B30">
        <w:rPr>
          <w:lang w:val="en-GB" w:eastAsia="ar-SA"/>
        </w:rPr>
        <w:t>Performance according to the growth of gross value added (+3.8 % year-on-year in Q2), which was based on the available data the highest in the European Union, was to the largest extend with respect to dynamics affected by manufacturing (+7,0 %). Its contribution to the growth of the gross value added in the economy amounted to +1.8 p. p., the same as in case of services more significant by weight. The continuing favourable development in construction, following a long-time downturn, was also positively reflected in the performance of the Czech economy (+0.2 p. p.). Branches encompassing agriculture, forestry and fishing added +0.1 p. p., non-manufacturing industrial branches were mildly slowing down the growth on the contrary (-0.1 p. p.). Branches were also faring well in view of the business statistics. Retail sales rose in real terms year-on-year by 6 % for the half-year 2015, those for goods other than food by 7.6 %. Sales in services rose by 2.9 %, given that they increased only by 1.9 % in the same time period of 2014. Their growth was blanket (with the exception of the real estate activities, where the sales dropped by 0.2 %).</w:t>
      </w:r>
    </w:p>
    <w:p w:rsidR="00B30B30" w:rsidRDefault="00B30B30" w:rsidP="00B30B30">
      <w:pPr>
        <w:pStyle w:val="Textpoznpodarou"/>
        <w:ind w:left="68"/>
        <w:jc w:val="both"/>
        <w:rPr>
          <w:lang w:val="en-GB" w:eastAsia="ar-SA"/>
        </w:rPr>
      </w:pPr>
    </w:p>
    <w:p w:rsidR="00B30B30" w:rsidRPr="00B30B30" w:rsidRDefault="00B30B30" w:rsidP="00B30B30">
      <w:pPr>
        <w:pStyle w:val="Textpoznpodarou"/>
        <w:numPr>
          <w:ilvl w:val="0"/>
          <w:numId w:val="2"/>
        </w:numPr>
        <w:ind w:left="425" w:hanging="357"/>
        <w:jc w:val="both"/>
        <w:rPr>
          <w:lang w:val="en-GB" w:eastAsia="ar-SA"/>
        </w:rPr>
      </w:pPr>
      <w:r w:rsidRPr="00B30B30">
        <w:rPr>
          <w:lang w:val="en-GB" w:eastAsia="ar-SA"/>
        </w:rPr>
        <w:t xml:space="preserve">The marked GDP growth did not cause the misalignment the Czech economy from the external balance. Record half-yearly surplus of the current account of the balance of payments in the amount of 95.8 </w:t>
      </w:r>
      <w:proofErr w:type="spellStart"/>
      <w:r w:rsidRPr="00B30B30">
        <w:rPr>
          <w:lang w:val="en-GB" w:eastAsia="ar-SA"/>
        </w:rPr>
        <w:t>bn</w:t>
      </w:r>
      <w:proofErr w:type="spellEnd"/>
      <w:r w:rsidRPr="00B30B30">
        <w:rPr>
          <w:lang w:val="en-GB" w:eastAsia="ar-SA"/>
        </w:rPr>
        <w:t xml:space="preserve"> crowns was influenced above all by a weaker outflow of dividends. The improvement in balance of secondary income together with large surplus on the capital account (83.3 </w:t>
      </w:r>
      <w:proofErr w:type="spellStart"/>
      <w:r w:rsidRPr="00B30B30">
        <w:rPr>
          <w:lang w:val="en-GB" w:eastAsia="ar-SA"/>
        </w:rPr>
        <w:t>bn</w:t>
      </w:r>
      <w:proofErr w:type="spellEnd"/>
      <w:r w:rsidRPr="00B30B30">
        <w:rPr>
          <w:lang w:val="en-GB" w:eastAsia="ar-SA"/>
        </w:rPr>
        <w:t xml:space="preserve"> crowns mostly thanks to the EU money) contributed positively, as well. In the result of it, surplus on current account, with surplus on the capital account together, were able to compensate in the large extent the deep deficit of the financial account. Opposed to the preceding years, the stagnating balance of goods and services did not strengthen surplus on current account.</w:t>
      </w:r>
    </w:p>
    <w:p w:rsidR="002C01D2" w:rsidRPr="003D1419" w:rsidRDefault="002C01D2" w:rsidP="002C01D2">
      <w:pPr>
        <w:pStyle w:val="Odstavecseseznamem"/>
        <w:ind w:left="0"/>
        <w:rPr>
          <w:szCs w:val="20"/>
          <w:lang w:val="en-GB" w:eastAsia="ar-SA"/>
        </w:rPr>
      </w:pPr>
    </w:p>
    <w:p w:rsidR="002C01D2" w:rsidRPr="005E0476" w:rsidRDefault="002C01D2" w:rsidP="002C01D2">
      <w:pPr>
        <w:pStyle w:val="Textpoznpodarou"/>
        <w:numPr>
          <w:ilvl w:val="0"/>
          <w:numId w:val="2"/>
        </w:numPr>
        <w:ind w:left="425" w:hanging="357"/>
        <w:jc w:val="both"/>
        <w:rPr>
          <w:lang w:val="en-GB" w:eastAsia="ar-SA"/>
        </w:rPr>
      </w:pPr>
      <w:r>
        <w:rPr>
          <w:lang w:val="en-GB" w:eastAsia="ar-SA"/>
        </w:rPr>
        <w:t xml:space="preserve">Total </w:t>
      </w:r>
      <w:r w:rsidRPr="005E0476">
        <w:rPr>
          <w:lang w:val="en-GB" w:eastAsia="ar-SA"/>
        </w:rPr>
        <w:t>price level in the economy rose by 0.7 %</w:t>
      </w:r>
      <w:r>
        <w:rPr>
          <w:lang w:val="en-GB" w:eastAsia="ar-SA"/>
        </w:rPr>
        <w:t xml:space="preserve"> </w:t>
      </w:r>
      <w:r w:rsidRPr="005E0476">
        <w:rPr>
          <w:lang w:val="en-GB" w:eastAsia="ar-SA"/>
        </w:rPr>
        <w:t>year-on-year in Q2 2015, i.e. less than in Q1 (+1.3 %). Mostly the development of prices in foreign trade played a role in the deceleration of its growth (terms of trade wer</w:t>
      </w:r>
      <w:r>
        <w:rPr>
          <w:lang w:val="en-GB" w:eastAsia="ar-SA"/>
        </w:rPr>
        <w:t>e negative for the first time after</w:t>
      </w:r>
      <w:r w:rsidRPr="005E0476">
        <w:rPr>
          <w:lang w:val="en-GB" w:eastAsia="ar-SA"/>
        </w:rPr>
        <w:t xml:space="preserve"> nine quarters). Deflation of industrial producer prices weakened from -3.3 % to -2.3 %, growth of consumer prices mildly pa</w:t>
      </w:r>
      <w:r>
        <w:rPr>
          <w:lang w:val="en-GB" w:eastAsia="ar-SA"/>
        </w:rPr>
        <w:t>ced up (from +0.1 % to +0.7 %).</w:t>
      </w:r>
    </w:p>
    <w:p w:rsidR="002C01D2" w:rsidRPr="003D1419" w:rsidRDefault="002C01D2" w:rsidP="002C01D2">
      <w:pPr>
        <w:pStyle w:val="Textpoznpodarou"/>
        <w:ind w:left="68"/>
        <w:jc w:val="both"/>
        <w:rPr>
          <w:spacing w:val="-2"/>
          <w:lang w:val="en-GB" w:eastAsia="ar-SA"/>
        </w:rPr>
      </w:pPr>
    </w:p>
    <w:p w:rsidR="002C01D2" w:rsidRDefault="002C01D2" w:rsidP="002C01D2">
      <w:pPr>
        <w:pStyle w:val="Textpoznpodarou"/>
        <w:numPr>
          <w:ilvl w:val="0"/>
          <w:numId w:val="2"/>
        </w:numPr>
        <w:ind w:left="425" w:hanging="357"/>
        <w:jc w:val="both"/>
        <w:rPr>
          <w:lang w:val="en-GB" w:eastAsia="ar-SA"/>
        </w:rPr>
      </w:pPr>
      <w:r w:rsidRPr="005E0476">
        <w:rPr>
          <w:lang w:val="en-GB" w:eastAsia="ar-SA"/>
        </w:rPr>
        <w:t>Favourable development of the real economy was reflected on the labour market as well. General unemployment rate (for age category 15-64 years) arrived only at 5.1 % in June, despite still reaching 5.9 % in January. Number of job vacancies rose up to 97 thousand by the end of the half-year, even though the total employment (in the national accounts conception) strengthened in both quarters year-</w:t>
      </w:r>
      <w:r w:rsidRPr="005E0476">
        <w:rPr>
          <w:lang w:val="en-GB" w:eastAsia="ar-SA"/>
        </w:rPr>
        <w:lastRenderedPageBreak/>
        <w:t>on-year (+1.1 %, +1.4 %). Growth of the average nominal wage increased its pace</w:t>
      </w:r>
      <w:r>
        <w:rPr>
          <w:lang w:val="en-GB" w:eastAsia="ar-SA"/>
        </w:rPr>
        <w:t xml:space="preserve"> to</w:t>
      </w:r>
      <w:r w:rsidRPr="005E0476">
        <w:rPr>
          <w:lang w:val="en-GB" w:eastAsia="ar-SA"/>
        </w:rPr>
        <w:t xml:space="preserve"> +3.4 % in Q2, the real wage rose by 2.7 %.</w:t>
      </w:r>
    </w:p>
    <w:p w:rsidR="009726B9" w:rsidRPr="009726B9" w:rsidRDefault="009726B9" w:rsidP="009726B9">
      <w:pPr>
        <w:rPr>
          <w:lang w:val="en-GB" w:eastAsia="ar-SA"/>
        </w:rPr>
      </w:pPr>
    </w:p>
    <w:p w:rsidR="009726B9" w:rsidRPr="005E0476" w:rsidRDefault="009726B9" w:rsidP="009726B9">
      <w:pPr>
        <w:pStyle w:val="Textpoznpodarou"/>
        <w:numPr>
          <w:ilvl w:val="0"/>
          <w:numId w:val="2"/>
        </w:numPr>
        <w:ind w:left="425" w:hanging="357"/>
        <w:jc w:val="both"/>
        <w:rPr>
          <w:lang w:val="en-GB" w:eastAsia="ar-SA"/>
        </w:rPr>
      </w:pPr>
      <w:r w:rsidRPr="005E0476">
        <w:rPr>
          <w:lang w:val="en-GB" w:eastAsia="ar-SA"/>
        </w:rPr>
        <w:t>Money s</w:t>
      </w:r>
      <w:r>
        <w:rPr>
          <w:lang w:val="en-GB" w:eastAsia="ar-SA"/>
        </w:rPr>
        <w:t>upply</w:t>
      </w:r>
      <w:r w:rsidRPr="005E0476">
        <w:rPr>
          <w:lang w:val="en-GB" w:eastAsia="ar-SA"/>
        </w:rPr>
        <w:t xml:space="preserve"> rose faster</w:t>
      </w:r>
      <w:r>
        <w:rPr>
          <w:lang w:val="en-GB" w:eastAsia="ar-SA"/>
        </w:rPr>
        <w:t xml:space="preserve"> </w:t>
      </w:r>
      <w:r w:rsidRPr="005E0476">
        <w:rPr>
          <w:lang w:val="en-GB" w:eastAsia="ar-SA"/>
        </w:rPr>
        <w:t xml:space="preserve">than the nominal GDP (+5.8 % against +5.2 %) in the Czech economy year-on-year by the end of H1. </w:t>
      </w:r>
      <w:r>
        <w:rPr>
          <w:lang w:val="en-GB" w:eastAsia="ar-SA"/>
        </w:rPr>
        <w:t>However, i</w:t>
      </w:r>
      <w:r w:rsidRPr="005E0476">
        <w:rPr>
          <w:lang w:val="en-GB" w:eastAsia="ar-SA"/>
        </w:rPr>
        <w:t xml:space="preserve">ts growth was not driven by the credit expansion to such extent as in the preceding long and strong boom of the Czech economy, </w:t>
      </w:r>
      <w:r>
        <w:rPr>
          <w:lang w:val="en-GB" w:eastAsia="ar-SA"/>
        </w:rPr>
        <w:t xml:space="preserve">though the rate of growth of </w:t>
      </w:r>
      <w:r w:rsidRPr="005E0476">
        <w:rPr>
          <w:lang w:val="en-GB" w:eastAsia="ar-SA"/>
        </w:rPr>
        <w:t xml:space="preserve">credit to businesses and households went mildly up. </w:t>
      </w:r>
      <w:r w:rsidRPr="001A6C26">
        <w:rPr>
          <w:lang w:val="en-GB" w:eastAsia="ar-SA"/>
        </w:rPr>
        <w:t>Good financial condition of</w:t>
      </w:r>
      <w:r>
        <w:rPr>
          <w:lang w:val="en-GB" w:eastAsia="ar-SA"/>
        </w:rPr>
        <w:t> </w:t>
      </w:r>
      <w:r w:rsidRPr="001A6C26">
        <w:rPr>
          <w:lang w:val="en-GB" w:eastAsia="ar-SA"/>
        </w:rPr>
        <w:t>businesses and households enabled realization of financial operations, respectively financing of investment, largely from their own resources.</w:t>
      </w:r>
    </w:p>
    <w:p w:rsidR="002C01D2" w:rsidRPr="003D1419" w:rsidRDefault="002C01D2" w:rsidP="002C01D2">
      <w:pPr>
        <w:pStyle w:val="Odstavecseseznamem"/>
        <w:ind w:left="0"/>
        <w:rPr>
          <w:szCs w:val="20"/>
          <w:lang w:val="en-GB" w:eastAsia="ar-SA"/>
        </w:rPr>
      </w:pPr>
    </w:p>
    <w:p w:rsidR="002C01D2" w:rsidRPr="003D1419" w:rsidRDefault="002C01D2" w:rsidP="002C01D2">
      <w:pPr>
        <w:pStyle w:val="Textpoznpodarou"/>
        <w:numPr>
          <w:ilvl w:val="0"/>
          <w:numId w:val="2"/>
        </w:numPr>
        <w:ind w:left="425" w:hanging="357"/>
        <w:jc w:val="both"/>
        <w:rPr>
          <w:lang w:val="en-GB" w:eastAsia="ar-SA"/>
        </w:rPr>
      </w:pPr>
      <w:r w:rsidRPr="003D1419">
        <w:rPr>
          <w:lang w:val="en-GB" w:eastAsia="ar-SA"/>
        </w:rPr>
        <w:t xml:space="preserve">State budget ended based on the cash fulfilment with a surplus in the amount of 22.6 </w:t>
      </w:r>
      <w:proofErr w:type="spellStart"/>
      <w:r w:rsidRPr="003D1419">
        <w:rPr>
          <w:lang w:val="en-GB" w:eastAsia="ar-SA"/>
        </w:rPr>
        <w:t>bn</w:t>
      </w:r>
      <w:proofErr w:type="spellEnd"/>
      <w:r w:rsidRPr="003D1419">
        <w:rPr>
          <w:lang w:val="en-GB" w:eastAsia="ar-SA"/>
        </w:rPr>
        <w:t xml:space="preserve"> crowns in H1, which represented 1.0 % of the nominal GDP. Completion of drawing of financial resources from the EU funds significantly contributed to the record positive balance, since the tax collection of the so called „large“ taxes (VAT, consumption tax) fell year-on-year.</w:t>
      </w:r>
    </w:p>
    <w:sectPr w:rsidR="002C01D2" w:rsidRPr="003D1419" w:rsidSect="002700A8">
      <w:headerReference w:type="even" r:id="rId8"/>
      <w:headerReference w:type="default" r:id="rId9"/>
      <w:footerReference w:type="even" r:id="rId10"/>
      <w:footerReference w:type="default" r:id="rId11"/>
      <w:type w:val="continuous"/>
      <w:pgSz w:w="11906" w:h="16838" w:code="9"/>
      <w:pgMar w:top="1134" w:right="1134" w:bottom="1418" w:left="1134" w:header="680" w:footer="68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4F7" w:rsidRDefault="003D34F7" w:rsidP="00E71A58">
      <w:r>
        <w:separator/>
      </w:r>
    </w:p>
  </w:endnote>
  <w:endnote w:type="continuationSeparator" w:id="0">
    <w:p w:rsidR="003D34F7" w:rsidRDefault="003D34F7"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3D271F" w:rsidRPr="005A21E0">
      <w:rPr>
        <w:rFonts w:ascii="Arial" w:hAnsi="Arial" w:cs="Arial"/>
        <w:sz w:val="16"/>
        <w:szCs w:val="16"/>
      </w:rPr>
      <w:fldChar w:fldCharType="begin"/>
    </w:r>
    <w:r w:rsidRPr="005A21E0">
      <w:rPr>
        <w:rFonts w:ascii="Arial" w:hAnsi="Arial" w:cs="Arial"/>
        <w:sz w:val="16"/>
        <w:szCs w:val="16"/>
      </w:rPr>
      <w:instrText>PAGE   \* MERGEFORMAT</w:instrText>
    </w:r>
    <w:r w:rsidR="003D271F" w:rsidRPr="005A21E0">
      <w:rPr>
        <w:rFonts w:ascii="Arial" w:hAnsi="Arial" w:cs="Arial"/>
        <w:sz w:val="16"/>
        <w:szCs w:val="16"/>
      </w:rPr>
      <w:fldChar w:fldCharType="separate"/>
    </w:r>
    <w:r w:rsidR="002700A8">
      <w:rPr>
        <w:rFonts w:ascii="Arial" w:hAnsi="Arial" w:cs="Arial"/>
        <w:noProof/>
        <w:sz w:val="16"/>
        <w:szCs w:val="16"/>
      </w:rPr>
      <w:t>4</w:t>
    </w:r>
    <w:r w:rsidR="003D271F" w:rsidRPr="005A21E0">
      <w:rPr>
        <w:rFonts w:ascii="Arial" w:hAnsi="Arial" w:cs="Arial"/>
        <w:sz w:val="16"/>
        <w:szCs w:val="16"/>
      </w:rPr>
      <w:fldChar w:fldCharType="end"/>
    </w:r>
    <w:r>
      <w:rPr>
        <w:rFonts w:ascii="Arial" w:hAnsi="Arial" w:cs="Arial"/>
        <w:sz w:val="16"/>
        <w:szCs w:val="16"/>
      </w:rPr>
      <w:tab/>
      <w:t>2015</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C2201D" w:rsidRPr="00223E00" w:rsidRDefault="00C2201D"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3D271F"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3D271F" w:rsidRPr="00223E00">
      <w:rPr>
        <w:rFonts w:ascii="Arial" w:hAnsi="Arial" w:cs="Arial"/>
        <w:sz w:val="16"/>
        <w:szCs w:val="16"/>
      </w:rPr>
      <w:fldChar w:fldCharType="separate"/>
    </w:r>
    <w:r w:rsidR="002700A8">
      <w:rPr>
        <w:rFonts w:ascii="Arial" w:hAnsi="Arial" w:cs="Arial"/>
        <w:noProof/>
        <w:sz w:val="16"/>
        <w:szCs w:val="16"/>
      </w:rPr>
      <w:t>5</w:t>
    </w:r>
    <w:r w:rsidR="003D271F"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4F7" w:rsidRDefault="003D34F7" w:rsidP="00E71A58">
      <w:r>
        <w:separator/>
      </w:r>
    </w:p>
  </w:footnote>
  <w:footnote w:type="continuationSeparator" w:id="0">
    <w:p w:rsidR="003D34F7" w:rsidRDefault="003D34F7" w:rsidP="00E71A58">
      <w:r>
        <w:continuationSeparator/>
      </w:r>
    </w:p>
  </w:footnote>
  <w:footnote w:id="1">
    <w:p w:rsidR="002C01D2" w:rsidRPr="00AE2DA2" w:rsidRDefault="002C01D2" w:rsidP="002C01D2">
      <w:pPr>
        <w:pStyle w:val="Textpoznpodarou"/>
        <w:jc w:val="both"/>
        <w:rPr>
          <w:lang w:val="en-GB"/>
        </w:rPr>
      </w:pPr>
      <w:r>
        <w:rPr>
          <w:rStyle w:val="Znakapoznpodarou"/>
        </w:rPr>
        <w:footnoteRef/>
      </w:r>
      <w:r>
        <w:t xml:space="preserve"> </w:t>
      </w:r>
      <w:r w:rsidRPr="00AE2DA2">
        <w:rPr>
          <w:sz w:val="16"/>
          <w:szCs w:val="16"/>
          <w:lang w:val="en-GB"/>
        </w:rPr>
        <w:t xml:space="preserve">The data regarding </w:t>
      </w:r>
      <w:r>
        <w:rPr>
          <w:sz w:val="16"/>
          <w:szCs w:val="16"/>
          <w:lang w:val="en-GB"/>
        </w:rPr>
        <w:t xml:space="preserve">the </w:t>
      </w:r>
      <w:r w:rsidRPr="00AE2DA2">
        <w:rPr>
          <w:sz w:val="16"/>
          <w:szCs w:val="16"/>
          <w:lang w:val="en-GB"/>
        </w:rPr>
        <w:t xml:space="preserve">GDP and its components expressed in real terms and adjusted for seasonal and calendar effects, unless stated otherwise. The same </w:t>
      </w:r>
      <w:r>
        <w:rPr>
          <w:sz w:val="16"/>
          <w:szCs w:val="16"/>
          <w:lang w:val="en-GB"/>
        </w:rPr>
        <w:t>applies</w:t>
      </w:r>
      <w:r w:rsidRPr="00AE2DA2">
        <w:rPr>
          <w:sz w:val="16"/>
          <w:szCs w:val="16"/>
          <w:lang w:val="en-GB"/>
        </w:rPr>
        <w:t xml:space="preserve"> for the gross value added. </w:t>
      </w:r>
    </w:p>
  </w:footnote>
  <w:footnote w:id="2">
    <w:p w:rsidR="002C01D2" w:rsidRPr="00AE2DA2" w:rsidRDefault="002C01D2" w:rsidP="002C01D2">
      <w:pPr>
        <w:pStyle w:val="Textpoznpodarou"/>
        <w:rPr>
          <w:sz w:val="16"/>
          <w:szCs w:val="16"/>
          <w:lang w:val="en-GB"/>
        </w:rPr>
      </w:pPr>
      <w:r w:rsidRPr="00AE2DA2">
        <w:rPr>
          <w:rStyle w:val="Znakapoznpodarou"/>
          <w:lang w:val="en-GB"/>
        </w:rPr>
        <w:footnoteRef/>
      </w:r>
      <w:r w:rsidRPr="00AE2DA2">
        <w:rPr>
          <w:lang w:val="en-GB"/>
        </w:rPr>
        <w:t xml:space="preserve"> </w:t>
      </w:r>
      <w:r>
        <w:rPr>
          <w:sz w:val="16"/>
          <w:szCs w:val="16"/>
          <w:lang w:val="en-GB"/>
        </w:rPr>
        <w:t xml:space="preserve">Contributions to </w:t>
      </w:r>
      <w:r w:rsidRPr="00AE2DA2">
        <w:rPr>
          <w:sz w:val="16"/>
          <w:szCs w:val="16"/>
          <w:lang w:val="en-GB"/>
        </w:rPr>
        <w:t xml:space="preserve">GDP change not excluding the imports for final use. </w:t>
      </w:r>
    </w:p>
    <w:p w:rsidR="002C01D2" w:rsidRDefault="002C01D2" w:rsidP="002C01D2">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Pr="00D766EF" w:rsidRDefault="00C2201D"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sidR="008E789F">
      <w:rPr>
        <w:rFonts w:ascii="Arial" w:hAnsi="Arial" w:cs="Arial"/>
        <w:sz w:val="16"/>
        <w:szCs w:val="16"/>
      </w:rPr>
      <w:t>Development</w:t>
    </w:r>
    <w:proofErr w:type="spellEnd"/>
    <w:r w:rsidR="008E789F">
      <w:rPr>
        <w:rFonts w:ascii="Arial" w:hAnsi="Arial" w:cs="Arial"/>
        <w:sz w:val="16"/>
        <w:szCs w:val="16"/>
      </w:rPr>
      <w:t xml:space="preserve"> in </w:t>
    </w:r>
    <w:proofErr w:type="spellStart"/>
    <w:r w:rsidR="008E789F">
      <w:rPr>
        <w:rFonts w:ascii="Arial" w:hAnsi="Arial" w:cs="Arial"/>
        <w:sz w:val="16"/>
        <w:szCs w:val="16"/>
      </w:rPr>
      <w:t>the</w:t>
    </w:r>
    <w:proofErr w:type="spellEnd"/>
    <w:r w:rsidR="008E789F">
      <w:rPr>
        <w:rFonts w:ascii="Arial" w:hAnsi="Arial" w:cs="Arial"/>
        <w:sz w:val="16"/>
        <w:szCs w:val="16"/>
      </w:rPr>
      <w:t xml:space="preserve"> </w:t>
    </w:r>
    <w:proofErr w:type="spellStart"/>
    <w:r w:rsidR="008E789F">
      <w:rPr>
        <w:rFonts w:ascii="Arial" w:hAnsi="Arial" w:cs="Arial"/>
        <w:sz w:val="16"/>
        <w:szCs w:val="16"/>
      </w:rPr>
      <w:t>First</w:t>
    </w:r>
    <w:proofErr w:type="spellEnd"/>
    <w:r w:rsidR="008E789F">
      <w:rPr>
        <w:rFonts w:ascii="Arial" w:hAnsi="Arial" w:cs="Arial"/>
        <w:sz w:val="16"/>
        <w:szCs w:val="16"/>
      </w:rPr>
      <w:t xml:space="preserve"> H</w:t>
    </w:r>
    <w:r>
      <w:rPr>
        <w:rFonts w:ascii="Arial" w:hAnsi="Arial" w:cs="Arial"/>
        <w:sz w:val="16"/>
        <w:szCs w:val="16"/>
      </w:rPr>
      <w:t xml:space="preserve">alf </w:t>
    </w:r>
    <w:proofErr w:type="spellStart"/>
    <w:r>
      <w:rPr>
        <w:rFonts w:ascii="Arial" w:hAnsi="Arial" w:cs="Arial"/>
        <w:sz w:val="16"/>
        <w:szCs w:val="16"/>
      </w:rPr>
      <w:t>of</w:t>
    </w:r>
    <w:proofErr w:type="spellEnd"/>
    <w:r>
      <w:rPr>
        <w:rFonts w:ascii="Arial" w:hAnsi="Arial" w:cs="Arial"/>
        <w:sz w:val="16"/>
        <w:szCs w:val="16"/>
      </w:rPr>
      <w:t xml:space="preserve">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7B" w:rsidRDefault="007F337B" w:rsidP="007F337B">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w:t>
    </w:r>
    <w:r w:rsidR="008E789F">
      <w:rPr>
        <w:rFonts w:ascii="Arial" w:hAnsi="Arial" w:cs="Arial"/>
        <w:sz w:val="16"/>
        <w:szCs w:val="16"/>
      </w:rPr>
      <w:t>ech</w:t>
    </w:r>
    <w:proofErr w:type="spellEnd"/>
    <w:r w:rsidR="008E789F">
      <w:rPr>
        <w:rFonts w:ascii="Arial" w:hAnsi="Arial" w:cs="Arial"/>
        <w:sz w:val="16"/>
        <w:szCs w:val="16"/>
      </w:rPr>
      <w:t xml:space="preserve"> </w:t>
    </w:r>
    <w:proofErr w:type="spellStart"/>
    <w:r w:rsidR="008E789F">
      <w:rPr>
        <w:rFonts w:ascii="Arial" w:hAnsi="Arial" w:cs="Arial"/>
        <w:sz w:val="16"/>
        <w:szCs w:val="16"/>
      </w:rPr>
      <w:t>Economy</w:t>
    </w:r>
    <w:proofErr w:type="spellEnd"/>
    <w:r w:rsidR="008E789F">
      <w:rPr>
        <w:rFonts w:ascii="Arial" w:hAnsi="Arial" w:cs="Arial"/>
        <w:sz w:val="16"/>
        <w:szCs w:val="16"/>
      </w:rPr>
      <w:t xml:space="preserve"> </w:t>
    </w:r>
    <w:proofErr w:type="spellStart"/>
    <w:r w:rsidR="008E789F">
      <w:rPr>
        <w:rFonts w:ascii="Arial" w:hAnsi="Arial" w:cs="Arial"/>
        <w:sz w:val="16"/>
        <w:szCs w:val="16"/>
      </w:rPr>
      <w:t>Development</w:t>
    </w:r>
    <w:proofErr w:type="spellEnd"/>
    <w:r w:rsidR="008E789F">
      <w:rPr>
        <w:rFonts w:ascii="Arial" w:hAnsi="Arial" w:cs="Arial"/>
        <w:sz w:val="16"/>
        <w:szCs w:val="16"/>
      </w:rPr>
      <w:t xml:space="preserve"> in </w:t>
    </w:r>
    <w:proofErr w:type="spellStart"/>
    <w:r w:rsidR="008E789F">
      <w:rPr>
        <w:rFonts w:ascii="Arial" w:hAnsi="Arial" w:cs="Arial"/>
        <w:sz w:val="16"/>
        <w:szCs w:val="16"/>
      </w:rPr>
      <w:t>the</w:t>
    </w:r>
    <w:proofErr w:type="spellEnd"/>
    <w:r w:rsidR="008E789F">
      <w:rPr>
        <w:rFonts w:ascii="Arial" w:hAnsi="Arial" w:cs="Arial"/>
        <w:sz w:val="16"/>
        <w:szCs w:val="16"/>
      </w:rPr>
      <w:t xml:space="preserve"> </w:t>
    </w:r>
    <w:proofErr w:type="spellStart"/>
    <w:r w:rsidR="008E789F">
      <w:rPr>
        <w:rFonts w:ascii="Arial" w:hAnsi="Arial" w:cs="Arial"/>
        <w:sz w:val="16"/>
        <w:szCs w:val="16"/>
      </w:rPr>
      <w:t>First</w:t>
    </w:r>
    <w:proofErr w:type="spellEnd"/>
    <w:r w:rsidR="008E789F">
      <w:rPr>
        <w:rFonts w:ascii="Arial" w:hAnsi="Arial" w:cs="Arial"/>
        <w:sz w:val="16"/>
        <w:szCs w:val="16"/>
      </w:rPr>
      <w:t xml:space="preserve"> H</w:t>
    </w:r>
    <w:r>
      <w:rPr>
        <w:rFonts w:ascii="Arial" w:hAnsi="Arial" w:cs="Arial"/>
        <w:sz w:val="16"/>
        <w:szCs w:val="16"/>
      </w:rPr>
      <w:t xml:space="preserve">alf </w:t>
    </w:r>
    <w:proofErr w:type="spellStart"/>
    <w:r>
      <w:rPr>
        <w:rFonts w:ascii="Arial" w:hAnsi="Arial" w:cs="Arial"/>
        <w:sz w:val="16"/>
        <w:szCs w:val="16"/>
      </w:rPr>
      <w:t>of</w:t>
    </w:r>
    <w:proofErr w:type="spellEnd"/>
    <w:r>
      <w:rPr>
        <w:rFonts w:ascii="Arial" w:hAnsi="Arial" w:cs="Arial"/>
        <w:sz w:val="16"/>
        <w:szCs w:val="16"/>
      </w:rPr>
      <w:t xml:space="preserve"> 2015</w:t>
    </w:r>
  </w:p>
  <w:p w:rsidR="00C2201D" w:rsidRPr="007F337B" w:rsidRDefault="00C2201D" w:rsidP="007F337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9B70BD"/>
    <w:rsid w:val="00000FA7"/>
    <w:rsid w:val="00003687"/>
    <w:rsid w:val="00003C43"/>
    <w:rsid w:val="00007498"/>
    <w:rsid w:val="0000767A"/>
    <w:rsid w:val="000101F5"/>
    <w:rsid w:val="000104B9"/>
    <w:rsid w:val="00010702"/>
    <w:rsid w:val="00011191"/>
    <w:rsid w:val="0001159B"/>
    <w:rsid w:val="00012986"/>
    <w:rsid w:val="00014D3A"/>
    <w:rsid w:val="0001573E"/>
    <w:rsid w:val="00017F05"/>
    <w:rsid w:val="000202C6"/>
    <w:rsid w:val="00020946"/>
    <w:rsid w:val="00024887"/>
    <w:rsid w:val="00024CBA"/>
    <w:rsid w:val="00025501"/>
    <w:rsid w:val="00026998"/>
    <w:rsid w:val="0003066A"/>
    <w:rsid w:val="000309BD"/>
    <w:rsid w:val="00032838"/>
    <w:rsid w:val="00032C12"/>
    <w:rsid w:val="0003409E"/>
    <w:rsid w:val="00035FC6"/>
    <w:rsid w:val="00037667"/>
    <w:rsid w:val="000411E1"/>
    <w:rsid w:val="00041E1C"/>
    <w:rsid w:val="00043E05"/>
    <w:rsid w:val="0004694F"/>
    <w:rsid w:val="000500DC"/>
    <w:rsid w:val="00052172"/>
    <w:rsid w:val="000541DA"/>
    <w:rsid w:val="00055059"/>
    <w:rsid w:val="000553E4"/>
    <w:rsid w:val="000626FB"/>
    <w:rsid w:val="00062EC5"/>
    <w:rsid w:val="00064256"/>
    <w:rsid w:val="000706A4"/>
    <w:rsid w:val="00072118"/>
    <w:rsid w:val="00073173"/>
    <w:rsid w:val="000779AC"/>
    <w:rsid w:val="00083803"/>
    <w:rsid w:val="00086DE6"/>
    <w:rsid w:val="0008716A"/>
    <w:rsid w:val="00087634"/>
    <w:rsid w:val="00091237"/>
    <w:rsid w:val="0009191B"/>
    <w:rsid w:val="000920EC"/>
    <w:rsid w:val="00092208"/>
    <w:rsid w:val="00092505"/>
    <w:rsid w:val="00097D02"/>
    <w:rsid w:val="000A1183"/>
    <w:rsid w:val="000A2121"/>
    <w:rsid w:val="000A2484"/>
    <w:rsid w:val="000A66F6"/>
    <w:rsid w:val="000B0638"/>
    <w:rsid w:val="000B1CFE"/>
    <w:rsid w:val="000B210A"/>
    <w:rsid w:val="000B249B"/>
    <w:rsid w:val="000B3DB9"/>
    <w:rsid w:val="000B3F02"/>
    <w:rsid w:val="000B48E7"/>
    <w:rsid w:val="000B5963"/>
    <w:rsid w:val="000B6A0A"/>
    <w:rsid w:val="000B7663"/>
    <w:rsid w:val="000C1072"/>
    <w:rsid w:val="000C11D3"/>
    <w:rsid w:val="000C12F5"/>
    <w:rsid w:val="000C3408"/>
    <w:rsid w:val="000C42C6"/>
    <w:rsid w:val="000D0D51"/>
    <w:rsid w:val="000D14B3"/>
    <w:rsid w:val="000D208B"/>
    <w:rsid w:val="000D2B8D"/>
    <w:rsid w:val="000D2E41"/>
    <w:rsid w:val="000D4273"/>
    <w:rsid w:val="000D5E7A"/>
    <w:rsid w:val="000D5FAA"/>
    <w:rsid w:val="000D65A4"/>
    <w:rsid w:val="000D6AEF"/>
    <w:rsid w:val="000E025B"/>
    <w:rsid w:val="000E153A"/>
    <w:rsid w:val="000E19A8"/>
    <w:rsid w:val="000E4A42"/>
    <w:rsid w:val="000E6476"/>
    <w:rsid w:val="000E65FB"/>
    <w:rsid w:val="000E78D2"/>
    <w:rsid w:val="000F3332"/>
    <w:rsid w:val="000F33EE"/>
    <w:rsid w:val="000F3E5F"/>
    <w:rsid w:val="000F401E"/>
    <w:rsid w:val="000F5445"/>
    <w:rsid w:val="000F67B2"/>
    <w:rsid w:val="000F790F"/>
    <w:rsid w:val="000F7D03"/>
    <w:rsid w:val="000F7E1B"/>
    <w:rsid w:val="00100014"/>
    <w:rsid w:val="0010039A"/>
    <w:rsid w:val="00101FB2"/>
    <w:rsid w:val="00102F02"/>
    <w:rsid w:val="001041B6"/>
    <w:rsid w:val="001070EA"/>
    <w:rsid w:val="0011002A"/>
    <w:rsid w:val="0011110A"/>
    <w:rsid w:val="001118AF"/>
    <w:rsid w:val="0011256E"/>
    <w:rsid w:val="00112A7C"/>
    <w:rsid w:val="0011352E"/>
    <w:rsid w:val="001158D1"/>
    <w:rsid w:val="00116DB9"/>
    <w:rsid w:val="00116F28"/>
    <w:rsid w:val="00117A7E"/>
    <w:rsid w:val="00121C39"/>
    <w:rsid w:val="00123255"/>
    <w:rsid w:val="00124D2D"/>
    <w:rsid w:val="001307BE"/>
    <w:rsid w:val="00130C8F"/>
    <w:rsid w:val="001314F2"/>
    <w:rsid w:val="001317DA"/>
    <w:rsid w:val="001323BA"/>
    <w:rsid w:val="0013254D"/>
    <w:rsid w:val="00133251"/>
    <w:rsid w:val="00133AAC"/>
    <w:rsid w:val="00136561"/>
    <w:rsid w:val="001400E1"/>
    <w:rsid w:val="001405FA"/>
    <w:rsid w:val="001413B3"/>
    <w:rsid w:val="001425C3"/>
    <w:rsid w:val="00142F16"/>
    <w:rsid w:val="00143E03"/>
    <w:rsid w:val="00143E93"/>
    <w:rsid w:val="00145877"/>
    <w:rsid w:val="00147262"/>
    <w:rsid w:val="00151AC0"/>
    <w:rsid w:val="00152046"/>
    <w:rsid w:val="00154147"/>
    <w:rsid w:val="00156318"/>
    <w:rsid w:val="0015639A"/>
    <w:rsid w:val="0016081D"/>
    <w:rsid w:val="00160CF3"/>
    <w:rsid w:val="001620FA"/>
    <w:rsid w:val="00162853"/>
    <w:rsid w:val="00163793"/>
    <w:rsid w:val="0016699E"/>
    <w:rsid w:val="001707DE"/>
    <w:rsid w:val="00170B04"/>
    <w:rsid w:val="00170F47"/>
    <w:rsid w:val="001714F2"/>
    <w:rsid w:val="00173642"/>
    <w:rsid w:val="00174CE8"/>
    <w:rsid w:val="00176050"/>
    <w:rsid w:val="001764D8"/>
    <w:rsid w:val="00176A8F"/>
    <w:rsid w:val="00180D58"/>
    <w:rsid w:val="00182981"/>
    <w:rsid w:val="001835E7"/>
    <w:rsid w:val="00184CF9"/>
    <w:rsid w:val="00185010"/>
    <w:rsid w:val="001852EC"/>
    <w:rsid w:val="001874CF"/>
    <w:rsid w:val="00190D9B"/>
    <w:rsid w:val="00191BAE"/>
    <w:rsid w:val="00193432"/>
    <w:rsid w:val="00193BA1"/>
    <w:rsid w:val="00195444"/>
    <w:rsid w:val="001A2BDB"/>
    <w:rsid w:val="001A30F4"/>
    <w:rsid w:val="001A552F"/>
    <w:rsid w:val="001A56F3"/>
    <w:rsid w:val="001A750C"/>
    <w:rsid w:val="001B1D89"/>
    <w:rsid w:val="001B3110"/>
    <w:rsid w:val="001B417A"/>
    <w:rsid w:val="001B44BC"/>
    <w:rsid w:val="001B6545"/>
    <w:rsid w:val="001B681B"/>
    <w:rsid w:val="001B694C"/>
    <w:rsid w:val="001B6A49"/>
    <w:rsid w:val="001B74FB"/>
    <w:rsid w:val="001B77A1"/>
    <w:rsid w:val="001C0422"/>
    <w:rsid w:val="001C0E0E"/>
    <w:rsid w:val="001C1219"/>
    <w:rsid w:val="001C357A"/>
    <w:rsid w:val="001C3A37"/>
    <w:rsid w:val="001C4384"/>
    <w:rsid w:val="001C5240"/>
    <w:rsid w:val="001C65FF"/>
    <w:rsid w:val="001D47E5"/>
    <w:rsid w:val="001D584C"/>
    <w:rsid w:val="001D66C1"/>
    <w:rsid w:val="001E0C65"/>
    <w:rsid w:val="001E23E3"/>
    <w:rsid w:val="001E387A"/>
    <w:rsid w:val="001E3DA4"/>
    <w:rsid w:val="001E5830"/>
    <w:rsid w:val="001E684C"/>
    <w:rsid w:val="001E701C"/>
    <w:rsid w:val="001E7C03"/>
    <w:rsid w:val="001F02AF"/>
    <w:rsid w:val="001F28F4"/>
    <w:rsid w:val="001F3C79"/>
    <w:rsid w:val="001F3E68"/>
    <w:rsid w:val="001F4597"/>
    <w:rsid w:val="00200D15"/>
    <w:rsid w:val="00203074"/>
    <w:rsid w:val="00203B46"/>
    <w:rsid w:val="002048E1"/>
    <w:rsid w:val="00210278"/>
    <w:rsid w:val="00210CC2"/>
    <w:rsid w:val="00210F5B"/>
    <w:rsid w:val="00211262"/>
    <w:rsid w:val="00211AC9"/>
    <w:rsid w:val="0021355B"/>
    <w:rsid w:val="00216098"/>
    <w:rsid w:val="002205F2"/>
    <w:rsid w:val="0022080E"/>
    <w:rsid w:val="0022139E"/>
    <w:rsid w:val="0022272B"/>
    <w:rsid w:val="00222A99"/>
    <w:rsid w:val="00223678"/>
    <w:rsid w:val="00223E00"/>
    <w:rsid w:val="002252E0"/>
    <w:rsid w:val="002255F6"/>
    <w:rsid w:val="00226466"/>
    <w:rsid w:val="002266D0"/>
    <w:rsid w:val="002303A6"/>
    <w:rsid w:val="00230DAD"/>
    <w:rsid w:val="0023229C"/>
    <w:rsid w:val="00234280"/>
    <w:rsid w:val="00235000"/>
    <w:rsid w:val="002350E3"/>
    <w:rsid w:val="00235938"/>
    <w:rsid w:val="00236443"/>
    <w:rsid w:val="00236E20"/>
    <w:rsid w:val="00240A5B"/>
    <w:rsid w:val="002436BA"/>
    <w:rsid w:val="002444ED"/>
    <w:rsid w:val="00244A15"/>
    <w:rsid w:val="00244D40"/>
    <w:rsid w:val="00246AE9"/>
    <w:rsid w:val="0024799E"/>
    <w:rsid w:val="00250C59"/>
    <w:rsid w:val="00251D59"/>
    <w:rsid w:val="002522CD"/>
    <w:rsid w:val="002524C4"/>
    <w:rsid w:val="00252602"/>
    <w:rsid w:val="00252E1B"/>
    <w:rsid w:val="00252FDC"/>
    <w:rsid w:val="00261E5B"/>
    <w:rsid w:val="00263470"/>
    <w:rsid w:val="00263733"/>
    <w:rsid w:val="00264676"/>
    <w:rsid w:val="00264772"/>
    <w:rsid w:val="00265536"/>
    <w:rsid w:val="00265E54"/>
    <w:rsid w:val="00266520"/>
    <w:rsid w:val="00266F3E"/>
    <w:rsid w:val="0026788B"/>
    <w:rsid w:val="002700A8"/>
    <w:rsid w:val="00272464"/>
    <w:rsid w:val="00273DCD"/>
    <w:rsid w:val="00273E1C"/>
    <w:rsid w:val="00274291"/>
    <w:rsid w:val="00274E3B"/>
    <w:rsid w:val="00276CFE"/>
    <w:rsid w:val="00277071"/>
    <w:rsid w:val="0027786C"/>
    <w:rsid w:val="00277BF7"/>
    <w:rsid w:val="00281416"/>
    <w:rsid w:val="00281B77"/>
    <w:rsid w:val="00285CD3"/>
    <w:rsid w:val="0028686A"/>
    <w:rsid w:val="00286E66"/>
    <w:rsid w:val="002919B5"/>
    <w:rsid w:val="00293441"/>
    <w:rsid w:val="0029493E"/>
    <w:rsid w:val="00296C2E"/>
    <w:rsid w:val="002A1B05"/>
    <w:rsid w:val="002A3354"/>
    <w:rsid w:val="002A35EA"/>
    <w:rsid w:val="002A37B6"/>
    <w:rsid w:val="002A3BD5"/>
    <w:rsid w:val="002A43A2"/>
    <w:rsid w:val="002A4612"/>
    <w:rsid w:val="002A5263"/>
    <w:rsid w:val="002A6821"/>
    <w:rsid w:val="002A74D2"/>
    <w:rsid w:val="002B1494"/>
    <w:rsid w:val="002B1544"/>
    <w:rsid w:val="002B36C8"/>
    <w:rsid w:val="002B4689"/>
    <w:rsid w:val="002B7240"/>
    <w:rsid w:val="002C01D2"/>
    <w:rsid w:val="002C2668"/>
    <w:rsid w:val="002C4036"/>
    <w:rsid w:val="002C43BD"/>
    <w:rsid w:val="002C446F"/>
    <w:rsid w:val="002C5261"/>
    <w:rsid w:val="002C5F84"/>
    <w:rsid w:val="002C6091"/>
    <w:rsid w:val="002D0562"/>
    <w:rsid w:val="002D1B31"/>
    <w:rsid w:val="002D1B5A"/>
    <w:rsid w:val="002D2BF3"/>
    <w:rsid w:val="002D3F00"/>
    <w:rsid w:val="002D4D59"/>
    <w:rsid w:val="002D54BF"/>
    <w:rsid w:val="002D5E94"/>
    <w:rsid w:val="002D632D"/>
    <w:rsid w:val="002E02A1"/>
    <w:rsid w:val="002E0982"/>
    <w:rsid w:val="002E0DB9"/>
    <w:rsid w:val="002E2CE4"/>
    <w:rsid w:val="002F33FB"/>
    <w:rsid w:val="002F69FF"/>
    <w:rsid w:val="002F7594"/>
    <w:rsid w:val="00301357"/>
    <w:rsid w:val="00301620"/>
    <w:rsid w:val="00301D04"/>
    <w:rsid w:val="00304771"/>
    <w:rsid w:val="00305736"/>
    <w:rsid w:val="00306C5B"/>
    <w:rsid w:val="00306E3B"/>
    <w:rsid w:val="00312C3D"/>
    <w:rsid w:val="00314331"/>
    <w:rsid w:val="003168E9"/>
    <w:rsid w:val="00317E31"/>
    <w:rsid w:val="00320214"/>
    <w:rsid w:val="003209D6"/>
    <w:rsid w:val="0032109A"/>
    <w:rsid w:val="00321A11"/>
    <w:rsid w:val="0032214F"/>
    <w:rsid w:val="00322164"/>
    <w:rsid w:val="0032513D"/>
    <w:rsid w:val="00326251"/>
    <w:rsid w:val="00327DEE"/>
    <w:rsid w:val="003304AD"/>
    <w:rsid w:val="003329F3"/>
    <w:rsid w:val="0033352E"/>
    <w:rsid w:val="00333690"/>
    <w:rsid w:val="00333D20"/>
    <w:rsid w:val="003340EF"/>
    <w:rsid w:val="00334A49"/>
    <w:rsid w:val="00335BB0"/>
    <w:rsid w:val="0033627B"/>
    <w:rsid w:val="003406BD"/>
    <w:rsid w:val="00341131"/>
    <w:rsid w:val="00343F84"/>
    <w:rsid w:val="00344135"/>
    <w:rsid w:val="00347C83"/>
    <w:rsid w:val="00351B63"/>
    <w:rsid w:val="00352E57"/>
    <w:rsid w:val="003541B0"/>
    <w:rsid w:val="00355885"/>
    <w:rsid w:val="0035605E"/>
    <w:rsid w:val="00357449"/>
    <w:rsid w:val="0036238B"/>
    <w:rsid w:val="003629E4"/>
    <w:rsid w:val="00365680"/>
    <w:rsid w:val="003657F3"/>
    <w:rsid w:val="00367038"/>
    <w:rsid w:val="003709DE"/>
    <w:rsid w:val="0037144E"/>
    <w:rsid w:val="003736B5"/>
    <w:rsid w:val="00374F1E"/>
    <w:rsid w:val="00376DEC"/>
    <w:rsid w:val="00380E04"/>
    <w:rsid w:val="00383227"/>
    <w:rsid w:val="00384D8F"/>
    <w:rsid w:val="00385D98"/>
    <w:rsid w:val="00385EC5"/>
    <w:rsid w:val="003870B8"/>
    <w:rsid w:val="0039066E"/>
    <w:rsid w:val="00391C95"/>
    <w:rsid w:val="00393BCA"/>
    <w:rsid w:val="00396DAC"/>
    <w:rsid w:val="003A0214"/>
    <w:rsid w:val="003A027D"/>
    <w:rsid w:val="003A1D74"/>
    <w:rsid w:val="003A2B4D"/>
    <w:rsid w:val="003A2D2B"/>
    <w:rsid w:val="003A2DD4"/>
    <w:rsid w:val="003A3B1C"/>
    <w:rsid w:val="003A478C"/>
    <w:rsid w:val="003A4F82"/>
    <w:rsid w:val="003A5525"/>
    <w:rsid w:val="003A6B38"/>
    <w:rsid w:val="003B2E63"/>
    <w:rsid w:val="003B3189"/>
    <w:rsid w:val="003B3A9D"/>
    <w:rsid w:val="003B5031"/>
    <w:rsid w:val="003B5A32"/>
    <w:rsid w:val="003B6105"/>
    <w:rsid w:val="003C04C4"/>
    <w:rsid w:val="003C26F4"/>
    <w:rsid w:val="003C40DE"/>
    <w:rsid w:val="003C4852"/>
    <w:rsid w:val="003C5BAB"/>
    <w:rsid w:val="003C601E"/>
    <w:rsid w:val="003D271F"/>
    <w:rsid w:val="003D34F7"/>
    <w:rsid w:val="003D3600"/>
    <w:rsid w:val="003D3825"/>
    <w:rsid w:val="003D3EC4"/>
    <w:rsid w:val="003D4760"/>
    <w:rsid w:val="003D49DC"/>
    <w:rsid w:val="003E0663"/>
    <w:rsid w:val="003E133F"/>
    <w:rsid w:val="003E699C"/>
    <w:rsid w:val="003E69F3"/>
    <w:rsid w:val="003E782E"/>
    <w:rsid w:val="003E7A0B"/>
    <w:rsid w:val="003E7B2B"/>
    <w:rsid w:val="003F1A48"/>
    <w:rsid w:val="003F2B0A"/>
    <w:rsid w:val="003F313C"/>
    <w:rsid w:val="003F37FC"/>
    <w:rsid w:val="003F49A6"/>
    <w:rsid w:val="003F5098"/>
    <w:rsid w:val="003F5568"/>
    <w:rsid w:val="003F5A95"/>
    <w:rsid w:val="003F6D19"/>
    <w:rsid w:val="004000D5"/>
    <w:rsid w:val="00401716"/>
    <w:rsid w:val="0040273A"/>
    <w:rsid w:val="00402C25"/>
    <w:rsid w:val="004050D7"/>
    <w:rsid w:val="004078BD"/>
    <w:rsid w:val="00410132"/>
    <w:rsid w:val="00410BCD"/>
    <w:rsid w:val="0041175D"/>
    <w:rsid w:val="004123BE"/>
    <w:rsid w:val="004127EA"/>
    <w:rsid w:val="0041369F"/>
    <w:rsid w:val="00414CE5"/>
    <w:rsid w:val="00416673"/>
    <w:rsid w:val="0042160D"/>
    <w:rsid w:val="0042681B"/>
    <w:rsid w:val="0043068A"/>
    <w:rsid w:val="004306E0"/>
    <w:rsid w:val="004329BE"/>
    <w:rsid w:val="00432C38"/>
    <w:rsid w:val="00437C76"/>
    <w:rsid w:val="004441A0"/>
    <w:rsid w:val="00444268"/>
    <w:rsid w:val="004443BF"/>
    <w:rsid w:val="00444C19"/>
    <w:rsid w:val="00445413"/>
    <w:rsid w:val="00446892"/>
    <w:rsid w:val="00450C30"/>
    <w:rsid w:val="004543AE"/>
    <w:rsid w:val="00455ECA"/>
    <w:rsid w:val="00460164"/>
    <w:rsid w:val="0046039A"/>
    <w:rsid w:val="00460A6B"/>
    <w:rsid w:val="00461977"/>
    <w:rsid w:val="004629FD"/>
    <w:rsid w:val="00463F4D"/>
    <w:rsid w:val="0046471F"/>
    <w:rsid w:val="00464BE8"/>
    <w:rsid w:val="00465019"/>
    <w:rsid w:val="0046613F"/>
    <w:rsid w:val="0046655D"/>
    <w:rsid w:val="0046765E"/>
    <w:rsid w:val="004676E2"/>
    <w:rsid w:val="00471EDD"/>
    <w:rsid w:val="004731AA"/>
    <w:rsid w:val="00473E94"/>
    <w:rsid w:val="0047400C"/>
    <w:rsid w:val="004745D9"/>
    <w:rsid w:val="004762D8"/>
    <w:rsid w:val="004765B3"/>
    <w:rsid w:val="00476D29"/>
    <w:rsid w:val="00477241"/>
    <w:rsid w:val="00477EAF"/>
    <w:rsid w:val="00477EE0"/>
    <w:rsid w:val="0048139F"/>
    <w:rsid w:val="00482DE0"/>
    <w:rsid w:val="00483053"/>
    <w:rsid w:val="00485CCE"/>
    <w:rsid w:val="00486B6F"/>
    <w:rsid w:val="004879E9"/>
    <w:rsid w:val="0049104F"/>
    <w:rsid w:val="00491218"/>
    <w:rsid w:val="00493362"/>
    <w:rsid w:val="00496C2F"/>
    <w:rsid w:val="0049740D"/>
    <w:rsid w:val="004978D3"/>
    <w:rsid w:val="004A11F8"/>
    <w:rsid w:val="004A22FA"/>
    <w:rsid w:val="004A269A"/>
    <w:rsid w:val="004A30FB"/>
    <w:rsid w:val="004A35DD"/>
    <w:rsid w:val="004A37D3"/>
    <w:rsid w:val="004A3AD6"/>
    <w:rsid w:val="004A41CD"/>
    <w:rsid w:val="004A5865"/>
    <w:rsid w:val="004A77DF"/>
    <w:rsid w:val="004B0295"/>
    <w:rsid w:val="004B10A8"/>
    <w:rsid w:val="004B22DA"/>
    <w:rsid w:val="004B3CB7"/>
    <w:rsid w:val="004B3D55"/>
    <w:rsid w:val="004B55B7"/>
    <w:rsid w:val="004C00A6"/>
    <w:rsid w:val="004C0BBB"/>
    <w:rsid w:val="004C1B86"/>
    <w:rsid w:val="004C3382"/>
    <w:rsid w:val="004C3867"/>
    <w:rsid w:val="004C4AB7"/>
    <w:rsid w:val="004C4CD0"/>
    <w:rsid w:val="004C51F2"/>
    <w:rsid w:val="004C57B5"/>
    <w:rsid w:val="004C5C25"/>
    <w:rsid w:val="004C6717"/>
    <w:rsid w:val="004C6CFF"/>
    <w:rsid w:val="004C70DC"/>
    <w:rsid w:val="004C7268"/>
    <w:rsid w:val="004D0211"/>
    <w:rsid w:val="004D1C9C"/>
    <w:rsid w:val="004D504B"/>
    <w:rsid w:val="004D536E"/>
    <w:rsid w:val="004E0CD2"/>
    <w:rsid w:val="004E1839"/>
    <w:rsid w:val="004E4A75"/>
    <w:rsid w:val="004E541A"/>
    <w:rsid w:val="004E5A5C"/>
    <w:rsid w:val="004E76D6"/>
    <w:rsid w:val="004F06F5"/>
    <w:rsid w:val="004F191F"/>
    <w:rsid w:val="004F2A73"/>
    <w:rsid w:val="004F33A0"/>
    <w:rsid w:val="004F4353"/>
    <w:rsid w:val="004F447D"/>
    <w:rsid w:val="004F4C28"/>
    <w:rsid w:val="004F5CC5"/>
    <w:rsid w:val="004F6261"/>
    <w:rsid w:val="00505ADA"/>
    <w:rsid w:val="00507040"/>
    <w:rsid w:val="005079F8"/>
    <w:rsid w:val="00510189"/>
    <w:rsid w:val="0051024D"/>
    <w:rsid w:val="005108C0"/>
    <w:rsid w:val="00511873"/>
    <w:rsid w:val="00513B7E"/>
    <w:rsid w:val="00514474"/>
    <w:rsid w:val="00514EBE"/>
    <w:rsid w:val="005215EF"/>
    <w:rsid w:val="00524637"/>
    <w:rsid w:val="00525137"/>
    <w:rsid w:val="005251DD"/>
    <w:rsid w:val="00527913"/>
    <w:rsid w:val="0053017A"/>
    <w:rsid w:val="00530492"/>
    <w:rsid w:val="00532854"/>
    <w:rsid w:val="00532BE8"/>
    <w:rsid w:val="005350F2"/>
    <w:rsid w:val="00535152"/>
    <w:rsid w:val="005351B6"/>
    <w:rsid w:val="00535359"/>
    <w:rsid w:val="005356C8"/>
    <w:rsid w:val="005357A2"/>
    <w:rsid w:val="00535D87"/>
    <w:rsid w:val="00535EF0"/>
    <w:rsid w:val="0053734B"/>
    <w:rsid w:val="00537AFD"/>
    <w:rsid w:val="00537CB4"/>
    <w:rsid w:val="00540895"/>
    <w:rsid w:val="00541B19"/>
    <w:rsid w:val="0054516B"/>
    <w:rsid w:val="0054559E"/>
    <w:rsid w:val="005513D5"/>
    <w:rsid w:val="005523B9"/>
    <w:rsid w:val="005545E0"/>
    <w:rsid w:val="00554865"/>
    <w:rsid w:val="00554E57"/>
    <w:rsid w:val="00562749"/>
    <w:rsid w:val="00562DE9"/>
    <w:rsid w:val="00563674"/>
    <w:rsid w:val="005638A5"/>
    <w:rsid w:val="00566381"/>
    <w:rsid w:val="00566A03"/>
    <w:rsid w:val="00571932"/>
    <w:rsid w:val="00573C97"/>
    <w:rsid w:val="00574240"/>
    <w:rsid w:val="00575CDC"/>
    <w:rsid w:val="005765D5"/>
    <w:rsid w:val="00576A3E"/>
    <w:rsid w:val="0058031B"/>
    <w:rsid w:val="00583D5B"/>
    <w:rsid w:val="00583FFD"/>
    <w:rsid w:val="00587CCD"/>
    <w:rsid w:val="005908AE"/>
    <w:rsid w:val="0059176E"/>
    <w:rsid w:val="00593152"/>
    <w:rsid w:val="00593CA3"/>
    <w:rsid w:val="00594161"/>
    <w:rsid w:val="00594969"/>
    <w:rsid w:val="00596C5E"/>
    <w:rsid w:val="005A2194"/>
    <w:rsid w:val="005A21E0"/>
    <w:rsid w:val="005A33A1"/>
    <w:rsid w:val="005A54EE"/>
    <w:rsid w:val="005A5F6C"/>
    <w:rsid w:val="005A7500"/>
    <w:rsid w:val="005B1BDB"/>
    <w:rsid w:val="005B2BAA"/>
    <w:rsid w:val="005B2D53"/>
    <w:rsid w:val="005B3060"/>
    <w:rsid w:val="005B3247"/>
    <w:rsid w:val="005B3409"/>
    <w:rsid w:val="005B7B12"/>
    <w:rsid w:val="005C0AC0"/>
    <w:rsid w:val="005C16CB"/>
    <w:rsid w:val="005C3F9F"/>
    <w:rsid w:val="005C4A23"/>
    <w:rsid w:val="005C6400"/>
    <w:rsid w:val="005C7F1E"/>
    <w:rsid w:val="005D374F"/>
    <w:rsid w:val="005D5802"/>
    <w:rsid w:val="005D6CFC"/>
    <w:rsid w:val="005D73E2"/>
    <w:rsid w:val="005E0476"/>
    <w:rsid w:val="005E1884"/>
    <w:rsid w:val="005E1E4B"/>
    <w:rsid w:val="005E362D"/>
    <w:rsid w:val="005E492C"/>
    <w:rsid w:val="005E4BAA"/>
    <w:rsid w:val="005E52EF"/>
    <w:rsid w:val="005E5B56"/>
    <w:rsid w:val="005E6088"/>
    <w:rsid w:val="005E61DF"/>
    <w:rsid w:val="005E6B78"/>
    <w:rsid w:val="005F4057"/>
    <w:rsid w:val="005F4088"/>
    <w:rsid w:val="005F6119"/>
    <w:rsid w:val="006004C6"/>
    <w:rsid w:val="0060107A"/>
    <w:rsid w:val="00601AFF"/>
    <w:rsid w:val="00602D1D"/>
    <w:rsid w:val="00604307"/>
    <w:rsid w:val="0060487F"/>
    <w:rsid w:val="00605814"/>
    <w:rsid w:val="00606B93"/>
    <w:rsid w:val="00607727"/>
    <w:rsid w:val="006118AA"/>
    <w:rsid w:val="006139C7"/>
    <w:rsid w:val="006153E3"/>
    <w:rsid w:val="00617D2D"/>
    <w:rsid w:val="00617D83"/>
    <w:rsid w:val="00620AC5"/>
    <w:rsid w:val="00620D38"/>
    <w:rsid w:val="00621575"/>
    <w:rsid w:val="006215FC"/>
    <w:rsid w:val="00624093"/>
    <w:rsid w:val="00630F66"/>
    <w:rsid w:val="00631FC2"/>
    <w:rsid w:val="00632171"/>
    <w:rsid w:val="0063284E"/>
    <w:rsid w:val="0063332A"/>
    <w:rsid w:val="006347F9"/>
    <w:rsid w:val="00634C90"/>
    <w:rsid w:val="00635E79"/>
    <w:rsid w:val="00636E5E"/>
    <w:rsid w:val="006404A7"/>
    <w:rsid w:val="006407F3"/>
    <w:rsid w:val="00644DFC"/>
    <w:rsid w:val="006451E4"/>
    <w:rsid w:val="006460B8"/>
    <w:rsid w:val="006520C7"/>
    <w:rsid w:val="0065277F"/>
    <w:rsid w:val="006530B8"/>
    <w:rsid w:val="006535D6"/>
    <w:rsid w:val="0065559D"/>
    <w:rsid w:val="006572ED"/>
    <w:rsid w:val="00657E87"/>
    <w:rsid w:val="00660457"/>
    <w:rsid w:val="00660E1E"/>
    <w:rsid w:val="006637B1"/>
    <w:rsid w:val="00665D67"/>
    <w:rsid w:val="00665D77"/>
    <w:rsid w:val="006660CD"/>
    <w:rsid w:val="006662B5"/>
    <w:rsid w:val="00666F4B"/>
    <w:rsid w:val="006676D0"/>
    <w:rsid w:val="00670FAC"/>
    <w:rsid w:val="006710C9"/>
    <w:rsid w:val="00675E37"/>
    <w:rsid w:val="00676F11"/>
    <w:rsid w:val="00680079"/>
    <w:rsid w:val="00680F68"/>
    <w:rsid w:val="0068260E"/>
    <w:rsid w:val="0068373D"/>
    <w:rsid w:val="00683BFE"/>
    <w:rsid w:val="00685069"/>
    <w:rsid w:val="006857DF"/>
    <w:rsid w:val="00685E66"/>
    <w:rsid w:val="00686B72"/>
    <w:rsid w:val="00686BF1"/>
    <w:rsid w:val="00690A09"/>
    <w:rsid w:val="00693FEA"/>
    <w:rsid w:val="00694930"/>
    <w:rsid w:val="00695170"/>
    <w:rsid w:val="00695BEF"/>
    <w:rsid w:val="006960D6"/>
    <w:rsid w:val="00696AA5"/>
    <w:rsid w:val="006974EE"/>
    <w:rsid w:val="006977F6"/>
    <w:rsid w:val="00697A13"/>
    <w:rsid w:val="006A109C"/>
    <w:rsid w:val="006A3CF3"/>
    <w:rsid w:val="006A672B"/>
    <w:rsid w:val="006B3F8A"/>
    <w:rsid w:val="006B5CA3"/>
    <w:rsid w:val="006B6B3B"/>
    <w:rsid w:val="006B7714"/>
    <w:rsid w:val="006B7816"/>
    <w:rsid w:val="006B78D8"/>
    <w:rsid w:val="006C090F"/>
    <w:rsid w:val="006C113F"/>
    <w:rsid w:val="006C38DD"/>
    <w:rsid w:val="006C5577"/>
    <w:rsid w:val="006C559A"/>
    <w:rsid w:val="006C58FA"/>
    <w:rsid w:val="006D042D"/>
    <w:rsid w:val="006D06EF"/>
    <w:rsid w:val="006D142E"/>
    <w:rsid w:val="006D4E6F"/>
    <w:rsid w:val="006D61F6"/>
    <w:rsid w:val="006E1F4C"/>
    <w:rsid w:val="006E279A"/>
    <w:rsid w:val="006E2F3F"/>
    <w:rsid w:val="006E313B"/>
    <w:rsid w:val="006E442A"/>
    <w:rsid w:val="006E5CFD"/>
    <w:rsid w:val="006F1326"/>
    <w:rsid w:val="006F2BEE"/>
    <w:rsid w:val="006F3708"/>
    <w:rsid w:val="006F3E6B"/>
    <w:rsid w:val="006F4A59"/>
    <w:rsid w:val="007014C7"/>
    <w:rsid w:val="00702D6F"/>
    <w:rsid w:val="007032F0"/>
    <w:rsid w:val="00703B6C"/>
    <w:rsid w:val="007047D5"/>
    <w:rsid w:val="00705D98"/>
    <w:rsid w:val="00707891"/>
    <w:rsid w:val="007078EE"/>
    <w:rsid w:val="00707D43"/>
    <w:rsid w:val="00711EF1"/>
    <w:rsid w:val="0071229A"/>
    <w:rsid w:val="00712572"/>
    <w:rsid w:val="00713495"/>
    <w:rsid w:val="00720FA2"/>
    <w:rsid w:val="007211F5"/>
    <w:rsid w:val="00724666"/>
    <w:rsid w:val="00726043"/>
    <w:rsid w:val="0072704A"/>
    <w:rsid w:val="00730AE8"/>
    <w:rsid w:val="00731963"/>
    <w:rsid w:val="00734321"/>
    <w:rsid w:val="00737289"/>
    <w:rsid w:val="00740310"/>
    <w:rsid w:val="00740652"/>
    <w:rsid w:val="00740F02"/>
    <w:rsid w:val="00740FEC"/>
    <w:rsid w:val="0074132E"/>
    <w:rsid w:val="00741493"/>
    <w:rsid w:val="007426B3"/>
    <w:rsid w:val="007426FD"/>
    <w:rsid w:val="0074329D"/>
    <w:rsid w:val="00744376"/>
    <w:rsid w:val="007449EA"/>
    <w:rsid w:val="007451AE"/>
    <w:rsid w:val="00746DD9"/>
    <w:rsid w:val="0075057A"/>
    <w:rsid w:val="00751771"/>
    <w:rsid w:val="00751C1C"/>
    <w:rsid w:val="00752180"/>
    <w:rsid w:val="007521A1"/>
    <w:rsid w:val="0075315D"/>
    <w:rsid w:val="007538F9"/>
    <w:rsid w:val="00753AFD"/>
    <w:rsid w:val="00754253"/>
    <w:rsid w:val="007552BB"/>
    <w:rsid w:val="007558D3"/>
    <w:rsid w:val="007559D7"/>
    <w:rsid w:val="00755D3A"/>
    <w:rsid w:val="00760141"/>
    <w:rsid w:val="007609C6"/>
    <w:rsid w:val="007610A0"/>
    <w:rsid w:val="007620F2"/>
    <w:rsid w:val="00762E34"/>
    <w:rsid w:val="00762EBA"/>
    <w:rsid w:val="0076359D"/>
    <w:rsid w:val="00772536"/>
    <w:rsid w:val="00773613"/>
    <w:rsid w:val="007736AA"/>
    <w:rsid w:val="00774782"/>
    <w:rsid w:val="00776527"/>
    <w:rsid w:val="0078113E"/>
    <w:rsid w:val="00781834"/>
    <w:rsid w:val="007821DB"/>
    <w:rsid w:val="00782744"/>
    <w:rsid w:val="00782818"/>
    <w:rsid w:val="00783C86"/>
    <w:rsid w:val="00784C4A"/>
    <w:rsid w:val="00786884"/>
    <w:rsid w:val="00787432"/>
    <w:rsid w:val="00787507"/>
    <w:rsid w:val="007879F2"/>
    <w:rsid w:val="00787D78"/>
    <w:rsid w:val="00791CF8"/>
    <w:rsid w:val="00792262"/>
    <w:rsid w:val="00793387"/>
    <w:rsid w:val="00793BAE"/>
    <w:rsid w:val="00794E0A"/>
    <w:rsid w:val="00796642"/>
    <w:rsid w:val="007A11D9"/>
    <w:rsid w:val="007A327B"/>
    <w:rsid w:val="007A4019"/>
    <w:rsid w:val="007A4606"/>
    <w:rsid w:val="007B1966"/>
    <w:rsid w:val="007B3DCC"/>
    <w:rsid w:val="007B4518"/>
    <w:rsid w:val="007B5031"/>
    <w:rsid w:val="007B517F"/>
    <w:rsid w:val="007B573F"/>
    <w:rsid w:val="007C3976"/>
    <w:rsid w:val="007C605B"/>
    <w:rsid w:val="007D2A5A"/>
    <w:rsid w:val="007D2AD8"/>
    <w:rsid w:val="007D2C47"/>
    <w:rsid w:val="007D3167"/>
    <w:rsid w:val="007D4281"/>
    <w:rsid w:val="007D42F5"/>
    <w:rsid w:val="007D44C3"/>
    <w:rsid w:val="007D5947"/>
    <w:rsid w:val="007D65C1"/>
    <w:rsid w:val="007E030F"/>
    <w:rsid w:val="007E0E59"/>
    <w:rsid w:val="007E0F4B"/>
    <w:rsid w:val="007E7E61"/>
    <w:rsid w:val="007F0845"/>
    <w:rsid w:val="007F16F9"/>
    <w:rsid w:val="007F1DC0"/>
    <w:rsid w:val="007F337B"/>
    <w:rsid w:val="007F37BA"/>
    <w:rsid w:val="007F3E3E"/>
    <w:rsid w:val="007F500D"/>
    <w:rsid w:val="007F5F14"/>
    <w:rsid w:val="007F7B54"/>
    <w:rsid w:val="008005D7"/>
    <w:rsid w:val="00801FDD"/>
    <w:rsid w:val="008020C2"/>
    <w:rsid w:val="0080255C"/>
    <w:rsid w:val="0081187C"/>
    <w:rsid w:val="00811E24"/>
    <w:rsid w:val="00812E2B"/>
    <w:rsid w:val="00813A70"/>
    <w:rsid w:val="00813FE6"/>
    <w:rsid w:val="00815C6E"/>
    <w:rsid w:val="0081645F"/>
    <w:rsid w:val="00816B74"/>
    <w:rsid w:val="008178C2"/>
    <w:rsid w:val="008178CF"/>
    <w:rsid w:val="00817C98"/>
    <w:rsid w:val="00820C9F"/>
    <w:rsid w:val="00821FF6"/>
    <w:rsid w:val="00823A05"/>
    <w:rsid w:val="00823AAF"/>
    <w:rsid w:val="00824081"/>
    <w:rsid w:val="0082409A"/>
    <w:rsid w:val="00827181"/>
    <w:rsid w:val="00827746"/>
    <w:rsid w:val="0083143E"/>
    <w:rsid w:val="0083159D"/>
    <w:rsid w:val="00832187"/>
    <w:rsid w:val="008336D8"/>
    <w:rsid w:val="008339C4"/>
    <w:rsid w:val="00834A2F"/>
    <w:rsid w:val="00834F0A"/>
    <w:rsid w:val="00834FAA"/>
    <w:rsid w:val="00836086"/>
    <w:rsid w:val="008373E9"/>
    <w:rsid w:val="00841D9F"/>
    <w:rsid w:val="00842604"/>
    <w:rsid w:val="00843ECF"/>
    <w:rsid w:val="00846673"/>
    <w:rsid w:val="00846BB6"/>
    <w:rsid w:val="00847380"/>
    <w:rsid w:val="0085281A"/>
    <w:rsid w:val="008559FE"/>
    <w:rsid w:val="00857339"/>
    <w:rsid w:val="008575E1"/>
    <w:rsid w:val="00862A7A"/>
    <w:rsid w:val="00863D9E"/>
    <w:rsid w:val="008642AF"/>
    <w:rsid w:val="00865986"/>
    <w:rsid w:val="00867E29"/>
    <w:rsid w:val="00870F2B"/>
    <w:rsid w:val="00873C15"/>
    <w:rsid w:val="008746E6"/>
    <w:rsid w:val="00876086"/>
    <w:rsid w:val="008768D6"/>
    <w:rsid w:val="008775D1"/>
    <w:rsid w:val="008777BB"/>
    <w:rsid w:val="00877D68"/>
    <w:rsid w:val="00877E5D"/>
    <w:rsid w:val="0088733A"/>
    <w:rsid w:val="008875EB"/>
    <w:rsid w:val="00891906"/>
    <w:rsid w:val="00891BE0"/>
    <w:rsid w:val="00893302"/>
    <w:rsid w:val="008945A1"/>
    <w:rsid w:val="00894A63"/>
    <w:rsid w:val="00895A54"/>
    <w:rsid w:val="00896916"/>
    <w:rsid w:val="00896BDE"/>
    <w:rsid w:val="00896C64"/>
    <w:rsid w:val="008A0436"/>
    <w:rsid w:val="008A0861"/>
    <w:rsid w:val="008A0BB2"/>
    <w:rsid w:val="008A1AB3"/>
    <w:rsid w:val="008A1C82"/>
    <w:rsid w:val="008A1D5C"/>
    <w:rsid w:val="008A3292"/>
    <w:rsid w:val="008A3A85"/>
    <w:rsid w:val="008A43E9"/>
    <w:rsid w:val="008A4CB1"/>
    <w:rsid w:val="008A615E"/>
    <w:rsid w:val="008A632B"/>
    <w:rsid w:val="008A6BFE"/>
    <w:rsid w:val="008B190E"/>
    <w:rsid w:val="008B1A8A"/>
    <w:rsid w:val="008B7306"/>
    <w:rsid w:val="008B775F"/>
    <w:rsid w:val="008B7C02"/>
    <w:rsid w:val="008B7F9E"/>
    <w:rsid w:val="008C0431"/>
    <w:rsid w:val="008C0E88"/>
    <w:rsid w:val="008C1AA8"/>
    <w:rsid w:val="008C22A8"/>
    <w:rsid w:val="008C63FD"/>
    <w:rsid w:val="008C6A4F"/>
    <w:rsid w:val="008C6CB8"/>
    <w:rsid w:val="008C7815"/>
    <w:rsid w:val="008C7A07"/>
    <w:rsid w:val="008D0171"/>
    <w:rsid w:val="008D2A16"/>
    <w:rsid w:val="008D2ECF"/>
    <w:rsid w:val="008D3F3D"/>
    <w:rsid w:val="008E31FF"/>
    <w:rsid w:val="008E3FB2"/>
    <w:rsid w:val="008E5DE6"/>
    <w:rsid w:val="008E6113"/>
    <w:rsid w:val="008E6AB3"/>
    <w:rsid w:val="008E6AD3"/>
    <w:rsid w:val="008E71A6"/>
    <w:rsid w:val="008E77B6"/>
    <w:rsid w:val="008E789F"/>
    <w:rsid w:val="008F032E"/>
    <w:rsid w:val="008F0F14"/>
    <w:rsid w:val="008F4FCE"/>
    <w:rsid w:val="008F5301"/>
    <w:rsid w:val="008F7D28"/>
    <w:rsid w:val="009003A8"/>
    <w:rsid w:val="00902CBE"/>
    <w:rsid w:val="00902D74"/>
    <w:rsid w:val="00902EFF"/>
    <w:rsid w:val="00903E06"/>
    <w:rsid w:val="00904B9D"/>
    <w:rsid w:val="009066E1"/>
    <w:rsid w:val="00907A41"/>
    <w:rsid w:val="009102BD"/>
    <w:rsid w:val="00910F93"/>
    <w:rsid w:val="00914426"/>
    <w:rsid w:val="0091675F"/>
    <w:rsid w:val="00916B87"/>
    <w:rsid w:val="00917709"/>
    <w:rsid w:val="00917918"/>
    <w:rsid w:val="00921F14"/>
    <w:rsid w:val="00923750"/>
    <w:rsid w:val="009243A5"/>
    <w:rsid w:val="009250D2"/>
    <w:rsid w:val="00926283"/>
    <w:rsid w:val="00926959"/>
    <w:rsid w:val="009340A2"/>
    <w:rsid w:val="00937B11"/>
    <w:rsid w:val="00940F1F"/>
    <w:rsid w:val="00941250"/>
    <w:rsid w:val="00942B5F"/>
    <w:rsid w:val="00943AF9"/>
    <w:rsid w:val="0094427A"/>
    <w:rsid w:val="009459C5"/>
    <w:rsid w:val="0094626C"/>
    <w:rsid w:val="0095013A"/>
    <w:rsid w:val="00953AEF"/>
    <w:rsid w:val="00953B56"/>
    <w:rsid w:val="00954026"/>
    <w:rsid w:val="00954E23"/>
    <w:rsid w:val="009551E2"/>
    <w:rsid w:val="00955783"/>
    <w:rsid w:val="00955E5F"/>
    <w:rsid w:val="009560B0"/>
    <w:rsid w:val="00957871"/>
    <w:rsid w:val="00964498"/>
    <w:rsid w:val="009663EB"/>
    <w:rsid w:val="0096650F"/>
    <w:rsid w:val="009700DB"/>
    <w:rsid w:val="00972263"/>
    <w:rsid w:val="009726B9"/>
    <w:rsid w:val="00972D8D"/>
    <w:rsid w:val="00973AAE"/>
    <w:rsid w:val="0097476C"/>
    <w:rsid w:val="00974923"/>
    <w:rsid w:val="00974D48"/>
    <w:rsid w:val="00974D5F"/>
    <w:rsid w:val="00975017"/>
    <w:rsid w:val="009759DF"/>
    <w:rsid w:val="009778B0"/>
    <w:rsid w:val="00980621"/>
    <w:rsid w:val="00982072"/>
    <w:rsid w:val="00983ECF"/>
    <w:rsid w:val="00986745"/>
    <w:rsid w:val="00987109"/>
    <w:rsid w:val="00987309"/>
    <w:rsid w:val="0099012D"/>
    <w:rsid w:val="009954FF"/>
    <w:rsid w:val="00996355"/>
    <w:rsid w:val="009978B4"/>
    <w:rsid w:val="009A2014"/>
    <w:rsid w:val="009A4E12"/>
    <w:rsid w:val="009A5C68"/>
    <w:rsid w:val="009B04D0"/>
    <w:rsid w:val="009B052C"/>
    <w:rsid w:val="009B0EF2"/>
    <w:rsid w:val="009B23A3"/>
    <w:rsid w:val="009B4925"/>
    <w:rsid w:val="009B4B4B"/>
    <w:rsid w:val="009B6CE7"/>
    <w:rsid w:val="009B6FD3"/>
    <w:rsid w:val="009B70BD"/>
    <w:rsid w:val="009C07A5"/>
    <w:rsid w:val="009C7388"/>
    <w:rsid w:val="009D1551"/>
    <w:rsid w:val="009D2859"/>
    <w:rsid w:val="009D4173"/>
    <w:rsid w:val="009D48AD"/>
    <w:rsid w:val="009D6095"/>
    <w:rsid w:val="009D6306"/>
    <w:rsid w:val="009D7047"/>
    <w:rsid w:val="009E048A"/>
    <w:rsid w:val="009E1FBA"/>
    <w:rsid w:val="009E2C54"/>
    <w:rsid w:val="009E3710"/>
    <w:rsid w:val="009E7B1F"/>
    <w:rsid w:val="009F41C4"/>
    <w:rsid w:val="009F5846"/>
    <w:rsid w:val="009F7D77"/>
    <w:rsid w:val="00A07E68"/>
    <w:rsid w:val="00A10D66"/>
    <w:rsid w:val="00A13A17"/>
    <w:rsid w:val="00A1420C"/>
    <w:rsid w:val="00A14821"/>
    <w:rsid w:val="00A17754"/>
    <w:rsid w:val="00A2055B"/>
    <w:rsid w:val="00A2253C"/>
    <w:rsid w:val="00A23545"/>
    <w:rsid w:val="00A23A55"/>
    <w:rsid w:val="00A23E43"/>
    <w:rsid w:val="00A24F8C"/>
    <w:rsid w:val="00A262BF"/>
    <w:rsid w:val="00A271AD"/>
    <w:rsid w:val="00A27581"/>
    <w:rsid w:val="00A276D5"/>
    <w:rsid w:val="00A30336"/>
    <w:rsid w:val="00A30BB5"/>
    <w:rsid w:val="00A3128F"/>
    <w:rsid w:val="00A326D0"/>
    <w:rsid w:val="00A347A4"/>
    <w:rsid w:val="00A35287"/>
    <w:rsid w:val="00A378F8"/>
    <w:rsid w:val="00A40B19"/>
    <w:rsid w:val="00A424F8"/>
    <w:rsid w:val="00A437B7"/>
    <w:rsid w:val="00A46DE0"/>
    <w:rsid w:val="00A4778A"/>
    <w:rsid w:val="00A5067F"/>
    <w:rsid w:val="00A550B7"/>
    <w:rsid w:val="00A55301"/>
    <w:rsid w:val="00A57B3C"/>
    <w:rsid w:val="00A60FD0"/>
    <w:rsid w:val="00A6128E"/>
    <w:rsid w:val="00A62CE1"/>
    <w:rsid w:val="00A631FA"/>
    <w:rsid w:val="00A64203"/>
    <w:rsid w:val="00A64348"/>
    <w:rsid w:val="00A6591D"/>
    <w:rsid w:val="00A66999"/>
    <w:rsid w:val="00A721FB"/>
    <w:rsid w:val="00A727BA"/>
    <w:rsid w:val="00A72D4B"/>
    <w:rsid w:val="00A732AE"/>
    <w:rsid w:val="00A75E40"/>
    <w:rsid w:val="00A77E80"/>
    <w:rsid w:val="00A77EB2"/>
    <w:rsid w:val="00A82B66"/>
    <w:rsid w:val="00A83B58"/>
    <w:rsid w:val="00A851B6"/>
    <w:rsid w:val="00A85729"/>
    <w:rsid w:val="00A8574B"/>
    <w:rsid w:val="00A857C0"/>
    <w:rsid w:val="00A96463"/>
    <w:rsid w:val="00A97E3F"/>
    <w:rsid w:val="00AA09D3"/>
    <w:rsid w:val="00AA23FB"/>
    <w:rsid w:val="00AA42AB"/>
    <w:rsid w:val="00AA559A"/>
    <w:rsid w:val="00AB104D"/>
    <w:rsid w:val="00AB2AF1"/>
    <w:rsid w:val="00AB2FC7"/>
    <w:rsid w:val="00AB440B"/>
    <w:rsid w:val="00AB47E3"/>
    <w:rsid w:val="00AB74C5"/>
    <w:rsid w:val="00AB7DF2"/>
    <w:rsid w:val="00AC1E3F"/>
    <w:rsid w:val="00AC4F18"/>
    <w:rsid w:val="00AC6C4D"/>
    <w:rsid w:val="00AD0B46"/>
    <w:rsid w:val="00AD1094"/>
    <w:rsid w:val="00AD2565"/>
    <w:rsid w:val="00AD306C"/>
    <w:rsid w:val="00AD3424"/>
    <w:rsid w:val="00AD50D1"/>
    <w:rsid w:val="00AD59BB"/>
    <w:rsid w:val="00AD5D68"/>
    <w:rsid w:val="00AD6C73"/>
    <w:rsid w:val="00AE06D0"/>
    <w:rsid w:val="00AE2DA2"/>
    <w:rsid w:val="00AE39DC"/>
    <w:rsid w:val="00AE3CDA"/>
    <w:rsid w:val="00AE3CEF"/>
    <w:rsid w:val="00AE7968"/>
    <w:rsid w:val="00AF128B"/>
    <w:rsid w:val="00AF1AEA"/>
    <w:rsid w:val="00AF2852"/>
    <w:rsid w:val="00AF3225"/>
    <w:rsid w:val="00AF518B"/>
    <w:rsid w:val="00AF5275"/>
    <w:rsid w:val="00AF6367"/>
    <w:rsid w:val="00AF6A79"/>
    <w:rsid w:val="00AF724E"/>
    <w:rsid w:val="00AF73A9"/>
    <w:rsid w:val="00B01C2C"/>
    <w:rsid w:val="00B0231C"/>
    <w:rsid w:val="00B07DA3"/>
    <w:rsid w:val="00B15DCD"/>
    <w:rsid w:val="00B17E71"/>
    <w:rsid w:val="00B17FDE"/>
    <w:rsid w:val="00B208FC"/>
    <w:rsid w:val="00B20C65"/>
    <w:rsid w:val="00B22E17"/>
    <w:rsid w:val="00B26015"/>
    <w:rsid w:val="00B26964"/>
    <w:rsid w:val="00B27293"/>
    <w:rsid w:val="00B2763E"/>
    <w:rsid w:val="00B30B30"/>
    <w:rsid w:val="00B3229E"/>
    <w:rsid w:val="00B32DDB"/>
    <w:rsid w:val="00B35174"/>
    <w:rsid w:val="00B35BEA"/>
    <w:rsid w:val="00B3793D"/>
    <w:rsid w:val="00B41BE6"/>
    <w:rsid w:val="00B457E7"/>
    <w:rsid w:val="00B45D1B"/>
    <w:rsid w:val="00B46D25"/>
    <w:rsid w:val="00B47430"/>
    <w:rsid w:val="00B52D2D"/>
    <w:rsid w:val="00B55301"/>
    <w:rsid w:val="00B55BA8"/>
    <w:rsid w:val="00B55F15"/>
    <w:rsid w:val="00B561A6"/>
    <w:rsid w:val="00B60062"/>
    <w:rsid w:val="00B62960"/>
    <w:rsid w:val="00B63A11"/>
    <w:rsid w:val="00B63FD0"/>
    <w:rsid w:val="00B65C84"/>
    <w:rsid w:val="00B6608F"/>
    <w:rsid w:val="00B71069"/>
    <w:rsid w:val="00B74317"/>
    <w:rsid w:val="00B76D1E"/>
    <w:rsid w:val="00B800EB"/>
    <w:rsid w:val="00B822D2"/>
    <w:rsid w:val="00B848B8"/>
    <w:rsid w:val="00B84A41"/>
    <w:rsid w:val="00B84D57"/>
    <w:rsid w:val="00B85689"/>
    <w:rsid w:val="00B85C07"/>
    <w:rsid w:val="00B86748"/>
    <w:rsid w:val="00B87DF4"/>
    <w:rsid w:val="00B907EA"/>
    <w:rsid w:val="00B91EC9"/>
    <w:rsid w:val="00B924CA"/>
    <w:rsid w:val="00B93384"/>
    <w:rsid w:val="00B94417"/>
    <w:rsid w:val="00B95940"/>
    <w:rsid w:val="00B95EF8"/>
    <w:rsid w:val="00B95F50"/>
    <w:rsid w:val="00B96BD9"/>
    <w:rsid w:val="00BA58FD"/>
    <w:rsid w:val="00BB1CFD"/>
    <w:rsid w:val="00BB2C53"/>
    <w:rsid w:val="00BB32DA"/>
    <w:rsid w:val="00BB3A54"/>
    <w:rsid w:val="00BB4E21"/>
    <w:rsid w:val="00BB7746"/>
    <w:rsid w:val="00BC22EB"/>
    <w:rsid w:val="00BC3475"/>
    <w:rsid w:val="00BC682B"/>
    <w:rsid w:val="00BC6B04"/>
    <w:rsid w:val="00BD186B"/>
    <w:rsid w:val="00BD1EAC"/>
    <w:rsid w:val="00BD3428"/>
    <w:rsid w:val="00BD366B"/>
    <w:rsid w:val="00BD534C"/>
    <w:rsid w:val="00BD56BC"/>
    <w:rsid w:val="00BD5D91"/>
    <w:rsid w:val="00BD6615"/>
    <w:rsid w:val="00BD69DC"/>
    <w:rsid w:val="00BD6D50"/>
    <w:rsid w:val="00BE0D79"/>
    <w:rsid w:val="00BE0DB0"/>
    <w:rsid w:val="00BE2583"/>
    <w:rsid w:val="00BE3381"/>
    <w:rsid w:val="00BE3F09"/>
    <w:rsid w:val="00BE670A"/>
    <w:rsid w:val="00BE6906"/>
    <w:rsid w:val="00BF18F4"/>
    <w:rsid w:val="00BF1A69"/>
    <w:rsid w:val="00BF3BC8"/>
    <w:rsid w:val="00BF3DF1"/>
    <w:rsid w:val="00BF4C31"/>
    <w:rsid w:val="00BF4E57"/>
    <w:rsid w:val="00C00F20"/>
    <w:rsid w:val="00C034E6"/>
    <w:rsid w:val="00C04E1D"/>
    <w:rsid w:val="00C0784A"/>
    <w:rsid w:val="00C10B28"/>
    <w:rsid w:val="00C10FAE"/>
    <w:rsid w:val="00C12A69"/>
    <w:rsid w:val="00C150BE"/>
    <w:rsid w:val="00C15A0C"/>
    <w:rsid w:val="00C15DCB"/>
    <w:rsid w:val="00C1711F"/>
    <w:rsid w:val="00C20744"/>
    <w:rsid w:val="00C20C4D"/>
    <w:rsid w:val="00C21D46"/>
    <w:rsid w:val="00C21F94"/>
    <w:rsid w:val="00C2201D"/>
    <w:rsid w:val="00C222A1"/>
    <w:rsid w:val="00C23CBD"/>
    <w:rsid w:val="00C23D22"/>
    <w:rsid w:val="00C2463B"/>
    <w:rsid w:val="00C24E77"/>
    <w:rsid w:val="00C2732D"/>
    <w:rsid w:val="00C273C6"/>
    <w:rsid w:val="00C27913"/>
    <w:rsid w:val="00C300C6"/>
    <w:rsid w:val="00C3271C"/>
    <w:rsid w:val="00C34FDE"/>
    <w:rsid w:val="00C35C16"/>
    <w:rsid w:val="00C375E9"/>
    <w:rsid w:val="00C40F81"/>
    <w:rsid w:val="00C41463"/>
    <w:rsid w:val="00C41A72"/>
    <w:rsid w:val="00C42192"/>
    <w:rsid w:val="00C431F5"/>
    <w:rsid w:val="00C476C5"/>
    <w:rsid w:val="00C503B0"/>
    <w:rsid w:val="00C511C2"/>
    <w:rsid w:val="00C53D82"/>
    <w:rsid w:val="00C60696"/>
    <w:rsid w:val="00C615F1"/>
    <w:rsid w:val="00C61627"/>
    <w:rsid w:val="00C63B21"/>
    <w:rsid w:val="00C64E60"/>
    <w:rsid w:val="00C657A4"/>
    <w:rsid w:val="00C6736C"/>
    <w:rsid w:val="00C71A1D"/>
    <w:rsid w:val="00C75C7E"/>
    <w:rsid w:val="00C75C9B"/>
    <w:rsid w:val="00C76D8E"/>
    <w:rsid w:val="00C77833"/>
    <w:rsid w:val="00C803C0"/>
    <w:rsid w:val="00C80C9B"/>
    <w:rsid w:val="00C8335E"/>
    <w:rsid w:val="00C83F9C"/>
    <w:rsid w:val="00C84CE3"/>
    <w:rsid w:val="00C85614"/>
    <w:rsid w:val="00C90CF4"/>
    <w:rsid w:val="00C91C19"/>
    <w:rsid w:val="00C929A0"/>
    <w:rsid w:val="00C93389"/>
    <w:rsid w:val="00C937DB"/>
    <w:rsid w:val="00C94519"/>
    <w:rsid w:val="00C94677"/>
    <w:rsid w:val="00C94E83"/>
    <w:rsid w:val="00CA140F"/>
    <w:rsid w:val="00CA25C2"/>
    <w:rsid w:val="00CA37CA"/>
    <w:rsid w:val="00CA6508"/>
    <w:rsid w:val="00CA6BA1"/>
    <w:rsid w:val="00CA6CD5"/>
    <w:rsid w:val="00CB1910"/>
    <w:rsid w:val="00CB2150"/>
    <w:rsid w:val="00CB28EE"/>
    <w:rsid w:val="00CB43A7"/>
    <w:rsid w:val="00CB5996"/>
    <w:rsid w:val="00CB7452"/>
    <w:rsid w:val="00CC0E10"/>
    <w:rsid w:val="00CC2642"/>
    <w:rsid w:val="00CC2E15"/>
    <w:rsid w:val="00CC3908"/>
    <w:rsid w:val="00CC62AD"/>
    <w:rsid w:val="00CC7B80"/>
    <w:rsid w:val="00CD2B3C"/>
    <w:rsid w:val="00CD30F6"/>
    <w:rsid w:val="00CD4B29"/>
    <w:rsid w:val="00CD693D"/>
    <w:rsid w:val="00CD6EF1"/>
    <w:rsid w:val="00CE21C7"/>
    <w:rsid w:val="00CE329C"/>
    <w:rsid w:val="00CE3DE9"/>
    <w:rsid w:val="00CE57D8"/>
    <w:rsid w:val="00CE617A"/>
    <w:rsid w:val="00CF28C2"/>
    <w:rsid w:val="00CF42BD"/>
    <w:rsid w:val="00CF51EC"/>
    <w:rsid w:val="00CF6CD7"/>
    <w:rsid w:val="00D0037A"/>
    <w:rsid w:val="00D00DAF"/>
    <w:rsid w:val="00D017EC"/>
    <w:rsid w:val="00D01CDA"/>
    <w:rsid w:val="00D02DB2"/>
    <w:rsid w:val="00D040DD"/>
    <w:rsid w:val="00D04E1B"/>
    <w:rsid w:val="00D06E5B"/>
    <w:rsid w:val="00D076DB"/>
    <w:rsid w:val="00D1067C"/>
    <w:rsid w:val="00D136D4"/>
    <w:rsid w:val="00D13830"/>
    <w:rsid w:val="00D13ECF"/>
    <w:rsid w:val="00D142E5"/>
    <w:rsid w:val="00D148CD"/>
    <w:rsid w:val="00D152C1"/>
    <w:rsid w:val="00D1611E"/>
    <w:rsid w:val="00D16E69"/>
    <w:rsid w:val="00D205A9"/>
    <w:rsid w:val="00D217EE"/>
    <w:rsid w:val="00D23442"/>
    <w:rsid w:val="00D245BA"/>
    <w:rsid w:val="00D26923"/>
    <w:rsid w:val="00D27856"/>
    <w:rsid w:val="00D301CA"/>
    <w:rsid w:val="00D30740"/>
    <w:rsid w:val="00D31075"/>
    <w:rsid w:val="00D31445"/>
    <w:rsid w:val="00D31932"/>
    <w:rsid w:val="00D336C7"/>
    <w:rsid w:val="00D3526E"/>
    <w:rsid w:val="00D378CC"/>
    <w:rsid w:val="00D4042C"/>
    <w:rsid w:val="00D42312"/>
    <w:rsid w:val="00D43998"/>
    <w:rsid w:val="00D4615E"/>
    <w:rsid w:val="00D478E2"/>
    <w:rsid w:val="00D50D80"/>
    <w:rsid w:val="00D5261D"/>
    <w:rsid w:val="00D5264C"/>
    <w:rsid w:val="00D547BA"/>
    <w:rsid w:val="00D55626"/>
    <w:rsid w:val="00D556BC"/>
    <w:rsid w:val="00D5626D"/>
    <w:rsid w:val="00D60277"/>
    <w:rsid w:val="00D6034A"/>
    <w:rsid w:val="00D61F88"/>
    <w:rsid w:val="00D62901"/>
    <w:rsid w:val="00D639A5"/>
    <w:rsid w:val="00D6470C"/>
    <w:rsid w:val="00D64853"/>
    <w:rsid w:val="00D64CB5"/>
    <w:rsid w:val="00D66D48"/>
    <w:rsid w:val="00D73256"/>
    <w:rsid w:val="00D73A30"/>
    <w:rsid w:val="00D74C65"/>
    <w:rsid w:val="00D75DC2"/>
    <w:rsid w:val="00D766EF"/>
    <w:rsid w:val="00D76C03"/>
    <w:rsid w:val="00D82462"/>
    <w:rsid w:val="00D83627"/>
    <w:rsid w:val="00D868CE"/>
    <w:rsid w:val="00D86DAE"/>
    <w:rsid w:val="00D87030"/>
    <w:rsid w:val="00D907C3"/>
    <w:rsid w:val="00D90C1E"/>
    <w:rsid w:val="00D91BDF"/>
    <w:rsid w:val="00D93F09"/>
    <w:rsid w:val="00D954C2"/>
    <w:rsid w:val="00D97BB8"/>
    <w:rsid w:val="00DA1318"/>
    <w:rsid w:val="00DA1382"/>
    <w:rsid w:val="00DA4AF6"/>
    <w:rsid w:val="00DB016E"/>
    <w:rsid w:val="00DB06E9"/>
    <w:rsid w:val="00DB378E"/>
    <w:rsid w:val="00DB3E9D"/>
    <w:rsid w:val="00DB47B9"/>
    <w:rsid w:val="00DB4FB8"/>
    <w:rsid w:val="00DB53CE"/>
    <w:rsid w:val="00DB549D"/>
    <w:rsid w:val="00DB64DD"/>
    <w:rsid w:val="00DC257F"/>
    <w:rsid w:val="00DC3790"/>
    <w:rsid w:val="00DC408A"/>
    <w:rsid w:val="00DC5B3B"/>
    <w:rsid w:val="00DC6796"/>
    <w:rsid w:val="00DC78DF"/>
    <w:rsid w:val="00DD0821"/>
    <w:rsid w:val="00DD0E32"/>
    <w:rsid w:val="00DD36D8"/>
    <w:rsid w:val="00DD373E"/>
    <w:rsid w:val="00DD57AD"/>
    <w:rsid w:val="00DD76A8"/>
    <w:rsid w:val="00DE009B"/>
    <w:rsid w:val="00DE1447"/>
    <w:rsid w:val="00DE2ED9"/>
    <w:rsid w:val="00DE319A"/>
    <w:rsid w:val="00DE4E12"/>
    <w:rsid w:val="00DF0DC3"/>
    <w:rsid w:val="00DF21FD"/>
    <w:rsid w:val="00DF2873"/>
    <w:rsid w:val="00DF5578"/>
    <w:rsid w:val="00DF78DD"/>
    <w:rsid w:val="00DF7FEC"/>
    <w:rsid w:val="00E00393"/>
    <w:rsid w:val="00E01C0E"/>
    <w:rsid w:val="00E02CF7"/>
    <w:rsid w:val="00E03B27"/>
    <w:rsid w:val="00E04694"/>
    <w:rsid w:val="00E05B2B"/>
    <w:rsid w:val="00E06A2A"/>
    <w:rsid w:val="00E07937"/>
    <w:rsid w:val="00E07F05"/>
    <w:rsid w:val="00E111C2"/>
    <w:rsid w:val="00E127E1"/>
    <w:rsid w:val="00E144D2"/>
    <w:rsid w:val="00E15346"/>
    <w:rsid w:val="00E15B7D"/>
    <w:rsid w:val="00E215EA"/>
    <w:rsid w:val="00E234BA"/>
    <w:rsid w:val="00E24619"/>
    <w:rsid w:val="00E25223"/>
    <w:rsid w:val="00E30BEA"/>
    <w:rsid w:val="00E31764"/>
    <w:rsid w:val="00E34985"/>
    <w:rsid w:val="00E34E4A"/>
    <w:rsid w:val="00E365B3"/>
    <w:rsid w:val="00E366BB"/>
    <w:rsid w:val="00E36F05"/>
    <w:rsid w:val="00E37C45"/>
    <w:rsid w:val="00E40AAA"/>
    <w:rsid w:val="00E438CF"/>
    <w:rsid w:val="00E43C41"/>
    <w:rsid w:val="00E450CE"/>
    <w:rsid w:val="00E45A00"/>
    <w:rsid w:val="00E45CE7"/>
    <w:rsid w:val="00E4631F"/>
    <w:rsid w:val="00E522BB"/>
    <w:rsid w:val="00E539E4"/>
    <w:rsid w:val="00E569C7"/>
    <w:rsid w:val="00E571F2"/>
    <w:rsid w:val="00E57429"/>
    <w:rsid w:val="00E67B4E"/>
    <w:rsid w:val="00E70510"/>
    <w:rsid w:val="00E71262"/>
    <w:rsid w:val="00E71A58"/>
    <w:rsid w:val="00E7724B"/>
    <w:rsid w:val="00E81DC2"/>
    <w:rsid w:val="00E84F21"/>
    <w:rsid w:val="00E90C03"/>
    <w:rsid w:val="00E90F73"/>
    <w:rsid w:val="00E921C7"/>
    <w:rsid w:val="00E92995"/>
    <w:rsid w:val="00E94612"/>
    <w:rsid w:val="00E95797"/>
    <w:rsid w:val="00E9682F"/>
    <w:rsid w:val="00E96A8D"/>
    <w:rsid w:val="00E972BA"/>
    <w:rsid w:val="00E97FA2"/>
    <w:rsid w:val="00EA06CB"/>
    <w:rsid w:val="00EA0C68"/>
    <w:rsid w:val="00EA3EBE"/>
    <w:rsid w:val="00EA3FAC"/>
    <w:rsid w:val="00EA4153"/>
    <w:rsid w:val="00EA5CD6"/>
    <w:rsid w:val="00EA6689"/>
    <w:rsid w:val="00EB20A0"/>
    <w:rsid w:val="00EB30B6"/>
    <w:rsid w:val="00EB4D7C"/>
    <w:rsid w:val="00EB4FA4"/>
    <w:rsid w:val="00EB5146"/>
    <w:rsid w:val="00EB55E9"/>
    <w:rsid w:val="00EB5641"/>
    <w:rsid w:val="00EB5CA9"/>
    <w:rsid w:val="00EB5ED4"/>
    <w:rsid w:val="00EB6537"/>
    <w:rsid w:val="00EB70E1"/>
    <w:rsid w:val="00EB763A"/>
    <w:rsid w:val="00EB7EB5"/>
    <w:rsid w:val="00EC454B"/>
    <w:rsid w:val="00EC6153"/>
    <w:rsid w:val="00EC7F92"/>
    <w:rsid w:val="00ED00A8"/>
    <w:rsid w:val="00ED0A79"/>
    <w:rsid w:val="00ED2961"/>
    <w:rsid w:val="00ED2989"/>
    <w:rsid w:val="00ED2CA5"/>
    <w:rsid w:val="00ED336F"/>
    <w:rsid w:val="00ED54D6"/>
    <w:rsid w:val="00ED5726"/>
    <w:rsid w:val="00EE0298"/>
    <w:rsid w:val="00EE0384"/>
    <w:rsid w:val="00EE10AA"/>
    <w:rsid w:val="00EE1637"/>
    <w:rsid w:val="00EE3B7A"/>
    <w:rsid w:val="00EE3E78"/>
    <w:rsid w:val="00EE5E02"/>
    <w:rsid w:val="00EE617D"/>
    <w:rsid w:val="00EE61BF"/>
    <w:rsid w:val="00EE6748"/>
    <w:rsid w:val="00EE6C6B"/>
    <w:rsid w:val="00EF0E75"/>
    <w:rsid w:val="00EF1F5A"/>
    <w:rsid w:val="00EF4199"/>
    <w:rsid w:val="00EF4685"/>
    <w:rsid w:val="00EF5397"/>
    <w:rsid w:val="00EF6BE3"/>
    <w:rsid w:val="00F00D0E"/>
    <w:rsid w:val="00F00D3C"/>
    <w:rsid w:val="00F04811"/>
    <w:rsid w:val="00F0488C"/>
    <w:rsid w:val="00F0496E"/>
    <w:rsid w:val="00F04D10"/>
    <w:rsid w:val="00F0625B"/>
    <w:rsid w:val="00F101FF"/>
    <w:rsid w:val="00F10A33"/>
    <w:rsid w:val="00F14CF4"/>
    <w:rsid w:val="00F15BEF"/>
    <w:rsid w:val="00F172BE"/>
    <w:rsid w:val="00F1776C"/>
    <w:rsid w:val="00F2037E"/>
    <w:rsid w:val="00F20D17"/>
    <w:rsid w:val="00F2103E"/>
    <w:rsid w:val="00F214FC"/>
    <w:rsid w:val="00F21C31"/>
    <w:rsid w:val="00F22FCD"/>
    <w:rsid w:val="00F23825"/>
    <w:rsid w:val="00F23FFF"/>
    <w:rsid w:val="00F2441D"/>
    <w:rsid w:val="00F24FAA"/>
    <w:rsid w:val="00F26197"/>
    <w:rsid w:val="00F318FC"/>
    <w:rsid w:val="00F31F76"/>
    <w:rsid w:val="00F3364D"/>
    <w:rsid w:val="00F34858"/>
    <w:rsid w:val="00F35899"/>
    <w:rsid w:val="00F35ACD"/>
    <w:rsid w:val="00F365BF"/>
    <w:rsid w:val="00F36BF8"/>
    <w:rsid w:val="00F37760"/>
    <w:rsid w:val="00F403D1"/>
    <w:rsid w:val="00F43921"/>
    <w:rsid w:val="00F4591F"/>
    <w:rsid w:val="00F4736B"/>
    <w:rsid w:val="00F47D05"/>
    <w:rsid w:val="00F50030"/>
    <w:rsid w:val="00F51FC9"/>
    <w:rsid w:val="00F54B31"/>
    <w:rsid w:val="00F54FD3"/>
    <w:rsid w:val="00F55605"/>
    <w:rsid w:val="00F62F02"/>
    <w:rsid w:val="00F63DDE"/>
    <w:rsid w:val="00F63FB7"/>
    <w:rsid w:val="00F64726"/>
    <w:rsid w:val="00F6561A"/>
    <w:rsid w:val="00F727D5"/>
    <w:rsid w:val="00F72F44"/>
    <w:rsid w:val="00F73A0C"/>
    <w:rsid w:val="00F759DC"/>
    <w:rsid w:val="00F76E62"/>
    <w:rsid w:val="00F771A5"/>
    <w:rsid w:val="00F817A4"/>
    <w:rsid w:val="00F81C3A"/>
    <w:rsid w:val="00F8309A"/>
    <w:rsid w:val="00F835FC"/>
    <w:rsid w:val="00F83E21"/>
    <w:rsid w:val="00F84E18"/>
    <w:rsid w:val="00F852E5"/>
    <w:rsid w:val="00F95117"/>
    <w:rsid w:val="00FA05D7"/>
    <w:rsid w:val="00FA1C6C"/>
    <w:rsid w:val="00FA2C2A"/>
    <w:rsid w:val="00FA309A"/>
    <w:rsid w:val="00FA7644"/>
    <w:rsid w:val="00FB0A9A"/>
    <w:rsid w:val="00FB483B"/>
    <w:rsid w:val="00FB5551"/>
    <w:rsid w:val="00FB56F1"/>
    <w:rsid w:val="00FB5FD4"/>
    <w:rsid w:val="00FB67F3"/>
    <w:rsid w:val="00FB7E06"/>
    <w:rsid w:val="00FC0D8A"/>
    <w:rsid w:val="00FC0E5F"/>
    <w:rsid w:val="00FC135D"/>
    <w:rsid w:val="00FC3C84"/>
    <w:rsid w:val="00FC4660"/>
    <w:rsid w:val="00FC56DE"/>
    <w:rsid w:val="00FC5BBF"/>
    <w:rsid w:val="00FD1261"/>
    <w:rsid w:val="00FD1627"/>
    <w:rsid w:val="00FD473D"/>
    <w:rsid w:val="00FD61C8"/>
    <w:rsid w:val="00FD63CE"/>
    <w:rsid w:val="00FD7D49"/>
    <w:rsid w:val="00FE1251"/>
    <w:rsid w:val="00FE27AE"/>
    <w:rsid w:val="00FE2F78"/>
    <w:rsid w:val="00FE3510"/>
    <w:rsid w:val="00FE375F"/>
    <w:rsid w:val="00FE4FCB"/>
    <w:rsid w:val="00FF28E0"/>
    <w:rsid w:val="00FF2FB4"/>
    <w:rsid w:val="00FF30B3"/>
    <w:rsid w:val="00FF3DF3"/>
    <w:rsid w:val="00FF4027"/>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8309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8309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7169547">
      <w:bodyDiv w:val="1"/>
      <w:marLeft w:val="0"/>
      <w:marRight w:val="0"/>
      <w:marTop w:val="0"/>
      <w:marBottom w:val="0"/>
      <w:divBdr>
        <w:top w:val="none" w:sz="0" w:space="0" w:color="auto"/>
        <w:left w:val="none" w:sz="0" w:space="0" w:color="auto"/>
        <w:bottom w:val="none" w:sz="0" w:space="0" w:color="auto"/>
        <w:right w:val="none" w:sz="0" w:space="0" w:color="auto"/>
      </w:divBdr>
    </w:div>
    <w:div w:id="94638251">
      <w:bodyDiv w:val="1"/>
      <w:marLeft w:val="0"/>
      <w:marRight w:val="0"/>
      <w:marTop w:val="0"/>
      <w:marBottom w:val="0"/>
      <w:divBdr>
        <w:top w:val="none" w:sz="0" w:space="0" w:color="auto"/>
        <w:left w:val="none" w:sz="0" w:space="0" w:color="auto"/>
        <w:bottom w:val="none" w:sz="0" w:space="0" w:color="auto"/>
        <w:right w:val="none" w:sz="0" w:space="0" w:color="auto"/>
      </w:divBdr>
    </w:div>
    <w:div w:id="238252420">
      <w:bodyDiv w:val="1"/>
      <w:marLeft w:val="0"/>
      <w:marRight w:val="0"/>
      <w:marTop w:val="0"/>
      <w:marBottom w:val="0"/>
      <w:divBdr>
        <w:top w:val="none" w:sz="0" w:space="0" w:color="auto"/>
        <w:left w:val="none" w:sz="0" w:space="0" w:color="auto"/>
        <w:bottom w:val="none" w:sz="0" w:space="0" w:color="auto"/>
        <w:right w:val="none" w:sz="0" w:space="0" w:color="auto"/>
      </w:divBdr>
    </w:div>
    <w:div w:id="240262598">
      <w:bodyDiv w:val="1"/>
      <w:marLeft w:val="0"/>
      <w:marRight w:val="0"/>
      <w:marTop w:val="0"/>
      <w:marBottom w:val="0"/>
      <w:divBdr>
        <w:top w:val="none" w:sz="0" w:space="0" w:color="auto"/>
        <w:left w:val="none" w:sz="0" w:space="0" w:color="auto"/>
        <w:bottom w:val="none" w:sz="0" w:space="0" w:color="auto"/>
        <w:right w:val="none" w:sz="0" w:space="0" w:color="auto"/>
      </w:divBdr>
    </w:div>
    <w:div w:id="276839719">
      <w:bodyDiv w:val="1"/>
      <w:marLeft w:val="0"/>
      <w:marRight w:val="0"/>
      <w:marTop w:val="0"/>
      <w:marBottom w:val="0"/>
      <w:divBdr>
        <w:top w:val="none" w:sz="0" w:space="0" w:color="auto"/>
        <w:left w:val="none" w:sz="0" w:space="0" w:color="auto"/>
        <w:bottom w:val="none" w:sz="0" w:space="0" w:color="auto"/>
        <w:right w:val="none" w:sz="0" w:space="0" w:color="auto"/>
      </w:divBdr>
    </w:div>
    <w:div w:id="280721696">
      <w:bodyDiv w:val="1"/>
      <w:marLeft w:val="0"/>
      <w:marRight w:val="0"/>
      <w:marTop w:val="0"/>
      <w:marBottom w:val="0"/>
      <w:divBdr>
        <w:top w:val="none" w:sz="0" w:space="0" w:color="auto"/>
        <w:left w:val="none" w:sz="0" w:space="0" w:color="auto"/>
        <w:bottom w:val="none" w:sz="0" w:space="0" w:color="auto"/>
        <w:right w:val="none" w:sz="0" w:space="0" w:color="auto"/>
      </w:divBdr>
    </w:div>
    <w:div w:id="416294190">
      <w:bodyDiv w:val="1"/>
      <w:marLeft w:val="0"/>
      <w:marRight w:val="0"/>
      <w:marTop w:val="0"/>
      <w:marBottom w:val="0"/>
      <w:divBdr>
        <w:top w:val="none" w:sz="0" w:space="0" w:color="auto"/>
        <w:left w:val="none" w:sz="0" w:space="0" w:color="auto"/>
        <w:bottom w:val="none" w:sz="0" w:space="0" w:color="auto"/>
        <w:right w:val="none" w:sz="0" w:space="0" w:color="auto"/>
      </w:divBdr>
    </w:div>
    <w:div w:id="430976118">
      <w:bodyDiv w:val="1"/>
      <w:marLeft w:val="0"/>
      <w:marRight w:val="0"/>
      <w:marTop w:val="0"/>
      <w:marBottom w:val="0"/>
      <w:divBdr>
        <w:top w:val="none" w:sz="0" w:space="0" w:color="auto"/>
        <w:left w:val="none" w:sz="0" w:space="0" w:color="auto"/>
        <w:bottom w:val="none" w:sz="0" w:space="0" w:color="auto"/>
        <w:right w:val="none" w:sz="0" w:space="0" w:color="auto"/>
      </w:divBdr>
    </w:div>
    <w:div w:id="446777837">
      <w:bodyDiv w:val="1"/>
      <w:marLeft w:val="0"/>
      <w:marRight w:val="0"/>
      <w:marTop w:val="0"/>
      <w:marBottom w:val="0"/>
      <w:divBdr>
        <w:top w:val="none" w:sz="0" w:space="0" w:color="auto"/>
        <w:left w:val="none" w:sz="0" w:space="0" w:color="auto"/>
        <w:bottom w:val="none" w:sz="0" w:space="0" w:color="auto"/>
        <w:right w:val="none" w:sz="0" w:space="0" w:color="auto"/>
      </w:divBdr>
    </w:div>
    <w:div w:id="501699546">
      <w:bodyDiv w:val="1"/>
      <w:marLeft w:val="0"/>
      <w:marRight w:val="0"/>
      <w:marTop w:val="0"/>
      <w:marBottom w:val="0"/>
      <w:divBdr>
        <w:top w:val="none" w:sz="0" w:space="0" w:color="auto"/>
        <w:left w:val="none" w:sz="0" w:space="0" w:color="auto"/>
        <w:bottom w:val="none" w:sz="0" w:space="0" w:color="auto"/>
        <w:right w:val="none" w:sz="0" w:space="0" w:color="auto"/>
      </w:divBdr>
    </w:div>
    <w:div w:id="526065032">
      <w:bodyDiv w:val="1"/>
      <w:marLeft w:val="0"/>
      <w:marRight w:val="0"/>
      <w:marTop w:val="0"/>
      <w:marBottom w:val="0"/>
      <w:divBdr>
        <w:top w:val="none" w:sz="0" w:space="0" w:color="auto"/>
        <w:left w:val="none" w:sz="0" w:space="0" w:color="auto"/>
        <w:bottom w:val="none" w:sz="0" w:space="0" w:color="auto"/>
        <w:right w:val="none" w:sz="0" w:space="0" w:color="auto"/>
      </w:divBdr>
    </w:div>
    <w:div w:id="633877307">
      <w:bodyDiv w:val="1"/>
      <w:marLeft w:val="0"/>
      <w:marRight w:val="0"/>
      <w:marTop w:val="0"/>
      <w:marBottom w:val="0"/>
      <w:divBdr>
        <w:top w:val="none" w:sz="0" w:space="0" w:color="auto"/>
        <w:left w:val="none" w:sz="0" w:space="0" w:color="auto"/>
        <w:bottom w:val="none" w:sz="0" w:space="0" w:color="auto"/>
        <w:right w:val="none" w:sz="0" w:space="0" w:color="auto"/>
      </w:divBdr>
    </w:div>
    <w:div w:id="655425969">
      <w:bodyDiv w:val="1"/>
      <w:marLeft w:val="0"/>
      <w:marRight w:val="0"/>
      <w:marTop w:val="0"/>
      <w:marBottom w:val="0"/>
      <w:divBdr>
        <w:top w:val="none" w:sz="0" w:space="0" w:color="auto"/>
        <w:left w:val="none" w:sz="0" w:space="0" w:color="auto"/>
        <w:bottom w:val="none" w:sz="0" w:space="0" w:color="auto"/>
        <w:right w:val="none" w:sz="0" w:space="0" w:color="auto"/>
      </w:divBdr>
    </w:div>
    <w:div w:id="755201583">
      <w:bodyDiv w:val="1"/>
      <w:marLeft w:val="0"/>
      <w:marRight w:val="0"/>
      <w:marTop w:val="0"/>
      <w:marBottom w:val="0"/>
      <w:divBdr>
        <w:top w:val="none" w:sz="0" w:space="0" w:color="auto"/>
        <w:left w:val="none" w:sz="0" w:space="0" w:color="auto"/>
        <w:bottom w:val="none" w:sz="0" w:space="0" w:color="auto"/>
        <w:right w:val="none" w:sz="0" w:space="0" w:color="auto"/>
      </w:divBdr>
    </w:div>
    <w:div w:id="759831249">
      <w:bodyDiv w:val="1"/>
      <w:marLeft w:val="0"/>
      <w:marRight w:val="0"/>
      <w:marTop w:val="0"/>
      <w:marBottom w:val="0"/>
      <w:divBdr>
        <w:top w:val="none" w:sz="0" w:space="0" w:color="auto"/>
        <w:left w:val="none" w:sz="0" w:space="0" w:color="auto"/>
        <w:bottom w:val="none" w:sz="0" w:space="0" w:color="auto"/>
        <w:right w:val="none" w:sz="0" w:space="0" w:color="auto"/>
      </w:divBdr>
    </w:div>
    <w:div w:id="765347354">
      <w:bodyDiv w:val="1"/>
      <w:marLeft w:val="0"/>
      <w:marRight w:val="0"/>
      <w:marTop w:val="0"/>
      <w:marBottom w:val="0"/>
      <w:divBdr>
        <w:top w:val="none" w:sz="0" w:space="0" w:color="auto"/>
        <w:left w:val="none" w:sz="0" w:space="0" w:color="auto"/>
        <w:bottom w:val="none" w:sz="0" w:space="0" w:color="auto"/>
        <w:right w:val="none" w:sz="0" w:space="0" w:color="auto"/>
      </w:divBdr>
    </w:div>
    <w:div w:id="803425400">
      <w:bodyDiv w:val="1"/>
      <w:marLeft w:val="0"/>
      <w:marRight w:val="0"/>
      <w:marTop w:val="0"/>
      <w:marBottom w:val="0"/>
      <w:divBdr>
        <w:top w:val="none" w:sz="0" w:space="0" w:color="auto"/>
        <w:left w:val="none" w:sz="0" w:space="0" w:color="auto"/>
        <w:bottom w:val="none" w:sz="0" w:space="0" w:color="auto"/>
        <w:right w:val="none" w:sz="0" w:space="0" w:color="auto"/>
      </w:divBdr>
    </w:div>
    <w:div w:id="816725141">
      <w:bodyDiv w:val="1"/>
      <w:marLeft w:val="0"/>
      <w:marRight w:val="0"/>
      <w:marTop w:val="0"/>
      <w:marBottom w:val="0"/>
      <w:divBdr>
        <w:top w:val="none" w:sz="0" w:space="0" w:color="auto"/>
        <w:left w:val="none" w:sz="0" w:space="0" w:color="auto"/>
        <w:bottom w:val="none" w:sz="0" w:space="0" w:color="auto"/>
        <w:right w:val="none" w:sz="0" w:space="0" w:color="auto"/>
      </w:divBdr>
    </w:div>
    <w:div w:id="817041319">
      <w:bodyDiv w:val="1"/>
      <w:marLeft w:val="0"/>
      <w:marRight w:val="0"/>
      <w:marTop w:val="0"/>
      <w:marBottom w:val="0"/>
      <w:divBdr>
        <w:top w:val="none" w:sz="0" w:space="0" w:color="auto"/>
        <w:left w:val="none" w:sz="0" w:space="0" w:color="auto"/>
        <w:bottom w:val="none" w:sz="0" w:space="0" w:color="auto"/>
        <w:right w:val="none" w:sz="0" w:space="0" w:color="auto"/>
      </w:divBdr>
    </w:div>
    <w:div w:id="883492507">
      <w:bodyDiv w:val="1"/>
      <w:marLeft w:val="0"/>
      <w:marRight w:val="0"/>
      <w:marTop w:val="0"/>
      <w:marBottom w:val="0"/>
      <w:divBdr>
        <w:top w:val="none" w:sz="0" w:space="0" w:color="auto"/>
        <w:left w:val="none" w:sz="0" w:space="0" w:color="auto"/>
        <w:bottom w:val="none" w:sz="0" w:space="0" w:color="auto"/>
        <w:right w:val="none" w:sz="0" w:space="0" w:color="auto"/>
      </w:divBdr>
    </w:div>
    <w:div w:id="890190768">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00095529">
      <w:bodyDiv w:val="1"/>
      <w:marLeft w:val="0"/>
      <w:marRight w:val="0"/>
      <w:marTop w:val="0"/>
      <w:marBottom w:val="0"/>
      <w:divBdr>
        <w:top w:val="none" w:sz="0" w:space="0" w:color="auto"/>
        <w:left w:val="none" w:sz="0" w:space="0" w:color="auto"/>
        <w:bottom w:val="none" w:sz="0" w:space="0" w:color="auto"/>
        <w:right w:val="none" w:sz="0" w:space="0" w:color="auto"/>
      </w:divBdr>
    </w:div>
    <w:div w:id="926504429">
      <w:bodyDiv w:val="1"/>
      <w:marLeft w:val="0"/>
      <w:marRight w:val="0"/>
      <w:marTop w:val="0"/>
      <w:marBottom w:val="0"/>
      <w:divBdr>
        <w:top w:val="none" w:sz="0" w:space="0" w:color="auto"/>
        <w:left w:val="none" w:sz="0" w:space="0" w:color="auto"/>
        <w:bottom w:val="none" w:sz="0" w:space="0" w:color="auto"/>
        <w:right w:val="none" w:sz="0" w:space="0" w:color="auto"/>
      </w:divBdr>
    </w:div>
    <w:div w:id="934442324">
      <w:bodyDiv w:val="1"/>
      <w:marLeft w:val="0"/>
      <w:marRight w:val="0"/>
      <w:marTop w:val="0"/>
      <w:marBottom w:val="0"/>
      <w:divBdr>
        <w:top w:val="none" w:sz="0" w:space="0" w:color="auto"/>
        <w:left w:val="none" w:sz="0" w:space="0" w:color="auto"/>
        <w:bottom w:val="none" w:sz="0" w:space="0" w:color="auto"/>
        <w:right w:val="none" w:sz="0" w:space="0" w:color="auto"/>
      </w:divBdr>
    </w:div>
    <w:div w:id="941379557">
      <w:bodyDiv w:val="1"/>
      <w:marLeft w:val="0"/>
      <w:marRight w:val="0"/>
      <w:marTop w:val="0"/>
      <w:marBottom w:val="0"/>
      <w:divBdr>
        <w:top w:val="none" w:sz="0" w:space="0" w:color="auto"/>
        <w:left w:val="none" w:sz="0" w:space="0" w:color="auto"/>
        <w:bottom w:val="none" w:sz="0" w:space="0" w:color="auto"/>
        <w:right w:val="none" w:sz="0" w:space="0" w:color="auto"/>
      </w:divBdr>
    </w:div>
    <w:div w:id="996543097">
      <w:bodyDiv w:val="1"/>
      <w:marLeft w:val="0"/>
      <w:marRight w:val="0"/>
      <w:marTop w:val="0"/>
      <w:marBottom w:val="0"/>
      <w:divBdr>
        <w:top w:val="none" w:sz="0" w:space="0" w:color="auto"/>
        <w:left w:val="none" w:sz="0" w:space="0" w:color="auto"/>
        <w:bottom w:val="none" w:sz="0" w:space="0" w:color="auto"/>
        <w:right w:val="none" w:sz="0" w:space="0" w:color="auto"/>
      </w:divBdr>
    </w:div>
    <w:div w:id="1051003694">
      <w:bodyDiv w:val="1"/>
      <w:marLeft w:val="0"/>
      <w:marRight w:val="0"/>
      <w:marTop w:val="0"/>
      <w:marBottom w:val="0"/>
      <w:divBdr>
        <w:top w:val="none" w:sz="0" w:space="0" w:color="auto"/>
        <w:left w:val="none" w:sz="0" w:space="0" w:color="auto"/>
        <w:bottom w:val="none" w:sz="0" w:space="0" w:color="auto"/>
        <w:right w:val="none" w:sz="0" w:space="0" w:color="auto"/>
      </w:divBdr>
    </w:div>
    <w:div w:id="1090586133">
      <w:bodyDiv w:val="1"/>
      <w:marLeft w:val="0"/>
      <w:marRight w:val="0"/>
      <w:marTop w:val="0"/>
      <w:marBottom w:val="0"/>
      <w:divBdr>
        <w:top w:val="none" w:sz="0" w:space="0" w:color="auto"/>
        <w:left w:val="none" w:sz="0" w:space="0" w:color="auto"/>
        <w:bottom w:val="none" w:sz="0" w:space="0" w:color="auto"/>
        <w:right w:val="none" w:sz="0" w:space="0" w:color="auto"/>
      </w:divBdr>
    </w:div>
    <w:div w:id="1102263713">
      <w:bodyDiv w:val="1"/>
      <w:marLeft w:val="0"/>
      <w:marRight w:val="0"/>
      <w:marTop w:val="0"/>
      <w:marBottom w:val="0"/>
      <w:divBdr>
        <w:top w:val="none" w:sz="0" w:space="0" w:color="auto"/>
        <w:left w:val="none" w:sz="0" w:space="0" w:color="auto"/>
        <w:bottom w:val="none" w:sz="0" w:space="0" w:color="auto"/>
        <w:right w:val="none" w:sz="0" w:space="0" w:color="auto"/>
      </w:divBdr>
    </w:div>
    <w:div w:id="1110204967">
      <w:bodyDiv w:val="1"/>
      <w:marLeft w:val="0"/>
      <w:marRight w:val="0"/>
      <w:marTop w:val="0"/>
      <w:marBottom w:val="0"/>
      <w:divBdr>
        <w:top w:val="none" w:sz="0" w:space="0" w:color="auto"/>
        <w:left w:val="none" w:sz="0" w:space="0" w:color="auto"/>
        <w:bottom w:val="none" w:sz="0" w:space="0" w:color="auto"/>
        <w:right w:val="none" w:sz="0" w:space="0" w:color="auto"/>
      </w:divBdr>
    </w:div>
    <w:div w:id="1132141109">
      <w:bodyDiv w:val="1"/>
      <w:marLeft w:val="0"/>
      <w:marRight w:val="0"/>
      <w:marTop w:val="0"/>
      <w:marBottom w:val="0"/>
      <w:divBdr>
        <w:top w:val="none" w:sz="0" w:space="0" w:color="auto"/>
        <w:left w:val="none" w:sz="0" w:space="0" w:color="auto"/>
        <w:bottom w:val="none" w:sz="0" w:space="0" w:color="auto"/>
        <w:right w:val="none" w:sz="0" w:space="0" w:color="auto"/>
      </w:divBdr>
    </w:div>
    <w:div w:id="1143425707">
      <w:bodyDiv w:val="1"/>
      <w:marLeft w:val="0"/>
      <w:marRight w:val="0"/>
      <w:marTop w:val="0"/>
      <w:marBottom w:val="0"/>
      <w:divBdr>
        <w:top w:val="none" w:sz="0" w:space="0" w:color="auto"/>
        <w:left w:val="none" w:sz="0" w:space="0" w:color="auto"/>
        <w:bottom w:val="none" w:sz="0" w:space="0" w:color="auto"/>
        <w:right w:val="none" w:sz="0" w:space="0" w:color="auto"/>
      </w:divBdr>
    </w:div>
    <w:div w:id="1220703716">
      <w:bodyDiv w:val="1"/>
      <w:marLeft w:val="0"/>
      <w:marRight w:val="0"/>
      <w:marTop w:val="0"/>
      <w:marBottom w:val="0"/>
      <w:divBdr>
        <w:top w:val="none" w:sz="0" w:space="0" w:color="auto"/>
        <w:left w:val="none" w:sz="0" w:space="0" w:color="auto"/>
        <w:bottom w:val="none" w:sz="0" w:space="0" w:color="auto"/>
        <w:right w:val="none" w:sz="0" w:space="0" w:color="auto"/>
      </w:divBdr>
    </w:div>
    <w:div w:id="1271741142">
      <w:bodyDiv w:val="1"/>
      <w:marLeft w:val="0"/>
      <w:marRight w:val="0"/>
      <w:marTop w:val="0"/>
      <w:marBottom w:val="0"/>
      <w:divBdr>
        <w:top w:val="none" w:sz="0" w:space="0" w:color="auto"/>
        <w:left w:val="none" w:sz="0" w:space="0" w:color="auto"/>
        <w:bottom w:val="none" w:sz="0" w:space="0" w:color="auto"/>
        <w:right w:val="none" w:sz="0" w:space="0" w:color="auto"/>
      </w:divBdr>
    </w:div>
    <w:div w:id="1284654697">
      <w:bodyDiv w:val="1"/>
      <w:marLeft w:val="0"/>
      <w:marRight w:val="0"/>
      <w:marTop w:val="0"/>
      <w:marBottom w:val="0"/>
      <w:divBdr>
        <w:top w:val="none" w:sz="0" w:space="0" w:color="auto"/>
        <w:left w:val="none" w:sz="0" w:space="0" w:color="auto"/>
        <w:bottom w:val="none" w:sz="0" w:space="0" w:color="auto"/>
        <w:right w:val="none" w:sz="0" w:space="0" w:color="auto"/>
      </w:divBdr>
    </w:div>
    <w:div w:id="1320186090">
      <w:bodyDiv w:val="1"/>
      <w:marLeft w:val="0"/>
      <w:marRight w:val="0"/>
      <w:marTop w:val="0"/>
      <w:marBottom w:val="0"/>
      <w:divBdr>
        <w:top w:val="none" w:sz="0" w:space="0" w:color="auto"/>
        <w:left w:val="none" w:sz="0" w:space="0" w:color="auto"/>
        <w:bottom w:val="none" w:sz="0" w:space="0" w:color="auto"/>
        <w:right w:val="none" w:sz="0" w:space="0" w:color="auto"/>
      </w:divBdr>
    </w:div>
    <w:div w:id="1337806368">
      <w:bodyDiv w:val="1"/>
      <w:marLeft w:val="0"/>
      <w:marRight w:val="0"/>
      <w:marTop w:val="0"/>
      <w:marBottom w:val="0"/>
      <w:divBdr>
        <w:top w:val="none" w:sz="0" w:space="0" w:color="auto"/>
        <w:left w:val="none" w:sz="0" w:space="0" w:color="auto"/>
        <w:bottom w:val="none" w:sz="0" w:space="0" w:color="auto"/>
        <w:right w:val="none" w:sz="0" w:space="0" w:color="auto"/>
      </w:divBdr>
    </w:div>
    <w:div w:id="1354727420">
      <w:bodyDiv w:val="1"/>
      <w:marLeft w:val="0"/>
      <w:marRight w:val="0"/>
      <w:marTop w:val="0"/>
      <w:marBottom w:val="0"/>
      <w:divBdr>
        <w:top w:val="none" w:sz="0" w:space="0" w:color="auto"/>
        <w:left w:val="none" w:sz="0" w:space="0" w:color="auto"/>
        <w:bottom w:val="none" w:sz="0" w:space="0" w:color="auto"/>
        <w:right w:val="none" w:sz="0" w:space="0" w:color="auto"/>
      </w:divBdr>
    </w:div>
    <w:div w:id="1412505286">
      <w:bodyDiv w:val="1"/>
      <w:marLeft w:val="0"/>
      <w:marRight w:val="0"/>
      <w:marTop w:val="0"/>
      <w:marBottom w:val="0"/>
      <w:divBdr>
        <w:top w:val="none" w:sz="0" w:space="0" w:color="auto"/>
        <w:left w:val="none" w:sz="0" w:space="0" w:color="auto"/>
        <w:bottom w:val="none" w:sz="0" w:space="0" w:color="auto"/>
        <w:right w:val="none" w:sz="0" w:space="0" w:color="auto"/>
      </w:divBdr>
    </w:div>
    <w:div w:id="1428430566">
      <w:bodyDiv w:val="1"/>
      <w:marLeft w:val="0"/>
      <w:marRight w:val="0"/>
      <w:marTop w:val="0"/>
      <w:marBottom w:val="0"/>
      <w:divBdr>
        <w:top w:val="none" w:sz="0" w:space="0" w:color="auto"/>
        <w:left w:val="none" w:sz="0" w:space="0" w:color="auto"/>
        <w:bottom w:val="none" w:sz="0" w:space="0" w:color="auto"/>
        <w:right w:val="none" w:sz="0" w:space="0" w:color="auto"/>
      </w:divBdr>
    </w:div>
    <w:div w:id="1452939911">
      <w:bodyDiv w:val="1"/>
      <w:marLeft w:val="0"/>
      <w:marRight w:val="0"/>
      <w:marTop w:val="0"/>
      <w:marBottom w:val="0"/>
      <w:divBdr>
        <w:top w:val="none" w:sz="0" w:space="0" w:color="auto"/>
        <w:left w:val="none" w:sz="0" w:space="0" w:color="auto"/>
        <w:bottom w:val="none" w:sz="0" w:space="0" w:color="auto"/>
        <w:right w:val="none" w:sz="0" w:space="0" w:color="auto"/>
      </w:divBdr>
    </w:div>
    <w:div w:id="1475829924">
      <w:bodyDiv w:val="1"/>
      <w:marLeft w:val="0"/>
      <w:marRight w:val="0"/>
      <w:marTop w:val="0"/>
      <w:marBottom w:val="0"/>
      <w:divBdr>
        <w:top w:val="none" w:sz="0" w:space="0" w:color="auto"/>
        <w:left w:val="none" w:sz="0" w:space="0" w:color="auto"/>
        <w:bottom w:val="none" w:sz="0" w:space="0" w:color="auto"/>
        <w:right w:val="none" w:sz="0" w:space="0" w:color="auto"/>
      </w:divBdr>
    </w:div>
    <w:div w:id="1490751030">
      <w:bodyDiv w:val="1"/>
      <w:marLeft w:val="0"/>
      <w:marRight w:val="0"/>
      <w:marTop w:val="0"/>
      <w:marBottom w:val="0"/>
      <w:divBdr>
        <w:top w:val="none" w:sz="0" w:space="0" w:color="auto"/>
        <w:left w:val="none" w:sz="0" w:space="0" w:color="auto"/>
        <w:bottom w:val="none" w:sz="0" w:space="0" w:color="auto"/>
        <w:right w:val="none" w:sz="0" w:space="0" w:color="auto"/>
      </w:divBdr>
    </w:div>
    <w:div w:id="1541553533">
      <w:bodyDiv w:val="1"/>
      <w:marLeft w:val="0"/>
      <w:marRight w:val="0"/>
      <w:marTop w:val="0"/>
      <w:marBottom w:val="0"/>
      <w:divBdr>
        <w:top w:val="none" w:sz="0" w:space="0" w:color="auto"/>
        <w:left w:val="none" w:sz="0" w:space="0" w:color="auto"/>
        <w:bottom w:val="none" w:sz="0" w:space="0" w:color="auto"/>
        <w:right w:val="none" w:sz="0" w:space="0" w:color="auto"/>
      </w:divBdr>
    </w:div>
    <w:div w:id="1676346549">
      <w:bodyDiv w:val="1"/>
      <w:marLeft w:val="0"/>
      <w:marRight w:val="0"/>
      <w:marTop w:val="0"/>
      <w:marBottom w:val="0"/>
      <w:divBdr>
        <w:top w:val="none" w:sz="0" w:space="0" w:color="auto"/>
        <w:left w:val="none" w:sz="0" w:space="0" w:color="auto"/>
        <w:bottom w:val="none" w:sz="0" w:space="0" w:color="auto"/>
        <w:right w:val="none" w:sz="0" w:space="0" w:color="auto"/>
      </w:divBdr>
    </w:div>
    <w:div w:id="1681084771">
      <w:bodyDiv w:val="1"/>
      <w:marLeft w:val="0"/>
      <w:marRight w:val="0"/>
      <w:marTop w:val="0"/>
      <w:marBottom w:val="0"/>
      <w:divBdr>
        <w:top w:val="none" w:sz="0" w:space="0" w:color="auto"/>
        <w:left w:val="none" w:sz="0" w:space="0" w:color="auto"/>
        <w:bottom w:val="none" w:sz="0" w:space="0" w:color="auto"/>
        <w:right w:val="none" w:sz="0" w:space="0" w:color="auto"/>
      </w:divBdr>
    </w:div>
    <w:div w:id="1709647987">
      <w:bodyDiv w:val="1"/>
      <w:marLeft w:val="0"/>
      <w:marRight w:val="0"/>
      <w:marTop w:val="0"/>
      <w:marBottom w:val="0"/>
      <w:divBdr>
        <w:top w:val="none" w:sz="0" w:space="0" w:color="auto"/>
        <w:left w:val="none" w:sz="0" w:space="0" w:color="auto"/>
        <w:bottom w:val="none" w:sz="0" w:space="0" w:color="auto"/>
        <w:right w:val="none" w:sz="0" w:space="0" w:color="auto"/>
      </w:divBdr>
    </w:div>
    <w:div w:id="1757282627">
      <w:bodyDiv w:val="1"/>
      <w:marLeft w:val="0"/>
      <w:marRight w:val="0"/>
      <w:marTop w:val="0"/>
      <w:marBottom w:val="0"/>
      <w:divBdr>
        <w:top w:val="none" w:sz="0" w:space="0" w:color="auto"/>
        <w:left w:val="none" w:sz="0" w:space="0" w:color="auto"/>
        <w:bottom w:val="none" w:sz="0" w:space="0" w:color="auto"/>
        <w:right w:val="none" w:sz="0" w:space="0" w:color="auto"/>
      </w:divBdr>
    </w:div>
    <w:div w:id="1766148915">
      <w:bodyDiv w:val="1"/>
      <w:marLeft w:val="0"/>
      <w:marRight w:val="0"/>
      <w:marTop w:val="0"/>
      <w:marBottom w:val="0"/>
      <w:divBdr>
        <w:top w:val="none" w:sz="0" w:space="0" w:color="auto"/>
        <w:left w:val="none" w:sz="0" w:space="0" w:color="auto"/>
        <w:bottom w:val="none" w:sz="0" w:space="0" w:color="auto"/>
        <w:right w:val="none" w:sz="0" w:space="0" w:color="auto"/>
      </w:divBdr>
    </w:div>
    <w:div w:id="1784571533">
      <w:bodyDiv w:val="1"/>
      <w:marLeft w:val="0"/>
      <w:marRight w:val="0"/>
      <w:marTop w:val="0"/>
      <w:marBottom w:val="0"/>
      <w:divBdr>
        <w:top w:val="none" w:sz="0" w:space="0" w:color="auto"/>
        <w:left w:val="none" w:sz="0" w:space="0" w:color="auto"/>
        <w:bottom w:val="none" w:sz="0" w:space="0" w:color="auto"/>
        <w:right w:val="none" w:sz="0" w:space="0" w:color="auto"/>
      </w:divBdr>
    </w:div>
    <w:div w:id="1801260551">
      <w:bodyDiv w:val="1"/>
      <w:marLeft w:val="0"/>
      <w:marRight w:val="0"/>
      <w:marTop w:val="0"/>
      <w:marBottom w:val="0"/>
      <w:divBdr>
        <w:top w:val="none" w:sz="0" w:space="0" w:color="auto"/>
        <w:left w:val="none" w:sz="0" w:space="0" w:color="auto"/>
        <w:bottom w:val="none" w:sz="0" w:space="0" w:color="auto"/>
        <w:right w:val="none" w:sz="0" w:space="0" w:color="auto"/>
      </w:divBdr>
    </w:div>
    <w:div w:id="1803962700">
      <w:bodyDiv w:val="1"/>
      <w:marLeft w:val="0"/>
      <w:marRight w:val="0"/>
      <w:marTop w:val="0"/>
      <w:marBottom w:val="0"/>
      <w:divBdr>
        <w:top w:val="none" w:sz="0" w:space="0" w:color="auto"/>
        <w:left w:val="none" w:sz="0" w:space="0" w:color="auto"/>
        <w:bottom w:val="none" w:sz="0" w:space="0" w:color="auto"/>
        <w:right w:val="none" w:sz="0" w:space="0" w:color="auto"/>
      </w:divBdr>
    </w:div>
    <w:div w:id="1838225288">
      <w:bodyDiv w:val="1"/>
      <w:marLeft w:val="0"/>
      <w:marRight w:val="0"/>
      <w:marTop w:val="0"/>
      <w:marBottom w:val="0"/>
      <w:divBdr>
        <w:top w:val="none" w:sz="0" w:space="0" w:color="auto"/>
        <w:left w:val="none" w:sz="0" w:space="0" w:color="auto"/>
        <w:bottom w:val="none" w:sz="0" w:space="0" w:color="auto"/>
        <w:right w:val="none" w:sz="0" w:space="0" w:color="auto"/>
      </w:divBdr>
    </w:div>
    <w:div w:id="1838423186">
      <w:bodyDiv w:val="1"/>
      <w:marLeft w:val="0"/>
      <w:marRight w:val="0"/>
      <w:marTop w:val="0"/>
      <w:marBottom w:val="0"/>
      <w:divBdr>
        <w:top w:val="none" w:sz="0" w:space="0" w:color="auto"/>
        <w:left w:val="none" w:sz="0" w:space="0" w:color="auto"/>
        <w:bottom w:val="none" w:sz="0" w:space="0" w:color="auto"/>
        <w:right w:val="none" w:sz="0" w:space="0" w:color="auto"/>
      </w:divBdr>
    </w:div>
    <w:div w:id="1903640905">
      <w:bodyDiv w:val="1"/>
      <w:marLeft w:val="0"/>
      <w:marRight w:val="0"/>
      <w:marTop w:val="0"/>
      <w:marBottom w:val="0"/>
      <w:divBdr>
        <w:top w:val="none" w:sz="0" w:space="0" w:color="auto"/>
        <w:left w:val="none" w:sz="0" w:space="0" w:color="auto"/>
        <w:bottom w:val="none" w:sz="0" w:space="0" w:color="auto"/>
        <w:right w:val="none" w:sz="0" w:space="0" w:color="auto"/>
      </w:divBdr>
    </w:div>
    <w:div w:id="1909654868">
      <w:bodyDiv w:val="1"/>
      <w:marLeft w:val="0"/>
      <w:marRight w:val="0"/>
      <w:marTop w:val="0"/>
      <w:marBottom w:val="0"/>
      <w:divBdr>
        <w:top w:val="none" w:sz="0" w:space="0" w:color="auto"/>
        <w:left w:val="none" w:sz="0" w:space="0" w:color="auto"/>
        <w:bottom w:val="none" w:sz="0" w:space="0" w:color="auto"/>
        <w:right w:val="none" w:sz="0" w:space="0" w:color="auto"/>
      </w:divBdr>
    </w:div>
    <w:div w:id="1932425964">
      <w:bodyDiv w:val="1"/>
      <w:marLeft w:val="0"/>
      <w:marRight w:val="0"/>
      <w:marTop w:val="0"/>
      <w:marBottom w:val="0"/>
      <w:divBdr>
        <w:top w:val="none" w:sz="0" w:space="0" w:color="auto"/>
        <w:left w:val="none" w:sz="0" w:space="0" w:color="auto"/>
        <w:bottom w:val="none" w:sz="0" w:space="0" w:color="auto"/>
        <w:right w:val="none" w:sz="0" w:space="0" w:color="auto"/>
      </w:divBdr>
    </w:div>
    <w:div w:id="1981303221">
      <w:bodyDiv w:val="1"/>
      <w:marLeft w:val="0"/>
      <w:marRight w:val="0"/>
      <w:marTop w:val="0"/>
      <w:marBottom w:val="0"/>
      <w:divBdr>
        <w:top w:val="none" w:sz="0" w:space="0" w:color="auto"/>
        <w:left w:val="none" w:sz="0" w:space="0" w:color="auto"/>
        <w:bottom w:val="none" w:sz="0" w:space="0" w:color="auto"/>
        <w:right w:val="none" w:sz="0" w:space="0" w:color="auto"/>
      </w:divBdr>
    </w:div>
    <w:div w:id="2055083959">
      <w:bodyDiv w:val="1"/>
      <w:marLeft w:val="0"/>
      <w:marRight w:val="0"/>
      <w:marTop w:val="0"/>
      <w:marBottom w:val="0"/>
      <w:divBdr>
        <w:top w:val="none" w:sz="0" w:space="0" w:color="auto"/>
        <w:left w:val="none" w:sz="0" w:space="0" w:color="auto"/>
        <w:bottom w:val="none" w:sz="0" w:space="0" w:color="auto"/>
        <w:right w:val="none" w:sz="0" w:space="0" w:color="auto"/>
      </w:divBdr>
    </w:div>
    <w:div w:id="2062904191">
      <w:bodyDiv w:val="1"/>
      <w:marLeft w:val="0"/>
      <w:marRight w:val="0"/>
      <w:marTop w:val="0"/>
      <w:marBottom w:val="0"/>
      <w:divBdr>
        <w:top w:val="none" w:sz="0" w:space="0" w:color="auto"/>
        <w:left w:val="none" w:sz="0" w:space="0" w:color="auto"/>
        <w:bottom w:val="none" w:sz="0" w:space="0" w:color="auto"/>
        <w:right w:val="none" w:sz="0" w:space="0" w:color="auto"/>
      </w:divBdr>
    </w:div>
    <w:div w:id="20692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DF9DC-5D64-4ADA-B552-FCE36BB7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85</TotalTime>
  <Pages>2</Pages>
  <Words>905</Words>
  <Characters>4488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146</cp:revision>
  <cp:lastPrinted>2015-09-22T11:29:00Z</cp:lastPrinted>
  <dcterms:created xsi:type="dcterms:W3CDTF">2015-09-22T12:04:00Z</dcterms:created>
  <dcterms:modified xsi:type="dcterms:W3CDTF">2015-10-22T14:09:00Z</dcterms:modified>
</cp:coreProperties>
</file>