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81" w:rsidRPr="00A74192" w:rsidRDefault="007D4281" w:rsidP="00EC037B">
      <w:pPr>
        <w:pStyle w:val="Nadpis1"/>
        <w:numPr>
          <w:ilvl w:val="0"/>
          <w:numId w:val="19"/>
        </w:numPr>
        <w:jc w:val="both"/>
      </w:pPr>
      <w:bookmarkStart w:id="0" w:name="_Toc469299933"/>
      <w:bookmarkStart w:id="1" w:name="_Toc469327802"/>
      <w:r w:rsidRPr="00A74192">
        <w:t>Ceny</w:t>
      </w:r>
      <w:bookmarkEnd w:id="0"/>
      <w:bookmarkEnd w:id="1"/>
    </w:p>
    <w:tbl>
      <w:tblPr>
        <w:tblW w:w="4963" w:type="pct"/>
        <w:tblInd w:w="108" w:type="dxa"/>
        <w:tblLayout w:type="fixed"/>
        <w:tblLook w:val="00A0"/>
      </w:tblPr>
      <w:tblGrid>
        <w:gridCol w:w="1122"/>
        <w:gridCol w:w="810"/>
        <w:gridCol w:w="282"/>
        <w:gridCol w:w="2606"/>
        <w:gridCol w:w="992"/>
        <w:gridCol w:w="143"/>
        <w:gridCol w:w="3826"/>
      </w:tblGrid>
      <w:tr w:rsidR="00F12A83" w:rsidRPr="00A74192" w:rsidTr="00CC2A1E">
        <w:tc>
          <w:tcPr>
            <w:tcW w:w="988" w:type="pct"/>
            <w:gridSpan w:val="2"/>
          </w:tcPr>
          <w:p w:rsidR="00F12A83" w:rsidRPr="00A74192" w:rsidRDefault="00F12A83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Celková cenová hladina vzrostla o 1,1 %. 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F12A83" w:rsidRDefault="00F12A83" w:rsidP="008A03DE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  <w:r w:rsidRPr="006958F2">
              <w:t>Celková cenová hladina měřená implicitním deflátorem HDP v roce 2016 vzrostla o</w:t>
            </w:r>
            <w:r w:rsidR="004018F7">
              <w:t> </w:t>
            </w:r>
            <w:r w:rsidRPr="006958F2">
              <w:t xml:space="preserve">1,1 </w:t>
            </w:r>
            <w:r>
              <w:t xml:space="preserve">%. V průběhu roku sílil vliv výdajů na konečnou spotřebu. Především v druhé polovině roku začaly růst ceny výrobků a služeb spotřebovávaných domácnostmi (0,9 % ve 3. čtvrtletí, 1,4 % ve 4. čtvrtletí). </w:t>
            </w:r>
          </w:p>
          <w:p w:rsidR="00F12A83" w:rsidRPr="00143FA3" w:rsidRDefault="00F12A83" w:rsidP="008A03DE">
            <w:pPr>
              <w:pStyle w:val="Textpoznpodarou"/>
              <w:ind w:right="-35"/>
              <w:jc w:val="both"/>
              <w:rPr>
                <w:sz w:val="14"/>
                <w:szCs w:val="14"/>
              </w:rPr>
            </w:pPr>
          </w:p>
        </w:tc>
      </w:tr>
      <w:tr w:rsidR="00F12A83" w:rsidRPr="00A74192" w:rsidTr="00CC2A1E">
        <w:tc>
          <w:tcPr>
            <w:tcW w:w="988" w:type="pct"/>
            <w:gridSpan w:val="2"/>
          </w:tcPr>
          <w:p w:rsidR="00F12A83" w:rsidRPr="00A74192" w:rsidRDefault="00F12A83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Vývoj spotřebitelských cen v 1. až 3. čtvrtletí 2016 se nelišil od předchozích dvou let. Zlom nastal v</w:t>
            </w:r>
            <w:r w:rsidR="00E41A5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listopadu</w:t>
            </w:r>
            <w:r w:rsidR="00E41A59">
              <w:rPr>
                <w:sz w:val="16"/>
                <w:szCs w:val="16"/>
              </w:rPr>
              <w:t xml:space="preserve">, kdy se spotřebitelské ceny </w:t>
            </w:r>
            <w:r>
              <w:rPr>
                <w:sz w:val="16"/>
                <w:szCs w:val="16"/>
              </w:rPr>
              <w:t>po téměř třech letech přiblížily k inflačnímu cíli.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F12A83" w:rsidRDefault="00F12A83" w:rsidP="008A03DE">
            <w:pPr>
              <w:pStyle w:val="Textpoznpodarou"/>
              <w:ind w:right="-35"/>
              <w:jc w:val="both"/>
            </w:pPr>
            <w:r w:rsidRPr="005750D9">
              <w:t>První tři čtvrtletí roku 2016 se z hlediska vývoje spotřebitelských cen příliš ne</w:t>
            </w:r>
            <w:r>
              <w:t>lišila</w:t>
            </w:r>
            <w:r w:rsidRPr="005750D9">
              <w:t xml:space="preserve"> od předchozích dvou let. Meziroční růst cen nepřekročil 0,5 % a zůstával pod cílovým pásmem ČNB. Zlom nastal v listopadu, kdy </w:t>
            </w:r>
            <w:r>
              <w:t xml:space="preserve">meziroční nárůst cen </w:t>
            </w:r>
            <w:r w:rsidRPr="005750D9">
              <w:t xml:space="preserve">poprvé od prosince 2013 </w:t>
            </w:r>
            <w:r>
              <w:t xml:space="preserve">překročil </w:t>
            </w:r>
            <w:r w:rsidRPr="005750D9">
              <w:t>1%</w:t>
            </w:r>
            <w:r>
              <w:t xml:space="preserve"> hranici a dostal se</w:t>
            </w:r>
            <w:r w:rsidRPr="005750D9">
              <w:t xml:space="preserve"> na 1,5 %. V prosinci se růst spotřebitelských cen dotkl 2 % a tak průměrný růst cen během 4. čtvrtletí </w:t>
            </w:r>
            <w:r>
              <w:t xml:space="preserve">činil </w:t>
            </w:r>
            <w:r w:rsidRPr="005750D9">
              <w:t>1,4</w:t>
            </w:r>
            <w:r>
              <w:t> </w:t>
            </w:r>
            <w:r w:rsidRPr="005750D9">
              <w:t>%.</w:t>
            </w:r>
            <w:r>
              <w:t xml:space="preserve"> </w:t>
            </w:r>
            <w:r w:rsidRPr="00A74192">
              <w:t>Míra inflace</w:t>
            </w:r>
            <w:r>
              <w:rPr>
                <w:rStyle w:val="Znakapoznpodarou"/>
              </w:rPr>
              <w:footnoteReference w:id="1"/>
            </w:r>
            <w:r w:rsidRPr="00A74192">
              <w:t xml:space="preserve"> se od ledna po květen 2016 rovnala 0,4 %</w:t>
            </w:r>
            <w:r>
              <w:t xml:space="preserve">, </w:t>
            </w:r>
            <w:r w:rsidRPr="00A74192">
              <w:t>od června po září se snížila na 0,3 %</w:t>
            </w:r>
            <w:r>
              <w:t xml:space="preserve"> a během října až prosince dosahovala 0,4 %, 0,5 % a 0,7 %.</w:t>
            </w:r>
          </w:p>
          <w:p w:rsidR="00F12A83" w:rsidRPr="00143FA3" w:rsidRDefault="00F12A83" w:rsidP="008A03DE">
            <w:pPr>
              <w:pStyle w:val="Textpoznpodarou"/>
              <w:ind w:right="-35"/>
              <w:jc w:val="both"/>
              <w:rPr>
                <w:sz w:val="14"/>
                <w:szCs w:val="14"/>
              </w:rPr>
            </w:pPr>
          </w:p>
        </w:tc>
      </w:tr>
      <w:tr w:rsidR="00F12A83" w:rsidRPr="00A74192" w:rsidTr="00CC2A1E">
        <w:tc>
          <w:tcPr>
            <w:tcW w:w="988" w:type="pct"/>
            <w:gridSpan w:val="2"/>
          </w:tcPr>
          <w:p w:rsidR="00F12A83" w:rsidRPr="00A74192" w:rsidRDefault="00F12A83" w:rsidP="004D4F1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Negativní vliv cen ropy na spotřebitelské ceny patrný především v první polovině roku v závěru roku</w:t>
            </w:r>
            <w:r w:rsidR="004D4F13">
              <w:rPr>
                <w:sz w:val="16"/>
                <w:szCs w:val="16"/>
              </w:rPr>
              <w:t xml:space="preserve"> skončil</w:t>
            </w:r>
            <w:r>
              <w:rPr>
                <w:sz w:val="16"/>
                <w:szCs w:val="16"/>
              </w:rPr>
              <w:t xml:space="preserve">.  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F12A83" w:rsidRDefault="00F12A83" w:rsidP="008A03DE">
            <w:pPr>
              <w:pStyle w:val="Textpoznpodarou"/>
              <w:jc w:val="both"/>
              <w:rPr>
                <w:sz w:val="16"/>
                <w:szCs w:val="16"/>
              </w:rPr>
            </w:pPr>
            <w:r>
              <w:t xml:space="preserve">Růst indexu spotřebitelských cen byl zpočátku roku značně zpomalován vývojem cen pohonných hmot kombinovaným s poklesem cen potravin. Po hlubokém propadu na přelomu let 2015 a 2016 začaly ceny ropy mírně růst a jejich vliv na snižování cenové hladiny během roku slábl. Meziroční růst cenového indexu bez topných olejů a pohonných hmot tak v průběhu prvních tří čtvrtletí roku převyšoval růst celkové cenové hladiny o několik desetin </w:t>
            </w:r>
            <w:proofErr w:type="spellStart"/>
            <w:proofErr w:type="gramStart"/>
            <w:r>
              <w:t>p.b</w:t>
            </w:r>
            <w:proofErr w:type="spellEnd"/>
            <w:r>
              <w:t>.</w:t>
            </w:r>
            <w:proofErr w:type="gramEnd"/>
            <w:r>
              <w:t xml:space="preserve"> Až v posledním čtvrtletí se oba indexy vyrovnaly a v prosinci dokonce ceny pohonných hmot mírně přispěly k růstu celkové cenové hladiny.  </w:t>
            </w:r>
          </w:p>
          <w:p w:rsidR="00F12A83" w:rsidRPr="00143FA3" w:rsidRDefault="00F12A83" w:rsidP="008A03DE">
            <w:pPr>
              <w:pStyle w:val="Textpoznpodarou"/>
              <w:jc w:val="both"/>
              <w:rPr>
                <w:sz w:val="14"/>
                <w:szCs w:val="14"/>
              </w:rPr>
            </w:pPr>
          </w:p>
        </w:tc>
      </w:tr>
      <w:tr w:rsidR="00F12A83" w:rsidRPr="00A74192" w:rsidTr="00CC2A1E">
        <w:tc>
          <w:tcPr>
            <w:tcW w:w="988" w:type="pct"/>
            <w:gridSpan w:val="2"/>
          </w:tcPr>
          <w:p w:rsidR="00F12A83" w:rsidRPr="00A74192" w:rsidRDefault="00F12A83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 téměř dvou letech se zastavil pokles cen potravin, který měl výrazný vliv na celkovou cenovou hladinu. 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F12A83" w:rsidRDefault="00F12A83" w:rsidP="008A03DE">
            <w:pPr>
              <w:pStyle w:val="Textpoznpodarou"/>
              <w:jc w:val="both"/>
              <w:rPr>
                <w:sz w:val="16"/>
                <w:szCs w:val="16"/>
              </w:rPr>
            </w:pPr>
            <w:r>
              <w:t xml:space="preserve">Ceny potravin </w:t>
            </w:r>
            <w:r w:rsidR="0020294A">
              <w:t xml:space="preserve">a nealkoholických nápojů </w:t>
            </w:r>
            <w:r>
              <w:t>od prosince 2014 (s výjimkou června 2015) meziročně klesaly. V indexu spotřebitelských cen mají druhou nejvyšší váhu, není tedy překvapivé, že jejich listopadový a prosincový růst (1,6 % a 3,3 %) podstatně ovlivnil celkovou cenovou hladinu. Do té doby klesaly průměrným meziročním tempem 1,6 %. Zatímco v lednu až říjnu tak ceny potravin průměrně snižovaly celkový růst cen o</w:t>
            </w:r>
            <w:r w:rsidR="004018F7">
              <w:t> </w:t>
            </w:r>
            <w:r>
              <w:t xml:space="preserve">více než 0,2 </w:t>
            </w:r>
            <w:proofErr w:type="spellStart"/>
            <w:proofErr w:type="gramStart"/>
            <w:r>
              <w:t>p.b</w:t>
            </w:r>
            <w:proofErr w:type="spellEnd"/>
            <w:r>
              <w:t>., v listopadu</w:t>
            </w:r>
            <w:proofErr w:type="gramEnd"/>
            <w:r>
              <w:t xml:space="preserve"> přispěly k růstu 0,3 </w:t>
            </w:r>
            <w:proofErr w:type="spellStart"/>
            <w:r>
              <w:t>p.b</w:t>
            </w:r>
            <w:proofErr w:type="spellEnd"/>
            <w:r>
              <w:t>. a v prosinci dokonce 0,6</w:t>
            </w:r>
            <w:r w:rsidR="004018F7">
              <w:t> </w:t>
            </w:r>
            <w:proofErr w:type="spellStart"/>
            <w:r>
              <w:t>p.b</w:t>
            </w:r>
            <w:proofErr w:type="spellEnd"/>
            <w:r>
              <w:t xml:space="preserve">. Podzimní nárůst cen způsobilo především meziroční zvýšení cen zeleniny a mléčných výrobků.     </w:t>
            </w:r>
          </w:p>
          <w:p w:rsidR="00F12A83" w:rsidRPr="00143FA3" w:rsidRDefault="00F12A83" w:rsidP="008A03DE">
            <w:pPr>
              <w:pStyle w:val="Textpoznpodarou"/>
              <w:jc w:val="both"/>
              <w:rPr>
                <w:sz w:val="14"/>
                <w:szCs w:val="14"/>
              </w:rPr>
            </w:pPr>
          </w:p>
        </w:tc>
      </w:tr>
      <w:tr w:rsidR="00F12A83" w:rsidRPr="00A74192" w:rsidTr="00CC2A1E">
        <w:tc>
          <w:tcPr>
            <w:tcW w:w="988" w:type="pct"/>
            <w:gridSpan w:val="2"/>
          </w:tcPr>
          <w:p w:rsidR="00F12A83" w:rsidRPr="00A74192" w:rsidRDefault="00F12A83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Kvůli poklesu cen energií se v nákladech na bydlení a energie příliš </w:t>
            </w:r>
            <w:r w:rsidR="00E41A59">
              <w:rPr>
                <w:sz w:val="16"/>
                <w:szCs w:val="16"/>
              </w:rPr>
              <w:t>neprojevilo zvýšení cen nájmů a </w:t>
            </w:r>
            <w:r>
              <w:rPr>
                <w:sz w:val="16"/>
                <w:szCs w:val="16"/>
              </w:rPr>
              <w:t>imputovaného nájemného.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F12A83" w:rsidRDefault="00F12A83" w:rsidP="008A03DE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  <w:r>
              <w:t>Ceny bydlení, vody, energií a paliv, které jsou pro české spotřebitele nejvýznamnější položkou ve spotřebním koši, rostly v roce 2016 průměrným meziročním tempem 0,6 % a průměrným meziměsíčním tempem 0,1 %. Vzhledem k rychle rostoucím cenám nemovitostí v roce 2016 není překvapivé, že růst cen imputovaného nájemného zrychlil z meziročního nárůstu o 1 % v 1. a 2. čtvrt</w:t>
            </w:r>
            <w:r w:rsidR="00E41A59">
              <w:t xml:space="preserve">letí na 1.5 % ve 4. čtvrtletí. </w:t>
            </w:r>
            <w:r>
              <w:t>Nájemné z bytů zrychlilo svůj růst ještě o čtvrtletí dříve. Celkový růst cen bydlení a energií tak tlumily</w:t>
            </w:r>
            <w:r w:rsidR="0020294A">
              <w:t xml:space="preserve"> </w:t>
            </w:r>
            <w:r w:rsidR="00B853C2">
              <w:t xml:space="preserve">jen </w:t>
            </w:r>
            <w:r w:rsidR="0020294A">
              <w:t xml:space="preserve">výrazně klesající ceny plynu, které převážily i mírný růst cen </w:t>
            </w:r>
            <w:r>
              <w:t>elektřiny a tepla</w:t>
            </w:r>
            <w:r w:rsidR="0020294A">
              <w:t>.</w:t>
            </w:r>
            <w:r>
              <w:t xml:space="preserve"> Vývoj nákladů na dopravu byl v podstatě identický jako u cen potravin. Do listopadu ceny dopravy klesaly průměrným meziročním tempem </w:t>
            </w:r>
            <w:r w:rsidR="00C574CF">
              <w:rPr>
                <w:rFonts w:cs="Arial"/>
              </w:rPr>
              <w:t>-</w:t>
            </w:r>
            <w:r>
              <w:t>2,4 % a v listopadu a prosinci meziročně vzrostly o 1 % a</w:t>
            </w:r>
            <w:r w:rsidR="0020294A">
              <w:t> </w:t>
            </w:r>
            <w:r>
              <w:t>2,5</w:t>
            </w:r>
            <w:r w:rsidR="0020294A">
              <w:t> </w:t>
            </w:r>
            <w:r>
              <w:t xml:space="preserve">%. </w:t>
            </w:r>
          </w:p>
          <w:p w:rsidR="00F12A83" w:rsidRPr="00143FA3" w:rsidRDefault="00F12A83" w:rsidP="008A03DE">
            <w:pPr>
              <w:pStyle w:val="Textpoznpodarou"/>
              <w:ind w:right="-35"/>
              <w:jc w:val="both"/>
              <w:rPr>
                <w:sz w:val="14"/>
                <w:szCs w:val="14"/>
              </w:rPr>
            </w:pPr>
          </w:p>
        </w:tc>
      </w:tr>
      <w:tr w:rsidR="00F12A83" w:rsidRPr="00A74192" w:rsidTr="00CC2A1E">
        <w:tc>
          <w:tcPr>
            <w:tcW w:w="988" w:type="pct"/>
            <w:gridSpan w:val="2"/>
          </w:tcPr>
          <w:p w:rsidR="00F12A83" w:rsidRPr="00A74192" w:rsidRDefault="00A9497A" w:rsidP="00A9497A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Růst realizovaných cen starších bytů se během roku zrychloval a</w:t>
            </w:r>
            <w:r w:rsidR="00E41A59">
              <w:rPr>
                <w:sz w:val="16"/>
                <w:szCs w:val="16"/>
              </w:rPr>
              <w:t> </w:t>
            </w:r>
            <w:r w:rsidR="00E64AE4">
              <w:rPr>
                <w:sz w:val="16"/>
                <w:szCs w:val="16"/>
              </w:rPr>
              <w:t>reflektov</w:t>
            </w:r>
            <w:r w:rsidR="00A92277">
              <w:rPr>
                <w:sz w:val="16"/>
                <w:szCs w:val="16"/>
              </w:rPr>
              <w:t>al tak převis poptávky na trhu.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F12A83" w:rsidRDefault="00F12A83" w:rsidP="00EE3547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  <w:r>
              <w:t>Vývoj na trhu s nemovitostmi v roce 2016 reflektoval dobrý stav ekonomiky a</w:t>
            </w:r>
            <w:r w:rsidR="004018F7">
              <w:t> </w:t>
            </w:r>
            <w:r>
              <w:t>pozitivní výhledy spotřebitelů. Zvýšení reálných příjmů, nízká nezaměstnanost a</w:t>
            </w:r>
            <w:r w:rsidR="004018F7">
              <w:t> </w:t>
            </w:r>
            <w:r>
              <w:t xml:space="preserve">pozitivní očekávání zvýšily poptávku po nemovitostech. Nabídková strana trhu </w:t>
            </w:r>
            <w:r w:rsidR="00A9497A">
              <w:t xml:space="preserve">však </w:t>
            </w:r>
            <w:r>
              <w:t xml:space="preserve">nedokázala zareagovat v potřebné lhůtě a brzy se zásoba bytů </w:t>
            </w:r>
            <w:r w:rsidR="00745F3C">
              <w:t>snížila</w:t>
            </w:r>
            <w:r>
              <w:t xml:space="preserve">. </w:t>
            </w:r>
            <w:r w:rsidR="00A9497A">
              <w:t xml:space="preserve">Tento fakt odrážel meziroční růst realizovaných cen starších bytů, který v průběhu roku </w:t>
            </w:r>
            <w:r w:rsidR="00EE3547">
              <w:t xml:space="preserve">2016 </w:t>
            </w:r>
            <w:r w:rsidR="00A9497A">
              <w:t>akceleroval a ve 4. čtvrtletí dosáhl 14,5 %. Realizované ceny nových bytů</w:t>
            </w:r>
            <w:r w:rsidR="00A9497A">
              <w:rPr>
                <w:rStyle w:val="Znakapoznpodarou"/>
              </w:rPr>
              <w:footnoteReference w:id="2"/>
            </w:r>
            <w:r w:rsidR="00A9497A">
              <w:t xml:space="preserve"> v závěru roku vzrostly </w:t>
            </w:r>
            <w:proofErr w:type="spellStart"/>
            <w:r w:rsidR="00A9497A">
              <w:t>mezičtvrtletně</w:t>
            </w:r>
            <w:proofErr w:type="spellEnd"/>
            <w:r w:rsidR="00A9497A">
              <w:t xml:space="preserve"> o 5,5 % a meziročně o 9,3 %</w:t>
            </w:r>
            <w:r w:rsidR="00EE3547">
              <w:t xml:space="preserve"> (meziroční růst ve 3. čtvrtletí činil 3,8 %)</w:t>
            </w:r>
            <w:r w:rsidR="00A9497A">
              <w:t xml:space="preserve">. </w:t>
            </w:r>
            <w:r>
              <w:t>Již v posledním čtvrtletí roku 2015 dosáhl meziroční růst nabídkových cen bytů 9,6 % a v prvních dvou čtvrtletích roku 2016 mírně překročil 10 %. Těsně pod hranicí 10</w:t>
            </w:r>
            <w:r w:rsidR="00A9497A">
              <w:t> </w:t>
            </w:r>
            <w:r>
              <w:t xml:space="preserve">% se pak růst nabídkových cen držel ve 3. a 4. čtvrtletí roku. </w:t>
            </w:r>
          </w:p>
          <w:p w:rsidR="00EE3547" w:rsidRPr="00143FA3" w:rsidRDefault="00EE3547" w:rsidP="00EE3547">
            <w:pPr>
              <w:pStyle w:val="Textpoznpodarou"/>
              <w:ind w:right="-35"/>
              <w:jc w:val="both"/>
              <w:rPr>
                <w:sz w:val="14"/>
                <w:szCs w:val="14"/>
              </w:rPr>
            </w:pPr>
          </w:p>
        </w:tc>
      </w:tr>
      <w:tr w:rsidR="00F12A83" w:rsidRPr="00A74192" w:rsidTr="00CC2A1E">
        <w:tc>
          <w:tcPr>
            <w:tcW w:w="988" w:type="pct"/>
            <w:gridSpan w:val="2"/>
          </w:tcPr>
          <w:p w:rsidR="00F12A83" w:rsidRPr="00D24299" w:rsidRDefault="00220838" w:rsidP="00F12A83">
            <w:pPr>
              <w:spacing w:line="240" w:lineRule="auto"/>
              <w:ind w:right="-19"/>
              <w:rPr>
                <w:spacing w:val="-4"/>
                <w:sz w:val="16"/>
              </w:rPr>
            </w:pPr>
            <w:r w:rsidRPr="00220838">
              <w:rPr>
                <w:spacing w:val="-4"/>
                <w:sz w:val="16"/>
              </w:rPr>
              <w:t xml:space="preserve">Podobně </w:t>
            </w:r>
            <w:r w:rsidR="00E41A59" w:rsidRPr="00D24299">
              <w:rPr>
                <w:spacing w:val="-4"/>
                <w:sz w:val="16"/>
                <w:szCs w:val="16"/>
              </w:rPr>
              <w:t>jako</w:t>
            </w:r>
            <w:r w:rsidRPr="00220838">
              <w:rPr>
                <w:spacing w:val="-4"/>
                <w:sz w:val="16"/>
              </w:rPr>
              <w:t xml:space="preserve"> v Česku, i</w:t>
            </w:r>
            <w:r w:rsidR="00E41A59" w:rsidRPr="00D24299">
              <w:rPr>
                <w:spacing w:val="-4"/>
                <w:sz w:val="16"/>
                <w:szCs w:val="16"/>
              </w:rPr>
              <w:t> </w:t>
            </w:r>
            <w:r w:rsidRPr="00220838">
              <w:rPr>
                <w:spacing w:val="-4"/>
                <w:sz w:val="16"/>
              </w:rPr>
              <w:t>v EU došlo v posledním čtvrtletí roku k výraznější změně v cenovém vývoji.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F12A83" w:rsidRDefault="00F12A83" w:rsidP="008A03DE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  <w:r w:rsidRPr="00043FD1">
              <w:t>Cenový vývoj v Česku zapadá do evropského kontextu.</w:t>
            </w:r>
            <w:r>
              <w:t xml:space="preserve"> Meziroční růst cenové hladiny v evropské osmadvacítce se během prvních dvou čtvrtletí příl</w:t>
            </w:r>
            <w:r w:rsidR="004D4F13">
              <w:t>iš nevzdálil od nuly (+0,1 % a -</w:t>
            </w:r>
            <w:r>
              <w:t xml:space="preserve">0,1 %). Ve třetím čtvrtletí již dosáhl 0,3 % a definitivně se odpoutal </w:t>
            </w:r>
            <w:r>
              <w:lastRenderedPageBreak/>
              <w:t>od nuly v posledním kvartálu roku, kdy se ceny meziročně zvýšily o 0,8 %. Prosincová inflace dokonce poprvé od září 2013 překročila 1 % (dosáhla 1,2 %). V prosinci na Slovensku ceny meziročně vzrostly o 0,2 %</w:t>
            </w:r>
            <w:r w:rsidR="00D24299">
              <w:t>,</w:t>
            </w:r>
            <w:r>
              <w:t xml:space="preserve"> a tím skončilo více než dvouleté období deflace. Podobný zlom se odehrál na Kypru, kde přitom v 2.</w:t>
            </w:r>
            <w:r w:rsidR="004018F7">
              <w:t> </w:t>
            </w:r>
            <w:r>
              <w:t xml:space="preserve">čtvrtletí 2016 deflace dosáhla dvou procent. Poměrně stabilně se zvyšovalo tempo růstu cen v Německu, kde v první polovině roku cenová hladina stagnovala, ale v závěrečném čtvrtletí dosáhla již 1% růstu.  </w:t>
            </w:r>
          </w:p>
          <w:p w:rsidR="00F12A83" w:rsidRPr="00143FA3" w:rsidRDefault="00F12A83" w:rsidP="008A03DE">
            <w:pPr>
              <w:pStyle w:val="Textpoznpodarou"/>
              <w:ind w:right="-35"/>
              <w:jc w:val="both"/>
              <w:rPr>
                <w:sz w:val="14"/>
                <w:szCs w:val="14"/>
              </w:rPr>
            </w:pPr>
          </w:p>
        </w:tc>
      </w:tr>
      <w:tr w:rsidR="00F12A83" w:rsidRPr="00A74192" w:rsidTr="00CC2A1E">
        <w:tc>
          <w:tcPr>
            <w:tcW w:w="988" w:type="pct"/>
            <w:gridSpan w:val="2"/>
          </w:tcPr>
          <w:p w:rsidR="00F12A83" w:rsidRPr="00A74192" w:rsidRDefault="00F12A83" w:rsidP="00F12A83">
            <w:pPr>
              <w:spacing w:line="240" w:lineRule="auto"/>
              <w:ind w:right="-1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Dlouhodobý pokles cen průmyslových výrobců se v druhé polovině roku 2016 zmírnil.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F12A83" w:rsidRDefault="00F12A83" w:rsidP="008A03DE">
            <w:pPr>
              <w:pStyle w:val="Textpoznpodarou"/>
              <w:ind w:right="-35"/>
              <w:jc w:val="both"/>
              <w:rPr>
                <w:sz w:val="16"/>
                <w:szCs w:val="16"/>
                <w:highlight w:val="yellow"/>
              </w:rPr>
            </w:pPr>
            <w:r>
              <w:t>Ceny průmyslových výrobců meziročně klesaly od ledna 2014 a snižovaly se i</w:t>
            </w:r>
            <w:r w:rsidR="004018F7">
              <w:t> </w:t>
            </w:r>
            <w:r>
              <w:t xml:space="preserve">během roku 2016. </w:t>
            </w:r>
            <w:r w:rsidRPr="002C0B6D">
              <w:t xml:space="preserve">Do vývoje indexu se úzce promítala situace na světových trzích s ropou i klesající ceny nerostných surovin. Kombinace s pádem cen potravin vedla </w:t>
            </w:r>
            <w:r>
              <w:t>k</w:t>
            </w:r>
            <w:r w:rsidRPr="002C0B6D">
              <w:t xml:space="preserve"> poměrně netypické situac</w:t>
            </w:r>
            <w:r>
              <w:t>i</w:t>
            </w:r>
            <w:r w:rsidRPr="002C0B6D">
              <w:t xml:space="preserve">, kdy konjunktura ani </w:t>
            </w:r>
            <w:r>
              <w:t>rostoucí</w:t>
            </w:r>
            <w:r w:rsidRPr="002C0B6D">
              <w:t xml:space="preserve"> poptávka nebyly následovány zvýšením cen.</w:t>
            </w:r>
            <w:r>
              <w:t xml:space="preserve"> V roce 2016 se však uvolnil tlak, který vyvíjely ceny ropy na index cen průmyslových výrobců</w:t>
            </w:r>
            <w:r w:rsidR="00D24299">
              <w:t>,</w:t>
            </w:r>
            <w:r>
              <w:t xml:space="preserve"> a ten začal mírně růst alespoň v meziměsíčním vyjádření. Meziroční pokles se </w:t>
            </w:r>
            <w:r w:rsidR="00310ADB">
              <w:t xml:space="preserve">v druhé polovině roku </w:t>
            </w:r>
            <w:r>
              <w:t xml:space="preserve">zmírnil </w:t>
            </w:r>
            <w:r w:rsidR="00310ADB">
              <w:t>(ze 4 </w:t>
            </w:r>
            <w:r>
              <w:t xml:space="preserve">% a 4,6 </w:t>
            </w:r>
            <w:r w:rsidR="00310ADB">
              <w:t>% v prvních dvou kvartálech</w:t>
            </w:r>
            <w:r>
              <w:t xml:space="preserve"> na 3,2 % ve třetím a 1,1 % v závěrečném čtvrtletí</w:t>
            </w:r>
            <w:r w:rsidR="00310ADB">
              <w:t>)</w:t>
            </w:r>
            <w:r>
              <w:t>. Tomu pomohlo zvýšení cen v oddílu koksu a rafinovaných ropných výrobků i zmírnění propadu cen potravinářských výrobků. Přetrval výrazný pokles cen v kategorii těžba a dobývání odrážející vysokou nabídku surovin z</w:t>
            </w:r>
            <w:r w:rsidRPr="002D01C4">
              <w:t xml:space="preserve"> Číny</w:t>
            </w:r>
            <w:r>
              <w:t xml:space="preserve"> i odklon vyspělých zemí od používání pevných fosilních paliv. </w:t>
            </w:r>
            <w:r w:rsidRPr="00443E45">
              <w:t>Ceny stavební</w:t>
            </w:r>
            <w:r w:rsidR="00AF2536">
              <w:t>ch</w:t>
            </w:r>
            <w:r w:rsidRPr="00443E45">
              <w:t xml:space="preserve"> pr</w:t>
            </w:r>
            <w:r w:rsidR="00AF2536">
              <w:t>ací</w:t>
            </w:r>
            <w:r w:rsidRPr="00443E45">
              <w:t xml:space="preserve"> během roku rostly průměrným meziročním tempem 1,1 %. Stejn</w:t>
            </w:r>
            <w:r>
              <w:t xml:space="preserve">ý </w:t>
            </w:r>
            <w:r w:rsidRPr="00443E45">
              <w:t>r</w:t>
            </w:r>
            <w:r>
              <w:t>ůst zaznamenaly</w:t>
            </w:r>
            <w:r w:rsidRPr="00443E45">
              <w:t xml:space="preserve"> ceny budov i inženýrských staveb.</w:t>
            </w:r>
            <w:r>
              <w:t xml:space="preserve"> </w:t>
            </w:r>
          </w:p>
          <w:p w:rsidR="00F12A83" w:rsidRPr="00143FA3" w:rsidRDefault="00F12A83" w:rsidP="008A03DE">
            <w:pPr>
              <w:pStyle w:val="Textpoznpodarou"/>
              <w:ind w:right="-35"/>
              <w:jc w:val="both"/>
              <w:rPr>
                <w:sz w:val="14"/>
                <w:szCs w:val="14"/>
              </w:rPr>
            </w:pPr>
          </w:p>
        </w:tc>
      </w:tr>
      <w:tr w:rsidR="00F12A83" w:rsidRPr="00A74192" w:rsidTr="00CC2A1E">
        <w:tc>
          <w:tcPr>
            <w:tcW w:w="988" w:type="pct"/>
            <w:gridSpan w:val="2"/>
          </w:tcPr>
          <w:p w:rsidR="00F12A83" w:rsidRPr="00A74192" w:rsidRDefault="00F12A83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Ceny průmyslových výrobců v EU meziročně klesaly v prvních třech čtvrtletích, ale v závěru roku </w:t>
            </w:r>
            <w:r w:rsidR="00D24299">
              <w:rPr>
                <w:sz w:val="16"/>
                <w:szCs w:val="16"/>
              </w:rPr>
              <w:t>se projevilo zvýšení cen ropy a </w:t>
            </w:r>
            <w:r>
              <w:rPr>
                <w:sz w:val="16"/>
                <w:szCs w:val="16"/>
              </w:rPr>
              <w:t>vývoj se alespoň částečně otočil k růstu.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F12A83" w:rsidRDefault="00F12A83" w:rsidP="008A03DE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  <w:r>
              <w:t>Ceny průmyslových výrobců v EU měly během roku 2016 podobnou dynamiku jako v Česku. Meziroční změny cen v evropské osmadvacítce byly záporné v 1. až 3.</w:t>
            </w:r>
            <w:r w:rsidR="004018F7">
              <w:t> </w:t>
            </w:r>
            <w:r>
              <w:t>čtvrtletí (</w:t>
            </w:r>
            <w:r w:rsidR="004D4F13">
              <w:t>-</w:t>
            </w:r>
            <w:r>
              <w:t>3,</w:t>
            </w:r>
            <w:r w:rsidR="00AF2536">
              <w:t>7</w:t>
            </w:r>
            <w:r>
              <w:t xml:space="preserve"> %, </w:t>
            </w:r>
            <w:r w:rsidR="004D4F13">
              <w:t>-</w:t>
            </w:r>
            <w:r w:rsidR="00D24299">
              <w:t xml:space="preserve">3,6 % a </w:t>
            </w:r>
            <w:r w:rsidR="004D4F13">
              <w:t>-</w:t>
            </w:r>
            <w:r>
              <w:t xml:space="preserve">1,6 %) a v závěrečném </w:t>
            </w:r>
            <w:r w:rsidR="00D24299">
              <w:t>kvartálu roku 2016 se zvýšily o </w:t>
            </w:r>
            <w:r>
              <w:t>1</w:t>
            </w:r>
            <w:r w:rsidR="003D5E4B">
              <w:t>,1</w:t>
            </w:r>
            <w:r>
              <w:t xml:space="preserve"> %. Ve čtvrtém čtvrtletí se tak významně rozšířila skupina zemí, ve kterých ceny průmyslových výrobců opět meziročně rostou. Výrazný cenový nárůst se odehrál ve Velké B</w:t>
            </w:r>
            <w:r w:rsidR="00AF2536">
              <w:t>ritánii (+5,6 %), v Belgii (+4,8</w:t>
            </w:r>
            <w:r>
              <w:t xml:space="preserve"> %) nebo Švédsku (+3,2 %). Česko se stále drží mezi zeměmi, kde průmysloví výrobci zažívají deflaci. V poklesu </w:t>
            </w:r>
            <w:r w:rsidR="004D4F13">
              <w:t>jej překonalo jen Lucembursko (-</w:t>
            </w:r>
            <w:r>
              <w:t>6,7 %), Slovensko (</w:t>
            </w:r>
            <w:r w:rsidR="00D24299">
              <w:t>-</w:t>
            </w:r>
            <w:r>
              <w:t>2,4 %), Lotyšsko (</w:t>
            </w:r>
            <w:r w:rsidR="004D4F13">
              <w:t>-</w:t>
            </w:r>
            <w:r w:rsidR="00D24299">
              <w:t>2,2 %) a </w:t>
            </w:r>
            <w:r>
              <w:t>Chorvatsko (</w:t>
            </w:r>
            <w:r w:rsidR="004D4F13">
              <w:t>-</w:t>
            </w:r>
            <w:r>
              <w:t xml:space="preserve">1,5 %). </w:t>
            </w:r>
          </w:p>
          <w:p w:rsidR="00F12A83" w:rsidRPr="00143FA3" w:rsidRDefault="00F12A83" w:rsidP="008A03DE">
            <w:pPr>
              <w:pStyle w:val="Textpoznpodarou"/>
              <w:ind w:right="-35"/>
              <w:jc w:val="both"/>
              <w:rPr>
                <w:sz w:val="14"/>
                <w:szCs w:val="14"/>
              </w:rPr>
            </w:pPr>
          </w:p>
        </w:tc>
      </w:tr>
      <w:tr w:rsidR="00F12A83" w:rsidRPr="00A74192" w:rsidTr="00CC2A1E">
        <w:tc>
          <w:tcPr>
            <w:tcW w:w="988" w:type="pct"/>
            <w:gridSpan w:val="2"/>
          </w:tcPr>
          <w:p w:rsidR="00F12A83" w:rsidRPr="00A74192" w:rsidRDefault="00F12A83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zemědělské výroby klesaly. Pokles cen živočišné výroby během roku zpomalil.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F12A83" w:rsidRDefault="00F12A83" w:rsidP="008A03DE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  <w:r>
              <w:t>Ceny zemědělské výroby po celý rok meziročně klesaly. Pokračovaly tím v trendu předchozích dvou let (s krátkou výjimkou podzimu 2015). Oproti ostatním sledovaným cenovým indexům jejich vývoj během roku příliš nenaznačoval změnu tohoto trendu. Meziroční poklesy v 1. až 4. kvartálu roku 2016 dosáhly 2,9 %, 6,9</w:t>
            </w:r>
            <w:r w:rsidR="004018F7">
              <w:t> </w:t>
            </w:r>
            <w:r>
              <w:t xml:space="preserve">%, 5,7 % a 4 %. V úhrnu klesaly ceny rostlinné i živočišné výroby. U rostlinné výroby </w:t>
            </w:r>
            <w:r w:rsidR="00D24299">
              <w:t xml:space="preserve">vzrostly </w:t>
            </w:r>
            <w:r>
              <w:t>ceny v 1. čtvrtletí roku o 3,9 %, ale v následujících kvartálech roku klesaly o 3,2 %, 5,3 % a 5,7 %. Pokles cen rostlinné výroby nezahrnující ovoce a</w:t>
            </w:r>
            <w:r w:rsidR="004018F7">
              <w:t> </w:t>
            </w:r>
            <w:r>
              <w:t>zeleninu byl ještě výraznější. Naopak, meziroční pokles cen živočišné výroby v průběhu roku zpomaloval. Zde se projevilo meziroční zvýšení cen hospodářských zvířat v druhé polovině roku o 2 % a 3,5 % i zpomalení propadu cen mléka z 15,9</w:t>
            </w:r>
            <w:r w:rsidR="004018F7">
              <w:t> </w:t>
            </w:r>
            <w:r>
              <w:t xml:space="preserve">% v 1. čtvrtletí na 6,5 % v posledním čtvrtletí roku 2016.  </w:t>
            </w:r>
          </w:p>
          <w:p w:rsidR="00F12A83" w:rsidRPr="00143FA3" w:rsidRDefault="00F12A83" w:rsidP="008A03DE">
            <w:pPr>
              <w:pStyle w:val="Textpoznpodarou"/>
              <w:ind w:right="-35"/>
              <w:jc w:val="both"/>
              <w:rPr>
                <w:sz w:val="14"/>
                <w:szCs w:val="14"/>
              </w:rPr>
            </w:pPr>
          </w:p>
        </w:tc>
      </w:tr>
      <w:tr w:rsidR="00F12A83" w:rsidRPr="00A74192" w:rsidTr="00CC2A1E">
        <w:tc>
          <w:tcPr>
            <w:tcW w:w="988" w:type="pct"/>
            <w:gridSpan w:val="2"/>
          </w:tcPr>
          <w:p w:rsidR="00F12A83" w:rsidRPr="00A74192" w:rsidRDefault="00F12A83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</w:t>
            </w:r>
            <w:r w:rsidR="00D24299">
              <w:rPr>
                <w:sz w:val="16"/>
                <w:szCs w:val="16"/>
              </w:rPr>
              <w:t xml:space="preserve">y tržních služeb </w:t>
            </w:r>
            <w:r>
              <w:rPr>
                <w:sz w:val="16"/>
                <w:szCs w:val="16"/>
              </w:rPr>
              <w:t>zůstaly v průběhu roku 2016 na téměř konstantní úrovni.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F12A83" w:rsidRDefault="00F12A83" w:rsidP="008A03DE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  <w:r>
              <w:t>Ceny tržních služeb v roce 2016 stagnovaly a pokračovaly tak v trendu předchozího roku. Od počátku roku se zvyšovaly průměrným meziročním tempem 0,1 %. Ceny ve většině oddílů klasifikace tržních služeb zůstávaly na konstantní úrovni, přesto se našly některé výjimky. Náklady na služby v oblasti pozemní a</w:t>
            </w:r>
            <w:r w:rsidR="004018F7">
              <w:t> </w:t>
            </w:r>
            <w:r>
              <w:t>potrubní dopravy se po celý rok meziročně snižovaly, i když s</w:t>
            </w:r>
            <w:r w:rsidR="00310ADB">
              <w:t xml:space="preserve">e jejich pokles v průběhu roku </w:t>
            </w:r>
            <w:proofErr w:type="gramStart"/>
            <w:r w:rsidR="00310ADB">
              <w:t>z</w:t>
            </w:r>
            <w:r>
              <w:t>redukoval z 1,3</w:t>
            </w:r>
            <w:proofErr w:type="gramEnd"/>
            <w:r>
              <w:t xml:space="preserve"> % v 1. čtvrtletí na 0,5 % ve 4. čtvrtletí. Již tradičně rostly ceny reklamních služeb a průzkumu trhu (0,2 %, 2 %, 2,8 % a 1 % v jednotlivých čtvrtletích roku). Dále lze zmínit ceny poštovních a kurýrních služeb, jejichž růst v průběhu roku posiloval (z 2,2 %</w:t>
            </w:r>
            <w:r w:rsidR="00D24299">
              <w:t xml:space="preserve"> </w:t>
            </w:r>
            <w:r>
              <w:t>v 1. čtvrtletí na 5,6 % shodně ve 3.</w:t>
            </w:r>
            <w:r w:rsidR="004018F7">
              <w:t> </w:t>
            </w:r>
            <w:r>
              <w:t>i</w:t>
            </w:r>
            <w:r w:rsidR="004018F7">
              <w:t> </w:t>
            </w:r>
            <w:r>
              <w:t>4.</w:t>
            </w:r>
            <w:r w:rsidR="004018F7">
              <w:t> </w:t>
            </w:r>
            <w:r>
              <w:t>čtvrtletí 2016).</w:t>
            </w:r>
          </w:p>
          <w:p w:rsidR="00F12A83" w:rsidRPr="00143FA3" w:rsidRDefault="00F12A83" w:rsidP="008A03DE">
            <w:pPr>
              <w:pStyle w:val="Textpoznpodarou"/>
              <w:ind w:right="-35"/>
              <w:jc w:val="both"/>
              <w:rPr>
                <w:sz w:val="14"/>
                <w:szCs w:val="14"/>
              </w:rPr>
            </w:pPr>
          </w:p>
        </w:tc>
      </w:tr>
      <w:tr w:rsidR="00F12A83" w:rsidRPr="00A74192" w:rsidTr="00CC2A1E">
        <w:tc>
          <w:tcPr>
            <w:tcW w:w="988" w:type="pct"/>
            <w:gridSpan w:val="2"/>
          </w:tcPr>
          <w:p w:rsidR="00F12A83" w:rsidRPr="00A74192" w:rsidRDefault="00F12A83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exportu klesaly, ale tempo poklesu se snižovalo.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F12A83" w:rsidRDefault="00F12A83" w:rsidP="008A03DE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  <w:r>
              <w:t>V průběhu roku se ceny vývozu snižovaly, ale tempo meziročního poklesu se mírnilo (</w:t>
            </w:r>
            <w:r w:rsidR="004D4F13">
              <w:t>-</w:t>
            </w:r>
            <w:r>
              <w:t xml:space="preserve">4,2 %, </w:t>
            </w:r>
            <w:r w:rsidR="004D4F13">
              <w:t>-</w:t>
            </w:r>
            <w:r>
              <w:t xml:space="preserve">4,3 %, </w:t>
            </w:r>
            <w:r w:rsidR="004D4F13">
              <w:t>-</w:t>
            </w:r>
            <w:r>
              <w:t xml:space="preserve">2,7 % a </w:t>
            </w:r>
            <w:r w:rsidR="004D4F13">
              <w:t>-</w:t>
            </w:r>
            <w:r>
              <w:t>1,3 % v jednotlivých čtvrtletích). K tomu přispěl vývoj cen nepoživatelných surovin (</w:t>
            </w:r>
            <w:r w:rsidR="004D4F13">
              <w:t>-</w:t>
            </w:r>
            <w:r>
              <w:t xml:space="preserve">13,4 %, </w:t>
            </w:r>
            <w:r w:rsidR="004D4F13">
              <w:t>-</w:t>
            </w:r>
            <w:r>
              <w:t xml:space="preserve">12,2 %, </w:t>
            </w:r>
            <w:r w:rsidR="004D4F13">
              <w:t>-</w:t>
            </w:r>
            <w:r>
              <w:t>7,1 % a +1,1 %) a</w:t>
            </w:r>
            <w:r w:rsidR="004018F7">
              <w:t> </w:t>
            </w:r>
            <w:r>
              <w:t>minerálních paliv (</w:t>
            </w:r>
            <w:r w:rsidR="004D4F13">
              <w:t>-</w:t>
            </w:r>
            <w:r>
              <w:t xml:space="preserve">19,0 %, </w:t>
            </w:r>
            <w:r w:rsidR="004D4F13">
              <w:t>-</w:t>
            </w:r>
            <w:r>
              <w:t xml:space="preserve">17,3 %, </w:t>
            </w:r>
            <w:r w:rsidR="004D4F13">
              <w:t>-</w:t>
            </w:r>
            <w:r>
              <w:t xml:space="preserve">13,6 % a </w:t>
            </w:r>
            <w:r w:rsidR="004D4F13">
              <w:t>-</w:t>
            </w:r>
            <w:r>
              <w:t>1,3 %). Naopak ceny nápojů a</w:t>
            </w:r>
            <w:r w:rsidR="004018F7">
              <w:t> </w:t>
            </w:r>
            <w:r>
              <w:t>tabáku, které v průběhu roku rostly poměrně stabilním tempem (1,5 %, 2,4 %, 2,6</w:t>
            </w:r>
            <w:r w:rsidR="004018F7">
              <w:t> </w:t>
            </w:r>
            <w:r>
              <w:t>%), v posledn</w:t>
            </w:r>
            <w:r w:rsidR="004D4F13">
              <w:t>ím čtvrtletí meziročně klesly (-</w:t>
            </w:r>
            <w:r>
              <w:t xml:space="preserve">2,4 %). </w:t>
            </w:r>
          </w:p>
          <w:p w:rsidR="00F12A83" w:rsidRPr="00143FA3" w:rsidRDefault="00F12A83" w:rsidP="008A03DE">
            <w:pPr>
              <w:pStyle w:val="Textpoznpodarou"/>
              <w:ind w:right="-35"/>
              <w:jc w:val="both"/>
              <w:rPr>
                <w:sz w:val="14"/>
                <w:szCs w:val="14"/>
              </w:rPr>
            </w:pPr>
          </w:p>
        </w:tc>
      </w:tr>
      <w:tr w:rsidR="00F12A83" w:rsidRPr="00A74192" w:rsidTr="00CC2A1E">
        <w:tc>
          <w:tcPr>
            <w:tcW w:w="988" w:type="pct"/>
            <w:gridSpan w:val="2"/>
          </w:tcPr>
          <w:p w:rsidR="00F12A83" w:rsidRPr="00A74192" w:rsidRDefault="00F12A83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Ceny dovozu, které</w:t>
            </w:r>
            <w:r w:rsidR="00D24299">
              <w:rPr>
                <w:sz w:val="16"/>
                <w:szCs w:val="16"/>
              </w:rPr>
              <w:t xml:space="preserve"> v 1. </w:t>
            </w:r>
            <w:r w:rsidR="00DC2FA9">
              <w:rPr>
                <w:sz w:val="16"/>
                <w:szCs w:val="16"/>
              </w:rPr>
              <w:t>a 2. čtvrtletí roku 2016</w:t>
            </w:r>
            <w:r>
              <w:rPr>
                <w:sz w:val="16"/>
                <w:szCs w:val="16"/>
              </w:rPr>
              <w:t xml:space="preserve"> v české ekonomice vytvářely deflační tlaky</w:t>
            </w:r>
            <w:r w:rsidR="00DC2FA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DC2FA9">
              <w:rPr>
                <w:sz w:val="16"/>
                <w:szCs w:val="16"/>
              </w:rPr>
              <w:t>zastavily svůj pokles.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F12A83" w:rsidRDefault="00F12A83" w:rsidP="008A03DE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  <w:r w:rsidRPr="00BC3617">
              <w:t>Ceny dovozu</w:t>
            </w:r>
            <w:r>
              <w:t xml:space="preserve"> ve všech čtvrtletích roku 2016 klesaly (</w:t>
            </w:r>
            <w:r w:rsidR="00EA421A">
              <w:rPr>
                <w:rFonts w:cs="Arial"/>
              </w:rPr>
              <w:t>-</w:t>
            </w:r>
            <w:r>
              <w:rPr>
                <w:rFonts w:cs="Arial"/>
              </w:rPr>
              <w:t xml:space="preserve">5,6 %, </w:t>
            </w:r>
            <w:r w:rsidR="00EA421A">
              <w:rPr>
                <w:rFonts w:cs="Arial"/>
              </w:rPr>
              <w:t>-</w:t>
            </w:r>
            <w:r>
              <w:rPr>
                <w:rFonts w:cs="Arial"/>
              </w:rPr>
              <w:t xml:space="preserve">6,3 %, </w:t>
            </w:r>
            <w:r w:rsidR="00EA421A">
              <w:rPr>
                <w:rFonts w:cs="Arial"/>
              </w:rPr>
              <w:t>-</w:t>
            </w:r>
            <w:r>
              <w:rPr>
                <w:rFonts w:cs="Arial"/>
              </w:rPr>
              <w:t>3,7 % a</w:t>
            </w:r>
            <w:r w:rsidR="004018F7">
              <w:rPr>
                <w:rFonts w:cs="Arial"/>
              </w:rPr>
              <w:t> </w:t>
            </w:r>
            <w:r w:rsidR="00EA421A">
              <w:rPr>
                <w:rFonts w:cs="Arial"/>
              </w:rPr>
              <w:noBreakHyphen/>
            </w:r>
            <w:r>
              <w:rPr>
                <w:rFonts w:cs="Arial"/>
              </w:rPr>
              <w:t>0,4</w:t>
            </w:r>
            <w:r w:rsidR="004018F7">
              <w:rPr>
                <w:rFonts w:cs="Arial"/>
              </w:rPr>
              <w:t> </w:t>
            </w:r>
            <w:r>
              <w:rPr>
                <w:rFonts w:cs="Arial"/>
              </w:rPr>
              <w:t>%</w:t>
            </w:r>
            <w:r>
              <w:t>)</w:t>
            </w:r>
            <w:r w:rsidR="00D24299">
              <w:t>,</w:t>
            </w:r>
            <w:r>
              <w:t xml:space="preserve"> a především v 1. a 2. kvartálu byly významným zdrojem deflačních tlaků v české ekonomice. V druhé polovině roku pokles cen značně oslabil a v prosinci ceny importu poprvé po 18 měsících meziročně vzrostly. Ve 4. čtvrtletí výrazněji vzrostly ceny nápojů a tabáku (+3,3 %), potravin a živých zvířat (+2,8 %) a</w:t>
            </w:r>
            <w:r w:rsidR="004018F7">
              <w:t> </w:t>
            </w:r>
            <w:r>
              <w:t>nepoživatelných surovin (+3,2 %). Ceny dovozu minerálních paliv a maziv meziročně výrazně klesaly v prvních třech čtvrtinách roku 2016 (</w:t>
            </w:r>
            <w:r w:rsidR="00EA421A">
              <w:t>-32,6 %, -</w:t>
            </w:r>
            <w:r>
              <w:t>31,7 % a</w:t>
            </w:r>
            <w:r w:rsidR="00EA421A">
              <w:t> -</w:t>
            </w:r>
            <w:r>
              <w:t>20,8 %)</w:t>
            </w:r>
            <w:r w:rsidR="00D24299">
              <w:t xml:space="preserve">, a </w:t>
            </w:r>
            <w:r>
              <w:t xml:space="preserve">významně </w:t>
            </w:r>
            <w:r w:rsidR="00D24299">
              <w:t xml:space="preserve">se tak promítaly </w:t>
            </w:r>
            <w:r>
              <w:t xml:space="preserve">do celkové cenové hladiny. V posledním čtvrtletí se jejich cenový pohyb zmírnil na 1,5% pokles, především díky prosincovému meziročnímu nárůstu o 12,3 %.  </w:t>
            </w:r>
          </w:p>
          <w:p w:rsidR="00F12A83" w:rsidRPr="00143FA3" w:rsidRDefault="00F12A83" w:rsidP="008A03DE">
            <w:pPr>
              <w:pStyle w:val="Textpoznpodarou"/>
              <w:ind w:right="-35"/>
              <w:jc w:val="both"/>
              <w:rPr>
                <w:sz w:val="14"/>
                <w:szCs w:val="14"/>
              </w:rPr>
            </w:pPr>
          </w:p>
        </w:tc>
      </w:tr>
      <w:tr w:rsidR="00F12A83" w:rsidRPr="00A74192" w:rsidTr="00CC2A1E">
        <w:tc>
          <w:tcPr>
            <w:tcW w:w="988" w:type="pct"/>
            <w:gridSpan w:val="2"/>
          </w:tcPr>
          <w:p w:rsidR="00F12A83" w:rsidRPr="00A74192" w:rsidRDefault="00DC2FA9" w:rsidP="00F12A83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Směnné relace, které byly kladné v 1. až 3. čtvrtletí se dostaly pod nulu v závěru roku.</w:t>
            </w:r>
            <w:r w:rsidR="00F12A83" w:rsidRPr="00A741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" w:type="pct"/>
          </w:tcPr>
          <w:p w:rsidR="00F12A83" w:rsidRPr="00A74192" w:rsidRDefault="00F12A83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F12A83" w:rsidRDefault="00F12A83" w:rsidP="008A03DE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  <w:r>
              <w:t>Směnné relace byly v prvních třech čtvrtinách roku kladné (101,</w:t>
            </w:r>
            <w:r w:rsidR="00AF2536">
              <w:t>5</w:t>
            </w:r>
            <w:r>
              <w:t>, 102,</w:t>
            </w:r>
            <w:r w:rsidR="00AF2536">
              <w:t>1</w:t>
            </w:r>
            <w:r>
              <w:t xml:space="preserve"> a 101,0), na čemž se nejvýrazněji podepsaly kladné směnné relace u minerálních paliv. Ve 4. čtvrtletí se však situace obrátila a směnné relace činily 99,1. V záporném směru působily směnné relace u nápojů a tabáku (94,3) nebo potravin (96,</w:t>
            </w:r>
            <w:r w:rsidR="00AF2536">
              <w:t>4</w:t>
            </w:r>
            <w:r>
              <w:t xml:space="preserve">). </w:t>
            </w:r>
            <w:r w:rsidR="007F0316">
              <w:t>Už od poloviny roku 2015 naráž</w:t>
            </w:r>
            <w:r w:rsidR="00AF2536">
              <w:t>el</w:t>
            </w:r>
            <w:r w:rsidR="007F0316">
              <w:t xml:space="preserve"> kurz </w:t>
            </w:r>
            <w:r w:rsidRPr="00BC3617">
              <w:t>eura na hranicí 27 korun</w:t>
            </w:r>
            <w:r w:rsidR="007F0316">
              <w:t xml:space="preserve"> a neměn</w:t>
            </w:r>
            <w:r w:rsidR="00AF2536">
              <w:t>il</w:t>
            </w:r>
            <w:r w:rsidR="007F0316">
              <w:t xml:space="preserve"> se. V</w:t>
            </w:r>
            <w:r>
              <w:t> 1.</w:t>
            </w:r>
            <w:r w:rsidR="004018F7">
              <w:t> </w:t>
            </w:r>
            <w:r>
              <w:t>a 2. čtvrtletí 2016 ještě koruna meziročně posílila vůči euru o 2,2 % a 1,3 %, ale v druhé polovině roku se směnný kurz vůči předchozímu roku prakticky nezměnil. Kurz koruny vůči dolaru během roku kol</w:t>
            </w:r>
            <w:r w:rsidR="00D24299">
              <w:t xml:space="preserve">ísal, výraznější pohyb nastal ve </w:t>
            </w:r>
            <w:r>
              <w:t>2.</w:t>
            </w:r>
            <w:r w:rsidR="004018F7">
              <w:t> </w:t>
            </w:r>
            <w:r>
              <w:t>čtvrtletí, když koruna vůči této měně posílila o 3,5 % a ve 4. čtvrtletí, když oslabila o 1,4 %. Netradičně silně se do deflačních tlaků promítlo výrazné posílení koruny vůči britské libře.</w:t>
            </w:r>
          </w:p>
          <w:p w:rsidR="00F12A83" w:rsidRPr="00816358" w:rsidRDefault="00F12A83" w:rsidP="008A03DE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</w:p>
        </w:tc>
      </w:tr>
      <w:tr w:rsidR="00F06C6F" w:rsidRPr="00A74192" w:rsidTr="00CC2A1E">
        <w:tblPrEx>
          <w:tblLook w:val="04A0"/>
        </w:tblPrEx>
        <w:tc>
          <w:tcPr>
            <w:tcW w:w="574" w:type="pct"/>
          </w:tcPr>
          <w:p w:rsidR="007430AB" w:rsidRDefault="007430AB" w:rsidP="00D94859">
            <w:pPr>
              <w:pStyle w:val="Textpoznpodaro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 č.</w:t>
            </w:r>
          </w:p>
          <w:p w:rsidR="0033229B" w:rsidRPr="005B0262" w:rsidRDefault="0033229B" w:rsidP="00D94859">
            <w:pPr>
              <w:pStyle w:val="Textpoznpodarou"/>
              <w:rPr>
                <w:sz w:val="18"/>
                <w:szCs w:val="18"/>
              </w:rPr>
            </w:pPr>
            <w:r w:rsidRPr="005B0262">
              <w:rPr>
                <w:sz w:val="18"/>
                <w:szCs w:val="18"/>
              </w:rPr>
              <w:t>11</w:t>
            </w:r>
          </w:p>
        </w:tc>
        <w:tc>
          <w:tcPr>
            <w:tcW w:w="1890" w:type="pct"/>
            <w:gridSpan w:val="3"/>
          </w:tcPr>
          <w:p w:rsidR="0033229B" w:rsidRPr="005B0262" w:rsidRDefault="0033229B" w:rsidP="00D94859">
            <w:pPr>
              <w:pStyle w:val="Textpoznpodarou"/>
              <w:rPr>
                <w:sz w:val="18"/>
                <w:szCs w:val="18"/>
              </w:rPr>
            </w:pPr>
            <w:r w:rsidRPr="005B0262">
              <w:rPr>
                <w:b/>
                <w:sz w:val="18"/>
                <w:szCs w:val="18"/>
              </w:rPr>
              <w:t>Spotřebitelské ceny jednotlivých typů domácností</w:t>
            </w:r>
            <w:r w:rsidRPr="005B0262">
              <w:rPr>
                <w:sz w:val="18"/>
                <w:szCs w:val="18"/>
              </w:rPr>
              <w:t xml:space="preserve"> (y/y v %)</w:t>
            </w:r>
          </w:p>
        </w:tc>
        <w:tc>
          <w:tcPr>
            <w:tcW w:w="580" w:type="pct"/>
            <w:gridSpan w:val="2"/>
          </w:tcPr>
          <w:p w:rsidR="007430AB" w:rsidRDefault="007430AB" w:rsidP="00D94859">
            <w:pPr>
              <w:pStyle w:val="Textpoznpodaro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 č.</w:t>
            </w:r>
          </w:p>
          <w:p w:rsidR="0033229B" w:rsidRPr="005B0262" w:rsidRDefault="0033229B" w:rsidP="00D94859">
            <w:pPr>
              <w:pStyle w:val="Textpoznpodarou"/>
              <w:rPr>
                <w:sz w:val="18"/>
                <w:szCs w:val="18"/>
              </w:rPr>
            </w:pPr>
            <w:r w:rsidRPr="005B0262">
              <w:rPr>
                <w:sz w:val="18"/>
                <w:szCs w:val="18"/>
              </w:rPr>
              <w:t>12</w:t>
            </w:r>
          </w:p>
        </w:tc>
        <w:tc>
          <w:tcPr>
            <w:tcW w:w="1956" w:type="pct"/>
          </w:tcPr>
          <w:p w:rsidR="0033229B" w:rsidRPr="005B0262" w:rsidRDefault="0033229B" w:rsidP="005B0262">
            <w:pPr>
              <w:pStyle w:val="Textpoznpodarou"/>
              <w:rPr>
                <w:sz w:val="18"/>
                <w:szCs w:val="18"/>
              </w:rPr>
            </w:pPr>
            <w:r w:rsidRPr="005B0262">
              <w:rPr>
                <w:b/>
                <w:sz w:val="18"/>
                <w:szCs w:val="18"/>
              </w:rPr>
              <w:t>Ceny ve vybraných oddílech indexu spotřebitelských cen</w:t>
            </w:r>
            <w:r w:rsidRPr="005B0262">
              <w:rPr>
                <w:sz w:val="18"/>
                <w:szCs w:val="18"/>
              </w:rPr>
              <w:t xml:space="preserve"> (y/y v %)</w:t>
            </w:r>
          </w:p>
        </w:tc>
      </w:tr>
      <w:tr w:rsidR="007C32B6" w:rsidRPr="00A74192" w:rsidTr="00CC2A1E">
        <w:tblPrEx>
          <w:tblLook w:val="04A0"/>
        </w:tblPrEx>
        <w:tc>
          <w:tcPr>
            <w:tcW w:w="2464" w:type="pct"/>
            <w:gridSpan w:val="4"/>
          </w:tcPr>
          <w:p w:rsidR="0033229B" w:rsidRPr="00A74192" w:rsidRDefault="00906225" w:rsidP="00E83DAB">
            <w:pPr>
              <w:pStyle w:val="Textpoznpodarou"/>
              <w:ind w:left="-108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018805" cy="2377440"/>
                  <wp:effectExtent l="19050" t="0" r="0" b="0"/>
                  <wp:docPr id="26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971" cy="2377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pct"/>
            <w:gridSpan w:val="3"/>
          </w:tcPr>
          <w:p w:rsidR="0085188D" w:rsidRPr="0085188D" w:rsidRDefault="00906225" w:rsidP="00CC2A1E">
            <w:pPr>
              <w:pStyle w:val="Textpoznpodarou"/>
              <w:ind w:left="-108"/>
              <w:jc w:val="both"/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</w:rPr>
              <w:drawing>
                <wp:inline distT="0" distB="0" distL="0" distR="0">
                  <wp:extent cx="3021330" cy="2377440"/>
                  <wp:effectExtent l="19050" t="0" r="7620" b="0"/>
                  <wp:docPr id="1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33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C6F" w:rsidRPr="00A74192" w:rsidTr="00CC2A1E">
        <w:tblPrEx>
          <w:tblLook w:val="04A0"/>
        </w:tblPrEx>
        <w:tc>
          <w:tcPr>
            <w:tcW w:w="574" w:type="pct"/>
          </w:tcPr>
          <w:p w:rsidR="007430AB" w:rsidRDefault="007430AB" w:rsidP="00D94859">
            <w:pPr>
              <w:pStyle w:val="Textpoznpodarou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Graf č.</w:t>
            </w:r>
          </w:p>
          <w:p w:rsidR="0033229B" w:rsidRPr="005B0262" w:rsidRDefault="0033229B" w:rsidP="00D94859">
            <w:pPr>
              <w:pStyle w:val="Textpoznpodarou"/>
              <w:rPr>
                <w:sz w:val="18"/>
                <w:szCs w:val="18"/>
                <w:lang w:eastAsia="en-US"/>
              </w:rPr>
            </w:pPr>
            <w:r w:rsidRPr="005B026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90" w:type="pct"/>
            <w:gridSpan w:val="3"/>
          </w:tcPr>
          <w:p w:rsidR="0033229B" w:rsidRPr="005B0262" w:rsidRDefault="0033229B" w:rsidP="00D94859">
            <w:pPr>
              <w:pStyle w:val="Textpoznpodarou"/>
              <w:rPr>
                <w:color w:val="FF0000"/>
                <w:sz w:val="18"/>
                <w:szCs w:val="18"/>
                <w:lang w:eastAsia="en-US"/>
              </w:rPr>
            </w:pPr>
            <w:r w:rsidRPr="005B0262">
              <w:rPr>
                <w:b/>
                <w:sz w:val="18"/>
                <w:szCs w:val="18"/>
                <w:lang w:eastAsia="en-US"/>
              </w:rPr>
              <w:t>Deflátory</w:t>
            </w:r>
            <w:r w:rsidRPr="005B0262">
              <w:rPr>
                <w:sz w:val="18"/>
                <w:szCs w:val="18"/>
                <w:lang w:eastAsia="en-US"/>
              </w:rPr>
              <w:t xml:space="preserve"> (očištěn</w:t>
            </w:r>
            <w:r w:rsidR="00A05B91" w:rsidRPr="005B0262">
              <w:rPr>
                <w:sz w:val="18"/>
                <w:szCs w:val="18"/>
                <w:lang w:eastAsia="en-US"/>
              </w:rPr>
              <w:t>o</w:t>
            </w:r>
            <w:r w:rsidRPr="005B0262">
              <w:rPr>
                <w:sz w:val="18"/>
                <w:szCs w:val="18"/>
                <w:lang w:eastAsia="en-US"/>
              </w:rPr>
              <w:t xml:space="preserve"> o sezónní a kalendářní vlivy, y/y v %)</w:t>
            </w:r>
          </w:p>
        </w:tc>
        <w:tc>
          <w:tcPr>
            <w:tcW w:w="507" w:type="pct"/>
          </w:tcPr>
          <w:p w:rsidR="007430AB" w:rsidRDefault="007430AB" w:rsidP="005B0262">
            <w:pPr>
              <w:pStyle w:val="Textpoznpodarou"/>
              <w:ind w:left="-77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Graf č.</w:t>
            </w:r>
          </w:p>
          <w:p w:rsidR="0033229B" w:rsidRPr="005B0262" w:rsidRDefault="0033229B" w:rsidP="005B0262">
            <w:pPr>
              <w:pStyle w:val="Textpoznpodarou"/>
              <w:ind w:left="-77" w:right="-108"/>
              <w:rPr>
                <w:sz w:val="18"/>
                <w:szCs w:val="18"/>
                <w:lang w:eastAsia="en-US"/>
              </w:rPr>
            </w:pPr>
            <w:r w:rsidRPr="005B0262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029" w:type="pct"/>
            <w:gridSpan w:val="2"/>
          </w:tcPr>
          <w:p w:rsidR="0033229B" w:rsidRPr="005B0262" w:rsidRDefault="0033229B" w:rsidP="005B0262">
            <w:pPr>
              <w:pStyle w:val="Textpoznpodarou"/>
              <w:ind w:right="-108"/>
              <w:rPr>
                <w:sz w:val="18"/>
                <w:szCs w:val="18"/>
                <w:lang w:eastAsia="en-US"/>
              </w:rPr>
            </w:pPr>
            <w:r w:rsidRPr="005B0262">
              <w:rPr>
                <w:b/>
                <w:sz w:val="18"/>
                <w:szCs w:val="18"/>
                <w:lang w:eastAsia="en-US"/>
              </w:rPr>
              <w:t>Ceny výrobců</w:t>
            </w:r>
            <w:r w:rsidR="004F2A4D" w:rsidRPr="005B0262">
              <w:rPr>
                <w:sz w:val="18"/>
                <w:szCs w:val="18"/>
                <w:lang w:eastAsia="en-US"/>
              </w:rPr>
              <w:t xml:space="preserve"> (y/y v %, ceny zem</w:t>
            </w:r>
            <w:r w:rsidR="005B0262" w:rsidRPr="005B0262">
              <w:rPr>
                <w:sz w:val="18"/>
                <w:szCs w:val="18"/>
                <w:lang w:eastAsia="en-US"/>
              </w:rPr>
              <w:t>.</w:t>
            </w:r>
            <w:r w:rsidR="004F2A4D" w:rsidRPr="005B0262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5B0262">
              <w:rPr>
                <w:sz w:val="18"/>
                <w:szCs w:val="18"/>
                <w:lang w:eastAsia="en-US"/>
              </w:rPr>
              <w:t>výrobců</w:t>
            </w:r>
            <w:proofErr w:type="gramEnd"/>
            <w:r w:rsidRPr="005B0262">
              <w:rPr>
                <w:sz w:val="18"/>
                <w:szCs w:val="18"/>
                <w:lang w:eastAsia="en-US"/>
              </w:rPr>
              <w:t xml:space="preserve"> na pravé ose, ostatní na levé ose)</w:t>
            </w:r>
          </w:p>
        </w:tc>
      </w:tr>
      <w:tr w:rsidR="00A05B91" w:rsidRPr="00A74192" w:rsidTr="00CC2A1E">
        <w:tblPrEx>
          <w:tblLook w:val="04A0"/>
        </w:tblPrEx>
        <w:tc>
          <w:tcPr>
            <w:tcW w:w="2464" w:type="pct"/>
            <w:gridSpan w:val="4"/>
          </w:tcPr>
          <w:p w:rsidR="0033229B" w:rsidRPr="00A74192" w:rsidRDefault="00906225" w:rsidP="00F06C6F">
            <w:pPr>
              <w:pStyle w:val="Textpoznpodarou"/>
              <w:ind w:left="-108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018943" cy="2384755"/>
                  <wp:effectExtent l="19050" t="0" r="0" b="0"/>
                  <wp:docPr id="27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678" cy="2384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pct"/>
            <w:gridSpan w:val="3"/>
          </w:tcPr>
          <w:p w:rsidR="0033229B" w:rsidRPr="00CC2A1E" w:rsidRDefault="00906225" w:rsidP="00CC2A1E">
            <w:pPr>
              <w:pStyle w:val="Textpoznpodarou"/>
              <w:ind w:left="-77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032703" cy="2384755"/>
                  <wp:effectExtent l="19050" t="0" r="0" b="0"/>
                  <wp:docPr id="1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314" cy="2384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29B" w:rsidRPr="005B0262" w:rsidTr="00CC2A1E">
        <w:tblPrEx>
          <w:tblLook w:val="04A0"/>
        </w:tblPrEx>
        <w:tc>
          <w:tcPr>
            <w:tcW w:w="5000" w:type="pct"/>
            <w:gridSpan w:val="7"/>
          </w:tcPr>
          <w:p w:rsidR="0033229B" w:rsidRPr="005B0262" w:rsidRDefault="0033229B" w:rsidP="00D94859">
            <w:pPr>
              <w:pStyle w:val="Textpoznpodarou"/>
              <w:jc w:val="right"/>
              <w:rPr>
                <w:sz w:val="18"/>
                <w:szCs w:val="18"/>
                <w:lang w:eastAsia="en-US"/>
              </w:rPr>
            </w:pPr>
            <w:r w:rsidRPr="005B0262">
              <w:rPr>
                <w:sz w:val="18"/>
                <w:szCs w:val="18"/>
                <w:lang w:eastAsia="en-US"/>
              </w:rPr>
              <w:t>Zdroj: ČSÚ</w:t>
            </w:r>
          </w:p>
        </w:tc>
      </w:tr>
      <w:tr w:rsidR="00B128E5" w:rsidRPr="005B0262" w:rsidTr="00CC2A1E">
        <w:tblPrEx>
          <w:tblLook w:val="04A0"/>
        </w:tblPrEx>
        <w:tc>
          <w:tcPr>
            <w:tcW w:w="5000" w:type="pct"/>
            <w:gridSpan w:val="7"/>
          </w:tcPr>
          <w:p w:rsidR="00B128E5" w:rsidRPr="005B0262" w:rsidRDefault="00B128E5" w:rsidP="00A9497A">
            <w:pPr>
              <w:pStyle w:val="Textpoznpodarou"/>
              <w:rPr>
                <w:sz w:val="18"/>
                <w:szCs w:val="18"/>
                <w:lang w:eastAsia="en-US"/>
              </w:rPr>
            </w:pPr>
          </w:p>
        </w:tc>
      </w:tr>
    </w:tbl>
    <w:p w:rsidR="008A03DE" w:rsidRPr="008A03DE" w:rsidRDefault="008A03DE" w:rsidP="00EC037B">
      <w:pPr>
        <w:pStyle w:val="Nadpis1"/>
        <w:numPr>
          <w:ilvl w:val="0"/>
          <w:numId w:val="12"/>
        </w:numPr>
        <w:ind w:left="709"/>
        <w:rPr>
          <w:rFonts w:cs="Arial"/>
          <w:color w:val="000000"/>
          <w:sz w:val="2"/>
          <w:szCs w:val="2"/>
        </w:rPr>
      </w:pPr>
    </w:p>
    <w:sectPr w:rsidR="008A03DE" w:rsidRPr="008A03DE" w:rsidSect="00EC037B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134" w:right="1134" w:bottom="1418" w:left="1134" w:header="680" w:footer="680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1BE" w:rsidRDefault="007351BE" w:rsidP="00E71A58">
      <w:r>
        <w:separator/>
      </w:r>
    </w:p>
  </w:endnote>
  <w:endnote w:type="continuationSeparator" w:id="0">
    <w:p w:rsidR="007351BE" w:rsidRDefault="007351B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2C" w:rsidRDefault="006E182C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19AB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E319AB" w:rsidRPr="005A21E0">
      <w:rPr>
        <w:rFonts w:ascii="Arial" w:hAnsi="Arial" w:cs="Arial"/>
        <w:sz w:val="16"/>
        <w:szCs w:val="16"/>
      </w:rPr>
      <w:fldChar w:fldCharType="separate"/>
    </w:r>
    <w:r w:rsidR="00EC037B">
      <w:rPr>
        <w:rFonts w:ascii="Arial" w:hAnsi="Arial" w:cs="Arial"/>
        <w:noProof/>
        <w:sz w:val="16"/>
        <w:szCs w:val="16"/>
      </w:rPr>
      <w:t>14</w:t>
    </w:r>
    <w:r w:rsidR="00E319AB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2C" w:rsidRDefault="006E182C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6E182C" w:rsidRPr="00223E00" w:rsidRDefault="006E182C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rPr>
        <w:rFonts w:ascii="Arial" w:hAnsi="Arial" w:cs="Arial"/>
        <w:sz w:val="16"/>
        <w:szCs w:val="16"/>
      </w:rPr>
      <w:tab/>
    </w:r>
    <w:r w:rsidR="00E319AB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E319AB" w:rsidRPr="00223E00">
      <w:rPr>
        <w:rFonts w:ascii="Arial" w:hAnsi="Arial" w:cs="Arial"/>
        <w:sz w:val="16"/>
        <w:szCs w:val="16"/>
      </w:rPr>
      <w:fldChar w:fldCharType="separate"/>
    </w:r>
    <w:r w:rsidR="00EC037B">
      <w:rPr>
        <w:rFonts w:ascii="Arial" w:hAnsi="Arial" w:cs="Arial"/>
        <w:noProof/>
        <w:sz w:val="16"/>
        <w:szCs w:val="16"/>
      </w:rPr>
      <w:t>15</w:t>
    </w:r>
    <w:r w:rsidR="00E319AB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1BE" w:rsidRDefault="007351BE" w:rsidP="00E71A58">
      <w:r>
        <w:separator/>
      </w:r>
    </w:p>
  </w:footnote>
  <w:footnote w:type="continuationSeparator" w:id="0">
    <w:p w:rsidR="007351BE" w:rsidRDefault="007351BE" w:rsidP="00E71A58">
      <w:r>
        <w:continuationSeparator/>
      </w:r>
    </w:p>
  </w:footnote>
  <w:footnote w:id="1">
    <w:p w:rsidR="006E182C" w:rsidRPr="00E41A59" w:rsidRDefault="00220838">
      <w:pPr>
        <w:pStyle w:val="Textpoznpodarou"/>
        <w:rPr>
          <w:sz w:val="16"/>
          <w:szCs w:val="16"/>
        </w:rPr>
      </w:pPr>
      <w:r w:rsidRPr="00220838">
        <w:rPr>
          <w:rStyle w:val="Znakapoznpodarou"/>
          <w:sz w:val="16"/>
        </w:rPr>
        <w:footnoteRef/>
      </w:r>
      <w:r w:rsidRPr="00220838">
        <w:rPr>
          <w:sz w:val="16"/>
        </w:rPr>
        <w:t xml:space="preserve"> V</w:t>
      </w:r>
      <w:r w:rsidR="006E182C" w:rsidRPr="00E41A59">
        <w:rPr>
          <w:sz w:val="16"/>
          <w:szCs w:val="16"/>
        </w:rPr>
        <w:t>yjádřená přírůstkem průměrného indexu spotřebitelských cen za posledních dvanáct měsíců oproti průměru předchozích 12 měsíců.</w:t>
      </w:r>
    </w:p>
  </w:footnote>
  <w:footnote w:id="2">
    <w:p w:rsidR="006E182C" w:rsidRPr="00A9497A" w:rsidRDefault="00220838">
      <w:pPr>
        <w:pStyle w:val="Textpoznpodarou"/>
        <w:rPr>
          <w:sz w:val="16"/>
          <w:szCs w:val="16"/>
        </w:rPr>
      </w:pPr>
      <w:r w:rsidRPr="00220838">
        <w:rPr>
          <w:rStyle w:val="Znakapoznpodarou"/>
          <w:sz w:val="16"/>
        </w:rPr>
        <w:footnoteRef/>
      </w:r>
      <w:r w:rsidRPr="00220838">
        <w:rPr>
          <w:sz w:val="16"/>
        </w:rPr>
        <w:t xml:space="preserve"> </w:t>
      </w:r>
      <w:r w:rsidR="006E182C" w:rsidRPr="00E41A59">
        <w:rPr>
          <w:sz w:val="16"/>
          <w:szCs w:val="16"/>
        </w:rPr>
        <w:t>Údaje zjišťovány pouze za Prahu.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2C" w:rsidRPr="00C00831" w:rsidRDefault="006E182C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roce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2C" w:rsidRPr="00D766EF" w:rsidRDefault="006E182C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roce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B457C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3A7708B"/>
    <w:multiLevelType w:val="hybridMultilevel"/>
    <w:tmpl w:val="9CF6F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E0A8C"/>
    <w:multiLevelType w:val="hybridMultilevel"/>
    <w:tmpl w:val="2C146A9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90D45"/>
    <w:multiLevelType w:val="hybridMultilevel"/>
    <w:tmpl w:val="7810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C47DB"/>
    <w:multiLevelType w:val="hybridMultilevel"/>
    <w:tmpl w:val="AA5065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6"/>
  </w:num>
  <w:num w:numId="5">
    <w:abstractNumId w:val="10"/>
  </w:num>
  <w:num w:numId="6">
    <w:abstractNumId w:val="13"/>
  </w:num>
  <w:num w:numId="7">
    <w:abstractNumId w:val="3"/>
  </w:num>
  <w:num w:numId="8">
    <w:abstractNumId w:val="8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  <w:num w:numId="16">
    <w:abstractNumId w:val="11"/>
  </w:num>
  <w:num w:numId="17">
    <w:abstractNumId w:val="4"/>
  </w:num>
  <w:num w:numId="18">
    <w:abstractNumId w:val="17"/>
  </w:num>
  <w:num w:numId="1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4EB0"/>
    <w:rsid w:val="00007498"/>
    <w:rsid w:val="0000767A"/>
    <w:rsid w:val="000101F5"/>
    <w:rsid w:val="000104B9"/>
    <w:rsid w:val="00010702"/>
    <w:rsid w:val="00010770"/>
    <w:rsid w:val="00011191"/>
    <w:rsid w:val="0001159B"/>
    <w:rsid w:val="000117CA"/>
    <w:rsid w:val="00012986"/>
    <w:rsid w:val="00014028"/>
    <w:rsid w:val="00015195"/>
    <w:rsid w:val="0001519F"/>
    <w:rsid w:val="0001572B"/>
    <w:rsid w:val="0001573E"/>
    <w:rsid w:val="000157DA"/>
    <w:rsid w:val="0001589D"/>
    <w:rsid w:val="00016033"/>
    <w:rsid w:val="000162DB"/>
    <w:rsid w:val="00017F05"/>
    <w:rsid w:val="000202C6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5CCF"/>
    <w:rsid w:val="00035FC6"/>
    <w:rsid w:val="0003705E"/>
    <w:rsid w:val="00037667"/>
    <w:rsid w:val="0004075D"/>
    <w:rsid w:val="000411E1"/>
    <w:rsid w:val="00041E9C"/>
    <w:rsid w:val="00043C68"/>
    <w:rsid w:val="00043E05"/>
    <w:rsid w:val="0004694F"/>
    <w:rsid w:val="000500DC"/>
    <w:rsid w:val="000509FD"/>
    <w:rsid w:val="00051ADE"/>
    <w:rsid w:val="00052052"/>
    <w:rsid w:val="00052172"/>
    <w:rsid w:val="000534FD"/>
    <w:rsid w:val="00053CBA"/>
    <w:rsid w:val="00054E43"/>
    <w:rsid w:val="00055059"/>
    <w:rsid w:val="000553E4"/>
    <w:rsid w:val="000567FA"/>
    <w:rsid w:val="00056B26"/>
    <w:rsid w:val="00057C16"/>
    <w:rsid w:val="00060F26"/>
    <w:rsid w:val="00062D43"/>
    <w:rsid w:val="00062EC5"/>
    <w:rsid w:val="00064256"/>
    <w:rsid w:val="000706A4"/>
    <w:rsid w:val="00070A0C"/>
    <w:rsid w:val="00071F80"/>
    <w:rsid w:val="00072118"/>
    <w:rsid w:val="00073173"/>
    <w:rsid w:val="000779AC"/>
    <w:rsid w:val="00080A41"/>
    <w:rsid w:val="00080AA8"/>
    <w:rsid w:val="00083803"/>
    <w:rsid w:val="00083D7F"/>
    <w:rsid w:val="00084393"/>
    <w:rsid w:val="0008716A"/>
    <w:rsid w:val="00087634"/>
    <w:rsid w:val="00091237"/>
    <w:rsid w:val="000916B1"/>
    <w:rsid w:val="0009191B"/>
    <w:rsid w:val="000920EC"/>
    <w:rsid w:val="00092208"/>
    <w:rsid w:val="00092505"/>
    <w:rsid w:val="000927EB"/>
    <w:rsid w:val="00092C9A"/>
    <w:rsid w:val="000973B6"/>
    <w:rsid w:val="00097BFC"/>
    <w:rsid w:val="00097D02"/>
    <w:rsid w:val="000A1183"/>
    <w:rsid w:val="000A2121"/>
    <w:rsid w:val="000A2484"/>
    <w:rsid w:val="000A36CE"/>
    <w:rsid w:val="000A59BF"/>
    <w:rsid w:val="000A66C2"/>
    <w:rsid w:val="000A68A7"/>
    <w:rsid w:val="000B1CFE"/>
    <w:rsid w:val="000B210A"/>
    <w:rsid w:val="000B249B"/>
    <w:rsid w:val="000B2ADE"/>
    <w:rsid w:val="000B3B01"/>
    <w:rsid w:val="000B3DB9"/>
    <w:rsid w:val="000B3F02"/>
    <w:rsid w:val="000B48A2"/>
    <w:rsid w:val="000B48E7"/>
    <w:rsid w:val="000B4F41"/>
    <w:rsid w:val="000B7663"/>
    <w:rsid w:val="000C1106"/>
    <w:rsid w:val="000C11D3"/>
    <w:rsid w:val="000C12F5"/>
    <w:rsid w:val="000C3408"/>
    <w:rsid w:val="000C54AF"/>
    <w:rsid w:val="000C5C0F"/>
    <w:rsid w:val="000C5D56"/>
    <w:rsid w:val="000C6498"/>
    <w:rsid w:val="000D0B22"/>
    <w:rsid w:val="000D0D51"/>
    <w:rsid w:val="000D14B3"/>
    <w:rsid w:val="000D1BFB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E025B"/>
    <w:rsid w:val="000E0ECB"/>
    <w:rsid w:val="000E153A"/>
    <w:rsid w:val="000E19A8"/>
    <w:rsid w:val="000E1EEA"/>
    <w:rsid w:val="000E4241"/>
    <w:rsid w:val="000E4A42"/>
    <w:rsid w:val="000E6476"/>
    <w:rsid w:val="000E78D2"/>
    <w:rsid w:val="000F3332"/>
    <w:rsid w:val="000F33EE"/>
    <w:rsid w:val="000F401E"/>
    <w:rsid w:val="000F5445"/>
    <w:rsid w:val="000F5673"/>
    <w:rsid w:val="000F67B2"/>
    <w:rsid w:val="000F6CFB"/>
    <w:rsid w:val="000F74B6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70EA"/>
    <w:rsid w:val="0011002A"/>
    <w:rsid w:val="001107CE"/>
    <w:rsid w:val="0011110A"/>
    <w:rsid w:val="001118AF"/>
    <w:rsid w:val="00111CA5"/>
    <w:rsid w:val="0011256E"/>
    <w:rsid w:val="0011352E"/>
    <w:rsid w:val="00114FC0"/>
    <w:rsid w:val="00115496"/>
    <w:rsid w:val="00116DB9"/>
    <w:rsid w:val="00116F28"/>
    <w:rsid w:val="00121C39"/>
    <w:rsid w:val="00123255"/>
    <w:rsid w:val="00124D2D"/>
    <w:rsid w:val="00124DA1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6561"/>
    <w:rsid w:val="001400E1"/>
    <w:rsid w:val="001405FA"/>
    <w:rsid w:val="001413B3"/>
    <w:rsid w:val="001425C3"/>
    <w:rsid w:val="00142F16"/>
    <w:rsid w:val="00143E03"/>
    <w:rsid w:val="00143E93"/>
    <w:rsid w:val="00143FA3"/>
    <w:rsid w:val="0014428D"/>
    <w:rsid w:val="001500FC"/>
    <w:rsid w:val="00151AC0"/>
    <w:rsid w:val="00151B27"/>
    <w:rsid w:val="00152046"/>
    <w:rsid w:val="00152E53"/>
    <w:rsid w:val="00154147"/>
    <w:rsid w:val="001550F3"/>
    <w:rsid w:val="00155746"/>
    <w:rsid w:val="00156318"/>
    <w:rsid w:val="0015639A"/>
    <w:rsid w:val="0016081D"/>
    <w:rsid w:val="00160CF3"/>
    <w:rsid w:val="00160E61"/>
    <w:rsid w:val="00161300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3642"/>
    <w:rsid w:val="00173AF4"/>
    <w:rsid w:val="00173CB0"/>
    <w:rsid w:val="00174CE8"/>
    <w:rsid w:val="00174E7D"/>
    <w:rsid w:val="001752CB"/>
    <w:rsid w:val="00175351"/>
    <w:rsid w:val="00175F60"/>
    <w:rsid w:val="00176050"/>
    <w:rsid w:val="001764D8"/>
    <w:rsid w:val="00176A8F"/>
    <w:rsid w:val="00180D58"/>
    <w:rsid w:val="00181938"/>
    <w:rsid w:val="00182981"/>
    <w:rsid w:val="00184CF9"/>
    <w:rsid w:val="00185010"/>
    <w:rsid w:val="001852EC"/>
    <w:rsid w:val="001857D6"/>
    <w:rsid w:val="00186447"/>
    <w:rsid w:val="001874CF"/>
    <w:rsid w:val="00190214"/>
    <w:rsid w:val="00190D9B"/>
    <w:rsid w:val="00191BAE"/>
    <w:rsid w:val="00193432"/>
    <w:rsid w:val="0019346C"/>
    <w:rsid w:val="00194AE3"/>
    <w:rsid w:val="00195335"/>
    <w:rsid w:val="00195444"/>
    <w:rsid w:val="0019579E"/>
    <w:rsid w:val="001A199D"/>
    <w:rsid w:val="001A2BDB"/>
    <w:rsid w:val="001A30F4"/>
    <w:rsid w:val="001A47AB"/>
    <w:rsid w:val="001A4C0D"/>
    <w:rsid w:val="001A552F"/>
    <w:rsid w:val="001A56F3"/>
    <w:rsid w:val="001A737B"/>
    <w:rsid w:val="001A750C"/>
    <w:rsid w:val="001B1D89"/>
    <w:rsid w:val="001B2143"/>
    <w:rsid w:val="001B3110"/>
    <w:rsid w:val="001B4198"/>
    <w:rsid w:val="001B44BC"/>
    <w:rsid w:val="001B5215"/>
    <w:rsid w:val="001B5888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E0E"/>
    <w:rsid w:val="001C0EB9"/>
    <w:rsid w:val="001C1219"/>
    <w:rsid w:val="001C357A"/>
    <w:rsid w:val="001C3A37"/>
    <w:rsid w:val="001C4384"/>
    <w:rsid w:val="001C55F5"/>
    <w:rsid w:val="001C65FF"/>
    <w:rsid w:val="001D3787"/>
    <w:rsid w:val="001D47E5"/>
    <w:rsid w:val="001D584C"/>
    <w:rsid w:val="001D5E1B"/>
    <w:rsid w:val="001D66C1"/>
    <w:rsid w:val="001D7C6F"/>
    <w:rsid w:val="001E0024"/>
    <w:rsid w:val="001E0C65"/>
    <w:rsid w:val="001E23E3"/>
    <w:rsid w:val="001E29AF"/>
    <w:rsid w:val="001E387A"/>
    <w:rsid w:val="001E3DA4"/>
    <w:rsid w:val="001E5469"/>
    <w:rsid w:val="001E5830"/>
    <w:rsid w:val="001E684C"/>
    <w:rsid w:val="001E701C"/>
    <w:rsid w:val="001E7552"/>
    <w:rsid w:val="001E7C03"/>
    <w:rsid w:val="001F02AF"/>
    <w:rsid w:val="001F0649"/>
    <w:rsid w:val="001F28F4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294A"/>
    <w:rsid w:val="00203074"/>
    <w:rsid w:val="00203B46"/>
    <w:rsid w:val="002048E1"/>
    <w:rsid w:val="00207DB6"/>
    <w:rsid w:val="00210278"/>
    <w:rsid w:val="00210CC2"/>
    <w:rsid w:val="00210F5B"/>
    <w:rsid w:val="00210FFA"/>
    <w:rsid w:val="00211262"/>
    <w:rsid w:val="002115F5"/>
    <w:rsid w:val="00211AC9"/>
    <w:rsid w:val="002131D4"/>
    <w:rsid w:val="0021329E"/>
    <w:rsid w:val="0021355B"/>
    <w:rsid w:val="00215A2C"/>
    <w:rsid w:val="00217980"/>
    <w:rsid w:val="002179F9"/>
    <w:rsid w:val="002205F2"/>
    <w:rsid w:val="0022080E"/>
    <w:rsid w:val="00220838"/>
    <w:rsid w:val="00220B20"/>
    <w:rsid w:val="0022139E"/>
    <w:rsid w:val="0022272B"/>
    <w:rsid w:val="00222A99"/>
    <w:rsid w:val="00223678"/>
    <w:rsid w:val="002236F7"/>
    <w:rsid w:val="00223E00"/>
    <w:rsid w:val="002252E0"/>
    <w:rsid w:val="002255F6"/>
    <w:rsid w:val="00226466"/>
    <w:rsid w:val="002266D0"/>
    <w:rsid w:val="00226887"/>
    <w:rsid w:val="00227991"/>
    <w:rsid w:val="00230DAD"/>
    <w:rsid w:val="0023229C"/>
    <w:rsid w:val="0023301B"/>
    <w:rsid w:val="002334DF"/>
    <w:rsid w:val="0023355C"/>
    <w:rsid w:val="00234280"/>
    <w:rsid w:val="00234DD5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FDC"/>
    <w:rsid w:val="002532E2"/>
    <w:rsid w:val="002550D8"/>
    <w:rsid w:val="00257613"/>
    <w:rsid w:val="00261A0F"/>
    <w:rsid w:val="00261E5B"/>
    <w:rsid w:val="00262F34"/>
    <w:rsid w:val="00263470"/>
    <w:rsid w:val="00263733"/>
    <w:rsid w:val="00264676"/>
    <w:rsid w:val="00265536"/>
    <w:rsid w:val="00265E54"/>
    <w:rsid w:val="00266F3E"/>
    <w:rsid w:val="00270785"/>
    <w:rsid w:val="00272464"/>
    <w:rsid w:val="00272B0B"/>
    <w:rsid w:val="00272CC5"/>
    <w:rsid w:val="00273C60"/>
    <w:rsid w:val="00273DCD"/>
    <w:rsid w:val="00274291"/>
    <w:rsid w:val="00276C09"/>
    <w:rsid w:val="00276CFE"/>
    <w:rsid w:val="00277071"/>
    <w:rsid w:val="0027786C"/>
    <w:rsid w:val="00277BF7"/>
    <w:rsid w:val="00281416"/>
    <w:rsid w:val="00283C61"/>
    <w:rsid w:val="00285CD3"/>
    <w:rsid w:val="0028633E"/>
    <w:rsid w:val="0028686A"/>
    <w:rsid w:val="00286E66"/>
    <w:rsid w:val="002870B7"/>
    <w:rsid w:val="002919B5"/>
    <w:rsid w:val="00293441"/>
    <w:rsid w:val="00294238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821"/>
    <w:rsid w:val="002A74D2"/>
    <w:rsid w:val="002A7CDA"/>
    <w:rsid w:val="002A7F47"/>
    <w:rsid w:val="002B1544"/>
    <w:rsid w:val="002B1DC1"/>
    <w:rsid w:val="002B36C8"/>
    <w:rsid w:val="002B385B"/>
    <w:rsid w:val="002B71B4"/>
    <w:rsid w:val="002B7240"/>
    <w:rsid w:val="002C0FF4"/>
    <w:rsid w:val="002C125A"/>
    <w:rsid w:val="002C2668"/>
    <w:rsid w:val="002C43BD"/>
    <w:rsid w:val="002C493D"/>
    <w:rsid w:val="002C5261"/>
    <w:rsid w:val="002C6091"/>
    <w:rsid w:val="002D0562"/>
    <w:rsid w:val="002D1B5A"/>
    <w:rsid w:val="002D2500"/>
    <w:rsid w:val="002D338A"/>
    <w:rsid w:val="002D3F00"/>
    <w:rsid w:val="002D4D59"/>
    <w:rsid w:val="002D54BF"/>
    <w:rsid w:val="002D5C3D"/>
    <w:rsid w:val="002D5E94"/>
    <w:rsid w:val="002D632D"/>
    <w:rsid w:val="002D6FC7"/>
    <w:rsid w:val="002E02A1"/>
    <w:rsid w:val="002E0982"/>
    <w:rsid w:val="002E0DB9"/>
    <w:rsid w:val="002E2CE4"/>
    <w:rsid w:val="002E34F3"/>
    <w:rsid w:val="002E4217"/>
    <w:rsid w:val="002E435E"/>
    <w:rsid w:val="002E73F2"/>
    <w:rsid w:val="002F33FB"/>
    <w:rsid w:val="002F663A"/>
    <w:rsid w:val="002F68A4"/>
    <w:rsid w:val="002F7594"/>
    <w:rsid w:val="002F7902"/>
    <w:rsid w:val="003003E7"/>
    <w:rsid w:val="00300D6F"/>
    <w:rsid w:val="00301357"/>
    <w:rsid w:val="00301D04"/>
    <w:rsid w:val="003035D4"/>
    <w:rsid w:val="00303A3C"/>
    <w:rsid w:val="00303DCB"/>
    <w:rsid w:val="00304771"/>
    <w:rsid w:val="00305736"/>
    <w:rsid w:val="00305C33"/>
    <w:rsid w:val="00306C5B"/>
    <w:rsid w:val="00306E3B"/>
    <w:rsid w:val="00310AD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3CF7"/>
    <w:rsid w:val="00323E61"/>
    <w:rsid w:val="0032513D"/>
    <w:rsid w:val="00326251"/>
    <w:rsid w:val="0032739C"/>
    <w:rsid w:val="00327DEE"/>
    <w:rsid w:val="003302DA"/>
    <w:rsid w:val="00330EB0"/>
    <w:rsid w:val="00331574"/>
    <w:rsid w:val="0033229B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E57"/>
    <w:rsid w:val="003541B0"/>
    <w:rsid w:val="0035457E"/>
    <w:rsid w:val="00355885"/>
    <w:rsid w:val="0035605E"/>
    <w:rsid w:val="00356244"/>
    <w:rsid w:val="00357449"/>
    <w:rsid w:val="0036238B"/>
    <w:rsid w:val="003630B0"/>
    <w:rsid w:val="003649FC"/>
    <w:rsid w:val="003651A4"/>
    <w:rsid w:val="00365680"/>
    <w:rsid w:val="003657F3"/>
    <w:rsid w:val="00366D4D"/>
    <w:rsid w:val="00367038"/>
    <w:rsid w:val="00370963"/>
    <w:rsid w:val="0037144E"/>
    <w:rsid w:val="00372272"/>
    <w:rsid w:val="003736B5"/>
    <w:rsid w:val="00374F1E"/>
    <w:rsid w:val="003750CF"/>
    <w:rsid w:val="00375A22"/>
    <w:rsid w:val="00376DEC"/>
    <w:rsid w:val="00377200"/>
    <w:rsid w:val="00377666"/>
    <w:rsid w:val="0038034A"/>
    <w:rsid w:val="00380E04"/>
    <w:rsid w:val="00380E6C"/>
    <w:rsid w:val="00383227"/>
    <w:rsid w:val="003839C9"/>
    <w:rsid w:val="0038422D"/>
    <w:rsid w:val="00384D8F"/>
    <w:rsid w:val="003857A2"/>
    <w:rsid w:val="00385D98"/>
    <w:rsid w:val="00385EC5"/>
    <w:rsid w:val="0038658E"/>
    <w:rsid w:val="003875C2"/>
    <w:rsid w:val="0039066E"/>
    <w:rsid w:val="00391C95"/>
    <w:rsid w:val="00392110"/>
    <w:rsid w:val="00393D74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B1C"/>
    <w:rsid w:val="003A4088"/>
    <w:rsid w:val="003A478C"/>
    <w:rsid w:val="003A4F82"/>
    <w:rsid w:val="003A5525"/>
    <w:rsid w:val="003A6B38"/>
    <w:rsid w:val="003B2142"/>
    <w:rsid w:val="003B2580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26F4"/>
    <w:rsid w:val="003C3686"/>
    <w:rsid w:val="003C4852"/>
    <w:rsid w:val="003C5BC7"/>
    <w:rsid w:val="003C601E"/>
    <w:rsid w:val="003C66C4"/>
    <w:rsid w:val="003D2C4E"/>
    <w:rsid w:val="003D3600"/>
    <w:rsid w:val="003D3825"/>
    <w:rsid w:val="003D3EC4"/>
    <w:rsid w:val="003D44E2"/>
    <w:rsid w:val="003D4760"/>
    <w:rsid w:val="003D49DC"/>
    <w:rsid w:val="003D4DD9"/>
    <w:rsid w:val="003D4FB5"/>
    <w:rsid w:val="003D5D7A"/>
    <w:rsid w:val="003D5E4B"/>
    <w:rsid w:val="003D653F"/>
    <w:rsid w:val="003E0663"/>
    <w:rsid w:val="003E133F"/>
    <w:rsid w:val="003E49F6"/>
    <w:rsid w:val="003E699C"/>
    <w:rsid w:val="003E69F3"/>
    <w:rsid w:val="003E7550"/>
    <w:rsid w:val="003E782E"/>
    <w:rsid w:val="003E7A0B"/>
    <w:rsid w:val="003E7B2B"/>
    <w:rsid w:val="003F116D"/>
    <w:rsid w:val="003F181F"/>
    <w:rsid w:val="003F1A48"/>
    <w:rsid w:val="003F1E23"/>
    <w:rsid w:val="003F22F6"/>
    <w:rsid w:val="003F2B0A"/>
    <w:rsid w:val="003F313C"/>
    <w:rsid w:val="003F32AB"/>
    <w:rsid w:val="003F341B"/>
    <w:rsid w:val="003F37FC"/>
    <w:rsid w:val="003F3A26"/>
    <w:rsid w:val="003F49A6"/>
    <w:rsid w:val="003F5047"/>
    <w:rsid w:val="003F5098"/>
    <w:rsid w:val="003F5568"/>
    <w:rsid w:val="003F5A95"/>
    <w:rsid w:val="003F6D19"/>
    <w:rsid w:val="004000D5"/>
    <w:rsid w:val="00400244"/>
    <w:rsid w:val="004005C1"/>
    <w:rsid w:val="00401716"/>
    <w:rsid w:val="004018F7"/>
    <w:rsid w:val="00401A09"/>
    <w:rsid w:val="0040273A"/>
    <w:rsid w:val="00402C25"/>
    <w:rsid w:val="004036FB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3BE"/>
    <w:rsid w:val="00414CE5"/>
    <w:rsid w:val="00416673"/>
    <w:rsid w:val="0042160D"/>
    <w:rsid w:val="00423A3C"/>
    <w:rsid w:val="00423C04"/>
    <w:rsid w:val="0042681B"/>
    <w:rsid w:val="00427193"/>
    <w:rsid w:val="0043068A"/>
    <w:rsid w:val="004306E0"/>
    <w:rsid w:val="00431D54"/>
    <w:rsid w:val="00431F98"/>
    <w:rsid w:val="004329BE"/>
    <w:rsid w:val="00432C38"/>
    <w:rsid w:val="004342EC"/>
    <w:rsid w:val="00437C76"/>
    <w:rsid w:val="00437F4A"/>
    <w:rsid w:val="0044105C"/>
    <w:rsid w:val="00442197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E36"/>
    <w:rsid w:val="00450700"/>
    <w:rsid w:val="00450C30"/>
    <w:rsid w:val="004529C7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65E"/>
    <w:rsid w:val="004676E2"/>
    <w:rsid w:val="00471EDD"/>
    <w:rsid w:val="00473E94"/>
    <w:rsid w:val="0047400C"/>
    <w:rsid w:val="004745D9"/>
    <w:rsid w:val="00474B94"/>
    <w:rsid w:val="004761D2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127"/>
    <w:rsid w:val="004879E9"/>
    <w:rsid w:val="00487F81"/>
    <w:rsid w:val="00490247"/>
    <w:rsid w:val="0049104F"/>
    <w:rsid w:val="00491218"/>
    <w:rsid w:val="00491CFD"/>
    <w:rsid w:val="00492991"/>
    <w:rsid w:val="00493362"/>
    <w:rsid w:val="00494343"/>
    <w:rsid w:val="00494AAB"/>
    <w:rsid w:val="00496C2F"/>
    <w:rsid w:val="0049740D"/>
    <w:rsid w:val="004978D3"/>
    <w:rsid w:val="004A11F8"/>
    <w:rsid w:val="004A22BD"/>
    <w:rsid w:val="004A22FA"/>
    <w:rsid w:val="004A269A"/>
    <w:rsid w:val="004A26DB"/>
    <w:rsid w:val="004A30FB"/>
    <w:rsid w:val="004A35DD"/>
    <w:rsid w:val="004A37D3"/>
    <w:rsid w:val="004A3AD6"/>
    <w:rsid w:val="004A5865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55B7"/>
    <w:rsid w:val="004B5836"/>
    <w:rsid w:val="004B5F05"/>
    <w:rsid w:val="004C00A6"/>
    <w:rsid w:val="004C0BBB"/>
    <w:rsid w:val="004C1AD6"/>
    <w:rsid w:val="004C1B86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458D"/>
    <w:rsid w:val="004D4F13"/>
    <w:rsid w:val="004D504B"/>
    <w:rsid w:val="004D536E"/>
    <w:rsid w:val="004D70B1"/>
    <w:rsid w:val="004D76CC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4353"/>
    <w:rsid w:val="004F447D"/>
    <w:rsid w:val="004F4C28"/>
    <w:rsid w:val="004F4E82"/>
    <w:rsid w:val="004F5470"/>
    <w:rsid w:val="004F5CC5"/>
    <w:rsid w:val="004F6350"/>
    <w:rsid w:val="004F7170"/>
    <w:rsid w:val="005028E1"/>
    <w:rsid w:val="00505989"/>
    <w:rsid w:val="00506309"/>
    <w:rsid w:val="0050692E"/>
    <w:rsid w:val="00507040"/>
    <w:rsid w:val="005079F8"/>
    <w:rsid w:val="00510189"/>
    <w:rsid w:val="005108C0"/>
    <w:rsid w:val="00511873"/>
    <w:rsid w:val="00512603"/>
    <w:rsid w:val="0051367B"/>
    <w:rsid w:val="00513A89"/>
    <w:rsid w:val="00513B7E"/>
    <w:rsid w:val="005140DE"/>
    <w:rsid w:val="00514474"/>
    <w:rsid w:val="005147E9"/>
    <w:rsid w:val="0051593C"/>
    <w:rsid w:val="00517567"/>
    <w:rsid w:val="0051778E"/>
    <w:rsid w:val="005215EF"/>
    <w:rsid w:val="00524637"/>
    <w:rsid w:val="00524FDD"/>
    <w:rsid w:val="00525137"/>
    <w:rsid w:val="005251DD"/>
    <w:rsid w:val="00526DB6"/>
    <w:rsid w:val="0053017A"/>
    <w:rsid w:val="00530492"/>
    <w:rsid w:val="005308E4"/>
    <w:rsid w:val="00532854"/>
    <w:rsid w:val="005350F2"/>
    <w:rsid w:val="00535152"/>
    <w:rsid w:val="00535359"/>
    <w:rsid w:val="005357A2"/>
    <w:rsid w:val="005359E3"/>
    <w:rsid w:val="00535D87"/>
    <w:rsid w:val="00535EF0"/>
    <w:rsid w:val="005363DF"/>
    <w:rsid w:val="0053734B"/>
    <w:rsid w:val="005375B1"/>
    <w:rsid w:val="00537AFD"/>
    <w:rsid w:val="00537CB4"/>
    <w:rsid w:val="0054516B"/>
    <w:rsid w:val="0054559E"/>
    <w:rsid w:val="005459BD"/>
    <w:rsid w:val="005513D5"/>
    <w:rsid w:val="005523B9"/>
    <w:rsid w:val="005545E0"/>
    <w:rsid w:val="00554865"/>
    <w:rsid w:val="00554E57"/>
    <w:rsid w:val="00557E6A"/>
    <w:rsid w:val="00562749"/>
    <w:rsid w:val="00562DE9"/>
    <w:rsid w:val="005638A5"/>
    <w:rsid w:val="00566381"/>
    <w:rsid w:val="00566A03"/>
    <w:rsid w:val="00571932"/>
    <w:rsid w:val="00573C97"/>
    <w:rsid w:val="00574240"/>
    <w:rsid w:val="0057454C"/>
    <w:rsid w:val="005752EB"/>
    <w:rsid w:val="00575CDC"/>
    <w:rsid w:val="005765D5"/>
    <w:rsid w:val="00576A3E"/>
    <w:rsid w:val="0057703D"/>
    <w:rsid w:val="00581892"/>
    <w:rsid w:val="0058366F"/>
    <w:rsid w:val="00583D5B"/>
    <w:rsid w:val="00583FFD"/>
    <w:rsid w:val="00587CCD"/>
    <w:rsid w:val="005908AE"/>
    <w:rsid w:val="0059176E"/>
    <w:rsid w:val="00592854"/>
    <w:rsid w:val="00593152"/>
    <w:rsid w:val="005934CE"/>
    <w:rsid w:val="00593CA3"/>
    <w:rsid w:val="00594161"/>
    <w:rsid w:val="00594969"/>
    <w:rsid w:val="00594B91"/>
    <w:rsid w:val="00595035"/>
    <w:rsid w:val="00596C5E"/>
    <w:rsid w:val="005A2194"/>
    <w:rsid w:val="005A21E0"/>
    <w:rsid w:val="005A3210"/>
    <w:rsid w:val="005A33A1"/>
    <w:rsid w:val="005A3687"/>
    <w:rsid w:val="005A54EE"/>
    <w:rsid w:val="005A563B"/>
    <w:rsid w:val="005A5F82"/>
    <w:rsid w:val="005A6E85"/>
    <w:rsid w:val="005A7500"/>
    <w:rsid w:val="005A77E4"/>
    <w:rsid w:val="005B0262"/>
    <w:rsid w:val="005B0B8F"/>
    <w:rsid w:val="005B1BDB"/>
    <w:rsid w:val="005B22A7"/>
    <w:rsid w:val="005B2BAA"/>
    <w:rsid w:val="005B2D53"/>
    <w:rsid w:val="005B3247"/>
    <w:rsid w:val="005B3409"/>
    <w:rsid w:val="005B498A"/>
    <w:rsid w:val="005B5464"/>
    <w:rsid w:val="005B7B12"/>
    <w:rsid w:val="005C16CB"/>
    <w:rsid w:val="005C21D6"/>
    <w:rsid w:val="005C3F9F"/>
    <w:rsid w:val="005C406F"/>
    <w:rsid w:val="005C4A23"/>
    <w:rsid w:val="005C562C"/>
    <w:rsid w:val="005C5812"/>
    <w:rsid w:val="005C6400"/>
    <w:rsid w:val="005C7F1E"/>
    <w:rsid w:val="005D073B"/>
    <w:rsid w:val="005D25B4"/>
    <w:rsid w:val="005D374F"/>
    <w:rsid w:val="005D5802"/>
    <w:rsid w:val="005D6CFC"/>
    <w:rsid w:val="005D73E2"/>
    <w:rsid w:val="005D757A"/>
    <w:rsid w:val="005D7C4B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4057"/>
    <w:rsid w:val="005F4088"/>
    <w:rsid w:val="005F42F4"/>
    <w:rsid w:val="005F4C83"/>
    <w:rsid w:val="005F5916"/>
    <w:rsid w:val="005F601D"/>
    <w:rsid w:val="005F6119"/>
    <w:rsid w:val="005F7940"/>
    <w:rsid w:val="0060107A"/>
    <w:rsid w:val="00601AFF"/>
    <w:rsid w:val="00602D1D"/>
    <w:rsid w:val="00604307"/>
    <w:rsid w:val="0060487F"/>
    <w:rsid w:val="00605814"/>
    <w:rsid w:val="00606B93"/>
    <w:rsid w:val="00607727"/>
    <w:rsid w:val="00607934"/>
    <w:rsid w:val="00610BD5"/>
    <w:rsid w:val="00611363"/>
    <w:rsid w:val="00611531"/>
    <w:rsid w:val="006118AA"/>
    <w:rsid w:val="00611C28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94E"/>
    <w:rsid w:val="00634C90"/>
    <w:rsid w:val="00635818"/>
    <w:rsid w:val="00635E79"/>
    <w:rsid w:val="00636E5E"/>
    <w:rsid w:val="006379E0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504A0"/>
    <w:rsid w:val="006520C7"/>
    <w:rsid w:val="006520D5"/>
    <w:rsid w:val="00652CBB"/>
    <w:rsid w:val="006530B8"/>
    <w:rsid w:val="006535D6"/>
    <w:rsid w:val="00656716"/>
    <w:rsid w:val="006572ED"/>
    <w:rsid w:val="00657E87"/>
    <w:rsid w:val="00660457"/>
    <w:rsid w:val="00660CB4"/>
    <w:rsid w:val="00660E1E"/>
    <w:rsid w:val="006637B1"/>
    <w:rsid w:val="00663CFD"/>
    <w:rsid w:val="00664B64"/>
    <w:rsid w:val="00665D67"/>
    <w:rsid w:val="00665D77"/>
    <w:rsid w:val="006660CD"/>
    <w:rsid w:val="00666EC8"/>
    <w:rsid w:val="00666F4B"/>
    <w:rsid w:val="006676D0"/>
    <w:rsid w:val="0066796E"/>
    <w:rsid w:val="00670FAC"/>
    <w:rsid w:val="006710C9"/>
    <w:rsid w:val="006716A5"/>
    <w:rsid w:val="00675E37"/>
    <w:rsid w:val="006764ED"/>
    <w:rsid w:val="00676AFC"/>
    <w:rsid w:val="00676F11"/>
    <w:rsid w:val="00680079"/>
    <w:rsid w:val="00680ECC"/>
    <w:rsid w:val="00680F68"/>
    <w:rsid w:val="0068260E"/>
    <w:rsid w:val="0068373D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18AE"/>
    <w:rsid w:val="006A2EE8"/>
    <w:rsid w:val="006A3CF3"/>
    <w:rsid w:val="006A568F"/>
    <w:rsid w:val="006A65EF"/>
    <w:rsid w:val="006A672B"/>
    <w:rsid w:val="006B1781"/>
    <w:rsid w:val="006B23A9"/>
    <w:rsid w:val="006B23D8"/>
    <w:rsid w:val="006B281D"/>
    <w:rsid w:val="006B3F8A"/>
    <w:rsid w:val="006B5CA3"/>
    <w:rsid w:val="006B6B3B"/>
    <w:rsid w:val="006B7248"/>
    <w:rsid w:val="006B7714"/>
    <w:rsid w:val="006B78D8"/>
    <w:rsid w:val="006C090F"/>
    <w:rsid w:val="006C0935"/>
    <w:rsid w:val="006C0BCE"/>
    <w:rsid w:val="006C113F"/>
    <w:rsid w:val="006C2AED"/>
    <w:rsid w:val="006C38DD"/>
    <w:rsid w:val="006C457F"/>
    <w:rsid w:val="006C53C7"/>
    <w:rsid w:val="006C5577"/>
    <w:rsid w:val="006C559A"/>
    <w:rsid w:val="006C58FA"/>
    <w:rsid w:val="006D004F"/>
    <w:rsid w:val="006D042D"/>
    <w:rsid w:val="006D06EF"/>
    <w:rsid w:val="006D142E"/>
    <w:rsid w:val="006D3B87"/>
    <w:rsid w:val="006D4497"/>
    <w:rsid w:val="006D4E6F"/>
    <w:rsid w:val="006D61F6"/>
    <w:rsid w:val="006D710C"/>
    <w:rsid w:val="006E0EB0"/>
    <w:rsid w:val="006E182C"/>
    <w:rsid w:val="006E1F4C"/>
    <w:rsid w:val="006E22C8"/>
    <w:rsid w:val="006E279A"/>
    <w:rsid w:val="006E2C28"/>
    <w:rsid w:val="006E2F3F"/>
    <w:rsid w:val="006E313B"/>
    <w:rsid w:val="006E442A"/>
    <w:rsid w:val="006E4434"/>
    <w:rsid w:val="006E59FC"/>
    <w:rsid w:val="006E5CFD"/>
    <w:rsid w:val="006E7E2C"/>
    <w:rsid w:val="006F1326"/>
    <w:rsid w:val="006F2280"/>
    <w:rsid w:val="006F2BEE"/>
    <w:rsid w:val="006F3708"/>
    <w:rsid w:val="006F376C"/>
    <w:rsid w:val="006F3E6B"/>
    <w:rsid w:val="006F4619"/>
    <w:rsid w:val="006F4A59"/>
    <w:rsid w:val="006F6968"/>
    <w:rsid w:val="00700232"/>
    <w:rsid w:val="00701382"/>
    <w:rsid w:val="007014C7"/>
    <w:rsid w:val="00702100"/>
    <w:rsid w:val="00702D6F"/>
    <w:rsid w:val="00703B6C"/>
    <w:rsid w:val="00703C6B"/>
    <w:rsid w:val="007047D5"/>
    <w:rsid w:val="00705D98"/>
    <w:rsid w:val="00707891"/>
    <w:rsid w:val="00707D43"/>
    <w:rsid w:val="00710F7C"/>
    <w:rsid w:val="00711EF1"/>
    <w:rsid w:val="0071229A"/>
    <w:rsid w:val="00712572"/>
    <w:rsid w:val="00713495"/>
    <w:rsid w:val="00713EEB"/>
    <w:rsid w:val="007159D2"/>
    <w:rsid w:val="00717726"/>
    <w:rsid w:val="0072050E"/>
    <w:rsid w:val="00720958"/>
    <w:rsid w:val="00720FA2"/>
    <w:rsid w:val="007211F5"/>
    <w:rsid w:val="00724666"/>
    <w:rsid w:val="00724E80"/>
    <w:rsid w:val="00725492"/>
    <w:rsid w:val="007256B7"/>
    <w:rsid w:val="00726043"/>
    <w:rsid w:val="0072704A"/>
    <w:rsid w:val="00730AE8"/>
    <w:rsid w:val="007315DA"/>
    <w:rsid w:val="00731963"/>
    <w:rsid w:val="00732706"/>
    <w:rsid w:val="00734321"/>
    <w:rsid w:val="007351BE"/>
    <w:rsid w:val="0073532E"/>
    <w:rsid w:val="00735B01"/>
    <w:rsid w:val="00740310"/>
    <w:rsid w:val="00740652"/>
    <w:rsid w:val="00740F02"/>
    <w:rsid w:val="00740FEC"/>
    <w:rsid w:val="0074132E"/>
    <w:rsid w:val="00741493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5F3C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36"/>
    <w:rsid w:val="007620F2"/>
    <w:rsid w:val="00762EBA"/>
    <w:rsid w:val="0076359D"/>
    <w:rsid w:val="0077058D"/>
    <w:rsid w:val="00770931"/>
    <w:rsid w:val="00772536"/>
    <w:rsid w:val="00773613"/>
    <w:rsid w:val="00774782"/>
    <w:rsid w:val="00776476"/>
    <w:rsid w:val="00776527"/>
    <w:rsid w:val="007805E1"/>
    <w:rsid w:val="0078113E"/>
    <w:rsid w:val="00781834"/>
    <w:rsid w:val="007821DB"/>
    <w:rsid w:val="00782818"/>
    <w:rsid w:val="007838F1"/>
    <w:rsid w:val="00784C4A"/>
    <w:rsid w:val="00787432"/>
    <w:rsid w:val="00787507"/>
    <w:rsid w:val="007877B5"/>
    <w:rsid w:val="007879F2"/>
    <w:rsid w:val="00790393"/>
    <w:rsid w:val="00791804"/>
    <w:rsid w:val="00791CF8"/>
    <w:rsid w:val="00791EF9"/>
    <w:rsid w:val="00792262"/>
    <w:rsid w:val="00793387"/>
    <w:rsid w:val="00793BAE"/>
    <w:rsid w:val="00794870"/>
    <w:rsid w:val="00794E0A"/>
    <w:rsid w:val="00795B04"/>
    <w:rsid w:val="00796642"/>
    <w:rsid w:val="007A11D9"/>
    <w:rsid w:val="007A327B"/>
    <w:rsid w:val="007A4048"/>
    <w:rsid w:val="007A45B1"/>
    <w:rsid w:val="007A4606"/>
    <w:rsid w:val="007A4D58"/>
    <w:rsid w:val="007B0D67"/>
    <w:rsid w:val="007B1966"/>
    <w:rsid w:val="007B2257"/>
    <w:rsid w:val="007B2779"/>
    <w:rsid w:val="007B2AF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605B"/>
    <w:rsid w:val="007C6EBA"/>
    <w:rsid w:val="007D2A5A"/>
    <w:rsid w:val="007D2AD8"/>
    <w:rsid w:val="007D2C47"/>
    <w:rsid w:val="007D2C61"/>
    <w:rsid w:val="007D2F81"/>
    <w:rsid w:val="007D3167"/>
    <w:rsid w:val="007D3CF7"/>
    <w:rsid w:val="007D4128"/>
    <w:rsid w:val="007D4281"/>
    <w:rsid w:val="007D42F5"/>
    <w:rsid w:val="007D44C3"/>
    <w:rsid w:val="007D5947"/>
    <w:rsid w:val="007D65C1"/>
    <w:rsid w:val="007E030F"/>
    <w:rsid w:val="007E0D49"/>
    <w:rsid w:val="007E0E59"/>
    <w:rsid w:val="007E0F4B"/>
    <w:rsid w:val="007E12C1"/>
    <w:rsid w:val="007E1EF7"/>
    <w:rsid w:val="007E3715"/>
    <w:rsid w:val="007E5F3D"/>
    <w:rsid w:val="007E6588"/>
    <w:rsid w:val="007E7063"/>
    <w:rsid w:val="007E7E61"/>
    <w:rsid w:val="007F0316"/>
    <w:rsid w:val="007F0845"/>
    <w:rsid w:val="007F1092"/>
    <w:rsid w:val="007F16F9"/>
    <w:rsid w:val="007F2801"/>
    <w:rsid w:val="007F3E3E"/>
    <w:rsid w:val="007F42E0"/>
    <w:rsid w:val="007F500D"/>
    <w:rsid w:val="007F5F14"/>
    <w:rsid w:val="007F7B54"/>
    <w:rsid w:val="007F7C60"/>
    <w:rsid w:val="00800073"/>
    <w:rsid w:val="008005D7"/>
    <w:rsid w:val="00801FDD"/>
    <w:rsid w:val="008020C2"/>
    <w:rsid w:val="0080255C"/>
    <w:rsid w:val="00806088"/>
    <w:rsid w:val="00806D07"/>
    <w:rsid w:val="0081019B"/>
    <w:rsid w:val="0081187C"/>
    <w:rsid w:val="00811E24"/>
    <w:rsid w:val="00812386"/>
    <w:rsid w:val="00812E2B"/>
    <w:rsid w:val="00813A70"/>
    <w:rsid w:val="00813FE6"/>
    <w:rsid w:val="00815C6E"/>
    <w:rsid w:val="00815DD0"/>
    <w:rsid w:val="00815F10"/>
    <w:rsid w:val="0081645F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4C3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078"/>
    <w:rsid w:val="00842604"/>
    <w:rsid w:val="00843ECF"/>
    <w:rsid w:val="00845AB1"/>
    <w:rsid w:val="00846673"/>
    <w:rsid w:val="008508A9"/>
    <w:rsid w:val="0085188D"/>
    <w:rsid w:val="008525F9"/>
    <w:rsid w:val="0085281A"/>
    <w:rsid w:val="00853F33"/>
    <w:rsid w:val="008550EA"/>
    <w:rsid w:val="008559FE"/>
    <w:rsid w:val="00857339"/>
    <w:rsid w:val="00860706"/>
    <w:rsid w:val="00862A7A"/>
    <w:rsid w:val="00862FBD"/>
    <w:rsid w:val="00863104"/>
    <w:rsid w:val="008636CD"/>
    <w:rsid w:val="00863702"/>
    <w:rsid w:val="00863D9E"/>
    <w:rsid w:val="00863FDC"/>
    <w:rsid w:val="008642AF"/>
    <w:rsid w:val="00865286"/>
    <w:rsid w:val="00865729"/>
    <w:rsid w:val="00865ED4"/>
    <w:rsid w:val="008669A7"/>
    <w:rsid w:val="00867464"/>
    <w:rsid w:val="00867D15"/>
    <w:rsid w:val="00867E29"/>
    <w:rsid w:val="00870F2B"/>
    <w:rsid w:val="00873B2E"/>
    <w:rsid w:val="008746E6"/>
    <w:rsid w:val="0087515D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3A67"/>
    <w:rsid w:val="00883D45"/>
    <w:rsid w:val="00884D69"/>
    <w:rsid w:val="0088503D"/>
    <w:rsid w:val="00885EC6"/>
    <w:rsid w:val="008869D2"/>
    <w:rsid w:val="00886A8F"/>
    <w:rsid w:val="0088733A"/>
    <w:rsid w:val="00891BE0"/>
    <w:rsid w:val="00893302"/>
    <w:rsid w:val="00893648"/>
    <w:rsid w:val="00893F3C"/>
    <w:rsid w:val="008945A1"/>
    <w:rsid w:val="00894A63"/>
    <w:rsid w:val="00895A54"/>
    <w:rsid w:val="00896776"/>
    <w:rsid w:val="00896916"/>
    <w:rsid w:val="00896BDE"/>
    <w:rsid w:val="0089763E"/>
    <w:rsid w:val="008A03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A73DA"/>
    <w:rsid w:val="008B00C2"/>
    <w:rsid w:val="008B05E8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13EA"/>
    <w:rsid w:val="008D2671"/>
    <w:rsid w:val="008D2A16"/>
    <w:rsid w:val="008D2ECF"/>
    <w:rsid w:val="008D347D"/>
    <w:rsid w:val="008D3F3D"/>
    <w:rsid w:val="008D4376"/>
    <w:rsid w:val="008E0367"/>
    <w:rsid w:val="008E308D"/>
    <w:rsid w:val="008E31F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2097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CBE"/>
    <w:rsid w:val="00902D74"/>
    <w:rsid w:val="00902EFF"/>
    <w:rsid w:val="00903E06"/>
    <w:rsid w:val="009045D1"/>
    <w:rsid w:val="00904B9D"/>
    <w:rsid w:val="00905A11"/>
    <w:rsid w:val="00905FE8"/>
    <w:rsid w:val="00906225"/>
    <w:rsid w:val="009066E1"/>
    <w:rsid w:val="00906F67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0F"/>
    <w:rsid w:val="009250D2"/>
    <w:rsid w:val="0092519D"/>
    <w:rsid w:val="0092540B"/>
    <w:rsid w:val="009256C5"/>
    <w:rsid w:val="00926283"/>
    <w:rsid w:val="009306BE"/>
    <w:rsid w:val="00934963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700DB"/>
    <w:rsid w:val="00971DC6"/>
    <w:rsid w:val="00972263"/>
    <w:rsid w:val="00972502"/>
    <w:rsid w:val="00972D8D"/>
    <w:rsid w:val="00973AAE"/>
    <w:rsid w:val="0097476C"/>
    <w:rsid w:val="00974923"/>
    <w:rsid w:val="00974D48"/>
    <w:rsid w:val="00974D5F"/>
    <w:rsid w:val="00975017"/>
    <w:rsid w:val="009759DF"/>
    <w:rsid w:val="00980373"/>
    <w:rsid w:val="00980621"/>
    <w:rsid w:val="0098095B"/>
    <w:rsid w:val="00982072"/>
    <w:rsid w:val="009833FA"/>
    <w:rsid w:val="00983DBB"/>
    <w:rsid w:val="00983ECF"/>
    <w:rsid w:val="00986745"/>
    <w:rsid w:val="009867BC"/>
    <w:rsid w:val="00987109"/>
    <w:rsid w:val="00987309"/>
    <w:rsid w:val="0099012D"/>
    <w:rsid w:val="00990363"/>
    <w:rsid w:val="00993BE6"/>
    <w:rsid w:val="00993D9C"/>
    <w:rsid w:val="00993F56"/>
    <w:rsid w:val="009954FF"/>
    <w:rsid w:val="00995E2F"/>
    <w:rsid w:val="009961BC"/>
    <w:rsid w:val="00996355"/>
    <w:rsid w:val="0099788F"/>
    <w:rsid w:val="00997ADD"/>
    <w:rsid w:val="009A1374"/>
    <w:rsid w:val="009A2014"/>
    <w:rsid w:val="009A2030"/>
    <w:rsid w:val="009A3A87"/>
    <w:rsid w:val="009A4E12"/>
    <w:rsid w:val="009A5C68"/>
    <w:rsid w:val="009A5DE2"/>
    <w:rsid w:val="009A6EF7"/>
    <w:rsid w:val="009B04D0"/>
    <w:rsid w:val="009B052C"/>
    <w:rsid w:val="009B0975"/>
    <w:rsid w:val="009B0EF2"/>
    <w:rsid w:val="009B23A3"/>
    <w:rsid w:val="009B2C0E"/>
    <w:rsid w:val="009B4925"/>
    <w:rsid w:val="009B4B4B"/>
    <w:rsid w:val="009B4CE3"/>
    <w:rsid w:val="009B6FD3"/>
    <w:rsid w:val="009B70BD"/>
    <w:rsid w:val="009C07A5"/>
    <w:rsid w:val="009C24A3"/>
    <w:rsid w:val="009C3705"/>
    <w:rsid w:val="009C7388"/>
    <w:rsid w:val="009C74C2"/>
    <w:rsid w:val="009D0CFF"/>
    <w:rsid w:val="009D1551"/>
    <w:rsid w:val="009D2859"/>
    <w:rsid w:val="009D36EC"/>
    <w:rsid w:val="009D3CD0"/>
    <w:rsid w:val="009D4173"/>
    <w:rsid w:val="009D51CA"/>
    <w:rsid w:val="009D6095"/>
    <w:rsid w:val="009D6306"/>
    <w:rsid w:val="009E048A"/>
    <w:rsid w:val="009E1124"/>
    <w:rsid w:val="009E1FBA"/>
    <w:rsid w:val="009E2C54"/>
    <w:rsid w:val="009E3710"/>
    <w:rsid w:val="009E6F65"/>
    <w:rsid w:val="009E7340"/>
    <w:rsid w:val="009E7B1F"/>
    <w:rsid w:val="009F2A39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5B91"/>
    <w:rsid w:val="00A10D66"/>
    <w:rsid w:val="00A12BA8"/>
    <w:rsid w:val="00A133F2"/>
    <w:rsid w:val="00A13993"/>
    <w:rsid w:val="00A1420C"/>
    <w:rsid w:val="00A1456C"/>
    <w:rsid w:val="00A14821"/>
    <w:rsid w:val="00A17754"/>
    <w:rsid w:val="00A2055B"/>
    <w:rsid w:val="00A20E22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965"/>
    <w:rsid w:val="00A40B19"/>
    <w:rsid w:val="00A41D07"/>
    <w:rsid w:val="00A424F8"/>
    <w:rsid w:val="00A42883"/>
    <w:rsid w:val="00A437B7"/>
    <w:rsid w:val="00A43EA2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5301"/>
    <w:rsid w:val="00A572FB"/>
    <w:rsid w:val="00A57B3C"/>
    <w:rsid w:val="00A57F1B"/>
    <w:rsid w:val="00A600D2"/>
    <w:rsid w:val="00A6128E"/>
    <w:rsid w:val="00A62CE1"/>
    <w:rsid w:val="00A631FA"/>
    <w:rsid w:val="00A64203"/>
    <w:rsid w:val="00A64348"/>
    <w:rsid w:val="00A644E1"/>
    <w:rsid w:val="00A711B0"/>
    <w:rsid w:val="00A71279"/>
    <w:rsid w:val="00A721FB"/>
    <w:rsid w:val="00A727BA"/>
    <w:rsid w:val="00A72D4B"/>
    <w:rsid w:val="00A732AE"/>
    <w:rsid w:val="00A74192"/>
    <w:rsid w:val="00A75837"/>
    <w:rsid w:val="00A75E40"/>
    <w:rsid w:val="00A76B12"/>
    <w:rsid w:val="00A76EF2"/>
    <w:rsid w:val="00A7727E"/>
    <w:rsid w:val="00A77EB2"/>
    <w:rsid w:val="00A81094"/>
    <w:rsid w:val="00A82B66"/>
    <w:rsid w:val="00A83B58"/>
    <w:rsid w:val="00A84FAF"/>
    <w:rsid w:val="00A851B6"/>
    <w:rsid w:val="00A85729"/>
    <w:rsid w:val="00A8574B"/>
    <w:rsid w:val="00A857C0"/>
    <w:rsid w:val="00A90343"/>
    <w:rsid w:val="00A91336"/>
    <w:rsid w:val="00A9221C"/>
    <w:rsid w:val="00A92277"/>
    <w:rsid w:val="00A92916"/>
    <w:rsid w:val="00A94628"/>
    <w:rsid w:val="00A94954"/>
    <w:rsid w:val="00A9497A"/>
    <w:rsid w:val="00A96463"/>
    <w:rsid w:val="00A97E3F"/>
    <w:rsid w:val="00AA09D3"/>
    <w:rsid w:val="00AA220F"/>
    <w:rsid w:val="00AA23FB"/>
    <w:rsid w:val="00AA34FE"/>
    <w:rsid w:val="00AA42AB"/>
    <w:rsid w:val="00AA559A"/>
    <w:rsid w:val="00AA57A4"/>
    <w:rsid w:val="00AA5F10"/>
    <w:rsid w:val="00AB0BB9"/>
    <w:rsid w:val="00AB104D"/>
    <w:rsid w:val="00AB1441"/>
    <w:rsid w:val="00AB2AF1"/>
    <w:rsid w:val="00AB440B"/>
    <w:rsid w:val="00AB47E3"/>
    <w:rsid w:val="00AB74C5"/>
    <w:rsid w:val="00AB7BEE"/>
    <w:rsid w:val="00AB7DF2"/>
    <w:rsid w:val="00AC1E3F"/>
    <w:rsid w:val="00AC219A"/>
    <w:rsid w:val="00AC3D02"/>
    <w:rsid w:val="00AC4F18"/>
    <w:rsid w:val="00AD0B46"/>
    <w:rsid w:val="00AD1094"/>
    <w:rsid w:val="00AD2565"/>
    <w:rsid w:val="00AD306C"/>
    <w:rsid w:val="00AD3424"/>
    <w:rsid w:val="00AD3E3F"/>
    <w:rsid w:val="00AD4FEF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481D"/>
    <w:rsid w:val="00AE6734"/>
    <w:rsid w:val="00AE7968"/>
    <w:rsid w:val="00AE7B2B"/>
    <w:rsid w:val="00AE7DFF"/>
    <w:rsid w:val="00AF128B"/>
    <w:rsid w:val="00AF1AEA"/>
    <w:rsid w:val="00AF2536"/>
    <w:rsid w:val="00AF2852"/>
    <w:rsid w:val="00AF3225"/>
    <w:rsid w:val="00AF4983"/>
    <w:rsid w:val="00AF518B"/>
    <w:rsid w:val="00AF5275"/>
    <w:rsid w:val="00AF5D62"/>
    <w:rsid w:val="00AF6367"/>
    <w:rsid w:val="00AF6A79"/>
    <w:rsid w:val="00AF724E"/>
    <w:rsid w:val="00AF73A9"/>
    <w:rsid w:val="00B01436"/>
    <w:rsid w:val="00B01C2C"/>
    <w:rsid w:val="00B0231C"/>
    <w:rsid w:val="00B07372"/>
    <w:rsid w:val="00B07C2A"/>
    <w:rsid w:val="00B128E5"/>
    <w:rsid w:val="00B13681"/>
    <w:rsid w:val="00B15DCD"/>
    <w:rsid w:val="00B17E71"/>
    <w:rsid w:val="00B17FDE"/>
    <w:rsid w:val="00B208FC"/>
    <w:rsid w:val="00B20C65"/>
    <w:rsid w:val="00B22E17"/>
    <w:rsid w:val="00B25567"/>
    <w:rsid w:val="00B266C5"/>
    <w:rsid w:val="00B27293"/>
    <w:rsid w:val="00B301BB"/>
    <w:rsid w:val="00B321E3"/>
    <w:rsid w:val="00B3229E"/>
    <w:rsid w:val="00B32DDB"/>
    <w:rsid w:val="00B3447A"/>
    <w:rsid w:val="00B3448C"/>
    <w:rsid w:val="00B34931"/>
    <w:rsid w:val="00B35174"/>
    <w:rsid w:val="00B35BEA"/>
    <w:rsid w:val="00B37915"/>
    <w:rsid w:val="00B3793D"/>
    <w:rsid w:val="00B41BE6"/>
    <w:rsid w:val="00B42831"/>
    <w:rsid w:val="00B428A4"/>
    <w:rsid w:val="00B457E7"/>
    <w:rsid w:val="00B45D1B"/>
    <w:rsid w:val="00B46D25"/>
    <w:rsid w:val="00B47430"/>
    <w:rsid w:val="00B47AC6"/>
    <w:rsid w:val="00B52D2D"/>
    <w:rsid w:val="00B534EF"/>
    <w:rsid w:val="00B55BA8"/>
    <w:rsid w:val="00B55F15"/>
    <w:rsid w:val="00B561A6"/>
    <w:rsid w:val="00B57CC4"/>
    <w:rsid w:val="00B60062"/>
    <w:rsid w:val="00B62960"/>
    <w:rsid w:val="00B63A11"/>
    <w:rsid w:val="00B63FD0"/>
    <w:rsid w:val="00B6553E"/>
    <w:rsid w:val="00B65C84"/>
    <w:rsid w:val="00B6608F"/>
    <w:rsid w:val="00B73180"/>
    <w:rsid w:val="00B74317"/>
    <w:rsid w:val="00B75700"/>
    <w:rsid w:val="00B760C1"/>
    <w:rsid w:val="00B76D1E"/>
    <w:rsid w:val="00B77BC8"/>
    <w:rsid w:val="00B800EB"/>
    <w:rsid w:val="00B822D2"/>
    <w:rsid w:val="00B823F1"/>
    <w:rsid w:val="00B83D46"/>
    <w:rsid w:val="00B848B8"/>
    <w:rsid w:val="00B84A41"/>
    <w:rsid w:val="00B84D57"/>
    <w:rsid w:val="00B8504B"/>
    <w:rsid w:val="00B853C2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979A0"/>
    <w:rsid w:val="00BA0DED"/>
    <w:rsid w:val="00BA0F99"/>
    <w:rsid w:val="00BB0274"/>
    <w:rsid w:val="00BB0B13"/>
    <w:rsid w:val="00BB1CFD"/>
    <w:rsid w:val="00BB2C53"/>
    <w:rsid w:val="00BB32DA"/>
    <w:rsid w:val="00BB3A54"/>
    <w:rsid w:val="00BB4D26"/>
    <w:rsid w:val="00BB4E21"/>
    <w:rsid w:val="00BB7746"/>
    <w:rsid w:val="00BC22EB"/>
    <w:rsid w:val="00BC682B"/>
    <w:rsid w:val="00BC68BA"/>
    <w:rsid w:val="00BC6B04"/>
    <w:rsid w:val="00BC6D27"/>
    <w:rsid w:val="00BD059A"/>
    <w:rsid w:val="00BD186B"/>
    <w:rsid w:val="00BD1EAC"/>
    <w:rsid w:val="00BD254C"/>
    <w:rsid w:val="00BD3428"/>
    <w:rsid w:val="00BD366B"/>
    <w:rsid w:val="00BD5298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C00831"/>
    <w:rsid w:val="00C00F20"/>
    <w:rsid w:val="00C01354"/>
    <w:rsid w:val="00C01700"/>
    <w:rsid w:val="00C01B84"/>
    <w:rsid w:val="00C034E6"/>
    <w:rsid w:val="00C05715"/>
    <w:rsid w:val="00C05926"/>
    <w:rsid w:val="00C0784A"/>
    <w:rsid w:val="00C10B28"/>
    <w:rsid w:val="00C10D62"/>
    <w:rsid w:val="00C10FAE"/>
    <w:rsid w:val="00C1135D"/>
    <w:rsid w:val="00C11DAF"/>
    <w:rsid w:val="00C123B4"/>
    <w:rsid w:val="00C12A69"/>
    <w:rsid w:val="00C13150"/>
    <w:rsid w:val="00C13737"/>
    <w:rsid w:val="00C150BE"/>
    <w:rsid w:val="00C158B0"/>
    <w:rsid w:val="00C15A0C"/>
    <w:rsid w:val="00C15CEB"/>
    <w:rsid w:val="00C15DCB"/>
    <w:rsid w:val="00C16208"/>
    <w:rsid w:val="00C1711F"/>
    <w:rsid w:val="00C17E38"/>
    <w:rsid w:val="00C2038A"/>
    <w:rsid w:val="00C205BF"/>
    <w:rsid w:val="00C20744"/>
    <w:rsid w:val="00C20B1C"/>
    <w:rsid w:val="00C20C4D"/>
    <w:rsid w:val="00C21D46"/>
    <w:rsid w:val="00C21F94"/>
    <w:rsid w:val="00C222A1"/>
    <w:rsid w:val="00C22C59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0924"/>
    <w:rsid w:val="00C31DD8"/>
    <w:rsid w:val="00C3271C"/>
    <w:rsid w:val="00C34FDE"/>
    <w:rsid w:val="00C35C16"/>
    <w:rsid w:val="00C40E09"/>
    <w:rsid w:val="00C40F81"/>
    <w:rsid w:val="00C41463"/>
    <w:rsid w:val="00C41A72"/>
    <w:rsid w:val="00C42D45"/>
    <w:rsid w:val="00C4422D"/>
    <w:rsid w:val="00C476C5"/>
    <w:rsid w:val="00C503B0"/>
    <w:rsid w:val="00C511C2"/>
    <w:rsid w:val="00C527C6"/>
    <w:rsid w:val="00C53CDB"/>
    <w:rsid w:val="00C53D82"/>
    <w:rsid w:val="00C54748"/>
    <w:rsid w:val="00C574CF"/>
    <w:rsid w:val="00C575FB"/>
    <w:rsid w:val="00C60696"/>
    <w:rsid w:val="00C60943"/>
    <w:rsid w:val="00C60EEF"/>
    <w:rsid w:val="00C6121D"/>
    <w:rsid w:val="00C615F1"/>
    <w:rsid w:val="00C61627"/>
    <w:rsid w:val="00C63B1A"/>
    <w:rsid w:val="00C64E60"/>
    <w:rsid w:val="00C657A4"/>
    <w:rsid w:val="00C66589"/>
    <w:rsid w:val="00C6736C"/>
    <w:rsid w:val="00C70422"/>
    <w:rsid w:val="00C7179C"/>
    <w:rsid w:val="00C71A1D"/>
    <w:rsid w:val="00C71EC4"/>
    <w:rsid w:val="00C7410A"/>
    <w:rsid w:val="00C74791"/>
    <w:rsid w:val="00C7591E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86127"/>
    <w:rsid w:val="00C90CF4"/>
    <w:rsid w:val="00C91C19"/>
    <w:rsid w:val="00C929A0"/>
    <w:rsid w:val="00C93389"/>
    <w:rsid w:val="00C937DB"/>
    <w:rsid w:val="00C94519"/>
    <w:rsid w:val="00C94E11"/>
    <w:rsid w:val="00C94E83"/>
    <w:rsid w:val="00C9567E"/>
    <w:rsid w:val="00C97038"/>
    <w:rsid w:val="00CA02B2"/>
    <w:rsid w:val="00CA0883"/>
    <w:rsid w:val="00CA1085"/>
    <w:rsid w:val="00CA140F"/>
    <w:rsid w:val="00CA25C2"/>
    <w:rsid w:val="00CA37BB"/>
    <w:rsid w:val="00CA37CA"/>
    <w:rsid w:val="00CA5016"/>
    <w:rsid w:val="00CA5724"/>
    <w:rsid w:val="00CA6508"/>
    <w:rsid w:val="00CA6BA1"/>
    <w:rsid w:val="00CA6CD5"/>
    <w:rsid w:val="00CA6D0B"/>
    <w:rsid w:val="00CB1910"/>
    <w:rsid w:val="00CB2150"/>
    <w:rsid w:val="00CB28EE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1E"/>
    <w:rsid w:val="00CC2A36"/>
    <w:rsid w:val="00CC2E15"/>
    <w:rsid w:val="00CC3440"/>
    <w:rsid w:val="00CC351B"/>
    <w:rsid w:val="00CC3908"/>
    <w:rsid w:val="00CC62AD"/>
    <w:rsid w:val="00CC6CA2"/>
    <w:rsid w:val="00CC7B80"/>
    <w:rsid w:val="00CD2B3C"/>
    <w:rsid w:val="00CD30F6"/>
    <w:rsid w:val="00CD4B29"/>
    <w:rsid w:val="00CD67CA"/>
    <w:rsid w:val="00CD6954"/>
    <w:rsid w:val="00CD6DA3"/>
    <w:rsid w:val="00CD6EF1"/>
    <w:rsid w:val="00CD7E35"/>
    <w:rsid w:val="00CE21C7"/>
    <w:rsid w:val="00CE2682"/>
    <w:rsid w:val="00CE2756"/>
    <w:rsid w:val="00CE442A"/>
    <w:rsid w:val="00CE57D8"/>
    <w:rsid w:val="00CE5F03"/>
    <w:rsid w:val="00CE617A"/>
    <w:rsid w:val="00CE6E3C"/>
    <w:rsid w:val="00CE797F"/>
    <w:rsid w:val="00CF107E"/>
    <w:rsid w:val="00CF15BF"/>
    <w:rsid w:val="00CF25D2"/>
    <w:rsid w:val="00CF28C2"/>
    <w:rsid w:val="00CF42BD"/>
    <w:rsid w:val="00CF51EC"/>
    <w:rsid w:val="00CF6A9D"/>
    <w:rsid w:val="00CF6CD7"/>
    <w:rsid w:val="00CF7276"/>
    <w:rsid w:val="00CF75EC"/>
    <w:rsid w:val="00D002DF"/>
    <w:rsid w:val="00D0037A"/>
    <w:rsid w:val="00D0061E"/>
    <w:rsid w:val="00D00DAF"/>
    <w:rsid w:val="00D017EC"/>
    <w:rsid w:val="00D01CDA"/>
    <w:rsid w:val="00D020FC"/>
    <w:rsid w:val="00D03866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299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689"/>
    <w:rsid w:val="00D378CC"/>
    <w:rsid w:val="00D4042C"/>
    <w:rsid w:val="00D40B9E"/>
    <w:rsid w:val="00D41281"/>
    <w:rsid w:val="00D42312"/>
    <w:rsid w:val="00D433F5"/>
    <w:rsid w:val="00D43998"/>
    <w:rsid w:val="00D439C2"/>
    <w:rsid w:val="00D451E0"/>
    <w:rsid w:val="00D45A1D"/>
    <w:rsid w:val="00D4615E"/>
    <w:rsid w:val="00D4651F"/>
    <w:rsid w:val="00D478E2"/>
    <w:rsid w:val="00D5264C"/>
    <w:rsid w:val="00D547BA"/>
    <w:rsid w:val="00D55626"/>
    <w:rsid w:val="00D556BC"/>
    <w:rsid w:val="00D5626D"/>
    <w:rsid w:val="00D56631"/>
    <w:rsid w:val="00D60277"/>
    <w:rsid w:val="00D60336"/>
    <w:rsid w:val="00D61F88"/>
    <w:rsid w:val="00D62688"/>
    <w:rsid w:val="00D62901"/>
    <w:rsid w:val="00D6345E"/>
    <w:rsid w:val="00D6470C"/>
    <w:rsid w:val="00D64853"/>
    <w:rsid w:val="00D64CB5"/>
    <w:rsid w:val="00D66D48"/>
    <w:rsid w:val="00D7162F"/>
    <w:rsid w:val="00D72897"/>
    <w:rsid w:val="00D73256"/>
    <w:rsid w:val="00D73A30"/>
    <w:rsid w:val="00D74C65"/>
    <w:rsid w:val="00D74F21"/>
    <w:rsid w:val="00D758D0"/>
    <w:rsid w:val="00D75DC2"/>
    <w:rsid w:val="00D75DC3"/>
    <w:rsid w:val="00D766EF"/>
    <w:rsid w:val="00D76C03"/>
    <w:rsid w:val="00D77F8D"/>
    <w:rsid w:val="00D80E07"/>
    <w:rsid w:val="00D8119B"/>
    <w:rsid w:val="00D82462"/>
    <w:rsid w:val="00D831C6"/>
    <w:rsid w:val="00D83EF3"/>
    <w:rsid w:val="00D85886"/>
    <w:rsid w:val="00D868CE"/>
    <w:rsid w:val="00D86DAE"/>
    <w:rsid w:val="00D90116"/>
    <w:rsid w:val="00D90C1E"/>
    <w:rsid w:val="00D91BDF"/>
    <w:rsid w:val="00D91F2C"/>
    <w:rsid w:val="00D93F09"/>
    <w:rsid w:val="00D94859"/>
    <w:rsid w:val="00D954C2"/>
    <w:rsid w:val="00D97BB8"/>
    <w:rsid w:val="00DA1318"/>
    <w:rsid w:val="00DA1382"/>
    <w:rsid w:val="00DA28B7"/>
    <w:rsid w:val="00DA2FE8"/>
    <w:rsid w:val="00DA4AF6"/>
    <w:rsid w:val="00DB016E"/>
    <w:rsid w:val="00DB06E9"/>
    <w:rsid w:val="00DB0BF3"/>
    <w:rsid w:val="00DB19BD"/>
    <w:rsid w:val="00DB1D55"/>
    <w:rsid w:val="00DB378E"/>
    <w:rsid w:val="00DB3E9D"/>
    <w:rsid w:val="00DB47B9"/>
    <w:rsid w:val="00DB4FB8"/>
    <w:rsid w:val="00DB53CE"/>
    <w:rsid w:val="00DB549D"/>
    <w:rsid w:val="00DB5792"/>
    <w:rsid w:val="00DB6A88"/>
    <w:rsid w:val="00DB7BA4"/>
    <w:rsid w:val="00DC08D7"/>
    <w:rsid w:val="00DC226A"/>
    <w:rsid w:val="00DC257F"/>
    <w:rsid w:val="00DC2A9F"/>
    <w:rsid w:val="00DC2FA9"/>
    <w:rsid w:val="00DC350B"/>
    <w:rsid w:val="00DC3790"/>
    <w:rsid w:val="00DC408A"/>
    <w:rsid w:val="00DC436D"/>
    <w:rsid w:val="00DC519B"/>
    <w:rsid w:val="00DC5B3B"/>
    <w:rsid w:val="00DC6796"/>
    <w:rsid w:val="00DC6CC6"/>
    <w:rsid w:val="00DC78DF"/>
    <w:rsid w:val="00DC7D4C"/>
    <w:rsid w:val="00DD0821"/>
    <w:rsid w:val="00DD0E32"/>
    <w:rsid w:val="00DD1878"/>
    <w:rsid w:val="00DD2872"/>
    <w:rsid w:val="00DD2A62"/>
    <w:rsid w:val="00DD2BD0"/>
    <w:rsid w:val="00DD2BFE"/>
    <w:rsid w:val="00DD373E"/>
    <w:rsid w:val="00DD3867"/>
    <w:rsid w:val="00DD57AD"/>
    <w:rsid w:val="00DD7435"/>
    <w:rsid w:val="00DD7C6D"/>
    <w:rsid w:val="00DE009B"/>
    <w:rsid w:val="00DE08F8"/>
    <w:rsid w:val="00DE0C31"/>
    <w:rsid w:val="00DE2ED9"/>
    <w:rsid w:val="00DE319A"/>
    <w:rsid w:val="00DF0615"/>
    <w:rsid w:val="00DF0DC3"/>
    <w:rsid w:val="00DF21FD"/>
    <w:rsid w:val="00DF2873"/>
    <w:rsid w:val="00DF293C"/>
    <w:rsid w:val="00DF4C74"/>
    <w:rsid w:val="00DF5578"/>
    <w:rsid w:val="00DF6CF8"/>
    <w:rsid w:val="00DF78DD"/>
    <w:rsid w:val="00DF7FEC"/>
    <w:rsid w:val="00E01C0E"/>
    <w:rsid w:val="00E02086"/>
    <w:rsid w:val="00E023BE"/>
    <w:rsid w:val="00E02740"/>
    <w:rsid w:val="00E03B27"/>
    <w:rsid w:val="00E04694"/>
    <w:rsid w:val="00E049F6"/>
    <w:rsid w:val="00E04CA9"/>
    <w:rsid w:val="00E05B2B"/>
    <w:rsid w:val="00E05EAD"/>
    <w:rsid w:val="00E06A2A"/>
    <w:rsid w:val="00E07F05"/>
    <w:rsid w:val="00E127E1"/>
    <w:rsid w:val="00E12BCE"/>
    <w:rsid w:val="00E144D2"/>
    <w:rsid w:val="00E144D6"/>
    <w:rsid w:val="00E15346"/>
    <w:rsid w:val="00E15B7D"/>
    <w:rsid w:val="00E17C5F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19AB"/>
    <w:rsid w:val="00E3288A"/>
    <w:rsid w:val="00E32BC2"/>
    <w:rsid w:val="00E34985"/>
    <w:rsid w:val="00E34E4A"/>
    <w:rsid w:val="00E365B3"/>
    <w:rsid w:val="00E366BB"/>
    <w:rsid w:val="00E372FD"/>
    <w:rsid w:val="00E37C45"/>
    <w:rsid w:val="00E40AAA"/>
    <w:rsid w:val="00E41A59"/>
    <w:rsid w:val="00E42444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CB8"/>
    <w:rsid w:val="00E522BB"/>
    <w:rsid w:val="00E52A3D"/>
    <w:rsid w:val="00E539E4"/>
    <w:rsid w:val="00E53C14"/>
    <w:rsid w:val="00E569C7"/>
    <w:rsid w:val="00E571F2"/>
    <w:rsid w:val="00E57429"/>
    <w:rsid w:val="00E60FCE"/>
    <w:rsid w:val="00E61EA8"/>
    <w:rsid w:val="00E63221"/>
    <w:rsid w:val="00E63EC6"/>
    <w:rsid w:val="00E64AE4"/>
    <w:rsid w:val="00E64CFF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724B"/>
    <w:rsid w:val="00E80E31"/>
    <w:rsid w:val="00E83DAB"/>
    <w:rsid w:val="00E84F21"/>
    <w:rsid w:val="00E8618A"/>
    <w:rsid w:val="00E90A4B"/>
    <w:rsid w:val="00E90D67"/>
    <w:rsid w:val="00E90F73"/>
    <w:rsid w:val="00E910A7"/>
    <w:rsid w:val="00E91607"/>
    <w:rsid w:val="00E921C7"/>
    <w:rsid w:val="00E92995"/>
    <w:rsid w:val="00E9446C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3EBE"/>
    <w:rsid w:val="00EA3FAC"/>
    <w:rsid w:val="00EA4153"/>
    <w:rsid w:val="00EA421A"/>
    <w:rsid w:val="00EA5CD6"/>
    <w:rsid w:val="00EA76FD"/>
    <w:rsid w:val="00EA77CA"/>
    <w:rsid w:val="00EA78FE"/>
    <w:rsid w:val="00EB03D4"/>
    <w:rsid w:val="00EB0555"/>
    <w:rsid w:val="00EB20A0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37B"/>
    <w:rsid w:val="00EC0860"/>
    <w:rsid w:val="00EC0EC1"/>
    <w:rsid w:val="00EC424C"/>
    <w:rsid w:val="00EC454B"/>
    <w:rsid w:val="00EC4941"/>
    <w:rsid w:val="00EC6153"/>
    <w:rsid w:val="00EC7F92"/>
    <w:rsid w:val="00ED00A8"/>
    <w:rsid w:val="00ED0A79"/>
    <w:rsid w:val="00ED2989"/>
    <w:rsid w:val="00ED2CA5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043A"/>
    <w:rsid w:val="00EE0473"/>
    <w:rsid w:val="00EE1057"/>
    <w:rsid w:val="00EE10AA"/>
    <w:rsid w:val="00EE1637"/>
    <w:rsid w:val="00EE354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F5A"/>
    <w:rsid w:val="00EF3486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53EA"/>
    <w:rsid w:val="00F0625B"/>
    <w:rsid w:val="00F06944"/>
    <w:rsid w:val="00F06C6F"/>
    <w:rsid w:val="00F101FF"/>
    <w:rsid w:val="00F104DF"/>
    <w:rsid w:val="00F10A33"/>
    <w:rsid w:val="00F10B64"/>
    <w:rsid w:val="00F1186C"/>
    <w:rsid w:val="00F11AD5"/>
    <w:rsid w:val="00F126D0"/>
    <w:rsid w:val="00F12A83"/>
    <w:rsid w:val="00F14ACD"/>
    <w:rsid w:val="00F15309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FF"/>
    <w:rsid w:val="00F2441D"/>
    <w:rsid w:val="00F24FAA"/>
    <w:rsid w:val="00F25226"/>
    <w:rsid w:val="00F26197"/>
    <w:rsid w:val="00F273D4"/>
    <w:rsid w:val="00F307DD"/>
    <w:rsid w:val="00F30C2E"/>
    <w:rsid w:val="00F30CB4"/>
    <w:rsid w:val="00F318FC"/>
    <w:rsid w:val="00F31D53"/>
    <w:rsid w:val="00F31F76"/>
    <w:rsid w:val="00F325A3"/>
    <w:rsid w:val="00F3364D"/>
    <w:rsid w:val="00F353AE"/>
    <w:rsid w:val="00F35ACD"/>
    <w:rsid w:val="00F365BF"/>
    <w:rsid w:val="00F36BF8"/>
    <w:rsid w:val="00F375BA"/>
    <w:rsid w:val="00F37760"/>
    <w:rsid w:val="00F403D1"/>
    <w:rsid w:val="00F43921"/>
    <w:rsid w:val="00F44E1B"/>
    <w:rsid w:val="00F4524F"/>
    <w:rsid w:val="00F45530"/>
    <w:rsid w:val="00F4591F"/>
    <w:rsid w:val="00F47321"/>
    <w:rsid w:val="00F4736B"/>
    <w:rsid w:val="00F47997"/>
    <w:rsid w:val="00F47D05"/>
    <w:rsid w:val="00F50030"/>
    <w:rsid w:val="00F502F5"/>
    <w:rsid w:val="00F50B9D"/>
    <w:rsid w:val="00F51FC9"/>
    <w:rsid w:val="00F52AE1"/>
    <w:rsid w:val="00F53243"/>
    <w:rsid w:val="00F541ED"/>
    <w:rsid w:val="00F54B31"/>
    <w:rsid w:val="00F54FD3"/>
    <w:rsid w:val="00F55605"/>
    <w:rsid w:val="00F57CD7"/>
    <w:rsid w:val="00F61BFE"/>
    <w:rsid w:val="00F62F02"/>
    <w:rsid w:val="00F6339F"/>
    <w:rsid w:val="00F63DDE"/>
    <w:rsid w:val="00F63FB7"/>
    <w:rsid w:val="00F64726"/>
    <w:rsid w:val="00F64F44"/>
    <w:rsid w:val="00F6561A"/>
    <w:rsid w:val="00F66243"/>
    <w:rsid w:val="00F67BDA"/>
    <w:rsid w:val="00F70309"/>
    <w:rsid w:val="00F7078A"/>
    <w:rsid w:val="00F70E45"/>
    <w:rsid w:val="00F727D5"/>
    <w:rsid w:val="00F72F44"/>
    <w:rsid w:val="00F73A0C"/>
    <w:rsid w:val="00F759DC"/>
    <w:rsid w:val="00F76563"/>
    <w:rsid w:val="00F7717C"/>
    <w:rsid w:val="00F771A5"/>
    <w:rsid w:val="00F80D1E"/>
    <w:rsid w:val="00F817A4"/>
    <w:rsid w:val="00F81C3A"/>
    <w:rsid w:val="00F835E1"/>
    <w:rsid w:val="00F835FC"/>
    <w:rsid w:val="00F8373A"/>
    <w:rsid w:val="00F83E21"/>
    <w:rsid w:val="00F83FA4"/>
    <w:rsid w:val="00F84E18"/>
    <w:rsid w:val="00F852E5"/>
    <w:rsid w:val="00F90350"/>
    <w:rsid w:val="00F9310A"/>
    <w:rsid w:val="00F94681"/>
    <w:rsid w:val="00F95117"/>
    <w:rsid w:val="00F97ED2"/>
    <w:rsid w:val="00FA05D7"/>
    <w:rsid w:val="00FA16BD"/>
    <w:rsid w:val="00FA1992"/>
    <w:rsid w:val="00FA1C6C"/>
    <w:rsid w:val="00FA2447"/>
    <w:rsid w:val="00FA2C2A"/>
    <w:rsid w:val="00FA309A"/>
    <w:rsid w:val="00FA6B3F"/>
    <w:rsid w:val="00FA7644"/>
    <w:rsid w:val="00FB0A9A"/>
    <w:rsid w:val="00FB16AD"/>
    <w:rsid w:val="00FB1F21"/>
    <w:rsid w:val="00FB483B"/>
    <w:rsid w:val="00FB56F1"/>
    <w:rsid w:val="00FB5FD4"/>
    <w:rsid w:val="00FB67F3"/>
    <w:rsid w:val="00FB6AF4"/>
    <w:rsid w:val="00FC0D8A"/>
    <w:rsid w:val="00FC0E5F"/>
    <w:rsid w:val="00FC135D"/>
    <w:rsid w:val="00FC26FB"/>
    <w:rsid w:val="00FC2CF4"/>
    <w:rsid w:val="00FC3C84"/>
    <w:rsid w:val="00FC4660"/>
    <w:rsid w:val="00FC56DE"/>
    <w:rsid w:val="00FC5E01"/>
    <w:rsid w:val="00FC6140"/>
    <w:rsid w:val="00FD1261"/>
    <w:rsid w:val="00FD1627"/>
    <w:rsid w:val="00FD1BBD"/>
    <w:rsid w:val="00FD38B2"/>
    <w:rsid w:val="00FD43A0"/>
    <w:rsid w:val="00FD473D"/>
    <w:rsid w:val="00FD55BA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2D4"/>
    <w:rsid w:val="00FE4FCB"/>
    <w:rsid w:val="00FE688F"/>
    <w:rsid w:val="00FE705E"/>
    <w:rsid w:val="00FF02EB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79AD5-0029-464B-B236-C891849B4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640E22-3477-4471-B6FC-FDB3C28D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2</TotalTime>
  <Pages>3</Pages>
  <Words>1668</Words>
  <Characters>9847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11493</CharactersWithSpaces>
  <SharedDoc>false</SharedDoc>
  <HLinks>
    <vt:vector size="66" baseType="variant"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_Toc469327805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_Toc469327804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_Toc469327803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_Toc469327802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_Toc469327801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_Toc469327800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_Toc469327799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_Toc469327798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_Toc469327797</vt:lpwstr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3</cp:revision>
  <cp:lastPrinted>2017-03-16T10:07:00Z</cp:lastPrinted>
  <dcterms:created xsi:type="dcterms:W3CDTF">2017-03-22T10:53:00Z</dcterms:created>
  <dcterms:modified xsi:type="dcterms:W3CDTF">2017-03-22T10:55:00Z</dcterms:modified>
</cp:coreProperties>
</file>