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A6" w:rsidRPr="00D8245C" w:rsidRDefault="009C12A6" w:rsidP="009C12A6">
      <w:pPr>
        <w:pStyle w:val="NadpisS1"/>
      </w:pPr>
      <w:bookmarkStart w:id="0" w:name="_Toc431532109"/>
      <w:r w:rsidRPr="004638FA">
        <w:t>5</w:t>
      </w:r>
      <w:r>
        <w:t>. Důchody a s</w:t>
      </w:r>
      <w:r w:rsidRPr="00D8245C">
        <w:t>ociální služby</w:t>
      </w:r>
      <w:bookmarkEnd w:id="0"/>
    </w:p>
    <w:p w:rsidR="009C12A6" w:rsidRDefault="009C12A6" w:rsidP="009C12A6">
      <w:pPr>
        <w:pStyle w:val="textS"/>
        <w:rPr>
          <w:rFonts w:cs="Arial"/>
          <w:szCs w:val="20"/>
        </w:rPr>
      </w:pPr>
      <w:r>
        <w:rPr>
          <w:rFonts w:cs="Arial"/>
          <w:szCs w:val="20"/>
        </w:rPr>
        <w:t>V ČR existují čtyři druhy důchodů – starobní, invalidní, vdovský (vdovecký) a sirotčí důchod. Světlou stránkou seniorského věku je možnost pobírat starobní důchod. Je však třeba splnit zákonem stanovené podmínky – dosažení důchodového věku (případně hranice pro odchod do předčasného důchodu) provázené potřebnou dobou pojištění.</w:t>
      </w:r>
    </w:p>
    <w:p w:rsidR="009C12A6" w:rsidRDefault="009C12A6" w:rsidP="009C12A6">
      <w:pPr>
        <w:pStyle w:val="textS"/>
      </w:pPr>
      <w:r w:rsidRPr="003E374B">
        <w:t>Sociální službou rozumí</w:t>
      </w:r>
      <w:r>
        <w:t>me</w:t>
      </w:r>
      <w:r w:rsidRPr="003E374B">
        <w:t xml:space="preserve"> činnost zajišťující pomoc a podporu osobám za účelem sociálního začlenění nebo prevence sociálního vyloučení</w:t>
      </w:r>
      <w:r>
        <w:t>. Sociální služby je možno poskytovat terénní formou – uživateli je služba poskytována v jeho domácím prostředí (pečovatelská služba); formou ambulantní – uživatel dochází do zařízení (poradny, centra pro děti, mládež); formou pobytovou – uživatel v zařízení poskytující sociální služby bydlí (domovy pro seniory, domovy se zvláštním režimem).</w:t>
      </w:r>
    </w:p>
    <w:p w:rsidR="009C12A6" w:rsidRDefault="009C12A6" w:rsidP="009C12A6">
      <w:pPr>
        <w:pStyle w:val="textS"/>
      </w:pPr>
    </w:p>
    <w:p w:rsidR="009C12A6" w:rsidRPr="00D8245C" w:rsidRDefault="009C12A6" w:rsidP="009C12A6">
      <w:pPr>
        <w:pStyle w:val="NadpisS2"/>
      </w:pPr>
      <w:bookmarkStart w:id="1" w:name="_Toc431532110"/>
      <w:r w:rsidRPr="00D8245C">
        <w:t>Důchodci, důchody</w:t>
      </w:r>
      <w:bookmarkEnd w:id="1"/>
      <w:r w:rsidRPr="00D8245C">
        <w:t xml:space="preserve"> </w:t>
      </w:r>
    </w:p>
    <w:p w:rsidR="009C12A6" w:rsidRPr="003E374B" w:rsidRDefault="009C12A6" w:rsidP="009C12A6">
      <w:pPr>
        <w:pStyle w:val="textS"/>
        <w:rPr>
          <w:b/>
        </w:rPr>
      </w:pPr>
      <w:r w:rsidRPr="003E374B">
        <w:rPr>
          <w:rFonts w:cs="Arial"/>
          <w:b/>
          <w:szCs w:val="20"/>
        </w:rPr>
        <w:t xml:space="preserve">I když se podle zákona o důchodovém pojištění hranice odchodu do starobního důchodu postupně prodlužuje, s nárůstem počtu osob v seniorském věku </w:t>
      </w:r>
      <w:r>
        <w:rPr>
          <w:rFonts w:cs="Arial"/>
          <w:b/>
          <w:szCs w:val="20"/>
        </w:rPr>
        <w:t xml:space="preserve">v kraji </w:t>
      </w:r>
      <w:r w:rsidRPr="003E374B">
        <w:rPr>
          <w:rFonts w:cs="Arial"/>
          <w:b/>
          <w:szCs w:val="20"/>
        </w:rPr>
        <w:t>roste i počet starobních důchodců.</w:t>
      </w:r>
      <w:r>
        <w:rPr>
          <w:rFonts w:cs="Arial"/>
          <w:b/>
          <w:szCs w:val="20"/>
        </w:rPr>
        <w:t xml:space="preserve"> Více než čtvrtinu starobních důchodů tvořily předčasné důchody. Výše starobních důchodů v kraji zaostává za průměrným důchodem v ČR.</w: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Jihomoravském kraji </w:t>
      </w:r>
      <w:r w:rsidRPr="00C7646C">
        <w:rPr>
          <w:rFonts w:cs="Arial"/>
          <w:b/>
          <w:szCs w:val="20"/>
        </w:rPr>
        <w:t>v roce 201</w:t>
      </w:r>
      <w:r>
        <w:rPr>
          <w:rFonts w:cs="Arial"/>
          <w:b/>
          <w:szCs w:val="20"/>
        </w:rPr>
        <w:t>4</w:t>
      </w:r>
      <w:r>
        <w:rPr>
          <w:rFonts w:cs="Arial"/>
          <w:szCs w:val="20"/>
        </w:rPr>
        <w:t xml:space="preserve"> </w:t>
      </w:r>
      <w:r w:rsidRPr="00C7646C">
        <w:rPr>
          <w:rFonts w:cs="Arial"/>
          <w:b/>
          <w:szCs w:val="20"/>
        </w:rPr>
        <w:t xml:space="preserve">pobíralo starobní </w:t>
      </w:r>
      <w:r w:rsidRPr="00694D39">
        <w:rPr>
          <w:rFonts w:cs="Arial"/>
          <w:b/>
          <w:szCs w:val="20"/>
        </w:rPr>
        <w:t>důchod (bez souběhu s vdovským či vdoveckým)</w:t>
      </w:r>
      <w:r>
        <w:rPr>
          <w:rFonts w:cs="Arial"/>
          <w:szCs w:val="20"/>
        </w:rPr>
        <w:t xml:space="preserve"> </w:t>
      </w:r>
      <w:r w:rsidRPr="00C7646C">
        <w:rPr>
          <w:rFonts w:cs="Arial"/>
          <w:b/>
          <w:szCs w:val="20"/>
        </w:rPr>
        <w:t>193,5 tisíc osob</w:t>
      </w:r>
      <w:r>
        <w:rPr>
          <w:rFonts w:cs="Arial"/>
          <w:szCs w:val="20"/>
        </w:rPr>
        <w:t>, z tohoto počtu bylo 104,7 tisíc žen (54,1 %). Od roku 2010 se počet osob pobírajících starobní důchod zvýšil o 10,0 tisíc, tj. o 5,4 %. Vyšší nárůst počtu důchodců byl zaznamenán u mužů – zvýšení o 6,0 tisíc, tj. o 7,3 %, počet žen vzrostl o 4,0 tisíc, tj. o 4,0 %.</w:t>
      </w:r>
    </w:p>
    <w:p w:rsidR="009C12A6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Tab. 5.1 </w:t>
      </w:r>
      <w:r w:rsidRPr="00AE180D">
        <w:rPr>
          <w:rFonts w:cs="Arial"/>
          <w:b/>
          <w:szCs w:val="20"/>
        </w:rPr>
        <w:t xml:space="preserve">Příjemci starobních důchodů </w:t>
      </w:r>
      <w:r>
        <w:rPr>
          <w:rFonts w:cs="Arial"/>
          <w:b/>
          <w:szCs w:val="20"/>
        </w:rPr>
        <w:t xml:space="preserve">v Jihomoravském kraji </w:t>
      </w:r>
      <w:r w:rsidRPr="00AE180D">
        <w:rPr>
          <w:rFonts w:cs="Arial"/>
          <w:b/>
          <w:szCs w:val="20"/>
        </w:rPr>
        <w:t xml:space="preserve">podle pohlaví v letech 2010 až 2014 </w:t>
      </w:r>
    </w:p>
    <w:p w:rsidR="009C12A6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</w:t>
      </w:r>
      <w:r w:rsidRPr="00AE180D">
        <w:rPr>
          <w:rFonts w:cs="Arial"/>
          <w:b/>
          <w:szCs w:val="20"/>
        </w:rPr>
        <w:t>(stav v prosinci)</w:t>
      </w:r>
    </w:p>
    <w:p w:rsidR="009C12A6" w:rsidRDefault="009C12A6" w:rsidP="009C12A6">
      <w:pPr>
        <w:jc w:val="both"/>
        <w:rPr>
          <w:rFonts w:cs="Arial"/>
          <w:szCs w:val="20"/>
        </w:rPr>
      </w:pPr>
      <w:r w:rsidRPr="00BC280F">
        <w:rPr>
          <w:rFonts w:cs="Arial"/>
          <w:sz w:val="16"/>
          <w:szCs w:val="16"/>
        </w:rPr>
        <w:t xml:space="preserve">Zdroj: </w:t>
      </w:r>
      <w:r w:rsidRPr="00AE180D">
        <w:rPr>
          <w:rFonts w:cs="Arial"/>
          <w:sz w:val="16"/>
          <w:szCs w:val="16"/>
        </w:rPr>
        <w:t>Česká správa sociálního zabezpečení</w:t>
      </w:r>
    </w:p>
    <w:p w:rsidR="009C12A6" w:rsidRDefault="0038604F" w:rsidP="009C12A6">
      <w:pPr>
        <w:spacing w:after="120"/>
        <w:rPr>
          <w:rFonts w:cs="Arial"/>
          <w:szCs w:val="20"/>
        </w:rPr>
      </w:pPr>
      <w:r w:rsidRPr="0038604F">
        <w:rPr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pt;height:154.75pt;visibility:visible;mso-wrap-style:square">
            <v:imagedata r:id="rId8" o:title=""/>
          </v:shape>
        </w:pic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Od roku 2010 výrazně vzrostl počet a podíl osob pobírajících </w:t>
      </w:r>
      <w:r w:rsidRPr="00694D39">
        <w:rPr>
          <w:rFonts w:cs="Arial"/>
          <w:b/>
          <w:szCs w:val="20"/>
        </w:rPr>
        <w:t>předčasný důchod</w:t>
      </w:r>
      <w:r>
        <w:rPr>
          <w:rFonts w:cs="Arial"/>
          <w:szCs w:val="20"/>
        </w:rPr>
        <w:t xml:space="preserve"> – v prosinci roku 2014 to bylo </w:t>
      </w:r>
      <w:r w:rsidRPr="00694D39">
        <w:rPr>
          <w:rFonts w:cs="Arial"/>
          <w:b/>
          <w:szCs w:val="20"/>
        </w:rPr>
        <w:t>52,2 tisíc osob</w:t>
      </w:r>
      <w:r>
        <w:rPr>
          <w:rFonts w:cs="Arial"/>
          <w:szCs w:val="20"/>
        </w:rPr>
        <w:t>, zvýšení počtu proti konci roku 2010 o 12,0 tisíc osob představovalo téměř třetinový nárůst (zvýšení o 30,0 %). U mužů se počet pobírajících předčasný důchod za 5 let zvýšil o 6,5 tisíc (o 35,9 %), počet žen pobírajících předčasný důchod vzrostl o 5,5 tisíc, tj. o 25,1 %.</w: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Zatímco podíl osob s předčasným důchodem v roce 2010 činil 21,9 %, v roce 2014 se zvýšil již na 27,0 %. Podíl příjemců předčasných důchodů byl mezi kraji ale 3. nejnižší a zároveň byl o 1,5 bodu nižší, než průměr ČR. Ještě v roce 2010 byl v kraji u obou pohlaví podíl předčasných důchodů stejný (21,9 %), v dalších letech se podíl zvyšoval více u mužů. Na konci roku 2014 tak podíl předčasných důchodů u mužů pobírající starobní důchod (bez souběhu) dosáhl 27,7 %, což bylo o 1,4 procentního bodu více než u žen.</w: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V Jihomoravském kraji na konci roku 2014 více než třetina osob pobírajících starobní důchod (bez souběhu) pocházela z Brna-města (66,2 tisíc, tj. 34,2 %). Byl zde ale vykázán nejnižší podíl příjemců předčasných důchodů (19,1 %), a to nejen mezi okresy kraje , ale i mezi 77 okresy ČR. Naproti tomu v okrese Znojmo tento podíl dosáhl 43,7 %, což byl mezi 77 okresy ČR dokonce podíl nejvyšší (podíl Brna-města byl po Praze 2. nejnižší).</w: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br w:type="page"/>
      </w:r>
      <w:r w:rsidR="0038604F" w:rsidRPr="0038604F">
        <w:rPr>
          <w:rFonts w:cs="Arial"/>
          <w:szCs w:val="20"/>
        </w:rPr>
        <w:lastRenderedPageBreak/>
        <w:pict>
          <v:shape id="_x0000_i1026" type="#_x0000_t75" style="width:481.45pt;height:340.65pt">
            <v:imagedata r:id="rId9" o:title="5_1"/>
          </v:shape>
        </w:pic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 osob pobírajících starobní důchod v souběhu s vdovským (vdoveckým) důchodem nárůst počtu nebyl nijak výrazný, téměř o polovinu však vzrostl počet osob s předčasným důchodem. Na konci roku 2014 pobíralo </w:t>
      </w:r>
      <w:r w:rsidRPr="00694D39">
        <w:rPr>
          <w:rFonts w:cs="Arial"/>
          <w:b/>
          <w:szCs w:val="20"/>
        </w:rPr>
        <w:t>starobní důchod v souběhu s vdovským (vdoveckým) důchodem v kraji 68,3 tisíc osob</w:t>
      </w:r>
      <w:r>
        <w:rPr>
          <w:rFonts w:cs="Arial"/>
          <w:szCs w:val="20"/>
        </w:rPr>
        <w:t>, což bylo o 200 osob, tj. o 0,3 % více než v roce 2010. Z tohoto počtu předčasný starobní důchod pobíralo 7,2 tisíc osob, což bylo ve srovnání s rokem 2010 o 2,4 tisíc více (o 48,4 %). Zajímavostí je, že mezi osobami pobírajícími starobní důchod v souběhu ženy vdovy tvořily 85,9 % a muži vdovci pouze 14,1 % z celku.</w:t>
      </w:r>
    </w:p>
    <w:p w:rsidR="009C12A6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Graf 5.1 </w:t>
      </w:r>
      <w:r w:rsidRPr="009E28B8">
        <w:rPr>
          <w:rFonts w:cs="Arial"/>
          <w:b/>
          <w:szCs w:val="20"/>
        </w:rPr>
        <w:t xml:space="preserve">Příjemci starobního důchodu (bez souběhu) podle jeho výše v Jihomoravském kraji </w:t>
      </w:r>
    </w:p>
    <w:p w:rsidR="009C12A6" w:rsidRPr="00EB7C47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v </w:t>
      </w:r>
      <w:r w:rsidRPr="009E28B8">
        <w:rPr>
          <w:rFonts w:cs="Arial"/>
          <w:b/>
          <w:szCs w:val="20"/>
        </w:rPr>
        <w:t>prosinci 2014</w:t>
      </w:r>
    </w:p>
    <w:p w:rsidR="009C12A6" w:rsidRDefault="009C12A6" w:rsidP="009C12A6">
      <w:pPr>
        <w:jc w:val="both"/>
        <w:rPr>
          <w:rFonts w:cs="Arial"/>
          <w:szCs w:val="20"/>
        </w:rPr>
      </w:pPr>
      <w:r w:rsidRPr="00BC280F">
        <w:rPr>
          <w:rFonts w:cs="Arial"/>
          <w:sz w:val="16"/>
          <w:szCs w:val="16"/>
        </w:rPr>
        <w:t xml:space="preserve">Zdroj: </w:t>
      </w:r>
      <w:r w:rsidRPr="00AE180D">
        <w:rPr>
          <w:rFonts w:cs="Arial"/>
          <w:sz w:val="16"/>
          <w:szCs w:val="16"/>
        </w:rPr>
        <w:t>Česká správa sociálního zabezpečení</w:t>
      </w:r>
    </w:p>
    <w:p w:rsidR="009C12A6" w:rsidRDefault="0038604F" w:rsidP="009C12A6">
      <w:pPr>
        <w:spacing w:after="120"/>
        <w:jc w:val="both"/>
        <w:rPr>
          <w:noProof/>
          <w:szCs w:val="20"/>
        </w:rPr>
      </w:pPr>
      <w:r w:rsidRPr="0038604F">
        <w:rPr>
          <w:szCs w:val="20"/>
        </w:rPr>
        <w:pict>
          <v:shape id="_x0000_i1027" type="#_x0000_t75" style="width:481.45pt;height:229.95pt">
            <v:imagedata r:id="rId10" o:title=""/>
          </v:shape>
        </w:pic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noProof/>
          <w:szCs w:val="20"/>
        </w:rPr>
        <w:br w:type="page"/>
      </w:r>
      <w:r w:rsidRPr="00F848C5">
        <w:rPr>
          <w:rFonts w:cs="Arial"/>
          <w:b/>
          <w:szCs w:val="20"/>
        </w:rPr>
        <w:lastRenderedPageBreak/>
        <w:t>Průměrná měsíční výše starobního důchodu „bez souběhu“</w:t>
      </w:r>
      <w:r>
        <w:rPr>
          <w:rFonts w:cs="Arial"/>
          <w:szCs w:val="20"/>
        </w:rPr>
        <w:t xml:space="preserve"> na konci roku 2014 v kraji dosáhla částky </w:t>
      </w:r>
      <w:r w:rsidRPr="00F848C5">
        <w:rPr>
          <w:rFonts w:cs="Arial"/>
          <w:b/>
          <w:szCs w:val="20"/>
        </w:rPr>
        <w:t>10 937 Kč</w:t>
      </w:r>
      <w:r>
        <w:rPr>
          <w:rFonts w:cs="Arial"/>
          <w:b/>
          <w:szCs w:val="20"/>
        </w:rPr>
        <w:t xml:space="preserve"> (12 073 Kč u mužů a 9 975 Kč u žen)</w:t>
      </w:r>
      <w:r>
        <w:rPr>
          <w:rFonts w:cs="Arial"/>
          <w:szCs w:val="20"/>
        </w:rPr>
        <w:t>. Nejvíce mužů pobíralo důchod v rozmezí 11 až 12 tisíc Kč (18,3 tisíc mužů) a 12 až 13 tisíc (17,5 tisíc mužů), nejčetnější důchod žen byl ve výši 9 až 10 tisíc Kč (26,7 tisíc žen) a 10 až 11 tisíc (20,9 tisíc žen). Na jedné straně rozmezí výše starobního důchodu v kraji existovalo 529 mužů a 1 079 žen s důchodem nižším než 4 tisíce Kč, na druhé straně spektra zde bylo 1 281 mužů a 351 žen s důchodem přesahujícím částku 18 tisíc Kč.</w:t>
      </w:r>
    </w:p>
    <w:p w:rsidR="009C12A6" w:rsidRPr="00EB7C47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Graf 5.2 </w:t>
      </w:r>
      <w:r w:rsidRPr="00186074">
        <w:rPr>
          <w:rFonts w:cs="Arial"/>
          <w:b/>
          <w:szCs w:val="20"/>
        </w:rPr>
        <w:t xml:space="preserve">Medián měsíční mzdy/platu v </w:t>
      </w:r>
      <w:r>
        <w:rPr>
          <w:rFonts w:cs="Arial"/>
          <w:b/>
          <w:szCs w:val="20"/>
        </w:rPr>
        <w:t>Jihomoravs</w:t>
      </w:r>
      <w:r w:rsidRPr="00186074">
        <w:rPr>
          <w:rFonts w:cs="Arial"/>
          <w:b/>
          <w:szCs w:val="20"/>
        </w:rPr>
        <w:t>kém kraji podle věku a pohlaví v roce 2014</w:t>
      </w:r>
    </w:p>
    <w:p w:rsidR="009C12A6" w:rsidRDefault="009C12A6" w:rsidP="009C12A6">
      <w:pPr>
        <w:jc w:val="both"/>
        <w:rPr>
          <w:rFonts w:cs="Arial"/>
          <w:szCs w:val="20"/>
        </w:rPr>
      </w:pPr>
      <w:r w:rsidRPr="00BC280F">
        <w:rPr>
          <w:rFonts w:cs="Arial"/>
          <w:sz w:val="16"/>
          <w:szCs w:val="16"/>
        </w:rPr>
        <w:t xml:space="preserve">Zdroj: </w:t>
      </w:r>
      <w:r w:rsidRPr="00186074">
        <w:rPr>
          <w:rFonts w:cs="Arial"/>
          <w:sz w:val="16"/>
          <w:szCs w:val="16"/>
        </w:rPr>
        <w:t>MPSV; Informační systém o průměrném výdělku</w:t>
      </w:r>
    </w:p>
    <w:p w:rsidR="009C12A6" w:rsidRDefault="0041724C" w:rsidP="009C12A6">
      <w:pPr>
        <w:spacing w:after="120"/>
        <w:jc w:val="both"/>
        <w:rPr>
          <w:rFonts w:cs="Arial"/>
          <w:szCs w:val="20"/>
        </w:rPr>
      </w:pPr>
      <w:r w:rsidRPr="0038604F">
        <w:rPr>
          <w:noProof/>
          <w:szCs w:val="20"/>
        </w:rPr>
        <w:pict>
          <v:shape id="_x0000_i1028" type="#_x0000_t75" style="width:482.5pt;height:236.4pt;visibility:visible;mso-wrap-style:square">
            <v:imagedata r:id="rId11" o:title=""/>
          </v:shape>
        </w:pic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Výše starobního důchodu se odvíjí od výdělku. V grafu 5.2 jsou uvedeny střední hodnoty mzdy zaměstnaných v Jihomoravském kraji podle věku. Zajímavostí je, že pouze u žen v nepodnikatelské sféře s rostoucím věkem rostla i mzda. Naproti tomu u mužů v podnikatelské sféře byl zaznamenán jev prakticky opačný. Pro doplnění lze uvést, že medián mzdy v Jihomoravském kraji (z šetření struktury mezd zaměstnanců) v roce 2014 dosáhl 22 546 Kč (5. nejvyšší hodnota mezi kraji), průměrná výše starobního důchodu (bez souběhu) tak v kraji činila 48,5 % mediánu mzdy. </w:t>
      </w:r>
    </w:p>
    <w:p w:rsidR="009C12A6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Graf 5.3 </w:t>
      </w:r>
      <w:r w:rsidRPr="00FF4F95">
        <w:rPr>
          <w:rFonts w:cs="Arial"/>
          <w:b/>
          <w:szCs w:val="20"/>
        </w:rPr>
        <w:t>Průměrná měsíční výše starobního důchodu (bez souběhu) v Jihomoravském kraji a ČR</w:t>
      </w:r>
    </w:p>
    <w:p w:rsidR="009C12A6" w:rsidRPr="00EB7C47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</w:t>
      </w:r>
      <w:r w:rsidRPr="00FF4F95">
        <w:rPr>
          <w:rFonts w:cs="Arial"/>
          <w:b/>
          <w:szCs w:val="20"/>
        </w:rPr>
        <w:t xml:space="preserve"> podle pohlaví v letech 2005 až 2014</w:t>
      </w:r>
    </w:p>
    <w:p w:rsidR="009C12A6" w:rsidRDefault="009C12A6" w:rsidP="009C12A6">
      <w:pPr>
        <w:jc w:val="both"/>
        <w:rPr>
          <w:rFonts w:cs="Arial"/>
          <w:szCs w:val="20"/>
        </w:rPr>
      </w:pPr>
      <w:r w:rsidRPr="00BC280F">
        <w:rPr>
          <w:rFonts w:cs="Arial"/>
          <w:sz w:val="16"/>
          <w:szCs w:val="16"/>
        </w:rPr>
        <w:t xml:space="preserve">Zdroj: </w:t>
      </w:r>
      <w:r w:rsidRPr="00AE180D">
        <w:rPr>
          <w:rFonts w:cs="Arial"/>
          <w:sz w:val="16"/>
          <w:szCs w:val="16"/>
        </w:rPr>
        <w:t>Česká správa sociálního zabezpečení</w:t>
      </w:r>
    </w:p>
    <w:p w:rsidR="009C12A6" w:rsidRDefault="0041724C" w:rsidP="009C12A6">
      <w:pPr>
        <w:spacing w:after="120"/>
        <w:jc w:val="both"/>
        <w:rPr>
          <w:noProof/>
          <w:szCs w:val="20"/>
        </w:rPr>
      </w:pPr>
      <w:r w:rsidRPr="0038604F">
        <w:rPr>
          <w:noProof/>
          <w:szCs w:val="20"/>
        </w:rPr>
        <w:pict>
          <v:shape id="_x0000_i1029" type="#_x0000_t75" style="width:482.5pt;height:225.65pt;visibility:visible;mso-wrap-style:square">
            <v:imagedata r:id="rId12" o:title=""/>
          </v:shape>
        </w:pic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br w:type="page"/>
      </w:r>
      <w:r w:rsidR="0041724C" w:rsidRPr="0038604F">
        <w:rPr>
          <w:rFonts w:cs="Arial"/>
          <w:szCs w:val="20"/>
        </w:rPr>
        <w:lastRenderedPageBreak/>
        <w:pict>
          <v:shape id="_x0000_i1030" type="#_x0000_t75" style="width:481.45pt;height:340.65pt">
            <v:imagedata r:id="rId13" o:title="5_2"/>
          </v:shape>
        </w:pict>
      </w:r>
    </w:p>
    <w:p w:rsidR="009C12A6" w:rsidRDefault="0041724C" w:rsidP="009C12A6">
      <w:pPr>
        <w:spacing w:after="120"/>
        <w:jc w:val="both"/>
        <w:rPr>
          <w:rFonts w:cs="Arial"/>
          <w:szCs w:val="20"/>
        </w:rPr>
      </w:pPr>
      <w:r w:rsidRPr="0038604F">
        <w:rPr>
          <w:rFonts w:cs="Arial"/>
          <w:szCs w:val="20"/>
        </w:rPr>
        <w:pict>
          <v:shape id="_x0000_i1031" type="#_x0000_t75" style="width:481.45pt;height:340.65pt">
            <v:imagedata r:id="rId14" o:title="5_3"/>
          </v:shape>
        </w:pic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br w:type="page"/>
      </w:r>
      <w:r w:rsidRPr="004E7A8D">
        <w:rPr>
          <w:rFonts w:cs="Arial"/>
          <w:b/>
          <w:szCs w:val="20"/>
        </w:rPr>
        <w:lastRenderedPageBreak/>
        <w:t>Jihomoravský kraj výší starobního důchodu dlouhodobě zaostává za průměrem ČR</w:t>
      </w:r>
      <w:r>
        <w:rPr>
          <w:rFonts w:cs="Arial"/>
          <w:szCs w:val="20"/>
        </w:rPr>
        <w:t>. Na konci roku 2014 byl starobní důchod „bez souběhu“ proti průměru ČR o 138 Kč nižší (o 186 Kč u mužů a o 75 Kč u žen). Ve srovnání s ostatními kraji byl u obou pohlaví až 7. nejvyšší.</w: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grafu 5.3 je uveden vývoj průměrné výše starobního důchodu. Je k němu třeba však poznamenat, že data v tomto případě nejsou plně srovnatelná, neboť v roce 2010 došlo ke změně zařazení invalidních důchodců po 65 letech věku mezi starobní důchodce. </w:t>
      </w:r>
    </w:p>
    <w:p w:rsidR="009C12A6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Tab. 5.2 </w:t>
      </w:r>
      <w:r w:rsidRPr="00FF4F95">
        <w:rPr>
          <w:rFonts w:cs="Arial"/>
          <w:b/>
          <w:szCs w:val="20"/>
        </w:rPr>
        <w:t xml:space="preserve">Průměrná výše starobních důchodů </w:t>
      </w:r>
      <w:r>
        <w:rPr>
          <w:rFonts w:cs="Arial"/>
          <w:b/>
          <w:szCs w:val="20"/>
        </w:rPr>
        <w:t xml:space="preserve">v Jihomoravském kraji </w:t>
      </w:r>
      <w:r w:rsidRPr="00FF4F95">
        <w:rPr>
          <w:rFonts w:cs="Arial"/>
          <w:b/>
          <w:szCs w:val="20"/>
        </w:rPr>
        <w:t xml:space="preserve">podle pohlaví příjemců </w:t>
      </w:r>
    </w:p>
    <w:p w:rsidR="009C12A6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</w:t>
      </w:r>
      <w:r w:rsidRPr="00FF4F95">
        <w:rPr>
          <w:rFonts w:cs="Arial"/>
          <w:b/>
          <w:szCs w:val="20"/>
        </w:rPr>
        <w:t>v letech 2010 až 2014 (stav v prosinci)</w:t>
      </w:r>
    </w:p>
    <w:p w:rsidR="009C12A6" w:rsidRDefault="009C12A6" w:rsidP="009C12A6">
      <w:pPr>
        <w:jc w:val="both"/>
        <w:rPr>
          <w:rFonts w:cs="Arial"/>
          <w:szCs w:val="20"/>
        </w:rPr>
      </w:pPr>
      <w:r w:rsidRPr="00BC280F">
        <w:rPr>
          <w:rFonts w:cs="Arial"/>
          <w:sz w:val="16"/>
          <w:szCs w:val="16"/>
        </w:rPr>
        <w:t xml:space="preserve">Zdroj: </w:t>
      </w:r>
      <w:r w:rsidRPr="00AE180D">
        <w:rPr>
          <w:rFonts w:cs="Arial"/>
          <w:sz w:val="16"/>
          <w:szCs w:val="16"/>
        </w:rPr>
        <w:t>Česká správa sociálního zabezpečení</w:t>
      </w:r>
    </w:p>
    <w:p w:rsidR="009C12A6" w:rsidRDefault="0041724C" w:rsidP="009C12A6">
      <w:pPr>
        <w:spacing w:after="120"/>
        <w:jc w:val="both"/>
        <w:rPr>
          <w:rFonts w:cs="Arial"/>
          <w:szCs w:val="20"/>
        </w:rPr>
      </w:pPr>
      <w:r w:rsidRPr="0038604F">
        <w:rPr>
          <w:noProof/>
          <w:szCs w:val="20"/>
        </w:rPr>
        <w:pict>
          <v:shape id="_x0000_i1032" type="#_x0000_t75" style="width:478.2pt;height:107.45pt;visibility:visible;mso-wrap-style:square">
            <v:imagedata r:id="rId15" o:title=""/>
          </v:shape>
        </w:pic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Z okresů Jihomoravského kraje byly vypláceny nejvyšší důchody (bez souběhu) v Brně-městě – 12 455 Kč u mužů a 10 466 Kč u žen. Nejnižší částky byly zaznamenány v okrese Znojmo – 11 254 Kč u mužů a 9 311 Kč u žen. Výši důchodů v okrese Znojmo jistě ovlivnil i vysoký podíl předčasných důchodů.</w:t>
      </w:r>
    </w:p>
    <w:p w:rsidR="009C12A6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Graf 5.4 </w:t>
      </w:r>
      <w:r w:rsidRPr="00FF4F95">
        <w:rPr>
          <w:rFonts w:cs="Arial"/>
          <w:b/>
          <w:szCs w:val="20"/>
        </w:rPr>
        <w:t xml:space="preserve">Průměrná výše starobních důchodů (bez souběhu) v ČR, Jihomoravském kraji </w:t>
      </w:r>
    </w:p>
    <w:p w:rsidR="009C12A6" w:rsidRPr="00EB7C47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</w:t>
      </w:r>
      <w:r w:rsidRPr="00FF4F95">
        <w:rPr>
          <w:rFonts w:cs="Arial"/>
          <w:b/>
          <w:szCs w:val="20"/>
        </w:rPr>
        <w:t>a jeho okresech podle pohlaví v prosinci 2014</w:t>
      </w:r>
    </w:p>
    <w:p w:rsidR="009C12A6" w:rsidRDefault="009C12A6" w:rsidP="009C12A6">
      <w:pPr>
        <w:jc w:val="both"/>
        <w:rPr>
          <w:rFonts w:cs="Arial"/>
          <w:szCs w:val="20"/>
        </w:rPr>
      </w:pPr>
      <w:r w:rsidRPr="00BC280F">
        <w:rPr>
          <w:rFonts w:cs="Arial"/>
          <w:sz w:val="16"/>
          <w:szCs w:val="16"/>
        </w:rPr>
        <w:t xml:space="preserve">Zdroj: </w:t>
      </w:r>
      <w:r w:rsidRPr="00AE180D">
        <w:rPr>
          <w:rFonts w:cs="Arial"/>
          <w:sz w:val="16"/>
          <w:szCs w:val="16"/>
        </w:rPr>
        <w:t>Česká správa sociálního zabezpečení</w:t>
      </w:r>
    </w:p>
    <w:p w:rsidR="009C12A6" w:rsidRDefault="0041724C" w:rsidP="009C12A6">
      <w:pPr>
        <w:spacing w:after="120"/>
        <w:jc w:val="both"/>
        <w:rPr>
          <w:noProof/>
          <w:szCs w:val="20"/>
        </w:rPr>
      </w:pPr>
      <w:r w:rsidRPr="0038604F">
        <w:rPr>
          <w:noProof/>
          <w:szCs w:val="20"/>
        </w:rPr>
        <w:pict>
          <v:shape id="_x0000_i1033" type="#_x0000_t75" style="width:482.5pt;height:213.85pt;visibility:visible;mso-wrap-style:square">
            <v:imagedata r:id="rId16" o:title=""/>
          </v:shape>
        </w:pict>
      </w:r>
    </w:p>
    <w:p w:rsidR="009C12A6" w:rsidRDefault="009C12A6" w:rsidP="009C12A6">
      <w:pPr>
        <w:spacing w:after="120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Průměrná částka vyplácená v Jihomoravském kraji v roce 2014 muži byla proti roku 2010 vyšší o 996 Kč (o 9,0 %) u důchodu starobního „bez souběhu“ a o 1 126 Kč (o 9,2 %) u důchodu „se souběhem“. Podobně u žen - navýšení dosáhlo 854 Kč (9,4 %), resp. 937 Kč (8,6 %). </w:t>
      </w:r>
      <w:r w:rsidRPr="001837D6">
        <w:rPr>
          <w:rFonts w:cs="Arial"/>
          <w:b/>
          <w:szCs w:val="20"/>
        </w:rPr>
        <w:t xml:space="preserve">Předčasný </w:t>
      </w:r>
      <w:r>
        <w:rPr>
          <w:rFonts w:cs="Arial"/>
          <w:b/>
          <w:szCs w:val="20"/>
        </w:rPr>
        <w:t xml:space="preserve">starobní </w:t>
      </w:r>
      <w:r w:rsidRPr="001837D6">
        <w:rPr>
          <w:rFonts w:cs="Arial"/>
          <w:b/>
          <w:szCs w:val="20"/>
        </w:rPr>
        <w:t xml:space="preserve">důchod muže </w:t>
      </w:r>
      <w:r>
        <w:rPr>
          <w:rFonts w:cs="Arial"/>
          <w:b/>
          <w:szCs w:val="20"/>
        </w:rPr>
        <w:t>(</w:t>
      </w:r>
      <w:r w:rsidRPr="001837D6">
        <w:rPr>
          <w:rFonts w:cs="Arial"/>
          <w:b/>
          <w:szCs w:val="20"/>
        </w:rPr>
        <w:t>bez souběhu</w:t>
      </w:r>
      <w:r>
        <w:rPr>
          <w:rFonts w:cs="Arial"/>
          <w:b/>
          <w:szCs w:val="20"/>
        </w:rPr>
        <w:t>)</w:t>
      </w:r>
      <w:r w:rsidRPr="001837D6">
        <w:rPr>
          <w:rFonts w:cs="Arial"/>
          <w:b/>
          <w:szCs w:val="20"/>
        </w:rPr>
        <w:t xml:space="preserve"> v roce 2014 byl </w:t>
      </w:r>
      <w:r>
        <w:rPr>
          <w:rFonts w:cs="Arial"/>
          <w:b/>
          <w:szCs w:val="20"/>
        </w:rPr>
        <w:t xml:space="preserve">v kraji </w:t>
      </w:r>
      <w:r w:rsidRPr="001837D6">
        <w:rPr>
          <w:rFonts w:cs="Arial"/>
          <w:b/>
          <w:szCs w:val="20"/>
        </w:rPr>
        <w:t>proti řádnému důchodu o 1 244 Kč nižší (o 10,3 %) a u žen o 1 117 Kč nižší (o 11,2 %)</w:t>
      </w:r>
      <w:r>
        <w:rPr>
          <w:rFonts w:cs="Arial"/>
          <w:szCs w:val="20"/>
        </w:rPr>
        <w:t>.</w:t>
      </w:r>
    </w:p>
    <w:p w:rsidR="009C12A6" w:rsidRDefault="009C12A6" w:rsidP="009C12A6">
      <w:pPr>
        <w:spacing w:after="120"/>
        <w:jc w:val="both"/>
        <w:rPr>
          <w:noProof/>
          <w:szCs w:val="20"/>
        </w:rPr>
      </w:pPr>
    </w:p>
    <w:p w:rsidR="009C12A6" w:rsidRPr="00D8245C" w:rsidRDefault="009C12A6" w:rsidP="009C12A6">
      <w:pPr>
        <w:pStyle w:val="NadpisS2"/>
      </w:pPr>
      <w:r>
        <w:rPr>
          <w:noProof/>
          <w:szCs w:val="20"/>
        </w:rPr>
        <w:br w:type="page"/>
      </w:r>
      <w:bookmarkStart w:id="2" w:name="_Toc431532111"/>
      <w:r w:rsidRPr="00D8245C">
        <w:lastRenderedPageBreak/>
        <w:t>Pobytové sociální služby</w:t>
      </w:r>
      <w:bookmarkEnd w:id="2"/>
    </w:p>
    <w:p w:rsidR="009C12A6" w:rsidRDefault="009C12A6" w:rsidP="009C12A6">
      <w:pPr>
        <w:spacing w:after="120"/>
        <w:jc w:val="both"/>
        <w:rPr>
          <w:rFonts w:cs="Arial"/>
          <w:b/>
          <w:szCs w:val="20"/>
        </w:rPr>
      </w:pPr>
      <w:r w:rsidRPr="00F7201B">
        <w:rPr>
          <w:rFonts w:cs="Arial"/>
          <w:b/>
          <w:szCs w:val="20"/>
        </w:rPr>
        <w:t>Seniorský věk s sebou mnohdy přináší zhoršování zdravotního stavu nejen účinkem nemocí, ale i</w:t>
      </w:r>
      <w:r>
        <w:rPr>
          <w:rFonts w:cs="Arial"/>
          <w:b/>
          <w:szCs w:val="20"/>
        </w:rPr>
        <w:t> </w:t>
      </w:r>
      <w:r w:rsidRPr="00F7201B">
        <w:rPr>
          <w:rFonts w:cs="Arial"/>
          <w:b/>
          <w:szCs w:val="20"/>
        </w:rPr>
        <w:t>z důvodu vlastního věku. Ne všichni dotčení ale mají možnost tyto chvíle, kdy je třeba pomoci jiných, trávit v domácím prostředí s pomocí svých blízkých. Řešením pro potřebné jsou zařízení poskytující pobytové sociální služby.</w: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 w:rsidRPr="009139B2">
        <w:rPr>
          <w:rFonts w:cs="Arial"/>
          <w:szCs w:val="20"/>
        </w:rPr>
        <w:t>Zákon o sociálních službách</w:t>
      </w:r>
      <w:r>
        <w:rPr>
          <w:rFonts w:cs="Arial"/>
          <w:szCs w:val="20"/>
        </w:rPr>
        <w:t xml:space="preserve"> (108/2006 Sb.) </w:t>
      </w:r>
      <w:r w:rsidRPr="009139B2">
        <w:rPr>
          <w:rFonts w:cs="Arial"/>
          <w:szCs w:val="20"/>
        </w:rPr>
        <w:t>definuje 20 druhů zařízení poskytující sociální služby. Mezi ně se řadí i</w:t>
      </w:r>
      <w:r>
        <w:rPr>
          <w:rFonts w:cs="Arial"/>
          <w:szCs w:val="20"/>
        </w:rPr>
        <w:t> </w:t>
      </w:r>
      <w:r w:rsidRPr="009139B2">
        <w:rPr>
          <w:rFonts w:cs="Arial"/>
          <w:szCs w:val="20"/>
        </w:rPr>
        <w:t>domovy pro seniory a domovy se zvláš</w:t>
      </w:r>
      <w:r>
        <w:rPr>
          <w:rFonts w:cs="Arial"/>
          <w:szCs w:val="20"/>
        </w:rPr>
        <w:t>t</w:t>
      </w:r>
      <w:r w:rsidRPr="009139B2">
        <w:rPr>
          <w:rFonts w:cs="Arial"/>
          <w:szCs w:val="20"/>
        </w:rPr>
        <w:t>ním režimem.</w:t>
      </w:r>
      <w:r w:rsidRPr="00F7201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D</w:t>
      </w:r>
      <w:r w:rsidRPr="003C2D8E">
        <w:rPr>
          <w:rFonts w:cs="Arial"/>
          <w:b/>
          <w:szCs w:val="20"/>
        </w:rPr>
        <w:t>omovy pro seniory</w:t>
      </w:r>
      <w:r w:rsidRPr="00844A3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jsou určeny zpravidla pro osoby ve věku 65 a více let,</w:t>
      </w:r>
      <w:r w:rsidRPr="003C2D8E">
        <w:rPr>
          <w:rFonts w:cs="Arial"/>
          <w:szCs w:val="20"/>
        </w:rPr>
        <w:t xml:space="preserve"> mají</w:t>
      </w:r>
      <w:r>
        <w:rPr>
          <w:rFonts w:cs="Arial"/>
          <w:szCs w:val="20"/>
        </w:rPr>
        <w:t>cí</w:t>
      </w:r>
      <w:r w:rsidRPr="003C2D8E">
        <w:rPr>
          <w:rFonts w:cs="Arial"/>
          <w:szCs w:val="20"/>
        </w:rPr>
        <w:t xml:space="preserve"> sníženou soběstačnost především z důvodu věku</w:t>
      </w:r>
      <w:r>
        <w:rPr>
          <w:rFonts w:cs="Arial"/>
          <w:szCs w:val="20"/>
        </w:rPr>
        <w:t>,</w:t>
      </w:r>
      <w:r w:rsidRPr="003C2D8E">
        <w:rPr>
          <w:rFonts w:cs="Arial"/>
          <w:szCs w:val="20"/>
        </w:rPr>
        <w:t xml:space="preserve"> jejichž situace vyžaduje pravidelnou pomoc jiné fyzické osoby</w:t>
      </w:r>
      <w:r>
        <w:rPr>
          <w:rFonts w:cs="Arial"/>
          <w:szCs w:val="20"/>
        </w:rPr>
        <w:t xml:space="preserve">. </w:t>
      </w:r>
      <w:r w:rsidRPr="003C2D8E">
        <w:rPr>
          <w:rFonts w:cs="Arial"/>
          <w:b/>
          <w:szCs w:val="20"/>
        </w:rPr>
        <w:t>Domovy se zvláštním režimem</w:t>
      </w:r>
      <w:r w:rsidRPr="00D54D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jsou </w:t>
      </w:r>
      <w:r w:rsidRPr="00D54D64">
        <w:rPr>
          <w:rFonts w:cs="Arial"/>
          <w:szCs w:val="20"/>
        </w:rPr>
        <w:t>určen</w:t>
      </w:r>
      <w:r>
        <w:rPr>
          <w:rFonts w:cs="Arial"/>
          <w:szCs w:val="20"/>
        </w:rPr>
        <w:t>y</w:t>
      </w:r>
      <w:r w:rsidRPr="00D54D64">
        <w:rPr>
          <w:rFonts w:cs="Arial"/>
          <w:szCs w:val="20"/>
        </w:rPr>
        <w:t xml:space="preserve"> pro osoby se sníženou soběstačností z důvodu chronického duševního onemocnění - stařecká, Alzheimerova a ostatní typy demencí</w:t>
      </w:r>
      <w:r>
        <w:rPr>
          <w:rFonts w:cs="Arial"/>
          <w:szCs w:val="20"/>
        </w:rPr>
        <w:t xml:space="preserve"> – vyžadující komplexní péči.</w: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 w:rsidRPr="003C2D8E">
        <w:rPr>
          <w:rFonts w:cs="Arial"/>
          <w:b/>
          <w:szCs w:val="20"/>
        </w:rPr>
        <w:t>Domy s pečovatelskou službou</w:t>
      </w:r>
      <w:r>
        <w:rPr>
          <w:rFonts w:cs="Arial"/>
          <w:szCs w:val="20"/>
        </w:rPr>
        <w:t xml:space="preserve"> jsou určeny osobám v důchodovém věku (nebo pobírajících invalidní důchod), jejichž zdravotní stav nevyžaduje komplexní péči, mohou vést relativně samostatný život, ale potřebují pomoc při obstarávání svých potřeb. </w:t>
      </w:r>
      <w:r w:rsidRPr="004501FA">
        <w:rPr>
          <w:rFonts w:cs="Arial"/>
          <w:szCs w:val="20"/>
        </w:rPr>
        <w:t>Nejsou ale zařízením sociálních služeb podle zákona o</w:t>
      </w:r>
      <w:r>
        <w:rPr>
          <w:rFonts w:cs="Arial"/>
          <w:szCs w:val="20"/>
        </w:rPr>
        <w:t> </w:t>
      </w:r>
      <w:r w:rsidRPr="004501FA">
        <w:rPr>
          <w:rFonts w:cs="Arial"/>
          <w:szCs w:val="20"/>
        </w:rPr>
        <w:t>sociálních službách, ale jedná se o byty ve vlastnictví obce, o nichž také sama obec rozhoduje. Obec přiděluje tyto byty na základě předem stanovených kritérií jednotlivým žadatelům o tento druh bydlení, s</w:t>
      </w:r>
      <w:r>
        <w:rPr>
          <w:rFonts w:cs="Arial"/>
          <w:szCs w:val="20"/>
        </w:rPr>
        <w:t> </w:t>
      </w:r>
      <w:r w:rsidRPr="004501FA">
        <w:rPr>
          <w:rFonts w:cs="Arial"/>
          <w:szCs w:val="20"/>
        </w:rPr>
        <w:t>nimiž pak uzavírá běžnou nájemní smlouvu.</w:t>
      </w:r>
    </w:p>
    <w:p w:rsidR="009C12A6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Tab. 5.3 </w:t>
      </w:r>
      <w:r w:rsidRPr="00AE0175">
        <w:rPr>
          <w:rFonts w:cs="Arial"/>
          <w:b/>
          <w:szCs w:val="20"/>
        </w:rPr>
        <w:t xml:space="preserve">Vybraná zařízení sociální péče podle okresů </w:t>
      </w:r>
      <w:r>
        <w:rPr>
          <w:rFonts w:cs="Arial"/>
          <w:b/>
          <w:szCs w:val="20"/>
        </w:rPr>
        <w:t xml:space="preserve">Jihomoravského kraje </w:t>
      </w:r>
      <w:r w:rsidRPr="00AE0175">
        <w:rPr>
          <w:rFonts w:cs="Arial"/>
          <w:b/>
          <w:szCs w:val="20"/>
        </w:rPr>
        <w:t>v roce 201</w:t>
      </w:r>
      <w:r>
        <w:rPr>
          <w:rFonts w:cs="Arial"/>
          <w:b/>
          <w:szCs w:val="20"/>
        </w:rPr>
        <w:t>4</w:t>
      </w:r>
    </w:p>
    <w:p w:rsidR="009C12A6" w:rsidRDefault="009C12A6" w:rsidP="009C12A6">
      <w:pPr>
        <w:jc w:val="both"/>
        <w:rPr>
          <w:rFonts w:cs="Arial"/>
          <w:szCs w:val="20"/>
        </w:rPr>
      </w:pPr>
      <w:r w:rsidRPr="00BC280F">
        <w:rPr>
          <w:rFonts w:cs="Arial"/>
          <w:sz w:val="16"/>
          <w:szCs w:val="16"/>
        </w:rPr>
        <w:t xml:space="preserve">Zdroj: </w:t>
      </w:r>
      <w:r w:rsidRPr="00AE0175">
        <w:rPr>
          <w:rFonts w:cs="Arial"/>
          <w:sz w:val="16"/>
          <w:szCs w:val="16"/>
        </w:rPr>
        <w:t>Ministerstvo práce a sociálních věcí</w:t>
      </w:r>
    </w:p>
    <w:p w:rsidR="009C12A6" w:rsidRDefault="0041724C" w:rsidP="009C12A6">
      <w:pPr>
        <w:spacing w:after="120"/>
        <w:rPr>
          <w:rFonts w:cs="Arial"/>
          <w:b/>
          <w:szCs w:val="20"/>
        </w:rPr>
      </w:pPr>
      <w:r w:rsidRPr="0038604F">
        <w:rPr>
          <w:szCs w:val="20"/>
        </w:rPr>
        <w:pict>
          <v:shape id="_x0000_i1034" type="#_x0000_t75" style="width:481.45pt;height:202.05pt">
            <v:imagedata r:id="rId17" o:title=""/>
          </v:shape>
        </w:pict>
      </w:r>
    </w:p>
    <w:p w:rsidR="009C12A6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Graf 5.5 </w:t>
      </w:r>
      <w:r w:rsidRPr="00032A03">
        <w:rPr>
          <w:rFonts w:cs="Arial"/>
          <w:b/>
          <w:szCs w:val="20"/>
        </w:rPr>
        <w:t>Obyvatelé vybraných typů zařízení sociální péče v Jihomoravském kraji podle věku</w:t>
      </w:r>
    </w:p>
    <w:p w:rsidR="009C12A6" w:rsidRPr="00EB7C47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</w:t>
      </w:r>
      <w:r w:rsidRPr="00032A03">
        <w:rPr>
          <w:rFonts w:cs="Arial"/>
          <w:b/>
          <w:szCs w:val="20"/>
        </w:rPr>
        <w:t xml:space="preserve"> k</w:t>
      </w:r>
      <w:r>
        <w:rPr>
          <w:rFonts w:cs="Arial"/>
          <w:b/>
          <w:szCs w:val="20"/>
        </w:rPr>
        <w:t> </w:t>
      </w:r>
      <w:r w:rsidRPr="00032A03">
        <w:rPr>
          <w:rFonts w:cs="Arial"/>
          <w:b/>
          <w:szCs w:val="20"/>
        </w:rPr>
        <w:t>31.</w:t>
      </w:r>
      <w:r>
        <w:rPr>
          <w:rFonts w:cs="Arial"/>
          <w:b/>
          <w:szCs w:val="20"/>
        </w:rPr>
        <w:t> </w:t>
      </w:r>
      <w:r w:rsidRPr="00032A03">
        <w:rPr>
          <w:rFonts w:cs="Arial"/>
          <w:b/>
          <w:szCs w:val="20"/>
        </w:rPr>
        <w:t>12.</w:t>
      </w:r>
      <w:r>
        <w:rPr>
          <w:rFonts w:cs="Arial"/>
          <w:b/>
          <w:szCs w:val="20"/>
        </w:rPr>
        <w:t> </w:t>
      </w:r>
      <w:r w:rsidRPr="00032A03">
        <w:rPr>
          <w:rFonts w:cs="Arial"/>
          <w:b/>
          <w:szCs w:val="20"/>
        </w:rPr>
        <w:t>2014</w:t>
      </w:r>
    </w:p>
    <w:p w:rsidR="009C12A6" w:rsidRDefault="009C12A6" w:rsidP="009C12A6">
      <w:pPr>
        <w:jc w:val="both"/>
        <w:rPr>
          <w:rFonts w:cs="Arial"/>
          <w:szCs w:val="20"/>
        </w:rPr>
      </w:pPr>
      <w:r w:rsidRPr="00BC280F">
        <w:rPr>
          <w:rFonts w:cs="Arial"/>
          <w:sz w:val="16"/>
          <w:szCs w:val="16"/>
        </w:rPr>
        <w:t xml:space="preserve">Zdroj: </w:t>
      </w:r>
      <w:r w:rsidRPr="00AE0175">
        <w:rPr>
          <w:rFonts w:cs="Arial"/>
          <w:sz w:val="16"/>
          <w:szCs w:val="16"/>
        </w:rPr>
        <w:t>Ministerstvo práce a sociálních věcí</w:t>
      </w:r>
    </w:p>
    <w:p w:rsidR="009C12A6" w:rsidRDefault="0041724C" w:rsidP="009C12A6">
      <w:pPr>
        <w:spacing w:after="120"/>
        <w:jc w:val="both"/>
        <w:rPr>
          <w:rFonts w:cs="Arial"/>
          <w:szCs w:val="20"/>
        </w:rPr>
      </w:pPr>
      <w:r w:rsidRPr="0038604F">
        <w:rPr>
          <w:noProof/>
          <w:szCs w:val="20"/>
        </w:rPr>
        <w:pict>
          <v:shape id="_x0000_i1035" type="#_x0000_t75" style="width:482.5pt;height:209.55pt;visibility:visible;mso-wrap-style:square">
            <v:imagedata r:id="rId18" o:title=""/>
          </v:shape>
        </w:pic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V Jihomoravském kraji bylo na konci roku 2014 </w:t>
      </w:r>
      <w:r w:rsidRPr="002757C7">
        <w:rPr>
          <w:rFonts w:cs="Arial"/>
          <w:b/>
          <w:szCs w:val="20"/>
        </w:rPr>
        <w:t>ve 4</w:t>
      </w:r>
      <w:r>
        <w:rPr>
          <w:rFonts w:cs="Arial"/>
          <w:b/>
          <w:szCs w:val="20"/>
        </w:rPr>
        <w:t>8</w:t>
      </w:r>
      <w:r w:rsidRPr="002757C7">
        <w:rPr>
          <w:rFonts w:cs="Arial"/>
          <w:b/>
          <w:szCs w:val="20"/>
        </w:rPr>
        <w:t xml:space="preserve"> domovech pro seniory k dispozici 3 0</w:t>
      </w:r>
      <w:r>
        <w:rPr>
          <w:rFonts w:cs="Arial"/>
          <w:b/>
          <w:szCs w:val="20"/>
        </w:rPr>
        <w:t>28</w:t>
      </w:r>
      <w:r w:rsidRPr="002757C7">
        <w:rPr>
          <w:rFonts w:cs="Arial"/>
          <w:b/>
          <w:szCs w:val="20"/>
        </w:rPr>
        <w:t xml:space="preserve"> lůžek</w:t>
      </w:r>
      <w:r>
        <w:rPr>
          <w:rFonts w:cs="Arial"/>
          <w:szCs w:val="20"/>
        </w:rPr>
        <w:t xml:space="preserve">. Tento počet sice byl mezi kraji 5. nejvyšší, ovšem přepočet na 1 000 obyvatel ve věku 65 a více let (14,2 lůžek) byl mezi kraji naopak 3. nejnižší. Více než polovina kapacit domovů pro seniory byla v rámci kraje v Brně-městě (1 515 lůžek), ovšem v přepočtených počtech na osoby v seniorském věku se Brnu (20,4 lůžek) přiblížil i okres Vyškov (19,5 lůžek). </w: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 w:rsidRPr="00FF0EAD">
        <w:rPr>
          <w:rFonts w:cs="Arial"/>
          <w:b/>
          <w:szCs w:val="20"/>
        </w:rPr>
        <w:t>Domovy se zvláštním režimem</w:t>
      </w:r>
      <w:r>
        <w:rPr>
          <w:rFonts w:cs="Arial"/>
          <w:szCs w:val="20"/>
        </w:rPr>
        <w:t xml:space="preserve"> v roce 2014 v kraji </w:t>
      </w:r>
      <w:r w:rsidRPr="00FF0EAD">
        <w:rPr>
          <w:rFonts w:cs="Arial"/>
          <w:b/>
          <w:szCs w:val="20"/>
        </w:rPr>
        <w:t>disponovaly 2 </w:t>
      </w:r>
      <w:r>
        <w:rPr>
          <w:rFonts w:cs="Arial"/>
          <w:b/>
          <w:szCs w:val="20"/>
        </w:rPr>
        <w:t>816</w:t>
      </w:r>
      <w:r w:rsidRPr="00FF0EAD">
        <w:rPr>
          <w:rFonts w:cs="Arial"/>
          <w:b/>
          <w:szCs w:val="20"/>
        </w:rPr>
        <w:t xml:space="preserve"> lůžky</w:t>
      </w:r>
      <w:r>
        <w:rPr>
          <w:rFonts w:cs="Arial"/>
          <w:szCs w:val="20"/>
        </w:rPr>
        <w:t>. Počet byl mezi kraji nejvyšší, v přepočtu na 1 000 obyvatel v seniorském věku byl 2. nejvyšší (13,2 lůžek). Mezi okresy sice bylo nejvíce lůžek v Brně-městě (802 lůžek), ale přepočtený počet byl nejvyšší v okrese Znojmo. Zde na 1 000 obyvatel ve věku 65 a více let připadlo 29,9 míst v domovech se zvláštním režimem.</w: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Jihomoravském kraji v roce 2010 existovalo </w:t>
      </w:r>
      <w:r w:rsidRPr="00367EB2">
        <w:rPr>
          <w:rFonts w:cs="Arial"/>
          <w:b/>
          <w:szCs w:val="20"/>
        </w:rPr>
        <w:t>105 domů s pečovatelskou službou</w:t>
      </w:r>
      <w:r>
        <w:rPr>
          <w:rFonts w:cs="Arial"/>
          <w:szCs w:val="20"/>
        </w:rPr>
        <w:t xml:space="preserve">, v nich bylo </w:t>
      </w:r>
      <w:r w:rsidRPr="00367EB2">
        <w:rPr>
          <w:rFonts w:cs="Arial"/>
          <w:b/>
          <w:szCs w:val="20"/>
        </w:rPr>
        <w:t>3 823 bytů</w:t>
      </w:r>
      <w:r>
        <w:rPr>
          <w:rFonts w:cs="Arial"/>
          <w:szCs w:val="20"/>
        </w:rPr>
        <w:t>. Ve srovnání s ostatními kraji byl počet bytů druhý nejvyšší, ovšem přepočet na 1 000 obyvatel ve věku 65 a více let (20,5 bytů) byl 3. nejnižší a pod průměrem ČR (23,9 bytů). Největší počet bytů v domech s pečovatelskou službou v kraji byl v Brně-městě (980 bytů), ovšem přepočtený počet byl opět nejvyšší v okrese Znojmo, kde na 1 000 osob v seniorském věku připadalo 48,6 bytů v domech s pečovatelskou službou.</w:t>
      </w:r>
    </w:p>
    <w:p w:rsidR="009C12A6" w:rsidRDefault="0041724C" w:rsidP="009C12A6">
      <w:pPr>
        <w:spacing w:after="120"/>
        <w:jc w:val="both"/>
        <w:rPr>
          <w:rFonts w:cs="Arial"/>
          <w:szCs w:val="20"/>
        </w:rPr>
      </w:pPr>
      <w:r w:rsidRPr="0038604F">
        <w:rPr>
          <w:rFonts w:cs="Arial"/>
          <w:szCs w:val="20"/>
        </w:rPr>
        <w:pict>
          <v:shape id="_x0000_i1036" type="#_x0000_t75" style="width:481.45pt;height:340.65pt">
            <v:imagedata r:id="rId19" o:title="5_4"/>
          </v:shape>
        </w:pic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V grafu 5.5 je znázorněna věková struktura klientů vybraných typů sociální péče. Z </w:t>
      </w:r>
      <w:r w:rsidRPr="00B30E25">
        <w:rPr>
          <w:rFonts w:cs="Arial"/>
          <w:b/>
          <w:szCs w:val="20"/>
        </w:rPr>
        <w:t>2 946 bydlících v domovech pro seniory</w:t>
      </w:r>
      <w:r>
        <w:rPr>
          <w:rFonts w:cs="Arial"/>
          <w:szCs w:val="20"/>
        </w:rPr>
        <w:t xml:space="preserve"> ke konci roku 2014 bylo v Jihomoravském kraji nejvíce osob ve věku 86 až 95 let (1 259 osob, tj. 42,7 % celku) a osob ve věku 76 až 85 let (1 090 osob, tj. 37,0 % celku). Z </w:t>
      </w:r>
      <w:r w:rsidRPr="00B30E25">
        <w:rPr>
          <w:rFonts w:cs="Arial"/>
          <w:b/>
          <w:szCs w:val="20"/>
        </w:rPr>
        <w:t>2 697 uživatelů domovů se zvláštním režimem</w:t>
      </w:r>
      <w:r>
        <w:rPr>
          <w:rFonts w:cs="Arial"/>
          <w:szCs w:val="20"/>
        </w:rPr>
        <w:t xml:space="preserve"> bylo pořadí těchto věkových skupin opačné – nejvíce bylo klientů ve věku 76 až 85 let (1 003 osob, tj. 37,2 % celku), následovali pacienti ve věku 86 až 95 let (907 osob, tj. 33,6 % celku). V obou pobytových zařízeních v kraji ale na konci roku 2014 přebývaly i osoby ve věku do 65 let – v domovech pro seniory to bylo 124 osob (4,2 % z celkového počtu) a v domovech se zvláštním režimem 281 osob (10,4 % z celkového počtu). </w: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Vzhledem k tomu, že </w:t>
      </w:r>
      <w:r w:rsidRPr="00FF0EAD">
        <w:rPr>
          <w:rFonts w:cs="Arial"/>
          <w:szCs w:val="20"/>
        </w:rPr>
        <w:t>zařízení sociálních služeb i místa v nich jsou členěna podle druhu poskytované služby</w:t>
      </w:r>
      <w:r>
        <w:rPr>
          <w:rFonts w:cs="Arial"/>
          <w:szCs w:val="20"/>
        </w:rPr>
        <w:t xml:space="preserve"> a </w:t>
      </w:r>
      <w:r w:rsidRPr="00FF0EAD">
        <w:rPr>
          <w:rFonts w:cs="Arial"/>
          <w:szCs w:val="20"/>
        </w:rPr>
        <w:t>v jednom zařízení může být poskytováno více druhů sociálních služeb</w:t>
      </w:r>
      <w:r>
        <w:rPr>
          <w:rFonts w:cs="Arial"/>
          <w:szCs w:val="20"/>
        </w:rPr>
        <w:t xml:space="preserve">, je obtížné hodnotit vývoj počtu těchto zařízení. </w:t>
      </w:r>
      <w:r w:rsidRPr="006E1684">
        <w:rPr>
          <w:rFonts w:cs="Arial"/>
          <w:b/>
          <w:szCs w:val="20"/>
        </w:rPr>
        <w:t>Měřítkem tak zůstává vývoj počtu lůžek</w:t>
      </w:r>
      <w:r>
        <w:rPr>
          <w:rFonts w:cs="Arial"/>
          <w:szCs w:val="20"/>
        </w:rPr>
        <w:t xml:space="preserve">. V domovech pro seniory byl jejich stav v roce 2014 proti roku 2008 o 71 lůžek nižší, v domovech se zvláštním režimem se však počet lůžek zvýšil o 1 075. V souhrnu tak v pobytových zařízeních </w:t>
      </w:r>
      <w:r w:rsidRPr="00E25A82">
        <w:rPr>
          <w:rFonts w:cs="Arial"/>
          <w:b/>
          <w:szCs w:val="20"/>
        </w:rPr>
        <w:t>od roku 2008 přibylo 1 004 lůžek</w:t>
      </w:r>
      <w:r>
        <w:rPr>
          <w:rFonts w:cs="Arial"/>
          <w:szCs w:val="20"/>
        </w:rPr>
        <w:t>.</w: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Počty lůžek, které nabízí domovy pro seniory a domovy se zvláštním režimem v Jihomoravském kraji, přes zvýšení kapacit v posledních letech, </w:t>
      </w:r>
      <w:r w:rsidRPr="00AE7EC0">
        <w:rPr>
          <w:rFonts w:cs="Arial"/>
          <w:szCs w:val="20"/>
        </w:rPr>
        <w:t>ani zdaleka nepokrývají současné potřeby</w:t>
      </w:r>
      <w:r>
        <w:rPr>
          <w:rFonts w:cs="Arial"/>
          <w:szCs w:val="20"/>
        </w:rPr>
        <w:t xml:space="preserve">. Na konci roku 2014 bylo v Jihomoravském kraji evidováno </w:t>
      </w:r>
      <w:r w:rsidRPr="007D5343">
        <w:rPr>
          <w:rFonts w:cs="Arial"/>
          <w:b/>
          <w:szCs w:val="20"/>
        </w:rPr>
        <w:t>12 666 neuspokojených ž</w:t>
      </w:r>
      <w:r>
        <w:rPr>
          <w:rFonts w:cs="Arial"/>
          <w:b/>
          <w:szCs w:val="20"/>
        </w:rPr>
        <w:t>a</w:t>
      </w:r>
      <w:r w:rsidRPr="007D5343">
        <w:rPr>
          <w:rFonts w:cs="Arial"/>
          <w:b/>
          <w:szCs w:val="20"/>
        </w:rPr>
        <w:t>d</w:t>
      </w:r>
      <w:r>
        <w:rPr>
          <w:rFonts w:cs="Arial"/>
          <w:b/>
          <w:szCs w:val="20"/>
        </w:rPr>
        <w:t>atelů</w:t>
      </w:r>
      <w:r w:rsidRPr="007D5343">
        <w:rPr>
          <w:rFonts w:cs="Arial"/>
          <w:b/>
          <w:szCs w:val="20"/>
        </w:rPr>
        <w:t xml:space="preserve"> o umístění do domova </w:t>
      </w:r>
      <w:r>
        <w:rPr>
          <w:rFonts w:cs="Arial"/>
          <w:b/>
          <w:szCs w:val="20"/>
        </w:rPr>
        <w:t xml:space="preserve">pro </w:t>
      </w:r>
      <w:r w:rsidRPr="007D5343">
        <w:rPr>
          <w:rFonts w:cs="Arial"/>
          <w:b/>
          <w:szCs w:val="20"/>
        </w:rPr>
        <w:t>senior</w:t>
      </w:r>
      <w:r>
        <w:rPr>
          <w:rFonts w:cs="Arial"/>
          <w:b/>
          <w:szCs w:val="20"/>
        </w:rPr>
        <w:t>y</w:t>
      </w:r>
      <w:r w:rsidRPr="007D5343">
        <w:rPr>
          <w:rFonts w:cs="Arial"/>
          <w:b/>
          <w:szCs w:val="20"/>
        </w:rPr>
        <w:t xml:space="preserve"> </w:t>
      </w:r>
      <w:r w:rsidRPr="007D5343">
        <w:rPr>
          <w:rFonts w:cs="Arial"/>
          <w:szCs w:val="20"/>
        </w:rPr>
        <w:t>a</w:t>
      </w:r>
      <w:r>
        <w:rPr>
          <w:rFonts w:cs="Arial"/>
          <w:szCs w:val="20"/>
        </w:rPr>
        <w:t> </w:t>
      </w:r>
      <w:r w:rsidRPr="007D5343">
        <w:rPr>
          <w:rFonts w:cs="Arial"/>
          <w:b/>
          <w:szCs w:val="20"/>
        </w:rPr>
        <w:t>5</w:t>
      </w:r>
      <w:r>
        <w:rPr>
          <w:rFonts w:cs="Arial"/>
          <w:b/>
          <w:szCs w:val="20"/>
        </w:rPr>
        <w:t> </w:t>
      </w:r>
      <w:r w:rsidRPr="007D5343">
        <w:rPr>
          <w:rFonts w:cs="Arial"/>
          <w:b/>
          <w:szCs w:val="20"/>
        </w:rPr>
        <w:t>059</w:t>
      </w:r>
      <w:r>
        <w:rPr>
          <w:rFonts w:cs="Arial"/>
          <w:b/>
          <w:szCs w:val="20"/>
        </w:rPr>
        <w:t xml:space="preserve"> neuspokojených </w:t>
      </w:r>
      <w:r w:rsidRPr="007D5343">
        <w:rPr>
          <w:rFonts w:cs="Arial"/>
          <w:b/>
          <w:szCs w:val="20"/>
        </w:rPr>
        <w:t>ž</w:t>
      </w:r>
      <w:r>
        <w:rPr>
          <w:rFonts w:cs="Arial"/>
          <w:b/>
          <w:szCs w:val="20"/>
        </w:rPr>
        <w:t>a</w:t>
      </w:r>
      <w:r w:rsidRPr="007D5343">
        <w:rPr>
          <w:rFonts w:cs="Arial"/>
          <w:b/>
          <w:szCs w:val="20"/>
        </w:rPr>
        <w:t>d</w:t>
      </w:r>
      <w:r>
        <w:rPr>
          <w:rFonts w:cs="Arial"/>
          <w:b/>
          <w:szCs w:val="20"/>
        </w:rPr>
        <w:t>atelů</w:t>
      </w:r>
      <w:r w:rsidRPr="007D5343">
        <w:rPr>
          <w:rFonts w:cs="Arial"/>
          <w:b/>
          <w:szCs w:val="20"/>
        </w:rPr>
        <w:t xml:space="preserve"> o umístění do domova se zvláštním režimem</w:t>
      </w:r>
      <w:r>
        <w:rPr>
          <w:rFonts w:cs="Arial"/>
          <w:szCs w:val="20"/>
        </w:rPr>
        <w:t xml:space="preserve">. V obou případech patří Jihomoravskému kraji nelichotivé prvenství v mezikrajském srovnání. </w: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7D5343">
        <w:rPr>
          <w:rFonts w:cs="Arial"/>
          <w:szCs w:val="20"/>
        </w:rPr>
        <w:t xml:space="preserve">odobně vyznívá </w:t>
      </w:r>
      <w:r>
        <w:rPr>
          <w:rFonts w:cs="Arial"/>
          <w:szCs w:val="20"/>
        </w:rPr>
        <w:t>i porovnání krajů v</w:t>
      </w:r>
      <w:r w:rsidRPr="007D5343">
        <w:rPr>
          <w:rFonts w:cs="Arial"/>
          <w:szCs w:val="20"/>
        </w:rPr>
        <w:t xml:space="preserve"> relativní</w:t>
      </w:r>
      <w:r>
        <w:rPr>
          <w:rFonts w:cs="Arial"/>
          <w:szCs w:val="20"/>
        </w:rPr>
        <w:t>m</w:t>
      </w:r>
      <w:r w:rsidRPr="007D5343">
        <w:rPr>
          <w:rFonts w:cs="Arial"/>
          <w:szCs w:val="20"/>
        </w:rPr>
        <w:t xml:space="preserve"> vyjádře</w:t>
      </w:r>
      <w:r>
        <w:rPr>
          <w:rFonts w:cs="Arial"/>
          <w:szCs w:val="20"/>
        </w:rPr>
        <w:t>ní neuspokojených žadatelů – 23,7 žadatelů o místo v domově se zvláštním režimem v přepočtu na 1 000 obyvatel ve věku 65 a více let staví Jihomoravský kraj opět na 1. místo mezikrajského žebříčku, 59,4 žadatelů o místo v domově pro seniory v přepočtu na 1 000 obyvatel ve věku 65 a více let představuje „až“ 2. nejvyšší hodnotu (za Zlínským krajem – 60,6).</w: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Počty neuspokojených žadatelů o umístění v pobytových zařízeních se v Jihomoravském kraji postupně zvyšovaly. V roce 2009 bylo evidováno 9 591 žádostí o umístění v domě pro seniory a 2 816 žádostí o umístění v domě se zvláštním režimem. V roce 2014 tak byl počet žádostí o umístění vyšší o 3 075 u domovů pro seniory a o 2 243 u domovů se zvláštním režimem.</w:t>
      </w:r>
    </w:p>
    <w:p w:rsidR="009C12A6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Graf 5.6 </w:t>
      </w:r>
      <w:r w:rsidRPr="00032A03">
        <w:rPr>
          <w:rFonts w:cs="Arial"/>
          <w:b/>
          <w:szCs w:val="20"/>
        </w:rPr>
        <w:t xml:space="preserve">Žadatelé o umístění ve vybraných typech zařízení sociální péče na 1 000 obyvatel </w:t>
      </w:r>
    </w:p>
    <w:p w:rsidR="009C12A6" w:rsidRPr="00EB7C47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</w:t>
      </w:r>
      <w:r w:rsidRPr="00032A03">
        <w:rPr>
          <w:rFonts w:cs="Arial"/>
          <w:b/>
          <w:szCs w:val="20"/>
        </w:rPr>
        <w:t>ve věku 65</w:t>
      </w:r>
      <w:r>
        <w:rPr>
          <w:rFonts w:cs="Arial"/>
          <w:b/>
          <w:szCs w:val="20"/>
        </w:rPr>
        <w:t> </w:t>
      </w:r>
      <w:r w:rsidRPr="00032A03">
        <w:rPr>
          <w:rFonts w:cs="Arial"/>
          <w:b/>
          <w:szCs w:val="20"/>
        </w:rPr>
        <w:t>a více let podle krajů k 31. 12. 2014</w:t>
      </w:r>
    </w:p>
    <w:p w:rsidR="009C12A6" w:rsidRDefault="009C12A6" w:rsidP="009C12A6">
      <w:pPr>
        <w:jc w:val="both"/>
        <w:rPr>
          <w:rFonts w:cs="Arial"/>
          <w:szCs w:val="20"/>
        </w:rPr>
      </w:pPr>
      <w:r w:rsidRPr="00BC280F">
        <w:rPr>
          <w:rFonts w:cs="Arial"/>
          <w:sz w:val="16"/>
          <w:szCs w:val="16"/>
        </w:rPr>
        <w:t xml:space="preserve">Zdroj: </w:t>
      </w:r>
      <w:r w:rsidRPr="00AE0175">
        <w:rPr>
          <w:rFonts w:cs="Arial"/>
          <w:sz w:val="16"/>
          <w:szCs w:val="16"/>
        </w:rPr>
        <w:t>Ministerstvo práce a sociálních věcí</w:t>
      </w:r>
    </w:p>
    <w:p w:rsidR="009C12A6" w:rsidRDefault="0041724C" w:rsidP="009C12A6">
      <w:pPr>
        <w:spacing w:after="120"/>
        <w:rPr>
          <w:rFonts w:cs="Arial"/>
          <w:b/>
          <w:szCs w:val="20"/>
        </w:rPr>
      </w:pPr>
      <w:r w:rsidRPr="0038604F">
        <w:rPr>
          <w:noProof/>
          <w:szCs w:val="20"/>
        </w:rPr>
        <w:pict>
          <v:shape id="_x0000_i1037" type="#_x0000_t75" style="width:482.5pt;height:200.95pt;visibility:visible;mso-wrap-style:square">
            <v:imagedata r:id="rId20" o:title=""/>
          </v:shape>
        </w:pict>
      </w:r>
    </w:p>
    <w:p w:rsidR="009C12A6" w:rsidRDefault="009C12A6" w:rsidP="009C12A6">
      <w:pPr>
        <w:pStyle w:val="textS"/>
      </w:pPr>
    </w:p>
    <w:p w:rsidR="009C12A6" w:rsidRPr="00D8245C" w:rsidRDefault="009C12A6" w:rsidP="009C12A6">
      <w:pPr>
        <w:pStyle w:val="NadpisS2"/>
      </w:pPr>
      <w:bookmarkStart w:id="3" w:name="_Toc431532112"/>
      <w:r w:rsidRPr="00D8245C">
        <w:t>Pečovatelská služba</w:t>
      </w:r>
      <w:bookmarkEnd w:id="3"/>
    </w:p>
    <w:p w:rsidR="009C12A6" w:rsidRPr="00692E08" w:rsidRDefault="009C12A6" w:rsidP="009C12A6">
      <w:pPr>
        <w:pStyle w:val="textS"/>
        <w:rPr>
          <w:b/>
        </w:rPr>
      </w:pPr>
      <w:r w:rsidRPr="00692E08">
        <w:rPr>
          <w:rFonts w:cs="Arial"/>
          <w:b/>
          <w:szCs w:val="20"/>
        </w:rPr>
        <w:t xml:space="preserve">Základním principem pečovatelské služby je poskytování úkonů ve vymezeném čase. Jejím prostřednictvím si klient smluvně sjednává vykonávání určitých úkonů péče o vlastní osobu, </w:t>
      </w:r>
      <w:r w:rsidRPr="00906AA7">
        <w:rPr>
          <w:rFonts w:cs="Arial"/>
          <w:b/>
          <w:szCs w:val="20"/>
        </w:rPr>
        <w:t>pomoc při osobní hygieně nebo poskytnutí podmínek pro osobní hygienu</w:t>
      </w:r>
      <w:r>
        <w:rPr>
          <w:rFonts w:cs="Arial"/>
          <w:b/>
          <w:szCs w:val="20"/>
        </w:rPr>
        <w:t xml:space="preserve">, pomoc při zajištění chodu </w:t>
      </w:r>
      <w:r w:rsidRPr="00692E08">
        <w:rPr>
          <w:rFonts w:cs="Arial"/>
          <w:b/>
          <w:szCs w:val="20"/>
        </w:rPr>
        <w:t>domácnost</w:t>
      </w:r>
      <w:r>
        <w:rPr>
          <w:rFonts w:cs="Arial"/>
          <w:b/>
          <w:szCs w:val="20"/>
        </w:rPr>
        <w:t>i</w:t>
      </w:r>
      <w:r w:rsidRPr="00692E08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 xml:space="preserve">zajištění stravy, </w:t>
      </w:r>
      <w:r w:rsidRPr="00692E08">
        <w:rPr>
          <w:rFonts w:cs="Arial"/>
          <w:b/>
          <w:szCs w:val="20"/>
        </w:rPr>
        <w:t>nákup</w:t>
      </w:r>
      <w:r>
        <w:rPr>
          <w:rFonts w:cs="Arial"/>
          <w:b/>
          <w:szCs w:val="20"/>
        </w:rPr>
        <w:t>ů</w:t>
      </w:r>
      <w:r w:rsidRPr="00692E08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 xml:space="preserve">zprostředkování kontaktů se společenským prostředím </w:t>
      </w:r>
      <w:r w:rsidRPr="00692E08">
        <w:rPr>
          <w:rFonts w:cs="Arial"/>
          <w:b/>
          <w:szCs w:val="20"/>
        </w:rPr>
        <w:t>apod. Primárně je služba určena osobám se zdravotním nebo tělesným postižením, seniorům a rodinám s dětmi.</w:t>
      </w:r>
    </w:p>
    <w:p w:rsidR="009C12A6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Tab. 5.4 </w:t>
      </w:r>
      <w:r w:rsidRPr="005D35E2">
        <w:rPr>
          <w:rFonts w:cs="Arial"/>
          <w:b/>
          <w:szCs w:val="20"/>
        </w:rPr>
        <w:t>Pečovatelská služba v Jihomoravském kraji v letech 2007 až 2014</w:t>
      </w:r>
    </w:p>
    <w:p w:rsidR="009C12A6" w:rsidRDefault="009C12A6" w:rsidP="009C12A6">
      <w:pPr>
        <w:jc w:val="both"/>
        <w:rPr>
          <w:rFonts w:cs="Arial"/>
          <w:szCs w:val="20"/>
        </w:rPr>
      </w:pPr>
      <w:r w:rsidRPr="00BC280F">
        <w:rPr>
          <w:rFonts w:cs="Arial"/>
          <w:sz w:val="16"/>
          <w:szCs w:val="16"/>
        </w:rPr>
        <w:t xml:space="preserve">Zdroj: </w:t>
      </w:r>
      <w:r w:rsidRPr="00AE0175">
        <w:rPr>
          <w:rFonts w:cs="Arial"/>
          <w:sz w:val="16"/>
          <w:szCs w:val="16"/>
        </w:rPr>
        <w:t>Ministerstvo práce a sociálních věcí</w:t>
      </w:r>
    </w:p>
    <w:p w:rsidR="009C12A6" w:rsidRDefault="0038604F" w:rsidP="009C12A6">
      <w:pPr>
        <w:spacing w:after="120"/>
        <w:jc w:val="both"/>
        <w:rPr>
          <w:noProof/>
          <w:szCs w:val="20"/>
        </w:rPr>
      </w:pPr>
      <w:r w:rsidRPr="0038604F">
        <w:rPr>
          <w:noProof/>
          <w:szCs w:val="20"/>
        </w:rPr>
        <w:pict>
          <v:shape id="_x0000_i1038" type="#_x0000_t75" style="width:478.2pt;height:111.75pt;visibility:visible;mso-wrap-style:square">
            <v:imagedata r:id="rId21" o:title=""/>
          </v:shape>
        </w:pic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roce 2014 byla pečovatelská služba v Jihomoravském kraji poskytnuta 13,1 tisíc osobám, výdaje na pečovatelskou službu dosáhly částky 249,7 mil. Kč. Od roku 2007 se počet osob využívajících pečovatelských služeb v kraji snížil o 4,5 tisíc (o 25,5 %), vynaložená částka na pečovatelskou službu </w:t>
      </w:r>
      <w:r>
        <w:rPr>
          <w:rFonts w:cs="Arial"/>
          <w:szCs w:val="20"/>
        </w:rPr>
        <w:lastRenderedPageBreak/>
        <w:t>vzrostla o 55,4 mil. Kč, tj. o 28,5 %. Dalo by se zjednodušeně konstatovat, že počet uživatelů pečovatelské služby za 8 let o čtvrtinu poklesl, kdežto náklady na tyto služby o více než čtvrtinu vzrostly.</w:t>
      </w:r>
    </w:p>
    <w:p w:rsidR="009C12A6" w:rsidRPr="00EB7C47" w:rsidRDefault="009C12A6" w:rsidP="009C12A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Graf 5.7 </w:t>
      </w:r>
      <w:r w:rsidRPr="0066698A">
        <w:rPr>
          <w:rFonts w:cs="Arial"/>
          <w:b/>
          <w:szCs w:val="20"/>
        </w:rPr>
        <w:t>Pečovatelská služba v Jihomoravském kraji v letech 2007 až 2014</w:t>
      </w:r>
    </w:p>
    <w:p w:rsidR="009C12A6" w:rsidRDefault="009C12A6" w:rsidP="009C12A6">
      <w:pPr>
        <w:jc w:val="both"/>
        <w:rPr>
          <w:rFonts w:cs="Arial"/>
          <w:szCs w:val="20"/>
        </w:rPr>
      </w:pPr>
      <w:r w:rsidRPr="00BC280F">
        <w:rPr>
          <w:rFonts w:cs="Arial"/>
          <w:sz w:val="16"/>
          <w:szCs w:val="16"/>
        </w:rPr>
        <w:t xml:space="preserve">Zdroj: </w:t>
      </w:r>
      <w:r w:rsidRPr="00AE0175">
        <w:rPr>
          <w:rFonts w:cs="Arial"/>
          <w:sz w:val="16"/>
          <w:szCs w:val="16"/>
        </w:rPr>
        <w:t>Ministerstvo práce a sociálních věcí</w:t>
      </w:r>
    </w:p>
    <w:p w:rsidR="009C12A6" w:rsidRDefault="0038604F" w:rsidP="009C12A6">
      <w:pPr>
        <w:spacing w:after="120"/>
        <w:jc w:val="both"/>
        <w:rPr>
          <w:noProof/>
          <w:szCs w:val="20"/>
        </w:rPr>
      </w:pPr>
      <w:r w:rsidRPr="0038604F">
        <w:rPr>
          <w:noProof/>
          <w:szCs w:val="20"/>
        </w:rPr>
        <w:pict>
          <v:shape id="_x0000_i1039" type="#_x0000_t75" style="width:482.5pt;height:225.65pt;visibility:visible;mso-wrap-style:square">
            <v:imagedata r:id="rId22" o:title=""/>
          </v:shape>
        </w:pict>
      </w:r>
    </w:p>
    <w:p w:rsidR="009C12A6" w:rsidRDefault="009C12A6" w:rsidP="009C12A6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Znatelný pokles ve využívání pečovatelských služeb je zřejmý i v relativním vyjádření – v roce 2007 na 1 000 obyvatel kraje připadlo 15,4 osob využívající pečovatelskou službu, v roce 2014 to bylo již jen 11,2 osob na 1 000 obyvatel. V roce 2007 na jednu osobu, které byla poskytnuta pečovatelská služba, připadly výdaje ve výši 11,0 tisíc Kč, v roce 2014 již přesáhly částku 19 tisíc Kč. </w:t>
      </w:r>
    </w:p>
    <w:p w:rsidR="007E4733" w:rsidRDefault="007E4733" w:rsidP="00BE797A">
      <w:pPr>
        <w:pStyle w:val="textSseznam"/>
      </w:pPr>
    </w:p>
    <w:p w:rsidR="0041724C" w:rsidRDefault="0041724C" w:rsidP="00BE797A">
      <w:pPr>
        <w:pStyle w:val="textSseznam"/>
        <w:sectPr w:rsidR="0041724C" w:rsidSect="00975FEE">
          <w:footerReference w:type="even" r:id="rId23"/>
          <w:footerReference w:type="default" r:id="rId24"/>
          <w:pgSz w:w="11906" w:h="16838" w:code="9"/>
          <w:pgMar w:top="1418" w:right="1134" w:bottom="1418" w:left="1134" w:header="680" w:footer="680" w:gutter="0"/>
          <w:pgNumType w:start="64"/>
          <w:cols w:space="708"/>
          <w:docGrid w:linePitch="360"/>
        </w:sectPr>
      </w:pPr>
    </w:p>
    <w:p w:rsidR="0041724C" w:rsidRDefault="0041724C" w:rsidP="00BE797A">
      <w:pPr>
        <w:pStyle w:val="textSseznam"/>
        <w:sectPr w:rsidR="0041724C" w:rsidSect="0041724C">
          <w:type w:val="continuous"/>
          <w:pgSz w:w="11906" w:h="16838" w:code="9"/>
          <w:pgMar w:top="1418" w:right="1134" w:bottom="1418" w:left="1134" w:header="680" w:footer="680" w:gutter="0"/>
          <w:pgNumType w:start="64"/>
          <w:cols w:space="708"/>
          <w:docGrid w:linePitch="360"/>
        </w:sectPr>
      </w:pPr>
    </w:p>
    <w:p w:rsidR="001005A6" w:rsidRDefault="001005A6" w:rsidP="00BE797A">
      <w:pPr>
        <w:pStyle w:val="textSseznam"/>
      </w:pPr>
    </w:p>
    <w:p w:rsidR="001005A6" w:rsidRDefault="001005A6" w:rsidP="00BE797A">
      <w:pPr>
        <w:pStyle w:val="textSseznam"/>
      </w:pPr>
    </w:p>
    <w:p w:rsidR="00E51E1F" w:rsidRDefault="00E51E1F" w:rsidP="005678C3">
      <w:pPr>
        <w:sectPr w:rsidR="00E51E1F" w:rsidSect="0041724C">
          <w:type w:val="continuous"/>
          <w:pgSz w:w="11906" w:h="16838" w:code="9"/>
          <w:pgMar w:top="1418" w:right="1134" w:bottom="1418" w:left="1134" w:header="680" w:footer="680" w:gutter="0"/>
          <w:pgNumType w:start="64"/>
          <w:cols w:space="708"/>
          <w:docGrid w:linePitch="360"/>
        </w:sectPr>
      </w:pPr>
    </w:p>
    <w:p w:rsidR="0041724C" w:rsidRDefault="0041724C" w:rsidP="00E51E1F">
      <w:pPr>
        <w:spacing w:after="360"/>
        <w:jc w:val="both"/>
        <w:rPr>
          <w:rFonts w:cs="Arial"/>
          <w:szCs w:val="20"/>
        </w:rPr>
        <w:sectPr w:rsidR="0041724C" w:rsidSect="0041724C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type w:val="continuous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4404F3" w:rsidRDefault="004404F3" w:rsidP="00E51E1F">
      <w:pPr>
        <w:spacing w:after="360"/>
        <w:jc w:val="both"/>
        <w:rPr>
          <w:rFonts w:cs="Arial"/>
          <w:szCs w:val="20"/>
        </w:rPr>
      </w:pPr>
    </w:p>
    <w:sectPr w:rsidR="004404F3" w:rsidSect="0041724C">
      <w:type w:val="continuous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16" w:rsidRDefault="008B0516">
      <w:r>
        <w:separator/>
      </w:r>
    </w:p>
  </w:endnote>
  <w:endnote w:type="continuationSeparator" w:id="1">
    <w:p w:rsidR="008B0516" w:rsidRDefault="008B0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38604F" w:rsidP="00103E0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alt="Description: 3" style="position:absolute;margin-left:445.7pt;margin-top:-4.1pt;width:36.75pt;height:17.25pt;z-index:1;visibility:visible">
          <v:imagedata r:id="rId1" o:title=""/>
        </v:shape>
      </w:pict>
    </w:r>
    <w:r w:rsidRPr="005A21E0">
      <w:rPr>
        <w:rFonts w:cs="Arial"/>
        <w:sz w:val="16"/>
        <w:szCs w:val="16"/>
      </w:rPr>
      <w:fldChar w:fldCharType="begin"/>
    </w:r>
    <w:r w:rsidR="0071390D" w:rsidRPr="005A21E0">
      <w:rPr>
        <w:rFonts w:cs="Arial"/>
        <w:sz w:val="16"/>
        <w:szCs w:val="16"/>
      </w:rPr>
      <w:instrText>PAGE   \* MERGEFORMAT</w:instrText>
    </w:r>
    <w:r w:rsidRPr="005A21E0">
      <w:rPr>
        <w:rFonts w:cs="Arial"/>
        <w:sz w:val="16"/>
        <w:szCs w:val="16"/>
      </w:rPr>
      <w:fldChar w:fldCharType="separate"/>
    </w:r>
    <w:r w:rsidR="0041724C">
      <w:rPr>
        <w:rFonts w:cs="Arial"/>
        <w:noProof/>
        <w:sz w:val="16"/>
        <w:szCs w:val="16"/>
      </w:rPr>
      <w:t>70</w:t>
    </w:r>
    <w:r w:rsidRPr="005A21E0">
      <w:rPr>
        <w:rFonts w:cs="Arial"/>
        <w:sz w:val="16"/>
        <w:szCs w:val="16"/>
      </w:rPr>
      <w:fldChar w:fldCharType="end"/>
    </w:r>
    <w:r w:rsidR="0071390D">
      <w:rPr>
        <w:rFonts w:cs="Arial"/>
        <w:sz w:val="16"/>
        <w:szCs w:val="16"/>
      </w:rPr>
      <w:tab/>
      <w:t>Senioři v Jihomoravském kraji 2015</w:t>
    </w:r>
    <w:r w:rsidR="0071390D">
      <w:tab/>
    </w:r>
    <w:r w:rsidR="0071390D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38604F" w:rsidP="00103E0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alt="3" style="position:absolute;margin-left:.3pt;margin-top:3.35pt;width:39pt;height:21pt;z-index:2;visibility:visible">
          <v:imagedata r:id="rId1" o:title="3"/>
        </v:shape>
      </w:pict>
    </w:r>
    <w:r w:rsidR="0071390D">
      <w:tab/>
    </w:r>
    <w:r w:rsidR="0071390D">
      <w:tab/>
    </w:r>
  </w:p>
  <w:p w:rsidR="0071390D" w:rsidRDefault="0071390D" w:rsidP="00103E0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Senioři v Jihomoravském kraji 2015</w:t>
    </w:r>
    <w:r>
      <w:tab/>
    </w:r>
    <w:r>
      <w:tab/>
    </w:r>
    <w:r w:rsidR="0038604F" w:rsidRPr="00B6608F">
      <w:rPr>
        <w:rFonts w:cs="Arial"/>
        <w:sz w:val="16"/>
        <w:szCs w:val="16"/>
      </w:rPr>
      <w:fldChar w:fldCharType="begin"/>
    </w:r>
    <w:r w:rsidRPr="00B6608F">
      <w:rPr>
        <w:rFonts w:cs="Arial"/>
        <w:sz w:val="16"/>
        <w:szCs w:val="16"/>
      </w:rPr>
      <w:instrText>PAGE   \* MERGEFORMAT</w:instrText>
    </w:r>
    <w:r w:rsidR="0038604F" w:rsidRPr="00B6608F">
      <w:rPr>
        <w:rFonts w:cs="Arial"/>
        <w:sz w:val="16"/>
        <w:szCs w:val="16"/>
      </w:rPr>
      <w:fldChar w:fldCharType="separate"/>
    </w:r>
    <w:r w:rsidR="0041724C">
      <w:rPr>
        <w:rFonts w:cs="Arial"/>
        <w:noProof/>
        <w:sz w:val="16"/>
        <w:szCs w:val="16"/>
      </w:rPr>
      <w:t>71</w:t>
    </w:r>
    <w:r w:rsidR="0038604F" w:rsidRPr="00B6608F">
      <w:rPr>
        <w:rFonts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38604F" w:rsidP="00103E0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alt="Description: 3" style="position:absolute;margin-left:445.7pt;margin-top:-4.1pt;width:36.75pt;height:17.25pt;z-index:3;visibility:visible">
          <v:imagedata r:id="rId1" o:title=""/>
        </v:shape>
      </w:pict>
    </w:r>
    <w:r w:rsidRPr="005A21E0">
      <w:rPr>
        <w:rFonts w:cs="Arial"/>
        <w:sz w:val="16"/>
        <w:szCs w:val="16"/>
      </w:rPr>
      <w:fldChar w:fldCharType="begin"/>
    </w:r>
    <w:r w:rsidR="0071390D" w:rsidRPr="005A21E0">
      <w:rPr>
        <w:rFonts w:cs="Arial"/>
        <w:sz w:val="16"/>
        <w:szCs w:val="16"/>
      </w:rPr>
      <w:instrText>PAGE   \* MERGEFORMAT</w:instrText>
    </w:r>
    <w:r w:rsidRPr="005A21E0">
      <w:rPr>
        <w:rFonts w:cs="Arial"/>
        <w:sz w:val="16"/>
        <w:szCs w:val="16"/>
      </w:rPr>
      <w:fldChar w:fldCharType="separate"/>
    </w:r>
    <w:r w:rsidR="00E51E1F">
      <w:rPr>
        <w:rFonts w:cs="Arial"/>
        <w:noProof/>
        <w:sz w:val="16"/>
        <w:szCs w:val="16"/>
      </w:rPr>
      <w:t>10</w:t>
    </w:r>
    <w:r w:rsidRPr="005A21E0">
      <w:rPr>
        <w:rFonts w:cs="Arial"/>
        <w:sz w:val="16"/>
        <w:szCs w:val="16"/>
      </w:rPr>
      <w:fldChar w:fldCharType="end"/>
    </w:r>
    <w:r w:rsidR="0071390D">
      <w:rPr>
        <w:rFonts w:cs="Arial"/>
        <w:sz w:val="16"/>
        <w:szCs w:val="16"/>
      </w:rPr>
      <w:tab/>
      <w:t>Senioři v Jihomoravském kraji 2015</w:t>
    </w:r>
    <w:r w:rsidR="0071390D">
      <w:tab/>
    </w:r>
    <w:r w:rsidR="0071390D"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38604F" w:rsidP="001A2267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alt="3" style="position:absolute;margin-left:.3pt;margin-top:1.85pt;width:39pt;height:21pt;z-index:4;visibility:visible">
          <v:imagedata r:id="rId1" o:title="3"/>
        </v:shape>
      </w:pict>
    </w:r>
  </w:p>
  <w:p w:rsidR="0071390D" w:rsidRDefault="0071390D" w:rsidP="001A2267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Senioři v Jihomoravském kraji 2015</w:t>
    </w:r>
    <w:r>
      <w:tab/>
    </w:r>
    <w:r>
      <w:tab/>
    </w:r>
    <w:r w:rsidR="0038604F" w:rsidRPr="00B6608F">
      <w:rPr>
        <w:rFonts w:cs="Arial"/>
        <w:sz w:val="16"/>
        <w:szCs w:val="16"/>
      </w:rPr>
      <w:fldChar w:fldCharType="begin"/>
    </w:r>
    <w:r w:rsidRPr="00B6608F">
      <w:rPr>
        <w:rFonts w:cs="Arial"/>
        <w:sz w:val="16"/>
        <w:szCs w:val="16"/>
      </w:rPr>
      <w:instrText>PAGE   \* MERGEFORMAT</w:instrText>
    </w:r>
    <w:r w:rsidR="0038604F" w:rsidRPr="00B6608F">
      <w:rPr>
        <w:rFonts w:cs="Arial"/>
        <w:sz w:val="16"/>
        <w:szCs w:val="16"/>
      </w:rPr>
      <w:fldChar w:fldCharType="separate"/>
    </w:r>
    <w:r w:rsidR="0041724C">
      <w:rPr>
        <w:rFonts w:cs="Arial"/>
        <w:noProof/>
        <w:sz w:val="16"/>
        <w:szCs w:val="16"/>
      </w:rPr>
      <w:t>65</w:t>
    </w:r>
    <w:r w:rsidR="0038604F" w:rsidRPr="00B6608F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16" w:rsidRDefault="008B0516">
      <w:r>
        <w:separator/>
      </w:r>
    </w:p>
  </w:footnote>
  <w:footnote w:type="continuationSeparator" w:id="1">
    <w:p w:rsidR="008B0516" w:rsidRDefault="008B0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71390D">
    <w:pPr>
      <w:pStyle w:val="Zhlav"/>
    </w:pPr>
    <w:r>
      <w:rPr>
        <w:b/>
        <w:bCs/>
        <w:caps/>
      </w:rPr>
      <w:t>příloha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71390D">
    <w:pPr>
      <w:pStyle w:val="Zhlav"/>
      <w:jc w:val="right"/>
    </w:pPr>
    <w:r>
      <w:rPr>
        <w:b/>
        <w:bCs/>
        <w:caps/>
      </w:rPr>
      <w:t>Příloha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71390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8F6"/>
    <w:multiLevelType w:val="hybridMultilevel"/>
    <w:tmpl w:val="3E42D72C"/>
    <w:lvl w:ilvl="0" w:tplc="FE7C89C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E1AF4"/>
    <w:multiLevelType w:val="hybridMultilevel"/>
    <w:tmpl w:val="6C265BB4"/>
    <w:lvl w:ilvl="0" w:tplc="A3B4C41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F0CC2"/>
    <w:multiLevelType w:val="hybridMultilevel"/>
    <w:tmpl w:val="213EC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556D2"/>
    <w:multiLevelType w:val="hybridMultilevel"/>
    <w:tmpl w:val="404C2F26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05588"/>
    <w:multiLevelType w:val="hybridMultilevel"/>
    <w:tmpl w:val="F7F4F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hideGrammaticalErrors/>
  <w:doNotTrackMoves/>
  <w:defaultTabStop w:val="1134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B3"/>
    <w:rsid w:val="000611FC"/>
    <w:rsid w:val="00070912"/>
    <w:rsid w:val="000B0658"/>
    <w:rsid w:val="000C51D2"/>
    <w:rsid w:val="000D06D9"/>
    <w:rsid w:val="000D4CD2"/>
    <w:rsid w:val="000E2F33"/>
    <w:rsid w:val="000F02D1"/>
    <w:rsid w:val="001005A6"/>
    <w:rsid w:val="00103E09"/>
    <w:rsid w:val="00110A81"/>
    <w:rsid w:val="00111366"/>
    <w:rsid w:val="001130FE"/>
    <w:rsid w:val="00114CC5"/>
    <w:rsid w:val="00115C0A"/>
    <w:rsid w:val="00121E34"/>
    <w:rsid w:val="00137045"/>
    <w:rsid w:val="0016747F"/>
    <w:rsid w:val="00183698"/>
    <w:rsid w:val="00192E85"/>
    <w:rsid w:val="001A2267"/>
    <w:rsid w:val="001B641B"/>
    <w:rsid w:val="001E19E7"/>
    <w:rsid w:val="00211104"/>
    <w:rsid w:val="00214C11"/>
    <w:rsid w:val="00227BDD"/>
    <w:rsid w:val="002427EB"/>
    <w:rsid w:val="00246A34"/>
    <w:rsid w:val="0025399F"/>
    <w:rsid w:val="00260E03"/>
    <w:rsid w:val="002F37D9"/>
    <w:rsid w:val="002F41A3"/>
    <w:rsid w:val="00313C32"/>
    <w:rsid w:val="00337230"/>
    <w:rsid w:val="003422D8"/>
    <w:rsid w:val="00365A7B"/>
    <w:rsid w:val="00370A9B"/>
    <w:rsid w:val="0038604F"/>
    <w:rsid w:val="003A4E42"/>
    <w:rsid w:val="003B474A"/>
    <w:rsid w:val="003C2D26"/>
    <w:rsid w:val="003D1C3C"/>
    <w:rsid w:val="003E1C44"/>
    <w:rsid w:val="00407F8F"/>
    <w:rsid w:val="0041724C"/>
    <w:rsid w:val="00430BD6"/>
    <w:rsid w:val="004404F3"/>
    <w:rsid w:val="00456452"/>
    <w:rsid w:val="00460A1A"/>
    <w:rsid w:val="004638FA"/>
    <w:rsid w:val="00481407"/>
    <w:rsid w:val="004E2C54"/>
    <w:rsid w:val="004E4858"/>
    <w:rsid w:val="005058F1"/>
    <w:rsid w:val="005466FC"/>
    <w:rsid w:val="00546D80"/>
    <w:rsid w:val="0056115D"/>
    <w:rsid w:val="005678C3"/>
    <w:rsid w:val="005B6E58"/>
    <w:rsid w:val="005E570E"/>
    <w:rsid w:val="00627A91"/>
    <w:rsid w:val="00632085"/>
    <w:rsid w:val="00684627"/>
    <w:rsid w:val="00692709"/>
    <w:rsid w:val="00693B35"/>
    <w:rsid w:val="006A5A3D"/>
    <w:rsid w:val="006C3A91"/>
    <w:rsid w:val="006D090A"/>
    <w:rsid w:val="006F2772"/>
    <w:rsid w:val="0071390D"/>
    <w:rsid w:val="007241EA"/>
    <w:rsid w:val="007303C1"/>
    <w:rsid w:val="00734685"/>
    <w:rsid w:val="0074274F"/>
    <w:rsid w:val="00745CAC"/>
    <w:rsid w:val="007903E5"/>
    <w:rsid w:val="007A23A9"/>
    <w:rsid w:val="007A3301"/>
    <w:rsid w:val="007B4AA9"/>
    <w:rsid w:val="007B5917"/>
    <w:rsid w:val="007D1A61"/>
    <w:rsid w:val="007D76BD"/>
    <w:rsid w:val="007E4733"/>
    <w:rsid w:val="007F7F29"/>
    <w:rsid w:val="00837EE6"/>
    <w:rsid w:val="00845133"/>
    <w:rsid w:val="00853468"/>
    <w:rsid w:val="008874ED"/>
    <w:rsid w:val="008B0516"/>
    <w:rsid w:val="008D27CB"/>
    <w:rsid w:val="008E22A7"/>
    <w:rsid w:val="009178E5"/>
    <w:rsid w:val="00947ACB"/>
    <w:rsid w:val="0095081D"/>
    <w:rsid w:val="00953C26"/>
    <w:rsid w:val="00975FEE"/>
    <w:rsid w:val="00994261"/>
    <w:rsid w:val="009C12A6"/>
    <w:rsid w:val="009C3E5A"/>
    <w:rsid w:val="009C5391"/>
    <w:rsid w:val="009E7A1A"/>
    <w:rsid w:val="00A2508C"/>
    <w:rsid w:val="00A6048B"/>
    <w:rsid w:val="00AB6B9A"/>
    <w:rsid w:val="00AE3E4F"/>
    <w:rsid w:val="00AE4373"/>
    <w:rsid w:val="00B06558"/>
    <w:rsid w:val="00B208E5"/>
    <w:rsid w:val="00B219B8"/>
    <w:rsid w:val="00B43D86"/>
    <w:rsid w:val="00B46215"/>
    <w:rsid w:val="00B4634D"/>
    <w:rsid w:val="00B53AD7"/>
    <w:rsid w:val="00B7367E"/>
    <w:rsid w:val="00B77A3A"/>
    <w:rsid w:val="00BA1B7C"/>
    <w:rsid w:val="00BE797A"/>
    <w:rsid w:val="00BE7DF6"/>
    <w:rsid w:val="00BF3A77"/>
    <w:rsid w:val="00C166DD"/>
    <w:rsid w:val="00C411D7"/>
    <w:rsid w:val="00C55CBC"/>
    <w:rsid w:val="00C63713"/>
    <w:rsid w:val="00C81755"/>
    <w:rsid w:val="00CA6EBF"/>
    <w:rsid w:val="00CB138D"/>
    <w:rsid w:val="00CB51B3"/>
    <w:rsid w:val="00CD5101"/>
    <w:rsid w:val="00D02A8F"/>
    <w:rsid w:val="00D12312"/>
    <w:rsid w:val="00D27240"/>
    <w:rsid w:val="00D45090"/>
    <w:rsid w:val="00D46252"/>
    <w:rsid w:val="00D46979"/>
    <w:rsid w:val="00D8245C"/>
    <w:rsid w:val="00DB6656"/>
    <w:rsid w:val="00DC03E6"/>
    <w:rsid w:val="00DC0555"/>
    <w:rsid w:val="00DD1099"/>
    <w:rsid w:val="00DF5B45"/>
    <w:rsid w:val="00E2457B"/>
    <w:rsid w:val="00E51E1F"/>
    <w:rsid w:val="00E60F48"/>
    <w:rsid w:val="00E63C7D"/>
    <w:rsid w:val="00E701FF"/>
    <w:rsid w:val="00E9472A"/>
    <w:rsid w:val="00EB176E"/>
    <w:rsid w:val="00EB3F88"/>
    <w:rsid w:val="00EC5426"/>
    <w:rsid w:val="00EC647F"/>
    <w:rsid w:val="00EE646F"/>
    <w:rsid w:val="00EE774B"/>
    <w:rsid w:val="00EE775F"/>
    <w:rsid w:val="00F13400"/>
    <w:rsid w:val="00F3256C"/>
    <w:rsid w:val="00F351DF"/>
    <w:rsid w:val="00F448D2"/>
    <w:rsid w:val="00F61330"/>
    <w:rsid w:val="00F87D65"/>
    <w:rsid w:val="00F9018E"/>
    <w:rsid w:val="00FA66E6"/>
    <w:rsid w:val="00FD1206"/>
    <w:rsid w:val="00FD6B46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74B"/>
    <w:rPr>
      <w:rFonts w:ascii="Arial" w:hAnsi="Arial"/>
      <w:szCs w:val="24"/>
    </w:rPr>
  </w:style>
  <w:style w:type="paragraph" w:styleId="Nadpis1">
    <w:name w:val="heading 1"/>
    <w:basedOn w:val="Normln"/>
    <w:next w:val="Normln"/>
    <w:uiPriority w:val="9"/>
    <w:qFormat/>
    <w:rsid w:val="00EE774B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uiPriority w:val="9"/>
    <w:qFormat/>
    <w:rsid w:val="00EE774B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rsid w:val="00EE774B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4B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EE774B"/>
    <w:pPr>
      <w:keepNext/>
      <w:outlineLvl w:val="4"/>
    </w:pPr>
    <w:rPr>
      <w:rFonts w:cs="Arial"/>
      <w:b/>
      <w:bCs/>
      <w:sz w:val="16"/>
      <w:szCs w:val="18"/>
    </w:rPr>
  </w:style>
  <w:style w:type="paragraph" w:styleId="Nadpis6">
    <w:name w:val="heading 6"/>
    <w:basedOn w:val="Normln"/>
    <w:next w:val="Normln"/>
    <w:qFormat/>
    <w:rsid w:val="00EE774B"/>
    <w:pPr>
      <w:keepNext/>
      <w:jc w:val="center"/>
      <w:outlineLvl w:val="5"/>
    </w:pPr>
    <w:rPr>
      <w:b/>
      <w:bCs/>
      <w:sz w:val="48"/>
    </w:rPr>
  </w:style>
  <w:style w:type="paragraph" w:styleId="Nadpis7">
    <w:name w:val="heading 7"/>
    <w:basedOn w:val="Normln"/>
    <w:next w:val="Normln"/>
    <w:qFormat/>
    <w:rsid w:val="00EE774B"/>
    <w:pPr>
      <w:keepNext/>
      <w:spacing w:before="240"/>
      <w:jc w:val="center"/>
      <w:outlineLvl w:val="6"/>
    </w:pPr>
    <w:rPr>
      <w:sz w:val="48"/>
    </w:rPr>
  </w:style>
  <w:style w:type="paragraph" w:styleId="Nadpis8">
    <w:name w:val="heading 8"/>
    <w:basedOn w:val="Normln"/>
    <w:next w:val="Normln"/>
    <w:qFormat/>
    <w:rsid w:val="00EE774B"/>
    <w:pPr>
      <w:keepNext/>
      <w:spacing w:before="360"/>
      <w:outlineLvl w:val="7"/>
    </w:pPr>
    <w:rPr>
      <w:b/>
      <w:caps/>
      <w:sz w:val="24"/>
    </w:rPr>
  </w:style>
  <w:style w:type="paragraph" w:styleId="Nadpis9">
    <w:name w:val="heading 9"/>
    <w:basedOn w:val="Normln"/>
    <w:next w:val="Normln"/>
    <w:qFormat/>
    <w:rsid w:val="00EE774B"/>
    <w:pPr>
      <w:keepNext/>
      <w:spacing w:before="2040"/>
      <w:outlineLvl w:val="8"/>
    </w:pPr>
    <w:rPr>
      <w:b/>
      <w:bCs/>
      <w:i/>
      <w:i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semiHidden/>
    <w:rsid w:val="00EE774B"/>
    <w:pPr>
      <w:spacing w:before="120"/>
      <w:jc w:val="both"/>
    </w:pPr>
    <w:rPr>
      <w:rFonts w:ascii="Arial" w:hAnsi="Arial"/>
    </w:rPr>
  </w:style>
  <w:style w:type="paragraph" w:customStyle="1" w:styleId="NadpisvelkA">
    <w:name w:val="Nadpis velký A"/>
    <w:basedOn w:val="Zkladntext"/>
    <w:next w:val="Normln"/>
    <w:rsid w:val="00EE774B"/>
    <w:pPr>
      <w:jc w:val="center"/>
    </w:pPr>
    <w:rPr>
      <w:b/>
      <w:i/>
      <w:iCs/>
      <w:caps/>
      <w:sz w:val="28"/>
      <w:lang w:val="en-GB"/>
    </w:rPr>
  </w:style>
  <w:style w:type="paragraph" w:customStyle="1" w:styleId="Nadpismal">
    <w:name w:val="Nadpis malý"/>
    <w:basedOn w:val="Zkladntext"/>
    <w:rsid w:val="00EE774B"/>
    <w:pPr>
      <w:spacing w:before="240"/>
    </w:pPr>
    <w:rPr>
      <w:b/>
    </w:rPr>
  </w:style>
  <w:style w:type="paragraph" w:styleId="Zhlav">
    <w:name w:val="header"/>
    <w:basedOn w:val="Normln"/>
    <w:link w:val="ZhlavChar"/>
    <w:rsid w:val="00EE77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5466FC"/>
    <w:rPr>
      <w:rFonts w:ascii="Arial" w:hAnsi="Arial"/>
      <w:szCs w:val="24"/>
    </w:rPr>
  </w:style>
  <w:style w:type="paragraph" w:styleId="Zpat">
    <w:name w:val="footer"/>
    <w:basedOn w:val="Normln"/>
    <w:link w:val="ZpatChar"/>
    <w:uiPriority w:val="99"/>
    <w:rsid w:val="00EE77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466FC"/>
    <w:rPr>
      <w:rFonts w:ascii="Arial" w:hAnsi="Arial"/>
      <w:szCs w:val="24"/>
    </w:rPr>
  </w:style>
  <w:style w:type="paragraph" w:styleId="Titulek">
    <w:name w:val="caption"/>
    <w:basedOn w:val="Normln"/>
    <w:next w:val="Normln"/>
    <w:qFormat/>
    <w:rsid w:val="00EE774B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  <w:rsid w:val="00EE774B"/>
  </w:style>
  <w:style w:type="paragraph" w:styleId="Zkladntext2">
    <w:name w:val="Body Text 2"/>
    <w:basedOn w:val="Normln"/>
    <w:semiHidden/>
    <w:rsid w:val="00EE774B"/>
    <w:pPr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EE774B"/>
    <w:rPr>
      <w:color w:val="0000FF"/>
      <w:u w:val="single"/>
    </w:rPr>
  </w:style>
  <w:style w:type="paragraph" w:styleId="Textpoznpodarou">
    <w:name w:val="footnote text"/>
    <w:aliases w:val="Text pozn. pod čarou_martin_ang"/>
    <w:basedOn w:val="Normln"/>
    <w:link w:val="TextpoznpodarouChar"/>
    <w:rsid w:val="00EE774B"/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5466FC"/>
  </w:style>
  <w:style w:type="paragraph" w:styleId="Zkladntext3">
    <w:name w:val="Body Text 3"/>
    <w:basedOn w:val="Normln"/>
    <w:semiHidden/>
    <w:rsid w:val="00EE774B"/>
    <w:rPr>
      <w:sz w:val="22"/>
    </w:rPr>
  </w:style>
  <w:style w:type="paragraph" w:customStyle="1" w:styleId="Styl1">
    <w:name w:val="Styl1"/>
    <w:rsid w:val="00FD1206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customStyle="1" w:styleId="Zkladnodstavec">
    <w:name w:val="[Základní odstavec]"/>
    <w:basedOn w:val="Normln"/>
    <w:link w:val="ZkladnodstavecChar"/>
    <w:uiPriority w:val="99"/>
    <w:rsid w:val="00FD120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FD1206"/>
    <w:rPr>
      <w:rFonts w:ascii="Minion Pro" w:eastAsia="Calibri" w:hAnsi="Minion Pro" w:cs="Minion Pro"/>
      <w:color w:val="000000"/>
      <w:sz w:val="24"/>
      <w:szCs w:val="24"/>
    </w:rPr>
  </w:style>
  <w:style w:type="paragraph" w:styleId="Nzev">
    <w:name w:val="Title"/>
    <w:next w:val="Normln"/>
    <w:link w:val="NzevChar"/>
    <w:uiPriority w:val="10"/>
    <w:qFormat/>
    <w:rsid w:val="00110A81"/>
    <w:pPr>
      <w:spacing w:line="288" w:lineRule="auto"/>
      <w:contextualSpacing/>
      <w:outlineLvl w:val="0"/>
    </w:pPr>
    <w:rPr>
      <w:rFonts w:ascii="Arial" w:hAnsi="Arial"/>
      <w:b/>
      <w:caps/>
      <w:color w:val="BC091B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10A81"/>
    <w:rPr>
      <w:rFonts w:ascii="Arial" w:hAnsi="Arial"/>
      <w:b/>
      <w:caps/>
      <w:color w:val="BC091B"/>
      <w:sz w:val="56"/>
      <w:szCs w:val="52"/>
      <w:lang w:val="cs-CZ" w:eastAsia="cs-CZ" w:bidi="ar-SA"/>
    </w:rPr>
  </w:style>
  <w:style w:type="paragraph" w:styleId="Podtitul">
    <w:name w:val="Subtitle"/>
    <w:next w:val="Normln"/>
    <w:link w:val="PodtitulChar"/>
    <w:uiPriority w:val="11"/>
    <w:qFormat/>
    <w:rsid w:val="00FD1206"/>
    <w:pPr>
      <w:numPr>
        <w:ilvl w:val="1"/>
      </w:numPr>
      <w:spacing w:line="288" w:lineRule="auto"/>
    </w:pPr>
    <w:rPr>
      <w:rFonts w:ascii="Arial" w:hAnsi="Arial"/>
      <w:b/>
      <w:iCs/>
      <w:color w:val="BC091B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D1206"/>
    <w:rPr>
      <w:rFonts w:ascii="Arial" w:hAnsi="Arial"/>
      <w:b/>
      <w:iCs/>
      <w:color w:val="BC091B"/>
      <w:sz w:val="28"/>
      <w:szCs w:val="24"/>
      <w:lang w:val="cs-CZ" w:eastAsia="cs-CZ" w:bidi="ar-SA"/>
    </w:rPr>
  </w:style>
  <w:style w:type="paragraph" w:customStyle="1" w:styleId="Box1">
    <w:name w:val="Box 1"/>
    <w:basedOn w:val="Zkladnodstavec"/>
    <w:next w:val="Normln"/>
    <w:qFormat/>
    <w:rsid w:val="00FD1206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">
    <w:name w:val="Box"/>
    <w:next w:val="Normln"/>
    <w:link w:val="BoxChar"/>
    <w:qFormat/>
    <w:rsid w:val="00FD1206"/>
    <w:pPr>
      <w:shd w:val="clear" w:color="auto" w:fill="F5DADD"/>
      <w:spacing w:line="288" w:lineRule="auto"/>
      <w:ind w:left="1134"/>
    </w:pPr>
    <w:rPr>
      <w:rFonts w:ascii="Arial" w:eastAsia="Calibri" w:hAnsi="Arial" w:cs="Arial"/>
    </w:rPr>
  </w:style>
  <w:style w:type="character" w:customStyle="1" w:styleId="BoxChar">
    <w:name w:val="Box Char"/>
    <w:basedOn w:val="Standardnpsmoodstavce"/>
    <w:link w:val="Box"/>
    <w:rsid w:val="00FD1206"/>
    <w:rPr>
      <w:rFonts w:ascii="Arial" w:eastAsia="Calibri" w:hAnsi="Arial" w:cs="Arial"/>
      <w:shd w:val="clear" w:color="auto" w:fill="F5DADD"/>
      <w:lang w:val="cs-CZ" w:eastAsia="cs-CZ" w:bidi="ar-SA"/>
    </w:rPr>
  </w:style>
  <w:style w:type="paragraph" w:customStyle="1" w:styleId="TL-Kontakty">
    <w:name w:val="TL - Kontakty"/>
    <w:next w:val="Normln"/>
    <w:link w:val="TL-KontaktyChar"/>
    <w:qFormat/>
    <w:rsid w:val="00FD1206"/>
    <w:pPr>
      <w:spacing w:after="80"/>
    </w:pPr>
    <w:rPr>
      <w:rFonts w:ascii="Arial" w:hAnsi="Arial"/>
      <w:b/>
      <w:caps/>
      <w:color w:val="BD1B21"/>
      <w:sz w:val="24"/>
      <w:szCs w:val="24"/>
    </w:rPr>
  </w:style>
  <w:style w:type="character" w:customStyle="1" w:styleId="TL-KontaktyChar">
    <w:name w:val="TL - Kontakty Char"/>
    <w:basedOn w:val="Standardnpsmoodstavce"/>
    <w:link w:val="TL-Kontakty"/>
    <w:rsid w:val="00FD1206"/>
    <w:rPr>
      <w:rFonts w:ascii="Arial" w:hAnsi="Arial"/>
      <w:b/>
      <w:caps/>
      <w:color w:val="BD1B21"/>
      <w:sz w:val="24"/>
      <w:szCs w:val="24"/>
      <w:lang w:val="cs-CZ" w:eastAsia="cs-CZ"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FD1206"/>
    <w:pPr>
      <w:spacing w:after="200" w:line="288" w:lineRule="auto"/>
    </w:pPr>
    <w:rPr>
      <w:sz w:val="24"/>
    </w:rPr>
  </w:style>
  <w:style w:type="character" w:customStyle="1" w:styleId="TL-identifikace-stedChar">
    <w:name w:val="TL - identifikace - střed Char"/>
    <w:basedOn w:val="Standardnpsmoodstavce"/>
    <w:link w:val="TL-identifikace-sted"/>
    <w:rsid w:val="00FD1206"/>
    <w:rPr>
      <w:rFonts w:ascii="Arial" w:hAnsi="Arial"/>
      <w:sz w:val="24"/>
      <w:szCs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FD1206"/>
    <w:pPr>
      <w:spacing w:after="200" w:line="288" w:lineRule="auto"/>
    </w:pPr>
    <w:rPr>
      <w:rFonts w:cs="Arial"/>
      <w:szCs w:val="20"/>
      <w:lang w:eastAsia="ar-SA"/>
    </w:rPr>
  </w:style>
  <w:style w:type="character" w:customStyle="1" w:styleId="TL-Identifikace-doleChar">
    <w:name w:val="TL - Identifikace - dole Char"/>
    <w:basedOn w:val="Standardnpsmoodstavce"/>
    <w:link w:val="TL-Identifikace-dole"/>
    <w:rsid w:val="00FD1206"/>
    <w:rPr>
      <w:rFonts w:ascii="Arial" w:hAnsi="Arial" w:cs="Arial"/>
      <w:lang w:eastAsia="ar-SA"/>
    </w:rPr>
  </w:style>
  <w:style w:type="paragraph" w:styleId="Obsah1">
    <w:name w:val="toc 1"/>
    <w:basedOn w:val="Normln"/>
    <w:next w:val="Normln"/>
    <w:autoRedefine/>
    <w:uiPriority w:val="39"/>
    <w:qFormat/>
    <w:rsid w:val="00693B35"/>
    <w:pPr>
      <w:tabs>
        <w:tab w:val="left" w:pos="660"/>
        <w:tab w:val="right" w:leader="dot" w:pos="9628"/>
      </w:tabs>
      <w:spacing w:before="120" w:after="120"/>
      <w:jc w:val="both"/>
    </w:pPr>
    <w:rPr>
      <w:rFonts w:eastAsia="Calibri"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466FC"/>
    <w:pPr>
      <w:spacing w:line="288" w:lineRule="auto"/>
      <w:ind w:left="200"/>
    </w:pPr>
    <w:rPr>
      <w:rFonts w:eastAsia="Calibri"/>
    </w:rPr>
  </w:style>
  <w:style w:type="paragraph" w:styleId="Obsah3">
    <w:name w:val="toc 3"/>
    <w:basedOn w:val="Normln"/>
    <w:next w:val="Normln"/>
    <w:autoRedefine/>
    <w:uiPriority w:val="39"/>
    <w:rsid w:val="005466FC"/>
    <w:pPr>
      <w:spacing w:line="288" w:lineRule="auto"/>
      <w:ind w:left="400"/>
    </w:pPr>
    <w:rPr>
      <w:rFonts w:eastAsia="Calibri"/>
    </w:rPr>
  </w:style>
  <w:style w:type="character" w:styleId="Znakapoznpodarou">
    <w:name w:val="footnote reference"/>
    <w:basedOn w:val="Standardnpsmoodstavce"/>
    <w:rsid w:val="005466FC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466FC"/>
    <w:pPr>
      <w:spacing w:line="288" w:lineRule="auto"/>
      <w:ind w:left="708"/>
    </w:pPr>
    <w:rPr>
      <w:rFonts w:eastAsia="Calibri"/>
    </w:rPr>
  </w:style>
  <w:style w:type="paragraph" w:customStyle="1" w:styleId="Styl2">
    <w:name w:val="Styl2"/>
    <w:basedOn w:val="Nzev"/>
    <w:link w:val="Styl2Char"/>
    <w:qFormat/>
    <w:rsid w:val="00110A81"/>
  </w:style>
  <w:style w:type="character" w:customStyle="1" w:styleId="Styl2Char">
    <w:name w:val="Styl2 Char"/>
    <w:basedOn w:val="NzevChar"/>
    <w:link w:val="Styl2"/>
    <w:rsid w:val="00110A81"/>
  </w:style>
  <w:style w:type="paragraph" w:customStyle="1" w:styleId="textS">
    <w:name w:val="text S"/>
    <w:basedOn w:val="Normln"/>
    <w:qFormat/>
    <w:rsid w:val="00D46979"/>
    <w:pPr>
      <w:spacing w:after="120"/>
      <w:jc w:val="both"/>
    </w:pPr>
  </w:style>
  <w:style w:type="paragraph" w:customStyle="1" w:styleId="NadpisS1">
    <w:name w:val="Nadpis S1"/>
    <w:basedOn w:val="textS"/>
    <w:next w:val="textS"/>
    <w:qFormat/>
    <w:rsid w:val="00FD6B46"/>
    <w:rPr>
      <w:b/>
      <w:bCs/>
      <w:color w:val="BC091B"/>
      <w:sz w:val="32"/>
      <w:szCs w:val="28"/>
    </w:rPr>
  </w:style>
  <w:style w:type="paragraph" w:customStyle="1" w:styleId="NadpisS3">
    <w:name w:val="Nadpis S3"/>
    <w:basedOn w:val="textS"/>
    <w:next w:val="textS"/>
    <w:qFormat/>
    <w:rsid w:val="00BE797A"/>
    <w:rPr>
      <w:b/>
      <w:sz w:val="24"/>
    </w:rPr>
  </w:style>
  <w:style w:type="paragraph" w:customStyle="1" w:styleId="textSseznam">
    <w:name w:val="text S seznam"/>
    <w:basedOn w:val="textS"/>
    <w:qFormat/>
    <w:rsid w:val="00BE797A"/>
    <w:pPr>
      <w:spacing w:after="60"/>
    </w:pPr>
  </w:style>
  <w:style w:type="paragraph" w:customStyle="1" w:styleId="NadpisS2">
    <w:name w:val="Nadpis S2"/>
    <w:basedOn w:val="textS"/>
    <w:next w:val="textS"/>
    <w:qFormat/>
    <w:rsid w:val="000C51D2"/>
    <w:pPr>
      <w:keepLines/>
      <w:spacing w:line="288" w:lineRule="auto"/>
    </w:pPr>
    <w:rPr>
      <w:b/>
      <w:color w:val="BC091B"/>
      <w:sz w:val="28"/>
      <w:szCs w:val="26"/>
    </w:rPr>
  </w:style>
  <w:style w:type="paragraph" w:customStyle="1" w:styleId="textSodrka">
    <w:name w:val="text S odrážka"/>
    <w:basedOn w:val="textS"/>
    <w:qFormat/>
    <w:rsid w:val="00AE3E4F"/>
  </w:style>
  <w:style w:type="paragraph" w:customStyle="1" w:styleId="Default">
    <w:name w:val="Default"/>
    <w:rsid w:val="00F325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Rbntext">
    <w:name w:val="R běžný text"/>
    <w:rsid w:val="004404F3"/>
    <w:pPr>
      <w:spacing w:after="12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1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019D-EB80-4D64-B88B-CD64F098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9</Pages>
  <Words>2080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varmuzova</dc:creator>
  <cp:lastModifiedBy>adam101</cp:lastModifiedBy>
  <cp:revision>39</cp:revision>
  <cp:lastPrinted>2015-10-22T06:01:00Z</cp:lastPrinted>
  <dcterms:created xsi:type="dcterms:W3CDTF">2015-10-15T08:16:00Z</dcterms:created>
  <dcterms:modified xsi:type="dcterms:W3CDTF">2015-10-22T08:00:00Z</dcterms:modified>
</cp:coreProperties>
</file>