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B1" w:rsidRDefault="00792FB1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Metodické vysvětlivky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statistiky zahraničního obchodu podle pohybu zboží (přeshraniční statistika)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0A2D82">
      <w:pPr>
        <w:spacing w:after="24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jsou data získávaná celními orgány. </w:t>
      </w:r>
      <w:r>
        <w:rPr>
          <w:rFonts w:ascii="Arial" w:hAnsi="Arial"/>
          <w:sz w:val="18"/>
          <w:szCs w:val="20"/>
        </w:rPr>
        <w:t>Od 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792FB1" w:rsidRDefault="00792FB1" w:rsidP="000A2D82">
      <w:pPr>
        <w:spacing w:after="24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13/1993 Sb., v</w:t>
      </w:r>
      <w:r>
        <w:rPr>
          <w:rFonts w:ascii="Arial" w:hAnsi="Arial" w:hint="eastAsia"/>
          <w:sz w:val="18"/>
          <w:szCs w:val="20"/>
        </w:rPr>
        <w:t>e</w:t>
      </w:r>
      <w:r>
        <w:rPr>
          <w:rFonts w:ascii="Arial" w:hAnsi="Arial"/>
          <w:sz w:val="18"/>
          <w:szCs w:val="20"/>
        </w:rPr>
        <w:t xml:space="preserve"> z</w:t>
      </w:r>
      <w:r>
        <w:rPr>
          <w:rFonts w:ascii="Arial" w:hAnsi="Arial" w:hint="eastAsia"/>
          <w:sz w:val="18"/>
          <w:szCs w:val="20"/>
        </w:rPr>
        <w:t>nění pozdějších předpisů</w:t>
      </w:r>
      <w:r>
        <w:rPr>
          <w:rFonts w:ascii="Arial" w:hAnsi="Arial"/>
          <w:sz w:val="18"/>
          <w:szCs w:val="20"/>
        </w:rPr>
        <w:t xml:space="preserve">, s platností od </w:t>
      </w:r>
      <w:r w:rsidR="00EB5E33">
        <w:rPr>
          <w:rFonts w:ascii="Arial" w:hAnsi="Arial"/>
          <w:sz w:val="18"/>
          <w:szCs w:val="20"/>
        </w:rPr>
        <w:t>23</w:t>
      </w:r>
      <w:r>
        <w:rPr>
          <w:rFonts w:ascii="Arial" w:hAnsi="Arial"/>
          <w:sz w:val="18"/>
          <w:szCs w:val="20"/>
        </w:rPr>
        <w:t xml:space="preserve">. </w:t>
      </w:r>
      <w:r w:rsidR="00EB5E33">
        <w:rPr>
          <w:rFonts w:ascii="Arial" w:hAnsi="Arial"/>
          <w:sz w:val="18"/>
          <w:szCs w:val="20"/>
        </w:rPr>
        <w:t>listopadu</w:t>
      </w:r>
      <w:r>
        <w:rPr>
          <w:rFonts w:ascii="Arial" w:hAnsi="Arial"/>
          <w:sz w:val="18"/>
          <w:szCs w:val="20"/>
        </w:rPr>
        <w:t xml:space="preserve"> 20</w:t>
      </w:r>
      <w:r w:rsidR="00EB5E33">
        <w:rPr>
          <w:rFonts w:ascii="Arial" w:hAnsi="Arial"/>
          <w:sz w:val="18"/>
          <w:szCs w:val="20"/>
        </w:rPr>
        <w:t>12</w:t>
      </w:r>
      <w:r>
        <w:rPr>
          <w:rFonts w:ascii="Arial" w:hAnsi="Arial"/>
          <w:sz w:val="18"/>
          <w:szCs w:val="20"/>
        </w:rPr>
        <w:t xml:space="preserve"> vyhláškou Ministerstva financí ČR č. </w:t>
      </w:r>
      <w:r w:rsidR="00621610">
        <w:rPr>
          <w:rFonts w:ascii="Arial" w:hAnsi="Arial"/>
          <w:sz w:val="18"/>
          <w:szCs w:val="20"/>
        </w:rPr>
        <w:t>421</w:t>
      </w:r>
      <w:r>
        <w:rPr>
          <w:rFonts w:ascii="Arial" w:hAnsi="Arial"/>
          <w:sz w:val="18"/>
          <w:szCs w:val="20"/>
        </w:rPr>
        <w:t>/20</w:t>
      </w:r>
      <w:r w:rsidR="00621610">
        <w:rPr>
          <w:rFonts w:ascii="Arial" w:hAnsi="Arial"/>
          <w:sz w:val="18"/>
          <w:szCs w:val="20"/>
        </w:rPr>
        <w:t>12</w:t>
      </w:r>
      <w:r>
        <w:rPr>
          <w:rFonts w:ascii="Arial" w:hAnsi="Arial"/>
          <w:sz w:val="18"/>
          <w:szCs w:val="20"/>
        </w:rPr>
        <w:t xml:space="preserve"> Sb., pro obchod s třetími zeměmi, kterou se provádějí některá ustanovení celního zákona. Pravidla provádění Intrastatu stanoví vyhláška č. 201/2005 Sb., o statistice vyváženého a dováženého zboží a způsobu sdělování údajů o obchodu mezi Českou republikou a ostatními členskými státy Evropských společenství, ve znění pozdějších předpisů a zákon č. 235/2004 Sb., o dani z přidané hodnoty, ve znění pozdějších předpisů.</w:t>
      </w:r>
    </w:p>
    <w:p w:rsidR="00792FB1" w:rsidRDefault="00792FB1" w:rsidP="000A2D82">
      <w:pPr>
        <w:spacing w:after="24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>Statistika zahraničního obchodu je souhrnem vnitrounijního obchodu (tj. obchodu s členskými státy EU)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 s údaji o 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obchodu se státy mimo EU se uvádějí v celním prohlášení (Jednotný správní doklad).</w:t>
      </w:r>
    </w:p>
    <w:p w:rsidR="00792FB1" w:rsidRDefault="00792FB1" w:rsidP="000A2D82">
      <w:pPr>
        <w:spacing w:after="24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92FB1" w:rsidRDefault="00792FB1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Údaje o zahraničním obchodě v USD a v EUR jsou součtem jednotlivých měsíčních hodnot v Kč přepočtených průměrným měsíčním kurzem vykázaným Českou národní bankou.</w:t>
      </w: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5720A8" w:rsidRDefault="005720A8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C51D1A" w:rsidRDefault="00C51D1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Default="00382BF2" w:rsidP="006E434B">
      <w:pPr>
        <w:jc w:val="both"/>
        <w:rPr>
          <w:rFonts w:ascii="Arial" w:hAnsi="Arial" w:cs="Arial"/>
          <w:b/>
          <w:bCs/>
          <w:sz w:val="17"/>
        </w:rPr>
      </w:pPr>
      <w:r w:rsidRPr="00B9327A">
        <w:rPr>
          <w:rFonts w:ascii="Arial" w:hAnsi="Arial" w:cs="Arial"/>
          <w:b/>
          <w:bCs/>
          <w:sz w:val="17"/>
        </w:rPr>
        <w:t>Údaje za jednotlivé měsíce roku 201</w:t>
      </w:r>
      <w:r>
        <w:rPr>
          <w:rFonts w:ascii="Arial" w:hAnsi="Arial" w:cs="Arial"/>
          <w:b/>
          <w:bCs/>
          <w:sz w:val="17"/>
        </w:rPr>
        <w:t>3</w:t>
      </w:r>
      <w:r w:rsidRPr="00B9327A">
        <w:rPr>
          <w:rFonts w:ascii="Arial" w:hAnsi="Arial" w:cs="Arial"/>
          <w:b/>
          <w:bCs/>
          <w:sz w:val="17"/>
        </w:rPr>
        <w:t xml:space="preserve"> </w:t>
      </w:r>
      <w:r w:rsidR="005C50C2">
        <w:rPr>
          <w:rFonts w:ascii="Arial" w:hAnsi="Arial" w:cs="Arial"/>
          <w:b/>
          <w:bCs/>
          <w:sz w:val="17"/>
        </w:rPr>
        <w:t>jsou definitivní.</w:t>
      </w:r>
      <w:r w:rsidR="006E434B">
        <w:rPr>
          <w:rFonts w:ascii="Arial" w:hAnsi="Arial" w:cs="Arial"/>
          <w:b/>
          <w:bCs/>
          <w:sz w:val="17"/>
        </w:rPr>
        <w:t xml:space="preserve"> </w:t>
      </w:r>
      <w:r w:rsidR="005C50C2" w:rsidRPr="00B9327A">
        <w:rPr>
          <w:rFonts w:ascii="Arial" w:hAnsi="Arial" w:cs="Arial"/>
          <w:b/>
          <w:bCs/>
          <w:sz w:val="17"/>
        </w:rPr>
        <w:t>Ú</w:t>
      </w:r>
      <w:r w:rsidR="005C50C2">
        <w:rPr>
          <w:rFonts w:ascii="Arial" w:hAnsi="Arial" w:cs="Arial"/>
          <w:b/>
          <w:bCs/>
          <w:sz w:val="17"/>
        </w:rPr>
        <w:t xml:space="preserve">daje za jednotlivé měsíce roku </w:t>
      </w:r>
      <w:r w:rsidR="006E434B">
        <w:rPr>
          <w:rFonts w:ascii="Arial" w:hAnsi="Arial" w:cs="Arial"/>
          <w:b/>
          <w:bCs/>
          <w:sz w:val="17"/>
        </w:rPr>
        <w:t xml:space="preserve">2014 </w:t>
      </w:r>
      <w:r w:rsidRPr="00B9327A">
        <w:rPr>
          <w:rFonts w:ascii="Arial" w:hAnsi="Arial" w:cs="Arial"/>
          <w:b/>
          <w:bCs/>
          <w:sz w:val="17"/>
        </w:rPr>
        <w:t xml:space="preserve">jsou </w:t>
      </w:r>
      <w:r w:rsidR="005C50C2">
        <w:rPr>
          <w:rFonts w:ascii="Arial" w:hAnsi="Arial" w:cs="Arial"/>
          <w:b/>
          <w:bCs/>
          <w:sz w:val="17"/>
        </w:rPr>
        <w:t>zpřesněn</w:t>
      </w:r>
      <w:r>
        <w:rPr>
          <w:rFonts w:ascii="Arial" w:hAnsi="Arial" w:cs="Arial"/>
          <w:b/>
          <w:bCs/>
          <w:sz w:val="17"/>
        </w:rPr>
        <w:t>é</w:t>
      </w:r>
      <w:r w:rsidRPr="00B9327A">
        <w:rPr>
          <w:rFonts w:ascii="Arial" w:hAnsi="Arial" w:cs="Arial"/>
          <w:b/>
          <w:bCs/>
          <w:sz w:val="17"/>
        </w:rPr>
        <w:t>.</w:t>
      </w:r>
      <w:r w:rsidR="006E434B" w:rsidRPr="00B9327A">
        <w:rPr>
          <w:rFonts w:ascii="Arial" w:hAnsi="Arial" w:cs="Arial"/>
          <w:b/>
          <w:bCs/>
          <w:sz w:val="17"/>
        </w:rPr>
        <w:t xml:space="preserve">                                                 </w:t>
      </w:r>
    </w:p>
    <w:p w:rsidR="00382BF2" w:rsidRDefault="00382BF2" w:rsidP="00382BF2">
      <w:pPr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sz w:val="17"/>
        </w:rPr>
        <w:t xml:space="preserve">                   </w:t>
      </w:r>
    </w:p>
    <w:p w:rsidR="0003109A" w:rsidRDefault="00792FB1" w:rsidP="006E434B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03109A" w:rsidP="00B72F51">
      <w:pPr>
        <w:rPr>
          <w:rFonts w:ascii="Arial" w:hAnsi="Arial" w:cs="Arial"/>
          <w:bCs/>
          <w:sz w:val="17"/>
        </w:rPr>
      </w:pP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Pr="0003109A" w:rsidRDefault="00B72F51" w:rsidP="0078067F">
      <w:pPr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382BF2">
        <w:rPr>
          <w:rFonts w:cs="Arial"/>
          <w:bCs/>
          <w:sz w:val="17"/>
          <w:szCs w:val="24"/>
          <w:lang w:val="cs-CZ"/>
        </w:rPr>
        <w:t>8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B72F51" w:rsidRDefault="00B72F51">
      <w:pPr>
        <w:jc w:val="both"/>
        <w:rPr>
          <w:rFonts w:ascii="Arial" w:hAnsi="Arial" w:cs="Arial"/>
          <w:bCs/>
          <w:sz w:val="17"/>
        </w:rPr>
      </w:pP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6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10" w:rsidRDefault="006A2610">
      <w:r>
        <w:separator/>
      </w:r>
    </w:p>
  </w:endnote>
  <w:endnote w:type="continuationSeparator" w:id="0">
    <w:p w:rsidR="006A2610" w:rsidRDefault="006A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10" w:rsidRDefault="006A2610">
      <w:r>
        <w:separator/>
      </w:r>
    </w:p>
  </w:footnote>
  <w:footnote w:type="continuationSeparator" w:id="0">
    <w:p w:rsidR="006A2610" w:rsidRDefault="006A2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B1" w:rsidRDefault="003F458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CD"/>
    <w:rsid w:val="0003109A"/>
    <w:rsid w:val="00036DDB"/>
    <w:rsid w:val="00053582"/>
    <w:rsid w:val="000A2D82"/>
    <w:rsid w:val="000B21F1"/>
    <w:rsid w:val="000F55A8"/>
    <w:rsid w:val="00100EC2"/>
    <w:rsid w:val="00136754"/>
    <w:rsid w:val="0014064F"/>
    <w:rsid w:val="001A6BCE"/>
    <w:rsid w:val="001B27A9"/>
    <w:rsid w:val="002B21D0"/>
    <w:rsid w:val="00312E54"/>
    <w:rsid w:val="00356596"/>
    <w:rsid w:val="00371313"/>
    <w:rsid w:val="0037441D"/>
    <w:rsid w:val="00382BF2"/>
    <w:rsid w:val="003D36BC"/>
    <w:rsid w:val="003D7FCD"/>
    <w:rsid w:val="003E2C70"/>
    <w:rsid w:val="003E6BA4"/>
    <w:rsid w:val="003E7FCA"/>
    <w:rsid w:val="003F458F"/>
    <w:rsid w:val="004007FF"/>
    <w:rsid w:val="0040278A"/>
    <w:rsid w:val="00467E94"/>
    <w:rsid w:val="0049532D"/>
    <w:rsid w:val="004C084D"/>
    <w:rsid w:val="005720A8"/>
    <w:rsid w:val="005C50C2"/>
    <w:rsid w:val="005E186F"/>
    <w:rsid w:val="00600AD8"/>
    <w:rsid w:val="00621610"/>
    <w:rsid w:val="00636035"/>
    <w:rsid w:val="00650358"/>
    <w:rsid w:val="00660C5A"/>
    <w:rsid w:val="006807ED"/>
    <w:rsid w:val="0068667F"/>
    <w:rsid w:val="006A2610"/>
    <w:rsid w:val="006B7A70"/>
    <w:rsid w:val="006E434B"/>
    <w:rsid w:val="0078067F"/>
    <w:rsid w:val="00792FB1"/>
    <w:rsid w:val="007939E8"/>
    <w:rsid w:val="007E4F13"/>
    <w:rsid w:val="007F289A"/>
    <w:rsid w:val="00821090"/>
    <w:rsid w:val="00836066"/>
    <w:rsid w:val="00875C52"/>
    <w:rsid w:val="009B7AB4"/>
    <w:rsid w:val="009E787F"/>
    <w:rsid w:val="00A44ADF"/>
    <w:rsid w:val="00A547CF"/>
    <w:rsid w:val="00A817BF"/>
    <w:rsid w:val="00A939D6"/>
    <w:rsid w:val="00AA0506"/>
    <w:rsid w:val="00AD4BF6"/>
    <w:rsid w:val="00B72F51"/>
    <w:rsid w:val="00B87386"/>
    <w:rsid w:val="00B931B0"/>
    <w:rsid w:val="00B9327A"/>
    <w:rsid w:val="00BA03D8"/>
    <w:rsid w:val="00BC19A2"/>
    <w:rsid w:val="00BE04D8"/>
    <w:rsid w:val="00C273A0"/>
    <w:rsid w:val="00C51D1A"/>
    <w:rsid w:val="00D56026"/>
    <w:rsid w:val="00DC61D5"/>
    <w:rsid w:val="00DF7CBB"/>
    <w:rsid w:val="00E11FD2"/>
    <w:rsid w:val="00E17DA7"/>
    <w:rsid w:val="00E627B3"/>
    <w:rsid w:val="00EB5E33"/>
    <w:rsid w:val="00ED3713"/>
    <w:rsid w:val="00F613A3"/>
    <w:rsid w:val="00F7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subject/>
  <dc:creator>csu</dc:creator>
  <cp:keywords/>
  <dc:description/>
  <cp:lastModifiedBy>bartlova327</cp:lastModifiedBy>
  <cp:revision>9</cp:revision>
  <cp:lastPrinted>2013-03-26T12:51:00Z</cp:lastPrinted>
  <dcterms:created xsi:type="dcterms:W3CDTF">2013-12-05T06:47:00Z</dcterms:created>
  <dcterms:modified xsi:type="dcterms:W3CDTF">2014-08-25T06:38:00Z</dcterms:modified>
</cp:coreProperties>
</file>