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04FA" w14:textId="694EBE1C" w:rsidR="00BB22F6" w:rsidRDefault="00BB22F6" w:rsidP="00BB22F6">
      <w:pPr>
        <w:pStyle w:val="Nadpis1"/>
      </w:pPr>
      <w:bookmarkStart w:id="0" w:name="_Toc200969294"/>
      <w:bookmarkStart w:id="1" w:name="_Toc216777591"/>
      <w:r>
        <w:t>7. Měnové podmínky</w:t>
      </w:r>
      <w:bookmarkEnd w:id="0"/>
      <w:bookmarkEnd w:id="1"/>
    </w:p>
    <w:tbl>
      <w:tblPr>
        <w:tblW w:w="9641" w:type="dxa"/>
        <w:tblInd w:w="-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2"/>
        <w:gridCol w:w="229"/>
        <w:gridCol w:w="7610"/>
      </w:tblGrid>
      <w:tr w:rsidR="00BB22F6" w:rsidRPr="0037004A" w14:paraId="235D2B33" w14:textId="77777777" w:rsidTr="00FC03B0">
        <w:trPr>
          <w:trHeight w:val="145"/>
        </w:trPr>
        <w:tc>
          <w:tcPr>
            <w:tcW w:w="1802" w:type="dxa"/>
          </w:tcPr>
          <w:p w14:paraId="493DE255" w14:textId="77777777" w:rsidR="00BB22F6" w:rsidRDefault="00BB22F6" w:rsidP="00FC03B0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 xml:space="preserve">Nastavení měnověpolitických úrokových sazeb se ve </w:t>
            </w:r>
            <w:r>
              <w:rPr>
                <w:lang w:eastAsia="en-US"/>
              </w:rPr>
              <w:br/>
              <w:t>3. čtvrtletí nezměnilo.</w:t>
            </w:r>
          </w:p>
        </w:tc>
        <w:tc>
          <w:tcPr>
            <w:tcW w:w="229" w:type="dxa"/>
          </w:tcPr>
          <w:p w14:paraId="6620A5DA" w14:textId="77777777" w:rsidR="00BB22F6" w:rsidRDefault="00BB22F6" w:rsidP="00FC03B0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0D878745" w14:textId="77777777" w:rsidR="00BB22F6" w:rsidRPr="0037004A" w:rsidRDefault="00BB22F6" w:rsidP="00FC03B0">
            <w:pPr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Po posledním snížení měnověpolitických sazeb, ke kterému došlo v květnu 2025, zůstala jejich úroveň až do konce září na 3,50 % u dvoutýdenní repo sazby, 2,50 % u diskontní sazby a 4,50 % u lombardní sazby</w:t>
            </w:r>
            <w:r w:rsidRPr="0037004A">
              <w:rPr>
                <w:rStyle w:val="Znakapoznpodarou"/>
                <w:spacing w:val="-2"/>
                <w:lang w:eastAsia="en-US"/>
              </w:rPr>
              <w:footnoteReference w:id="1"/>
            </w:r>
            <w:r>
              <w:rPr>
                <w:spacing w:val="-2"/>
                <w:lang w:eastAsia="en-US"/>
              </w:rPr>
              <w:t xml:space="preserve">. Kurz koruny vůči euru a dolaru od počátku roku stabilně posiloval a 3. kvartál na tento trend navázal. Kurz vůči euru dosahoval na začátku 3. čtvrtletí 24,69 CZK/EUR a k 30. 9. to bylo 24,34 CZK/EUR. V průměru za celý kvartál kurz meziročně posílil o 70 haléřů (2,8 %) a mezičtvrtletně o 42 haléřů (1,7 %). Posílení kurzu vůči dolaru bylo ještě výraznější. V průměru za celé čtvrtletí kurz dosahoval 20,973 CZK/USD. Koruna byla ve 3. kvartálu vůči dolaru meziročně silnější o 1 korunu 97 haléřů (8,6 %) a mezičtvrtletně posílila o 1 korunu a 1 haléř (4,6 %).        </w:t>
            </w:r>
          </w:p>
        </w:tc>
      </w:tr>
      <w:tr w:rsidR="00BB22F6" w14:paraId="6D70F3D1" w14:textId="77777777" w:rsidTr="00FC03B0">
        <w:trPr>
          <w:trHeight w:val="145"/>
        </w:trPr>
        <w:tc>
          <w:tcPr>
            <w:tcW w:w="1802" w:type="dxa"/>
          </w:tcPr>
          <w:p w14:paraId="484F01CB" w14:textId="77777777" w:rsidR="00BB22F6" w:rsidRDefault="00BB22F6" w:rsidP="00FC03B0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Mírně narůstaly výnosy vládních dluhopisů.</w:t>
            </w:r>
          </w:p>
        </w:tc>
        <w:tc>
          <w:tcPr>
            <w:tcW w:w="229" w:type="dxa"/>
          </w:tcPr>
          <w:p w14:paraId="1A04A06A" w14:textId="77777777" w:rsidR="00BB22F6" w:rsidRDefault="00BB22F6" w:rsidP="00FC03B0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3E8AC9EA" w14:textId="77777777" w:rsidR="00BB22F6" w:rsidRDefault="00BB22F6" w:rsidP="00FC03B0">
            <w:pPr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 xml:space="preserve">V souladu s neměnnými </w:t>
            </w:r>
            <w:proofErr w:type="spellStart"/>
            <w:r>
              <w:rPr>
                <w:spacing w:val="-1"/>
                <w:lang w:eastAsia="en-US"/>
              </w:rPr>
              <w:t>měnověpolitickými</w:t>
            </w:r>
            <w:proofErr w:type="spellEnd"/>
            <w:r>
              <w:rPr>
                <w:spacing w:val="-1"/>
                <w:lang w:eastAsia="en-US"/>
              </w:rPr>
              <w:t xml:space="preserve"> sazbami došlo k minimálním posunům</w:t>
            </w:r>
            <w:r>
              <w:rPr>
                <w:rStyle w:val="Znakapoznpodarou"/>
                <w:spacing w:val="-1"/>
                <w:lang w:eastAsia="en-US"/>
              </w:rPr>
              <w:footnoteReference w:id="2"/>
            </w:r>
            <w:r>
              <w:rPr>
                <w:spacing w:val="-1"/>
                <w:lang w:eastAsia="en-US"/>
              </w:rPr>
              <w:t xml:space="preserve"> v řádu setin p. b. také u sazeb mezibankovního trhu. Zároveň se také velmi přiblížila úroveň sazeb u různých splatností. Ke konci září dosahovala tříměsíční sazba PRIBOR 3,49 % a šestiměsíční a roční shodně 3,48 %. Ve 3. čtvrtletí mírně narostly výnosy vládních dluhopisů. V případě dluhopisů se splatností do dvou let sazba vzrostla </w:t>
            </w:r>
            <w:r>
              <w:rPr>
                <w:spacing w:val="-1"/>
                <w:lang w:eastAsia="en-US"/>
              </w:rPr>
              <w:br/>
              <w:t xml:space="preserve">o 0,07 p. b. na 3,54 %, u střednědobých dluhopisů se splatností do 5 let dosáhl výnos 3,93 % (+0,19 p. b.) a u dlouhodobých dluhopisů 4,42 % (+0,19 p. b.). </w:t>
            </w:r>
          </w:p>
        </w:tc>
      </w:tr>
      <w:tr w:rsidR="00BB22F6" w14:paraId="773B6E4D" w14:textId="77777777" w:rsidTr="00FC03B0">
        <w:trPr>
          <w:trHeight w:val="145"/>
        </w:trPr>
        <w:tc>
          <w:tcPr>
            <w:tcW w:w="1802" w:type="dxa"/>
          </w:tcPr>
          <w:p w14:paraId="214682A7" w14:textId="77777777" w:rsidR="00BB22F6" w:rsidRDefault="00BB22F6" w:rsidP="00FC03B0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Zpomalil růst objemu vkladů.</w:t>
            </w:r>
          </w:p>
        </w:tc>
        <w:tc>
          <w:tcPr>
            <w:tcW w:w="229" w:type="dxa"/>
          </w:tcPr>
          <w:p w14:paraId="290EFF89" w14:textId="77777777" w:rsidR="00BB22F6" w:rsidRDefault="00BB22F6" w:rsidP="00FC03B0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3F6DED75" w14:textId="77777777" w:rsidR="00BB22F6" w:rsidRDefault="00BB22F6" w:rsidP="00FC03B0">
            <w:pPr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Prakticky neměnné byly ve 3. čtvrtletí úrokové sazby vkladů domácností. Běžné účty byly ke konci září v průměru úročeny 0,13 %, stejně jako v předchozím kvartálu, a účty s dohodnutou splatností 2,87 % (+0,03 p. b.). Prakticky stejná byla situace pro nefinanční podniky. Sazby se také v zásadě nezměnily oproti předchozímu čtvrtletí. U běžných účtů dosahovalo úročení v průměru 0,56 % a u vkladů s dohodnutou splatností 2,92 %. Pokračoval meziroční pokles objemu termínovaných vkladů (ke konci září klesl objem o 53,4 mld. korun, −1,9 %) a zmírnilo se rovněž tempo růstu netermínovaných vkladů na 316,4 mld. (6,9 %). Výsledkem bylo výrazné snížení meziročního přírůstku celkového objemu vkladů na 263,0 mld. korun (3,6 %). Z hlediska sektorového rozdělení růstu objemu vkladů došlo především k zastavení nárůstu u vládních institucí (meziroční pokles o 5,9 mld. korun byl první od poloviny roku 2021). Méně narůstaly také vklady nefinančních podniků (+48,4 mld. korun). Naopak v případě finančních institucí byl zaznamenán nárůst o 38,9 mld. korun. Domácnosti</w:t>
            </w:r>
            <w:r>
              <w:rPr>
                <w:rStyle w:val="Znakapoznpodarou"/>
                <w:spacing w:val="-3"/>
                <w:lang w:eastAsia="en-US"/>
              </w:rPr>
              <w:footnoteReference w:id="3"/>
            </w:r>
            <w:r>
              <w:rPr>
                <w:spacing w:val="-3"/>
                <w:lang w:eastAsia="en-US"/>
              </w:rPr>
              <w:t xml:space="preserve"> zvýšily ke konci září vklady o 185,1 mld. korun, což byl podobný přírůstek jako v předchozím kvartálu, ale o poznání nižší než v předchozích dvou letech.</w:t>
            </w:r>
          </w:p>
        </w:tc>
      </w:tr>
      <w:tr w:rsidR="00BB22F6" w14:paraId="3C320756" w14:textId="77777777" w:rsidTr="00FC03B0">
        <w:trPr>
          <w:trHeight w:val="145"/>
        </w:trPr>
        <w:tc>
          <w:tcPr>
            <w:tcW w:w="1802" w:type="dxa"/>
          </w:tcPr>
          <w:p w14:paraId="3E038725" w14:textId="77777777" w:rsidR="00BB22F6" w:rsidRDefault="00BB22F6" w:rsidP="00FC03B0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Růst objemu poskytnutých hypotečních úvěrů zrychloval.</w:t>
            </w:r>
          </w:p>
        </w:tc>
        <w:tc>
          <w:tcPr>
            <w:tcW w:w="229" w:type="dxa"/>
          </w:tcPr>
          <w:p w14:paraId="286463FE" w14:textId="77777777" w:rsidR="00BB22F6" w:rsidRDefault="00BB22F6" w:rsidP="00FC03B0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2E5CE10A" w14:textId="77777777" w:rsidR="00BB22F6" w:rsidRDefault="00BB22F6" w:rsidP="00FC03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Velmi mírné posuny směrem dolů byly patrné u úrokových sazeb úvěrů pro domácnosti. Průměrné úročení úvěrů na spotřebu ke konci letošního září poprvé od konce roku 2021 kleslo pod 8 % a snížilo se na 7,98 % (−0,06 p. b.). Podobná situace byla v oblasti úvěrů na bydlení. Ty byly ke konci září v průměru úročeny 4,61 % (−0,06 p. b.). Posuny byly nepatrné napříč fixacemi, nejvýznamnější posun dolů vykázaly sazby úvěrů s fixací mezi 1 rokem a 5 lety. Zamrznutí úrokových sazeb nezastavilo růst objemu poskytnutých úvěrů, který v posledních několika kvartálech také zrychloval. O více než desetinu (11,0 %) vzrostl objem poskytnutých úvěrů na spotřebu, skokově zrychlilo </w:t>
            </w:r>
            <w:r>
              <w:rPr>
                <w:lang w:eastAsia="en-US"/>
              </w:rPr>
              <w:br/>
              <w:t>i tempo růstu objemu kontokorentních úvěrů a debetních zůstatků</w:t>
            </w:r>
            <w:r>
              <w:rPr>
                <w:rStyle w:val="Znakapoznpodarou"/>
                <w:lang w:eastAsia="en-US"/>
              </w:rPr>
              <w:footnoteReference w:id="4"/>
            </w:r>
            <w:r>
              <w:rPr>
                <w:lang w:eastAsia="en-US"/>
              </w:rPr>
              <w:t xml:space="preserve">. Posiloval rovněž meziroční růst objemu úvěrů na bydlení (7,7 %). Z toho pokračovalo rapidní zrychlování tempa u hypotečních úvěrů – ty meziročně vzrostly o 7,2 %. Po dvou předchozích letech dvouciferného růstu zpomalovala dynamika objemu poskytnutých úvěrů ze stavebního spoření, ale to kompenzovaly překlenovací úvěry, jejichž objem byl ke konci </w:t>
            </w:r>
            <w:r>
              <w:rPr>
                <w:lang w:eastAsia="en-US"/>
              </w:rPr>
              <w:lastRenderedPageBreak/>
              <w:t>září 2025 meziročně vyšší o více než pětinu. Oživení hypotečního trhu dokládá objem nových smluv, který ve 3. čtvrtletí dosáhl 182,2 mld. korun (meziročně +38,1 mld.). Ve složení nových smluv byly nejvyšší položkou čisté nové úvěry</w:t>
            </w:r>
            <w:r>
              <w:rPr>
                <w:rStyle w:val="Znakapoznpodarou"/>
                <w:lang w:eastAsia="en-US"/>
              </w:rPr>
              <w:footnoteReference w:id="5"/>
            </w:r>
            <w:r>
              <w:rPr>
                <w:lang w:eastAsia="en-US"/>
              </w:rPr>
              <w:t xml:space="preserve"> (86,0 mld. korun, +23,4 mld.) těsně následované ostatními novými ujednáními (80,8 mld., +10,3 mld.). Rychle narůstal objem refinancovaných úvěrů (meziročně +4,5 mld. korun na </w:t>
            </w:r>
            <w:r>
              <w:rPr>
                <w:lang w:eastAsia="en-US"/>
              </w:rPr>
              <w:br/>
              <w:t xml:space="preserve">15,4 mld.). Objem nových smluv překonal období 2. kvartálu 2021 před začátkem zvyšování úrokových sazeb. Z údajů ČNB ale vyplývá, že průměrná hodnota nové smlouvy (bytové nemovitosti) stoupla od té doby z 2,5 na 2,9 mil. korun.   </w:t>
            </w:r>
          </w:p>
        </w:tc>
      </w:tr>
      <w:tr w:rsidR="00BB22F6" w14:paraId="14F965F3" w14:textId="77777777" w:rsidTr="00FC03B0">
        <w:trPr>
          <w:trHeight w:val="145"/>
        </w:trPr>
        <w:tc>
          <w:tcPr>
            <w:tcW w:w="1802" w:type="dxa"/>
          </w:tcPr>
          <w:p w14:paraId="66504BC0" w14:textId="77777777" w:rsidR="00BB22F6" w:rsidRDefault="00BB22F6" w:rsidP="00FC03B0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Klesl objem úvěrů poskytnutých v cizí měně.</w:t>
            </w:r>
          </w:p>
        </w:tc>
        <w:tc>
          <w:tcPr>
            <w:tcW w:w="229" w:type="dxa"/>
          </w:tcPr>
          <w:p w14:paraId="3176F8F7" w14:textId="77777777" w:rsidR="00BB22F6" w:rsidRDefault="00BB22F6" w:rsidP="00FC03B0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3C39EB01" w14:textId="77777777" w:rsidR="00BB22F6" w:rsidRDefault="00BB22F6" w:rsidP="00FC03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Úrokové sazby úvěrů pro podniky se mírně snižovaly v případě úvěrů do 7,5 mil. korun (o 0,04 p. b. na 5,50 %) a úvěrů mezi 7,5 a 30 mil. (−0,07 p. b. na 5,35 %). Naopak </w:t>
            </w:r>
            <w:r>
              <w:rPr>
                <w:lang w:eastAsia="en-US"/>
              </w:rPr>
              <w:br/>
              <w:t xml:space="preserve">u kategorie úvěrů nad 30 mil. korun došlo k nárůstu průměrného úročení </w:t>
            </w:r>
            <w:r>
              <w:rPr>
                <w:lang w:eastAsia="en-US"/>
              </w:rPr>
              <w:br/>
              <w:t xml:space="preserve">o 0,18 p. b. na 4,83 %. Celkový objem úvěrů a pohledávek nefinančních podniků byl </w:t>
            </w:r>
            <w:r>
              <w:rPr>
                <w:lang w:eastAsia="en-US"/>
              </w:rPr>
              <w:br/>
              <w:t xml:space="preserve">k 30. 9. meziročně vyšší o 2,9 %. „Renesanci“ zažívají úvěry v korunách, jejichž poskytnutý objem se meziročně zvýšil o 10,9 %. Naopak úvěry v cizí měně poprvé od roku 2021 meziročně klesly (−4,5 %). Jejich podíl na celkových úvěrech </w:t>
            </w:r>
            <w:r>
              <w:rPr>
                <w:lang w:eastAsia="en-US"/>
              </w:rPr>
              <w:br/>
              <w:t>a pohledávkách se tak snížil pod polovinu (48,6 %)</w:t>
            </w:r>
            <w:r>
              <w:rPr>
                <w:rStyle w:val="Znakapoznpodarou"/>
                <w:lang w:eastAsia="en-US"/>
              </w:rPr>
              <w:footnoteReference w:id="6"/>
            </w:r>
            <w:r>
              <w:rPr>
                <w:lang w:eastAsia="en-US"/>
              </w:rPr>
              <w:t xml:space="preserve">. Nejvíce se ke konci září meziročně zvýšil objem poskytnutých úvěrů ve veřejné správě a obraně, povinném sociálním zabezpečení, vzdělávání, zdravotní a sociální péči (23,5 %), v ubytování, stravování </w:t>
            </w:r>
            <w:r>
              <w:rPr>
                <w:lang w:eastAsia="en-US"/>
              </w:rPr>
              <w:br/>
              <w:t>a pohostinství (21,4 %) v profesních, vědeckých, technických a administrativních činnostech (19,1 %), v energetice (18,0 %) a ve stavebnictví (12,0 %). Naopak kromě těžby a dobývání (−20,0 %) klesaly poskytnuté úvěry v dopravě a skladování (−9,2 %), ve zpracovatelském průmyslu (−7,5 %) a v oblasti maloobchodu, velkoobchodu a opravách a údržbě motorových vozidel (−2,6 %).</w:t>
            </w:r>
          </w:p>
        </w:tc>
      </w:tr>
      <w:tr w:rsidR="00BB22F6" w14:paraId="4A44AB5C" w14:textId="77777777" w:rsidTr="00FC03B0">
        <w:trPr>
          <w:trHeight w:val="304"/>
        </w:trPr>
        <w:tc>
          <w:tcPr>
            <w:tcW w:w="1802" w:type="dxa"/>
            <w:vMerge w:val="restart"/>
          </w:tcPr>
          <w:p w14:paraId="3EC8D3EC" w14:textId="77777777" w:rsidR="00BB22F6" w:rsidRDefault="00BB22F6" w:rsidP="00FC03B0">
            <w:pPr>
              <w:pStyle w:val="Marginlie"/>
              <w:rPr>
                <w:lang w:eastAsia="en-US"/>
              </w:rPr>
            </w:pPr>
          </w:p>
        </w:tc>
        <w:tc>
          <w:tcPr>
            <w:tcW w:w="229" w:type="dxa"/>
            <w:vMerge w:val="restart"/>
          </w:tcPr>
          <w:p w14:paraId="3976EADD" w14:textId="77777777" w:rsidR="00BB22F6" w:rsidRDefault="00BB22F6" w:rsidP="00FC03B0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  <w:hideMark/>
          </w:tcPr>
          <w:p w14:paraId="221CE9DE" w14:textId="77777777" w:rsidR="00BB22F6" w:rsidRPr="00D721B4" w:rsidRDefault="00BB22F6" w:rsidP="00FC03B0">
            <w:pPr>
              <w:spacing w:after="0"/>
              <w:rPr>
                <w:szCs w:val="2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en-US"/>
              </w:rPr>
              <w:t>Graf č. 16</w:t>
            </w:r>
            <w:r w:rsidRPr="00D721B4">
              <w:rPr>
                <w:rFonts w:cs="Arial"/>
                <w:b/>
                <w:bCs/>
                <w:color w:val="000000"/>
                <w:szCs w:val="20"/>
                <w:lang w:eastAsia="en-US"/>
              </w:rPr>
              <w:t xml:space="preserve"> </w:t>
            </w:r>
            <w:r w:rsidRPr="00D721B4">
              <w:rPr>
                <w:b/>
                <w:spacing w:val="-4"/>
                <w:szCs w:val="20"/>
                <w:lang w:eastAsia="en-US"/>
              </w:rPr>
              <w:t xml:space="preserve">Tržní úrokové sazby </w:t>
            </w:r>
            <w:r w:rsidRPr="00D721B4">
              <w:rPr>
                <w:bCs/>
                <w:spacing w:val="-4"/>
                <w:szCs w:val="20"/>
                <w:lang w:eastAsia="en-US"/>
              </w:rPr>
              <w:t>(v</w:t>
            </w:r>
            <w:r>
              <w:rPr>
                <w:bCs/>
                <w:spacing w:val="-4"/>
                <w:szCs w:val="20"/>
                <w:lang w:eastAsia="en-US"/>
              </w:rPr>
              <w:t> %</w:t>
            </w:r>
            <w:r w:rsidRPr="00D721B4">
              <w:rPr>
                <w:bCs/>
                <w:spacing w:val="-4"/>
                <w:szCs w:val="20"/>
                <w:lang w:eastAsia="en-US"/>
              </w:rPr>
              <w:t>)</w:t>
            </w:r>
          </w:p>
        </w:tc>
      </w:tr>
      <w:tr w:rsidR="00BB22F6" w14:paraId="7CF04DEE" w14:textId="77777777" w:rsidTr="00FC03B0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02" w:type="dxa"/>
            <w:vMerge/>
            <w:vAlign w:val="center"/>
            <w:hideMark/>
          </w:tcPr>
          <w:p w14:paraId="476ECDBA" w14:textId="77777777" w:rsidR="00BB22F6" w:rsidRDefault="00BB22F6" w:rsidP="00FC03B0">
            <w:pPr>
              <w:spacing w:after="0" w:line="240" w:lineRule="auto"/>
              <w:jc w:val="left"/>
              <w:rPr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229" w:type="dxa"/>
            <w:vMerge/>
            <w:vAlign w:val="center"/>
            <w:hideMark/>
          </w:tcPr>
          <w:p w14:paraId="00D7223B" w14:textId="77777777" w:rsidR="00BB22F6" w:rsidRDefault="00BB22F6" w:rsidP="00FC03B0">
            <w:pPr>
              <w:spacing w:after="0" w:line="240" w:lineRule="auto"/>
              <w:jc w:val="left"/>
              <w:rPr>
                <w:rFonts w:eastAsia="Calibri"/>
                <w:spacing w:val="-4"/>
                <w:szCs w:val="20"/>
                <w:lang w:eastAsia="en-US"/>
              </w:rPr>
            </w:pPr>
          </w:p>
        </w:tc>
        <w:tc>
          <w:tcPr>
            <w:tcW w:w="7610" w:type="dxa"/>
            <w:hideMark/>
          </w:tcPr>
          <w:p w14:paraId="5848D3C0" w14:textId="77777777" w:rsidR="00BB22F6" w:rsidRDefault="00BB22F6" w:rsidP="00FC03B0">
            <w:pPr>
              <w:spacing w:after="0"/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2CAE00F" wp14:editId="3C0247D6">
                  <wp:extent cx="4737600" cy="3553200"/>
                  <wp:effectExtent l="0" t="0" r="6350" b="0"/>
                  <wp:docPr id="1799900174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A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BB22F6" w14:paraId="03B97C0E" w14:textId="77777777" w:rsidTr="00FC03B0">
        <w:trPr>
          <w:trHeight w:val="170"/>
        </w:trPr>
        <w:tc>
          <w:tcPr>
            <w:tcW w:w="0" w:type="auto"/>
            <w:vMerge/>
            <w:vAlign w:val="center"/>
            <w:hideMark/>
          </w:tcPr>
          <w:p w14:paraId="29EA9F52" w14:textId="77777777" w:rsidR="00BB22F6" w:rsidRDefault="00BB22F6" w:rsidP="00FC03B0">
            <w:pPr>
              <w:spacing w:after="0" w:line="240" w:lineRule="auto"/>
              <w:jc w:val="left"/>
              <w:rPr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EECA02" w14:textId="77777777" w:rsidR="00BB22F6" w:rsidRDefault="00BB22F6" w:rsidP="00FC03B0">
            <w:pPr>
              <w:spacing w:after="0" w:line="240" w:lineRule="auto"/>
              <w:jc w:val="left"/>
              <w:rPr>
                <w:rFonts w:eastAsia="Calibri"/>
                <w:spacing w:val="-4"/>
                <w:szCs w:val="20"/>
                <w:lang w:eastAsia="en-US"/>
              </w:rPr>
            </w:pPr>
          </w:p>
        </w:tc>
        <w:tc>
          <w:tcPr>
            <w:tcW w:w="7610" w:type="dxa"/>
            <w:hideMark/>
          </w:tcPr>
          <w:p w14:paraId="6BC8718F" w14:textId="77777777" w:rsidR="00BB22F6" w:rsidRDefault="00BB22F6" w:rsidP="00FC03B0">
            <w:pPr>
              <w:spacing w:after="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Zdroj: ARAD, ČNB</w:t>
            </w:r>
          </w:p>
        </w:tc>
      </w:tr>
    </w:tbl>
    <w:p w14:paraId="7DD8D75C" w14:textId="77777777" w:rsidR="00BB22F6" w:rsidRPr="00BB286B" w:rsidRDefault="00BB22F6" w:rsidP="00BB22F6">
      <w:pPr>
        <w:spacing w:after="0" w:line="240" w:lineRule="auto"/>
        <w:jc w:val="left"/>
        <w:rPr>
          <w:rFonts w:eastAsia="MS Gothic"/>
          <w:b/>
          <w:bCs/>
          <w:color w:val="71818C"/>
          <w:sz w:val="32"/>
          <w:szCs w:val="32"/>
          <w:highlight w:val="yellow"/>
        </w:rPr>
      </w:pPr>
    </w:p>
    <w:sectPr w:rsidR="00BB22F6" w:rsidRPr="00BB286B" w:rsidSect="00CF7980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680" w:footer="680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F034" w14:textId="77777777" w:rsidR="003728A6" w:rsidRDefault="003728A6" w:rsidP="00E71A58">
      <w:r>
        <w:separator/>
      </w:r>
    </w:p>
  </w:endnote>
  <w:endnote w:type="continuationSeparator" w:id="0">
    <w:p w14:paraId="2C44273F" w14:textId="77777777" w:rsidR="003728A6" w:rsidRDefault="003728A6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3B3F7B37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C5418A">
      <w:rPr>
        <w:szCs w:val="16"/>
      </w:rPr>
      <w:t>1. až 3. 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15E32B36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szCs w:val="16"/>
      </w:rPr>
      <w:t xml:space="preserve">1. </w:t>
    </w:r>
    <w:r w:rsidR="00C5418A">
      <w:rPr>
        <w:szCs w:val="16"/>
      </w:rPr>
      <w:t>až 3. čtvrt</w:t>
    </w:r>
    <w:r>
      <w:rPr>
        <w:szCs w:val="16"/>
      </w:rPr>
      <w:t>letí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D842" w14:textId="77777777" w:rsidR="003728A6" w:rsidRDefault="003728A6" w:rsidP="00EA4302">
      <w:pPr>
        <w:spacing w:after="0"/>
      </w:pPr>
      <w:r>
        <w:separator/>
      </w:r>
    </w:p>
  </w:footnote>
  <w:footnote w:type="continuationSeparator" w:id="0">
    <w:p w14:paraId="12954DBA" w14:textId="77777777" w:rsidR="003728A6" w:rsidRDefault="003728A6" w:rsidP="00E71A58">
      <w:r>
        <w:continuationSeparator/>
      </w:r>
    </w:p>
  </w:footnote>
  <w:footnote w:id="1">
    <w:p w14:paraId="3E8AB2EA" w14:textId="77777777" w:rsidR="00BB22F6" w:rsidRDefault="00BB22F6" w:rsidP="00BB22F6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Zdrojem údajů v této kapitole je databáze ARAD České národní banky. Hodnoty směnných kurzů jsou rovněž převzaty od ČNB.</w:t>
      </w:r>
    </w:p>
  </w:footnote>
  <w:footnote w:id="2">
    <w:p w14:paraId="69FE8123" w14:textId="77777777" w:rsidR="00BB22F6" w:rsidRPr="001F5F82" w:rsidRDefault="00BB22F6" w:rsidP="00BB22F6">
      <w:pPr>
        <w:pStyle w:val="Textpoznpodarou"/>
        <w:rPr>
          <w:sz w:val="16"/>
          <w:szCs w:val="16"/>
        </w:rPr>
      </w:pPr>
      <w:r w:rsidRPr="001F5F82">
        <w:rPr>
          <w:rStyle w:val="Znakapoznpodarou"/>
          <w:sz w:val="16"/>
          <w:szCs w:val="16"/>
        </w:rPr>
        <w:footnoteRef/>
      </w:r>
      <w:r w:rsidRPr="001F5F82">
        <w:rPr>
          <w:sz w:val="16"/>
          <w:szCs w:val="16"/>
        </w:rPr>
        <w:t xml:space="preserve"> Není</w:t>
      </w:r>
      <w:r>
        <w:rPr>
          <w:sz w:val="16"/>
          <w:szCs w:val="16"/>
        </w:rPr>
        <w:t>-</w:t>
      </w:r>
      <w:r w:rsidRPr="001F5F82">
        <w:rPr>
          <w:sz w:val="16"/>
          <w:szCs w:val="16"/>
        </w:rPr>
        <w:t>li uvedeno jinak, je změnou úrokových sazeb myšlen rozdíl mezi hodnotou ke dni 3</w:t>
      </w:r>
      <w:r>
        <w:rPr>
          <w:sz w:val="16"/>
          <w:szCs w:val="16"/>
        </w:rPr>
        <w:t>0. 9. 2025</w:t>
      </w:r>
      <w:r w:rsidRPr="001F5F82">
        <w:rPr>
          <w:sz w:val="16"/>
          <w:szCs w:val="16"/>
        </w:rPr>
        <w:t xml:space="preserve"> a</w:t>
      </w:r>
      <w:r>
        <w:rPr>
          <w:sz w:val="16"/>
          <w:szCs w:val="16"/>
        </w:rPr>
        <w:t> </w:t>
      </w:r>
      <w:r w:rsidRPr="001F5F82">
        <w:rPr>
          <w:sz w:val="16"/>
          <w:szCs w:val="16"/>
        </w:rPr>
        <w:t>3</w:t>
      </w:r>
      <w:r>
        <w:rPr>
          <w:sz w:val="16"/>
          <w:szCs w:val="16"/>
        </w:rPr>
        <w:t>0. 6</w:t>
      </w:r>
      <w:r w:rsidRPr="001F5F82">
        <w:rPr>
          <w:sz w:val="16"/>
          <w:szCs w:val="16"/>
        </w:rPr>
        <w:t>.</w:t>
      </w:r>
      <w:r>
        <w:rPr>
          <w:sz w:val="16"/>
          <w:szCs w:val="16"/>
        </w:rPr>
        <w:t xml:space="preserve"> 2025.</w:t>
      </w:r>
    </w:p>
  </w:footnote>
  <w:footnote w:id="3">
    <w:p w14:paraId="63AD1C84" w14:textId="77777777" w:rsidR="00BB22F6" w:rsidRPr="00651A71" w:rsidRDefault="00BB22F6" w:rsidP="00BB22F6">
      <w:pPr>
        <w:pStyle w:val="Textpoznpodarou"/>
        <w:rPr>
          <w:sz w:val="16"/>
          <w:szCs w:val="16"/>
        </w:rPr>
      </w:pPr>
      <w:r w:rsidRPr="00651A71">
        <w:rPr>
          <w:rStyle w:val="Znakapoznpodarou"/>
          <w:sz w:val="16"/>
          <w:szCs w:val="16"/>
        </w:rPr>
        <w:footnoteRef/>
      </w:r>
      <w:r w:rsidRPr="00651A71">
        <w:rPr>
          <w:sz w:val="16"/>
          <w:szCs w:val="16"/>
        </w:rPr>
        <w:t xml:space="preserve"> O</w:t>
      </w:r>
      <w:r w:rsidRPr="00651A71">
        <w:rPr>
          <w:spacing w:val="-3"/>
          <w:sz w:val="16"/>
          <w:szCs w:val="16"/>
          <w:lang w:eastAsia="en-US"/>
        </w:rPr>
        <w:t>byvatelstvo</w:t>
      </w:r>
      <w:r>
        <w:rPr>
          <w:spacing w:val="-3"/>
          <w:sz w:val="16"/>
          <w:szCs w:val="16"/>
          <w:lang w:eastAsia="en-US"/>
        </w:rPr>
        <w:t xml:space="preserve"> včetně </w:t>
      </w:r>
      <w:r w:rsidRPr="00651A71">
        <w:rPr>
          <w:spacing w:val="-3"/>
          <w:sz w:val="16"/>
          <w:szCs w:val="16"/>
          <w:lang w:eastAsia="en-US"/>
        </w:rPr>
        <w:t>živnostníků.</w:t>
      </w:r>
    </w:p>
  </w:footnote>
  <w:footnote w:id="4">
    <w:p w14:paraId="032BD703" w14:textId="77777777" w:rsidR="00BB22F6" w:rsidRPr="006F4BF1" w:rsidRDefault="00BB22F6" w:rsidP="00BB22F6">
      <w:pPr>
        <w:pStyle w:val="Textpoznpodarou"/>
        <w:rPr>
          <w:sz w:val="16"/>
          <w:szCs w:val="16"/>
        </w:rPr>
      </w:pPr>
      <w:r w:rsidRPr="006F4BF1">
        <w:rPr>
          <w:rStyle w:val="Znakapoznpodarou"/>
          <w:sz w:val="16"/>
          <w:szCs w:val="16"/>
        </w:rPr>
        <w:footnoteRef/>
      </w:r>
      <w:r w:rsidRPr="006F4BF1">
        <w:rPr>
          <w:sz w:val="16"/>
          <w:szCs w:val="16"/>
        </w:rPr>
        <w:t xml:space="preserve"> Jde o poměrně malý segment úvěrů (ke konci září dosahoval objem 8,2 mld. korun</w:t>
      </w:r>
      <w:r>
        <w:rPr>
          <w:sz w:val="16"/>
          <w:szCs w:val="16"/>
        </w:rPr>
        <w:t xml:space="preserve"> a meziročně se zvýšil o téměř 1 mld.</w:t>
      </w:r>
      <w:r w:rsidRPr="006F4BF1">
        <w:rPr>
          <w:sz w:val="16"/>
          <w:szCs w:val="16"/>
        </w:rPr>
        <w:t xml:space="preserve">), ale </w:t>
      </w:r>
      <w:r>
        <w:rPr>
          <w:sz w:val="16"/>
          <w:szCs w:val="16"/>
        </w:rPr>
        <w:t xml:space="preserve">v posledních dvou kvartálech rostl dvouciferným meziročním tempem. </w:t>
      </w:r>
    </w:p>
  </w:footnote>
  <w:footnote w:id="5">
    <w:p w14:paraId="43E44683" w14:textId="77777777" w:rsidR="00BB22F6" w:rsidRPr="00284DA5" w:rsidRDefault="00BB22F6" w:rsidP="00BB22F6">
      <w:pPr>
        <w:pStyle w:val="Textpoznpodarou"/>
        <w:rPr>
          <w:sz w:val="16"/>
          <w:szCs w:val="16"/>
        </w:rPr>
      </w:pPr>
      <w:r w:rsidRPr="00284DA5">
        <w:rPr>
          <w:rStyle w:val="Znakapoznpodarou"/>
          <w:sz w:val="16"/>
          <w:szCs w:val="16"/>
        </w:rPr>
        <w:footnoteRef/>
      </w:r>
      <w:r w:rsidRPr="00284DA5">
        <w:rPr>
          <w:sz w:val="16"/>
          <w:szCs w:val="16"/>
        </w:rPr>
        <w:t xml:space="preserve"> V nových smlouvách jsou zahrnuty i</w:t>
      </w:r>
      <w:r>
        <w:rPr>
          <w:sz w:val="16"/>
          <w:szCs w:val="16"/>
        </w:rPr>
        <w:t> </w:t>
      </w:r>
      <w:r w:rsidRPr="00284DA5">
        <w:rPr>
          <w:sz w:val="16"/>
          <w:szCs w:val="16"/>
        </w:rPr>
        <w:t>refinancované úvěry a</w:t>
      </w:r>
      <w:r>
        <w:rPr>
          <w:sz w:val="16"/>
          <w:szCs w:val="16"/>
        </w:rPr>
        <w:t> </w:t>
      </w:r>
      <w:r w:rsidRPr="00284DA5">
        <w:rPr>
          <w:sz w:val="16"/>
          <w:szCs w:val="16"/>
        </w:rPr>
        <w:t>ostatní ujednání.</w:t>
      </w:r>
      <w:r>
        <w:rPr>
          <w:sz w:val="16"/>
          <w:szCs w:val="16"/>
        </w:rPr>
        <w:t xml:space="preserve"> Refinancované úvěry zahrnují stávající smlouvy sjednané nově u jiné banky, zatímco ostatní nová ujednání jsou stávající smlouvy sjednané s novými podmínkami u stejné banky.</w:t>
      </w:r>
    </w:p>
  </w:footnote>
  <w:footnote w:id="6">
    <w:p w14:paraId="2771E0D1" w14:textId="77777777" w:rsidR="00BB22F6" w:rsidRPr="00F323F2" w:rsidRDefault="00BB22F6" w:rsidP="00BB22F6">
      <w:pPr>
        <w:pStyle w:val="Textpoznpodarou"/>
        <w:rPr>
          <w:sz w:val="16"/>
          <w:szCs w:val="16"/>
        </w:rPr>
      </w:pPr>
      <w:r w:rsidRPr="00F323F2">
        <w:rPr>
          <w:rStyle w:val="Znakapoznpodarou"/>
          <w:sz w:val="16"/>
          <w:szCs w:val="16"/>
        </w:rPr>
        <w:footnoteRef/>
      </w:r>
      <w:r w:rsidRPr="00F323F2">
        <w:rPr>
          <w:sz w:val="16"/>
          <w:szCs w:val="16"/>
        </w:rPr>
        <w:t xml:space="preserve"> </w:t>
      </w:r>
      <w:r>
        <w:rPr>
          <w:sz w:val="16"/>
          <w:szCs w:val="16"/>
        </w:rPr>
        <w:t>Podíl začal prudce růst na přelomu let 2021 a 2022 a v</w:t>
      </w:r>
      <w:r w:rsidRPr="00F323F2">
        <w:rPr>
          <w:sz w:val="16"/>
          <w:szCs w:val="16"/>
        </w:rPr>
        <w:t>rcholu 52,5 % dosáhl ke konci prosince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3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2"/>
  </w:num>
  <w:num w:numId="27" w16cid:durableId="223610688">
    <w:abstractNumId w:val="43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5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4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3"/>
  </w:num>
  <w:num w:numId="48" w16cid:durableId="1639922006">
    <w:abstractNumId w:val="43"/>
    <w:lvlOverride w:ilvl="0">
      <w:startOverride w:val="1"/>
    </w:lvlOverride>
  </w:num>
  <w:num w:numId="49" w16cid:durableId="1509101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2195D"/>
    <w:rsid w:val="000234D6"/>
    <w:rsid w:val="00023D29"/>
    <w:rsid w:val="00026389"/>
    <w:rsid w:val="00031AE0"/>
    <w:rsid w:val="000322EF"/>
    <w:rsid w:val="00033FCD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8263E"/>
    <w:rsid w:val="000829B1"/>
    <w:rsid w:val="00082C19"/>
    <w:rsid w:val="00085395"/>
    <w:rsid w:val="00087634"/>
    <w:rsid w:val="00087F2B"/>
    <w:rsid w:val="000912CC"/>
    <w:rsid w:val="00092201"/>
    <w:rsid w:val="00095135"/>
    <w:rsid w:val="000974D1"/>
    <w:rsid w:val="0009799E"/>
    <w:rsid w:val="000A1183"/>
    <w:rsid w:val="000A256D"/>
    <w:rsid w:val="000A3A2C"/>
    <w:rsid w:val="000A5265"/>
    <w:rsid w:val="000A57D4"/>
    <w:rsid w:val="000B7C8D"/>
    <w:rsid w:val="000C004E"/>
    <w:rsid w:val="000C2CF1"/>
    <w:rsid w:val="000C3408"/>
    <w:rsid w:val="000C6AFD"/>
    <w:rsid w:val="000D1B52"/>
    <w:rsid w:val="000D5637"/>
    <w:rsid w:val="000E15EA"/>
    <w:rsid w:val="000E6FBD"/>
    <w:rsid w:val="000F49A9"/>
    <w:rsid w:val="00100F5C"/>
    <w:rsid w:val="00101CDA"/>
    <w:rsid w:val="00102C41"/>
    <w:rsid w:val="00104C4C"/>
    <w:rsid w:val="00107F50"/>
    <w:rsid w:val="00117623"/>
    <w:rsid w:val="0012096D"/>
    <w:rsid w:val="0012192F"/>
    <w:rsid w:val="001224E5"/>
    <w:rsid w:val="00124940"/>
    <w:rsid w:val="00125D69"/>
    <w:rsid w:val="001405FA"/>
    <w:rsid w:val="00142254"/>
    <w:rsid w:val="001425C3"/>
    <w:rsid w:val="001476BD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A0487"/>
    <w:rsid w:val="001A4CA3"/>
    <w:rsid w:val="001A552F"/>
    <w:rsid w:val="001A5B6F"/>
    <w:rsid w:val="001A6170"/>
    <w:rsid w:val="001A7280"/>
    <w:rsid w:val="001B2CA9"/>
    <w:rsid w:val="001B3110"/>
    <w:rsid w:val="001B4729"/>
    <w:rsid w:val="001B6310"/>
    <w:rsid w:val="001B6C09"/>
    <w:rsid w:val="001B73E6"/>
    <w:rsid w:val="001C05CD"/>
    <w:rsid w:val="001C3924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4597"/>
    <w:rsid w:val="00203DA4"/>
    <w:rsid w:val="002118B9"/>
    <w:rsid w:val="00213E46"/>
    <w:rsid w:val="00214CF7"/>
    <w:rsid w:val="00216286"/>
    <w:rsid w:val="00216A01"/>
    <w:rsid w:val="002175EA"/>
    <w:rsid w:val="00217C5B"/>
    <w:rsid w:val="0022139E"/>
    <w:rsid w:val="00222729"/>
    <w:rsid w:val="002252E0"/>
    <w:rsid w:val="002255F6"/>
    <w:rsid w:val="00227850"/>
    <w:rsid w:val="00227A53"/>
    <w:rsid w:val="00230682"/>
    <w:rsid w:val="00230C6E"/>
    <w:rsid w:val="00233546"/>
    <w:rsid w:val="00233CD7"/>
    <w:rsid w:val="00233D05"/>
    <w:rsid w:val="00236443"/>
    <w:rsid w:val="00241B06"/>
    <w:rsid w:val="00242119"/>
    <w:rsid w:val="002421C4"/>
    <w:rsid w:val="00242C10"/>
    <w:rsid w:val="002436BA"/>
    <w:rsid w:val="00244A15"/>
    <w:rsid w:val="0024661A"/>
    <w:rsid w:val="00247319"/>
    <w:rsid w:val="0024799E"/>
    <w:rsid w:val="00247EE7"/>
    <w:rsid w:val="00252D48"/>
    <w:rsid w:val="00253C0F"/>
    <w:rsid w:val="002558C1"/>
    <w:rsid w:val="00255B30"/>
    <w:rsid w:val="00261A17"/>
    <w:rsid w:val="0027099B"/>
    <w:rsid w:val="00271465"/>
    <w:rsid w:val="00275385"/>
    <w:rsid w:val="0028207A"/>
    <w:rsid w:val="00282918"/>
    <w:rsid w:val="00285412"/>
    <w:rsid w:val="00291407"/>
    <w:rsid w:val="00291640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C5568"/>
    <w:rsid w:val="002D0E59"/>
    <w:rsid w:val="002E02A1"/>
    <w:rsid w:val="002E42AC"/>
    <w:rsid w:val="002E4E4C"/>
    <w:rsid w:val="002F3E4F"/>
    <w:rsid w:val="00302ADD"/>
    <w:rsid w:val="00304771"/>
    <w:rsid w:val="0030495D"/>
    <w:rsid w:val="003052D4"/>
    <w:rsid w:val="00306C5B"/>
    <w:rsid w:val="00307B34"/>
    <w:rsid w:val="003103E0"/>
    <w:rsid w:val="00314F9F"/>
    <w:rsid w:val="003209D6"/>
    <w:rsid w:val="00321205"/>
    <w:rsid w:val="00321924"/>
    <w:rsid w:val="0032656E"/>
    <w:rsid w:val="00327D4E"/>
    <w:rsid w:val="00332190"/>
    <w:rsid w:val="003421E1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71826"/>
    <w:rsid w:val="003728A6"/>
    <w:rsid w:val="00373504"/>
    <w:rsid w:val="0038123E"/>
    <w:rsid w:val="003818DC"/>
    <w:rsid w:val="00382C5B"/>
    <w:rsid w:val="00384327"/>
    <w:rsid w:val="00385D98"/>
    <w:rsid w:val="003A2B4D"/>
    <w:rsid w:val="003A2B5E"/>
    <w:rsid w:val="003A2D12"/>
    <w:rsid w:val="003A478C"/>
    <w:rsid w:val="003A5525"/>
    <w:rsid w:val="003A6B38"/>
    <w:rsid w:val="003B461F"/>
    <w:rsid w:val="003B5A32"/>
    <w:rsid w:val="003B6B31"/>
    <w:rsid w:val="003B7AFA"/>
    <w:rsid w:val="003C3490"/>
    <w:rsid w:val="003C6550"/>
    <w:rsid w:val="003C7E62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510"/>
    <w:rsid w:val="00407C13"/>
    <w:rsid w:val="0041041D"/>
    <w:rsid w:val="00410638"/>
    <w:rsid w:val="00410694"/>
    <w:rsid w:val="0041501E"/>
    <w:rsid w:val="004159C3"/>
    <w:rsid w:val="00416EB7"/>
    <w:rsid w:val="00432A58"/>
    <w:rsid w:val="00434617"/>
    <w:rsid w:val="00440900"/>
    <w:rsid w:val="00441BF6"/>
    <w:rsid w:val="00443556"/>
    <w:rsid w:val="004441A0"/>
    <w:rsid w:val="004455BA"/>
    <w:rsid w:val="00446D77"/>
    <w:rsid w:val="0045078A"/>
    <w:rsid w:val="0045086D"/>
    <w:rsid w:val="00451504"/>
    <w:rsid w:val="004557A9"/>
    <w:rsid w:val="00456339"/>
    <w:rsid w:val="004607BF"/>
    <w:rsid w:val="00460FB3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6B"/>
    <w:rsid w:val="004F06F5"/>
    <w:rsid w:val="004F16B2"/>
    <w:rsid w:val="004F2C1B"/>
    <w:rsid w:val="004F33A0"/>
    <w:rsid w:val="005040A8"/>
    <w:rsid w:val="00504EE1"/>
    <w:rsid w:val="0050689D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86D"/>
    <w:rsid w:val="00564AF1"/>
    <w:rsid w:val="0057364B"/>
    <w:rsid w:val="00574773"/>
    <w:rsid w:val="0058308D"/>
    <w:rsid w:val="00583FFD"/>
    <w:rsid w:val="00591099"/>
    <w:rsid w:val="005911BE"/>
    <w:rsid w:val="00593152"/>
    <w:rsid w:val="00596010"/>
    <w:rsid w:val="005A10F2"/>
    <w:rsid w:val="005A21E0"/>
    <w:rsid w:val="005A28FF"/>
    <w:rsid w:val="005A3DF8"/>
    <w:rsid w:val="005A5113"/>
    <w:rsid w:val="005A5549"/>
    <w:rsid w:val="005A7038"/>
    <w:rsid w:val="005B121D"/>
    <w:rsid w:val="005B3361"/>
    <w:rsid w:val="005C06ED"/>
    <w:rsid w:val="005C2609"/>
    <w:rsid w:val="005C6CF0"/>
    <w:rsid w:val="005D0D46"/>
    <w:rsid w:val="005D5802"/>
    <w:rsid w:val="005D7119"/>
    <w:rsid w:val="005D7890"/>
    <w:rsid w:val="005E705E"/>
    <w:rsid w:val="005E7C78"/>
    <w:rsid w:val="005F18C5"/>
    <w:rsid w:val="005F3EB1"/>
    <w:rsid w:val="005F46D8"/>
    <w:rsid w:val="005F5469"/>
    <w:rsid w:val="00603FF5"/>
    <w:rsid w:val="00604307"/>
    <w:rsid w:val="0060487F"/>
    <w:rsid w:val="00604EAD"/>
    <w:rsid w:val="006104FB"/>
    <w:rsid w:val="00612A2F"/>
    <w:rsid w:val="006165E5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E37"/>
    <w:rsid w:val="0068174E"/>
    <w:rsid w:val="00681DCE"/>
    <w:rsid w:val="0068260E"/>
    <w:rsid w:val="0068697A"/>
    <w:rsid w:val="00693FEC"/>
    <w:rsid w:val="00695BEF"/>
    <w:rsid w:val="006977F6"/>
    <w:rsid w:val="00697A13"/>
    <w:rsid w:val="006A109C"/>
    <w:rsid w:val="006A2056"/>
    <w:rsid w:val="006B0F92"/>
    <w:rsid w:val="006B173A"/>
    <w:rsid w:val="006B344A"/>
    <w:rsid w:val="006B759B"/>
    <w:rsid w:val="006B78D8"/>
    <w:rsid w:val="006C113F"/>
    <w:rsid w:val="006C123E"/>
    <w:rsid w:val="006C1752"/>
    <w:rsid w:val="006C4460"/>
    <w:rsid w:val="006C4ED6"/>
    <w:rsid w:val="006C56D4"/>
    <w:rsid w:val="006C6924"/>
    <w:rsid w:val="006C7CA6"/>
    <w:rsid w:val="006D3E8A"/>
    <w:rsid w:val="006D61F6"/>
    <w:rsid w:val="006E279A"/>
    <w:rsid w:val="006E313B"/>
    <w:rsid w:val="006E4254"/>
    <w:rsid w:val="006E7227"/>
    <w:rsid w:val="006F438E"/>
    <w:rsid w:val="006F5416"/>
    <w:rsid w:val="006F7076"/>
    <w:rsid w:val="00705242"/>
    <w:rsid w:val="00706AD4"/>
    <w:rsid w:val="00707150"/>
    <w:rsid w:val="00710078"/>
    <w:rsid w:val="007140BE"/>
    <w:rsid w:val="007143B4"/>
    <w:rsid w:val="007211F5"/>
    <w:rsid w:val="00723946"/>
    <w:rsid w:val="007240E2"/>
    <w:rsid w:val="00725BB5"/>
    <w:rsid w:val="00730517"/>
    <w:rsid w:val="00730AE8"/>
    <w:rsid w:val="00730F1B"/>
    <w:rsid w:val="00733628"/>
    <w:rsid w:val="007342AC"/>
    <w:rsid w:val="00741493"/>
    <w:rsid w:val="00743C34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5C12"/>
    <w:rsid w:val="007661E9"/>
    <w:rsid w:val="00773220"/>
    <w:rsid w:val="00776169"/>
    <w:rsid w:val="00776527"/>
    <w:rsid w:val="00776EAB"/>
    <w:rsid w:val="00780EF1"/>
    <w:rsid w:val="00782AD8"/>
    <w:rsid w:val="00790711"/>
    <w:rsid w:val="00790764"/>
    <w:rsid w:val="0079124F"/>
    <w:rsid w:val="0079453C"/>
    <w:rsid w:val="00794677"/>
    <w:rsid w:val="00795928"/>
    <w:rsid w:val="00797445"/>
    <w:rsid w:val="007A3861"/>
    <w:rsid w:val="007A4577"/>
    <w:rsid w:val="007A516D"/>
    <w:rsid w:val="007B6689"/>
    <w:rsid w:val="007C6BBD"/>
    <w:rsid w:val="007D293C"/>
    <w:rsid w:val="007D40DF"/>
    <w:rsid w:val="007E29B4"/>
    <w:rsid w:val="007E435A"/>
    <w:rsid w:val="007E7E61"/>
    <w:rsid w:val="007E7FCE"/>
    <w:rsid w:val="007F0845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143E"/>
    <w:rsid w:val="00831CDE"/>
    <w:rsid w:val="00834304"/>
    <w:rsid w:val="00834FAA"/>
    <w:rsid w:val="0083516C"/>
    <w:rsid w:val="00836086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4F24"/>
    <w:rsid w:val="00855408"/>
    <w:rsid w:val="00855712"/>
    <w:rsid w:val="00856D65"/>
    <w:rsid w:val="00861B41"/>
    <w:rsid w:val="00861BE3"/>
    <w:rsid w:val="00863434"/>
    <w:rsid w:val="00865E4C"/>
    <w:rsid w:val="008701E4"/>
    <w:rsid w:val="00871069"/>
    <w:rsid w:val="00875A32"/>
    <w:rsid w:val="00876086"/>
    <w:rsid w:val="008825B0"/>
    <w:rsid w:val="00884AD6"/>
    <w:rsid w:val="008873D4"/>
    <w:rsid w:val="0089126C"/>
    <w:rsid w:val="0089296D"/>
    <w:rsid w:val="00893E85"/>
    <w:rsid w:val="00894031"/>
    <w:rsid w:val="00895508"/>
    <w:rsid w:val="008A6CB4"/>
    <w:rsid w:val="008B542E"/>
    <w:rsid w:val="008B5CF6"/>
    <w:rsid w:val="008B76AB"/>
    <w:rsid w:val="008B7C02"/>
    <w:rsid w:val="008B7D2B"/>
    <w:rsid w:val="008C0049"/>
    <w:rsid w:val="008C0E88"/>
    <w:rsid w:val="008C1968"/>
    <w:rsid w:val="008C53CB"/>
    <w:rsid w:val="008C6FD4"/>
    <w:rsid w:val="008D1BA1"/>
    <w:rsid w:val="008D1E6A"/>
    <w:rsid w:val="008D2A16"/>
    <w:rsid w:val="008D6B35"/>
    <w:rsid w:val="008E163D"/>
    <w:rsid w:val="008E2C57"/>
    <w:rsid w:val="008E31FF"/>
    <w:rsid w:val="008E6F06"/>
    <w:rsid w:val="008E7FC9"/>
    <w:rsid w:val="008F029B"/>
    <w:rsid w:val="008F3FC9"/>
    <w:rsid w:val="008F585B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7AE2"/>
    <w:rsid w:val="00943853"/>
    <w:rsid w:val="0094427A"/>
    <w:rsid w:val="00945245"/>
    <w:rsid w:val="009452D0"/>
    <w:rsid w:val="00956572"/>
    <w:rsid w:val="00957309"/>
    <w:rsid w:val="0095759C"/>
    <w:rsid w:val="00961532"/>
    <w:rsid w:val="0096774F"/>
    <w:rsid w:val="00967E76"/>
    <w:rsid w:val="009721DB"/>
    <w:rsid w:val="0097239B"/>
    <w:rsid w:val="00974923"/>
    <w:rsid w:val="009808F7"/>
    <w:rsid w:val="00980D3D"/>
    <w:rsid w:val="00981FFA"/>
    <w:rsid w:val="009855E1"/>
    <w:rsid w:val="00987A30"/>
    <w:rsid w:val="00992CF3"/>
    <w:rsid w:val="00994868"/>
    <w:rsid w:val="0099574A"/>
    <w:rsid w:val="009968D6"/>
    <w:rsid w:val="009A1CAB"/>
    <w:rsid w:val="009A60D1"/>
    <w:rsid w:val="009B6FD3"/>
    <w:rsid w:val="009C1750"/>
    <w:rsid w:val="009C2E29"/>
    <w:rsid w:val="009C554B"/>
    <w:rsid w:val="009C719E"/>
    <w:rsid w:val="009C7A10"/>
    <w:rsid w:val="009D1120"/>
    <w:rsid w:val="009D3ACD"/>
    <w:rsid w:val="009E5273"/>
    <w:rsid w:val="009E5DDB"/>
    <w:rsid w:val="009E7F05"/>
    <w:rsid w:val="009F46B7"/>
    <w:rsid w:val="009F4CA7"/>
    <w:rsid w:val="009F791A"/>
    <w:rsid w:val="00A04CEF"/>
    <w:rsid w:val="00A10D66"/>
    <w:rsid w:val="00A14114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3549"/>
    <w:rsid w:val="00A33A89"/>
    <w:rsid w:val="00A40EAC"/>
    <w:rsid w:val="00A40EDD"/>
    <w:rsid w:val="00A418BC"/>
    <w:rsid w:val="00A4206C"/>
    <w:rsid w:val="00A46DE0"/>
    <w:rsid w:val="00A472EB"/>
    <w:rsid w:val="00A47FCA"/>
    <w:rsid w:val="00A50D73"/>
    <w:rsid w:val="00A52CAD"/>
    <w:rsid w:val="00A53FC7"/>
    <w:rsid w:val="00A62CE1"/>
    <w:rsid w:val="00A668A3"/>
    <w:rsid w:val="00A6741E"/>
    <w:rsid w:val="00A754EA"/>
    <w:rsid w:val="00A75E40"/>
    <w:rsid w:val="00A770F4"/>
    <w:rsid w:val="00A77D1D"/>
    <w:rsid w:val="00A84A6A"/>
    <w:rsid w:val="00A857C0"/>
    <w:rsid w:val="00A90FED"/>
    <w:rsid w:val="00AA2996"/>
    <w:rsid w:val="00AA2A70"/>
    <w:rsid w:val="00AA2DA1"/>
    <w:rsid w:val="00AA4B30"/>
    <w:rsid w:val="00AA52BF"/>
    <w:rsid w:val="00AA559A"/>
    <w:rsid w:val="00AB2AF1"/>
    <w:rsid w:val="00AB535B"/>
    <w:rsid w:val="00AC45BD"/>
    <w:rsid w:val="00AC5791"/>
    <w:rsid w:val="00AD168E"/>
    <w:rsid w:val="00AD306C"/>
    <w:rsid w:val="00AD4F16"/>
    <w:rsid w:val="00AD5323"/>
    <w:rsid w:val="00AD68C4"/>
    <w:rsid w:val="00AE09B3"/>
    <w:rsid w:val="00AE0ED3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BBB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062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EC6"/>
    <w:rsid w:val="00B84CF6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78"/>
    <w:rsid w:val="00BF3B1D"/>
    <w:rsid w:val="00BF71A0"/>
    <w:rsid w:val="00BF723F"/>
    <w:rsid w:val="00C21F94"/>
    <w:rsid w:val="00C27913"/>
    <w:rsid w:val="00C27E4F"/>
    <w:rsid w:val="00C325AE"/>
    <w:rsid w:val="00C32964"/>
    <w:rsid w:val="00C33B68"/>
    <w:rsid w:val="00C36A79"/>
    <w:rsid w:val="00C401D2"/>
    <w:rsid w:val="00C405D4"/>
    <w:rsid w:val="00C4431F"/>
    <w:rsid w:val="00C4513B"/>
    <w:rsid w:val="00C5390B"/>
    <w:rsid w:val="00C53E5D"/>
    <w:rsid w:val="00C54141"/>
    <w:rsid w:val="00C5418A"/>
    <w:rsid w:val="00C54697"/>
    <w:rsid w:val="00C65535"/>
    <w:rsid w:val="00C66B0D"/>
    <w:rsid w:val="00C71E85"/>
    <w:rsid w:val="00C72884"/>
    <w:rsid w:val="00C73885"/>
    <w:rsid w:val="00C747B1"/>
    <w:rsid w:val="00C82191"/>
    <w:rsid w:val="00C83134"/>
    <w:rsid w:val="00C85545"/>
    <w:rsid w:val="00C9003C"/>
    <w:rsid w:val="00C90CF4"/>
    <w:rsid w:val="00C92EB6"/>
    <w:rsid w:val="00C93389"/>
    <w:rsid w:val="00C96040"/>
    <w:rsid w:val="00CA0914"/>
    <w:rsid w:val="00CA4824"/>
    <w:rsid w:val="00CA6AB4"/>
    <w:rsid w:val="00CA7BE7"/>
    <w:rsid w:val="00CB4930"/>
    <w:rsid w:val="00CC0E87"/>
    <w:rsid w:val="00CC2E7D"/>
    <w:rsid w:val="00CD10A5"/>
    <w:rsid w:val="00CD2076"/>
    <w:rsid w:val="00CD29B5"/>
    <w:rsid w:val="00CD6331"/>
    <w:rsid w:val="00CD7AFB"/>
    <w:rsid w:val="00CE670B"/>
    <w:rsid w:val="00CF322D"/>
    <w:rsid w:val="00CF39C9"/>
    <w:rsid w:val="00CF4908"/>
    <w:rsid w:val="00CF51EC"/>
    <w:rsid w:val="00CF59E5"/>
    <w:rsid w:val="00CF73AE"/>
    <w:rsid w:val="00CF7980"/>
    <w:rsid w:val="00D040DD"/>
    <w:rsid w:val="00D075BE"/>
    <w:rsid w:val="00D13986"/>
    <w:rsid w:val="00D21D83"/>
    <w:rsid w:val="00D235B7"/>
    <w:rsid w:val="00D23C02"/>
    <w:rsid w:val="00D25F28"/>
    <w:rsid w:val="00D26071"/>
    <w:rsid w:val="00D27973"/>
    <w:rsid w:val="00D35E1A"/>
    <w:rsid w:val="00D37C1E"/>
    <w:rsid w:val="00D40B2B"/>
    <w:rsid w:val="00D40F7C"/>
    <w:rsid w:val="00D417B7"/>
    <w:rsid w:val="00D42211"/>
    <w:rsid w:val="00D42756"/>
    <w:rsid w:val="00D50F46"/>
    <w:rsid w:val="00D567C6"/>
    <w:rsid w:val="00D57677"/>
    <w:rsid w:val="00D61DF8"/>
    <w:rsid w:val="00D66223"/>
    <w:rsid w:val="00D674D7"/>
    <w:rsid w:val="00D71625"/>
    <w:rsid w:val="00D751DA"/>
    <w:rsid w:val="00D8084C"/>
    <w:rsid w:val="00D915EA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C1B9B"/>
    <w:rsid w:val="00DC1E84"/>
    <w:rsid w:val="00DC40D2"/>
    <w:rsid w:val="00DC48F1"/>
    <w:rsid w:val="00DC5B3B"/>
    <w:rsid w:val="00DD129F"/>
    <w:rsid w:val="00DD4EFE"/>
    <w:rsid w:val="00DE02BD"/>
    <w:rsid w:val="00DE5DBA"/>
    <w:rsid w:val="00DF42FF"/>
    <w:rsid w:val="00DF5908"/>
    <w:rsid w:val="00E01C0E"/>
    <w:rsid w:val="00E03F9A"/>
    <w:rsid w:val="00E0465E"/>
    <w:rsid w:val="00E04694"/>
    <w:rsid w:val="00E063CE"/>
    <w:rsid w:val="00E12B1E"/>
    <w:rsid w:val="00E17262"/>
    <w:rsid w:val="00E253A2"/>
    <w:rsid w:val="00E314B9"/>
    <w:rsid w:val="00E329EF"/>
    <w:rsid w:val="00E3309D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6519D"/>
    <w:rsid w:val="00E67696"/>
    <w:rsid w:val="00E71654"/>
    <w:rsid w:val="00E71A58"/>
    <w:rsid w:val="00E72A7A"/>
    <w:rsid w:val="00E75C94"/>
    <w:rsid w:val="00E849A6"/>
    <w:rsid w:val="00E91024"/>
    <w:rsid w:val="00E920F4"/>
    <w:rsid w:val="00E93820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39C7"/>
    <w:rsid w:val="00EB3D8F"/>
    <w:rsid w:val="00EB4511"/>
    <w:rsid w:val="00EC03D7"/>
    <w:rsid w:val="00ED62C6"/>
    <w:rsid w:val="00ED64C1"/>
    <w:rsid w:val="00EE0E68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10F11"/>
    <w:rsid w:val="00F15AAA"/>
    <w:rsid w:val="00F15BEF"/>
    <w:rsid w:val="00F17E83"/>
    <w:rsid w:val="00F24407"/>
    <w:rsid w:val="00F24931"/>
    <w:rsid w:val="00F24FAA"/>
    <w:rsid w:val="00F252A0"/>
    <w:rsid w:val="00F3364D"/>
    <w:rsid w:val="00F437CC"/>
    <w:rsid w:val="00F43E29"/>
    <w:rsid w:val="00F44537"/>
    <w:rsid w:val="00F44B6A"/>
    <w:rsid w:val="00F47067"/>
    <w:rsid w:val="00F50FC3"/>
    <w:rsid w:val="00F5188A"/>
    <w:rsid w:val="00F52106"/>
    <w:rsid w:val="00F525EB"/>
    <w:rsid w:val="00F63DDE"/>
    <w:rsid w:val="00F63FB7"/>
    <w:rsid w:val="00F6421B"/>
    <w:rsid w:val="00F649D2"/>
    <w:rsid w:val="00F6602B"/>
    <w:rsid w:val="00F66643"/>
    <w:rsid w:val="00F66FD9"/>
    <w:rsid w:val="00F67C4E"/>
    <w:rsid w:val="00F70D20"/>
    <w:rsid w:val="00F73A0C"/>
    <w:rsid w:val="00F756DB"/>
    <w:rsid w:val="00F84E7D"/>
    <w:rsid w:val="00F85066"/>
    <w:rsid w:val="00F87A4D"/>
    <w:rsid w:val="00F90035"/>
    <w:rsid w:val="00F9785E"/>
    <w:rsid w:val="00FA5D4D"/>
    <w:rsid w:val="00FA60AD"/>
    <w:rsid w:val="00FA7115"/>
    <w:rsid w:val="00FB0EE2"/>
    <w:rsid w:val="00FB4423"/>
    <w:rsid w:val="00FB542E"/>
    <w:rsid w:val="00FB6631"/>
    <w:rsid w:val="00FC0E5F"/>
    <w:rsid w:val="00FC1A95"/>
    <w:rsid w:val="00FC56DE"/>
    <w:rsid w:val="00FC6700"/>
    <w:rsid w:val="00FC684B"/>
    <w:rsid w:val="00FD3265"/>
    <w:rsid w:val="00FD5F92"/>
    <w:rsid w:val="00FD66F9"/>
    <w:rsid w:val="00FD78F8"/>
    <w:rsid w:val="00FE2F78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3/Makroanal&#253;za%20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581433637284705E-2"/>
          <c:y val="3.9582348305752559E-2"/>
          <c:w val="0.93508633063154345"/>
          <c:h val="0.731303613644050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'Měnové podmínky 1'!$C$5</c:f>
              <c:strCache>
                <c:ptCount val="1"/>
                <c:pt idx="0">
                  <c:v>2T repo sazba</c:v>
                </c:pt>
              </c:strCache>
            </c:strRef>
          </c:tx>
          <c:spPr>
            <a:solidFill>
              <a:srgbClr val="B8BBC0"/>
            </a:solidFill>
          </c:spPr>
          <c:invertIfNegative val="0"/>
          <c:cat>
            <c:multiLvlStrRef>
              <c:f>'Měnové podmínky 1'!$A$30:$B$98</c:f>
              <c:multiLvlStrCache>
                <c:ptCount val="6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  <c:pt idx="63">
                    <c:v>4</c:v>
                  </c:pt>
                  <c:pt idx="64">
                    <c:v>5</c:v>
                  </c:pt>
                  <c:pt idx="65">
                    <c:v>6</c:v>
                  </c:pt>
                  <c:pt idx="66">
                    <c:v>7</c:v>
                  </c:pt>
                  <c:pt idx="67">
                    <c:v>8</c:v>
                  </c:pt>
                  <c:pt idx="68">
                    <c:v>9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1'!$C$30:$C$98</c:f>
              <c:numCache>
                <c:formatCode>General</c:formatCode>
                <c:ptCount val="69"/>
                <c:pt idx="0">
                  <c:v>2</c:v>
                </c:pt>
                <c:pt idx="1">
                  <c:v>2.25</c:v>
                </c:pt>
                <c:pt idx="2">
                  <c:v>1</c:v>
                </c:pt>
                <c:pt idx="3">
                  <c:v>1</c:v>
                </c:pt>
                <c:pt idx="4">
                  <c:v>0.25</c:v>
                </c:pt>
                <c:pt idx="5">
                  <c:v>0.25</c:v>
                </c:pt>
                <c:pt idx="6">
                  <c:v>0.25</c:v>
                </c:pt>
                <c:pt idx="7">
                  <c:v>0.25</c:v>
                </c:pt>
                <c:pt idx="8">
                  <c:v>0.25</c:v>
                </c:pt>
                <c:pt idx="9">
                  <c:v>0.25</c:v>
                </c:pt>
                <c:pt idx="10">
                  <c:v>0.25</c:v>
                </c:pt>
                <c:pt idx="11">
                  <c:v>0.25</c:v>
                </c:pt>
                <c:pt idx="12">
                  <c:v>0.25</c:v>
                </c:pt>
                <c:pt idx="13">
                  <c:v>0.25</c:v>
                </c:pt>
                <c:pt idx="14">
                  <c:v>0.25</c:v>
                </c:pt>
                <c:pt idx="15">
                  <c:v>0.25</c:v>
                </c:pt>
                <c:pt idx="16">
                  <c:v>0.25</c:v>
                </c:pt>
                <c:pt idx="17">
                  <c:v>0.5</c:v>
                </c:pt>
                <c:pt idx="18">
                  <c:v>0.5</c:v>
                </c:pt>
                <c:pt idx="19">
                  <c:v>0.75</c:v>
                </c:pt>
                <c:pt idx="20">
                  <c:v>0.75</c:v>
                </c:pt>
                <c:pt idx="21">
                  <c:v>1.5</c:v>
                </c:pt>
                <c:pt idx="22">
                  <c:v>2.75</c:v>
                </c:pt>
                <c:pt idx="23">
                  <c:v>3.75</c:v>
                </c:pt>
                <c:pt idx="24">
                  <c:v>3.75</c:v>
                </c:pt>
                <c:pt idx="25">
                  <c:v>4.5</c:v>
                </c:pt>
                <c:pt idx="26">
                  <c:v>4.5</c:v>
                </c:pt>
                <c:pt idx="27">
                  <c:v>5</c:v>
                </c:pt>
                <c:pt idx="28">
                  <c:v>5.75</c:v>
                </c:pt>
                <c:pt idx="29">
                  <c:v>7</c:v>
                </c:pt>
                <c:pt idx="30">
                  <c:v>7</c:v>
                </c:pt>
                <c:pt idx="31">
                  <c:v>7</c:v>
                </c:pt>
                <c:pt idx="32">
                  <c:v>7</c:v>
                </c:pt>
                <c:pt idx="33">
                  <c:v>7</c:v>
                </c:pt>
                <c:pt idx="34">
                  <c:v>7</c:v>
                </c:pt>
                <c:pt idx="35">
                  <c:v>7</c:v>
                </c:pt>
                <c:pt idx="36">
                  <c:v>7</c:v>
                </c:pt>
                <c:pt idx="37">
                  <c:v>7</c:v>
                </c:pt>
                <c:pt idx="38">
                  <c:v>7</c:v>
                </c:pt>
                <c:pt idx="39" formatCode="###\ ###\ ###\ ###\ ##0.00;\-###\ ###\ ###\ ###\ ##0.00">
                  <c:v>7</c:v>
                </c:pt>
                <c:pt idx="40" formatCode="###\ ###\ ###\ ###\ ##0.00;\-###\ ###\ ###\ ###\ ##0.00">
                  <c:v>7</c:v>
                </c:pt>
                <c:pt idx="41" formatCode="###\ ###\ ###\ ###\ ##0.00;\-###\ ###\ ###\ ###\ ##0.00">
                  <c:v>7</c:v>
                </c:pt>
                <c:pt idx="42" formatCode="###\ ###\ ###\ ###\ ##0.00;\-###\ ###\ ###\ ###\ ##0.00">
                  <c:v>7</c:v>
                </c:pt>
                <c:pt idx="43" formatCode="###\ ###\ ###\ ###\ ##0.00;\-###\ ###\ ###\ ###\ ##0.00">
                  <c:v>7</c:v>
                </c:pt>
                <c:pt idx="44" formatCode="###\ ###\ ###\ ###\ ##0.00;\-###\ ###\ ###\ ###\ ##0.00">
                  <c:v>7</c:v>
                </c:pt>
                <c:pt idx="45" formatCode="###\ ###\ ###\ ###\ ##0.00;\-###\ ###\ ###\ ###\ ##0.00">
                  <c:v>7</c:v>
                </c:pt>
                <c:pt idx="46" formatCode="###\ ###\ ###\ ###\ ##0.00;\-###\ ###\ ###\ ###\ ##0.00">
                  <c:v>7</c:v>
                </c:pt>
                <c:pt idx="47" formatCode="###\ ###\ ###\ ###\ ##0.00;\-###\ ###\ ###\ ###\ ##0.00">
                  <c:v>6.75</c:v>
                </c:pt>
                <c:pt idx="48" formatCode="###\ ###\ ###\ ###\ ##0.00;\-###\ ###\ ###\ ###\ ##0.00">
                  <c:v>6.75</c:v>
                </c:pt>
                <c:pt idx="49" formatCode="###\ ###\ ###\ ###\ ##0.00;\-###\ ###\ ###\ ###\ ##0.00">
                  <c:v>6.25</c:v>
                </c:pt>
                <c:pt idx="50" formatCode="###\ ###\ ###\ ###\ ##0.00;\-###\ ###\ ###\ ###\ ##0.00">
                  <c:v>5.75</c:v>
                </c:pt>
                <c:pt idx="51" formatCode="###\ ###\ ###\ ###\ ##0.00;\-###\ ###\ ###\ ###\ ##0.00">
                  <c:v>5.75</c:v>
                </c:pt>
                <c:pt idx="52" formatCode="###\ ###\ ###\ ###\ ##0.00;\-###\ ###\ ###\ ###\ ##0.00">
                  <c:v>5.25</c:v>
                </c:pt>
                <c:pt idx="53" formatCode="###\ ###\ ###\ ###\ ##0.00;\-###\ ###\ ###\ ###\ ##0.00">
                  <c:v>4.75</c:v>
                </c:pt>
                <c:pt idx="54" formatCode="###\ ###\ ###\ ###\ ##0.00;\-###\ ###\ ###\ ###\ ##0.00">
                  <c:v>4.75</c:v>
                </c:pt>
                <c:pt idx="55" formatCode="###\ ###\ ###\ ###\ ##0.00;\-###\ ###\ ###\ ###\ ##0.00">
                  <c:v>4.5</c:v>
                </c:pt>
                <c:pt idx="56" formatCode="###\ ###\ ###\ ###\ ##0.00;\-###\ ###\ ###\ ###\ ##0.00">
                  <c:v>4.25</c:v>
                </c:pt>
                <c:pt idx="57" formatCode="###\ ###\ ###\ ###\ ##0.00;\-###\ ###\ ###\ ###\ ##0.00">
                  <c:v>4.25</c:v>
                </c:pt>
                <c:pt idx="58" formatCode="###\ ###\ ###\ ###\ ##0.00;\-###\ ###\ ###\ ###\ ##0.00">
                  <c:v>4</c:v>
                </c:pt>
                <c:pt idx="59" formatCode="###\ ###\ ###\ ###\ ##0.00;\-###\ ###\ ###\ ###\ ##0.00">
                  <c:v>4</c:v>
                </c:pt>
                <c:pt idx="60" formatCode="###\ ###\ ###\ ###\ ##0.00;\-###\ ###\ ###\ ###\ ##0.00">
                  <c:v>4</c:v>
                </c:pt>
                <c:pt idx="61" formatCode="###\ ###\ ###\ ###\ ##0.00;\-###\ ###\ ###\ ###\ ##0.00">
                  <c:v>3.75</c:v>
                </c:pt>
                <c:pt idx="62" formatCode="###\ ###\ ###\ ###\ ##0.00;\-###\ ###\ ###\ ###\ ##0.00">
                  <c:v>3.75</c:v>
                </c:pt>
                <c:pt idx="63" formatCode="###\ ###\ ###\ ###\ ##0.00;\-###\ ###\ ###\ ###\ ##0.00">
                  <c:v>3.75</c:v>
                </c:pt>
                <c:pt idx="64" formatCode="###\ ###\ ###\ ###\ ##0.00;\-###\ ###\ ###\ ###\ ##0.00">
                  <c:v>3.5</c:v>
                </c:pt>
                <c:pt idx="65" formatCode="###\ ###\ ###\ ###\ ##0.00;\-###\ ###\ ###\ ###\ ##0.00">
                  <c:v>3.5</c:v>
                </c:pt>
                <c:pt idx="66" formatCode="###\ ###\ ###\ ###\ ##0.00;\-###\ ###\ ###\ ###\ ##0.00">
                  <c:v>3.5</c:v>
                </c:pt>
                <c:pt idx="67" formatCode="###\ ###\ ###\ ###\ ##0.00;\-###\ ###\ ###\ ###\ ##0.00">
                  <c:v>3.5</c:v>
                </c:pt>
                <c:pt idx="68" formatCode="###\ ###\ ###\ ###\ ##0.00;\-###\ ###\ ###\ ###\ ##0.00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C4-4E60-B9A2-4279B5214D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axId val="271742464"/>
        <c:axId val="271744000"/>
      </c:barChart>
      <c:lineChart>
        <c:grouping val="standard"/>
        <c:varyColors val="0"/>
        <c:ser>
          <c:idx val="3"/>
          <c:order val="1"/>
          <c:tx>
            <c:strRef>
              <c:f>'Měnové podmínky 1'!$F$5</c:f>
              <c:strCache>
                <c:ptCount val="1"/>
                <c:pt idx="0">
                  <c:v>Průměrný výnos státních dluhopisů (2Y)</c:v>
                </c:pt>
              </c:strCache>
            </c:strRef>
          </c:tx>
          <c:spPr>
            <a:ln w="19050">
              <a:solidFill>
                <a:srgbClr val="86BF5E"/>
              </a:solidFill>
            </a:ln>
          </c:spPr>
          <c:marker>
            <c:symbol val="none"/>
          </c:marker>
          <c:cat>
            <c:multiLvlStrRef>
              <c:f>'Měnové podmínky 1'!$A$30:$B$98</c:f>
              <c:multiLvlStrCache>
                <c:ptCount val="6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  <c:pt idx="63">
                    <c:v>4</c:v>
                  </c:pt>
                  <c:pt idx="64">
                    <c:v>5</c:v>
                  </c:pt>
                  <c:pt idx="65">
                    <c:v>6</c:v>
                  </c:pt>
                  <c:pt idx="66">
                    <c:v>7</c:v>
                  </c:pt>
                  <c:pt idx="67">
                    <c:v>8</c:v>
                  </c:pt>
                  <c:pt idx="68">
                    <c:v>9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1'!$F$30:$F$98</c:f>
              <c:numCache>
                <c:formatCode>General</c:formatCode>
                <c:ptCount val="69"/>
                <c:pt idx="0">
                  <c:v>1.55</c:v>
                </c:pt>
                <c:pt idx="1">
                  <c:v>1.57</c:v>
                </c:pt>
                <c:pt idx="2">
                  <c:v>1.27</c:v>
                </c:pt>
                <c:pt idx="3">
                  <c:v>0.71</c:v>
                </c:pt>
                <c:pt idx="4">
                  <c:v>0.13</c:v>
                </c:pt>
                <c:pt idx="5">
                  <c:v>0.08</c:v>
                </c:pt>
                <c:pt idx="6">
                  <c:v>0.02</c:v>
                </c:pt>
                <c:pt idx="7">
                  <c:v>0.04</c:v>
                </c:pt>
                <c:pt idx="8">
                  <c:v>0.05</c:v>
                </c:pt>
                <c:pt idx="9">
                  <c:v>0</c:v>
                </c:pt>
                <c:pt idx="10">
                  <c:v>0.06</c:v>
                </c:pt>
                <c:pt idx="11">
                  <c:v>0.16</c:v>
                </c:pt>
                <c:pt idx="12">
                  <c:v>0.26</c:v>
                </c:pt>
                <c:pt idx="13">
                  <c:v>0.45</c:v>
                </c:pt>
                <c:pt idx="14">
                  <c:v>0.75</c:v>
                </c:pt>
                <c:pt idx="15">
                  <c:v>0.76</c:v>
                </c:pt>
                <c:pt idx="16">
                  <c:v>0.76</c:v>
                </c:pt>
                <c:pt idx="17">
                  <c:v>0.69</c:v>
                </c:pt>
                <c:pt idx="18">
                  <c:v>0.84</c:v>
                </c:pt>
                <c:pt idx="19">
                  <c:v>1.24</c:v>
                </c:pt>
                <c:pt idx="20">
                  <c:v>1.6</c:v>
                </c:pt>
                <c:pt idx="21">
                  <c:v>2.29</c:v>
                </c:pt>
                <c:pt idx="22">
                  <c:v>3</c:v>
                </c:pt>
                <c:pt idx="23">
                  <c:v>3.07</c:v>
                </c:pt>
                <c:pt idx="24">
                  <c:v>3.81</c:v>
                </c:pt>
                <c:pt idx="25">
                  <c:v>3.77</c:v>
                </c:pt>
                <c:pt idx="26">
                  <c:v>4.54</c:v>
                </c:pt>
                <c:pt idx="27">
                  <c:v>5.13</c:v>
                </c:pt>
                <c:pt idx="28">
                  <c:v>5.65</c:v>
                </c:pt>
                <c:pt idx="29">
                  <c:v>6.26</c:v>
                </c:pt>
                <c:pt idx="30">
                  <c:v>6.38</c:v>
                </c:pt>
                <c:pt idx="31">
                  <c:v>5.86</c:v>
                </c:pt>
                <c:pt idx="32">
                  <c:v>5.9</c:v>
                </c:pt>
                <c:pt idx="33">
                  <c:v>6.18</c:v>
                </c:pt>
                <c:pt idx="34">
                  <c:v>5.68</c:v>
                </c:pt>
                <c:pt idx="35">
                  <c:v>5.19</c:v>
                </c:pt>
                <c:pt idx="36" formatCode="###\ ###\ ###\ ###\ ##0.00;\-###\ ###\ ###\ ###\ ##0.00">
                  <c:v>5.3820143358172814</c:v>
                </c:pt>
                <c:pt idx="37" formatCode="###\ ###\ ###\ ###\ ##0.00;\-###\ ###\ ###\ ###\ ##0.00">
                  <c:v>5.5102623550618501</c:v>
                </c:pt>
                <c:pt idx="38" formatCode="###\ ###\ ###\ ###\ ##0.00;\-###\ ###\ ###\ ###\ ##0.00">
                  <c:v>5.2897725027111999</c:v>
                </c:pt>
                <c:pt idx="39" formatCode="###\ ###\ ###\ ###\ ##0.00;\-###\ ###\ ###\ ###\ ##0.00">
                  <c:v>5.4232360381175866</c:v>
                </c:pt>
                <c:pt idx="40" formatCode="###\ ###\ ###\ ###\ ##0.00;\-###\ ###\ ###\ ###\ ##0.00">
                  <c:v>5.4162815888395777</c:v>
                </c:pt>
                <c:pt idx="41" formatCode="###\ ###\ ###\ ###\ ##0.00;\-###\ ###\ ###\ ###\ ##0.00">
                  <c:v>5.3664752553650841</c:v>
                </c:pt>
                <c:pt idx="42" formatCode="###\ ###\ ###\ ###\ ##0.00;\-###\ ###\ ###\ ###\ ##0.00">
                  <c:v>5.2428078558777935</c:v>
                </c:pt>
                <c:pt idx="43" formatCode="###\ ###\ ###\ ###\ ##0.00;\-###\ ###\ ###\ ###\ ##0.00">
                  <c:v>5.1353490658602521</c:v>
                </c:pt>
                <c:pt idx="44" formatCode="###\ ###\ ###\ ###\ ##0.00;\-###\ ###\ ###\ ###\ ##0.00">
                  <c:v>5.0416686003519704</c:v>
                </c:pt>
                <c:pt idx="45" formatCode="###\ ###\ ###\ ###\ ##0.00;\-###\ ###\ ###\ ###\ ##0.00">
                  <c:v>5.0079198294298592</c:v>
                </c:pt>
                <c:pt idx="46" formatCode="###\ ###\ ###\ ###\ ##0.00;\-###\ ###\ ###\ ###\ ##0.00">
                  <c:v>4.8554647740100689</c:v>
                </c:pt>
                <c:pt idx="47" formatCode="###\ ###\ ###\ ###\ ##0.00;\-###\ ###\ ###\ ###\ ##0.00">
                  <c:v>4.6053753410259048</c:v>
                </c:pt>
                <c:pt idx="48" formatCode="###\ ###\ ###\ ###\ ##0.00;\-###\ ###\ ###\ ###\ ##0.00">
                  <c:v>4.2136537187056122</c:v>
                </c:pt>
                <c:pt idx="49" formatCode="###\ ###\ ###\ ###\ ##0.00;\-###\ ###\ ###\ ###\ ##0.00">
                  <c:v>3.7766020145670578</c:v>
                </c:pt>
                <c:pt idx="50" formatCode="###\ ###\ ###\ ###\ ##0.00;\-###\ ###\ ###\ ###\ ##0.00">
                  <c:v>3.7279261080474861</c:v>
                </c:pt>
                <c:pt idx="51" formatCode="###\ ###\ ###\ ###\ ##0.00;\-###\ ###\ ###\ ###\ ##0.00">
                  <c:v>4.0118973322405145</c:v>
                </c:pt>
                <c:pt idx="52" formatCode="###\ ###\ ###\ ###\ ##0.00;\-###\ ###\ ###\ ###\ ##0.00">
                  <c:v>4.1300681765456435</c:v>
                </c:pt>
                <c:pt idx="53" formatCode="###\ ###\ ###\ ###\ ##0.00;\-###\ ###\ ###\ ###\ ##0.00">
                  <c:v>4.2164856033630391</c:v>
                </c:pt>
                <c:pt idx="54" formatCode="###\ ###\ ###\ ###\ ##0.00;\-###\ ###\ ###\ ###\ ##0.00">
                  <c:v>3.9029960800170911</c:v>
                </c:pt>
                <c:pt idx="55" formatCode="###\ ###\ ###\ ###\ ##0.00;\-###\ ###\ ###\ ###\ ##0.00">
                  <c:v>3.6092171953235983</c:v>
                </c:pt>
                <c:pt idx="56" formatCode="###\ ###\ ###\ ###\ ##0.00;\-###\ ###\ ###\ ###\ ##0.00">
                  <c:v>3.5038942508225221</c:v>
                </c:pt>
                <c:pt idx="57" formatCode="###\ ###\ ###\ ###\ ##0.00;\-###\ ###\ ###\ ###\ ##0.00">
                  <c:v>3.5913124701621322</c:v>
                </c:pt>
                <c:pt idx="58" formatCode="###\ ###\ ###\ ###\ ##0.00;\-###\ ###\ ###\ ###\ ##0.00">
                  <c:v>3.6229260484095986</c:v>
                </c:pt>
                <c:pt idx="59" formatCode="###\ ###\ ###\ ###\ ##0.00;\-###\ ###\ ###\ ###\ ##0.00">
                  <c:v>3.633213073730468</c:v>
                </c:pt>
                <c:pt idx="60" formatCode="###\ ###\ ###\ ###\ ##0.00;\-###\ ###\ ###\ ###\ ##0.00">
                  <c:v>3.6198225590376429</c:v>
                </c:pt>
                <c:pt idx="61" formatCode="###\ ###\ ###\ ###\ ##0.00;\-###\ ###\ ###\ ###\ ##0.00">
                  <c:v>3.4995673098754891</c:v>
                </c:pt>
                <c:pt idx="62" formatCode="###\ ###\ ###\ ###\ ##0.00;\-###\ ###\ ###\ ###\ ##0.00">
                  <c:v>3.4362126025099986</c:v>
                </c:pt>
                <c:pt idx="63" formatCode="###\ ###\ ###\ ###\ ##0.00;\-###\ ###\ ###\ ###\ ##0.00">
                  <c:v>3.3165813662414552</c:v>
                </c:pt>
                <c:pt idx="64" formatCode="###\ ###\ ###\ ###\ ##0.00;\-###\ ###\ ###\ ###\ ##0.00">
                  <c:v>3.381600528900147</c:v>
                </c:pt>
                <c:pt idx="65" formatCode="###\ ###\ ###\ ###\ ##0.00;\-###\ ###\ ###\ ###\ ##0.00">
                  <c:v>3.473857271350679</c:v>
                </c:pt>
                <c:pt idx="66" formatCode="###\ ###\ ###\ ###\ ##0.00;\-###\ ###\ ###\ ###\ ##0.00">
                  <c:v>3.5190819740892496</c:v>
                </c:pt>
                <c:pt idx="67" formatCode="###\ ###\ ###\ ###\ ##0.00;\-###\ ###\ ###\ ###\ ##0.00">
                  <c:v>3.4836667416091198</c:v>
                </c:pt>
                <c:pt idx="68" formatCode="###\ ###\ ###\ ###\ ##0.00;\-###\ ###\ ###\ ###\ ##0.00">
                  <c:v>3.5436249291853472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4C4-4E60-B9A2-4279B5214D33}"/>
            </c:ext>
          </c:extLst>
        </c:ser>
        <c:ser>
          <c:idx val="1"/>
          <c:order val="2"/>
          <c:tx>
            <c:strRef>
              <c:f>'Měnové podmínky 1'!$D$5</c:f>
              <c:strCache>
                <c:ptCount val="1"/>
                <c:pt idx="0">
                  <c:v>PRIBOR (3M)</c:v>
                </c:pt>
              </c:strCache>
            </c:strRef>
          </c:tx>
          <c:spPr>
            <a:ln w="19050">
              <a:solidFill>
                <a:srgbClr val="009CB5"/>
              </a:solidFill>
            </a:ln>
          </c:spPr>
          <c:marker>
            <c:symbol val="none"/>
          </c:marker>
          <c:cat>
            <c:multiLvlStrRef>
              <c:f>'Měnové podmínky 1'!$A$30:$B$98</c:f>
              <c:multiLvlStrCache>
                <c:ptCount val="6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  <c:pt idx="63">
                    <c:v>4</c:v>
                  </c:pt>
                  <c:pt idx="64">
                    <c:v>5</c:v>
                  </c:pt>
                  <c:pt idx="65">
                    <c:v>6</c:v>
                  </c:pt>
                  <c:pt idx="66">
                    <c:v>7</c:v>
                  </c:pt>
                  <c:pt idx="67">
                    <c:v>8</c:v>
                  </c:pt>
                  <c:pt idx="68">
                    <c:v>9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1'!$D$30:$D$98</c:f>
              <c:numCache>
                <c:formatCode>General</c:formatCode>
                <c:ptCount val="69"/>
                <c:pt idx="0">
                  <c:v>2.17</c:v>
                </c:pt>
                <c:pt idx="1">
                  <c:v>2.34</c:v>
                </c:pt>
                <c:pt idx="2">
                  <c:v>2</c:v>
                </c:pt>
                <c:pt idx="3">
                  <c:v>0.97</c:v>
                </c:pt>
                <c:pt idx="4">
                  <c:v>0.46</c:v>
                </c:pt>
                <c:pt idx="5">
                  <c:v>0.34</c:v>
                </c:pt>
                <c:pt idx="6">
                  <c:v>0.34</c:v>
                </c:pt>
                <c:pt idx="7">
                  <c:v>0.34</c:v>
                </c:pt>
                <c:pt idx="8">
                  <c:v>0.34</c:v>
                </c:pt>
                <c:pt idx="9">
                  <c:v>0.35</c:v>
                </c:pt>
                <c:pt idx="10">
                  <c:v>0.35</c:v>
                </c:pt>
                <c:pt idx="11">
                  <c:v>0.35</c:v>
                </c:pt>
                <c:pt idx="12">
                  <c:v>0.36</c:v>
                </c:pt>
                <c:pt idx="13">
                  <c:v>0.36</c:v>
                </c:pt>
                <c:pt idx="14">
                  <c:v>0.36</c:v>
                </c:pt>
                <c:pt idx="15">
                  <c:v>0.36</c:v>
                </c:pt>
                <c:pt idx="16">
                  <c:v>0.37</c:v>
                </c:pt>
                <c:pt idx="17">
                  <c:v>0.48</c:v>
                </c:pt>
                <c:pt idx="18">
                  <c:v>0.69</c:v>
                </c:pt>
                <c:pt idx="19">
                  <c:v>0.94</c:v>
                </c:pt>
                <c:pt idx="20">
                  <c:v>1.1100000000000001</c:v>
                </c:pt>
                <c:pt idx="21">
                  <c:v>2.02</c:v>
                </c:pt>
                <c:pt idx="22">
                  <c:v>2.97</c:v>
                </c:pt>
                <c:pt idx="23">
                  <c:v>3.5</c:v>
                </c:pt>
                <c:pt idx="24">
                  <c:v>4.21</c:v>
                </c:pt>
                <c:pt idx="25">
                  <c:v>4.6900000000000004</c:v>
                </c:pt>
                <c:pt idx="26">
                  <c:v>4.8600000000000003</c:v>
                </c:pt>
                <c:pt idx="27">
                  <c:v>5.36</c:v>
                </c:pt>
                <c:pt idx="28">
                  <c:v>5.97</c:v>
                </c:pt>
                <c:pt idx="29">
                  <c:v>6.64</c:v>
                </c:pt>
                <c:pt idx="30">
                  <c:v>7.3</c:v>
                </c:pt>
                <c:pt idx="31">
                  <c:v>7.27</c:v>
                </c:pt>
                <c:pt idx="32">
                  <c:v>7.25</c:v>
                </c:pt>
                <c:pt idx="33">
                  <c:v>7.28</c:v>
                </c:pt>
                <c:pt idx="34">
                  <c:v>7.27</c:v>
                </c:pt>
                <c:pt idx="35">
                  <c:v>7.26</c:v>
                </c:pt>
                <c:pt idx="36" formatCode="###\ ###\ ###\ ###\ ##0.00;\-###\ ###\ ###\ ###\ ##0.00">
                  <c:v>7.2161904761904765</c:v>
                </c:pt>
                <c:pt idx="37" formatCode="###\ ###\ ###\ ###\ ##0.00;\-###\ ###\ ###\ ###\ ##0.00">
                  <c:v>7.2010526315789471</c:v>
                </c:pt>
                <c:pt idx="38" formatCode="###\ ###\ ###\ ###\ ##0.00;\-###\ ###\ ###\ ###\ ##0.00">
                  <c:v>7.1931818181818183</c:v>
                </c:pt>
                <c:pt idx="39" formatCode="###\ ###\ ###\ ###\ ##0.00;\-###\ ###\ ###\ ###\ ##0.00">
                  <c:v>7.1788888888888893</c:v>
                </c:pt>
                <c:pt idx="40" formatCode="###\ ###\ ###\ ###\ ##0.00;\-###\ ###\ ###\ ###\ ##0.00">
                  <c:v>7.1790476190476191</c:v>
                </c:pt>
                <c:pt idx="41" formatCode="###\ ###\ ###\ ###\ ##0.00;\-###\ ###\ ###\ ###\ ##0.00">
                  <c:v>7.1472727272727274</c:v>
                </c:pt>
                <c:pt idx="42" formatCode="###\ ###\ ###\ ###\ ##0.00;\-###\ ###\ ###\ ###\ ##0.00">
                  <c:v>7.1121052631578952</c:v>
                </c:pt>
                <c:pt idx="43" formatCode="###\ ###\ ###\ ###\ ##0.00;\-###\ ###\ ###\ ###\ ##0.00">
                  <c:v>7.1030434782608696</c:v>
                </c:pt>
                <c:pt idx="44" formatCode="###\ ###\ ###\ ###\ ##0.00;\-###\ ###\ ###\ ###\ ##0.00">
                  <c:v>7.0895000000000001</c:v>
                </c:pt>
                <c:pt idx="45" formatCode="###\ ###\ ###\ ###\ ##0.00;\-###\ ###\ ###\ ###\ ##0.00">
                  <c:v>7.0472727272727269</c:v>
                </c:pt>
                <c:pt idx="46" formatCode="###\ ###\ ###\ ###\ ##0.00;\-###\ ###\ ###\ ###\ ##0.00">
                  <c:v>7.062380952380952</c:v>
                </c:pt>
                <c:pt idx="47" formatCode="###\ ###\ ###\ ###\ ##0.00;\-###\ ###\ ###\ ###\ ##0.00">
                  <c:v>6.9663157894736845</c:v>
                </c:pt>
                <c:pt idx="48" formatCode="###\ ###\ ###\ ###\ ##0.00;\-###\ ###\ ###\ ###\ ##0.00">
                  <c:v>6.6340909090909088</c:v>
                </c:pt>
                <c:pt idx="49" formatCode="###\ ###\ ###\ ###\ ##0.00;\-###\ ###\ ###\ ###\ ##0.00">
                  <c:v>6.2019047619047623</c:v>
                </c:pt>
                <c:pt idx="50" formatCode="###\ ###\ ###\ ###\ ##0.00;\-###\ ###\ ###\ ###\ ##0.00">
                  <c:v>5.8363157894736846</c:v>
                </c:pt>
                <c:pt idx="51" formatCode="###\ ###\ ###\ ###\ ##0.00;\-###\ ###\ ###\ ###\ ##0.00">
                  <c:v>5.5461904761904766</c:v>
                </c:pt>
                <c:pt idx="52" formatCode="###\ ###\ ###\ ###\ ##0.00;\-###\ ###\ ###\ ###\ ##0.00">
                  <c:v>5.1704761904761902</c:v>
                </c:pt>
                <c:pt idx="53" formatCode="###\ ###\ ###\ ###\ ##0.00;\-###\ ###\ ###\ ###\ ##0.00">
                  <c:v>5.0274999999999999</c:v>
                </c:pt>
                <c:pt idx="54" formatCode="###\ ###\ ###\ ###\ ##0.00;\-###\ ###\ ###\ ###\ ##0.00">
                  <c:v>4.6090909090909093</c:v>
                </c:pt>
                <c:pt idx="55" formatCode="###\ ###\ ###\ ###\ ##0.00;\-###\ ###\ ###\ ###\ ##0.00">
                  <c:v>4.4118181818181821</c:v>
                </c:pt>
                <c:pt idx="56" formatCode="###\ ###\ ###\ ###\ ##0.00;\-###\ ###\ ###\ ###\ ##0.00">
                  <c:v>4.3004761904761901</c:v>
                </c:pt>
                <c:pt idx="57" formatCode="###\ ###\ ###\ ###\ ##0.00;\-###\ ###\ ###\ ###\ ##0.00">
                  <c:v>4.1322727272727269</c:v>
                </c:pt>
                <c:pt idx="58" formatCode="###\ ###\ ###\ ###\ ##0.00;\-###\ ###\ ###\ ###\ ##0.00">
                  <c:v>3.9452380952380954</c:v>
                </c:pt>
                <c:pt idx="59" formatCode="###\ ###\ ###\ ###\ ##0.00;\-###\ ###\ ###\ ###\ ##0.00">
                  <c:v>3.9066666666666667</c:v>
                </c:pt>
                <c:pt idx="60" formatCode="###\ ###\ ###\ ###\ ##0.00;\-###\ ###\ ###\ ###\ ##0.00">
                  <c:v>3.8804545454545454</c:v>
                </c:pt>
                <c:pt idx="61" formatCode="###\ ###\ ###\ ###\ ##0.00;\-###\ ###\ ###\ ###\ ##0.00">
                  <c:v>3.756842105263158</c:v>
                </c:pt>
                <c:pt idx="62" formatCode="###\ ###\ ###\ ###\ ##0.00;\-###\ ###\ ###\ ###\ ##0.00">
                  <c:v>3.7164999999999999</c:v>
                </c:pt>
                <c:pt idx="63" formatCode="###\ ###\ ###\ ###\ ##0.00;\-###\ ###\ ###\ ###\ ##0.00">
                  <c:v>3.68</c:v>
                </c:pt>
                <c:pt idx="64" formatCode="###\ ###\ ###\ ###\ ##0.00;\-###\ ###\ ###\ ###\ ##0.00">
                  <c:v>3.5357894736842104</c:v>
                </c:pt>
                <c:pt idx="65" formatCode="###\ ###\ ###\ ###\ ##0.00;\-###\ ###\ ###\ ###\ ##0.00">
                  <c:v>3.5114999999999998</c:v>
                </c:pt>
                <c:pt idx="66" formatCode="###\ ###\ ###\ ###\ ##0.00;\-###\ ###\ ###\ ###\ ##0.00">
                  <c:v>3.4930434782608697</c:v>
                </c:pt>
                <c:pt idx="67" formatCode="###\ ###\ ###\ ###\ ##0.00;\-###\ ###\ ###\ ###\ ##0.00">
                  <c:v>3.5024999999999999</c:v>
                </c:pt>
                <c:pt idx="68" formatCode="###\ ###\ ###\ ###\ ##0.00;\-###\ ###\ ###\ ###\ ##0.00">
                  <c:v>3.4909523809523808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4C4-4E60-B9A2-4279B5214D33}"/>
            </c:ext>
          </c:extLst>
        </c:ser>
        <c:ser>
          <c:idx val="4"/>
          <c:order val="3"/>
          <c:tx>
            <c:strRef>
              <c:f>'Měnové podmínky 1'!$G$5</c:f>
              <c:strCache>
                <c:ptCount val="1"/>
                <c:pt idx="0">
                  <c:v>Průměrný výnos státních dluhopisů (5Y)</c:v>
                </c:pt>
              </c:strCache>
            </c:strRef>
          </c:tx>
          <c:spPr>
            <a:ln w="19050">
              <a:solidFill>
                <a:srgbClr val="CC9610"/>
              </a:solidFill>
            </a:ln>
          </c:spPr>
          <c:marker>
            <c:symbol val="none"/>
          </c:marker>
          <c:cat>
            <c:multiLvlStrRef>
              <c:f>'Měnové podmínky 1'!$A$30:$B$98</c:f>
              <c:multiLvlStrCache>
                <c:ptCount val="6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  <c:pt idx="63">
                    <c:v>4</c:v>
                  </c:pt>
                  <c:pt idx="64">
                    <c:v>5</c:v>
                  </c:pt>
                  <c:pt idx="65">
                    <c:v>6</c:v>
                  </c:pt>
                  <c:pt idx="66">
                    <c:v>7</c:v>
                  </c:pt>
                  <c:pt idx="67">
                    <c:v>8</c:v>
                  </c:pt>
                  <c:pt idx="68">
                    <c:v>9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1'!$G$30:$G$98</c:f>
              <c:numCache>
                <c:formatCode>General</c:formatCode>
                <c:ptCount val="69"/>
                <c:pt idx="0">
                  <c:v>1.51</c:v>
                </c:pt>
                <c:pt idx="1">
                  <c:v>1.52</c:v>
                </c:pt>
                <c:pt idx="2">
                  <c:v>1.23</c:v>
                </c:pt>
                <c:pt idx="3">
                  <c:v>1.06</c:v>
                </c:pt>
                <c:pt idx="4">
                  <c:v>0.56999999999999995</c:v>
                </c:pt>
                <c:pt idx="5">
                  <c:v>0.52</c:v>
                </c:pt>
                <c:pt idx="6">
                  <c:v>0.52</c:v>
                </c:pt>
                <c:pt idx="7">
                  <c:v>0.57999999999999996</c:v>
                </c:pt>
                <c:pt idx="8">
                  <c:v>0.57999999999999996</c:v>
                </c:pt>
                <c:pt idx="9">
                  <c:v>0.54</c:v>
                </c:pt>
                <c:pt idx="10">
                  <c:v>0.66</c:v>
                </c:pt>
                <c:pt idx="11">
                  <c:v>0.8</c:v>
                </c:pt>
                <c:pt idx="12">
                  <c:v>0.82</c:v>
                </c:pt>
                <c:pt idx="13">
                  <c:v>1.06</c:v>
                </c:pt>
                <c:pt idx="14">
                  <c:v>1.4</c:v>
                </c:pt>
                <c:pt idx="15">
                  <c:v>1.43</c:v>
                </c:pt>
                <c:pt idx="16">
                  <c:v>1.47</c:v>
                </c:pt>
                <c:pt idx="17">
                  <c:v>1.55</c:v>
                </c:pt>
                <c:pt idx="18">
                  <c:v>1.63</c:v>
                </c:pt>
                <c:pt idx="19">
                  <c:v>1.68</c:v>
                </c:pt>
                <c:pt idx="20">
                  <c:v>1.87</c:v>
                </c:pt>
                <c:pt idx="21">
                  <c:v>2.37</c:v>
                </c:pt>
                <c:pt idx="22">
                  <c:v>2.84</c:v>
                </c:pt>
                <c:pt idx="23">
                  <c:v>2.84</c:v>
                </c:pt>
                <c:pt idx="24">
                  <c:v>3.36</c:v>
                </c:pt>
                <c:pt idx="25">
                  <c:v>3.2</c:v>
                </c:pt>
                <c:pt idx="26">
                  <c:v>3.85</c:v>
                </c:pt>
                <c:pt idx="27">
                  <c:v>4.54</c:v>
                </c:pt>
                <c:pt idx="28">
                  <c:v>4.99</c:v>
                </c:pt>
                <c:pt idx="29">
                  <c:v>5.49</c:v>
                </c:pt>
                <c:pt idx="30">
                  <c:v>5.12</c:v>
                </c:pt>
                <c:pt idx="31">
                  <c:v>4.67</c:v>
                </c:pt>
                <c:pt idx="32">
                  <c:v>5.0599999999999996</c:v>
                </c:pt>
                <c:pt idx="33">
                  <c:v>5.69</c:v>
                </c:pt>
                <c:pt idx="34">
                  <c:v>5.31</c:v>
                </c:pt>
                <c:pt idx="35">
                  <c:v>4.9000000000000004</c:v>
                </c:pt>
                <c:pt idx="36" formatCode="###\ ###\ ###\ ###\ ##0.00;\-###\ ###\ ###\ ###\ ##0.00">
                  <c:v>4.7307064721228871</c:v>
                </c:pt>
                <c:pt idx="37" formatCode="###\ ###\ ###\ ###\ ##0.00;\-###\ ###\ ###\ ###\ ##0.00">
                  <c:v>4.869274267276765</c:v>
                </c:pt>
                <c:pt idx="38" formatCode="###\ ###\ ###\ ###\ ##0.00;\-###\ ###\ ###\ ###\ ##0.00">
                  <c:v>4.8901662581800389</c:v>
                </c:pt>
                <c:pt idx="39" formatCode="###\ ###\ ###\ ###\ ##0.00;\-###\ ###\ ###\ ###\ ##0.00">
                  <c:v>4.9165403661897455</c:v>
                </c:pt>
                <c:pt idx="40" formatCode="###\ ###\ ###\ ###\ ##0.00;\-###\ ###\ ###\ ###\ ##0.00">
                  <c:v>4.8278684891401031</c:v>
                </c:pt>
                <c:pt idx="41" formatCode="###\ ###\ ###\ ###\ ##0.00;\-###\ ###\ ###\ ###\ ##0.00">
                  <c:v>4.641252073600076</c:v>
                </c:pt>
                <c:pt idx="42" formatCode="###\ ###\ ###\ ###\ ##0.00;\-###\ ###\ ###\ ###\ ##0.00">
                  <c:v>4.3712476122939803</c:v>
                </c:pt>
                <c:pt idx="43" formatCode="###\ ###\ ###\ ###\ ##0.00;\-###\ ###\ ###\ ###\ ##0.00">
                  <c:v>4.4394883944569479</c:v>
                </c:pt>
                <c:pt idx="44" formatCode="###\ ###\ ###\ ###\ ##0.00;\-###\ ###\ ###\ ###\ ##0.00">
                  <c:v>4.5697569170379646</c:v>
                </c:pt>
                <c:pt idx="45" formatCode="###\ ###\ ###\ ###\ ##0.00;\-###\ ###\ ###\ ###\ ##0.00">
                  <c:v>4.6213398432367514</c:v>
                </c:pt>
                <c:pt idx="46" formatCode="###\ ###\ ###\ ###\ ##0.00;\-###\ ###\ ###\ ###\ ##0.00">
                  <c:v>4.3189525391351618</c:v>
                </c:pt>
                <c:pt idx="47" formatCode="###\ ###\ ###\ ###\ ##0.00;\-###\ ###\ ###\ ###\ ##0.00">
                  <c:v>3.9581509254616192</c:v>
                </c:pt>
                <c:pt idx="48" formatCode="###\ ###\ ###\ ###\ ##0.00;\-###\ ###\ ###\ ###\ ##0.00">
                  <c:v>3.7948081133062201</c:v>
                </c:pt>
                <c:pt idx="49" formatCode="###\ ###\ ###\ ###\ ##0.00;\-###\ ###\ ###\ ###\ ##0.00">
                  <c:v>3.5373832658022923</c:v>
                </c:pt>
                <c:pt idx="50" formatCode="###\ ###\ ###\ ###\ ##0.00;\-###\ ###\ ###\ ###\ ##0.00">
                  <c:v>3.5659496523361214</c:v>
                </c:pt>
                <c:pt idx="51" formatCode="###\ ###\ ###\ ###\ ##0.00;\-###\ ###\ ###\ ###\ ##0.00">
                  <c:v>4.0341267380705332</c:v>
                </c:pt>
                <c:pt idx="52" formatCode="###\ ###\ ###\ ###\ ##0.00;\-###\ ###\ ###\ ###\ ##0.00">
                  <c:v>4.0872759187026269</c:v>
                </c:pt>
                <c:pt idx="53" formatCode="###\ ###\ ###\ ###\ ##0.00;\-###\ ###\ ###\ ###\ ##0.00">
                  <c:v>4.1227102073974615</c:v>
                </c:pt>
                <c:pt idx="54" formatCode="###\ ###\ ###\ ###\ ##0.00;\-###\ ###\ ###\ ###\ ##0.00">
                  <c:v>3.7623325475565603</c:v>
                </c:pt>
                <c:pt idx="55" formatCode="###\ ###\ ###\ ###\ ##0.00;\-###\ ###\ ###\ ###\ ##0.00">
                  <c:v>3.5039129182503443</c:v>
                </c:pt>
                <c:pt idx="56" formatCode="###\ ###\ ###\ ###\ ##0.00;\-###\ ###\ ###\ ###\ ##0.00">
                  <c:v>3.4678035691094786</c:v>
                </c:pt>
                <c:pt idx="57" formatCode="###\ ###\ ###\ ###\ ##0.00;\-###\ ###\ ###\ ###\ ##0.00">
                  <c:v>3.6478032298510006</c:v>
                </c:pt>
                <c:pt idx="58" formatCode="###\ ###\ ###\ ###\ ##0.00;\-###\ ###\ ###\ ###\ ##0.00">
                  <c:v>3.6973093706088598</c:v>
                </c:pt>
                <c:pt idx="59" formatCode="###\ ###\ ###\ ###\ ##0.00;\-###\ ###\ ###\ ###\ ##0.00">
                  <c:v>3.7325675120007555</c:v>
                </c:pt>
                <c:pt idx="60" formatCode="###\ ###\ ###\ ###\ ##0.00;\-###\ ###\ ###\ ###\ ##0.00">
                  <c:v>3.7588141404146134</c:v>
                </c:pt>
                <c:pt idx="61" formatCode="###\ ###\ ###\ ###\ ##0.00;\-###\ ###\ ###\ ###\ ##0.00">
                  <c:v>3.6352823803920744</c:v>
                </c:pt>
                <c:pt idx="62" formatCode="###\ ###\ ###\ ###\ ##0.00;\-###\ ###\ ###\ ###\ ##0.00">
                  <c:v>3.7899252239626939</c:v>
                </c:pt>
                <c:pt idx="63" formatCode="###\ ###\ ###\ ###\ ##0.00;\-###\ ###\ ###\ ###\ ##0.00">
                  <c:v>3.6082305577112832</c:v>
                </c:pt>
                <c:pt idx="64" formatCode="###\ ###\ ###\ ###\ ##0.00;\-###\ ###\ ###\ ###\ ##0.00">
                  <c:v>3.6407699215316769</c:v>
                </c:pt>
                <c:pt idx="65" formatCode="###\ ###\ ###\ ###\ ##0.00;\-###\ ###\ ###\ ###\ ##0.00">
                  <c:v>3.7391957632436612</c:v>
                </c:pt>
                <c:pt idx="66" formatCode="###\ ###\ ###\ ###\ ##0.00;\-###\ ###\ ###\ ###\ ##0.00">
                  <c:v>3.8233096920115157</c:v>
                </c:pt>
                <c:pt idx="67" formatCode="###\ ###\ ###\ ###\ ##0.00;\-###\ ###\ ###\ ###\ ##0.00">
                  <c:v>3.8536075264749683</c:v>
                </c:pt>
                <c:pt idx="68" formatCode="###\ ###\ ###\ ###\ ##0.00;\-###\ ###\ ###\ ###\ ##0.00">
                  <c:v>3.9325922037802039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4C4-4E60-B9A2-4279B5214D33}"/>
            </c:ext>
          </c:extLst>
        </c:ser>
        <c:ser>
          <c:idx val="2"/>
          <c:order val="4"/>
          <c:tx>
            <c:strRef>
              <c:f>'Měnové podmínky 1'!$E$5</c:f>
              <c:strCache>
                <c:ptCount val="1"/>
                <c:pt idx="0">
                  <c:v>PRIBOR (1Y)</c:v>
                </c:pt>
              </c:strCache>
            </c:strRef>
          </c:tx>
          <c:spPr>
            <a:ln w="19050">
              <a:solidFill>
                <a:srgbClr val="BC5B80"/>
              </a:solidFill>
            </a:ln>
          </c:spPr>
          <c:marker>
            <c:symbol val="none"/>
          </c:marker>
          <c:cat>
            <c:multiLvlStrRef>
              <c:f>'Měnové podmínky 1'!$A$30:$B$98</c:f>
              <c:multiLvlStrCache>
                <c:ptCount val="6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  <c:pt idx="63">
                    <c:v>4</c:v>
                  </c:pt>
                  <c:pt idx="64">
                    <c:v>5</c:v>
                  </c:pt>
                  <c:pt idx="65">
                    <c:v>6</c:v>
                  </c:pt>
                  <c:pt idx="66">
                    <c:v>7</c:v>
                  </c:pt>
                  <c:pt idx="67">
                    <c:v>8</c:v>
                  </c:pt>
                  <c:pt idx="68">
                    <c:v>9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1'!$E$30:$E$98</c:f>
              <c:numCache>
                <c:formatCode>General</c:formatCode>
                <c:ptCount val="69"/>
                <c:pt idx="0">
                  <c:v>2.27</c:v>
                </c:pt>
                <c:pt idx="1">
                  <c:v>2.42</c:v>
                </c:pt>
                <c:pt idx="2">
                  <c:v>2.0099999999999998</c:v>
                </c:pt>
                <c:pt idx="3">
                  <c:v>0.92</c:v>
                </c:pt>
                <c:pt idx="4">
                  <c:v>0.51</c:v>
                </c:pt>
                <c:pt idx="5">
                  <c:v>0.43</c:v>
                </c:pt>
                <c:pt idx="6">
                  <c:v>0.43</c:v>
                </c:pt>
                <c:pt idx="7">
                  <c:v>0.43</c:v>
                </c:pt>
                <c:pt idx="8">
                  <c:v>0.44</c:v>
                </c:pt>
                <c:pt idx="9">
                  <c:v>0.43</c:v>
                </c:pt>
                <c:pt idx="10">
                  <c:v>0.44</c:v>
                </c:pt>
                <c:pt idx="11">
                  <c:v>0.49</c:v>
                </c:pt>
                <c:pt idx="12">
                  <c:v>0.49</c:v>
                </c:pt>
                <c:pt idx="13">
                  <c:v>0.54</c:v>
                </c:pt>
                <c:pt idx="14">
                  <c:v>0.56000000000000005</c:v>
                </c:pt>
                <c:pt idx="15">
                  <c:v>0.56000000000000005</c:v>
                </c:pt>
                <c:pt idx="16">
                  <c:v>0.67</c:v>
                </c:pt>
                <c:pt idx="17">
                  <c:v>0.78</c:v>
                </c:pt>
                <c:pt idx="18">
                  <c:v>1</c:v>
                </c:pt>
                <c:pt idx="19">
                  <c:v>1.3</c:v>
                </c:pt>
                <c:pt idx="20">
                  <c:v>1.52</c:v>
                </c:pt>
                <c:pt idx="21">
                  <c:v>2.44</c:v>
                </c:pt>
                <c:pt idx="22">
                  <c:v>3.5</c:v>
                </c:pt>
                <c:pt idx="23">
                  <c:v>3.96</c:v>
                </c:pt>
                <c:pt idx="24">
                  <c:v>4.55</c:v>
                </c:pt>
                <c:pt idx="25">
                  <c:v>4.87</c:v>
                </c:pt>
                <c:pt idx="26">
                  <c:v>5.12</c:v>
                </c:pt>
                <c:pt idx="27">
                  <c:v>5.74</c:v>
                </c:pt>
                <c:pt idx="28">
                  <c:v>6.33</c:v>
                </c:pt>
                <c:pt idx="29">
                  <c:v>7.02</c:v>
                </c:pt>
                <c:pt idx="30">
                  <c:v>7.55</c:v>
                </c:pt>
                <c:pt idx="31">
                  <c:v>7.48</c:v>
                </c:pt>
                <c:pt idx="32">
                  <c:v>7.44</c:v>
                </c:pt>
                <c:pt idx="33">
                  <c:v>7.45</c:v>
                </c:pt>
                <c:pt idx="34">
                  <c:v>7.39</c:v>
                </c:pt>
                <c:pt idx="35">
                  <c:v>7.28</c:v>
                </c:pt>
                <c:pt idx="36" formatCode="###\ ###\ ###\ ###\ ##0.00;\-###\ ###\ ###\ ###\ ##0.00">
                  <c:v>7.2480952380952379</c:v>
                </c:pt>
                <c:pt idx="37" formatCode="###\ ###\ ###\ ###\ ##0.00;\-###\ ###\ ###\ ###\ ##0.00">
                  <c:v>7.2326315789473687</c:v>
                </c:pt>
                <c:pt idx="38" formatCode="###\ ###\ ###\ ###\ ##0.00;\-###\ ###\ ###\ ###\ ##0.00">
                  <c:v>7.2263636363636365</c:v>
                </c:pt>
                <c:pt idx="39" formatCode="###\ ###\ ###\ ###\ ##0.00;\-###\ ###\ ###\ ###\ ##0.00">
                  <c:v>7.2088888888888887</c:v>
                </c:pt>
                <c:pt idx="40" formatCode="###\ ###\ ###\ ###\ ##0.00;\-###\ ###\ ###\ ###\ ##0.00">
                  <c:v>7.196190476190476</c:v>
                </c:pt>
                <c:pt idx="41" formatCode="###\ ###\ ###\ ###\ ##0.00;\-###\ ###\ ###\ ###\ ##0.00">
                  <c:v>7.1377272727272727</c:v>
                </c:pt>
                <c:pt idx="42" formatCode="###\ ###\ ###\ ###\ ##0.00;\-###\ ###\ ###\ ###\ ##0.00">
                  <c:v>7.0289473684210524</c:v>
                </c:pt>
                <c:pt idx="43" formatCode="###\ ###\ ###\ ###\ ##0.00;\-###\ ###\ ###\ ###\ ##0.00">
                  <c:v>6.9473913043478257</c:v>
                </c:pt>
                <c:pt idx="44" formatCode="###\ ###\ ###\ ###\ ##0.00;\-###\ ###\ ###\ ###\ ##0.00">
                  <c:v>6.8470000000000004</c:v>
                </c:pt>
                <c:pt idx="45" formatCode="###\ ###\ ###\ ###\ ##0.00;\-###\ ###\ ###\ ###\ ##0.00">
                  <c:v>6.6090909090909093</c:v>
                </c:pt>
                <c:pt idx="46" formatCode="###\ ###\ ###\ ###\ ##0.00;\-###\ ###\ ###\ ###\ ##0.00">
                  <c:v>6.4771428571428569</c:v>
                </c:pt>
                <c:pt idx="47" formatCode="###\ ###\ ###\ ###\ ##0.00;\-###\ ###\ ###\ ###\ ##0.00">
                  <c:v>6.1873684210526312</c:v>
                </c:pt>
                <c:pt idx="48" formatCode="###\ ###\ ###\ ###\ ##0.00;\-###\ ###\ ###\ ###\ ##0.00">
                  <c:v>5.4690909090909088</c:v>
                </c:pt>
                <c:pt idx="49" formatCode="###\ ###\ ###\ ###\ ##0.00;\-###\ ###\ ###\ ###\ ##0.00">
                  <c:v>5.0338095238095235</c:v>
                </c:pt>
                <c:pt idx="50" formatCode="###\ ###\ ###\ ###\ ##0.00;\-###\ ###\ ###\ ###\ ##0.00">
                  <c:v>4.7994736842105263</c:v>
                </c:pt>
                <c:pt idx="51" formatCode="###\ ###\ ###\ ###\ ##0.00;\-###\ ###\ ###\ ###\ ##0.00">
                  <c:v>4.588571428571429</c:v>
                </c:pt>
                <c:pt idx="52" formatCode="###\ ###\ ###\ ###\ ##0.00;\-###\ ###\ ###\ ###\ ##0.00">
                  <c:v>4.6500000000000004</c:v>
                </c:pt>
                <c:pt idx="53" formatCode="###\ ###\ ###\ ###\ ##0.00;\-###\ ###\ ###\ ###\ ##0.00">
                  <c:v>4.5715000000000003</c:v>
                </c:pt>
                <c:pt idx="54" formatCode="###\ ###\ ###\ ###\ ##0.00;\-###\ ###\ ###\ ###\ ##0.00">
                  <c:v>4.2559090909090909</c:v>
                </c:pt>
                <c:pt idx="55" formatCode="###\ ###\ ###\ ###\ ##0.00;\-###\ ###\ ###\ ###\ ##0.00">
                  <c:v>3.8945454545454545</c:v>
                </c:pt>
                <c:pt idx="56" formatCode="###\ ###\ ###\ ###\ ##0.00;\-###\ ###\ ###\ ###\ ##0.00">
                  <c:v>3.7338095238095237</c:v>
                </c:pt>
                <c:pt idx="57" formatCode="###\ ###\ ###\ ###\ ##0.00;\-###\ ###\ ###\ ###\ ##0.00">
                  <c:v>3.6840909090909091</c:v>
                </c:pt>
                <c:pt idx="58" formatCode="###\ ###\ ###\ ###\ ##0.00;\-###\ ###\ ###\ ###\ ##0.00">
                  <c:v>3.6609523809523807</c:v>
                </c:pt>
                <c:pt idx="59" formatCode="###\ ###\ ###\ ###\ ##0.00;\-###\ ###\ ###\ ###\ ##0.00">
                  <c:v>3.6933333333333334</c:v>
                </c:pt>
                <c:pt idx="60" formatCode="###\ ###\ ###\ ###\ ##0.00;\-###\ ###\ ###\ ###\ ##0.00">
                  <c:v>3.6631818181818181</c:v>
                </c:pt>
                <c:pt idx="61" formatCode="###\ ###\ ###\ ###\ ##0.00;\-###\ ###\ ###\ ###\ ##0.00">
                  <c:v>3.5689473684210524</c:v>
                </c:pt>
                <c:pt idx="62" formatCode="###\ ###\ ###\ ###\ ##0.00;\-###\ ###\ ###\ ###\ ##0.00">
                  <c:v>3.5285000000000002</c:v>
                </c:pt>
                <c:pt idx="63" formatCode="###\ ###\ ###\ ###\ ##0.00;\-###\ ###\ ###\ ###\ ##0.00">
                  <c:v>3.443888888888889</c:v>
                </c:pt>
                <c:pt idx="64" formatCode="###\ ###\ ###\ ###\ ##0.00;\-###\ ###\ ###\ ###\ ##0.00">
                  <c:v>3.3726315789473684</c:v>
                </c:pt>
                <c:pt idx="65" formatCode="###\ ###\ ###\ ###\ ##0.00;\-###\ ###\ ###\ ###\ ##0.00">
                  <c:v>3.4104999999999999</c:v>
                </c:pt>
                <c:pt idx="66" formatCode="###\ ###\ ###\ ###\ ##0.00;\-###\ ###\ ###\ ###\ ##0.00">
                  <c:v>3.4582608695652173</c:v>
                </c:pt>
                <c:pt idx="67" formatCode="###\ ###\ ###\ ###\ ##0.00;\-###\ ###\ ###\ ###\ ##0.00">
                  <c:v>3.4815</c:v>
                </c:pt>
                <c:pt idx="68" formatCode="###\ ###\ ###\ ###\ ##0.00;\-###\ ###\ ###\ ###\ ##0.00">
                  <c:v>3.4776190476190476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4C4-4E60-B9A2-4279B5214D33}"/>
            </c:ext>
          </c:extLst>
        </c:ser>
        <c:ser>
          <c:idx val="5"/>
          <c:order val="5"/>
          <c:tx>
            <c:strRef>
              <c:f>'Měnové podmínky 1'!$H$5</c:f>
              <c:strCache>
                <c:ptCount val="1"/>
                <c:pt idx="0">
                  <c:v>Průměrný výnos státních dluhopisů (10Y)</c:v>
                </c:pt>
              </c:strCache>
            </c:strRef>
          </c:tx>
          <c:spPr>
            <a:ln w="19050">
              <a:solidFill>
                <a:srgbClr val="174F70"/>
              </a:solidFill>
            </a:ln>
          </c:spPr>
          <c:marker>
            <c:symbol val="none"/>
          </c:marker>
          <c:cat>
            <c:multiLvlStrRef>
              <c:f>'Měnové podmínky 1'!$A$30:$B$98</c:f>
              <c:multiLvlStrCache>
                <c:ptCount val="6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  <c:pt idx="63">
                    <c:v>4</c:v>
                  </c:pt>
                  <c:pt idx="64">
                    <c:v>5</c:v>
                  </c:pt>
                  <c:pt idx="65">
                    <c:v>6</c:v>
                  </c:pt>
                  <c:pt idx="66">
                    <c:v>7</c:v>
                  </c:pt>
                  <c:pt idx="67">
                    <c:v>8</c:v>
                  </c:pt>
                  <c:pt idx="68">
                    <c:v>9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1'!$H$30:$H$98</c:f>
              <c:numCache>
                <c:formatCode>General</c:formatCode>
                <c:ptCount val="69"/>
                <c:pt idx="0">
                  <c:v>1.62</c:v>
                </c:pt>
                <c:pt idx="1">
                  <c:v>1.47</c:v>
                </c:pt>
                <c:pt idx="2">
                  <c:v>1.28</c:v>
                </c:pt>
                <c:pt idx="3">
                  <c:v>1.28</c:v>
                </c:pt>
                <c:pt idx="4">
                  <c:v>0.92</c:v>
                </c:pt>
                <c:pt idx="5">
                  <c:v>0.86</c:v>
                </c:pt>
                <c:pt idx="6">
                  <c:v>0.86</c:v>
                </c:pt>
                <c:pt idx="7">
                  <c:v>0.95</c:v>
                </c:pt>
                <c:pt idx="8">
                  <c:v>0.98</c:v>
                </c:pt>
                <c:pt idx="9">
                  <c:v>0.94</c:v>
                </c:pt>
                <c:pt idx="10">
                  <c:v>1.1200000000000001</c:v>
                </c:pt>
                <c:pt idx="11">
                  <c:v>1.26</c:v>
                </c:pt>
                <c:pt idx="12">
                  <c:v>1.28</c:v>
                </c:pt>
                <c:pt idx="13">
                  <c:v>1.49</c:v>
                </c:pt>
                <c:pt idx="14">
                  <c:v>1.87</c:v>
                </c:pt>
                <c:pt idx="15">
                  <c:v>1.86</c:v>
                </c:pt>
                <c:pt idx="16">
                  <c:v>1.74</c:v>
                </c:pt>
                <c:pt idx="17">
                  <c:v>1.67</c:v>
                </c:pt>
                <c:pt idx="18">
                  <c:v>1.72</c:v>
                </c:pt>
                <c:pt idx="19">
                  <c:v>1.74</c:v>
                </c:pt>
                <c:pt idx="20">
                  <c:v>1.9</c:v>
                </c:pt>
                <c:pt idx="21">
                  <c:v>2.34</c:v>
                </c:pt>
                <c:pt idx="22">
                  <c:v>2.62</c:v>
                </c:pt>
                <c:pt idx="23">
                  <c:v>2.62</c:v>
                </c:pt>
                <c:pt idx="24">
                  <c:v>3.12</c:v>
                </c:pt>
                <c:pt idx="25">
                  <c:v>3.03</c:v>
                </c:pt>
                <c:pt idx="26">
                  <c:v>3.53</c:v>
                </c:pt>
                <c:pt idx="27">
                  <c:v>4.01</c:v>
                </c:pt>
                <c:pt idx="28">
                  <c:v>4.6100000000000003</c:v>
                </c:pt>
                <c:pt idx="29">
                  <c:v>5.12</c:v>
                </c:pt>
                <c:pt idx="30">
                  <c:v>4.4000000000000004</c:v>
                </c:pt>
                <c:pt idx="31">
                  <c:v>4.1100000000000003</c:v>
                </c:pt>
                <c:pt idx="32">
                  <c:v>4.72</c:v>
                </c:pt>
                <c:pt idx="33">
                  <c:v>5.52</c:v>
                </c:pt>
                <c:pt idx="34">
                  <c:v>5.1100000000000003</c:v>
                </c:pt>
                <c:pt idx="35">
                  <c:v>4.71</c:v>
                </c:pt>
                <c:pt idx="36" formatCode="###\ ###\ ###\ ###\ ##0.00;\-###\ ###\ ###\ ###\ ##0.00">
                  <c:v>4.4683071740930735</c:v>
                </c:pt>
                <c:pt idx="37" formatCode="###\ ###\ ###\ ###\ ##0.00;\-###\ ###\ ###\ ###\ ##0.00">
                  <c:v>4.6124456250457779</c:v>
                </c:pt>
                <c:pt idx="38" formatCode="###\ ###\ ###\ ###\ ##0.00;\-###\ ###\ ###\ ###\ ##0.00">
                  <c:v>4.6664316498532505</c:v>
                </c:pt>
                <c:pt idx="39" formatCode="###\ ###\ ###\ ###\ ##0.00;\-###\ ###\ ###\ ###\ ##0.00">
                  <c:v>4.6464031535593682</c:v>
                </c:pt>
                <c:pt idx="40" formatCode="###\ ###\ ###\ ###\ ##0.00;\-###\ ###\ ###\ ###\ ##0.00">
                  <c:v>4.4999821517871696</c:v>
                </c:pt>
                <c:pt idx="41" formatCode="###\ ###\ ###\ ###\ ##0.00;\-###\ ###\ ###\ ###\ ##0.00">
                  <c:v>4.3475817201909166</c:v>
                </c:pt>
                <c:pt idx="42" formatCode="###\ ###\ ###\ ###\ ##0.00;\-###\ ###\ ###\ ###\ ##0.00">
                  <c:v>4.1488922058727873</c:v>
                </c:pt>
                <c:pt idx="43" formatCode="###\ ###\ ###\ ###\ ##0.00;\-###\ ###\ ###\ ###\ ##0.00">
                  <c:v>4.2612326220421171</c:v>
                </c:pt>
                <c:pt idx="44" formatCode="###\ ###\ ###\ ###\ ##0.00;\-###\ ###\ ###\ ###\ ##0.00">
                  <c:v>4.4941452526073471</c:v>
                </c:pt>
                <c:pt idx="45" formatCode="###\ ###\ ###\ ###\ ##0.00;\-###\ ###\ ###\ ###\ ##0.00">
                  <c:v>4.7196492538174732</c:v>
                </c:pt>
                <c:pt idx="46" formatCode="###\ ###\ ###\ ###\ ##0.00;\-###\ ###\ ###\ ###\ ##0.00">
                  <c:v>4.4238011822001155</c:v>
                </c:pt>
                <c:pt idx="47" formatCode="###\ ###\ ###\ ###\ ##0.00;\-###\ ###\ ###\ ###\ ##0.00">
                  <c:v>3.9723129766524465</c:v>
                </c:pt>
                <c:pt idx="48" formatCode="###\ ###\ ###\ ###\ ##0.00;\-###\ ###\ ###\ ###\ ##0.00">
                  <c:v>3.8808928950535173</c:v>
                </c:pt>
                <c:pt idx="49" formatCode="###\ ###\ ###\ ###\ ##0.00;\-###\ ###\ ###\ ###\ ##0.00">
                  <c:v>3.7595547903987336</c:v>
                </c:pt>
                <c:pt idx="50" formatCode="###\ ###\ ###\ ###\ ##0.00;\-###\ ###\ ###\ ###\ ##0.00">
                  <c:v>3.8237627295684833</c:v>
                </c:pt>
                <c:pt idx="51" formatCode="###\ ###\ ###\ ###\ ##0.00;\-###\ ###\ ###\ ###\ ##0.00">
                  <c:v>4.2047003389485704</c:v>
                </c:pt>
                <c:pt idx="52" formatCode="###\ ###\ ###\ ###\ ##0.00;\-###\ ###\ ###\ ###\ ##0.00">
                  <c:v>4.1563388742973695</c:v>
                </c:pt>
                <c:pt idx="53" formatCode="###\ ###\ ###\ ###\ ##0.00;\-###\ ###\ ###\ ###\ ##0.00">
                  <c:v>4.2111868231811522</c:v>
                </c:pt>
                <c:pt idx="54" formatCode="###\ ###\ ###\ ###\ ##0.00;\-###\ ###\ ###\ ###\ ##0.00">
                  <c:v>3.9530858135362124</c:v>
                </c:pt>
                <c:pt idx="55" formatCode="###\ ###\ ###\ ###\ ##0.00;\-###\ ###\ ###\ ###\ ##0.00">
                  <c:v>3.7819619047615758</c:v>
                </c:pt>
                <c:pt idx="56" formatCode="###\ ###\ ###\ ###\ ##0.00;\-###\ ###\ ###\ ###\ ##0.00">
                  <c:v>3.7680573318990085</c:v>
                </c:pt>
                <c:pt idx="57" formatCode="###\ ###\ ###\ ###\ ##0.00;\-###\ ###\ ###\ ###\ ##0.00">
                  <c:v>3.9822987021498251</c:v>
                </c:pt>
                <c:pt idx="58" formatCode="###\ ###\ ###\ ###\ ##0.00;\-###\ ###\ ###\ ###\ ##0.00">
                  <c:v>4.1040262289864691</c:v>
                </c:pt>
                <c:pt idx="59" formatCode="###\ ###\ ###\ ###\ ##0.00;\-###\ ###\ ###\ ###\ ##0.00">
                  <c:v>4.1331038326115088</c:v>
                </c:pt>
                <c:pt idx="60" formatCode="###\ ###\ ###\ ###\ ##0.00;\-###\ ###\ ###\ ###\ ##0.00">
                  <c:v>4.1959770746595213</c:v>
                </c:pt>
                <c:pt idx="61" formatCode="###\ ###\ ###\ ###\ ##0.00;\-###\ ###\ ###\ ###\ ##0.00">
                  <c:v>4.0620794011249552</c:v>
                </c:pt>
                <c:pt idx="62" formatCode="###\ ###\ ###\ ###\ ##0.00;\-###\ ###\ ###\ ###\ ##0.00">
                  <c:v>4.2638389418665579</c:v>
                </c:pt>
                <c:pt idx="63" formatCode="###\ ###\ ###\ ###\ ##0.00;\-###\ ###\ ###\ ###\ ##0.00">
                  <c:v>4.0853304136734021</c:v>
                </c:pt>
                <c:pt idx="64" formatCode="###\ ###\ ###\ ###\ ##0.00;\-###\ ###\ ###\ ###\ ##0.00">
                  <c:v>4.155816660709382</c:v>
                </c:pt>
                <c:pt idx="65" formatCode="###\ ###\ ###\ ###\ ##0.00;\-###\ ###\ ###\ ###\ ##0.00">
                  <c:v>4.2295835387251115</c:v>
                </c:pt>
                <c:pt idx="66" formatCode="###\ ###\ ###\ ###\ ##0.00;\-###\ ###\ ###\ ###\ ##0.00">
                  <c:v>4.3002231108402862</c:v>
                </c:pt>
                <c:pt idx="67" formatCode="###\ ###\ ###\ ###\ ##0.00;\-###\ ###\ ###\ ###\ ##0.00">
                  <c:v>4.3484906070168519</c:v>
                </c:pt>
                <c:pt idx="68" formatCode="###\ ###\ ###\ ###\ ##0.00;\-###\ ###\ ###\ ###\ ##0.00">
                  <c:v>4.423009514594388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4C4-4E60-B9A2-4279B5214D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1742464"/>
        <c:axId val="271744000"/>
      </c:lineChart>
      <c:catAx>
        <c:axId val="271742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271744000"/>
        <c:crosses val="autoZero"/>
        <c:auto val="1"/>
        <c:lblAlgn val="ctr"/>
        <c:lblOffset val="100"/>
        <c:noMultiLvlLbl val="0"/>
      </c:catAx>
      <c:valAx>
        <c:axId val="271744000"/>
        <c:scaling>
          <c:orientation val="minMax"/>
          <c:min val="-1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71742464"/>
        <c:crosses val="autoZero"/>
        <c:crossBetween val="between"/>
        <c:majorUnit val="1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4.7501055386693677E-2"/>
          <c:y val="0.87558269120103249"/>
          <c:w val="0.93350515028706516"/>
          <c:h val="0.11015705924459968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BC6B78-CD4F-4CCE-9179-CFFE2F383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841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119</cp:revision>
  <cp:lastPrinted>2014-07-17T14:07:00Z</cp:lastPrinted>
  <dcterms:created xsi:type="dcterms:W3CDTF">2025-09-16T11:02:00Z</dcterms:created>
  <dcterms:modified xsi:type="dcterms:W3CDTF">2025-12-16T10:50:00Z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