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A1BE5" w14:textId="77777777" w:rsidR="00BB50C0" w:rsidRDefault="00BB50C0" w:rsidP="00BB50C0">
      <w:pPr>
        <w:spacing w:after="0" w:line="240" w:lineRule="auto"/>
        <w:jc w:val="left"/>
        <w:rPr>
          <w:b/>
          <w:sz w:val="2"/>
          <w:szCs w:val="2"/>
          <w:highlight w:val="yellow"/>
        </w:rPr>
      </w:pPr>
      <w:bookmarkStart w:id="0" w:name="_Toc58605374"/>
      <w:bookmarkStart w:id="1" w:name="_Toc66719930"/>
      <w:bookmarkStart w:id="2" w:name="_Toc532558287"/>
      <w:bookmarkStart w:id="3" w:name="_Toc58605375"/>
      <w:bookmarkStart w:id="4" w:name="_Toc74643856"/>
    </w:p>
    <w:p w14:paraId="0D5CF636" w14:textId="77777777" w:rsidR="00ED1959" w:rsidRDefault="00ED1959" w:rsidP="00ED1959">
      <w:pPr>
        <w:pStyle w:val="Nadpis11"/>
      </w:pPr>
      <w:r>
        <w:t>3</w:t>
      </w:r>
      <w:r w:rsidRPr="00B43216">
        <w:t>. </w:t>
      </w:r>
      <w:r>
        <w:t>Výkonnost odvětví</w:t>
      </w:r>
    </w:p>
    <w:tbl>
      <w:tblPr>
        <w:tblW w:w="9664" w:type="dxa"/>
        <w:tblInd w:w="-30" w:type="dxa"/>
        <w:tblCellMar>
          <w:left w:w="0" w:type="dxa"/>
          <w:right w:w="0" w:type="dxa"/>
        </w:tblCellMar>
        <w:tblLook w:val="00A0" w:firstRow="1" w:lastRow="0" w:firstColumn="1" w:lastColumn="0" w:noHBand="0" w:noVBand="0"/>
      </w:tblPr>
      <w:tblGrid>
        <w:gridCol w:w="1728"/>
        <w:gridCol w:w="206"/>
        <w:gridCol w:w="7730"/>
      </w:tblGrid>
      <w:tr w:rsidR="00ED1959" w:rsidRPr="006237E6" w14:paraId="24CABF6A" w14:textId="77777777" w:rsidTr="000F7C73">
        <w:trPr>
          <w:trHeight w:val="155"/>
        </w:trPr>
        <w:tc>
          <w:tcPr>
            <w:tcW w:w="1728" w:type="dxa"/>
            <w:shd w:val="clear" w:color="auto" w:fill="auto"/>
            <w:tcMar>
              <w:left w:w="0" w:type="dxa"/>
            </w:tcMar>
          </w:tcPr>
          <w:p w14:paraId="425E3D2D" w14:textId="77777777" w:rsidR="00ED1959" w:rsidRDefault="00ED1959" w:rsidP="000F7C73">
            <w:pPr>
              <w:pStyle w:val="Marginlie"/>
            </w:pPr>
            <w:r>
              <w:t>Hrubá přidaná hodnota ve 2. čtvrtletí mezikvartálně mírně vzrostla, zejména zásluhou odvětví obchodu, dopravy, ubytování a pohostinství.</w:t>
            </w:r>
          </w:p>
        </w:tc>
        <w:tc>
          <w:tcPr>
            <w:tcW w:w="206" w:type="dxa"/>
            <w:shd w:val="clear" w:color="auto" w:fill="auto"/>
            <w:tcMar>
              <w:left w:w="0" w:type="dxa"/>
            </w:tcMar>
          </w:tcPr>
          <w:p w14:paraId="345DACBB"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08B8636B" w14:textId="77777777" w:rsidR="00ED1959" w:rsidRPr="001F719B" w:rsidRDefault="00ED1959" w:rsidP="000F7C73">
            <w:pPr>
              <w:spacing w:after="200"/>
              <w:rPr>
                <w:spacing w:val="-4"/>
              </w:rPr>
            </w:pPr>
            <w:r>
              <w:rPr>
                <w:spacing w:val="-4"/>
              </w:rPr>
              <w:t xml:space="preserve">Výrazné zlepšení pandemické situace ve druhém letošním čtvrtletí spojené s postupným uvolněním restrikcí svírajících část ekonomiky vedla k očekávanému oživení, a to zejména díky vyšší spotřebě domácností i celkové investiční aktivitě. Jestliže v 1. čtvrtletí 2021 klesla </w:t>
            </w:r>
            <w:r w:rsidRPr="001F719B">
              <w:rPr>
                <w:spacing w:val="-4"/>
              </w:rPr>
              <w:t>hrubá přidaná hodnota (HPH)</w:t>
            </w:r>
            <w:r w:rsidRPr="001F719B">
              <w:rPr>
                <w:rStyle w:val="Znakapoznpodarou"/>
                <w:spacing w:val="-4"/>
              </w:rPr>
              <w:footnoteReference w:id="1"/>
            </w:r>
            <w:r>
              <w:rPr>
                <w:spacing w:val="-4"/>
              </w:rPr>
              <w:t xml:space="preserve"> v tuzemské ekonomice mezikvartálně o</w:t>
            </w:r>
            <w:r w:rsidRPr="001F719B">
              <w:rPr>
                <w:spacing w:val="-4"/>
              </w:rPr>
              <w:t> </w:t>
            </w:r>
            <w:r>
              <w:rPr>
                <w:spacing w:val="-4"/>
              </w:rPr>
              <w:t>0,4 %, v navazujícím období již vykázala 0,7% růst. Podobně jako v celé EU, kde ovšem bylo oživení během 2. čtvrtletí razantnější (1,9 %), sehrálo v tomto obratu i v Česku klíčovou pozitivní roli širší odvětvové uskupení obchod, doprava, ubytování a pohostinství. Přestože alespoň mírný růst zaznamenala drtivá většina hlavních odvětví, celková HPH zatím za svým předkrizovým maximem (ze 4. čtvrtletí 2019) stále významně zaostávala (o</w:t>
            </w:r>
            <w:r w:rsidRPr="001F719B">
              <w:rPr>
                <w:spacing w:val="-4"/>
              </w:rPr>
              <w:t> </w:t>
            </w:r>
            <w:r>
              <w:rPr>
                <w:spacing w:val="-4"/>
              </w:rPr>
              <w:t>3,6 %)</w:t>
            </w:r>
            <w:r>
              <w:rPr>
                <w:rStyle w:val="Znakapoznpodarou"/>
                <w:spacing w:val="-4"/>
              </w:rPr>
              <w:footnoteReference w:id="2"/>
            </w:r>
            <w:r>
              <w:rPr>
                <w:spacing w:val="-4"/>
              </w:rPr>
              <w:t>.</w:t>
            </w:r>
          </w:p>
        </w:tc>
      </w:tr>
      <w:tr w:rsidR="00ED1959" w:rsidRPr="006237E6" w14:paraId="2E6CB038" w14:textId="77777777" w:rsidTr="000F7C73">
        <w:trPr>
          <w:trHeight w:val="155"/>
        </w:trPr>
        <w:tc>
          <w:tcPr>
            <w:tcW w:w="1728" w:type="dxa"/>
            <w:shd w:val="clear" w:color="auto" w:fill="auto"/>
            <w:tcMar>
              <w:left w:w="0" w:type="dxa"/>
            </w:tcMar>
          </w:tcPr>
          <w:p w14:paraId="111DFA30" w14:textId="77777777" w:rsidR="00ED1959" w:rsidRDefault="00ED1959" w:rsidP="000F7C73">
            <w:pPr>
              <w:pStyle w:val="Marginlie"/>
            </w:pPr>
            <w:r>
              <w:t>Oproti 1. pololetí 2019 se letos HPH nacházela skoro o 4 % níže.</w:t>
            </w:r>
          </w:p>
          <w:p w14:paraId="4613AB26" w14:textId="77777777" w:rsidR="00ED1959" w:rsidRDefault="00ED1959" w:rsidP="000F7C73">
            <w:pPr>
              <w:pStyle w:val="Marginlie"/>
            </w:pPr>
          </w:p>
          <w:p w14:paraId="7B99B4FB" w14:textId="77777777" w:rsidR="00ED1959" w:rsidRDefault="00ED1959" w:rsidP="000F7C73">
            <w:pPr>
              <w:pStyle w:val="Marginlie"/>
            </w:pPr>
          </w:p>
          <w:p w14:paraId="52C0FBC4" w14:textId="77777777" w:rsidR="00ED1959" w:rsidRDefault="00ED1959" w:rsidP="000F7C73">
            <w:pPr>
              <w:pStyle w:val="Marginlie"/>
            </w:pPr>
          </w:p>
          <w:p w14:paraId="50876E56" w14:textId="77777777" w:rsidR="00ED1959" w:rsidRDefault="00ED1959" w:rsidP="000F7C73">
            <w:pPr>
              <w:pStyle w:val="Marginlie"/>
              <w:rPr>
                <w:spacing w:val="-4"/>
              </w:rPr>
            </w:pPr>
            <w:r w:rsidRPr="00DF11EC">
              <w:rPr>
                <w:spacing w:val="-4"/>
              </w:rPr>
              <w:t xml:space="preserve">Odvětví, jež nebyla </w:t>
            </w:r>
            <w:r>
              <w:rPr>
                <w:spacing w:val="-4"/>
              </w:rPr>
              <w:t xml:space="preserve">v zásadě </w:t>
            </w:r>
            <w:r w:rsidRPr="00DF11EC">
              <w:rPr>
                <w:spacing w:val="-4"/>
              </w:rPr>
              <w:t>pandemickou situací negativně poznamenána, vytvářela skoro třetinu výkonu celé ekonomiky.</w:t>
            </w:r>
          </w:p>
          <w:p w14:paraId="76A0B4CD" w14:textId="77777777" w:rsidR="00ED1959" w:rsidRDefault="00ED1959" w:rsidP="000F7C73">
            <w:pPr>
              <w:pStyle w:val="Marginlie"/>
              <w:rPr>
                <w:spacing w:val="-4"/>
              </w:rPr>
            </w:pPr>
          </w:p>
          <w:p w14:paraId="0E451B54" w14:textId="77777777" w:rsidR="00ED1959" w:rsidRDefault="00ED1959" w:rsidP="000F7C73">
            <w:pPr>
              <w:pStyle w:val="Marginlie"/>
              <w:rPr>
                <w:spacing w:val="-4"/>
              </w:rPr>
            </w:pPr>
          </w:p>
          <w:p w14:paraId="0C362CED" w14:textId="77777777" w:rsidR="00ED1959" w:rsidRDefault="00ED1959" w:rsidP="000F7C73">
            <w:pPr>
              <w:pStyle w:val="Marginlie"/>
              <w:rPr>
                <w:spacing w:val="-4"/>
              </w:rPr>
            </w:pPr>
          </w:p>
          <w:p w14:paraId="1566378C" w14:textId="77777777" w:rsidR="00ED1959" w:rsidRPr="00DF11EC" w:rsidRDefault="00ED1959" w:rsidP="000F7C73">
            <w:pPr>
              <w:pStyle w:val="Marginlie"/>
              <w:rPr>
                <w:spacing w:val="-4"/>
              </w:rPr>
            </w:pPr>
            <w:r>
              <w:rPr>
                <w:spacing w:val="-4"/>
              </w:rPr>
              <w:t>Produkce v některých odvětvích propadla za dva roky více než přidaná hodnota.</w:t>
            </w:r>
          </w:p>
        </w:tc>
        <w:tc>
          <w:tcPr>
            <w:tcW w:w="206" w:type="dxa"/>
            <w:shd w:val="clear" w:color="auto" w:fill="auto"/>
            <w:tcMar>
              <w:left w:w="0" w:type="dxa"/>
            </w:tcMar>
          </w:tcPr>
          <w:p w14:paraId="0D6DB939"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45677E7F" w14:textId="77777777" w:rsidR="00ED1959" w:rsidRPr="001F719B" w:rsidRDefault="00ED1959" w:rsidP="000F7C73">
            <w:pPr>
              <w:spacing w:after="200"/>
              <w:rPr>
                <w:spacing w:val="-4"/>
              </w:rPr>
            </w:pPr>
            <w:r>
              <w:rPr>
                <w:spacing w:val="-4"/>
              </w:rPr>
              <w:t>HPH vzrostla za 1. pololetí 2021 meziročně o 2,7 %, z toho v samotném 2. kvartálu o 8,4 %. Z velké části jde však o efekt nízké loňské základny, primárně vlivem propadu výkonu v odvětví obchodu, oborech vázaných na cestovní ruch a také ve zpracovatelském průmyslu. Oproti 1. pololetí 2019 tak souhrnná HPH letos ztrácela takřka 4 %, skoro dvojnásobek toho pak v samotném odvětví p</w:t>
            </w:r>
            <w:r w:rsidRPr="001128F6">
              <w:rPr>
                <w:spacing w:val="-4"/>
              </w:rPr>
              <w:t>rofesní, vědecké, technické a</w:t>
            </w:r>
            <w:r>
              <w:rPr>
                <w:spacing w:val="-4"/>
              </w:rPr>
              <w:t> </w:t>
            </w:r>
            <w:r w:rsidRPr="001128F6">
              <w:rPr>
                <w:spacing w:val="-4"/>
              </w:rPr>
              <w:t>administrativní činnosti</w:t>
            </w:r>
            <w:r>
              <w:rPr>
                <w:spacing w:val="-4"/>
              </w:rPr>
              <w:t xml:space="preserve">. Ještě hlubší propad postihl </w:t>
            </w:r>
            <w:r w:rsidRPr="00A06D54">
              <w:t>stave</w:t>
            </w:r>
            <w:r>
              <w:t>bnictví (</w:t>
            </w:r>
            <w:r>
              <w:rPr>
                <w:spacing w:val="-5"/>
              </w:rPr>
              <w:t>–</w:t>
            </w:r>
            <w:r w:rsidRPr="00A06D54">
              <w:t>10,1</w:t>
            </w:r>
            <w:r>
              <w:t> %</w:t>
            </w:r>
            <w:r w:rsidRPr="00A06D54">
              <w:t>) a</w:t>
            </w:r>
            <w:r>
              <w:t> </w:t>
            </w:r>
            <w:r w:rsidRPr="00A06D54">
              <w:t>především uskupení obchod, doprava, ubytování a</w:t>
            </w:r>
            <w:r>
              <w:t> </w:t>
            </w:r>
            <w:r w:rsidRPr="00A06D54">
              <w:t>pohostinství</w:t>
            </w:r>
            <w:r>
              <w:t xml:space="preserve"> (</w:t>
            </w:r>
            <w:r>
              <w:rPr>
                <w:spacing w:val="-5"/>
              </w:rPr>
              <w:t>–</w:t>
            </w:r>
            <w:r w:rsidRPr="00A06D54">
              <w:t>14,1</w:t>
            </w:r>
            <w:r>
              <w:t> %</w:t>
            </w:r>
            <w:r w:rsidRPr="00A06D54">
              <w:t>),</w:t>
            </w:r>
            <w:r>
              <w:rPr>
                <w:spacing w:val="-4"/>
              </w:rPr>
              <w:t xml:space="preserve"> jehož výkon se vrátil až na úroveň roku 2016. Některá odvětví ovšem nebyla během pandemie bezprostředně významně dotčena, popř. byla v tomto období jejich role </w:t>
            </w:r>
            <w:r w:rsidRPr="00EA5873">
              <w:rPr>
                <w:spacing w:val="-5"/>
              </w:rPr>
              <w:t>dokonce posílena</w:t>
            </w:r>
            <w:r w:rsidRPr="00EA5873">
              <w:rPr>
                <w:rStyle w:val="Znakapoznpodarou"/>
                <w:spacing w:val="-5"/>
              </w:rPr>
              <w:footnoteReference w:id="3"/>
            </w:r>
            <w:r w:rsidRPr="00EA5873">
              <w:rPr>
                <w:spacing w:val="-5"/>
              </w:rPr>
              <w:t>. V zemědělství, lesnictví</w:t>
            </w:r>
            <w:r>
              <w:rPr>
                <w:spacing w:val="-5"/>
              </w:rPr>
              <w:t xml:space="preserve"> a </w:t>
            </w:r>
            <w:r w:rsidRPr="00EA5873">
              <w:rPr>
                <w:spacing w:val="-5"/>
              </w:rPr>
              <w:t>rybářství tak za dva roky vzrostla HPH o osminu, v</w:t>
            </w:r>
            <w:r>
              <w:rPr>
                <w:spacing w:val="-5"/>
              </w:rPr>
              <w:t> </w:t>
            </w:r>
            <w:r w:rsidRPr="00EA5873">
              <w:rPr>
                <w:spacing w:val="-5"/>
              </w:rPr>
              <w:t>peněžnictví a pojišťovnictví skoro o</w:t>
            </w:r>
            <w:r>
              <w:rPr>
                <w:spacing w:val="-5"/>
              </w:rPr>
              <w:t> </w:t>
            </w:r>
            <w:r w:rsidRPr="00EA5873">
              <w:rPr>
                <w:spacing w:val="-5"/>
              </w:rPr>
              <w:t>desetinu. Významn</w:t>
            </w:r>
            <w:r>
              <w:rPr>
                <w:spacing w:val="-5"/>
              </w:rPr>
              <w:t xml:space="preserve">ý byl i nárůst </w:t>
            </w:r>
            <w:r w:rsidRPr="00EA5873">
              <w:rPr>
                <w:spacing w:val="-5"/>
              </w:rPr>
              <w:t>v odvětví</w:t>
            </w:r>
            <w:r>
              <w:rPr>
                <w:spacing w:val="-5"/>
              </w:rPr>
              <w:t>ch</w:t>
            </w:r>
            <w:r w:rsidRPr="00EA5873">
              <w:rPr>
                <w:spacing w:val="-5"/>
              </w:rPr>
              <w:t xml:space="preserve"> se silnou rolí veřejného sektoru</w:t>
            </w:r>
            <w:r w:rsidRPr="00EA5873">
              <w:rPr>
                <w:rStyle w:val="Znakapoznpodarou"/>
                <w:spacing w:val="-5"/>
              </w:rPr>
              <w:footnoteReference w:id="4"/>
            </w:r>
            <w:r>
              <w:rPr>
                <w:spacing w:val="-5"/>
              </w:rPr>
              <w:t xml:space="preserve"> (3,9 %) a také v informačních a</w:t>
            </w:r>
            <w:r w:rsidRPr="00EA5873">
              <w:rPr>
                <w:spacing w:val="-5"/>
              </w:rPr>
              <w:t> kom</w:t>
            </w:r>
            <w:r>
              <w:rPr>
                <w:spacing w:val="-5"/>
              </w:rPr>
              <w:t>unikačních činnostech (6,5 %) – ty patřily během pandemie vůbec k nejvytíženějším, což dokládá i počet odpracovaných hodin</w:t>
            </w:r>
            <w:r>
              <w:rPr>
                <w:rStyle w:val="Znakapoznpodarou"/>
                <w:spacing w:val="-5"/>
              </w:rPr>
              <w:footnoteReference w:id="5"/>
            </w:r>
            <w:r>
              <w:rPr>
                <w:spacing w:val="-5"/>
              </w:rPr>
              <w:t>, který se zde za dva roky navýšil o 12,1 %. V kontrastu s tím se vyvíjelo např. odvětví ostatních služeb</w:t>
            </w:r>
            <w:r>
              <w:rPr>
                <w:rStyle w:val="Znakapoznpodarou"/>
                <w:spacing w:val="-4"/>
              </w:rPr>
              <w:footnoteReference w:id="6"/>
            </w:r>
            <w:r>
              <w:rPr>
                <w:spacing w:val="-5"/>
              </w:rPr>
              <w:t>, kde odpracovaná doba propadla o 22,8 %. Citelný propad produkce, resp. tržeb zde byl patrně zčásti kompenzován i nižší mezispotřebou. HPH se v tomto odvětví totiž za srovnatelné období snížila „jen“ o 4,5 %. Jinak tomu bylo v primárním sektoru ekonomiky či ve finančnictví, kde došlo za poslední dva roky k růstu přidané hodnoty i při poklesu odpracované doby (o 1,4 %, resp. 5,3 %).</w:t>
            </w:r>
          </w:p>
        </w:tc>
      </w:tr>
      <w:tr w:rsidR="00ED1959" w:rsidRPr="006237E6" w14:paraId="786C6874" w14:textId="77777777" w:rsidTr="000F7C73">
        <w:trPr>
          <w:trHeight w:val="155"/>
        </w:trPr>
        <w:tc>
          <w:tcPr>
            <w:tcW w:w="1728" w:type="dxa"/>
            <w:shd w:val="clear" w:color="auto" w:fill="auto"/>
            <w:tcMar>
              <w:left w:w="0" w:type="dxa"/>
            </w:tcMar>
          </w:tcPr>
          <w:p w14:paraId="1AB12545" w14:textId="77777777" w:rsidR="00ED1959" w:rsidRDefault="00ED1959" w:rsidP="000F7C73">
            <w:pPr>
              <w:pStyle w:val="Marginlie"/>
            </w:pPr>
            <w:r>
              <w:t>Průmyslová produkce za 2. čtvrtletí vzrostla o 0,9 %, když profitovala z rychlého oživení poptávky ve vyspělých ekonomikách.</w:t>
            </w:r>
          </w:p>
          <w:p w14:paraId="18EF8223" w14:textId="77777777" w:rsidR="00ED1959" w:rsidRDefault="00ED1959" w:rsidP="000F7C73">
            <w:pPr>
              <w:pStyle w:val="Marginlie"/>
            </w:pPr>
          </w:p>
          <w:p w14:paraId="376049CA" w14:textId="77777777" w:rsidR="00ED1959" w:rsidRDefault="00ED1959" w:rsidP="000F7C73">
            <w:pPr>
              <w:pStyle w:val="Marginlie"/>
            </w:pPr>
          </w:p>
          <w:p w14:paraId="03FB9265" w14:textId="77777777" w:rsidR="00ED1959" w:rsidRDefault="00ED1959" w:rsidP="000F7C73">
            <w:pPr>
              <w:pStyle w:val="Marginlie"/>
            </w:pPr>
            <w:r>
              <w:t>To však současně vedlo k přetížení výrobních a dodavatelských řetězců s negativním dopadem na plynulost výroby i vývoj cen produkce.</w:t>
            </w:r>
          </w:p>
        </w:tc>
        <w:tc>
          <w:tcPr>
            <w:tcW w:w="206" w:type="dxa"/>
            <w:shd w:val="clear" w:color="auto" w:fill="auto"/>
            <w:tcMar>
              <w:left w:w="0" w:type="dxa"/>
            </w:tcMar>
          </w:tcPr>
          <w:p w14:paraId="652BCF28"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5CB720A6" w14:textId="77777777" w:rsidR="00ED1959" w:rsidRPr="001F719B" w:rsidRDefault="00ED1959" w:rsidP="000F7C73">
            <w:pPr>
              <w:spacing w:after="0"/>
              <w:rPr>
                <w:spacing w:val="-4"/>
              </w:rPr>
            </w:pPr>
            <w:r>
              <w:rPr>
                <w:spacing w:val="-4"/>
              </w:rPr>
              <w:t>K celkovému hospodářskému oživení v ČR přispěl letos ve 2. čtvrtletí i průmysl, což stvrzují i podrobnější údaje z podnikových statistik</w:t>
            </w:r>
            <w:r w:rsidRPr="001C5EA5">
              <w:rPr>
                <w:color w:val="0D0D0D" w:themeColor="text1" w:themeTint="F2"/>
                <w:spacing w:val="-4"/>
              </w:rPr>
              <w:t xml:space="preserve">. </w:t>
            </w:r>
            <w:r w:rsidRPr="001C5EA5">
              <w:rPr>
                <w:color w:val="0D0D0D" w:themeColor="text1" w:themeTint="F2"/>
                <w:spacing w:val="-3"/>
              </w:rPr>
              <w:t>Průmyslová produkce</w:t>
            </w:r>
            <w:r w:rsidRPr="002034A0">
              <w:rPr>
                <w:color w:val="0D0D0D" w:themeColor="text1" w:themeTint="F2"/>
                <w:spacing w:val="-3"/>
                <w:vertAlign w:val="superscript"/>
              </w:rPr>
              <w:footnoteReference w:id="7"/>
            </w:r>
            <w:r>
              <w:rPr>
                <w:color w:val="0D0D0D" w:themeColor="text1" w:themeTint="F2"/>
                <w:spacing w:val="-3"/>
              </w:rPr>
              <w:t xml:space="preserve"> mezikvartálně vzrostla o 0,9 % a naznačila, že ochlazení během 1. čtvrtletí 2021 (</w:t>
            </w:r>
            <w:r>
              <w:rPr>
                <w:spacing w:val="-5"/>
              </w:rPr>
              <w:t>–</w:t>
            </w:r>
            <w:r>
              <w:rPr>
                <w:color w:val="0D0D0D" w:themeColor="text1" w:themeTint="F2"/>
                <w:spacing w:val="-3"/>
              </w:rPr>
              <w:t>1,4 %) mělo pravděpodobně jen krátkodobý charakter. Výrazně exportně orientovaný tuzemský průmysl těžil na jaře z příznivého hospodářského vývoje klíčových exportních teritorií – Německa, resp. celé EU</w:t>
            </w:r>
            <w:r>
              <w:rPr>
                <w:rStyle w:val="Znakapoznpodarou"/>
                <w:color w:val="0D0D0D" w:themeColor="text1" w:themeTint="F2"/>
                <w:spacing w:val="-3"/>
              </w:rPr>
              <w:footnoteReference w:id="8"/>
            </w:r>
            <w:r>
              <w:rPr>
                <w:color w:val="0D0D0D" w:themeColor="text1" w:themeTint="F2"/>
                <w:spacing w:val="-3"/>
              </w:rPr>
              <w:t>. Na druhé straně, rychlé oživení světového hospodářství a zejména nejvyspělejších ekonomik vytvářelo patrně dočasné, zato silné napětí ve výrobních a dodavatelských řetězcích, jež se postupně přenášelo i do Česka. Zejména n</w:t>
            </w:r>
            <w:r w:rsidRPr="00ED3F7E">
              <w:rPr>
                <w:color w:val="0D0D0D" w:themeColor="text1" w:themeTint="F2"/>
                <w:spacing w:val="-3"/>
              </w:rPr>
              <w:t xml:space="preserve">edostatek některých </w:t>
            </w:r>
            <w:r>
              <w:rPr>
                <w:color w:val="0D0D0D" w:themeColor="text1" w:themeTint="F2"/>
                <w:spacing w:val="-3"/>
              </w:rPr>
              <w:t>dodávek a komponent</w:t>
            </w:r>
            <w:r w:rsidRPr="00ED3F7E">
              <w:rPr>
                <w:color w:val="0D0D0D" w:themeColor="text1" w:themeTint="F2"/>
                <w:spacing w:val="-3"/>
              </w:rPr>
              <w:t xml:space="preserve"> </w:t>
            </w:r>
            <w:r>
              <w:rPr>
                <w:color w:val="0D0D0D" w:themeColor="text1" w:themeTint="F2"/>
                <w:spacing w:val="-3"/>
              </w:rPr>
              <w:t>(mj. v automobilovém průmyslu a navazujících oborech</w:t>
            </w:r>
            <w:r w:rsidRPr="00ED3F7E">
              <w:rPr>
                <w:color w:val="0D0D0D" w:themeColor="text1" w:themeTint="F2"/>
                <w:spacing w:val="-3"/>
              </w:rPr>
              <w:t xml:space="preserve">) </w:t>
            </w:r>
            <w:r>
              <w:rPr>
                <w:color w:val="0D0D0D" w:themeColor="text1" w:themeTint="F2"/>
                <w:spacing w:val="-3"/>
              </w:rPr>
              <w:t>narušoval plynulost výrobního procesu, vedl k neplánované tvorbě zásob nedokončené produkce a vytvářel tlaky na cenový růst výrobců. Tuzemský průmysl vedle toho stále limitoval i nedostatek zejména kvalifikované pracovní síly, byť s ohledem na pokles zaměstnanosti v průmyslu během pandemie nebyl zatím letos tento problém tak palčivý jako v letech 2018 a 2019.</w:t>
            </w:r>
          </w:p>
        </w:tc>
      </w:tr>
      <w:tr w:rsidR="00ED1959" w:rsidRPr="006237E6" w14:paraId="3878C325" w14:textId="77777777" w:rsidTr="000F7C73">
        <w:trPr>
          <w:trHeight w:val="155"/>
        </w:trPr>
        <w:tc>
          <w:tcPr>
            <w:tcW w:w="1728" w:type="dxa"/>
            <w:shd w:val="clear" w:color="auto" w:fill="auto"/>
            <w:tcMar>
              <w:left w:w="0" w:type="dxa"/>
            </w:tcMar>
          </w:tcPr>
          <w:p w14:paraId="71F01669" w14:textId="77777777" w:rsidR="00ED1959" w:rsidRDefault="00ED1959" w:rsidP="000F7C73">
            <w:pPr>
              <w:pStyle w:val="Marginlie"/>
            </w:pPr>
          </w:p>
        </w:tc>
        <w:tc>
          <w:tcPr>
            <w:tcW w:w="206" w:type="dxa"/>
            <w:shd w:val="clear" w:color="auto" w:fill="auto"/>
            <w:tcMar>
              <w:left w:w="0" w:type="dxa"/>
            </w:tcMar>
          </w:tcPr>
          <w:p w14:paraId="2298A61E"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55299CFF" w14:textId="77777777" w:rsidR="00ED1959" w:rsidRPr="00B324AF" w:rsidRDefault="00ED1959" w:rsidP="000F7C73">
            <w:pPr>
              <w:spacing w:after="200"/>
              <w:rPr>
                <w:spacing w:val="-4"/>
              </w:rPr>
            </w:pPr>
            <w:r w:rsidRPr="00B324AF">
              <w:rPr>
                <w:spacing w:val="-4"/>
              </w:rPr>
              <w:t>Průmyslová produkce vzrostla v 1.</w:t>
            </w:r>
            <w:r>
              <w:rPr>
                <w:spacing w:val="-4"/>
              </w:rPr>
              <w:t> pololet</w:t>
            </w:r>
            <w:r w:rsidRPr="00B324AF">
              <w:rPr>
                <w:spacing w:val="-4"/>
              </w:rPr>
              <w:t>í meziročně o</w:t>
            </w:r>
            <w:r>
              <w:rPr>
                <w:spacing w:val="-4"/>
              </w:rPr>
              <w:t> </w:t>
            </w:r>
            <w:r w:rsidRPr="00B324AF">
              <w:rPr>
                <w:spacing w:val="-4"/>
              </w:rPr>
              <w:t>14,7</w:t>
            </w:r>
            <w:r>
              <w:rPr>
                <w:spacing w:val="-4"/>
              </w:rPr>
              <w:t> %</w:t>
            </w:r>
            <w:r w:rsidRPr="00B324AF">
              <w:rPr>
                <w:spacing w:val="-4"/>
              </w:rPr>
              <w:t>, na čemž mělo značný podíl srovnání s velmi nízkou základnou během loňského dubna a</w:t>
            </w:r>
            <w:r>
              <w:rPr>
                <w:spacing w:val="-4"/>
              </w:rPr>
              <w:t> </w:t>
            </w:r>
            <w:r w:rsidRPr="00B324AF">
              <w:rPr>
                <w:spacing w:val="-4"/>
              </w:rPr>
              <w:t>května (i</w:t>
            </w:r>
            <w:r>
              <w:rPr>
                <w:spacing w:val="-4"/>
              </w:rPr>
              <w:t> </w:t>
            </w:r>
            <w:r w:rsidRPr="00B324AF">
              <w:rPr>
                <w:spacing w:val="-4"/>
              </w:rPr>
              <w:t>vlivem faktického zastavení výroby ve významných provozovnách automobilového průmyslu</w:t>
            </w:r>
            <w:r w:rsidRPr="00B324AF">
              <w:rPr>
                <w:rStyle w:val="Znakapoznpodarou"/>
                <w:spacing w:val="-4"/>
              </w:rPr>
              <w:footnoteReference w:id="9"/>
            </w:r>
            <w:r w:rsidRPr="00B324AF">
              <w:rPr>
                <w:spacing w:val="-4"/>
              </w:rPr>
              <w:t xml:space="preserve">). </w:t>
            </w:r>
            <w:r w:rsidRPr="00B324AF">
              <w:rPr>
                <w:color w:val="000000" w:themeColor="text1"/>
                <w:spacing w:val="-4"/>
              </w:rPr>
              <w:t>Za svým absolutním předpandemickým maximem tak průmysl jako celek stále mírně zaostával</w:t>
            </w:r>
            <w:r w:rsidRPr="00B324AF">
              <w:rPr>
                <w:rStyle w:val="Znakapoznpodarou"/>
                <w:color w:val="000000" w:themeColor="text1"/>
                <w:spacing w:val="-4"/>
              </w:rPr>
              <w:footnoteReference w:id="10"/>
            </w:r>
            <w:r w:rsidRPr="00B324AF">
              <w:rPr>
                <w:color w:val="000000" w:themeColor="text1"/>
                <w:spacing w:val="-4"/>
              </w:rPr>
              <w:t>.</w:t>
            </w:r>
          </w:p>
        </w:tc>
      </w:tr>
      <w:tr w:rsidR="00ED1959" w:rsidRPr="006237E6" w14:paraId="58E62424" w14:textId="77777777" w:rsidTr="000F7C73">
        <w:trPr>
          <w:trHeight w:val="155"/>
        </w:trPr>
        <w:tc>
          <w:tcPr>
            <w:tcW w:w="1728" w:type="dxa"/>
            <w:shd w:val="clear" w:color="auto" w:fill="auto"/>
            <w:tcMar>
              <w:left w:w="0" w:type="dxa"/>
            </w:tcMar>
          </w:tcPr>
          <w:p w14:paraId="0BE33A7C" w14:textId="77777777" w:rsidR="00ED1959" w:rsidRDefault="00ED1959" w:rsidP="000F7C73">
            <w:pPr>
              <w:pStyle w:val="Marginlie"/>
            </w:pPr>
            <w:r>
              <w:t>Výroba motorových vozidel zajistila letos více než třetinu z</w:t>
            </w:r>
            <w:r>
              <w:rPr>
                <w:spacing w:val="-4"/>
              </w:rPr>
              <w:t> </w:t>
            </w:r>
            <w:r>
              <w:t>meziročního růstu průmyslové produkce. Postupně ale narážela na růstové bariéry.</w:t>
            </w:r>
          </w:p>
        </w:tc>
        <w:tc>
          <w:tcPr>
            <w:tcW w:w="206" w:type="dxa"/>
            <w:shd w:val="clear" w:color="auto" w:fill="auto"/>
            <w:tcMar>
              <w:left w:w="0" w:type="dxa"/>
            </w:tcMar>
          </w:tcPr>
          <w:p w14:paraId="27476AEF"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79DE1C07" w14:textId="025A2886" w:rsidR="00ED1959" w:rsidRPr="001F719B" w:rsidRDefault="00ED1959" w:rsidP="000F7C73">
            <w:pPr>
              <w:spacing w:after="200"/>
              <w:rPr>
                <w:spacing w:val="-4"/>
              </w:rPr>
            </w:pPr>
            <w:r w:rsidRPr="00B324AF">
              <w:rPr>
                <w:color w:val="000000" w:themeColor="text1"/>
                <w:spacing w:val="-4"/>
              </w:rPr>
              <w:t>K</w:t>
            </w:r>
            <w:r w:rsidRPr="00B324AF">
              <w:rPr>
                <w:spacing w:val="-4"/>
              </w:rPr>
              <w:t> </w:t>
            </w:r>
            <w:r w:rsidRPr="00B324AF">
              <w:rPr>
                <w:color w:val="000000" w:themeColor="text1"/>
                <w:spacing w:val="-4"/>
              </w:rPr>
              <w:t>meziročnímu růstu průmyslové produkce v letošním pololetí přispěla z více než třetiny výroba motorových vozid</w:t>
            </w:r>
            <w:r>
              <w:rPr>
                <w:color w:val="000000" w:themeColor="text1"/>
                <w:spacing w:val="-4"/>
              </w:rPr>
              <w:t xml:space="preserve">el, </w:t>
            </w:r>
            <w:r w:rsidRPr="00B324AF">
              <w:rPr>
                <w:color w:val="000000" w:themeColor="text1"/>
                <w:spacing w:val="-4"/>
              </w:rPr>
              <w:t xml:space="preserve">pětinu pak přidaly nejbližší subdodavatelské obory. </w:t>
            </w:r>
            <w:r w:rsidRPr="00B324AF">
              <w:rPr>
                <w:rFonts w:cs="Arial"/>
                <w:spacing w:val="-4"/>
                <w:szCs w:val="20"/>
              </w:rPr>
              <w:t>Výkon automobilového průmyslu ale v samotném 2.</w:t>
            </w:r>
            <w:r>
              <w:rPr>
                <w:rFonts w:cs="Arial"/>
                <w:spacing w:val="-4"/>
                <w:szCs w:val="20"/>
              </w:rPr>
              <w:t> čtvrtlet</w:t>
            </w:r>
            <w:r w:rsidRPr="00B324AF">
              <w:rPr>
                <w:rFonts w:cs="Arial"/>
                <w:spacing w:val="-4"/>
                <w:szCs w:val="20"/>
              </w:rPr>
              <w:t>í mezikvartálně klesl o</w:t>
            </w:r>
            <w:r w:rsidRPr="00B324AF">
              <w:rPr>
                <w:spacing w:val="-4"/>
              </w:rPr>
              <w:t> </w:t>
            </w:r>
            <w:r w:rsidRPr="00B324AF">
              <w:rPr>
                <w:rFonts w:cs="Arial"/>
                <w:spacing w:val="-4"/>
                <w:szCs w:val="20"/>
              </w:rPr>
              <w:t>1,9 %</w:t>
            </w:r>
            <w:r w:rsidRPr="00B324AF">
              <w:rPr>
                <w:rStyle w:val="Znakapoznpodarou"/>
                <w:spacing w:val="-4"/>
                <w:szCs w:val="20"/>
              </w:rPr>
              <w:footnoteReference w:id="11"/>
            </w:r>
            <w:r w:rsidRPr="00B324AF">
              <w:rPr>
                <w:rFonts w:cs="Arial"/>
                <w:spacing w:val="-4"/>
                <w:szCs w:val="20"/>
              </w:rPr>
              <w:t>. Naopak ve výrobě elektrických zařízení, stejně jako v</w:t>
            </w:r>
            <w:r>
              <w:rPr>
                <w:rFonts w:cs="Arial"/>
                <w:spacing w:val="-4"/>
                <w:szCs w:val="20"/>
              </w:rPr>
              <w:t> </w:t>
            </w:r>
            <w:r w:rsidRPr="00B324AF">
              <w:rPr>
                <w:rFonts w:cs="Arial"/>
                <w:spacing w:val="-4"/>
                <w:szCs w:val="20"/>
              </w:rPr>
              <w:t>plastikářství i</w:t>
            </w:r>
            <w:r>
              <w:rPr>
                <w:rFonts w:cs="Arial"/>
                <w:spacing w:val="-4"/>
                <w:szCs w:val="20"/>
              </w:rPr>
              <w:t> </w:t>
            </w:r>
            <w:r w:rsidRPr="00B324AF">
              <w:rPr>
                <w:rFonts w:cs="Arial"/>
                <w:spacing w:val="-4"/>
                <w:szCs w:val="20"/>
              </w:rPr>
              <w:t xml:space="preserve">gumárenství nebyly náznaky zpomalení patrné, neboť problém s nedostatkem výrobních komponent se </w:t>
            </w:r>
            <w:r>
              <w:rPr>
                <w:rFonts w:cs="Arial"/>
                <w:spacing w:val="-4"/>
                <w:szCs w:val="20"/>
              </w:rPr>
              <w:t>jich přímo</w:t>
            </w:r>
            <w:r w:rsidRPr="00B324AF">
              <w:rPr>
                <w:rFonts w:cs="Arial"/>
                <w:spacing w:val="-4"/>
                <w:szCs w:val="20"/>
              </w:rPr>
              <w:t xml:space="preserve"> nedotýkal.</w:t>
            </w:r>
            <w:r>
              <w:rPr>
                <w:rFonts w:cs="Arial"/>
                <w:spacing w:val="-4"/>
                <w:szCs w:val="20"/>
              </w:rPr>
              <w:t xml:space="preserve"> K meziročnímu růstu průmyslu přispělo v 1. pololetí více než desetinou významné odvětví kovovýroby. Mírně nadprůměrným tempem rostla produ</w:t>
            </w:r>
            <w:r w:rsidR="00C12304">
              <w:rPr>
                <w:rFonts w:cs="Arial"/>
                <w:spacing w:val="-4"/>
                <w:szCs w:val="20"/>
              </w:rPr>
              <w:t>kce i v hutnictví (+16,7</w:t>
            </w:r>
            <w:r>
              <w:rPr>
                <w:rFonts w:cs="Arial"/>
                <w:spacing w:val="-4"/>
                <w:szCs w:val="20"/>
              </w:rPr>
              <w:t> %). Z menších průmyslových oborů se nejvíce dařilo výrobě ostatních (zejména kolejových) dopravních prostředků (+23,2 %), především díky velmi dobrým jarním výsledkům.</w:t>
            </w:r>
          </w:p>
        </w:tc>
      </w:tr>
      <w:tr w:rsidR="00ED1959" w:rsidRPr="006237E6" w14:paraId="15B62129" w14:textId="77777777" w:rsidTr="000F7C73">
        <w:trPr>
          <w:trHeight w:val="155"/>
        </w:trPr>
        <w:tc>
          <w:tcPr>
            <w:tcW w:w="1728" w:type="dxa"/>
            <w:shd w:val="clear" w:color="auto" w:fill="auto"/>
            <w:tcMar>
              <w:left w:w="0" w:type="dxa"/>
            </w:tcMar>
          </w:tcPr>
          <w:p w14:paraId="10054CA0" w14:textId="77777777" w:rsidR="00ED1959" w:rsidRDefault="00ED1959" w:rsidP="000F7C73">
            <w:pPr>
              <w:pStyle w:val="Marginlie"/>
              <w:rPr>
                <w:spacing w:val="-4"/>
              </w:rPr>
            </w:pPr>
            <w:r>
              <w:rPr>
                <w:spacing w:val="-4"/>
              </w:rPr>
              <w:t>Za výkony z 1. loňského pololetí zaostalo jen několik váhově spíše okrajových průmyslových oborů.</w:t>
            </w:r>
          </w:p>
        </w:tc>
        <w:tc>
          <w:tcPr>
            <w:tcW w:w="206" w:type="dxa"/>
            <w:shd w:val="clear" w:color="auto" w:fill="auto"/>
            <w:tcMar>
              <w:left w:w="0" w:type="dxa"/>
            </w:tcMar>
          </w:tcPr>
          <w:p w14:paraId="36595DE8"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1D746793" w14:textId="77777777" w:rsidR="00ED1959" w:rsidRPr="006B69D3" w:rsidRDefault="00ED1959" w:rsidP="000F7C73">
            <w:pPr>
              <w:spacing w:after="200"/>
              <w:rPr>
                <w:rFonts w:cs="Arial"/>
                <w:spacing w:val="-4"/>
                <w:szCs w:val="20"/>
              </w:rPr>
            </w:pPr>
            <w:r w:rsidRPr="006B69D3">
              <w:rPr>
                <w:rFonts w:cs="Arial"/>
                <w:spacing w:val="-4"/>
                <w:szCs w:val="20"/>
              </w:rPr>
              <w:t>Naopak jen v</w:t>
            </w:r>
            <w:r>
              <w:rPr>
                <w:rFonts w:cs="Arial"/>
                <w:spacing w:val="-4"/>
                <w:szCs w:val="20"/>
              </w:rPr>
              <w:t> </w:t>
            </w:r>
            <w:r w:rsidRPr="006B69D3">
              <w:rPr>
                <w:rFonts w:cs="Arial"/>
                <w:spacing w:val="-4"/>
                <w:szCs w:val="20"/>
              </w:rPr>
              <w:t>minimu oborů letos produkce za úrovní z 1</w:t>
            </w:r>
            <w:r>
              <w:rPr>
                <w:rFonts w:cs="Arial"/>
                <w:spacing w:val="-4"/>
                <w:szCs w:val="20"/>
              </w:rPr>
              <w:t>. </w:t>
            </w:r>
            <w:r w:rsidRPr="006B69D3">
              <w:rPr>
                <w:rFonts w:cs="Arial"/>
                <w:spacing w:val="-4"/>
                <w:szCs w:val="20"/>
              </w:rPr>
              <w:t>loňského pololetí zaostala. Mezi ně patřilo oděvnictví (</w:t>
            </w:r>
            <w:r w:rsidRPr="006B69D3">
              <w:rPr>
                <w:spacing w:val="-4"/>
              </w:rPr>
              <w:t>–</w:t>
            </w:r>
            <w:r w:rsidRPr="006B69D3">
              <w:rPr>
                <w:rFonts w:cs="Arial"/>
                <w:spacing w:val="-4"/>
                <w:szCs w:val="20"/>
              </w:rPr>
              <w:t>7,0</w:t>
            </w:r>
            <w:r>
              <w:rPr>
                <w:rFonts w:cs="Arial"/>
                <w:spacing w:val="-4"/>
                <w:szCs w:val="20"/>
              </w:rPr>
              <w:t> %</w:t>
            </w:r>
            <w:r w:rsidRPr="006B69D3">
              <w:rPr>
                <w:rFonts w:cs="Arial"/>
                <w:spacing w:val="-4"/>
                <w:szCs w:val="20"/>
              </w:rPr>
              <w:t>) a</w:t>
            </w:r>
            <w:r>
              <w:rPr>
                <w:rFonts w:cs="Arial"/>
                <w:spacing w:val="-4"/>
                <w:szCs w:val="20"/>
              </w:rPr>
              <w:t> </w:t>
            </w:r>
            <w:r w:rsidRPr="006B69D3">
              <w:rPr>
                <w:rFonts w:cs="Arial"/>
                <w:spacing w:val="-4"/>
                <w:szCs w:val="20"/>
              </w:rPr>
              <w:t>také výroba nápojů (</w:t>
            </w:r>
            <w:r w:rsidRPr="006B69D3">
              <w:rPr>
                <w:spacing w:val="-4"/>
              </w:rPr>
              <w:t>–</w:t>
            </w:r>
            <w:r w:rsidRPr="006B69D3">
              <w:rPr>
                <w:rFonts w:cs="Arial"/>
                <w:spacing w:val="-4"/>
                <w:szCs w:val="20"/>
              </w:rPr>
              <w:t>1,3</w:t>
            </w:r>
            <w:r>
              <w:rPr>
                <w:rFonts w:cs="Arial"/>
                <w:spacing w:val="-4"/>
                <w:szCs w:val="20"/>
              </w:rPr>
              <w:t> %</w:t>
            </w:r>
            <w:r w:rsidRPr="006B69D3">
              <w:rPr>
                <w:rFonts w:cs="Arial"/>
                <w:spacing w:val="-4"/>
                <w:szCs w:val="20"/>
              </w:rPr>
              <w:t>). Tyto obory jsou bytostně závislé na spotřebě domácností a</w:t>
            </w:r>
            <w:r>
              <w:rPr>
                <w:rFonts w:cs="Arial"/>
                <w:spacing w:val="-4"/>
                <w:szCs w:val="20"/>
              </w:rPr>
              <w:t> </w:t>
            </w:r>
            <w:r w:rsidRPr="006B69D3">
              <w:rPr>
                <w:color w:val="000000" w:themeColor="text1"/>
                <w:spacing w:val="-4"/>
              </w:rPr>
              <w:t>strádaly tak v důsledku opakovaných nucených uzávěr svých tradičních tuzemských odbytišť i</w:t>
            </w:r>
            <w:r>
              <w:rPr>
                <w:color w:val="000000" w:themeColor="text1"/>
                <w:spacing w:val="-4"/>
              </w:rPr>
              <w:t xml:space="preserve"> kvůli </w:t>
            </w:r>
            <w:r w:rsidRPr="006B69D3">
              <w:rPr>
                <w:spacing w:val="-4"/>
              </w:rPr>
              <w:t>propadu příjezdového cestovního ruchu</w:t>
            </w:r>
            <w:r w:rsidRPr="006B69D3">
              <w:rPr>
                <w:rFonts w:cs="Arial"/>
                <w:spacing w:val="-4"/>
                <w:szCs w:val="20"/>
              </w:rPr>
              <w:t>. Útlum investiční aktivity podniků za pandemické recese se podepsal na nižší produkci v odvětví opravy a</w:t>
            </w:r>
            <w:r>
              <w:rPr>
                <w:rFonts w:cs="Arial"/>
                <w:spacing w:val="-4"/>
                <w:szCs w:val="20"/>
              </w:rPr>
              <w:t> </w:t>
            </w:r>
            <w:r w:rsidRPr="006B69D3">
              <w:rPr>
                <w:rFonts w:cs="Arial"/>
                <w:spacing w:val="-4"/>
                <w:szCs w:val="20"/>
              </w:rPr>
              <w:t>instalace strojů a</w:t>
            </w:r>
            <w:r>
              <w:rPr>
                <w:rFonts w:cs="Arial"/>
                <w:spacing w:val="-4"/>
                <w:szCs w:val="20"/>
              </w:rPr>
              <w:t> </w:t>
            </w:r>
            <w:r w:rsidRPr="006B69D3">
              <w:rPr>
                <w:rFonts w:cs="Arial"/>
                <w:spacing w:val="-4"/>
                <w:szCs w:val="20"/>
              </w:rPr>
              <w:t>zařízení (</w:t>
            </w:r>
            <w:r w:rsidRPr="006B69D3">
              <w:rPr>
                <w:spacing w:val="-4"/>
              </w:rPr>
              <w:t>–</w:t>
            </w:r>
            <w:r w:rsidRPr="006B69D3">
              <w:rPr>
                <w:rFonts w:cs="Arial"/>
                <w:spacing w:val="-4"/>
                <w:szCs w:val="20"/>
              </w:rPr>
              <w:t>1,8</w:t>
            </w:r>
            <w:r>
              <w:rPr>
                <w:rFonts w:cs="Arial"/>
                <w:spacing w:val="-4"/>
                <w:szCs w:val="20"/>
              </w:rPr>
              <w:t> %</w:t>
            </w:r>
            <w:r w:rsidRPr="006B69D3">
              <w:rPr>
                <w:rFonts w:cs="Arial"/>
                <w:spacing w:val="-4"/>
                <w:szCs w:val="20"/>
              </w:rPr>
              <w:t>). To v těžbě a</w:t>
            </w:r>
            <w:r>
              <w:rPr>
                <w:rFonts w:cs="Arial"/>
                <w:spacing w:val="-4"/>
                <w:szCs w:val="20"/>
              </w:rPr>
              <w:t> </w:t>
            </w:r>
            <w:r w:rsidRPr="006B69D3">
              <w:rPr>
                <w:rFonts w:cs="Arial"/>
                <w:spacing w:val="-4"/>
                <w:szCs w:val="20"/>
              </w:rPr>
              <w:t xml:space="preserve">dobývání souvisely nižší výkony s dlouhodobou proměnou energetického mixu ekonomiky urychlenou v posledních </w:t>
            </w:r>
            <w:r>
              <w:rPr>
                <w:rFonts w:cs="Arial"/>
                <w:spacing w:val="-4"/>
                <w:szCs w:val="20"/>
              </w:rPr>
              <w:t>čtvrtletích i svižným</w:t>
            </w:r>
            <w:r w:rsidRPr="006B69D3">
              <w:rPr>
                <w:rFonts w:cs="Arial"/>
                <w:spacing w:val="-4"/>
                <w:szCs w:val="20"/>
              </w:rPr>
              <w:t xml:space="preserve"> růstem cen emisních povolenek. Produkce zde po loňském hlubokém propadu</w:t>
            </w:r>
            <w:r w:rsidRPr="006B69D3">
              <w:rPr>
                <w:rStyle w:val="Znakapoznpodarou"/>
                <w:spacing w:val="-4"/>
                <w:szCs w:val="20"/>
              </w:rPr>
              <w:footnoteReference w:id="12"/>
            </w:r>
            <w:r w:rsidRPr="006B69D3">
              <w:rPr>
                <w:rFonts w:cs="Arial"/>
                <w:spacing w:val="-4"/>
                <w:szCs w:val="20"/>
              </w:rPr>
              <w:t xml:space="preserve"> klesla o</w:t>
            </w:r>
            <w:r>
              <w:rPr>
                <w:rFonts w:cs="Arial"/>
                <w:spacing w:val="-4"/>
                <w:szCs w:val="20"/>
              </w:rPr>
              <w:t> </w:t>
            </w:r>
            <w:r w:rsidRPr="006B69D3">
              <w:rPr>
                <w:rFonts w:cs="Arial"/>
                <w:spacing w:val="-4"/>
                <w:szCs w:val="20"/>
              </w:rPr>
              <w:t>0,9</w:t>
            </w:r>
            <w:r>
              <w:rPr>
                <w:rFonts w:cs="Arial"/>
                <w:spacing w:val="-4"/>
                <w:szCs w:val="20"/>
              </w:rPr>
              <w:t> %</w:t>
            </w:r>
            <w:r w:rsidRPr="006B69D3">
              <w:rPr>
                <w:rFonts w:cs="Arial"/>
                <w:spacing w:val="-4"/>
                <w:szCs w:val="20"/>
              </w:rPr>
              <w:t xml:space="preserve">. </w:t>
            </w:r>
            <w:r>
              <w:rPr>
                <w:rFonts w:cs="Arial"/>
                <w:spacing w:val="-4"/>
                <w:szCs w:val="20"/>
              </w:rPr>
              <w:t>T</w:t>
            </w:r>
            <w:r w:rsidRPr="006B69D3">
              <w:rPr>
                <w:rFonts w:cs="Arial"/>
                <w:spacing w:val="-4"/>
                <w:szCs w:val="20"/>
              </w:rPr>
              <w:t>y</w:t>
            </w:r>
            <w:r>
              <w:rPr>
                <w:rFonts w:cs="Arial"/>
                <w:spacing w:val="-4"/>
                <w:szCs w:val="20"/>
              </w:rPr>
              <w:t>to</w:t>
            </w:r>
            <w:r w:rsidRPr="006B69D3">
              <w:rPr>
                <w:rFonts w:cs="Arial"/>
                <w:spacing w:val="-4"/>
                <w:szCs w:val="20"/>
              </w:rPr>
              <w:t xml:space="preserve"> čtyři výše uvedené obory </w:t>
            </w:r>
            <w:r>
              <w:rPr>
                <w:rFonts w:cs="Arial"/>
                <w:spacing w:val="-4"/>
                <w:szCs w:val="20"/>
              </w:rPr>
              <w:t xml:space="preserve">ale </w:t>
            </w:r>
            <w:r w:rsidRPr="006B69D3">
              <w:rPr>
                <w:rFonts w:cs="Arial"/>
                <w:spacing w:val="-4"/>
                <w:szCs w:val="20"/>
              </w:rPr>
              <w:t>měly letos vlivem své nízké váhy i</w:t>
            </w:r>
            <w:r>
              <w:rPr>
                <w:rFonts w:cs="Arial"/>
                <w:spacing w:val="-4"/>
                <w:szCs w:val="20"/>
              </w:rPr>
              <w:t> </w:t>
            </w:r>
            <w:r w:rsidRPr="006B69D3">
              <w:rPr>
                <w:rFonts w:cs="Arial"/>
                <w:spacing w:val="-6"/>
                <w:szCs w:val="20"/>
              </w:rPr>
              <w:t>mírnějších temp na meziroční vývoj produkce v celém průmyslu jen minimální vliv (</w:t>
            </w:r>
            <w:r w:rsidRPr="006B69D3">
              <w:rPr>
                <w:spacing w:val="-6"/>
              </w:rPr>
              <w:t>–</w:t>
            </w:r>
            <w:r w:rsidRPr="006B69D3">
              <w:rPr>
                <w:rFonts w:cs="Arial"/>
                <w:spacing w:val="-6"/>
                <w:szCs w:val="20"/>
              </w:rPr>
              <w:t>0,1</w:t>
            </w:r>
            <w:r>
              <w:rPr>
                <w:rFonts w:cs="Arial"/>
                <w:spacing w:val="-6"/>
                <w:szCs w:val="20"/>
              </w:rPr>
              <w:t> p. b.</w:t>
            </w:r>
            <w:r w:rsidRPr="006B69D3">
              <w:rPr>
                <w:rFonts w:cs="Arial"/>
                <w:spacing w:val="-6"/>
                <w:szCs w:val="20"/>
              </w:rPr>
              <w:t>).</w:t>
            </w:r>
          </w:p>
        </w:tc>
      </w:tr>
      <w:tr w:rsidR="00ED1959" w:rsidRPr="006237E6" w14:paraId="4651C224" w14:textId="77777777" w:rsidTr="000F7C73">
        <w:trPr>
          <w:trHeight w:val="155"/>
        </w:trPr>
        <w:tc>
          <w:tcPr>
            <w:tcW w:w="1728" w:type="dxa"/>
            <w:shd w:val="clear" w:color="auto" w:fill="auto"/>
            <w:tcMar>
              <w:left w:w="0" w:type="dxa"/>
            </w:tcMar>
          </w:tcPr>
          <w:p w14:paraId="0722E290" w14:textId="77777777" w:rsidR="00ED1959" w:rsidRDefault="00ED1959" w:rsidP="000F7C73">
            <w:pPr>
              <w:pStyle w:val="Marginlie"/>
              <w:rPr>
                <w:spacing w:val="-4"/>
              </w:rPr>
            </w:pPr>
            <w:r>
              <w:rPr>
                <w:spacing w:val="-4"/>
              </w:rPr>
              <w:t>Průmyslová produkce se již téměř vyrovnala úrovni ze 2. čtvrtletí 2019. Některé váhově i strategicky významné obory ale této mety dosud nedosáhly.</w:t>
            </w:r>
          </w:p>
        </w:tc>
        <w:tc>
          <w:tcPr>
            <w:tcW w:w="206" w:type="dxa"/>
            <w:shd w:val="clear" w:color="auto" w:fill="auto"/>
            <w:tcMar>
              <w:left w:w="0" w:type="dxa"/>
            </w:tcMar>
          </w:tcPr>
          <w:p w14:paraId="605A586C"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04FF0439" w14:textId="77777777" w:rsidR="00ED1959" w:rsidRPr="002034A0" w:rsidRDefault="00ED1959" w:rsidP="000F7C73">
            <w:pPr>
              <w:spacing w:after="200"/>
              <w:rPr>
                <w:color w:val="0D0D0D" w:themeColor="text1" w:themeTint="F2"/>
                <w:spacing w:val="-3"/>
              </w:rPr>
            </w:pPr>
            <w:r>
              <w:rPr>
                <w:color w:val="0D0D0D" w:themeColor="text1" w:themeTint="F2"/>
                <w:spacing w:val="-3"/>
              </w:rPr>
              <w:t>Ve druhém letošním čtvrtletí produkce v celém průmyslu za stejným obdobím roku 2019 již jen lehce zaostávala (o 1,6 %). Projevuje se zde nejen vliv celého pandemického období, ale také dopad krátkého cyklického útlumu průmyslu, který mu předcházel. Polovina zpracovatelských oborů vykázala za toto dvouleté období růst. Vedle výroby kolejových dopravních prostředků (kde má produkce částečně volatilní charakter) se jednalo hlavně</w:t>
            </w:r>
            <w:r>
              <w:rPr>
                <w:rFonts w:cs="Arial"/>
                <w:spacing w:val="-4"/>
                <w:szCs w:val="20"/>
              </w:rPr>
              <w:t xml:space="preserve"> o </w:t>
            </w:r>
            <w:r>
              <w:rPr>
                <w:color w:val="0D0D0D" w:themeColor="text1" w:themeTint="F2"/>
                <w:spacing w:val="-3"/>
              </w:rPr>
              <w:t>dřevozpracující (+12,6 %), papírenský (+10,9 %) a ostatní průmysl</w:t>
            </w:r>
            <w:r>
              <w:rPr>
                <w:rStyle w:val="Znakapoznpodarou"/>
                <w:color w:val="0D0D0D" w:themeColor="text1" w:themeTint="F2"/>
                <w:spacing w:val="-3"/>
              </w:rPr>
              <w:footnoteReference w:id="13"/>
            </w:r>
            <w:r>
              <w:rPr>
                <w:color w:val="0D0D0D" w:themeColor="text1" w:themeTint="F2"/>
                <w:spacing w:val="-3"/>
              </w:rPr>
              <w:t xml:space="preserve"> (+10,6 %), dále o</w:t>
            </w:r>
            <w:r w:rsidRPr="006B69D3">
              <w:rPr>
                <w:rFonts w:cs="Arial"/>
                <w:spacing w:val="-4"/>
                <w:szCs w:val="20"/>
              </w:rPr>
              <w:t> </w:t>
            </w:r>
            <w:r>
              <w:rPr>
                <w:color w:val="0D0D0D" w:themeColor="text1" w:themeTint="F2"/>
                <w:spacing w:val="-3"/>
              </w:rPr>
              <w:t>farmaceutický průmysl (+4,9 %) a z větších oborů o elektrotechniku (+2,8 %), kovovýrobu, (+2,5 %) a potravinářství (+1,7 %). Naproti tomu ztrácely i některé klíčové obory – výroba motorových vozidel (</w:t>
            </w:r>
            <w:r w:rsidRPr="006B69D3">
              <w:rPr>
                <w:spacing w:val="-4"/>
              </w:rPr>
              <w:t>–</w:t>
            </w:r>
            <w:r>
              <w:rPr>
                <w:color w:val="0D0D0D" w:themeColor="text1" w:themeTint="F2"/>
                <w:spacing w:val="-3"/>
              </w:rPr>
              <w:t>5,5 %) a strojírenství (</w:t>
            </w:r>
            <w:r w:rsidRPr="006B69D3">
              <w:rPr>
                <w:spacing w:val="-4"/>
              </w:rPr>
              <w:t>–</w:t>
            </w:r>
            <w:r>
              <w:rPr>
                <w:color w:val="0D0D0D" w:themeColor="text1" w:themeTint="F2"/>
                <w:spacing w:val="-3"/>
              </w:rPr>
              <w:t xml:space="preserve">6,0 %) a také energetika </w:t>
            </w:r>
            <w:r>
              <w:rPr>
                <w:color w:val="0D0D0D" w:themeColor="text1" w:themeTint="F2"/>
                <w:spacing w:val="-3"/>
              </w:rPr>
              <w:br/>
              <w:t>(</w:t>
            </w:r>
            <w:r w:rsidRPr="006B69D3">
              <w:rPr>
                <w:spacing w:val="-4"/>
              </w:rPr>
              <w:t>–</w:t>
            </w:r>
            <w:r>
              <w:rPr>
                <w:color w:val="0D0D0D" w:themeColor="text1" w:themeTint="F2"/>
                <w:spacing w:val="-3"/>
              </w:rPr>
              <w:t>9,6 %).</w:t>
            </w:r>
          </w:p>
        </w:tc>
      </w:tr>
      <w:tr w:rsidR="00ED1959" w:rsidRPr="006237E6" w14:paraId="0506864B" w14:textId="77777777" w:rsidTr="000F7C73">
        <w:trPr>
          <w:trHeight w:val="155"/>
        </w:trPr>
        <w:tc>
          <w:tcPr>
            <w:tcW w:w="1728" w:type="dxa"/>
            <w:shd w:val="clear" w:color="auto" w:fill="auto"/>
            <w:tcMar>
              <w:left w:w="0" w:type="dxa"/>
            </w:tcMar>
          </w:tcPr>
          <w:p w14:paraId="4991CB33" w14:textId="77777777" w:rsidR="00ED1959" w:rsidRDefault="00ED1959" w:rsidP="000F7C73">
            <w:pPr>
              <w:pStyle w:val="Marginlie"/>
              <w:rPr>
                <w:spacing w:val="-4"/>
              </w:rPr>
            </w:pPr>
            <w:r>
              <w:rPr>
                <w:spacing w:val="-4"/>
              </w:rPr>
              <w:t>Tržby z přímého vývozu rostly nadále svižněji než tržby z tuzemska.</w:t>
            </w:r>
          </w:p>
          <w:p w14:paraId="792D417C" w14:textId="77777777" w:rsidR="00ED1959" w:rsidRDefault="00ED1959" w:rsidP="000F7C73">
            <w:pPr>
              <w:pStyle w:val="Marginlie"/>
              <w:rPr>
                <w:spacing w:val="-4"/>
              </w:rPr>
            </w:pPr>
          </w:p>
          <w:p w14:paraId="583629B5" w14:textId="77777777" w:rsidR="00ED1959" w:rsidRDefault="00ED1959" w:rsidP="000F7C73">
            <w:pPr>
              <w:pStyle w:val="Marginlie"/>
              <w:rPr>
                <w:spacing w:val="-4"/>
              </w:rPr>
            </w:pPr>
          </w:p>
          <w:p w14:paraId="30EAE1BE" w14:textId="77777777" w:rsidR="00ED1959" w:rsidRDefault="00ED1959" w:rsidP="000F7C73">
            <w:pPr>
              <w:pStyle w:val="Marginlie"/>
              <w:rPr>
                <w:spacing w:val="-4"/>
              </w:rPr>
            </w:pPr>
          </w:p>
          <w:p w14:paraId="3DE2F976" w14:textId="77777777" w:rsidR="00ED1959" w:rsidRDefault="00ED1959" w:rsidP="000F7C73">
            <w:pPr>
              <w:pStyle w:val="Marginlie"/>
              <w:rPr>
                <w:spacing w:val="-4"/>
              </w:rPr>
            </w:pPr>
            <w:r>
              <w:rPr>
                <w:spacing w:val="-4"/>
              </w:rPr>
              <w:t>V chemickém, hutnickém a dřevozpracujícím průmyslu byl růst tržeb významně tažen i vyššími cenami.</w:t>
            </w:r>
          </w:p>
        </w:tc>
        <w:tc>
          <w:tcPr>
            <w:tcW w:w="206" w:type="dxa"/>
            <w:shd w:val="clear" w:color="auto" w:fill="auto"/>
            <w:tcMar>
              <w:left w:w="0" w:type="dxa"/>
            </w:tcMar>
          </w:tcPr>
          <w:p w14:paraId="4788E9A0"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6A777D15" w14:textId="77777777" w:rsidR="00ED1959" w:rsidRPr="001872A3" w:rsidRDefault="00ED1959" w:rsidP="00ED1959">
            <w:pPr>
              <w:rPr>
                <w:rFonts w:cs="Arial"/>
                <w:bCs/>
                <w:color w:val="0D0D0D" w:themeColor="text1" w:themeTint="F2"/>
                <w:spacing w:val="-4"/>
                <w:szCs w:val="20"/>
              </w:rPr>
            </w:pPr>
            <w:r w:rsidRPr="00A40DF2">
              <w:rPr>
                <w:rFonts w:cs="Arial"/>
                <w:bCs/>
                <w:color w:val="0D0D0D" w:themeColor="text1" w:themeTint="F2"/>
                <w:spacing w:val="-4"/>
                <w:szCs w:val="20"/>
              </w:rPr>
              <w:t>Nominální tržby průmyslových podniků</w:t>
            </w:r>
            <w:r w:rsidRPr="003B6DBE">
              <w:rPr>
                <w:rStyle w:val="Znakapoznpodarou"/>
                <w:bCs/>
                <w:color w:val="0D0D0D" w:themeColor="text1" w:themeTint="F2"/>
                <w:spacing w:val="-4"/>
                <w:szCs w:val="20"/>
              </w:rPr>
              <w:footnoteReference w:id="14"/>
            </w:r>
            <w:r>
              <w:rPr>
                <w:rFonts w:cs="Arial"/>
                <w:bCs/>
                <w:color w:val="0D0D0D" w:themeColor="text1" w:themeTint="F2"/>
                <w:spacing w:val="-4"/>
                <w:szCs w:val="20"/>
              </w:rPr>
              <w:t xml:space="preserve"> se ve 2</w:t>
            </w:r>
            <w:r w:rsidRPr="003B6DBE">
              <w:rPr>
                <w:rFonts w:cs="Arial"/>
                <w:bCs/>
                <w:color w:val="0D0D0D" w:themeColor="text1" w:themeTint="F2"/>
                <w:spacing w:val="-4"/>
                <w:szCs w:val="20"/>
              </w:rPr>
              <w:t>.</w:t>
            </w:r>
            <w:r>
              <w:rPr>
                <w:rFonts w:cs="Arial"/>
                <w:bCs/>
                <w:color w:val="0D0D0D" w:themeColor="text1" w:themeTint="F2"/>
                <w:spacing w:val="-4"/>
                <w:szCs w:val="20"/>
              </w:rPr>
              <w:t> čtvrtletí 2021 mezikvartálně zvýšily o 4,1</w:t>
            </w:r>
            <w:r w:rsidRPr="006B69D3">
              <w:rPr>
                <w:rFonts w:cs="Arial"/>
                <w:spacing w:val="-4"/>
                <w:szCs w:val="20"/>
              </w:rPr>
              <w:t> </w:t>
            </w:r>
            <w:r>
              <w:rPr>
                <w:rFonts w:cs="Arial"/>
                <w:bCs/>
                <w:color w:val="0D0D0D" w:themeColor="text1" w:themeTint="F2"/>
                <w:spacing w:val="-4"/>
                <w:szCs w:val="20"/>
              </w:rPr>
              <w:t>% a kompenzovaly mírný pokles z počátku roku. Meziročně byly tržby z přímého vývozu vyšší o 38,1 %, tržby z tuzemska o 26,9 %. Zahraniční poptávka tak rostla svižněji než domácí již čtvrtý kvartál v řadě</w:t>
            </w:r>
            <w:r>
              <w:rPr>
                <w:rStyle w:val="Znakapoznpodarou"/>
                <w:bCs/>
                <w:color w:val="0D0D0D" w:themeColor="text1" w:themeTint="F2"/>
                <w:spacing w:val="-4"/>
                <w:szCs w:val="20"/>
              </w:rPr>
              <w:footnoteReference w:id="15"/>
            </w:r>
            <w:r>
              <w:rPr>
                <w:rFonts w:cs="Arial"/>
                <w:bCs/>
                <w:color w:val="0D0D0D" w:themeColor="text1" w:themeTint="F2"/>
                <w:spacing w:val="-4"/>
                <w:szCs w:val="20"/>
              </w:rPr>
              <w:t xml:space="preserve">. Celkové tržby narostly nejvíce ve výrobě motorových vozidel (73,3 %), avšak ani to nestačilo plně pokrýt hluboký propad ze 2. čtvrtletí 2020. Více než 50% zvýšení tržeb hlásilo gumárenství a plastikářství, ale také chemický průmysl a hutnictví, u nichž ale sehrál významnou roli cenový růst. Ten pomohl i tržbám ve dřevozpracujícím průmyslu (43,2 %, u přímého vývozu dokonce 50,3 %). Mírné snížení tržeb (do 5 %) registrovali jen </w:t>
            </w:r>
            <w:r>
              <w:rPr>
                <w:rFonts w:cs="Arial"/>
                <w:bCs/>
                <w:color w:val="0D0D0D" w:themeColor="text1" w:themeTint="F2"/>
                <w:spacing w:val="-4"/>
                <w:szCs w:val="20"/>
              </w:rPr>
              <w:lastRenderedPageBreak/>
              <w:t>výrobci oděvů, farmaceutický průmysl a výrobci počítačů, elektronických a optických přístrojů – ve všech případech výhradně vlivem negativního cenového vlivu.</w:t>
            </w:r>
          </w:p>
        </w:tc>
      </w:tr>
      <w:tr w:rsidR="00ED1959" w:rsidRPr="006237E6" w14:paraId="27A6B587" w14:textId="77777777" w:rsidTr="000F7C73">
        <w:trPr>
          <w:trHeight w:val="155"/>
        </w:trPr>
        <w:tc>
          <w:tcPr>
            <w:tcW w:w="1728" w:type="dxa"/>
            <w:shd w:val="clear" w:color="auto" w:fill="auto"/>
            <w:tcMar>
              <w:left w:w="0" w:type="dxa"/>
            </w:tcMar>
          </w:tcPr>
          <w:p w14:paraId="665AA1CB" w14:textId="77777777" w:rsidR="00ED1959" w:rsidRPr="00BE54BF" w:rsidRDefault="00ED1959" w:rsidP="000F7C73">
            <w:pPr>
              <w:pStyle w:val="Marginlie"/>
            </w:pPr>
          </w:p>
        </w:tc>
        <w:tc>
          <w:tcPr>
            <w:tcW w:w="206" w:type="dxa"/>
            <w:shd w:val="clear" w:color="auto" w:fill="auto"/>
            <w:tcMar>
              <w:left w:w="0" w:type="dxa"/>
            </w:tcMar>
          </w:tcPr>
          <w:p w14:paraId="3DFDCB94" w14:textId="77777777" w:rsidR="00ED1959" w:rsidRPr="003B1401" w:rsidRDefault="00ED1959" w:rsidP="000F7C73">
            <w:pPr>
              <w:pStyle w:val="Textpoznpodarou"/>
              <w:jc w:val="both"/>
              <w:rPr>
                <w:spacing w:val="-4"/>
              </w:rPr>
            </w:pPr>
          </w:p>
        </w:tc>
        <w:tc>
          <w:tcPr>
            <w:tcW w:w="7730" w:type="dxa"/>
            <w:shd w:val="clear" w:color="auto" w:fill="auto"/>
            <w:tcMar>
              <w:left w:w="0" w:type="dxa"/>
            </w:tcMar>
          </w:tcPr>
          <w:p w14:paraId="4C77B6A5" w14:textId="77777777" w:rsidR="00ED1959" w:rsidRPr="00965AD0" w:rsidRDefault="00ED1959" w:rsidP="000F7C73">
            <w:pPr>
              <w:spacing w:after="0"/>
              <w:rPr>
                <w:spacing w:val="-4"/>
              </w:rPr>
            </w:pPr>
            <w:r w:rsidRPr="00883202">
              <w:rPr>
                <w:rFonts w:cs="Arial"/>
                <w:b/>
                <w:bCs/>
                <w:color w:val="000000"/>
                <w:szCs w:val="20"/>
              </w:rPr>
              <w:t>Graf č. 4</w:t>
            </w:r>
            <w:r>
              <w:rPr>
                <w:rFonts w:cs="Arial"/>
                <w:b/>
                <w:bCs/>
                <w:color w:val="000000"/>
                <w:szCs w:val="20"/>
              </w:rPr>
              <w:t xml:space="preserve"> </w:t>
            </w:r>
            <w:r w:rsidRPr="00883202">
              <w:rPr>
                <w:rFonts w:cs="Arial"/>
                <w:b/>
                <w:bCs/>
                <w:color w:val="000000"/>
                <w:szCs w:val="20"/>
              </w:rPr>
              <w:t xml:space="preserve"> </w:t>
            </w:r>
            <w:r w:rsidRPr="00883202">
              <w:rPr>
                <w:b/>
              </w:rPr>
              <w:t>Příspěvky dílčích odvětví k meziroční změně průmyslové produkce</w:t>
            </w:r>
            <w:r w:rsidRPr="00883202">
              <w:rPr>
                <w:b/>
              </w:rPr>
              <w:br/>
            </w:r>
            <w:r>
              <w:t>(v p. b., očištěno o kalendářní</w:t>
            </w:r>
            <w:r w:rsidRPr="00883202">
              <w:t xml:space="preserve"> vlivy)</w:t>
            </w:r>
            <w:r w:rsidRPr="00883202">
              <w:rPr>
                <w:b/>
                <w:bCs/>
              </w:rPr>
              <w:t xml:space="preserve">, </w:t>
            </w:r>
            <w:r w:rsidRPr="00883202">
              <w:rPr>
                <w:b/>
              </w:rPr>
              <w:t xml:space="preserve">saldo důvěry v průmyslu* </w:t>
            </w:r>
            <w:r>
              <w:t xml:space="preserve">(v p. b., pravá </w:t>
            </w:r>
            <w:r w:rsidRPr="00883202">
              <w:t>osa)</w:t>
            </w:r>
          </w:p>
        </w:tc>
      </w:tr>
      <w:tr w:rsidR="00ED1959" w:rsidRPr="00B43216" w14:paraId="395CFB6E" w14:textId="77777777" w:rsidTr="000F7C73">
        <w:tblPrEx>
          <w:tblCellMar>
            <w:left w:w="70" w:type="dxa"/>
            <w:right w:w="70" w:type="dxa"/>
          </w:tblCellMar>
        </w:tblPrEx>
        <w:trPr>
          <w:trHeight w:val="145"/>
        </w:trPr>
        <w:tc>
          <w:tcPr>
            <w:tcW w:w="1728" w:type="dxa"/>
            <w:shd w:val="clear" w:color="auto" w:fill="auto"/>
          </w:tcPr>
          <w:p w14:paraId="418ED0DD" w14:textId="77777777" w:rsidR="00ED1959" w:rsidRDefault="00ED1959" w:rsidP="000F7C73">
            <w:pPr>
              <w:pStyle w:val="Marginlie"/>
              <w:rPr>
                <w:spacing w:val="-4"/>
              </w:rPr>
            </w:pPr>
          </w:p>
        </w:tc>
        <w:tc>
          <w:tcPr>
            <w:tcW w:w="206" w:type="dxa"/>
            <w:shd w:val="clear" w:color="auto" w:fill="auto"/>
          </w:tcPr>
          <w:p w14:paraId="1EEF7971" w14:textId="77777777" w:rsidR="00ED1959" w:rsidRPr="00B43216" w:rsidRDefault="00ED1959" w:rsidP="000F7C73">
            <w:pPr>
              <w:pStyle w:val="Textpoznpodarou"/>
              <w:jc w:val="both"/>
              <w:rPr>
                <w:spacing w:val="-4"/>
              </w:rPr>
            </w:pPr>
          </w:p>
        </w:tc>
        <w:tc>
          <w:tcPr>
            <w:tcW w:w="7730" w:type="dxa"/>
            <w:shd w:val="clear" w:color="auto" w:fill="auto"/>
          </w:tcPr>
          <w:p w14:paraId="64129EA5" w14:textId="77777777" w:rsidR="00ED1959" w:rsidRPr="00241E62" w:rsidRDefault="00ED1959" w:rsidP="000F7C73">
            <w:pPr>
              <w:spacing w:after="40"/>
              <w:rPr>
                <w:rFonts w:cs="Arial"/>
                <w:bCs/>
                <w:color w:val="000000"/>
                <w:szCs w:val="20"/>
              </w:rPr>
            </w:pPr>
            <w:r>
              <w:rPr>
                <w:noProof/>
              </w:rPr>
              <w:drawing>
                <wp:inline distT="0" distB="0" distL="0" distR="0" wp14:anchorId="34756FD1" wp14:editId="184F6E82">
                  <wp:extent cx="4817745" cy="3645725"/>
                  <wp:effectExtent l="0" t="0" r="1905"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ED1959" w:rsidRPr="00B43216" w14:paraId="4C8E3519" w14:textId="77777777" w:rsidTr="000F7C73">
        <w:trPr>
          <w:trHeight w:val="145"/>
        </w:trPr>
        <w:tc>
          <w:tcPr>
            <w:tcW w:w="1728" w:type="dxa"/>
            <w:shd w:val="clear" w:color="auto" w:fill="auto"/>
            <w:tcMar>
              <w:left w:w="0" w:type="dxa"/>
            </w:tcMar>
          </w:tcPr>
          <w:p w14:paraId="3F267C7C" w14:textId="77777777" w:rsidR="00ED1959" w:rsidRDefault="00ED1959" w:rsidP="000F7C73">
            <w:pPr>
              <w:pStyle w:val="Marginlie"/>
              <w:rPr>
                <w:spacing w:val="-4"/>
              </w:rPr>
            </w:pPr>
          </w:p>
        </w:tc>
        <w:tc>
          <w:tcPr>
            <w:tcW w:w="206" w:type="dxa"/>
            <w:shd w:val="clear" w:color="auto" w:fill="auto"/>
            <w:tcMar>
              <w:left w:w="0" w:type="dxa"/>
            </w:tcMar>
          </w:tcPr>
          <w:p w14:paraId="42826C80"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208940F8" w14:textId="77777777" w:rsidR="00ED1959" w:rsidRPr="007A0D91" w:rsidRDefault="00ED1959" w:rsidP="000F7C73">
            <w:pPr>
              <w:tabs>
                <w:tab w:val="right" w:pos="7711"/>
              </w:tabs>
              <w:spacing w:after="200"/>
              <w:rPr>
                <w:rFonts w:cs="Arial"/>
                <w:sz w:val="14"/>
                <w:szCs w:val="14"/>
              </w:rPr>
            </w:pPr>
            <w:r w:rsidRPr="00883202">
              <w:rPr>
                <w:rFonts w:cs="Arial"/>
                <w:sz w:val="14"/>
                <w:szCs w:val="14"/>
              </w:rPr>
              <w:t xml:space="preserve">*Saldo důvěry je sezónně očištěno a vyjadřuje stav ve </w:t>
            </w:r>
            <w:r>
              <w:rPr>
                <w:rFonts w:cs="Arial"/>
                <w:sz w:val="14"/>
                <w:szCs w:val="14"/>
              </w:rPr>
              <w:t>druhém měsíci daného čtvrtletí.</w:t>
            </w:r>
            <w:r>
              <w:rPr>
                <w:rFonts w:cs="Arial"/>
                <w:sz w:val="14"/>
                <w:szCs w:val="14"/>
              </w:rPr>
              <w:tab/>
            </w:r>
            <w:r w:rsidRPr="00883202">
              <w:rPr>
                <w:rFonts w:cs="Arial"/>
                <w:sz w:val="14"/>
                <w:szCs w:val="14"/>
              </w:rPr>
              <w:t>Zdroj: ČSÚ</w:t>
            </w:r>
          </w:p>
        </w:tc>
      </w:tr>
      <w:tr w:rsidR="00ED1959" w:rsidRPr="00B43216" w14:paraId="1AC85AC3" w14:textId="77777777" w:rsidTr="000F7C73">
        <w:trPr>
          <w:trHeight w:val="145"/>
        </w:trPr>
        <w:tc>
          <w:tcPr>
            <w:tcW w:w="1728" w:type="dxa"/>
            <w:shd w:val="clear" w:color="auto" w:fill="auto"/>
            <w:tcMar>
              <w:left w:w="0" w:type="dxa"/>
            </w:tcMar>
          </w:tcPr>
          <w:p w14:paraId="0697D31B" w14:textId="77777777" w:rsidR="00ED1959" w:rsidRDefault="00ED1959" w:rsidP="000F7C73">
            <w:pPr>
              <w:pStyle w:val="Marginlie"/>
              <w:rPr>
                <w:spacing w:val="0"/>
              </w:rPr>
            </w:pPr>
            <w:r>
              <w:rPr>
                <w:spacing w:val="0"/>
              </w:rPr>
              <w:t>Růst domácí i zahraniční poptávky během 1. pololetí i v samotném červenci pokračoval. Týkal se výrazné většiny sledovaných oborů.</w:t>
            </w:r>
          </w:p>
        </w:tc>
        <w:tc>
          <w:tcPr>
            <w:tcW w:w="206" w:type="dxa"/>
            <w:shd w:val="clear" w:color="auto" w:fill="auto"/>
            <w:tcMar>
              <w:left w:w="0" w:type="dxa"/>
            </w:tcMar>
          </w:tcPr>
          <w:p w14:paraId="098A702E"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1EFE3F1F" w14:textId="77777777" w:rsidR="00ED1959" w:rsidRPr="00C8413E" w:rsidRDefault="00ED1959" w:rsidP="000F7C73">
            <w:pPr>
              <w:spacing w:after="200"/>
              <w:rPr>
                <w:color w:val="0D0D0D" w:themeColor="text1" w:themeTint="F2"/>
                <w:spacing w:val="-4"/>
              </w:rPr>
            </w:pPr>
            <w:r w:rsidRPr="00C8413E">
              <w:rPr>
                <w:color w:val="0D0D0D" w:themeColor="text1" w:themeTint="F2"/>
                <w:spacing w:val="-4"/>
              </w:rPr>
              <w:t>Krátkodobé vyhlídky průmyslu se během 1.</w:t>
            </w:r>
            <w:r>
              <w:rPr>
                <w:color w:val="0D0D0D" w:themeColor="text1" w:themeTint="F2"/>
                <w:spacing w:val="-4"/>
              </w:rPr>
              <w:t> pololet</w:t>
            </w:r>
            <w:r w:rsidRPr="00C8413E">
              <w:rPr>
                <w:color w:val="0D0D0D" w:themeColor="text1" w:themeTint="F2"/>
                <w:spacing w:val="-4"/>
              </w:rPr>
              <w:t>í zlepšovaly</w:t>
            </w:r>
            <w:r w:rsidRPr="00C8413E">
              <w:rPr>
                <w:color w:val="000000" w:themeColor="text1"/>
                <w:spacing w:val="-4"/>
              </w:rPr>
              <w:t>. Po silném oživení během druhé poloviny loňského roku letos celková poptávka dále rostla. V 1.</w:t>
            </w:r>
            <w:r>
              <w:rPr>
                <w:color w:val="000000" w:themeColor="text1"/>
                <w:spacing w:val="-4"/>
              </w:rPr>
              <w:t> čtvrtlet</w:t>
            </w:r>
            <w:r w:rsidRPr="00C8413E">
              <w:rPr>
                <w:color w:val="000000" w:themeColor="text1"/>
                <w:spacing w:val="-4"/>
              </w:rPr>
              <w:t xml:space="preserve">í 2021 </w:t>
            </w:r>
            <w:r w:rsidRPr="00C8413E">
              <w:rPr>
                <w:color w:val="0D0D0D" w:themeColor="text1" w:themeTint="F2"/>
                <w:spacing w:val="-4"/>
              </w:rPr>
              <w:t>se hodnota průmyslových zakázek</w:t>
            </w:r>
            <w:r w:rsidRPr="00C8413E">
              <w:rPr>
                <w:rStyle w:val="Znakapoznpodarou"/>
                <w:spacing w:val="-4"/>
              </w:rPr>
              <w:footnoteReference w:id="16"/>
            </w:r>
            <w:r w:rsidRPr="00C8413E">
              <w:rPr>
                <w:color w:val="0D0D0D" w:themeColor="text1" w:themeTint="F2"/>
                <w:spacing w:val="-4"/>
              </w:rPr>
              <w:t xml:space="preserve"> mezikvartálně zvýšila o</w:t>
            </w:r>
            <w:r>
              <w:rPr>
                <w:color w:val="0D0D0D" w:themeColor="text1" w:themeTint="F2"/>
                <w:spacing w:val="-4"/>
              </w:rPr>
              <w:t> </w:t>
            </w:r>
            <w:r w:rsidRPr="00C8413E">
              <w:rPr>
                <w:color w:val="0D0D0D" w:themeColor="text1" w:themeTint="F2"/>
                <w:spacing w:val="-4"/>
              </w:rPr>
              <w:t>1,8</w:t>
            </w:r>
            <w:r>
              <w:rPr>
                <w:color w:val="0D0D0D" w:themeColor="text1" w:themeTint="F2"/>
                <w:spacing w:val="-4"/>
              </w:rPr>
              <w:t> %</w:t>
            </w:r>
            <w:r w:rsidRPr="00C8413E">
              <w:rPr>
                <w:color w:val="0D0D0D" w:themeColor="text1" w:themeTint="F2"/>
                <w:spacing w:val="-4"/>
              </w:rPr>
              <w:t>, v následujícím období o </w:t>
            </w:r>
            <w:r>
              <w:rPr>
                <w:color w:val="0D0D0D" w:themeColor="text1" w:themeTint="F2"/>
                <w:spacing w:val="-4"/>
              </w:rPr>
              <w:t>3,2</w:t>
            </w:r>
            <w:r w:rsidRPr="00C8413E">
              <w:rPr>
                <w:color w:val="0D0D0D" w:themeColor="text1" w:themeTint="F2"/>
                <w:spacing w:val="-4"/>
              </w:rPr>
              <w:t> %. Příznivý trend se přenesl i</w:t>
            </w:r>
            <w:r>
              <w:rPr>
                <w:color w:val="0D0D0D" w:themeColor="text1" w:themeTint="F2"/>
                <w:spacing w:val="-4"/>
              </w:rPr>
              <w:t> </w:t>
            </w:r>
            <w:r w:rsidRPr="00C8413E">
              <w:rPr>
                <w:color w:val="0D0D0D" w:themeColor="text1" w:themeTint="F2"/>
                <w:spacing w:val="-4"/>
              </w:rPr>
              <w:t xml:space="preserve">do počátku prázdnin, neboť zakázky byly </w:t>
            </w:r>
            <w:r>
              <w:rPr>
                <w:color w:val="0D0D0D" w:themeColor="text1" w:themeTint="F2"/>
                <w:spacing w:val="-4"/>
              </w:rPr>
              <w:t>v </w:t>
            </w:r>
            <w:r w:rsidRPr="00C8413E">
              <w:rPr>
                <w:color w:val="0D0D0D" w:themeColor="text1" w:themeTint="F2"/>
                <w:spacing w:val="-4"/>
              </w:rPr>
              <w:t>červenci proti předchozímu měsíci vyšší o</w:t>
            </w:r>
            <w:r>
              <w:rPr>
                <w:color w:val="0D0D0D" w:themeColor="text1" w:themeTint="F2"/>
                <w:spacing w:val="-4"/>
              </w:rPr>
              <w:t> </w:t>
            </w:r>
            <w:r w:rsidRPr="00C8413E">
              <w:rPr>
                <w:color w:val="0D0D0D" w:themeColor="text1" w:themeTint="F2"/>
                <w:spacing w:val="-4"/>
              </w:rPr>
              <w:t>3,1</w:t>
            </w:r>
            <w:r>
              <w:rPr>
                <w:color w:val="0D0D0D" w:themeColor="text1" w:themeTint="F2"/>
                <w:spacing w:val="-4"/>
              </w:rPr>
              <w:t> %</w:t>
            </w:r>
            <w:r w:rsidRPr="00C8413E">
              <w:rPr>
                <w:color w:val="0D0D0D" w:themeColor="text1" w:themeTint="F2"/>
                <w:spacing w:val="-4"/>
              </w:rPr>
              <w:t xml:space="preserve"> a</w:t>
            </w:r>
            <w:r>
              <w:rPr>
                <w:color w:val="0D0D0D" w:themeColor="text1" w:themeTint="F2"/>
                <w:spacing w:val="-4"/>
              </w:rPr>
              <w:t> </w:t>
            </w:r>
            <w:r w:rsidRPr="00C8413E">
              <w:rPr>
                <w:color w:val="0D0D0D" w:themeColor="text1" w:themeTint="F2"/>
                <w:spacing w:val="-4"/>
              </w:rPr>
              <w:t>meziročně o</w:t>
            </w:r>
            <w:r>
              <w:rPr>
                <w:color w:val="0D0D0D" w:themeColor="text1" w:themeTint="F2"/>
                <w:spacing w:val="-4"/>
              </w:rPr>
              <w:t> </w:t>
            </w:r>
            <w:r w:rsidRPr="00C8413E">
              <w:rPr>
                <w:color w:val="0D0D0D" w:themeColor="text1" w:themeTint="F2"/>
                <w:spacing w:val="-4"/>
              </w:rPr>
              <w:t>18,9</w:t>
            </w:r>
            <w:r>
              <w:rPr>
                <w:color w:val="0D0D0D" w:themeColor="text1" w:themeTint="F2"/>
                <w:spacing w:val="-4"/>
              </w:rPr>
              <w:t> %</w:t>
            </w:r>
            <w:r w:rsidRPr="00C8413E">
              <w:rPr>
                <w:rStyle w:val="Znakapoznpodarou"/>
                <w:color w:val="0D0D0D" w:themeColor="text1" w:themeTint="F2"/>
                <w:spacing w:val="-4"/>
              </w:rPr>
              <w:footnoteReference w:id="17"/>
            </w:r>
            <w:r w:rsidRPr="00C8413E">
              <w:rPr>
                <w:color w:val="0D0D0D" w:themeColor="text1" w:themeTint="F2"/>
                <w:spacing w:val="-4"/>
              </w:rPr>
              <w:t xml:space="preserve"> (bez významnějších rozdílů mezi domácí a</w:t>
            </w:r>
            <w:r>
              <w:rPr>
                <w:color w:val="0D0D0D" w:themeColor="text1" w:themeTint="F2"/>
                <w:spacing w:val="-4"/>
              </w:rPr>
              <w:t> </w:t>
            </w:r>
            <w:r w:rsidRPr="00C8413E">
              <w:rPr>
                <w:color w:val="0D0D0D" w:themeColor="text1" w:themeTint="F2"/>
                <w:spacing w:val="-4"/>
              </w:rPr>
              <w:t>zahraniční poptávkou). Silný růst hlásily chemický průmysl i</w:t>
            </w:r>
            <w:r>
              <w:rPr>
                <w:color w:val="0D0D0D" w:themeColor="text1" w:themeTint="F2"/>
                <w:spacing w:val="-4"/>
              </w:rPr>
              <w:t> </w:t>
            </w:r>
            <w:r w:rsidRPr="00C8413E">
              <w:rPr>
                <w:color w:val="0D0D0D" w:themeColor="text1" w:themeTint="F2"/>
                <w:spacing w:val="-4"/>
              </w:rPr>
              <w:t>hutnictví, vyšší poptávku ale signalizovala drtivá většina sledovaných oborů. Využití výrobních kapacit v průmyslu vystoupalo na 88</w:t>
            </w:r>
            <w:r>
              <w:rPr>
                <w:color w:val="0D0D0D" w:themeColor="text1" w:themeTint="F2"/>
                <w:spacing w:val="-4"/>
              </w:rPr>
              <w:t> %</w:t>
            </w:r>
            <w:r w:rsidRPr="00C8413E">
              <w:rPr>
                <w:color w:val="0D0D0D" w:themeColor="text1" w:themeTint="F2"/>
                <w:spacing w:val="-4"/>
              </w:rPr>
              <w:t>, tedy mírně nad úroveň konjunkturního období minulé dekády. Mezi státy EU bylo vyšší jen v Rakousku.</w:t>
            </w:r>
          </w:p>
        </w:tc>
      </w:tr>
      <w:tr w:rsidR="00ED1959" w:rsidRPr="00B43216" w14:paraId="541269C3" w14:textId="77777777" w:rsidTr="000F7C73">
        <w:trPr>
          <w:trHeight w:val="145"/>
        </w:trPr>
        <w:tc>
          <w:tcPr>
            <w:tcW w:w="1728" w:type="dxa"/>
            <w:shd w:val="clear" w:color="auto" w:fill="auto"/>
            <w:tcMar>
              <w:left w:w="0" w:type="dxa"/>
            </w:tcMar>
          </w:tcPr>
          <w:p w14:paraId="134E9DCB" w14:textId="77777777" w:rsidR="00ED1959" w:rsidRDefault="00ED1959" w:rsidP="000F7C73">
            <w:pPr>
              <w:pStyle w:val="Marginlie"/>
              <w:rPr>
                <w:spacing w:val="0"/>
              </w:rPr>
            </w:pPr>
            <w:r>
              <w:rPr>
                <w:spacing w:val="0"/>
              </w:rPr>
              <w:t>Důvěra podnikatelů v průmyslu rostla a kulminovala v červnu. Poté se mírně snížila, hlavně vlivem nedostatku výrobních komponent.</w:t>
            </w:r>
          </w:p>
        </w:tc>
        <w:tc>
          <w:tcPr>
            <w:tcW w:w="206" w:type="dxa"/>
            <w:shd w:val="clear" w:color="auto" w:fill="auto"/>
            <w:tcMar>
              <w:left w:w="0" w:type="dxa"/>
            </w:tcMar>
          </w:tcPr>
          <w:p w14:paraId="4A083C01"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38F2C23D" w14:textId="77777777" w:rsidR="00ED1959" w:rsidRPr="00C8413E" w:rsidRDefault="00ED1959" w:rsidP="00ED1959">
            <w:pPr>
              <w:rPr>
                <w:rFonts w:cs="Arial"/>
                <w:bCs/>
                <w:color w:val="0D0D0D" w:themeColor="text1" w:themeTint="F2"/>
                <w:spacing w:val="-4"/>
                <w:szCs w:val="20"/>
              </w:rPr>
            </w:pPr>
            <w:r w:rsidRPr="00C8413E">
              <w:rPr>
                <w:color w:val="0D0D0D" w:themeColor="text1" w:themeTint="F2"/>
                <w:spacing w:val="-4"/>
              </w:rPr>
              <w:t>Důvěra podnikatelů v průmyslu vyšplhala v červnu na desetileté maximum. Během prázdnin vlivem částe</w:t>
            </w:r>
            <w:r>
              <w:rPr>
                <w:color w:val="0D0D0D" w:themeColor="text1" w:themeTint="F2"/>
                <w:spacing w:val="-4"/>
              </w:rPr>
              <w:t>čné korekce vysokých krátkodobých očekávání</w:t>
            </w:r>
            <w:r w:rsidRPr="00C8413E">
              <w:rPr>
                <w:color w:val="0D0D0D" w:themeColor="text1" w:themeTint="F2"/>
                <w:spacing w:val="-4"/>
              </w:rPr>
              <w:t xml:space="preserve"> růstu výroby sice oslabila, stále však převyšovala úroveň z období těsně před započetím pand</w:t>
            </w:r>
            <w:r>
              <w:rPr>
                <w:color w:val="0D0D0D" w:themeColor="text1" w:themeTint="F2"/>
                <w:spacing w:val="-4"/>
              </w:rPr>
              <w:t>emie. Mírně pozitivní zůstaly i</w:t>
            </w:r>
            <w:r w:rsidRPr="00C8413E">
              <w:rPr>
                <w:color w:val="0D0D0D" w:themeColor="text1" w:themeTint="F2"/>
                <w:spacing w:val="-4"/>
              </w:rPr>
              <w:t> krátkodobé výhledy</w:t>
            </w:r>
            <w:r w:rsidRPr="00C8413E">
              <w:rPr>
                <w:rFonts w:cstheme="minorHAnsi"/>
                <w:spacing w:val="-4"/>
              </w:rPr>
              <w:t xml:space="preserve"> v oblasti zaměstnanosti. Čtvrtina podniků považovala svou současnou ekonomickou situaci</w:t>
            </w:r>
            <w:r>
              <w:rPr>
                <w:rFonts w:cstheme="minorHAnsi"/>
                <w:spacing w:val="-4"/>
              </w:rPr>
              <w:t xml:space="preserve"> za dobrou, více než dvě třetiny</w:t>
            </w:r>
            <w:r w:rsidRPr="00C8413E">
              <w:rPr>
                <w:rFonts w:cstheme="minorHAnsi"/>
                <w:spacing w:val="-4"/>
              </w:rPr>
              <w:t xml:space="preserve"> za uspokojivou.</w:t>
            </w:r>
            <w:r w:rsidRPr="00B12B9E">
              <w:rPr>
                <w:color w:val="0D0D0D" w:themeColor="text1" w:themeTint="F2"/>
                <w:spacing w:val="-4"/>
              </w:rPr>
              <w:t xml:space="preserve"> Hlavní růstovou bariérou</w:t>
            </w:r>
            <w:r w:rsidRPr="00B12B9E">
              <w:rPr>
                <w:rStyle w:val="Znakapoznpodarou"/>
                <w:color w:val="0D0D0D" w:themeColor="text1" w:themeTint="F2"/>
                <w:spacing w:val="-4"/>
              </w:rPr>
              <w:footnoteReference w:id="18"/>
            </w:r>
            <w:r>
              <w:rPr>
                <w:color w:val="0D0D0D" w:themeColor="text1" w:themeTint="F2"/>
                <w:spacing w:val="-4"/>
              </w:rPr>
              <w:t xml:space="preserve"> se na počátku 3. čtvrtletí stal v Česku (ale i v EU) nedostatek materiálu a zařízení, který trápil rekordních 46 % tuzemských průmyslových podniků</w:t>
            </w:r>
            <w:r>
              <w:rPr>
                <w:rStyle w:val="Znakapoznpodarou"/>
                <w:color w:val="0D0D0D" w:themeColor="text1" w:themeTint="F2"/>
                <w:spacing w:val="-4"/>
              </w:rPr>
              <w:footnoteReference w:id="19"/>
            </w:r>
            <w:r>
              <w:rPr>
                <w:color w:val="0D0D0D" w:themeColor="text1" w:themeTint="F2"/>
                <w:spacing w:val="-4"/>
              </w:rPr>
              <w:t>. Role nedostatečné poptávky během letošního pololetí výrazně ustoupila do pozadí</w:t>
            </w:r>
            <w:r>
              <w:rPr>
                <w:rStyle w:val="Znakapoznpodarou"/>
                <w:color w:val="0D0D0D" w:themeColor="text1" w:themeTint="F2"/>
                <w:spacing w:val="-4"/>
              </w:rPr>
              <w:footnoteReference w:id="20"/>
            </w:r>
            <w:r>
              <w:rPr>
                <w:color w:val="0D0D0D" w:themeColor="text1" w:themeTint="F2"/>
                <w:spacing w:val="-4"/>
              </w:rPr>
              <w:t xml:space="preserve"> (ze 49 % na 25 %), naopak </w:t>
            </w:r>
            <w:r>
              <w:rPr>
                <w:color w:val="0D0D0D" w:themeColor="text1" w:themeTint="F2"/>
                <w:spacing w:val="-4"/>
              </w:rPr>
              <w:lastRenderedPageBreak/>
              <w:t>problém s náborem pracovní síly mírně posílil (na 26 %) a představoval nejvýznamnější bariéru ve více než třetině zpracovatelských oborů</w:t>
            </w:r>
            <w:r>
              <w:rPr>
                <w:rStyle w:val="Znakapoznpodarou"/>
                <w:color w:val="0D0D0D" w:themeColor="text1" w:themeTint="F2"/>
                <w:spacing w:val="-4"/>
              </w:rPr>
              <w:footnoteReference w:id="21"/>
            </w:r>
            <w:r>
              <w:rPr>
                <w:color w:val="0D0D0D" w:themeColor="text1" w:themeTint="F2"/>
                <w:spacing w:val="-4"/>
              </w:rPr>
              <w:t>.</w:t>
            </w:r>
          </w:p>
        </w:tc>
      </w:tr>
      <w:tr w:rsidR="00ED1959" w:rsidRPr="00B43216" w14:paraId="46506E97" w14:textId="77777777" w:rsidTr="000F7C73">
        <w:trPr>
          <w:trHeight w:val="155"/>
        </w:trPr>
        <w:tc>
          <w:tcPr>
            <w:tcW w:w="1728" w:type="dxa"/>
            <w:vMerge w:val="restart"/>
            <w:shd w:val="clear" w:color="auto" w:fill="auto"/>
            <w:tcMar>
              <w:left w:w="0" w:type="dxa"/>
            </w:tcMar>
          </w:tcPr>
          <w:p w14:paraId="6170423E" w14:textId="77777777" w:rsidR="00ED1959" w:rsidRPr="00B43216" w:rsidRDefault="00ED1959" w:rsidP="000F7C73">
            <w:pPr>
              <w:pStyle w:val="Marginlie"/>
              <w:rPr>
                <w:spacing w:val="-4"/>
              </w:rPr>
            </w:pPr>
          </w:p>
        </w:tc>
        <w:tc>
          <w:tcPr>
            <w:tcW w:w="206" w:type="dxa"/>
            <w:vMerge w:val="restart"/>
            <w:shd w:val="clear" w:color="auto" w:fill="auto"/>
            <w:tcMar>
              <w:left w:w="0" w:type="dxa"/>
            </w:tcMar>
          </w:tcPr>
          <w:p w14:paraId="2AAA2DA6"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5DA60D13" w14:textId="77777777" w:rsidR="00ED1959" w:rsidRPr="00760356" w:rsidRDefault="00ED1959" w:rsidP="000F7C73">
            <w:pPr>
              <w:pStyle w:val="Textpoznpodarou"/>
              <w:spacing w:line="276" w:lineRule="auto"/>
              <w:jc w:val="both"/>
              <w:rPr>
                <w:b/>
                <w:spacing w:val="-2"/>
              </w:rPr>
            </w:pPr>
            <w:r w:rsidRPr="00760356">
              <w:rPr>
                <w:b/>
                <w:spacing w:val="-2"/>
              </w:rPr>
              <w:t>Graf č. 5</w:t>
            </w:r>
            <w:r>
              <w:rPr>
                <w:b/>
                <w:spacing w:val="-2"/>
              </w:rPr>
              <w:t xml:space="preserve"> </w:t>
            </w:r>
            <w:r w:rsidRPr="00760356">
              <w:rPr>
                <w:b/>
                <w:spacing w:val="-2"/>
              </w:rPr>
              <w:t xml:space="preserve"> Nové zakázky v automobilovém průmyslu a</w:t>
            </w:r>
            <w:r>
              <w:rPr>
                <w:b/>
                <w:spacing w:val="-2"/>
              </w:rPr>
              <w:t> </w:t>
            </w:r>
            <w:r w:rsidRPr="00760356">
              <w:rPr>
                <w:b/>
                <w:spacing w:val="-2"/>
              </w:rPr>
              <w:t xml:space="preserve">v průmyslu celkem </w:t>
            </w:r>
            <w:r w:rsidRPr="00760356">
              <w:rPr>
                <w:bCs/>
                <w:spacing w:val="-2"/>
              </w:rPr>
              <w:t xml:space="preserve">(v běžných cenách, </w:t>
            </w:r>
            <w:r w:rsidRPr="00760356">
              <w:rPr>
                <w:spacing w:val="-2"/>
              </w:rPr>
              <w:t>meziročně</w:t>
            </w:r>
            <w:r w:rsidRPr="00760356">
              <w:rPr>
                <w:bCs/>
                <w:spacing w:val="-2"/>
              </w:rPr>
              <w:t xml:space="preserve"> v %)</w:t>
            </w:r>
            <w:r w:rsidRPr="00760356">
              <w:rPr>
                <w:b/>
                <w:spacing w:val="-2"/>
              </w:rPr>
              <w:t xml:space="preserve"> a využití výrobních kapacit v průmyslu*</w:t>
            </w:r>
            <w:r w:rsidRPr="00760356">
              <w:rPr>
                <w:spacing w:val="-2"/>
              </w:rPr>
              <w:t xml:space="preserve"> </w:t>
            </w:r>
            <w:r w:rsidRPr="00760356">
              <w:rPr>
                <w:b/>
                <w:spacing w:val="-2"/>
              </w:rPr>
              <w:t>a vybrané bariéry růstu</w:t>
            </w:r>
            <w:r w:rsidRPr="00760356">
              <w:rPr>
                <w:spacing w:val="-2"/>
              </w:rPr>
              <w:t>* (v %, pravá osa)</w:t>
            </w:r>
          </w:p>
        </w:tc>
      </w:tr>
      <w:tr w:rsidR="00ED1959" w:rsidRPr="00B43216" w14:paraId="05F5AED7" w14:textId="77777777" w:rsidTr="004769BF">
        <w:tblPrEx>
          <w:tblCellMar>
            <w:left w:w="70" w:type="dxa"/>
            <w:right w:w="70" w:type="dxa"/>
          </w:tblCellMar>
        </w:tblPrEx>
        <w:trPr>
          <w:trHeight w:val="155"/>
        </w:trPr>
        <w:tc>
          <w:tcPr>
            <w:tcW w:w="1728" w:type="dxa"/>
            <w:vMerge/>
            <w:shd w:val="clear" w:color="auto" w:fill="auto"/>
          </w:tcPr>
          <w:p w14:paraId="16AF64C9" w14:textId="77777777" w:rsidR="00ED1959" w:rsidRPr="00B43216" w:rsidRDefault="00ED1959" w:rsidP="000F7C73">
            <w:pPr>
              <w:pStyle w:val="Marginlie"/>
              <w:rPr>
                <w:spacing w:val="-4"/>
              </w:rPr>
            </w:pPr>
          </w:p>
        </w:tc>
        <w:tc>
          <w:tcPr>
            <w:tcW w:w="206" w:type="dxa"/>
            <w:vMerge/>
            <w:shd w:val="clear" w:color="auto" w:fill="auto"/>
          </w:tcPr>
          <w:p w14:paraId="61BA22E6" w14:textId="77777777" w:rsidR="00ED1959" w:rsidRPr="00B43216" w:rsidRDefault="00ED1959" w:rsidP="000F7C73">
            <w:pPr>
              <w:pStyle w:val="Textpoznpodarou"/>
              <w:jc w:val="both"/>
              <w:rPr>
                <w:spacing w:val="-4"/>
              </w:rPr>
            </w:pPr>
          </w:p>
        </w:tc>
        <w:tc>
          <w:tcPr>
            <w:tcW w:w="7730" w:type="dxa"/>
            <w:shd w:val="clear" w:color="auto" w:fill="auto"/>
          </w:tcPr>
          <w:p w14:paraId="3CD9AE04" w14:textId="4E53AF3B" w:rsidR="00ED1959" w:rsidRPr="00B43216" w:rsidRDefault="004769BF" w:rsidP="000F7C73">
            <w:pPr>
              <w:spacing w:after="0"/>
              <w:rPr>
                <w:spacing w:val="-4"/>
              </w:rPr>
            </w:pPr>
            <w:r>
              <w:rPr>
                <w:noProof/>
              </w:rPr>
              <w:drawing>
                <wp:inline distT="0" distB="0" distL="0" distR="0" wp14:anchorId="7B763D60" wp14:editId="1D9DCD25">
                  <wp:extent cx="4772801" cy="3553200"/>
                  <wp:effectExtent l="0" t="0" r="889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D1959" w:rsidRPr="00B43216" w14:paraId="53A61A84" w14:textId="77777777" w:rsidTr="000F7C73">
        <w:trPr>
          <w:trHeight w:val="152"/>
        </w:trPr>
        <w:tc>
          <w:tcPr>
            <w:tcW w:w="1728" w:type="dxa"/>
            <w:vMerge/>
            <w:shd w:val="clear" w:color="auto" w:fill="auto"/>
            <w:tcMar>
              <w:left w:w="0" w:type="dxa"/>
            </w:tcMar>
          </w:tcPr>
          <w:p w14:paraId="3D412A59" w14:textId="77777777" w:rsidR="00ED1959" w:rsidRPr="00B43216" w:rsidRDefault="00ED1959" w:rsidP="000F7C73">
            <w:pPr>
              <w:pStyle w:val="Marginlie"/>
              <w:rPr>
                <w:spacing w:val="-4"/>
              </w:rPr>
            </w:pPr>
          </w:p>
        </w:tc>
        <w:tc>
          <w:tcPr>
            <w:tcW w:w="206" w:type="dxa"/>
            <w:vMerge/>
            <w:shd w:val="clear" w:color="auto" w:fill="auto"/>
            <w:tcMar>
              <w:left w:w="0" w:type="dxa"/>
            </w:tcMar>
          </w:tcPr>
          <w:p w14:paraId="080273AC"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611C5111" w14:textId="77777777" w:rsidR="00ED1959" w:rsidRDefault="00ED1959" w:rsidP="000F7C73">
            <w:pPr>
              <w:tabs>
                <w:tab w:val="right" w:pos="7711"/>
              </w:tabs>
              <w:spacing w:after="0"/>
              <w:rPr>
                <w:rFonts w:cs="Arial"/>
                <w:sz w:val="14"/>
                <w:szCs w:val="14"/>
              </w:rPr>
            </w:pPr>
            <w:r w:rsidRPr="00883202">
              <w:rPr>
                <w:rFonts w:cs="Arial"/>
                <w:sz w:val="14"/>
                <w:szCs w:val="14"/>
              </w:rPr>
              <w:t>*Využití průmys</w:t>
            </w:r>
            <w:r>
              <w:rPr>
                <w:rFonts w:cs="Arial"/>
                <w:sz w:val="14"/>
                <w:szCs w:val="14"/>
              </w:rPr>
              <w:t xml:space="preserve">lových kapacit i bariéry růstu </w:t>
            </w:r>
            <w:r w:rsidRPr="00883202">
              <w:rPr>
                <w:rFonts w:cs="Arial"/>
                <w:spacing w:val="-2"/>
                <w:sz w:val="14"/>
                <w:szCs w:val="14"/>
              </w:rPr>
              <w:t xml:space="preserve">jsou sezónně očištěny </w:t>
            </w:r>
            <w:r>
              <w:rPr>
                <w:rFonts w:cs="Arial"/>
                <w:spacing w:val="-2"/>
                <w:sz w:val="14"/>
                <w:szCs w:val="14"/>
              </w:rPr>
              <w:t>a </w:t>
            </w:r>
            <w:r>
              <w:rPr>
                <w:rFonts w:cs="Arial"/>
                <w:sz w:val="14"/>
                <w:szCs w:val="14"/>
              </w:rPr>
              <w:t xml:space="preserve">vyjadřují stav v prvním </w:t>
            </w:r>
            <w:r w:rsidRPr="00883202">
              <w:rPr>
                <w:rFonts w:cs="Arial"/>
                <w:sz w:val="14"/>
                <w:szCs w:val="14"/>
              </w:rPr>
              <w:t>měsíci daného čtvrtletí.</w:t>
            </w:r>
            <w:r>
              <w:rPr>
                <w:rFonts w:cs="Arial"/>
                <w:sz w:val="14"/>
                <w:szCs w:val="14"/>
              </w:rPr>
              <w:t xml:space="preserve"> Podniky mohly uvést více hlavních bariér současně.</w:t>
            </w:r>
            <w:r>
              <w:rPr>
                <w:rFonts w:cs="Arial"/>
                <w:sz w:val="14"/>
                <w:szCs w:val="14"/>
              </w:rPr>
              <w:tab/>
            </w:r>
            <w:r w:rsidRPr="00883202">
              <w:rPr>
                <w:rFonts w:cs="Arial"/>
                <w:sz w:val="14"/>
                <w:szCs w:val="14"/>
              </w:rPr>
              <w:t>Zdroj: ČSÚ</w:t>
            </w:r>
            <w:r>
              <w:rPr>
                <w:rFonts w:cs="Arial"/>
                <w:sz w:val="14"/>
                <w:szCs w:val="14"/>
              </w:rPr>
              <w:t>, Eurostat</w:t>
            </w:r>
          </w:p>
          <w:p w14:paraId="165EF33D" w14:textId="77777777" w:rsidR="00ED1959" w:rsidRPr="008C5037" w:rsidRDefault="00ED1959" w:rsidP="000F7C73">
            <w:pPr>
              <w:spacing w:after="0"/>
              <w:rPr>
                <w:rFonts w:cs="Arial"/>
                <w:sz w:val="14"/>
                <w:szCs w:val="14"/>
              </w:rPr>
            </w:pPr>
          </w:p>
        </w:tc>
      </w:tr>
      <w:tr w:rsidR="00ED1959" w:rsidRPr="00191C35" w14:paraId="56FB7148" w14:textId="77777777" w:rsidTr="000F7C73">
        <w:trPr>
          <w:trHeight w:val="145"/>
        </w:trPr>
        <w:tc>
          <w:tcPr>
            <w:tcW w:w="1728" w:type="dxa"/>
            <w:shd w:val="clear" w:color="auto" w:fill="auto"/>
            <w:tcMar>
              <w:left w:w="0" w:type="dxa"/>
            </w:tcMar>
          </w:tcPr>
          <w:p w14:paraId="26540C00" w14:textId="77777777" w:rsidR="00ED1959" w:rsidRDefault="00ED1959" w:rsidP="000F7C73">
            <w:pPr>
              <w:pStyle w:val="Marginlie"/>
            </w:pPr>
            <w:r>
              <w:t>Dynamika růstu stavební produkce byla dosud letos dosti utlumená.</w:t>
            </w:r>
          </w:p>
          <w:p w14:paraId="015D31DF" w14:textId="77777777" w:rsidR="00ED1959" w:rsidRDefault="00ED1959" w:rsidP="000F7C73">
            <w:pPr>
              <w:pStyle w:val="Marginlie"/>
            </w:pPr>
          </w:p>
          <w:p w14:paraId="6F4EF1A1" w14:textId="77777777" w:rsidR="00ED1959" w:rsidRDefault="00ED1959" w:rsidP="000F7C73">
            <w:pPr>
              <w:pStyle w:val="Marginlie"/>
            </w:pPr>
          </w:p>
          <w:p w14:paraId="4298A17B" w14:textId="77777777" w:rsidR="00ED1959" w:rsidRDefault="00ED1959" w:rsidP="000F7C73">
            <w:pPr>
              <w:pStyle w:val="Marginlie"/>
            </w:pPr>
          </w:p>
          <w:p w14:paraId="7477B197" w14:textId="77777777" w:rsidR="00ED1959" w:rsidRDefault="00ED1959" w:rsidP="000F7C73">
            <w:pPr>
              <w:pStyle w:val="Marginlie"/>
            </w:pPr>
            <w:r>
              <w:t>To souviselo s administrativními vlivy i rozdílným vývojem v obou hlavních segmentech stavebnictví.</w:t>
            </w:r>
          </w:p>
        </w:tc>
        <w:tc>
          <w:tcPr>
            <w:tcW w:w="206" w:type="dxa"/>
            <w:shd w:val="clear" w:color="auto" w:fill="auto"/>
            <w:tcMar>
              <w:left w:w="0" w:type="dxa"/>
            </w:tcMar>
          </w:tcPr>
          <w:p w14:paraId="2EE4D9C1"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1C828A2C" w14:textId="77777777" w:rsidR="00ED1959" w:rsidRPr="000D55BA" w:rsidRDefault="00ED1959" w:rsidP="000F7C73">
            <w:pPr>
              <w:spacing w:after="160"/>
              <w:rPr>
                <w:rFonts w:cs="Arial"/>
                <w:color w:val="0D0D0D"/>
                <w:spacing w:val="-4"/>
              </w:rPr>
            </w:pPr>
            <w:r>
              <w:rPr>
                <w:spacing w:val="-4"/>
              </w:rPr>
              <w:t xml:space="preserve">Stavebnictví patří (spolu s průmyslem) k odvětvím, </w:t>
            </w:r>
            <w:r>
              <w:rPr>
                <w:rFonts w:cs="Arial"/>
                <w:color w:val="0D0D0D"/>
                <w:spacing w:val="-4"/>
              </w:rPr>
              <w:t>která letos již nebyla výrazněji omezena</w:t>
            </w:r>
            <w:r w:rsidRPr="00F822B0">
              <w:rPr>
                <w:rFonts w:cs="Arial"/>
                <w:color w:val="0D0D0D"/>
                <w:spacing w:val="-4"/>
              </w:rPr>
              <w:t xml:space="preserve"> opatření</w:t>
            </w:r>
            <w:r>
              <w:rPr>
                <w:rFonts w:cs="Arial"/>
                <w:color w:val="0D0D0D"/>
                <w:spacing w:val="-4"/>
              </w:rPr>
              <w:t>mi proti šíření koronaviru. P</w:t>
            </w:r>
            <w:r w:rsidRPr="00F822B0">
              <w:rPr>
                <w:rFonts w:cs="Arial"/>
                <w:color w:val="0D0D0D"/>
                <w:spacing w:val="-4"/>
              </w:rPr>
              <w:t xml:space="preserve">řesto </w:t>
            </w:r>
            <w:r>
              <w:rPr>
                <w:rFonts w:cs="Arial"/>
                <w:color w:val="0D0D0D"/>
                <w:spacing w:val="-4"/>
              </w:rPr>
              <w:t xml:space="preserve">zde bylo </w:t>
            </w:r>
            <w:r w:rsidRPr="00F822B0">
              <w:rPr>
                <w:rFonts w:cs="Arial"/>
                <w:color w:val="0D0D0D"/>
                <w:spacing w:val="-4"/>
              </w:rPr>
              <w:t>oživení</w:t>
            </w:r>
            <w:r>
              <w:rPr>
                <w:rFonts w:cs="Arial"/>
                <w:color w:val="0D0D0D"/>
                <w:spacing w:val="-4"/>
              </w:rPr>
              <w:t xml:space="preserve"> dosud poměrně pomalé a růstový trend není letos zřetelně patrný, zejména v segmentu pozemního stavitelství. Celková s</w:t>
            </w:r>
            <w:r w:rsidRPr="00F822B0">
              <w:rPr>
                <w:rFonts w:cs="Arial"/>
                <w:color w:val="0D0D0D"/>
                <w:spacing w:val="-4"/>
              </w:rPr>
              <w:t>tavební produkce</w:t>
            </w:r>
            <w:r w:rsidRPr="00982C9E">
              <w:rPr>
                <w:rStyle w:val="Znakapoznpodarou"/>
                <w:spacing w:val="-2"/>
              </w:rPr>
              <w:footnoteReference w:id="22"/>
            </w:r>
            <w:r w:rsidRPr="00F822B0">
              <w:rPr>
                <w:rFonts w:cs="Arial"/>
                <w:color w:val="0D0D0D"/>
                <w:spacing w:val="-4"/>
              </w:rPr>
              <w:t xml:space="preserve"> v</w:t>
            </w:r>
            <w:r>
              <w:rPr>
                <w:rFonts w:cs="Arial"/>
                <w:color w:val="0D0D0D"/>
                <w:spacing w:val="-4"/>
              </w:rPr>
              <w:t> </w:t>
            </w:r>
            <w:r w:rsidRPr="00F822B0">
              <w:rPr>
                <w:rFonts w:cs="Arial"/>
                <w:color w:val="0D0D0D"/>
                <w:spacing w:val="-4"/>
              </w:rPr>
              <w:t>1.</w:t>
            </w:r>
            <w:r>
              <w:rPr>
                <w:rFonts w:cs="Arial"/>
                <w:color w:val="0D0D0D"/>
                <w:spacing w:val="-4"/>
              </w:rPr>
              <w:t> čtvrtlet</w:t>
            </w:r>
            <w:r w:rsidRPr="00F822B0">
              <w:rPr>
                <w:rFonts w:cs="Arial"/>
                <w:color w:val="0D0D0D"/>
                <w:spacing w:val="-4"/>
              </w:rPr>
              <w:t>í reálně meziročně zaostávala o</w:t>
            </w:r>
            <w:r>
              <w:rPr>
                <w:rFonts w:cs="Arial"/>
                <w:color w:val="0D0D0D"/>
                <w:spacing w:val="-4"/>
              </w:rPr>
              <w:t> </w:t>
            </w:r>
            <w:r w:rsidRPr="00F822B0">
              <w:rPr>
                <w:rFonts w:cs="Arial"/>
                <w:color w:val="0D0D0D"/>
                <w:spacing w:val="-4"/>
              </w:rPr>
              <w:t>5,</w:t>
            </w:r>
            <w:r>
              <w:rPr>
                <w:rFonts w:cs="Arial"/>
                <w:color w:val="0D0D0D"/>
                <w:spacing w:val="-4"/>
              </w:rPr>
              <w:t>5 %</w:t>
            </w:r>
            <w:r w:rsidRPr="00F822B0">
              <w:rPr>
                <w:rFonts w:cs="Arial"/>
                <w:color w:val="0D0D0D"/>
                <w:spacing w:val="-4"/>
              </w:rPr>
              <w:t>, oproti 4.</w:t>
            </w:r>
            <w:r>
              <w:rPr>
                <w:rFonts w:cs="Arial"/>
                <w:color w:val="0D0D0D"/>
                <w:spacing w:val="-4"/>
              </w:rPr>
              <w:t> čtvrtletí 2020 se zvýšila o 2,4 %</w:t>
            </w:r>
            <w:r w:rsidRPr="000D55BA">
              <w:rPr>
                <w:rFonts w:cs="Arial"/>
                <w:color w:val="0D0D0D"/>
                <w:spacing w:val="-4"/>
              </w:rPr>
              <w:t xml:space="preserve">. </w:t>
            </w:r>
            <w:r w:rsidRPr="000D55BA">
              <w:rPr>
                <w:rFonts w:cs="Arial"/>
                <w:bCs/>
                <w:color w:val="0D0D0D"/>
                <w:spacing w:val="-4"/>
              </w:rPr>
              <w:t>Ve 2.</w:t>
            </w:r>
            <w:r>
              <w:rPr>
                <w:rFonts w:cs="Arial"/>
                <w:bCs/>
                <w:color w:val="0D0D0D"/>
                <w:spacing w:val="-4"/>
              </w:rPr>
              <w:t> čtvrtlet</w:t>
            </w:r>
            <w:r w:rsidRPr="000D55BA">
              <w:rPr>
                <w:rFonts w:cs="Arial"/>
                <w:bCs/>
                <w:color w:val="0D0D0D"/>
                <w:spacing w:val="-4"/>
              </w:rPr>
              <w:t xml:space="preserve">í již </w:t>
            </w:r>
            <w:r>
              <w:rPr>
                <w:rFonts w:cs="Arial"/>
                <w:bCs/>
                <w:color w:val="0D0D0D"/>
                <w:spacing w:val="-4"/>
              </w:rPr>
              <w:t>sice výkon tohoto odvětví překročil</w:t>
            </w:r>
            <w:r w:rsidRPr="000D55BA">
              <w:rPr>
                <w:rFonts w:cs="Arial"/>
                <w:bCs/>
                <w:color w:val="0D0D0D"/>
                <w:spacing w:val="-4"/>
              </w:rPr>
              <w:t xml:space="preserve"> úroveň stejnéh</w:t>
            </w:r>
            <w:r>
              <w:rPr>
                <w:rFonts w:cs="Arial"/>
                <w:bCs/>
                <w:color w:val="0D0D0D"/>
                <w:spacing w:val="-4"/>
              </w:rPr>
              <w:t xml:space="preserve">o období loňského roku o 2,4 %, </w:t>
            </w:r>
            <w:r w:rsidRPr="000D55BA">
              <w:rPr>
                <w:rFonts w:cs="Arial"/>
                <w:bCs/>
                <w:color w:val="0D0D0D"/>
                <w:spacing w:val="-4"/>
              </w:rPr>
              <w:t xml:space="preserve">mezičtvrtletně </w:t>
            </w:r>
            <w:r>
              <w:rPr>
                <w:rFonts w:cs="Arial"/>
                <w:bCs/>
                <w:color w:val="0D0D0D"/>
                <w:spacing w:val="-4"/>
              </w:rPr>
              <w:t xml:space="preserve">ale posílil jen o nevýrazných </w:t>
            </w:r>
            <w:r w:rsidRPr="000D55BA">
              <w:rPr>
                <w:rFonts w:cs="Arial"/>
                <w:bCs/>
                <w:color w:val="0D0D0D"/>
                <w:spacing w:val="-4"/>
              </w:rPr>
              <w:t>0,9</w:t>
            </w:r>
            <w:r>
              <w:rPr>
                <w:rFonts w:cs="Arial"/>
                <w:bCs/>
                <w:color w:val="0D0D0D"/>
                <w:spacing w:val="-4"/>
              </w:rPr>
              <w:t> %</w:t>
            </w:r>
            <w:r>
              <w:rPr>
                <w:rStyle w:val="Znakapoznpodarou"/>
                <w:bCs/>
                <w:color w:val="0D0D0D"/>
                <w:spacing w:val="-4"/>
              </w:rPr>
              <w:footnoteReference w:id="23"/>
            </w:r>
            <w:r w:rsidRPr="000D55BA">
              <w:rPr>
                <w:rFonts w:cs="Arial"/>
                <w:bCs/>
                <w:color w:val="0D0D0D"/>
                <w:spacing w:val="-4"/>
              </w:rPr>
              <w:t>.</w:t>
            </w:r>
            <w:r>
              <w:rPr>
                <w:rFonts w:cs="Arial"/>
                <w:bCs/>
                <w:color w:val="0D0D0D"/>
                <w:spacing w:val="-4"/>
              </w:rPr>
              <w:t xml:space="preserve"> </w:t>
            </w:r>
            <w:r w:rsidRPr="00C12316">
              <w:rPr>
                <w:spacing w:val="-4"/>
              </w:rPr>
              <w:t>Pomalé oživení stavebnictví lze z velké části spojit i</w:t>
            </w:r>
            <w:r>
              <w:rPr>
                <w:spacing w:val="-4"/>
              </w:rPr>
              <w:t> </w:t>
            </w:r>
            <w:r w:rsidRPr="00C12316">
              <w:rPr>
                <w:spacing w:val="-4"/>
              </w:rPr>
              <w:t xml:space="preserve">s administrativními vlivy. </w:t>
            </w:r>
            <w:r>
              <w:rPr>
                <w:spacing w:val="-4"/>
              </w:rPr>
              <w:t>Loňská r</w:t>
            </w:r>
            <w:r w:rsidRPr="00C12316">
              <w:rPr>
                <w:spacing w:val="-4"/>
              </w:rPr>
              <w:t>estriktivní opatření</w:t>
            </w:r>
            <w:r>
              <w:rPr>
                <w:spacing w:val="-4"/>
              </w:rPr>
              <w:t xml:space="preserve"> totiž</w:t>
            </w:r>
            <w:r w:rsidRPr="00C12316">
              <w:rPr>
                <w:spacing w:val="-4"/>
              </w:rPr>
              <w:t xml:space="preserve"> limitovala potřebnou součinnost v</w:t>
            </w:r>
            <w:r>
              <w:rPr>
                <w:spacing w:val="-4"/>
              </w:rPr>
              <w:t>šech aktérů stavebního řízení a dále komplikovala již tak</w:t>
            </w:r>
            <w:r w:rsidRPr="00C12316">
              <w:rPr>
                <w:spacing w:val="-4"/>
              </w:rPr>
              <w:t xml:space="preserve"> náročný administrativní proces přípravy staveb. Některá výběrová řízení byla pozastavena, což narušilo plynulost výstavby.</w:t>
            </w:r>
            <w:r>
              <w:rPr>
                <w:spacing w:val="-4"/>
              </w:rPr>
              <w:t xml:space="preserve"> I přes zlepšení epidemické situace během letošního jara zůstává mobilita zahraničních pracovníků stále ztížená, což patrně více dopadá na střední a menší stavební firmy, působící častěji v segmentu pozemního stavitelství.</w:t>
            </w:r>
          </w:p>
        </w:tc>
      </w:tr>
      <w:tr w:rsidR="00ED1959" w:rsidRPr="00191C35" w14:paraId="186E0DDB" w14:textId="77777777" w:rsidTr="000F7C73">
        <w:trPr>
          <w:trHeight w:val="145"/>
        </w:trPr>
        <w:tc>
          <w:tcPr>
            <w:tcW w:w="1728" w:type="dxa"/>
            <w:shd w:val="clear" w:color="auto" w:fill="auto"/>
            <w:tcMar>
              <w:left w:w="0" w:type="dxa"/>
            </w:tcMar>
          </w:tcPr>
          <w:p w14:paraId="0735B2F2" w14:textId="77777777" w:rsidR="00ED1959" w:rsidRDefault="00ED1959" w:rsidP="000F7C73">
            <w:pPr>
              <w:pStyle w:val="Marginlie"/>
            </w:pPr>
            <w:r>
              <w:t>Inženýrské stavitelství těžilo z veřejných strukturálních investic.</w:t>
            </w:r>
          </w:p>
        </w:tc>
        <w:tc>
          <w:tcPr>
            <w:tcW w:w="206" w:type="dxa"/>
            <w:shd w:val="clear" w:color="auto" w:fill="auto"/>
            <w:tcMar>
              <w:left w:w="0" w:type="dxa"/>
            </w:tcMar>
          </w:tcPr>
          <w:p w14:paraId="321EB4F2"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5F10893F" w14:textId="77777777" w:rsidR="00ED1959" w:rsidRDefault="00ED1959" w:rsidP="000F7C73">
            <w:pPr>
              <w:spacing w:after="160"/>
              <w:rPr>
                <w:spacing w:val="-4"/>
              </w:rPr>
            </w:pPr>
            <w:r>
              <w:rPr>
                <w:spacing w:val="-4"/>
              </w:rPr>
              <w:t xml:space="preserve">Výrazně lépe na tom bylo inženýrské stavitelství, jehož produkce se za 1. pololetí 2021 meziročně zvýšila o 3,4 % (za dva roky dokonce o 12,1 %). </w:t>
            </w:r>
            <w:r>
              <w:rPr>
                <w:spacing w:val="-3"/>
              </w:rPr>
              <w:t xml:space="preserve">Dlouhodobě mu </w:t>
            </w:r>
            <w:r w:rsidRPr="00AB1DEA">
              <w:rPr>
                <w:spacing w:val="-3"/>
              </w:rPr>
              <w:t xml:space="preserve">pomáhá </w:t>
            </w:r>
            <w:r w:rsidRPr="00F57D57">
              <w:rPr>
                <w:spacing w:val="-3"/>
              </w:rPr>
              <w:t>pokračující výstavba i</w:t>
            </w:r>
            <w:r>
              <w:rPr>
                <w:spacing w:val="-3"/>
              </w:rPr>
              <w:t> </w:t>
            </w:r>
            <w:r w:rsidRPr="00F57D57">
              <w:rPr>
                <w:spacing w:val="-3"/>
              </w:rPr>
              <w:t>modernizace dopravní sítě podpořená</w:t>
            </w:r>
            <w:r>
              <w:rPr>
                <w:spacing w:val="-3"/>
              </w:rPr>
              <w:t xml:space="preserve"> zejména prostředky z rozpočtu EU. Přestože celkové kapitálové výdaje státního rozpočtu, jakož i investiční transfery </w:t>
            </w:r>
            <w:r w:rsidRPr="00AB1DEA">
              <w:rPr>
                <w:spacing w:val="-3"/>
              </w:rPr>
              <w:t>Státnímu fondu dopravní infrastruktury</w:t>
            </w:r>
            <w:r>
              <w:rPr>
                <w:spacing w:val="-3"/>
              </w:rPr>
              <w:t xml:space="preserve"> byly letos za prvních osm měsíců </w:t>
            </w:r>
            <w:r>
              <w:rPr>
                <w:spacing w:val="-3"/>
              </w:rPr>
              <w:lastRenderedPageBreak/>
              <w:t xml:space="preserve">meziročně o více než desetinu </w:t>
            </w:r>
            <w:r w:rsidRPr="00AB1DEA">
              <w:rPr>
                <w:spacing w:val="-3"/>
              </w:rPr>
              <w:t>nižší</w:t>
            </w:r>
            <w:r>
              <w:rPr>
                <w:spacing w:val="-3"/>
              </w:rPr>
              <w:t>, celková zásoba práce v oblasti inženýrských staveb zůstává vysoká.</w:t>
            </w:r>
          </w:p>
        </w:tc>
      </w:tr>
      <w:tr w:rsidR="00ED1959" w:rsidRPr="00191C35" w14:paraId="790DF352" w14:textId="77777777" w:rsidTr="000F7C73">
        <w:trPr>
          <w:trHeight w:val="145"/>
        </w:trPr>
        <w:tc>
          <w:tcPr>
            <w:tcW w:w="1728" w:type="dxa"/>
            <w:shd w:val="clear" w:color="auto" w:fill="auto"/>
            <w:tcMar>
              <w:left w:w="0" w:type="dxa"/>
            </w:tcMar>
          </w:tcPr>
          <w:p w14:paraId="51164779" w14:textId="77777777" w:rsidR="00ED1959" w:rsidRDefault="00ED1959" w:rsidP="000F7C73">
            <w:pPr>
              <w:pStyle w:val="Marginlie"/>
            </w:pPr>
            <w:r>
              <w:lastRenderedPageBreak/>
              <w:t>Slabší výkony pozemního stavitelství pomáhala tlumit bytová výstavba.</w:t>
            </w:r>
          </w:p>
        </w:tc>
        <w:tc>
          <w:tcPr>
            <w:tcW w:w="206" w:type="dxa"/>
            <w:shd w:val="clear" w:color="auto" w:fill="auto"/>
            <w:tcMar>
              <w:left w:w="0" w:type="dxa"/>
            </w:tcMar>
          </w:tcPr>
          <w:p w14:paraId="5EC0E0A5"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2877052A" w14:textId="77777777" w:rsidR="00ED1959" w:rsidRDefault="00ED1959" w:rsidP="000F7C73">
            <w:pPr>
              <w:spacing w:after="160"/>
              <w:rPr>
                <w:spacing w:val="-4"/>
              </w:rPr>
            </w:pPr>
            <w:r>
              <w:rPr>
                <w:spacing w:val="-4"/>
              </w:rPr>
              <w:t xml:space="preserve">Pololetní výkon ve váhově dominantním segmentu pozemního stavitelství byl letos meziročně o 2,3 % nižší (za dva roky dokonce o 8,2 %). Problémy zde zčásti pomáhá tlumit bytová výstavba. </w:t>
            </w:r>
            <w:r>
              <w:rPr>
                <w:spacing w:val="-2"/>
              </w:rPr>
              <w:t>Od ledna do července bylo letos dokončeno takřka 20 tis. bytů, tedy nepatrně více než ve stejném období donedávna rekordního roku 2009. Přispěla k tomu především výstavba rodinných domů, která v posledních letech plynule sílí. Počet zahájených bytů dosáhl analogicky 23,9 tis. a loňskou úroveň převýšil zhruba o osminu. Oproti shodnému období konjunkturního roku 2008 ale skoro o desetinu zaostal. K </w:t>
            </w:r>
            <w:r>
              <w:rPr>
                <w:spacing w:val="-4"/>
              </w:rPr>
              <w:t>meziročnímu růstu počtu zahájených (12 %) i dokončených bytů (11 %) letos přispěla nejvíce vyšší výstavba v Praze.</w:t>
            </w:r>
          </w:p>
        </w:tc>
      </w:tr>
      <w:tr w:rsidR="00ED1959" w:rsidRPr="00191C35" w14:paraId="33659159" w14:textId="77777777" w:rsidTr="000F7C73">
        <w:trPr>
          <w:trHeight w:val="145"/>
        </w:trPr>
        <w:tc>
          <w:tcPr>
            <w:tcW w:w="1728" w:type="dxa"/>
            <w:shd w:val="clear" w:color="auto" w:fill="auto"/>
            <w:tcMar>
              <w:left w:w="0" w:type="dxa"/>
            </w:tcMar>
          </w:tcPr>
          <w:p w14:paraId="273C938A" w14:textId="77777777" w:rsidR="00ED1959" w:rsidRDefault="00ED1959" w:rsidP="000F7C73">
            <w:pPr>
              <w:pStyle w:val="Marginlie"/>
            </w:pPr>
          </w:p>
        </w:tc>
        <w:tc>
          <w:tcPr>
            <w:tcW w:w="206" w:type="dxa"/>
            <w:shd w:val="clear" w:color="auto" w:fill="auto"/>
            <w:tcMar>
              <w:left w:w="0" w:type="dxa"/>
            </w:tcMar>
          </w:tcPr>
          <w:p w14:paraId="59F4ED9F"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244CDA75" w14:textId="77777777" w:rsidR="00ED1959" w:rsidRPr="00FE5237" w:rsidRDefault="00ED1959" w:rsidP="000F7C73">
            <w:pPr>
              <w:spacing w:after="0"/>
              <w:rPr>
                <w:spacing w:val="-4"/>
              </w:rPr>
            </w:pPr>
            <w:r w:rsidRPr="00883202">
              <w:rPr>
                <w:b/>
              </w:rPr>
              <w:t>Graf č. 6</w:t>
            </w:r>
            <w:r>
              <w:rPr>
                <w:b/>
              </w:rPr>
              <w:t xml:space="preserve"> </w:t>
            </w:r>
            <w:r w:rsidRPr="00883202">
              <w:rPr>
                <w:b/>
              </w:rPr>
              <w:t xml:space="preserve"> Příspěvky odvětví k meziroční změně stavební produkce </w:t>
            </w:r>
            <w:r w:rsidRPr="00883202">
              <w:t>(v p. b.)</w:t>
            </w:r>
            <w:r w:rsidRPr="00883202">
              <w:rPr>
                <w:b/>
                <w:bCs/>
              </w:rPr>
              <w:t>,</w:t>
            </w:r>
            <w:r w:rsidRPr="00883202">
              <w:rPr>
                <w:b/>
                <w:bCs/>
              </w:rPr>
              <w:br/>
            </w:r>
            <w:r w:rsidRPr="00883202">
              <w:rPr>
                <w:b/>
              </w:rPr>
              <w:t xml:space="preserve">nové stavební zakázky </w:t>
            </w:r>
            <w:r w:rsidRPr="00883202">
              <w:rPr>
                <w:bCs/>
              </w:rPr>
              <w:t>(</w:t>
            </w:r>
            <w:r w:rsidRPr="00883202">
              <w:t>meziročně</w:t>
            </w:r>
            <w:r w:rsidRPr="00883202">
              <w:rPr>
                <w:bCs/>
              </w:rPr>
              <w:t xml:space="preserve"> v %</w:t>
            </w:r>
            <w:r w:rsidRPr="00883202">
              <w:t>, pravá osa</w:t>
            </w:r>
            <w:r w:rsidRPr="00883202">
              <w:rPr>
                <w:bCs/>
              </w:rPr>
              <w:t>)</w:t>
            </w:r>
            <w:r w:rsidRPr="00883202">
              <w:rPr>
                <w:b/>
              </w:rPr>
              <w:t>, saldo indikátoru důvěry ve stavebnictví*</w:t>
            </w:r>
            <w:r w:rsidRPr="00883202">
              <w:t xml:space="preserve"> (v p. b., pravá osa) </w:t>
            </w:r>
            <w:r w:rsidRPr="00883202">
              <w:rPr>
                <w:b/>
              </w:rPr>
              <w:t>a vybrané bariéry růstu</w:t>
            </w:r>
            <w:r w:rsidRPr="00883202">
              <w:t>* (v %, pravá osa)</w:t>
            </w:r>
          </w:p>
        </w:tc>
      </w:tr>
      <w:tr w:rsidR="00ED1959" w:rsidRPr="00191C35" w14:paraId="62D02BC8" w14:textId="77777777" w:rsidTr="004769BF">
        <w:tblPrEx>
          <w:tblCellMar>
            <w:left w:w="70" w:type="dxa"/>
            <w:right w:w="70" w:type="dxa"/>
          </w:tblCellMar>
        </w:tblPrEx>
        <w:trPr>
          <w:trHeight w:val="145"/>
        </w:trPr>
        <w:tc>
          <w:tcPr>
            <w:tcW w:w="1728" w:type="dxa"/>
            <w:shd w:val="clear" w:color="auto" w:fill="auto"/>
          </w:tcPr>
          <w:p w14:paraId="5A85CAD0" w14:textId="77777777" w:rsidR="00ED1959" w:rsidRDefault="00ED1959" w:rsidP="000F7C73">
            <w:pPr>
              <w:pStyle w:val="Marginlie"/>
            </w:pPr>
          </w:p>
        </w:tc>
        <w:tc>
          <w:tcPr>
            <w:tcW w:w="206" w:type="dxa"/>
            <w:shd w:val="clear" w:color="auto" w:fill="auto"/>
          </w:tcPr>
          <w:p w14:paraId="59C27257" w14:textId="77777777" w:rsidR="00ED1959" w:rsidRPr="00B43216" w:rsidRDefault="00ED1959" w:rsidP="000F7C73">
            <w:pPr>
              <w:pStyle w:val="Textpoznpodarou"/>
              <w:jc w:val="both"/>
              <w:rPr>
                <w:spacing w:val="-4"/>
              </w:rPr>
            </w:pPr>
          </w:p>
        </w:tc>
        <w:tc>
          <w:tcPr>
            <w:tcW w:w="7730" w:type="dxa"/>
            <w:shd w:val="clear" w:color="auto" w:fill="auto"/>
          </w:tcPr>
          <w:p w14:paraId="13A95936" w14:textId="001E73FE" w:rsidR="00ED1959" w:rsidRPr="003E01D3" w:rsidRDefault="004769BF" w:rsidP="000F7C73">
            <w:pPr>
              <w:spacing w:after="0"/>
              <w:rPr>
                <w:b/>
                <w:spacing w:val="-4"/>
              </w:rPr>
            </w:pPr>
            <w:r>
              <w:rPr>
                <w:noProof/>
              </w:rPr>
              <w:drawing>
                <wp:inline distT="0" distB="0" distL="0" distR="0" wp14:anchorId="2B547F36" wp14:editId="10A3FB4E">
                  <wp:extent cx="4749121" cy="3623323"/>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D1959" w:rsidRPr="00191C35" w14:paraId="363C10B4" w14:textId="77777777" w:rsidTr="000F7C73">
        <w:trPr>
          <w:trHeight w:val="145"/>
        </w:trPr>
        <w:tc>
          <w:tcPr>
            <w:tcW w:w="1728" w:type="dxa"/>
            <w:shd w:val="clear" w:color="auto" w:fill="auto"/>
            <w:tcMar>
              <w:left w:w="0" w:type="dxa"/>
            </w:tcMar>
          </w:tcPr>
          <w:p w14:paraId="672C7637" w14:textId="77777777" w:rsidR="00ED1959" w:rsidRDefault="00ED1959" w:rsidP="000F7C73">
            <w:pPr>
              <w:pStyle w:val="Marginlie"/>
            </w:pPr>
          </w:p>
        </w:tc>
        <w:tc>
          <w:tcPr>
            <w:tcW w:w="206" w:type="dxa"/>
            <w:shd w:val="clear" w:color="auto" w:fill="auto"/>
            <w:tcMar>
              <w:left w:w="0" w:type="dxa"/>
            </w:tcMar>
          </w:tcPr>
          <w:p w14:paraId="2FBFFEAA" w14:textId="77777777" w:rsidR="00ED1959" w:rsidRPr="00B43216" w:rsidRDefault="00ED1959" w:rsidP="000F7C73">
            <w:pPr>
              <w:pStyle w:val="Textpoznpodarou"/>
              <w:jc w:val="both"/>
              <w:rPr>
                <w:spacing w:val="-4"/>
              </w:rPr>
            </w:pPr>
          </w:p>
        </w:tc>
        <w:tc>
          <w:tcPr>
            <w:tcW w:w="7730" w:type="dxa"/>
            <w:shd w:val="clear" w:color="auto" w:fill="auto"/>
            <w:tcMar>
              <w:left w:w="0" w:type="dxa"/>
            </w:tcMar>
          </w:tcPr>
          <w:p w14:paraId="73997BB3" w14:textId="77777777" w:rsidR="00ED1959" w:rsidRPr="00883202" w:rsidRDefault="00ED1959" w:rsidP="000F7C73">
            <w:pPr>
              <w:spacing w:after="0"/>
              <w:rPr>
                <w:rFonts w:cs="Arial"/>
                <w:sz w:val="14"/>
                <w:szCs w:val="14"/>
              </w:rPr>
            </w:pPr>
            <w:r w:rsidRPr="00883202">
              <w:rPr>
                <w:rFonts w:cs="Arial"/>
                <w:sz w:val="14"/>
                <w:szCs w:val="14"/>
              </w:rPr>
              <w:t>Údaje o stavební produkci jsou očištěny o kalendářní vlivy.</w:t>
            </w:r>
          </w:p>
          <w:p w14:paraId="622B67DA" w14:textId="77777777" w:rsidR="00ED1959" w:rsidRPr="00FC6785" w:rsidRDefault="00ED1959" w:rsidP="00ED1959">
            <w:pPr>
              <w:tabs>
                <w:tab w:val="right" w:pos="7711"/>
              </w:tabs>
              <w:rPr>
                <w:rFonts w:cs="Arial"/>
                <w:sz w:val="14"/>
                <w:szCs w:val="14"/>
              </w:rPr>
            </w:pPr>
            <w:r w:rsidRPr="00883202">
              <w:rPr>
                <w:rFonts w:cs="Arial"/>
                <w:sz w:val="14"/>
                <w:szCs w:val="14"/>
              </w:rPr>
              <w:t>*</w:t>
            </w:r>
            <w:r w:rsidRPr="00883202">
              <w:rPr>
                <w:rFonts w:cs="Arial"/>
                <w:spacing w:val="-2"/>
                <w:sz w:val="14"/>
                <w:szCs w:val="14"/>
              </w:rPr>
              <w:t>Saldo důvěry i bariéry růstu jsou sezónně očištěny a vyjadřují stav ve druhém měsíci daného čtvrtletí</w:t>
            </w:r>
            <w:r w:rsidRPr="00883202">
              <w:rPr>
                <w:rFonts w:cs="Arial"/>
                <w:sz w:val="14"/>
                <w:szCs w:val="14"/>
              </w:rPr>
              <w:t>.</w:t>
            </w:r>
            <w:r>
              <w:rPr>
                <w:rFonts w:cs="Arial"/>
                <w:sz w:val="14"/>
                <w:szCs w:val="14"/>
              </w:rPr>
              <w:t xml:space="preserve"> Podniky mohly uvést více hlavních bariér současně.</w:t>
            </w:r>
            <w:r>
              <w:rPr>
                <w:rFonts w:cs="Arial"/>
                <w:sz w:val="14"/>
                <w:szCs w:val="14"/>
              </w:rPr>
              <w:tab/>
            </w:r>
            <w:r w:rsidRPr="00883202">
              <w:rPr>
                <w:rFonts w:cs="Arial"/>
                <w:sz w:val="14"/>
                <w:szCs w:val="14"/>
              </w:rPr>
              <w:t>Zdroj: ČSÚ</w:t>
            </w:r>
            <w:r>
              <w:rPr>
                <w:rFonts w:cs="Arial"/>
                <w:sz w:val="14"/>
                <w:szCs w:val="14"/>
              </w:rPr>
              <w:t>, Eurostat</w:t>
            </w:r>
          </w:p>
        </w:tc>
      </w:tr>
      <w:tr w:rsidR="00ED1959" w:rsidRPr="00191C35" w14:paraId="249CB1F1" w14:textId="77777777" w:rsidTr="000F7C73">
        <w:trPr>
          <w:trHeight w:val="145"/>
        </w:trPr>
        <w:tc>
          <w:tcPr>
            <w:tcW w:w="1728" w:type="dxa"/>
            <w:shd w:val="clear" w:color="auto" w:fill="auto"/>
            <w:tcMar>
              <w:left w:w="0" w:type="dxa"/>
            </w:tcMar>
          </w:tcPr>
          <w:p w14:paraId="3959A28E" w14:textId="77777777" w:rsidR="00ED1959" w:rsidRDefault="00ED1959" w:rsidP="00ED1959">
            <w:pPr>
              <w:pStyle w:val="Marginlie"/>
            </w:pPr>
            <w:r>
              <w:t>Orientační hodnota stavebních povolení svižně rostla i bez vlivu velkých staveb.</w:t>
            </w:r>
          </w:p>
          <w:p w14:paraId="3EBE0145" w14:textId="77777777" w:rsidR="00ED1959" w:rsidRDefault="00ED1959" w:rsidP="00ED1959">
            <w:pPr>
              <w:pStyle w:val="Marginlie"/>
            </w:pPr>
          </w:p>
          <w:p w14:paraId="1A438C2F" w14:textId="77777777" w:rsidR="00ED1959" w:rsidRDefault="00ED1959" w:rsidP="00ED1959">
            <w:pPr>
              <w:pStyle w:val="Marginlie"/>
            </w:pPr>
          </w:p>
          <w:p w14:paraId="2C65B1EE" w14:textId="77777777" w:rsidR="00ED1959" w:rsidRDefault="00ED1959" w:rsidP="00ED1959">
            <w:pPr>
              <w:pStyle w:val="Marginlie"/>
            </w:pPr>
          </w:p>
          <w:p w14:paraId="5467BC8B" w14:textId="77777777" w:rsidR="00ED1959" w:rsidRDefault="00ED1959" w:rsidP="00ED1959">
            <w:pPr>
              <w:pStyle w:val="Marginlie"/>
            </w:pPr>
            <w:r>
              <w:t>Celková zásoba práce se letos zvýšila zejména díky soukromým zakázkám z tuzemska.</w:t>
            </w:r>
          </w:p>
        </w:tc>
        <w:tc>
          <w:tcPr>
            <w:tcW w:w="206" w:type="dxa"/>
            <w:shd w:val="clear" w:color="auto" w:fill="auto"/>
            <w:tcMar>
              <w:left w:w="0" w:type="dxa"/>
            </w:tcMar>
          </w:tcPr>
          <w:p w14:paraId="2AB90C78"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1820279F" w14:textId="77777777" w:rsidR="00ED1959" w:rsidRPr="00DC1E5D" w:rsidRDefault="00ED1959" w:rsidP="00ED1959">
            <w:pPr>
              <w:spacing w:after="160"/>
              <w:rPr>
                <w:spacing w:val="-2"/>
              </w:rPr>
            </w:pPr>
            <w:r w:rsidRPr="00EC6E8C">
              <w:rPr>
                <w:spacing w:val="-2"/>
              </w:rPr>
              <w:t>Krátk</w:t>
            </w:r>
            <w:r>
              <w:rPr>
                <w:spacing w:val="-2"/>
              </w:rPr>
              <w:t>odobé vyhlídky stavebnictví zůstávají</w:t>
            </w:r>
            <w:r w:rsidRPr="00EC6E8C">
              <w:rPr>
                <w:spacing w:val="-2"/>
              </w:rPr>
              <w:t xml:space="preserve"> převážně pozitivní. Orientační hodnota vydaných stavebních povolení byla v úhrnu za sedm letošních měsíců zhruba o</w:t>
            </w:r>
            <w:r>
              <w:rPr>
                <w:spacing w:val="-2"/>
              </w:rPr>
              <w:t> </w:t>
            </w:r>
            <w:r w:rsidRPr="00EC6E8C">
              <w:rPr>
                <w:spacing w:val="-2"/>
              </w:rPr>
              <w:t>třetinu vyšší – jak v meziročním, tak v</w:t>
            </w:r>
            <w:r>
              <w:rPr>
                <w:spacing w:val="-2"/>
              </w:rPr>
              <w:t xml:space="preserve">e </w:t>
            </w:r>
            <w:r w:rsidRPr="00EC6E8C">
              <w:rPr>
                <w:spacing w:val="-2"/>
              </w:rPr>
              <w:t>dvouletém srovnání.</w:t>
            </w:r>
            <w:r>
              <w:rPr>
                <w:spacing w:val="-2"/>
              </w:rPr>
              <w:t xml:space="preserve"> Hodnota svižně rostla i po odečtení velkých staveb (nad 1. mld. korun), což může být dobrým signálem i pro menší stavební firmy. </w:t>
            </w:r>
            <w:r w:rsidRPr="007170FB">
              <w:t xml:space="preserve">Objem nově uzavřených stavebních zakázek </w:t>
            </w:r>
            <w:r>
              <w:t xml:space="preserve">(v podnicích s více než 50 zaměstnanci) </w:t>
            </w:r>
            <w:r w:rsidRPr="007170FB">
              <w:t>roste již pátým rokem v</w:t>
            </w:r>
            <w:r>
              <w:t> </w:t>
            </w:r>
            <w:r w:rsidRPr="007170FB">
              <w:t>řadě a</w:t>
            </w:r>
            <w:r>
              <w:t> </w:t>
            </w:r>
            <w:r w:rsidRPr="007170FB">
              <w:t>za první letošní pololetí byl</w:t>
            </w:r>
            <w:r>
              <w:t xml:space="preserve"> meziročně o necelou</w:t>
            </w:r>
            <w:r w:rsidRPr="007170FB">
              <w:t xml:space="preserve"> </w:t>
            </w:r>
            <w:r>
              <w:t xml:space="preserve">pětinu </w:t>
            </w:r>
            <w:r w:rsidRPr="007170FB">
              <w:t xml:space="preserve">vyšší </w:t>
            </w:r>
            <w:r>
              <w:t xml:space="preserve">(z toho v inženýrském stavitelství </w:t>
            </w:r>
            <w:r w:rsidRPr="00ED3F9B">
              <w:rPr>
                <w:color w:val="0D0D0D" w:themeColor="text1" w:themeTint="F2"/>
              </w:rPr>
              <w:t>bezmála o</w:t>
            </w:r>
            <w:r>
              <w:rPr>
                <w:color w:val="0D0D0D" w:themeColor="text1" w:themeTint="F2"/>
              </w:rPr>
              <w:t> </w:t>
            </w:r>
            <w:r w:rsidRPr="00ED3F9B">
              <w:rPr>
                <w:color w:val="0D0D0D" w:themeColor="text1" w:themeTint="F2"/>
              </w:rPr>
              <w:t xml:space="preserve">třetinu). </w:t>
            </w:r>
            <w:r w:rsidRPr="00ED3F9B">
              <w:rPr>
                <w:color w:val="0D0D0D" w:themeColor="text1" w:themeTint="F2"/>
                <w:spacing w:val="-4"/>
                <w:szCs w:val="20"/>
              </w:rPr>
              <w:t>Všechny dosud nerealizované zakázky poskytovaly na počátku 3.</w:t>
            </w:r>
            <w:r>
              <w:rPr>
                <w:color w:val="0D0D0D" w:themeColor="text1" w:themeTint="F2"/>
                <w:spacing w:val="-4"/>
                <w:szCs w:val="20"/>
              </w:rPr>
              <w:t> čtvrtlet</w:t>
            </w:r>
            <w:r w:rsidRPr="00ED3F9B">
              <w:rPr>
                <w:color w:val="0D0D0D" w:themeColor="text1" w:themeTint="F2"/>
                <w:spacing w:val="-4"/>
                <w:szCs w:val="20"/>
              </w:rPr>
              <w:t>í stavebním podnikům práci v průměru na dalších devět měsíců. Celková zásoba zakázek byla na</w:t>
            </w:r>
            <w:r>
              <w:rPr>
                <w:color w:val="0D0D0D" w:themeColor="text1" w:themeTint="F2"/>
                <w:spacing w:val="-4"/>
                <w:szCs w:val="20"/>
              </w:rPr>
              <w:t xml:space="preserve"> sklonku</w:t>
            </w:r>
            <w:r w:rsidRPr="00ED3F9B">
              <w:rPr>
                <w:color w:val="0D0D0D" w:themeColor="text1" w:themeTint="F2"/>
                <w:spacing w:val="-4"/>
                <w:szCs w:val="20"/>
              </w:rPr>
              <w:t xml:space="preserve"> letošního pololetí meziročně o</w:t>
            </w:r>
            <w:r>
              <w:rPr>
                <w:color w:val="0D0D0D" w:themeColor="text1" w:themeTint="F2"/>
                <w:spacing w:val="-4"/>
                <w:szCs w:val="20"/>
              </w:rPr>
              <w:t> </w:t>
            </w:r>
            <w:r w:rsidRPr="00ED3F9B">
              <w:rPr>
                <w:color w:val="0D0D0D" w:themeColor="text1" w:themeTint="F2"/>
                <w:spacing w:val="-4"/>
                <w:szCs w:val="20"/>
              </w:rPr>
              <w:t>pětinu vyšší. Jestliže v letech 2018 až 2020 byl růst zásoby práce tažen primárně veře</w:t>
            </w:r>
            <w:r>
              <w:rPr>
                <w:color w:val="0D0D0D" w:themeColor="text1" w:themeTint="F2"/>
                <w:spacing w:val="-4"/>
                <w:szCs w:val="20"/>
              </w:rPr>
              <w:t xml:space="preserve">jnými zakázkami, letos </w:t>
            </w:r>
            <w:r w:rsidRPr="00ED3F9B">
              <w:rPr>
                <w:color w:val="0D0D0D" w:themeColor="text1" w:themeTint="F2"/>
                <w:spacing w:val="-4"/>
                <w:szCs w:val="20"/>
              </w:rPr>
              <w:t xml:space="preserve">tuto roli </w:t>
            </w:r>
            <w:r>
              <w:rPr>
                <w:color w:val="0D0D0D" w:themeColor="text1" w:themeTint="F2"/>
                <w:spacing w:val="-4"/>
                <w:szCs w:val="20"/>
              </w:rPr>
              <w:t xml:space="preserve">převzaly </w:t>
            </w:r>
            <w:r w:rsidRPr="00ED3F9B">
              <w:rPr>
                <w:color w:val="0D0D0D" w:themeColor="text1" w:themeTint="F2"/>
                <w:spacing w:val="-4"/>
                <w:szCs w:val="20"/>
              </w:rPr>
              <w:t>soukromé tuzemské zakázky.</w:t>
            </w:r>
          </w:p>
        </w:tc>
      </w:tr>
      <w:tr w:rsidR="00ED1959" w:rsidRPr="00191C35" w14:paraId="13950007" w14:textId="77777777" w:rsidTr="000F7C73">
        <w:trPr>
          <w:trHeight w:val="145"/>
        </w:trPr>
        <w:tc>
          <w:tcPr>
            <w:tcW w:w="1728" w:type="dxa"/>
            <w:shd w:val="clear" w:color="auto" w:fill="auto"/>
            <w:tcMar>
              <w:left w:w="0" w:type="dxa"/>
            </w:tcMar>
          </w:tcPr>
          <w:p w14:paraId="2A63205A" w14:textId="77777777" w:rsidR="00ED1959" w:rsidRDefault="00ED1959" w:rsidP="00ED1959">
            <w:pPr>
              <w:pStyle w:val="Marginlie"/>
            </w:pPr>
            <w:r>
              <w:t xml:space="preserve">Důvěra podnikatelů ve stavebnictví zůstávala v mírně negativním </w:t>
            </w:r>
            <w:r>
              <w:lastRenderedPageBreak/>
              <w:t>pásmu. Odvětví se potýkalo s řadou růstových bariér.</w:t>
            </w:r>
          </w:p>
        </w:tc>
        <w:tc>
          <w:tcPr>
            <w:tcW w:w="206" w:type="dxa"/>
            <w:shd w:val="clear" w:color="auto" w:fill="auto"/>
            <w:tcMar>
              <w:left w:w="0" w:type="dxa"/>
            </w:tcMar>
          </w:tcPr>
          <w:p w14:paraId="37DCE035"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2F921DFB" w14:textId="77777777" w:rsidR="00ED1959" w:rsidRPr="0036624C" w:rsidRDefault="00ED1959" w:rsidP="00ED1959">
            <w:pPr>
              <w:spacing w:after="200"/>
              <w:rPr>
                <w:spacing w:val="-4"/>
              </w:rPr>
            </w:pPr>
            <w:r>
              <w:rPr>
                <w:spacing w:val="-4"/>
                <w:szCs w:val="20"/>
              </w:rPr>
              <w:t>Saldo důvěry</w:t>
            </w:r>
            <w:r w:rsidRPr="00994976">
              <w:rPr>
                <w:spacing w:val="-4"/>
                <w:szCs w:val="20"/>
              </w:rPr>
              <w:t xml:space="preserve"> podnikatelů </w:t>
            </w:r>
            <w:r>
              <w:rPr>
                <w:spacing w:val="-4"/>
                <w:szCs w:val="20"/>
              </w:rPr>
              <w:t xml:space="preserve">ve stavebnictví letos mírně kolísalo a stále setrvávalo v negativním pásmu lehce pod úrovní z období těsně před počátkem pandemie. </w:t>
            </w:r>
            <w:r>
              <w:rPr>
                <w:spacing w:val="-4"/>
              </w:rPr>
              <w:t xml:space="preserve">Krátkodobá očekávání </w:t>
            </w:r>
            <w:r>
              <w:rPr>
                <w:spacing w:val="-4"/>
              </w:rPr>
              <w:lastRenderedPageBreak/>
              <w:t>výrobní činnosti i zaměstnanosti zůstala v srpnu mírně pozitivní. Slabou poptávku pociťovalo jako růstovou bariéru nejméně podniků za poslední dva roky. Naopak nedostatek zaměstnanců sužoval od půle loňského roku stabilně zhruba 40 % podniků. Od konce letošního jara byly firmy stále více limitovány nedostatkem materiálu, což posilovalo cenové tlaky v celém odvětví. Růst stavebních prací očekávalo v nejbližších třech měsících více než 40 % podniků, obdobně jako za konjunktury v roce 2008.</w:t>
            </w:r>
          </w:p>
        </w:tc>
      </w:tr>
      <w:tr w:rsidR="00ED1959" w:rsidRPr="00191C35" w14:paraId="362CE838" w14:textId="77777777" w:rsidTr="000F7C73">
        <w:trPr>
          <w:trHeight w:val="145"/>
        </w:trPr>
        <w:tc>
          <w:tcPr>
            <w:tcW w:w="1728" w:type="dxa"/>
            <w:shd w:val="clear" w:color="auto" w:fill="auto"/>
            <w:tcMar>
              <w:left w:w="0" w:type="dxa"/>
            </w:tcMar>
          </w:tcPr>
          <w:p w14:paraId="562EB7DA" w14:textId="77777777" w:rsidR="00ED1959" w:rsidRDefault="00ED1959" w:rsidP="00ED1959">
            <w:pPr>
              <w:pStyle w:val="Marginlie"/>
            </w:pPr>
            <w:r>
              <w:lastRenderedPageBreak/>
              <w:t>Postupné uvolnění protipandemických restrikcí se odrazilo ve zrychlení mezičtvrtletního růstu tržeb ve službách.</w:t>
            </w:r>
          </w:p>
          <w:p w14:paraId="594FFF95" w14:textId="77777777" w:rsidR="00ED1959" w:rsidRDefault="00ED1959" w:rsidP="00ED1959">
            <w:pPr>
              <w:pStyle w:val="Marginlie"/>
            </w:pPr>
          </w:p>
          <w:p w14:paraId="6D0CEBB7" w14:textId="77777777" w:rsidR="00ED1959" w:rsidRDefault="00ED1959" w:rsidP="00ED1959">
            <w:pPr>
              <w:pStyle w:val="Marginlie"/>
            </w:pPr>
          </w:p>
          <w:p w14:paraId="23BBBD99" w14:textId="77777777" w:rsidR="00ED1959" w:rsidRDefault="00ED1959" w:rsidP="00ED1959">
            <w:pPr>
              <w:pStyle w:val="Marginlie"/>
            </w:pPr>
          </w:p>
          <w:p w14:paraId="746562A2" w14:textId="77777777" w:rsidR="00ED1959" w:rsidRDefault="00ED1959" w:rsidP="00ED1959">
            <w:pPr>
              <w:pStyle w:val="Marginlie"/>
            </w:pPr>
            <w:r>
              <w:t>Meziroční srovnání bylo ve 2. čtvrtletí zásadně ovlivněno loňským propadem tržeb.</w:t>
            </w:r>
          </w:p>
        </w:tc>
        <w:tc>
          <w:tcPr>
            <w:tcW w:w="206" w:type="dxa"/>
            <w:shd w:val="clear" w:color="auto" w:fill="auto"/>
            <w:tcMar>
              <w:left w:w="0" w:type="dxa"/>
            </w:tcMar>
          </w:tcPr>
          <w:p w14:paraId="7085C8B3"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577171F0" w14:textId="32DCC04A" w:rsidR="00ED1959" w:rsidRPr="005E3113" w:rsidRDefault="00ED1959" w:rsidP="00ED1959">
            <w:pPr>
              <w:spacing w:after="200"/>
              <w:rPr>
                <w:spacing w:val="-4"/>
                <w:szCs w:val="20"/>
              </w:rPr>
            </w:pPr>
            <w:r w:rsidRPr="005E3113">
              <w:rPr>
                <w:color w:val="0D0D0D" w:themeColor="text1" w:themeTint="F2"/>
                <w:spacing w:val="-4"/>
                <w:szCs w:val="20"/>
              </w:rPr>
              <w:t>Ačkoli citelný zásah protipandemických opatření do části služeb přetrvával po celé 1.</w:t>
            </w:r>
            <w:r w:rsidRPr="005E3113">
              <w:rPr>
                <w:spacing w:val="-4"/>
              </w:rPr>
              <w:t> </w:t>
            </w:r>
            <w:r>
              <w:rPr>
                <w:color w:val="0D0D0D" w:themeColor="text1" w:themeTint="F2"/>
                <w:spacing w:val="-4"/>
                <w:szCs w:val="20"/>
              </w:rPr>
              <w:t>čtvrtletí 2021</w:t>
            </w:r>
            <w:r w:rsidRPr="005E3113">
              <w:rPr>
                <w:color w:val="0D0D0D" w:themeColor="text1" w:themeTint="F2"/>
                <w:spacing w:val="-4"/>
                <w:szCs w:val="20"/>
              </w:rPr>
              <w:t xml:space="preserve">, </w:t>
            </w:r>
            <w:r w:rsidRPr="005E3113">
              <w:rPr>
                <w:color w:val="0D0D0D" w:themeColor="text1" w:themeTint="F2"/>
                <w:spacing w:val="-4"/>
              </w:rPr>
              <w:t>tržby ve vybraných službách</w:t>
            </w:r>
            <w:r w:rsidRPr="005E3113">
              <w:rPr>
                <w:color w:val="0D0D0D" w:themeColor="text1" w:themeTint="F2"/>
                <w:spacing w:val="-4"/>
                <w:vertAlign w:val="superscript"/>
              </w:rPr>
              <w:footnoteReference w:id="24"/>
            </w:r>
            <w:r w:rsidRPr="005E3113">
              <w:rPr>
                <w:color w:val="0D0D0D" w:themeColor="text1" w:themeTint="F2"/>
                <w:spacing w:val="-4"/>
              </w:rPr>
              <w:t xml:space="preserve"> ve srovnání s úrovní 4.</w:t>
            </w:r>
            <w:r>
              <w:rPr>
                <w:color w:val="0D0D0D" w:themeColor="text1" w:themeTint="F2"/>
                <w:spacing w:val="-4"/>
              </w:rPr>
              <w:t> čtvrtlet</w:t>
            </w:r>
            <w:r w:rsidRPr="005E3113">
              <w:rPr>
                <w:color w:val="0D0D0D" w:themeColor="text1" w:themeTint="F2"/>
                <w:spacing w:val="-4"/>
              </w:rPr>
              <w:t>í 2020 mírně vzrostly (+1,9</w:t>
            </w:r>
            <w:r>
              <w:rPr>
                <w:color w:val="0D0D0D" w:themeColor="text1" w:themeTint="F2"/>
                <w:spacing w:val="-4"/>
              </w:rPr>
              <w:t> %</w:t>
            </w:r>
            <w:r w:rsidRPr="005E3113">
              <w:rPr>
                <w:color w:val="0D0D0D" w:themeColor="text1" w:themeTint="F2"/>
                <w:spacing w:val="-4"/>
              </w:rPr>
              <w:t>). Postupné uvolnění restrikcí ve 2.</w:t>
            </w:r>
            <w:r>
              <w:rPr>
                <w:color w:val="0D0D0D" w:themeColor="text1" w:themeTint="F2"/>
                <w:spacing w:val="-4"/>
              </w:rPr>
              <w:t> čtvrtlet</w:t>
            </w:r>
            <w:r w:rsidRPr="005E3113">
              <w:rPr>
                <w:color w:val="0D0D0D" w:themeColor="text1" w:themeTint="F2"/>
                <w:spacing w:val="-4"/>
              </w:rPr>
              <w:t>í bylo dle očekávání spojeno s výrazným oživením</w:t>
            </w:r>
            <w:r w:rsidRPr="005E3113">
              <w:rPr>
                <w:color w:val="0D0D0D" w:themeColor="text1" w:themeTint="F2"/>
                <w:spacing w:val="-4"/>
                <w:szCs w:val="20"/>
              </w:rPr>
              <w:t xml:space="preserve"> širokého spektra</w:t>
            </w:r>
            <w:r w:rsidRPr="005E3113">
              <w:rPr>
                <w:color w:val="0D0D0D" w:themeColor="text1" w:themeTint="F2"/>
                <w:spacing w:val="-4"/>
              </w:rPr>
              <w:t xml:space="preserve"> služeb. Tržby ve službách mezikvartálně posílily o</w:t>
            </w:r>
            <w:r>
              <w:rPr>
                <w:color w:val="0D0D0D" w:themeColor="text1" w:themeTint="F2"/>
                <w:spacing w:val="-4"/>
              </w:rPr>
              <w:t> </w:t>
            </w:r>
            <w:r w:rsidRPr="005E3113">
              <w:rPr>
                <w:color w:val="0D0D0D" w:themeColor="text1" w:themeTint="F2"/>
                <w:spacing w:val="-4"/>
              </w:rPr>
              <w:t>rovná 4</w:t>
            </w:r>
            <w:r>
              <w:rPr>
                <w:color w:val="0D0D0D" w:themeColor="text1" w:themeTint="F2"/>
                <w:spacing w:val="-4"/>
              </w:rPr>
              <w:t> %</w:t>
            </w:r>
            <w:r w:rsidR="00BF35C9">
              <w:rPr>
                <w:color w:val="0D0D0D" w:themeColor="text1" w:themeTint="F2"/>
                <w:spacing w:val="-4"/>
              </w:rPr>
              <w:t>, více než ze třetiny</w:t>
            </w:r>
            <w:r w:rsidRPr="005E3113">
              <w:rPr>
                <w:color w:val="0D0D0D" w:themeColor="text1" w:themeTint="F2"/>
                <w:spacing w:val="-4"/>
              </w:rPr>
              <w:t xml:space="preserve"> díky „probuzení“ odvětví ubytování, stravování a</w:t>
            </w:r>
            <w:r>
              <w:rPr>
                <w:color w:val="0D0D0D" w:themeColor="text1" w:themeTint="F2"/>
                <w:spacing w:val="-4"/>
              </w:rPr>
              <w:t> </w:t>
            </w:r>
            <w:r w:rsidRPr="005E3113">
              <w:rPr>
                <w:color w:val="0D0D0D" w:themeColor="text1" w:themeTint="F2"/>
                <w:spacing w:val="-4"/>
              </w:rPr>
              <w:t>pohostinství. Nárůst tržeb byl ale patrný ve všech hlavních odvětvích. Za 1. pololetí 2021 se tržby ve službách zvýšily meziročně o</w:t>
            </w:r>
            <w:r>
              <w:rPr>
                <w:color w:val="0D0D0D" w:themeColor="text1" w:themeTint="F2"/>
                <w:spacing w:val="-4"/>
              </w:rPr>
              <w:t> </w:t>
            </w:r>
            <w:r w:rsidRPr="005E3113">
              <w:rPr>
                <w:color w:val="0D0D0D" w:themeColor="text1" w:themeTint="F2"/>
                <w:spacing w:val="-4"/>
              </w:rPr>
              <w:t>3</w:t>
            </w:r>
            <w:r w:rsidR="00BF35C9">
              <w:rPr>
                <w:color w:val="0D0D0D" w:themeColor="text1" w:themeTint="F2"/>
                <w:spacing w:val="-4"/>
              </w:rPr>
              <w:t>,0</w:t>
            </w:r>
            <w:r>
              <w:rPr>
                <w:color w:val="0D0D0D" w:themeColor="text1" w:themeTint="F2"/>
                <w:spacing w:val="-4"/>
              </w:rPr>
              <w:t> %</w:t>
            </w:r>
            <w:r w:rsidRPr="005E3113">
              <w:rPr>
                <w:color w:val="0D0D0D" w:themeColor="text1" w:themeTint="F2"/>
                <w:spacing w:val="-4"/>
              </w:rPr>
              <w:t>, v samotném 2.</w:t>
            </w:r>
            <w:r>
              <w:rPr>
                <w:color w:val="0D0D0D" w:themeColor="text1" w:themeTint="F2"/>
                <w:spacing w:val="-4"/>
              </w:rPr>
              <w:t> čtvrtlet</w:t>
            </w:r>
            <w:r w:rsidRPr="005E3113">
              <w:rPr>
                <w:color w:val="0D0D0D" w:themeColor="text1" w:themeTint="F2"/>
                <w:spacing w:val="-4"/>
              </w:rPr>
              <w:t>í pak zejména vlivem velmi nízké srovnávací základny o</w:t>
            </w:r>
            <w:r>
              <w:rPr>
                <w:color w:val="0D0D0D" w:themeColor="text1" w:themeTint="F2"/>
                <w:spacing w:val="-4"/>
              </w:rPr>
              <w:t> </w:t>
            </w:r>
            <w:r w:rsidRPr="005E3113">
              <w:rPr>
                <w:color w:val="0D0D0D" w:themeColor="text1" w:themeTint="F2"/>
                <w:spacing w:val="-4"/>
              </w:rPr>
              <w:t>14,2</w:t>
            </w:r>
            <w:r>
              <w:rPr>
                <w:color w:val="0D0D0D" w:themeColor="text1" w:themeTint="F2"/>
                <w:spacing w:val="-4"/>
              </w:rPr>
              <w:t> %</w:t>
            </w:r>
            <w:r w:rsidRPr="005E3113">
              <w:rPr>
                <w:color w:val="0D0D0D" w:themeColor="text1" w:themeTint="F2"/>
                <w:spacing w:val="-4"/>
              </w:rPr>
              <w:t>. T</w:t>
            </w:r>
            <w:r w:rsidRPr="005E3113">
              <w:rPr>
                <w:rFonts w:cs="Arial"/>
                <w:bCs/>
                <w:spacing w:val="-4"/>
                <w:szCs w:val="20"/>
              </w:rPr>
              <w:t>ržby se letos nacház</w:t>
            </w:r>
            <w:r w:rsidR="00BF35C9">
              <w:rPr>
                <w:rFonts w:cs="Arial"/>
                <w:bCs/>
                <w:spacing w:val="-4"/>
                <w:szCs w:val="20"/>
              </w:rPr>
              <w:t>ely</w:t>
            </w:r>
            <w:r w:rsidRPr="005E3113">
              <w:rPr>
                <w:rFonts w:cs="Arial"/>
                <w:bCs/>
                <w:spacing w:val="-4"/>
                <w:szCs w:val="20"/>
              </w:rPr>
              <w:t xml:space="preserve"> přibližně na úrovni roku 2016 </w:t>
            </w:r>
            <w:r>
              <w:rPr>
                <w:rFonts w:cs="Arial"/>
                <w:bCs/>
                <w:spacing w:val="-4"/>
                <w:szCs w:val="20"/>
              </w:rPr>
              <w:t>a za předkrizovým vrcholem stále</w:t>
            </w:r>
            <w:r w:rsidR="00BF35C9">
              <w:rPr>
                <w:rFonts w:cs="Arial"/>
                <w:bCs/>
                <w:spacing w:val="-4"/>
                <w:szCs w:val="20"/>
              </w:rPr>
              <w:t xml:space="preserve"> výrazně zaostávaly</w:t>
            </w:r>
            <w:r w:rsidRPr="005E3113">
              <w:rPr>
                <w:rFonts w:cs="Arial"/>
                <w:bCs/>
                <w:spacing w:val="-4"/>
                <w:szCs w:val="20"/>
              </w:rPr>
              <w:t xml:space="preserve">. </w:t>
            </w:r>
            <w:r w:rsidRPr="005E3113">
              <w:rPr>
                <w:spacing w:val="-5"/>
              </w:rPr>
              <w:t>Meziročně vzrostly tržby ve 2.</w:t>
            </w:r>
            <w:r>
              <w:rPr>
                <w:spacing w:val="-5"/>
              </w:rPr>
              <w:t> čtvrtlet</w:t>
            </w:r>
            <w:r w:rsidRPr="005E3113">
              <w:rPr>
                <w:spacing w:val="-5"/>
              </w:rPr>
              <w:t>í ve všech hlavních odvět</w:t>
            </w:r>
            <w:r>
              <w:rPr>
                <w:spacing w:val="-5"/>
              </w:rPr>
              <w:t>vích, nejvíce v těch, která byla vloni za</w:t>
            </w:r>
            <w:r w:rsidRPr="005E3113">
              <w:rPr>
                <w:spacing w:val="-5"/>
              </w:rPr>
              <w:t xml:space="preserve"> první pandemické vlny fakticky paralyzován</w:t>
            </w:r>
            <w:r>
              <w:rPr>
                <w:spacing w:val="-5"/>
              </w:rPr>
              <w:t>a</w:t>
            </w:r>
            <w:r w:rsidRPr="005E3113">
              <w:rPr>
                <w:spacing w:val="-5"/>
              </w:rPr>
              <w:t xml:space="preserve"> – v</w:t>
            </w:r>
            <w:r w:rsidRPr="005E3113">
              <w:rPr>
                <w:color w:val="0D0D0D" w:themeColor="text1" w:themeTint="F2"/>
                <w:spacing w:val="-5"/>
              </w:rPr>
              <w:t> u</w:t>
            </w:r>
            <w:r>
              <w:rPr>
                <w:color w:val="0D0D0D" w:themeColor="text1" w:themeTint="F2"/>
                <w:spacing w:val="-5"/>
              </w:rPr>
              <w:t>bytování, stravování a</w:t>
            </w:r>
            <w:r w:rsidRPr="005E3113">
              <w:rPr>
                <w:color w:val="0D0D0D" w:themeColor="text1" w:themeTint="F2"/>
                <w:spacing w:val="-5"/>
              </w:rPr>
              <w:t> pohostinství se zvýšily skoro o</w:t>
            </w:r>
            <w:r>
              <w:rPr>
                <w:color w:val="0D0D0D" w:themeColor="text1" w:themeTint="F2"/>
                <w:spacing w:val="-5"/>
              </w:rPr>
              <w:t> </w:t>
            </w:r>
            <w:r w:rsidRPr="005E3113">
              <w:rPr>
                <w:color w:val="0D0D0D" w:themeColor="text1" w:themeTint="F2"/>
                <w:spacing w:val="-5"/>
              </w:rPr>
              <w:t xml:space="preserve">třetinu, v dopravě </w:t>
            </w:r>
            <w:r>
              <w:rPr>
                <w:color w:val="0D0D0D" w:themeColor="text1" w:themeTint="F2"/>
                <w:spacing w:val="-5"/>
              </w:rPr>
              <w:t>a skladování téměř</w:t>
            </w:r>
            <w:r w:rsidRPr="005E3113">
              <w:rPr>
                <w:color w:val="0D0D0D" w:themeColor="text1" w:themeTint="F2"/>
                <w:spacing w:val="-5"/>
              </w:rPr>
              <w:t xml:space="preserve"> o</w:t>
            </w:r>
            <w:r>
              <w:rPr>
                <w:color w:val="0D0D0D" w:themeColor="text1" w:themeTint="F2"/>
                <w:spacing w:val="-5"/>
              </w:rPr>
              <w:t> </w:t>
            </w:r>
            <w:r w:rsidRPr="005E3113">
              <w:rPr>
                <w:color w:val="0D0D0D" w:themeColor="text1" w:themeTint="F2"/>
                <w:spacing w:val="-5"/>
              </w:rPr>
              <w:t>čtvrtinu</w:t>
            </w:r>
            <w:r>
              <w:rPr>
                <w:color w:val="0D0D0D" w:themeColor="text1" w:themeTint="F2"/>
                <w:spacing w:val="-5"/>
              </w:rPr>
              <w:t xml:space="preserve"> a</w:t>
            </w:r>
            <w:r w:rsidRPr="005E3113">
              <w:rPr>
                <w:color w:val="0D0D0D" w:themeColor="text1" w:themeTint="F2"/>
                <w:spacing w:val="-5"/>
              </w:rPr>
              <w:t xml:space="preserve"> v administrativních </w:t>
            </w:r>
            <w:r>
              <w:rPr>
                <w:color w:val="0D0D0D" w:themeColor="text1" w:themeTint="F2"/>
                <w:spacing w:val="-5"/>
              </w:rPr>
              <w:t>a</w:t>
            </w:r>
            <w:r w:rsidRPr="005E3113">
              <w:rPr>
                <w:color w:val="0D0D0D" w:themeColor="text1" w:themeTint="F2"/>
                <w:spacing w:val="-4"/>
              </w:rPr>
              <w:t> </w:t>
            </w:r>
            <w:r w:rsidRPr="005E3113">
              <w:rPr>
                <w:color w:val="0D0D0D" w:themeColor="text1" w:themeTint="F2"/>
                <w:spacing w:val="-5"/>
              </w:rPr>
              <w:t>podpůrných činnostech bezmála o</w:t>
            </w:r>
            <w:r>
              <w:rPr>
                <w:color w:val="0D0D0D" w:themeColor="text1" w:themeTint="F2"/>
                <w:spacing w:val="-5"/>
              </w:rPr>
              <w:t> </w:t>
            </w:r>
            <w:r w:rsidRPr="005E3113">
              <w:rPr>
                <w:color w:val="0D0D0D" w:themeColor="text1" w:themeTint="F2"/>
                <w:spacing w:val="-5"/>
              </w:rPr>
              <w:t>pětinu.</w:t>
            </w:r>
          </w:p>
        </w:tc>
      </w:tr>
      <w:tr w:rsidR="00ED1959" w:rsidRPr="00191C35" w14:paraId="2D9741E4" w14:textId="77777777" w:rsidTr="000F7C73">
        <w:trPr>
          <w:trHeight w:val="145"/>
        </w:trPr>
        <w:tc>
          <w:tcPr>
            <w:tcW w:w="1728" w:type="dxa"/>
            <w:shd w:val="clear" w:color="auto" w:fill="auto"/>
            <w:tcMar>
              <w:left w:w="0" w:type="dxa"/>
            </w:tcMar>
          </w:tcPr>
          <w:p w14:paraId="73D572A0" w14:textId="77777777" w:rsidR="00ED1959" w:rsidRDefault="00ED1959" w:rsidP="00ED1959">
            <w:pPr>
              <w:pStyle w:val="Marginlie"/>
            </w:pPr>
            <w:r>
              <w:t>Ve srovnání s 2. čtvrtletím 2019 klesly tržby ve službách o 8,3 %.</w:t>
            </w:r>
          </w:p>
          <w:p w14:paraId="5E9B4C80" w14:textId="77777777" w:rsidR="00ED1959" w:rsidRDefault="00ED1959" w:rsidP="00ED1959">
            <w:pPr>
              <w:pStyle w:val="Marginlie"/>
            </w:pPr>
          </w:p>
          <w:p w14:paraId="06D2A564" w14:textId="77777777" w:rsidR="00ED1959" w:rsidRDefault="00ED1959" w:rsidP="00ED1959">
            <w:pPr>
              <w:pStyle w:val="Marginlie"/>
            </w:pPr>
          </w:p>
          <w:p w14:paraId="5A1FAD77" w14:textId="77777777" w:rsidR="00ED1959" w:rsidRDefault="00ED1959" w:rsidP="00ED1959">
            <w:pPr>
              <w:pStyle w:val="Marginlie"/>
            </w:pPr>
            <w:r>
              <w:t>Pandemické období posílilo roli informačních a komunikačních činností. Z rozvoje internetového obchodu těžily poštovní a kurýrní činnosti.</w:t>
            </w:r>
          </w:p>
        </w:tc>
        <w:tc>
          <w:tcPr>
            <w:tcW w:w="206" w:type="dxa"/>
            <w:shd w:val="clear" w:color="auto" w:fill="auto"/>
            <w:tcMar>
              <w:left w:w="0" w:type="dxa"/>
            </w:tcMar>
          </w:tcPr>
          <w:p w14:paraId="0C4E9AA8"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3E8FCC23" w14:textId="77777777" w:rsidR="00ED1959" w:rsidRPr="00EB7CC9" w:rsidRDefault="00ED1959" w:rsidP="00ED1959">
            <w:pPr>
              <w:spacing w:after="200"/>
              <w:rPr>
                <w:color w:val="0D0D0D" w:themeColor="text1" w:themeTint="F2"/>
                <w:spacing w:val="-4"/>
              </w:rPr>
            </w:pPr>
            <w:r w:rsidRPr="00EE0E7E">
              <w:rPr>
                <w:color w:val="0D0D0D" w:themeColor="text1" w:themeTint="F2"/>
                <w:spacing w:val="-4"/>
              </w:rPr>
              <w:t xml:space="preserve">Větší vypovídací schopnost má dvouleté srovnání, </w:t>
            </w:r>
            <w:r>
              <w:rPr>
                <w:color w:val="0D0D0D" w:themeColor="text1" w:themeTint="F2"/>
                <w:spacing w:val="-4"/>
              </w:rPr>
              <w:t>mimo jiné</w:t>
            </w:r>
            <w:r w:rsidRPr="00EE0E7E">
              <w:rPr>
                <w:color w:val="0D0D0D" w:themeColor="text1" w:themeTint="F2"/>
                <w:spacing w:val="-4"/>
              </w:rPr>
              <w:t xml:space="preserve"> i</w:t>
            </w:r>
            <w:r>
              <w:rPr>
                <w:color w:val="0D0D0D" w:themeColor="text1" w:themeTint="F2"/>
                <w:spacing w:val="-4"/>
              </w:rPr>
              <w:t> </w:t>
            </w:r>
            <w:r w:rsidRPr="00EE0E7E">
              <w:rPr>
                <w:color w:val="0D0D0D" w:themeColor="text1" w:themeTint="F2"/>
                <w:spacing w:val="-4"/>
              </w:rPr>
              <w:t>proto, že ve 2.</w:t>
            </w:r>
            <w:r>
              <w:rPr>
                <w:color w:val="0D0D0D" w:themeColor="text1" w:themeTint="F2"/>
                <w:spacing w:val="-4"/>
              </w:rPr>
              <w:t> čtvrtlet</w:t>
            </w:r>
            <w:r w:rsidRPr="00EE0E7E">
              <w:rPr>
                <w:color w:val="0D0D0D" w:themeColor="text1" w:themeTint="F2"/>
                <w:spacing w:val="-4"/>
              </w:rPr>
              <w:t>í 2019 se souhrnný výkon služeb nacházel na svém konjunkturním maximu. Z</w:t>
            </w:r>
            <w:r>
              <w:rPr>
                <w:color w:val="0D0D0D" w:themeColor="text1" w:themeTint="F2"/>
                <w:spacing w:val="-4"/>
              </w:rPr>
              <w:t xml:space="preserve">a toto </w:t>
            </w:r>
            <w:r w:rsidRPr="00EE0E7E">
              <w:rPr>
                <w:color w:val="0D0D0D" w:themeColor="text1" w:themeTint="F2"/>
                <w:spacing w:val="-4"/>
              </w:rPr>
              <w:t>období tržby ve službách poklesly o</w:t>
            </w:r>
            <w:r>
              <w:rPr>
                <w:color w:val="0D0D0D" w:themeColor="text1" w:themeTint="F2"/>
                <w:spacing w:val="-4"/>
              </w:rPr>
              <w:t> </w:t>
            </w:r>
            <w:r w:rsidRPr="00EE0E7E">
              <w:rPr>
                <w:color w:val="0D0D0D" w:themeColor="text1" w:themeTint="F2"/>
                <w:spacing w:val="-4"/>
              </w:rPr>
              <w:t>8,3</w:t>
            </w:r>
            <w:r>
              <w:rPr>
                <w:color w:val="0D0D0D" w:themeColor="text1" w:themeTint="F2"/>
                <w:spacing w:val="-4"/>
              </w:rPr>
              <w:t> %</w:t>
            </w:r>
            <w:r w:rsidRPr="00EE0E7E">
              <w:rPr>
                <w:color w:val="0D0D0D" w:themeColor="text1" w:themeTint="F2"/>
                <w:spacing w:val="-4"/>
              </w:rPr>
              <w:t xml:space="preserve">. </w:t>
            </w:r>
            <w:r>
              <w:rPr>
                <w:color w:val="0D0D0D" w:themeColor="text1" w:themeTint="F2"/>
                <w:spacing w:val="-4"/>
              </w:rPr>
              <w:t>Jediným hlavním odvětvím, jež v tomto období rostlo, byly informační a</w:t>
            </w:r>
            <w:r w:rsidRPr="005E3113">
              <w:rPr>
                <w:color w:val="0D0D0D" w:themeColor="text1" w:themeTint="F2"/>
                <w:spacing w:val="-5"/>
              </w:rPr>
              <w:t> </w:t>
            </w:r>
            <w:r>
              <w:rPr>
                <w:color w:val="0D0D0D" w:themeColor="text1" w:themeTint="F2"/>
                <w:spacing w:val="-4"/>
              </w:rPr>
              <w:t>komunikační činnosti (+6,1 %). Těm nejvíce pomohl svižný růst ve váhově významném segmentu telekomunikací (9,1 %),</w:t>
            </w:r>
            <w:r>
              <w:rPr>
                <w:rFonts w:cs="Arial"/>
                <w:bCs/>
                <w:color w:val="0D0D0D"/>
                <w:spacing w:val="-4"/>
              </w:rPr>
              <w:t xml:space="preserve"> sílila ale i poptávka po zpracování dat, webových portálech a hostingu, stejně jako v oblasti IT (zpracování dat, poradenství, správa počítačového vybavení). S oblastí IT souvisí i růst ve vydavatelských činnostech (3,4 %), k němuž významně přispělo vydávání softwaru. Z omezení nákupních možností obyvatel během jednotlivých pandemických vln profitovaly poštovní a kurýrní činnosti, v nichž za dva roky vzrostly tržby nejvíce ze všech dílčích odvětví služeb (30,9 %). Dařilo se také skladování (+4,4 %), jemuž pomohlo i rychlé oživení průmyslu ve druhé polovině loňského roku. V rámci služeb pro podniky rostla poptávka po právních a účetnických činnostech.</w:t>
            </w:r>
          </w:p>
        </w:tc>
      </w:tr>
      <w:tr w:rsidR="00ED1959" w:rsidRPr="00191C35" w14:paraId="003EEC44" w14:textId="77777777" w:rsidTr="000F7C73">
        <w:trPr>
          <w:trHeight w:val="145"/>
        </w:trPr>
        <w:tc>
          <w:tcPr>
            <w:tcW w:w="1728" w:type="dxa"/>
            <w:shd w:val="clear" w:color="auto" w:fill="auto"/>
            <w:tcMar>
              <w:left w:w="0" w:type="dxa"/>
            </w:tcMar>
          </w:tcPr>
          <w:p w14:paraId="1EC7A63D" w14:textId="77777777" w:rsidR="00ED1959" w:rsidRDefault="00ED1959" w:rsidP="00ED1959">
            <w:pPr>
              <w:pStyle w:val="Marginlie"/>
            </w:pPr>
            <w:r>
              <w:t>Za dva roky propadly nejvíce tržby v dílčích odvětvích vázaných na cestovní ruch.</w:t>
            </w:r>
          </w:p>
          <w:p w14:paraId="6C4146E7" w14:textId="77777777" w:rsidR="00ED1959" w:rsidRDefault="00ED1959" w:rsidP="00ED1959">
            <w:pPr>
              <w:pStyle w:val="Marginlie"/>
            </w:pPr>
          </w:p>
          <w:p w14:paraId="1F49F678" w14:textId="77777777" w:rsidR="00ED1959" w:rsidRDefault="00ED1959" w:rsidP="00ED1959">
            <w:pPr>
              <w:pStyle w:val="Marginlie"/>
            </w:pPr>
          </w:p>
          <w:p w14:paraId="73811875" w14:textId="77777777" w:rsidR="00ED1959" w:rsidRDefault="00ED1959" w:rsidP="00ED1959">
            <w:pPr>
              <w:pStyle w:val="Marginlie"/>
            </w:pPr>
          </w:p>
          <w:p w14:paraId="3A94298E" w14:textId="77777777" w:rsidR="00ED1959" w:rsidRDefault="00ED1959" w:rsidP="00ED1959">
            <w:pPr>
              <w:pStyle w:val="Marginlie"/>
            </w:pPr>
            <w:r>
              <w:t>Projevil se i dopad restrikcí u některých volnočasových aktivit či cyklický pokles poptávky u specializovaných služeb pro podniky.</w:t>
            </w:r>
          </w:p>
        </w:tc>
        <w:tc>
          <w:tcPr>
            <w:tcW w:w="206" w:type="dxa"/>
            <w:shd w:val="clear" w:color="auto" w:fill="auto"/>
            <w:tcMar>
              <w:left w:w="0" w:type="dxa"/>
            </w:tcMar>
          </w:tcPr>
          <w:p w14:paraId="610AF989"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7D13EB83" w14:textId="07774D0A" w:rsidR="00ED1959" w:rsidRPr="001A0A37" w:rsidRDefault="00ED1959" w:rsidP="00ED1959">
            <w:pPr>
              <w:spacing w:after="200"/>
              <w:rPr>
                <w:spacing w:val="-4"/>
                <w:szCs w:val="20"/>
              </w:rPr>
            </w:pPr>
            <w:r w:rsidRPr="00EE0E7E">
              <w:rPr>
                <w:color w:val="0D0D0D" w:themeColor="text1" w:themeTint="F2"/>
                <w:spacing w:val="-4"/>
              </w:rPr>
              <w:t xml:space="preserve">Je zřejmé, že situace v dílčích odvětvích </w:t>
            </w:r>
            <w:r>
              <w:rPr>
                <w:color w:val="0D0D0D" w:themeColor="text1" w:themeTint="F2"/>
                <w:spacing w:val="-4"/>
              </w:rPr>
              <w:t>služeb se silnou vazbou na cestovní</w:t>
            </w:r>
            <w:r w:rsidR="00BF35C9">
              <w:rPr>
                <w:color w:val="0D0D0D" w:themeColor="text1" w:themeTint="F2"/>
                <w:spacing w:val="-4"/>
              </w:rPr>
              <w:t xml:space="preserve"> ruch zůstávala</w:t>
            </w:r>
            <w:r w:rsidRPr="00EE0E7E">
              <w:rPr>
                <w:color w:val="0D0D0D" w:themeColor="text1" w:themeTint="F2"/>
                <w:spacing w:val="-4"/>
              </w:rPr>
              <w:t xml:space="preserve"> i</w:t>
            </w:r>
            <w:r>
              <w:rPr>
                <w:color w:val="0D0D0D" w:themeColor="text1" w:themeTint="F2"/>
                <w:spacing w:val="-4"/>
              </w:rPr>
              <w:t> </w:t>
            </w:r>
            <w:r w:rsidRPr="00EE0E7E">
              <w:rPr>
                <w:color w:val="0D0D0D" w:themeColor="text1" w:themeTint="F2"/>
                <w:spacing w:val="-4"/>
              </w:rPr>
              <w:t xml:space="preserve">přes současné oživení nadále velmi vážná. V cestovních </w:t>
            </w:r>
            <w:r>
              <w:rPr>
                <w:color w:val="0D0D0D" w:themeColor="text1" w:themeTint="F2"/>
                <w:spacing w:val="-4"/>
              </w:rPr>
              <w:t>agenturách, letecké dopravě i</w:t>
            </w:r>
            <w:r w:rsidRPr="00EE0E7E">
              <w:rPr>
                <w:color w:val="0D0D0D" w:themeColor="text1" w:themeTint="F2"/>
                <w:spacing w:val="-4"/>
              </w:rPr>
              <w:t> v ubytování</w:t>
            </w:r>
            <w:r w:rsidRPr="00EE0E7E">
              <w:rPr>
                <w:rStyle w:val="Znakapoznpodarou"/>
                <w:color w:val="0D0D0D" w:themeColor="text1" w:themeTint="F2"/>
                <w:spacing w:val="-4"/>
              </w:rPr>
              <w:footnoteReference w:id="25"/>
            </w:r>
            <w:r w:rsidRPr="00EE0E7E">
              <w:rPr>
                <w:color w:val="0D0D0D" w:themeColor="text1" w:themeTint="F2"/>
                <w:spacing w:val="-4"/>
              </w:rPr>
              <w:t xml:space="preserve"> tržby propadly shodně </w:t>
            </w:r>
            <w:r>
              <w:rPr>
                <w:color w:val="0D0D0D" w:themeColor="text1" w:themeTint="F2"/>
                <w:spacing w:val="-4"/>
              </w:rPr>
              <w:t>zhruba o </w:t>
            </w:r>
            <w:r w:rsidRPr="00EE0E7E">
              <w:rPr>
                <w:color w:val="0D0D0D" w:themeColor="text1" w:themeTint="F2"/>
                <w:spacing w:val="-4"/>
              </w:rPr>
              <w:t>70</w:t>
            </w:r>
            <w:r>
              <w:rPr>
                <w:color w:val="0D0D0D" w:themeColor="text1" w:themeTint="F2"/>
                <w:spacing w:val="-4"/>
              </w:rPr>
              <w:t> %</w:t>
            </w:r>
            <w:r w:rsidRPr="00EE0E7E">
              <w:rPr>
                <w:color w:val="0D0D0D" w:themeColor="text1" w:themeTint="F2"/>
                <w:spacing w:val="-4"/>
              </w:rPr>
              <w:t>, ve stravování a</w:t>
            </w:r>
            <w:r>
              <w:rPr>
                <w:color w:val="0D0D0D" w:themeColor="text1" w:themeTint="F2"/>
                <w:spacing w:val="-4"/>
              </w:rPr>
              <w:t> </w:t>
            </w:r>
            <w:r w:rsidRPr="00EE0E7E">
              <w:rPr>
                <w:color w:val="0D0D0D" w:themeColor="text1" w:themeTint="F2"/>
                <w:spacing w:val="-4"/>
              </w:rPr>
              <w:t>pohostinství o</w:t>
            </w:r>
            <w:r>
              <w:rPr>
                <w:color w:val="0D0D0D" w:themeColor="text1" w:themeTint="F2"/>
                <w:spacing w:val="-4"/>
              </w:rPr>
              <w:t> </w:t>
            </w:r>
            <w:r w:rsidRPr="00EE0E7E">
              <w:rPr>
                <w:color w:val="0D0D0D" w:themeColor="text1" w:themeTint="F2"/>
                <w:spacing w:val="-4"/>
              </w:rPr>
              <w:t>34,3</w:t>
            </w:r>
            <w:r>
              <w:rPr>
                <w:color w:val="0D0D0D" w:themeColor="text1" w:themeTint="F2"/>
                <w:spacing w:val="-4"/>
              </w:rPr>
              <w:t> %</w:t>
            </w:r>
            <w:r w:rsidRPr="00EE0E7E">
              <w:rPr>
                <w:color w:val="0D0D0D" w:themeColor="text1" w:themeTint="F2"/>
                <w:spacing w:val="-4"/>
              </w:rPr>
              <w:t>. O polovinu méně stržily za dva roky ostatní osobní služby</w:t>
            </w:r>
            <w:r w:rsidR="00BF35C9">
              <w:rPr>
                <w:rStyle w:val="Znakapoznpodarou"/>
                <w:color w:val="0D0D0D" w:themeColor="text1" w:themeTint="F2"/>
                <w:spacing w:val="-4"/>
              </w:rPr>
              <w:footnoteReference w:id="26"/>
            </w:r>
            <w:r w:rsidRPr="00EE0E7E">
              <w:rPr>
                <w:color w:val="0D0D0D" w:themeColor="text1" w:themeTint="F2"/>
                <w:spacing w:val="-4"/>
              </w:rPr>
              <w:t xml:space="preserve"> (např. kadeřnické a</w:t>
            </w:r>
            <w:r>
              <w:rPr>
                <w:color w:val="0D0D0D" w:themeColor="text1" w:themeTint="F2"/>
                <w:spacing w:val="-4"/>
              </w:rPr>
              <w:t> </w:t>
            </w:r>
            <w:r w:rsidRPr="00EE0E7E">
              <w:rPr>
                <w:color w:val="0D0D0D" w:themeColor="text1" w:themeTint="F2"/>
                <w:spacing w:val="-4"/>
              </w:rPr>
              <w:t>kosmetické). V</w:t>
            </w:r>
            <w:r>
              <w:rPr>
                <w:color w:val="0D0D0D" w:themeColor="text1" w:themeTint="F2"/>
                <w:spacing w:val="-4"/>
              </w:rPr>
              <w:t> </w:t>
            </w:r>
            <w:r w:rsidRPr="00EE0E7E">
              <w:rPr>
                <w:color w:val="0D0D0D" w:themeColor="text1" w:themeTint="F2"/>
                <w:spacing w:val="-4"/>
              </w:rPr>
              <w:t>této oblasti převažují mezi pracovníky osoby samostatně výdělečně</w:t>
            </w:r>
            <w:r w:rsidRPr="00EE0E7E">
              <w:rPr>
                <w:rFonts w:cs="Arial"/>
                <w:bCs/>
                <w:color w:val="0D0D0D"/>
                <w:spacing w:val="-4"/>
              </w:rPr>
              <w:t xml:space="preserve"> činné. Ty mají silné zastoupení také v</w:t>
            </w:r>
            <w:r>
              <w:rPr>
                <w:rFonts w:cs="Arial"/>
                <w:bCs/>
                <w:color w:val="0D0D0D"/>
                <w:spacing w:val="-4"/>
              </w:rPr>
              <w:t> </w:t>
            </w:r>
            <w:r w:rsidRPr="00EE0E7E">
              <w:rPr>
                <w:color w:val="0D0D0D" w:themeColor="text1" w:themeTint="F2"/>
                <w:spacing w:val="-4"/>
              </w:rPr>
              <w:t>ostatních profesních, vědeckých a technických činnostech (</w:t>
            </w:r>
            <w:r>
              <w:rPr>
                <w:color w:val="0D0D0D" w:themeColor="text1" w:themeTint="F2"/>
                <w:spacing w:val="-4"/>
              </w:rPr>
              <w:t xml:space="preserve">zahrnujících </w:t>
            </w:r>
            <w:r w:rsidRPr="00EE0E7E">
              <w:rPr>
                <w:color w:val="0D0D0D" w:themeColor="text1" w:themeTint="F2"/>
                <w:spacing w:val="-4"/>
              </w:rPr>
              <w:t>např. fotografické, návrhářské</w:t>
            </w:r>
            <w:r>
              <w:rPr>
                <w:color w:val="0D0D0D" w:themeColor="text1" w:themeTint="F2"/>
                <w:spacing w:val="-4"/>
              </w:rPr>
              <w:t xml:space="preserve"> či </w:t>
            </w:r>
            <w:r w:rsidRPr="00EE0E7E">
              <w:rPr>
                <w:color w:val="0D0D0D" w:themeColor="text1" w:themeTint="F2"/>
                <w:spacing w:val="-4"/>
              </w:rPr>
              <w:t xml:space="preserve">překladatelské činnosti), kde tržby klesly téměř o čtvrtinu. Hospodářská recese spolu </w:t>
            </w:r>
            <w:r>
              <w:rPr>
                <w:color w:val="0D0D0D" w:themeColor="text1" w:themeTint="F2"/>
                <w:spacing w:val="-4"/>
              </w:rPr>
              <w:t>s </w:t>
            </w:r>
            <w:r w:rsidRPr="00EE0E7E">
              <w:rPr>
                <w:color w:val="0D0D0D" w:themeColor="text1" w:themeTint="F2"/>
                <w:spacing w:val="-4"/>
              </w:rPr>
              <w:t>odlivem části zahraničních pracovníků se podepsaly na tržbách pracovních agentur (</w:t>
            </w:r>
            <w:r w:rsidRPr="00EE0E7E">
              <w:rPr>
                <w:spacing w:val="-4"/>
              </w:rPr>
              <w:t>–</w:t>
            </w:r>
            <w:r>
              <w:rPr>
                <w:color w:val="0D0D0D" w:themeColor="text1" w:themeTint="F2"/>
                <w:spacing w:val="-4"/>
              </w:rPr>
              <w:t>18,3 %) a ovlivnily rovněž</w:t>
            </w:r>
            <w:r w:rsidRPr="00EE0E7E">
              <w:rPr>
                <w:color w:val="0D0D0D" w:themeColor="text1" w:themeTint="F2"/>
                <w:spacing w:val="-4"/>
              </w:rPr>
              <w:t xml:space="preserve"> váhově významné odvětví pozemní dopravy (</w:t>
            </w:r>
            <w:r w:rsidRPr="00EE0E7E">
              <w:rPr>
                <w:spacing w:val="-4"/>
              </w:rPr>
              <w:t>–</w:t>
            </w:r>
            <w:r w:rsidRPr="00EE0E7E">
              <w:rPr>
                <w:color w:val="0D0D0D" w:themeColor="text1" w:themeTint="F2"/>
                <w:spacing w:val="-4"/>
              </w:rPr>
              <w:t>9,0</w:t>
            </w:r>
            <w:r>
              <w:rPr>
                <w:color w:val="0D0D0D" w:themeColor="text1" w:themeTint="F2"/>
                <w:spacing w:val="-4"/>
              </w:rPr>
              <w:t> %</w:t>
            </w:r>
            <w:r w:rsidRPr="00EE0E7E">
              <w:rPr>
                <w:color w:val="0D0D0D" w:themeColor="text1" w:themeTint="F2"/>
                <w:spacing w:val="-4"/>
              </w:rPr>
              <w:t>). Na výkyvy hospodá</w:t>
            </w:r>
            <w:r>
              <w:rPr>
                <w:color w:val="0D0D0D" w:themeColor="text1" w:themeTint="F2"/>
                <w:spacing w:val="-4"/>
              </w:rPr>
              <w:t>řského cyklu reagovala i většina</w:t>
            </w:r>
            <w:r w:rsidRPr="00EE0E7E">
              <w:rPr>
                <w:color w:val="0D0D0D" w:themeColor="text1" w:themeTint="F2"/>
                <w:spacing w:val="-4"/>
              </w:rPr>
              <w:t xml:space="preserve"> </w:t>
            </w:r>
            <w:r>
              <w:rPr>
                <w:color w:val="0D0D0D" w:themeColor="text1" w:themeTint="F2"/>
                <w:spacing w:val="-4"/>
                <w:szCs w:val="20"/>
              </w:rPr>
              <w:t>specializovaných služeb</w:t>
            </w:r>
            <w:r w:rsidRPr="00EE0E7E">
              <w:rPr>
                <w:color w:val="0D0D0D" w:themeColor="text1" w:themeTint="F2"/>
                <w:spacing w:val="-4"/>
                <w:szCs w:val="20"/>
              </w:rPr>
              <w:t xml:space="preserve"> pro podniky, např. činnosti vedení podniků</w:t>
            </w:r>
            <w:r>
              <w:rPr>
                <w:color w:val="0D0D0D" w:themeColor="text1" w:themeTint="F2"/>
                <w:spacing w:val="-4"/>
                <w:szCs w:val="20"/>
              </w:rPr>
              <w:t>,</w:t>
            </w:r>
            <w:r w:rsidRPr="00EE0E7E">
              <w:rPr>
                <w:color w:val="0D0D0D" w:themeColor="text1" w:themeTint="F2"/>
                <w:spacing w:val="-4"/>
                <w:szCs w:val="20"/>
              </w:rPr>
              <w:t xml:space="preserve"> poradenství v oblasti řízení</w:t>
            </w:r>
            <w:r w:rsidRPr="00EE0E7E">
              <w:rPr>
                <w:color w:val="0D0D0D" w:themeColor="text1" w:themeTint="F2"/>
                <w:spacing w:val="-4"/>
              </w:rPr>
              <w:t xml:space="preserve"> (</w:t>
            </w:r>
            <w:r w:rsidRPr="00EE0E7E">
              <w:rPr>
                <w:spacing w:val="-4"/>
              </w:rPr>
              <w:t>–</w:t>
            </w:r>
            <w:r w:rsidRPr="00EE0E7E">
              <w:rPr>
                <w:color w:val="0D0D0D" w:themeColor="text1" w:themeTint="F2"/>
                <w:spacing w:val="-4"/>
              </w:rPr>
              <w:t>7,4</w:t>
            </w:r>
            <w:r>
              <w:rPr>
                <w:color w:val="0D0D0D" w:themeColor="text1" w:themeTint="F2"/>
                <w:spacing w:val="-4"/>
              </w:rPr>
              <w:t> %), reklama a</w:t>
            </w:r>
            <w:r w:rsidRPr="00EE0E7E">
              <w:rPr>
                <w:color w:val="0D0D0D" w:themeColor="text1" w:themeTint="F2"/>
                <w:spacing w:val="-4"/>
              </w:rPr>
              <w:t> průzkum trhu (</w:t>
            </w:r>
            <w:r w:rsidRPr="00EE0E7E">
              <w:rPr>
                <w:spacing w:val="-4"/>
              </w:rPr>
              <w:t>–</w:t>
            </w:r>
            <w:r w:rsidRPr="00EE0E7E">
              <w:rPr>
                <w:color w:val="0D0D0D" w:themeColor="text1" w:themeTint="F2"/>
                <w:spacing w:val="-4"/>
              </w:rPr>
              <w:t>6,5</w:t>
            </w:r>
            <w:r>
              <w:rPr>
                <w:color w:val="0D0D0D" w:themeColor="text1" w:themeTint="F2"/>
                <w:spacing w:val="-4"/>
              </w:rPr>
              <w:t> %</w:t>
            </w:r>
            <w:r w:rsidRPr="00EE0E7E">
              <w:rPr>
                <w:color w:val="0D0D0D" w:themeColor="text1" w:themeTint="F2"/>
                <w:spacing w:val="-4"/>
              </w:rPr>
              <w:t>). Mezi volnočasovým</w:t>
            </w:r>
            <w:r>
              <w:rPr>
                <w:color w:val="0D0D0D" w:themeColor="text1" w:themeTint="F2"/>
                <w:spacing w:val="-4"/>
              </w:rPr>
              <w:t>i</w:t>
            </w:r>
            <w:r w:rsidRPr="00EE0E7E">
              <w:rPr>
                <w:color w:val="0D0D0D" w:themeColor="text1" w:themeTint="F2"/>
                <w:spacing w:val="-4"/>
              </w:rPr>
              <w:t xml:space="preserve"> aktivitami byl silně za</w:t>
            </w:r>
            <w:r>
              <w:rPr>
                <w:color w:val="0D0D0D" w:themeColor="text1" w:themeTint="F2"/>
                <w:spacing w:val="-4"/>
              </w:rPr>
              <w:t>sažen tzv. filmový a hudební prů</w:t>
            </w:r>
            <w:r w:rsidRPr="00EE0E7E">
              <w:rPr>
                <w:color w:val="0D0D0D" w:themeColor="text1" w:themeTint="F2"/>
                <w:spacing w:val="-4"/>
              </w:rPr>
              <w:t>mysl (</w:t>
            </w:r>
            <w:r w:rsidRPr="00EE0E7E">
              <w:rPr>
                <w:spacing w:val="-4"/>
              </w:rPr>
              <w:t>–</w:t>
            </w:r>
            <w:r w:rsidRPr="00EE0E7E">
              <w:rPr>
                <w:color w:val="0D0D0D" w:themeColor="text1" w:themeTint="F2"/>
                <w:spacing w:val="-4"/>
              </w:rPr>
              <w:t>13,3</w:t>
            </w:r>
            <w:r>
              <w:rPr>
                <w:color w:val="0D0D0D" w:themeColor="text1" w:themeTint="F2"/>
                <w:spacing w:val="-4"/>
              </w:rPr>
              <w:t> %</w:t>
            </w:r>
            <w:r w:rsidRPr="00EE0E7E">
              <w:rPr>
                <w:color w:val="0D0D0D" w:themeColor="text1" w:themeTint="F2"/>
                <w:spacing w:val="-4"/>
              </w:rPr>
              <w:t>)</w:t>
            </w:r>
            <w:r w:rsidRPr="00EE0E7E">
              <w:rPr>
                <w:rStyle w:val="Znakapoznpodarou"/>
                <w:color w:val="0D0D0D" w:themeColor="text1" w:themeTint="F2"/>
                <w:spacing w:val="-4"/>
              </w:rPr>
              <w:footnoteReference w:id="27"/>
            </w:r>
            <w:r w:rsidRPr="00EE0E7E">
              <w:rPr>
                <w:color w:val="0D0D0D" w:themeColor="text1" w:themeTint="F2"/>
                <w:spacing w:val="-4"/>
              </w:rPr>
              <w:t>.</w:t>
            </w:r>
          </w:p>
        </w:tc>
      </w:tr>
      <w:tr w:rsidR="00ED1959" w:rsidRPr="00191C35" w14:paraId="455E843C" w14:textId="77777777" w:rsidTr="000F7C73">
        <w:trPr>
          <w:trHeight w:val="145"/>
        </w:trPr>
        <w:tc>
          <w:tcPr>
            <w:tcW w:w="1728" w:type="dxa"/>
            <w:shd w:val="clear" w:color="auto" w:fill="auto"/>
            <w:tcMar>
              <w:left w:w="0" w:type="dxa"/>
            </w:tcMar>
          </w:tcPr>
          <w:p w14:paraId="08FAA0EF" w14:textId="77777777" w:rsidR="00ED1959" w:rsidRDefault="00ED1959" w:rsidP="00ED1959">
            <w:pPr>
              <w:pStyle w:val="Marginlie"/>
            </w:pPr>
            <w:r>
              <w:lastRenderedPageBreak/>
              <w:t>Důvěra podnikatelů ve službách během 2. čtvrtletí rostla, předpandemické úrovně však dosud nedosáhla.</w:t>
            </w:r>
          </w:p>
          <w:p w14:paraId="11FC9518" w14:textId="77777777" w:rsidR="00ED1959" w:rsidRDefault="00ED1959" w:rsidP="00ED1959">
            <w:pPr>
              <w:pStyle w:val="Marginlie"/>
            </w:pPr>
          </w:p>
          <w:p w14:paraId="21F07847" w14:textId="77777777" w:rsidR="00ED1959" w:rsidRDefault="00ED1959" w:rsidP="00ED1959">
            <w:pPr>
              <w:pStyle w:val="Marginlie"/>
            </w:pPr>
          </w:p>
          <w:p w14:paraId="2142F9B9" w14:textId="77777777" w:rsidR="00ED1959" w:rsidRDefault="00ED1959" w:rsidP="00ED1959">
            <w:pPr>
              <w:pStyle w:val="Marginlie"/>
            </w:pPr>
            <w:r>
              <w:t>Situace v dílčích odvětvích služeb byla velmi různorodá.</w:t>
            </w:r>
          </w:p>
        </w:tc>
        <w:tc>
          <w:tcPr>
            <w:tcW w:w="206" w:type="dxa"/>
            <w:shd w:val="clear" w:color="auto" w:fill="auto"/>
            <w:tcMar>
              <w:left w:w="0" w:type="dxa"/>
            </w:tcMar>
          </w:tcPr>
          <w:p w14:paraId="2172F9B3"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52E20ECC" w14:textId="77777777" w:rsidR="00ED1959" w:rsidRPr="00466B3E" w:rsidRDefault="00ED1959" w:rsidP="00ED1959">
            <w:pPr>
              <w:rPr>
                <w:color w:val="0D0D0D" w:themeColor="text1" w:themeTint="F2"/>
                <w:spacing w:val="-4"/>
              </w:rPr>
            </w:pPr>
            <w:r>
              <w:rPr>
                <w:color w:val="0D0D0D" w:themeColor="text1" w:themeTint="F2"/>
                <w:spacing w:val="-4"/>
              </w:rPr>
              <w:t>Během jara se celková důvěra</w:t>
            </w:r>
            <w:r w:rsidRPr="00466B3E">
              <w:rPr>
                <w:color w:val="0D0D0D" w:themeColor="text1" w:themeTint="F2"/>
                <w:spacing w:val="-4"/>
              </w:rPr>
              <w:t xml:space="preserve"> podnikatelů ve vybraných službách</w:t>
            </w:r>
            <w:r>
              <w:rPr>
                <w:color w:val="0D0D0D" w:themeColor="text1" w:themeTint="F2"/>
                <w:spacing w:val="-4"/>
              </w:rPr>
              <w:t xml:space="preserve"> zlepšovala, což vyvrcholilo v červnu a červenci (</w:t>
            </w:r>
            <w:r w:rsidRPr="008830F9">
              <w:rPr>
                <w:color w:val="0D0D0D" w:themeColor="text1" w:themeTint="F2"/>
                <w:spacing w:val="-4"/>
                <w:szCs w:val="20"/>
              </w:rPr>
              <w:t>vysoké úrovně z přelomu let 2019 a</w:t>
            </w:r>
            <w:r>
              <w:rPr>
                <w:color w:val="0D0D0D" w:themeColor="text1" w:themeTint="F2"/>
                <w:spacing w:val="-4"/>
                <w:szCs w:val="20"/>
              </w:rPr>
              <w:t> </w:t>
            </w:r>
            <w:r w:rsidRPr="008830F9">
              <w:rPr>
                <w:color w:val="0D0D0D" w:themeColor="text1" w:themeTint="F2"/>
                <w:spacing w:val="-4"/>
                <w:szCs w:val="20"/>
              </w:rPr>
              <w:t xml:space="preserve">2020 </w:t>
            </w:r>
            <w:r>
              <w:rPr>
                <w:color w:val="0D0D0D" w:themeColor="text1" w:themeTint="F2"/>
                <w:spacing w:val="-4"/>
                <w:szCs w:val="20"/>
              </w:rPr>
              <w:t xml:space="preserve">však </w:t>
            </w:r>
            <w:r w:rsidRPr="008830F9">
              <w:rPr>
                <w:color w:val="0D0D0D" w:themeColor="text1" w:themeTint="F2"/>
                <w:spacing w:val="-4"/>
                <w:szCs w:val="20"/>
              </w:rPr>
              <w:t>nedosáhla</w:t>
            </w:r>
            <w:r>
              <w:rPr>
                <w:color w:val="0D0D0D" w:themeColor="text1" w:themeTint="F2"/>
                <w:spacing w:val="-4"/>
              </w:rPr>
              <w:t xml:space="preserve">). </w:t>
            </w:r>
            <w:r w:rsidRPr="00466B3E">
              <w:rPr>
                <w:color w:val="0D0D0D" w:themeColor="text1" w:themeTint="F2"/>
                <w:spacing w:val="-4"/>
              </w:rPr>
              <w:t>Srpen přinesl</w:t>
            </w:r>
            <w:r>
              <w:rPr>
                <w:color w:val="0D0D0D" w:themeColor="text1" w:themeTint="F2"/>
                <w:spacing w:val="-4"/>
              </w:rPr>
              <w:t>,</w:t>
            </w:r>
            <w:r w:rsidRPr="00466B3E">
              <w:rPr>
                <w:color w:val="0D0D0D" w:themeColor="text1" w:themeTint="F2"/>
                <w:spacing w:val="-4"/>
              </w:rPr>
              <w:t xml:space="preserve"> podobně jako u</w:t>
            </w:r>
            <w:r>
              <w:rPr>
                <w:color w:val="0D0D0D" w:themeColor="text1" w:themeTint="F2"/>
                <w:spacing w:val="-4"/>
              </w:rPr>
              <w:t> </w:t>
            </w:r>
            <w:r w:rsidRPr="00466B3E">
              <w:rPr>
                <w:color w:val="0D0D0D" w:themeColor="text1" w:themeTint="F2"/>
                <w:spacing w:val="-4"/>
              </w:rPr>
              <w:t>obchodníků</w:t>
            </w:r>
            <w:r>
              <w:rPr>
                <w:color w:val="0D0D0D" w:themeColor="text1" w:themeTint="F2"/>
                <w:spacing w:val="-4"/>
              </w:rPr>
              <w:t>,</w:t>
            </w:r>
            <w:r w:rsidRPr="00466B3E">
              <w:rPr>
                <w:color w:val="0D0D0D" w:themeColor="text1" w:themeTint="F2"/>
                <w:spacing w:val="-4"/>
              </w:rPr>
              <w:t xml:space="preserve"> mírnou korekci směrem dolů, což souviselo hlavně se snížením hodnocení současné ekonomické situace</w:t>
            </w:r>
            <w:r>
              <w:rPr>
                <w:color w:val="0D0D0D" w:themeColor="text1" w:themeTint="F2"/>
                <w:spacing w:val="-4"/>
              </w:rPr>
              <w:t xml:space="preserve"> i celkové poptávky. I </w:t>
            </w:r>
            <w:r w:rsidRPr="00466B3E">
              <w:rPr>
                <w:color w:val="0D0D0D" w:themeColor="text1" w:themeTint="F2"/>
                <w:spacing w:val="-4"/>
              </w:rPr>
              <w:t>výhledy na růst podnika</w:t>
            </w:r>
            <w:r>
              <w:rPr>
                <w:color w:val="0D0D0D" w:themeColor="text1" w:themeTint="F2"/>
                <w:spacing w:val="-4"/>
              </w:rPr>
              <w:t xml:space="preserve">telské činnosti na počátek letošního podzimu </w:t>
            </w:r>
            <w:r w:rsidRPr="00466B3E">
              <w:rPr>
                <w:color w:val="0D0D0D" w:themeColor="text1" w:themeTint="F2"/>
                <w:spacing w:val="-4"/>
              </w:rPr>
              <w:t xml:space="preserve">se zhoršily. </w:t>
            </w:r>
            <w:r>
              <w:rPr>
                <w:color w:val="0D0D0D" w:themeColor="text1" w:themeTint="F2"/>
                <w:spacing w:val="-4"/>
              </w:rPr>
              <w:t>Více než čtvrtina firem stále</w:t>
            </w:r>
            <w:r w:rsidRPr="00466B3E">
              <w:rPr>
                <w:color w:val="0D0D0D" w:themeColor="text1" w:themeTint="F2"/>
                <w:spacing w:val="-4"/>
              </w:rPr>
              <w:t xml:space="preserve"> uvažovala o</w:t>
            </w:r>
            <w:r>
              <w:rPr>
                <w:color w:val="0D0D0D" w:themeColor="text1" w:themeTint="F2"/>
                <w:spacing w:val="-4"/>
              </w:rPr>
              <w:t> </w:t>
            </w:r>
            <w:r w:rsidRPr="00466B3E">
              <w:rPr>
                <w:color w:val="0D0D0D" w:themeColor="text1" w:themeTint="F2"/>
                <w:spacing w:val="-4"/>
              </w:rPr>
              <w:t xml:space="preserve">redukci </w:t>
            </w:r>
            <w:r>
              <w:rPr>
                <w:color w:val="0D0D0D" w:themeColor="text1" w:themeTint="F2"/>
                <w:spacing w:val="-4"/>
              </w:rPr>
              <w:t>počtu zaměstnanců</w:t>
            </w:r>
            <w:r w:rsidRPr="00466B3E">
              <w:rPr>
                <w:color w:val="0D0D0D" w:themeColor="text1" w:themeTint="F2"/>
                <w:spacing w:val="-4"/>
              </w:rPr>
              <w:t>. Stav v</w:t>
            </w:r>
            <w:r>
              <w:rPr>
                <w:color w:val="0D0D0D" w:themeColor="text1" w:themeTint="F2"/>
                <w:spacing w:val="-4"/>
              </w:rPr>
              <w:t> </w:t>
            </w:r>
            <w:r w:rsidRPr="00466B3E">
              <w:rPr>
                <w:color w:val="0D0D0D" w:themeColor="text1" w:themeTint="F2"/>
                <w:spacing w:val="-4"/>
              </w:rPr>
              <w:t>dílčích odvětvích služeb z</w:t>
            </w:r>
            <w:r>
              <w:rPr>
                <w:color w:val="0D0D0D" w:themeColor="text1" w:themeTint="F2"/>
                <w:spacing w:val="-4"/>
              </w:rPr>
              <w:t> </w:t>
            </w:r>
            <w:r w:rsidRPr="00466B3E">
              <w:rPr>
                <w:color w:val="0D0D0D" w:themeColor="text1" w:themeTint="F2"/>
                <w:spacing w:val="-4"/>
              </w:rPr>
              <w:t>pohledu celkové důvěry, poptá</w:t>
            </w:r>
            <w:r>
              <w:rPr>
                <w:color w:val="0D0D0D" w:themeColor="text1" w:themeTint="F2"/>
                <w:spacing w:val="-4"/>
              </w:rPr>
              <w:t>vky i zaměstnanosti byl dosti</w:t>
            </w:r>
            <w:r w:rsidRPr="00466B3E">
              <w:rPr>
                <w:color w:val="0D0D0D" w:themeColor="text1" w:themeTint="F2"/>
                <w:spacing w:val="-4"/>
              </w:rPr>
              <w:t xml:space="preserve"> různorodý. Projevovaly se přetrvávající problémy v</w:t>
            </w:r>
            <w:r>
              <w:rPr>
                <w:color w:val="0D0D0D" w:themeColor="text1" w:themeTint="F2"/>
                <w:spacing w:val="-4"/>
              </w:rPr>
              <w:t> </w:t>
            </w:r>
            <w:r w:rsidRPr="00466B3E">
              <w:rPr>
                <w:color w:val="0D0D0D" w:themeColor="text1" w:themeTint="F2"/>
                <w:spacing w:val="-4"/>
              </w:rPr>
              <w:t>oborech propojených s</w:t>
            </w:r>
            <w:r>
              <w:rPr>
                <w:color w:val="0D0D0D" w:themeColor="text1" w:themeTint="F2"/>
                <w:spacing w:val="-4"/>
              </w:rPr>
              <w:t> </w:t>
            </w:r>
            <w:r w:rsidRPr="00466B3E">
              <w:rPr>
                <w:color w:val="0D0D0D" w:themeColor="text1" w:themeTint="F2"/>
                <w:spacing w:val="-4"/>
              </w:rPr>
              <w:t>cestovním ruchem a</w:t>
            </w:r>
            <w:r>
              <w:rPr>
                <w:color w:val="0D0D0D" w:themeColor="text1" w:themeTint="F2"/>
                <w:spacing w:val="-4"/>
              </w:rPr>
              <w:t> </w:t>
            </w:r>
            <w:r w:rsidRPr="00466B3E">
              <w:rPr>
                <w:color w:val="0D0D0D" w:themeColor="text1" w:themeTint="F2"/>
                <w:spacing w:val="-4"/>
              </w:rPr>
              <w:t>v</w:t>
            </w:r>
            <w:r>
              <w:rPr>
                <w:color w:val="0D0D0D" w:themeColor="text1" w:themeTint="F2"/>
                <w:spacing w:val="-4"/>
              </w:rPr>
              <w:t> </w:t>
            </w:r>
            <w:r w:rsidRPr="00466B3E">
              <w:rPr>
                <w:color w:val="0D0D0D" w:themeColor="text1" w:themeTint="F2"/>
                <w:spacing w:val="-4"/>
              </w:rPr>
              <w:t>posledních měsících i</w:t>
            </w:r>
            <w:r>
              <w:rPr>
                <w:color w:val="0D0D0D" w:themeColor="text1" w:themeTint="F2"/>
                <w:spacing w:val="-4"/>
              </w:rPr>
              <w:t> </w:t>
            </w:r>
            <w:r w:rsidRPr="00466B3E">
              <w:rPr>
                <w:color w:val="0D0D0D" w:themeColor="text1" w:themeTint="F2"/>
                <w:spacing w:val="-4"/>
              </w:rPr>
              <w:t>v</w:t>
            </w:r>
            <w:r>
              <w:rPr>
                <w:color w:val="0D0D0D" w:themeColor="text1" w:themeTint="F2"/>
                <w:spacing w:val="-4"/>
              </w:rPr>
              <w:t> </w:t>
            </w:r>
            <w:r w:rsidRPr="00466B3E">
              <w:rPr>
                <w:color w:val="0D0D0D" w:themeColor="text1" w:themeTint="F2"/>
                <w:spacing w:val="-4"/>
              </w:rPr>
              <w:t>těch navázaných na průmysl</w:t>
            </w:r>
            <w:r>
              <w:rPr>
                <w:color w:val="0D0D0D" w:themeColor="text1" w:themeTint="F2"/>
                <w:spacing w:val="-4"/>
              </w:rPr>
              <w:t>. Nedostatečná poptávka limitovala skoro třetinu podniků ve službách.</w:t>
            </w:r>
          </w:p>
        </w:tc>
      </w:tr>
      <w:tr w:rsidR="00ED1959" w:rsidRPr="00191C35" w14:paraId="5128ABBD" w14:textId="77777777" w:rsidTr="000F7C73">
        <w:trPr>
          <w:trHeight w:val="145"/>
        </w:trPr>
        <w:tc>
          <w:tcPr>
            <w:tcW w:w="1728" w:type="dxa"/>
            <w:shd w:val="clear" w:color="auto" w:fill="auto"/>
            <w:tcMar>
              <w:left w:w="0" w:type="dxa"/>
            </w:tcMar>
          </w:tcPr>
          <w:p w14:paraId="5603C4F7" w14:textId="77777777" w:rsidR="00ED1959" w:rsidRDefault="00ED1959" w:rsidP="00ED1959">
            <w:pPr>
              <w:pStyle w:val="Marginlie"/>
            </w:pPr>
          </w:p>
        </w:tc>
        <w:tc>
          <w:tcPr>
            <w:tcW w:w="206" w:type="dxa"/>
            <w:shd w:val="clear" w:color="auto" w:fill="auto"/>
            <w:tcMar>
              <w:left w:w="0" w:type="dxa"/>
            </w:tcMar>
          </w:tcPr>
          <w:p w14:paraId="69A82965"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7348F695" w14:textId="77777777" w:rsidR="00ED1959" w:rsidRPr="00307BAB" w:rsidRDefault="00ED1959" w:rsidP="00ED1959">
            <w:pPr>
              <w:spacing w:after="0"/>
              <w:rPr>
                <w:spacing w:val="2"/>
                <w:szCs w:val="20"/>
              </w:rPr>
            </w:pPr>
            <w:r w:rsidRPr="00307BAB">
              <w:rPr>
                <w:b/>
                <w:spacing w:val="2"/>
              </w:rPr>
              <w:t>Graf č. 7</w:t>
            </w:r>
            <w:r>
              <w:rPr>
                <w:b/>
                <w:spacing w:val="2"/>
              </w:rPr>
              <w:t xml:space="preserve"> </w:t>
            </w:r>
            <w:r w:rsidRPr="00307BAB">
              <w:rPr>
                <w:b/>
                <w:spacing w:val="2"/>
              </w:rPr>
              <w:t xml:space="preserve"> Příspěvky odvětví k meziroční změně tržeb ve službách*</w:t>
            </w:r>
            <w:r w:rsidRPr="00307BAB">
              <w:rPr>
                <w:b/>
                <w:spacing w:val="2"/>
              </w:rPr>
              <w:br/>
            </w:r>
            <w:r w:rsidRPr="00307BAB">
              <w:rPr>
                <w:spacing w:val="2"/>
              </w:rPr>
              <w:t>(v p. b., očištěno o kalendářní vlivy)</w:t>
            </w:r>
            <w:r w:rsidRPr="00307BAB">
              <w:rPr>
                <w:b/>
                <w:bCs/>
                <w:spacing w:val="2"/>
              </w:rPr>
              <w:t xml:space="preserve">, </w:t>
            </w:r>
            <w:r w:rsidRPr="00307BAB">
              <w:rPr>
                <w:b/>
                <w:spacing w:val="2"/>
              </w:rPr>
              <w:t>saldo indikátoru důvěry ve službách**</w:t>
            </w:r>
            <w:r w:rsidRPr="00307BAB">
              <w:rPr>
                <w:b/>
                <w:spacing w:val="2"/>
              </w:rPr>
              <w:br/>
            </w:r>
            <w:r w:rsidRPr="00307BAB">
              <w:rPr>
                <w:spacing w:val="2"/>
              </w:rPr>
              <w:t>(v p. b., pravá osa)</w:t>
            </w:r>
            <w:r w:rsidRPr="00307BAB">
              <w:rPr>
                <w:b/>
                <w:spacing w:val="2"/>
              </w:rPr>
              <w:t xml:space="preserve"> a vybrané bariéry růstu*</w:t>
            </w:r>
            <w:r w:rsidRPr="00307BAB">
              <w:rPr>
                <w:spacing w:val="2"/>
              </w:rPr>
              <w:t>* (v %, pravá osa)</w:t>
            </w:r>
          </w:p>
        </w:tc>
      </w:tr>
      <w:tr w:rsidR="00ED1959" w:rsidRPr="00191C35" w14:paraId="6B7060D2" w14:textId="77777777" w:rsidTr="00181029">
        <w:tblPrEx>
          <w:tblCellMar>
            <w:left w:w="70" w:type="dxa"/>
            <w:right w:w="70" w:type="dxa"/>
          </w:tblCellMar>
        </w:tblPrEx>
        <w:trPr>
          <w:trHeight w:val="145"/>
        </w:trPr>
        <w:tc>
          <w:tcPr>
            <w:tcW w:w="1728" w:type="dxa"/>
            <w:shd w:val="clear" w:color="auto" w:fill="auto"/>
          </w:tcPr>
          <w:p w14:paraId="20514402" w14:textId="77777777" w:rsidR="00ED1959" w:rsidRDefault="00ED1959" w:rsidP="00ED1959">
            <w:pPr>
              <w:pStyle w:val="Marginlie"/>
            </w:pPr>
          </w:p>
        </w:tc>
        <w:tc>
          <w:tcPr>
            <w:tcW w:w="206" w:type="dxa"/>
            <w:shd w:val="clear" w:color="auto" w:fill="auto"/>
          </w:tcPr>
          <w:p w14:paraId="68AACC1A" w14:textId="77777777" w:rsidR="00ED1959" w:rsidRPr="00B43216" w:rsidRDefault="00ED1959" w:rsidP="00ED1959">
            <w:pPr>
              <w:pStyle w:val="Textpoznpodarou"/>
              <w:jc w:val="both"/>
              <w:rPr>
                <w:spacing w:val="-4"/>
              </w:rPr>
            </w:pPr>
          </w:p>
        </w:tc>
        <w:tc>
          <w:tcPr>
            <w:tcW w:w="7730" w:type="dxa"/>
            <w:shd w:val="clear" w:color="auto" w:fill="auto"/>
          </w:tcPr>
          <w:p w14:paraId="7B64F74E" w14:textId="66FA8401" w:rsidR="00ED1959" w:rsidRPr="004D53D9" w:rsidRDefault="00181029" w:rsidP="00ED1959">
            <w:pPr>
              <w:spacing w:after="0"/>
              <w:rPr>
                <w:spacing w:val="-4"/>
                <w:szCs w:val="20"/>
              </w:rPr>
            </w:pPr>
            <w:r>
              <w:rPr>
                <w:noProof/>
              </w:rPr>
              <w:drawing>
                <wp:inline distT="0" distB="0" distL="0" distR="0" wp14:anchorId="33A70AFB" wp14:editId="1ED09EA0">
                  <wp:extent cx="4777153" cy="3590193"/>
                  <wp:effectExtent l="0" t="0" r="4445"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D1959" w:rsidRPr="00191C35" w14:paraId="1761CC59" w14:textId="77777777" w:rsidTr="000F7C73">
        <w:trPr>
          <w:trHeight w:val="145"/>
        </w:trPr>
        <w:tc>
          <w:tcPr>
            <w:tcW w:w="1728" w:type="dxa"/>
            <w:shd w:val="clear" w:color="auto" w:fill="auto"/>
            <w:tcMar>
              <w:left w:w="0" w:type="dxa"/>
            </w:tcMar>
          </w:tcPr>
          <w:p w14:paraId="513F514C" w14:textId="77777777" w:rsidR="00ED1959" w:rsidRDefault="00ED1959" w:rsidP="00ED1959">
            <w:pPr>
              <w:pStyle w:val="Marginlie"/>
            </w:pPr>
          </w:p>
        </w:tc>
        <w:tc>
          <w:tcPr>
            <w:tcW w:w="206" w:type="dxa"/>
            <w:shd w:val="clear" w:color="auto" w:fill="auto"/>
            <w:tcMar>
              <w:left w:w="0" w:type="dxa"/>
            </w:tcMar>
          </w:tcPr>
          <w:p w14:paraId="051EB7F0" w14:textId="77777777" w:rsidR="00ED1959" w:rsidRPr="00B43216" w:rsidRDefault="00ED1959" w:rsidP="00ED1959">
            <w:pPr>
              <w:pStyle w:val="Textpoznpodarou"/>
              <w:jc w:val="both"/>
              <w:rPr>
                <w:spacing w:val="-4"/>
              </w:rPr>
            </w:pPr>
          </w:p>
        </w:tc>
        <w:tc>
          <w:tcPr>
            <w:tcW w:w="7730" w:type="dxa"/>
            <w:shd w:val="clear" w:color="auto" w:fill="auto"/>
            <w:tcMar>
              <w:left w:w="0" w:type="dxa"/>
            </w:tcMar>
          </w:tcPr>
          <w:p w14:paraId="0683382D" w14:textId="77777777" w:rsidR="00ED1959" w:rsidRPr="00883202" w:rsidRDefault="00ED1959" w:rsidP="00ED1959">
            <w:pPr>
              <w:spacing w:after="0"/>
              <w:rPr>
                <w:rFonts w:cs="Arial"/>
                <w:sz w:val="14"/>
                <w:szCs w:val="14"/>
              </w:rPr>
            </w:pPr>
            <w:r w:rsidRPr="00883202">
              <w:rPr>
                <w:rFonts w:cs="Arial"/>
                <w:sz w:val="14"/>
                <w:szCs w:val="14"/>
              </w:rPr>
              <w:t>*</w:t>
            </w:r>
            <w:r w:rsidRPr="00883202">
              <w:rPr>
                <w:color w:val="0D0D0D" w:themeColor="text1" w:themeTint="F2"/>
                <w:sz w:val="14"/>
                <w:szCs w:val="14"/>
              </w:rPr>
              <w:t>Bez odvětví obchodu, peněžnictví, pojišťovnictví, vědy, výzkumu a veřejných služeb.</w:t>
            </w:r>
          </w:p>
          <w:p w14:paraId="730EBC7C" w14:textId="77777777" w:rsidR="00ED1959" w:rsidRPr="00417064" w:rsidRDefault="00ED1959" w:rsidP="00ED1959">
            <w:pPr>
              <w:tabs>
                <w:tab w:val="right" w:pos="7711"/>
              </w:tabs>
              <w:spacing w:after="200"/>
              <w:rPr>
                <w:rFonts w:cs="Arial"/>
                <w:sz w:val="14"/>
                <w:szCs w:val="14"/>
              </w:rPr>
            </w:pPr>
            <w:r w:rsidRPr="00883202">
              <w:rPr>
                <w:rFonts w:cs="Arial"/>
                <w:sz w:val="14"/>
                <w:szCs w:val="14"/>
              </w:rPr>
              <w:t>**</w:t>
            </w:r>
            <w:r w:rsidRPr="00883202">
              <w:rPr>
                <w:rFonts w:cs="Arial"/>
                <w:spacing w:val="-2"/>
                <w:sz w:val="14"/>
                <w:szCs w:val="14"/>
              </w:rPr>
              <w:t xml:space="preserve">Zahrnuje i finanční sektor. Saldo důvěry i bariéry růstu jsou sezónně očištěny a vyjadřují stav </w:t>
            </w:r>
            <w:r>
              <w:rPr>
                <w:rFonts w:cs="Arial"/>
                <w:spacing w:val="-2"/>
                <w:sz w:val="14"/>
                <w:szCs w:val="14"/>
              </w:rPr>
              <w:t xml:space="preserve">v prvním (bariéry růstu), resp. </w:t>
            </w:r>
            <w:r w:rsidRPr="00883202">
              <w:rPr>
                <w:rFonts w:cs="Arial"/>
                <w:spacing w:val="-2"/>
                <w:sz w:val="14"/>
                <w:szCs w:val="14"/>
              </w:rPr>
              <w:t>ve druhém měsíci daného čtvrtletí</w:t>
            </w:r>
            <w:r>
              <w:rPr>
                <w:rFonts w:cs="Arial"/>
                <w:spacing w:val="-2"/>
                <w:sz w:val="14"/>
                <w:szCs w:val="14"/>
              </w:rPr>
              <w:t xml:space="preserve"> (saldo důvěry)</w:t>
            </w:r>
            <w:r w:rsidRPr="00883202">
              <w:rPr>
                <w:rFonts w:cs="Arial"/>
                <w:spacing w:val="-2"/>
                <w:sz w:val="14"/>
                <w:szCs w:val="14"/>
              </w:rPr>
              <w:t>.</w:t>
            </w:r>
            <w:r>
              <w:rPr>
                <w:rFonts w:cs="Arial"/>
                <w:spacing w:val="-2"/>
                <w:sz w:val="14"/>
                <w:szCs w:val="14"/>
              </w:rPr>
              <w:t xml:space="preserve"> </w:t>
            </w:r>
            <w:r>
              <w:rPr>
                <w:rFonts w:cs="Arial"/>
                <w:sz w:val="14"/>
                <w:szCs w:val="14"/>
              </w:rPr>
              <w:t>Podniky mohly uvést více hlavních bariér současně.</w:t>
            </w:r>
            <w:r>
              <w:rPr>
                <w:rFonts w:cs="Arial"/>
                <w:sz w:val="14"/>
                <w:szCs w:val="14"/>
              </w:rPr>
              <w:tab/>
              <w:t>Z</w:t>
            </w:r>
            <w:r w:rsidRPr="00883202">
              <w:rPr>
                <w:rFonts w:cs="Arial"/>
                <w:sz w:val="14"/>
                <w:szCs w:val="14"/>
              </w:rPr>
              <w:t>droj: ČSÚ</w:t>
            </w:r>
            <w:r>
              <w:rPr>
                <w:rFonts w:cs="Arial"/>
                <w:sz w:val="14"/>
                <w:szCs w:val="14"/>
              </w:rPr>
              <w:t>, Eurostat</w:t>
            </w:r>
          </w:p>
        </w:tc>
      </w:tr>
      <w:tr w:rsidR="00ED1959" w:rsidRPr="008932CD" w14:paraId="27933C00" w14:textId="77777777" w:rsidTr="000F7C73">
        <w:trPr>
          <w:trHeight w:val="145"/>
        </w:trPr>
        <w:tc>
          <w:tcPr>
            <w:tcW w:w="1728" w:type="dxa"/>
            <w:shd w:val="clear" w:color="auto" w:fill="auto"/>
            <w:tcMar>
              <w:left w:w="0" w:type="dxa"/>
            </w:tcMar>
          </w:tcPr>
          <w:p w14:paraId="1DE92A02" w14:textId="77777777" w:rsidR="00ED1959" w:rsidRDefault="00ED1959" w:rsidP="00ED1959">
            <w:pPr>
              <w:pStyle w:val="Marginlie"/>
              <w:rPr>
                <w:color w:val="0D0D0D" w:themeColor="text1" w:themeTint="F2"/>
              </w:rPr>
            </w:pPr>
            <w:r>
              <w:t>Vývoj maloobchodních tržeb byl určován nejen režimem rozvolňování při ústupu pandemie, ale i obecnějšími makroekonomickými faktory.</w:t>
            </w:r>
          </w:p>
        </w:tc>
        <w:tc>
          <w:tcPr>
            <w:tcW w:w="206" w:type="dxa"/>
            <w:shd w:val="clear" w:color="auto" w:fill="auto"/>
            <w:tcMar>
              <w:left w:w="0" w:type="dxa"/>
            </w:tcMar>
          </w:tcPr>
          <w:p w14:paraId="14FD40A2" w14:textId="77777777" w:rsidR="00ED1959" w:rsidRPr="008932CD" w:rsidRDefault="00ED1959" w:rsidP="00ED1959">
            <w:pPr>
              <w:pStyle w:val="Textpoznpodarou"/>
              <w:jc w:val="both"/>
              <w:rPr>
                <w:color w:val="0D0D0D" w:themeColor="text1" w:themeTint="F2"/>
                <w:spacing w:val="-4"/>
              </w:rPr>
            </w:pPr>
          </w:p>
        </w:tc>
        <w:tc>
          <w:tcPr>
            <w:tcW w:w="7730" w:type="dxa"/>
            <w:shd w:val="clear" w:color="auto" w:fill="auto"/>
            <w:tcMar>
              <w:left w:w="0" w:type="dxa"/>
            </w:tcMar>
          </w:tcPr>
          <w:p w14:paraId="52A53947" w14:textId="77777777" w:rsidR="00ED1959" w:rsidRDefault="00ED1959" w:rsidP="00ED1959">
            <w:pPr>
              <w:spacing w:after="0"/>
              <w:rPr>
                <w:color w:val="0D0D0D" w:themeColor="text1" w:themeTint="F2"/>
                <w:spacing w:val="-4"/>
                <w:szCs w:val="20"/>
              </w:rPr>
            </w:pPr>
            <w:r>
              <w:rPr>
                <w:rFonts w:cs="Arial"/>
                <w:color w:val="0D0D0D" w:themeColor="text1" w:themeTint="F2"/>
                <w:spacing w:val="-4"/>
                <w:szCs w:val="20"/>
              </w:rPr>
              <w:t>T</w:t>
            </w:r>
            <w:r w:rsidRPr="002617EE">
              <w:rPr>
                <w:rFonts w:cs="Arial"/>
                <w:color w:val="0D0D0D" w:themeColor="text1" w:themeTint="F2"/>
                <w:spacing w:val="-4"/>
                <w:szCs w:val="20"/>
              </w:rPr>
              <w:t>ržby</w:t>
            </w:r>
            <w:r>
              <w:rPr>
                <w:rFonts w:cs="Arial"/>
                <w:color w:val="0D0D0D" w:themeColor="text1" w:themeTint="F2"/>
                <w:spacing w:val="-4"/>
                <w:szCs w:val="20"/>
              </w:rPr>
              <w:t xml:space="preserve"> v maloobchodě</w:t>
            </w:r>
            <w:r w:rsidRPr="002617EE">
              <w:rPr>
                <w:rFonts w:cs="Arial"/>
                <w:color w:val="0D0D0D" w:themeColor="text1" w:themeTint="F2"/>
                <w:spacing w:val="-4"/>
                <w:szCs w:val="20"/>
              </w:rPr>
              <w:t xml:space="preserve"> byly </w:t>
            </w:r>
            <w:r>
              <w:rPr>
                <w:rFonts w:cs="Arial"/>
                <w:color w:val="0D0D0D" w:themeColor="text1" w:themeTint="F2"/>
                <w:spacing w:val="-4"/>
                <w:szCs w:val="20"/>
              </w:rPr>
              <w:t xml:space="preserve">letos </w:t>
            </w:r>
            <w:r w:rsidRPr="002617EE">
              <w:rPr>
                <w:rFonts w:cs="Arial"/>
                <w:color w:val="0D0D0D" w:themeColor="text1" w:themeTint="F2"/>
                <w:spacing w:val="-4"/>
                <w:szCs w:val="20"/>
              </w:rPr>
              <w:t xml:space="preserve">po celé </w:t>
            </w:r>
            <w:r>
              <w:rPr>
                <w:rFonts w:cs="Arial"/>
                <w:color w:val="0D0D0D" w:themeColor="text1" w:themeTint="F2"/>
                <w:spacing w:val="-4"/>
                <w:szCs w:val="20"/>
              </w:rPr>
              <w:t xml:space="preserve">1. čtvrtletí ovlivněny uzavřením části provozoven, což poznamenalo zejména specializované prodejny s nepotravinářským zbožím. V březnu, </w:t>
            </w:r>
            <w:r w:rsidRPr="001F719B">
              <w:rPr>
                <w:spacing w:val="-4"/>
              </w:rPr>
              <w:t>kdy pandemie koronaviru v Česku vrcholila, došlo k dalšímu zpřísnění vládních restrikcí v</w:t>
            </w:r>
            <w:r>
              <w:rPr>
                <w:spacing w:val="-4"/>
              </w:rPr>
              <w:t xml:space="preserve"> oblasti mobility obyvatelstva, což silně utlumilo maloobchodní poptávku </w:t>
            </w:r>
            <w:r>
              <w:rPr>
                <w:rFonts w:cs="Arial"/>
                <w:color w:val="0D0D0D" w:themeColor="text1" w:themeTint="F2"/>
                <w:spacing w:val="-4"/>
                <w:szCs w:val="20"/>
              </w:rPr>
              <w:t>po pohonných hmotách. Postupné rozvolňování restrikcí vedlo k tomu, že ve druhé půli května fungoval maloobchod prakticky bez omezení. Jarní režim rozvolňování byl z časového hlediska do značné míry obdobný jako v roce 2020</w:t>
            </w:r>
            <w:r>
              <w:rPr>
                <w:rStyle w:val="Znakapoznpodarou"/>
                <w:color w:val="0D0D0D" w:themeColor="text1" w:themeTint="F2"/>
                <w:spacing w:val="-4"/>
                <w:szCs w:val="20"/>
              </w:rPr>
              <w:footnoteReference w:id="28"/>
            </w:r>
            <w:r>
              <w:rPr>
                <w:rFonts w:cs="Arial"/>
                <w:color w:val="0D0D0D" w:themeColor="text1" w:themeTint="F2"/>
                <w:spacing w:val="-4"/>
                <w:szCs w:val="20"/>
              </w:rPr>
              <w:t>.</w:t>
            </w:r>
          </w:p>
        </w:tc>
      </w:tr>
      <w:tr w:rsidR="00ED1959" w:rsidRPr="008932CD" w14:paraId="3AA8FC15" w14:textId="77777777" w:rsidTr="000F7C73">
        <w:trPr>
          <w:trHeight w:val="145"/>
        </w:trPr>
        <w:tc>
          <w:tcPr>
            <w:tcW w:w="1728" w:type="dxa"/>
            <w:shd w:val="clear" w:color="auto" w:fill="auto"/>
            <w:tcMar>
              <w:left w:w="0" w:type="dxa"/>
            </w:tcMar>
          </w:tcPr>
          <w:p w14:paraId="5671925B" w14:textId="77777777" w:rsidR="00ED1959" w:rsidRDefault="00ED1959" w:rsidP="00ED1959">
            <w:pPr>
              <w:pStyle w:val="Marginlie"/>
              <w:rPr>
                <w:color w:val="0D0D0D" w:themeColor="text1" w:themeTint="F2"/>
              </w:rPr>
            </w:pPr>
            <w:r>
              <w:rPr>
                <w:color w:val="0D0D0D" w:themeColor="text1" w:themeTint="F2"/>
              </w:rPr>
              <w:t xml:space="preserve">Meziroční růst tržeb v maloobchodu byl ve 2. čtvrtletí tažen zejména vyšším prodejem </w:t>
            </w:r>
            <w:r>
              <w:rPr>
                <w:color w:val="0D0D0D" w:themeColor="text1" w:themeTint="F2"/>
              </w:rPr>
              <w:lastRenderedPageBreak/>
              <w:t>nepotravinářského zboží a pohonných hmot.</w:t>
            </w:r>
          </w:p>
        </w:tc>
        <w:tc>
          <w:tcPr>
            <w:tcW w:w="206" w:type="dxa"/>
            <w:shd w:val="clear" w:color="auto" w:fill="auto"/>
            <w:tcMar>
              <w:left w:w="0" w:type="dxa"/>
            </w:tcMar>
          </w:tcPr>
          <w:p w14:paraId="5E089C67" w14:textId="77777777" w:rsidR="00ED1959" w:rsidRPr="008932CD" w:rsidRDefault="00ED1959" w:rsidP="00ED1959">
            <w:pPr>
              <w:pStyle w:val="Textpoznpodarou"/>
              <w:jc w:val="both"/>
              <w:rPr>
                <w:color w:val="0D0D0D" w:themeColor="text1" w:themeTint="F2"/>
                <w:spacing w:val="-4"/>
              </w:rPr>
            </w:pPr>
          </w:p>
        </w:tc>
        <w:tc>
          <w:tcPr>
            <w:tcW w:w="7730" w:type="dxa"/>
            <w:shd w:val="clear" w:color="auto" w:fill="auto"/>
            <w:tcMar>
              <w:left w:w="0" w:type="dxa"/>
            </w:tcMar>
          </w:tcPr>
          <w:p w14:paraId="0B64F21D" w14:textId="07190485" w:rsidR="00ED1959" w:rsidRPr="00BE4DA9" w:rsidRDefault="00ED1959" w:rsidP="008D3295">
            <w:pPr>
              <w:spacing w:after="0"/>
              <w:rPr>
                <w:spacing w:val="-4"/>
              </w:rPr>
            </w:pPr>
            <w:r w:rsidRPr="002617EE">
              <w:rPr>
                <w:rFonts w:cs="Arial"/>
                <w:color w:val="0D0D0D" w:themeColor="text1" w:themeTint="F2"/>
                <w:spacing w:val="-4"/>
                <w:szCs w:val="20"/>
              </w:rPr>
              <w:t>Maloobchodních tržby</w:t>
            </w:r>
            <w:r w:rsidRPr="002617EE">
              <w:rPr>
                <w:rStyle w:val="Znakapoznpodarou"/>
                <w:color w:val="0D0D0D" w:themeColor="text1" w:themeTint="F2"/>
                <w:spacing w:val="-4"/>
              </w:rPr>
              <w:footnoteReference w:id="29"/>
            </w:r>
            <w:r>
              <w:rPr>
                <w:rFonts w:cs="Arial"/>
                <w:color w:val="0D0D0D" w:themeColor="text1" w:themeTint="F2"/>
                <w:spacing w:val="-4"/>
                <w:szCs w:val="20"/>
              </w:rPr>
              <w:t xml:space="preserve"> se ve 2. čtvrtletí mezikvartálně zvýšily o 7,8 % a kompenzovaly tak pokles z předchozích dvou čtvrtletí. Silně rostly především tržby za prodej nepotravinářského zboží, u něhož se projevil i efekt odložené spotřeby. Meziročně maloobchod posílil o 7,1 %, </w:t>
            </w:r>
            <w:r>
              <w:rPr>
                <w:rFonts w:cs="Arial"/>
                <w:color w:val="0D0D0D" w:themeColor="text1" w:themeTint="F2"/>
                <w:spacing w:val="-4"/>
                <w:szCs w:val="20"/>
              </w:rPr>
              <w:lastRenderedPageBreak/>
              <w:t>zčásti i vlivem slabších loňských prodejů</w:t>
            </w:r>
            <w:r>
              <w:rPr>
                <w:rStyle w:val="Znakapoznpodarou"/>
                <w:color w:val="0D0D0D" w:themeColor="text1" w:themeTint="F2"/>
                <w:spacing w:val="-4"/>
                <w:szCs w:val="20"/>
              </w:rPr>
              <w:footnoteReference w:id="30"/>
            </w:r>
            <w:r>
              <w:rPr>
                <w:rFonts w:cs="Arial"/>
                <w:color w:val="0D0D0D" w:themeColor="text1" w:themeTint="F2"/>
                <w:spacing w:val="-4"/>
                <w:szCs w:val="20"/>
              </w:rPr>
              <w:t>. Dařilo se především prodeji nepotravinářského zboží (+11 %), jemuž pomohl stále se roz</w:t>
            </w:r>
            <w:r w:rsidR="004E3B7F">
              <w:rPr>
                <w:rFonts w:cs="Arial"/>
                <w:color w:val="0D0D0D" w:themeColor="text1" w:themeTint="F2"/>
                <w:spacing w:val="-4"/>
                <w:szCs w:val="20"/>
              </w:rPr>
              <w:t>víjející internetový obchod (+12,3 %, za dva roky +56</w:t>
            </w:r>
            <w:r>
              <w:rPr>
                <w:rFonts w:cs="Arial"/>
                <w:color w:val="0D0D0D" w:themeColor="text1" w:themeTint="F2"/>
                <w:spacing w:val="-4"/>
                <w:szCs w:val="20"/>
              </w:rPr>
              <w:t>,</w:t>
            </w:r>
            <w:r w:rsidR="004E3B7F">
              <w:rPr>
                <w:rFonts w:cs="Arial"/>
                <w:color w:val="0D0D0D" w:themeColor="text1" w:themeTint="F2"/>
                <w:spacing w:val="-4"/>
                <w:szCs w:val="20"/>
              </w:rPr>
              <w:t>7</w:t>
            </w:r>
            <w:r>
              <w:rPr>
                <w:rFonts w:cs="Arial"/>
                <w:color w:val="0D0D0D" w:themeColor="text1" w:themeTint="F2"/>
                <w:spacing w:val="-4"/>
                <w:szCs w:val="20"/>
              </w:rPr>
              <w:t> %) i vyšší tržby ve specializovaných obchodech – zejména s oděvy, obuví a koženým zbožím (+29,2 %) a </w:t>
            </w:r>
            <w:r w:rsidRPr="0021149E">
              <w:rPr>
                <w:rFonts w:cs="Arial"/>
                <w:color w:val="0D0D0D" w:themeColor="text1" w:themeTint="F2"/>
                <w:spacing w:val="-4"/>
                <w:szCs w:val="20"/>
              </w:rPr>
              <w:t>počítačovým a</w:t>
            </w:r>
            <w:r>
              <w:rPr>
                <w:rFonts w:cs="Arial"/>
                <w:color w:val="0D0D0D" w:themeColor="text1" w:themeTint="F2"/>
                <w:spacing w:val="-4"/>
                <w:szCs w:val="20"/>
              </w:rPr>
              <w:t> </w:t>
            </w:r>
            <w:r w:rsidRPr="0021149E">
              <w:rPr>
                <w:rFonts w:cs="Arial"/>
                <w:color w:val="0D0D0D" w:themeColor="text1" w:themeTint="F2"/>
                <w:spacing w:val="-4"/>
                <w:szCs w:val="20"/>
              </w:rPr>
              <w:t>komunikačním zařízením</w:t>
            </w:r>
            <w:r>
              <w:rPr>
                <w:rFonts w:cs="Arial"/>
                <w:color w:val="0D0D0D" w:themeColor="text1" w:themeTint="F2"/>
                <w:spacing w:val="-4"/>
                <w:szCs w:val="20"/>
              </w:rPr>
              <w:t xml:space="preserve"> (+20,1 %). Mnohem střídměji rostl prodej potravin, a to jak v </w:t>
            </w:r>
            <w:r w:rsidR="008D3295">
              <w:rPr>
                <w:rFonts w:cs="Arial"/>
                <w:color w:val="0D0D0D" w:themeColor="text1" w:themeTint="F2"/>
                <w:spacing w:val="-4"/>
                <w:szCs w:val="20"/>
              </w:rPr>
              <w:t>obvykle velkých nespecializovaných</w:t>
            </w:r>
            <w:r>
              <w:rPr>
                <w:rFonts w:cs="Arial"/>
                <w:color w:val="0D0D0D" w:themeColor="text1" w:themeTint="F2"/>
                <w:spacing w:val="-4"/>
                <w:szCs w:val="20"/>
              </w:rPr>
              <w:t xml:space="preserve"> </w:t>
            </w:r>
            <w:r w:rsidR="008D3295">
              <w:rPr>
                <w:rFonts w:cs="Arial"/>
                <w:color w:val="0D0D0D" w:themeColor="text1" w:themeTint="F2"/>
                <w:spacing w:val="-4"/>
                <w:szCs w:val="20"/>
              </w:rPr>
              <w:t>prodejnách (+1,0</w:t>
            </w:r>
            <w:r>
              <w:rPr>
                <w:rFonts w:cs="Arial"/>
                <w:color w:val="0D0D0D" w:themeColor="text1" w:themeTint="F2"/>
                <w:spacing w:val="-4"/>
                <w:szCs w:val="20"/>
              </w:rPr>
              <w:t> %</w:t>
            </w:r>
            <w:r w:rsidR="008D3295">
              <w:rPr>
                <w:rFonts w:cs="Arial"/>
                <w:color w:val="0D0D0D" w:themeColor="text1" w:themeTint="F2"/>
                <w:spacing w:val="-4"/>
                <w:szCs w:val="20"/>
              </w:rPr>
              <w:t>), tak i ve</w:t>
            </w:r>
            <w:r w:rsidR="008C17F0">
              <w:rPr>
                <w:rFonts w:cs="Arial"/>
                <w:color w:val="0D0D0D" w:themeColor="text1" w:themeTint="F2"/>
                <w:spacing w:val="-4"/>
                <w:szCs w:val="20"/>
              </w:rPr>
              <w:t xml:space="preserve"> specializovaných (+3,3 %) – u </w:t>
            </w:r>
            <w:r>
              <w:rPr>
                <w:rFonts w:cs="Arial"/>
                <w:color w:val="0D0D0D" w:themeColor="text1" w:themeTint="F2"/>
                <w:spacing w:val="-4"/>
                <w:szCs w:val="20"/>
              </w:rPr>
              <w:t xml:space="preserve">kterých byl loni navíc </w:t>
            </w:r>
            <w:r w:rsidR="008C17F0">
              <w:rPr>
                <w:rFonts w:cs="Arial"/>
                <w:color w:val="0D0D0D" w:themeColor="text1" w:themeTint="F2"/>
                <w:spacing w:val="-4"/>
                <w:szCs w:val="20"/>
              </w:rPr>
              <w:t xml:space="preserve">prodej </w:t>
            </w:r>
            <w:r>
              <w:rPr>
                <w:rFonts w:cs="Arial"/>
                <w:color w:val="0D0D0D" w:themeColor="text1" w:themeTint="F2"/>
                <w:spacing w:val="-4"/>
                <w:szCs w:val="20"/>
              </w:rPr>
              <w:t>silně utlumený. To platilo také o prodeji pohonných hmot, jehož letošní růst (9,6 %) nemohl propad z loňského jara zdaleka kompenzovat</w:t>
            </w:r>
            <w:r w:rsidRPr="00562DB1">
              <w:rPr>
                <w:rFonts w:cs="Arial"/>
                <w:color w:val="0D0D0D" w:themeColor="text1" w:themeTint="F2"/>
                <w:spacing w:val="-4"/>
                <w:szCs w:val="20"/>
              </w:rPr>
              <w:t xml:space="preserve">. </w:t>
            </w:r>
            <w:r>
              <w:rPr>
                <w:rFonts w:cs="Arial"/>
                <w:color w:val="0D0D0D" w:themeColor="text1" w:themeTint="F2"/>
                <w:spacing w:val="-4"/>
                <w:szCs w:val="20"/>
              </w:rPr>
              <w:t>Podobně tomu bylo i v </w:t>
            </w:r>
            <w:r w:rsidRPr="00562DB1">
              <w:rPr>
                <w:rFonts w:cs="Arial"/>
                <w:color w:val="0D0D0D" w:themeColor="text1" w:themeTint="F2"/>
                <w:spacing w:val="-4"/>
                <w:szCs w:val="20"/>
              </w:rPr>
              <w:t>motoristickém segmentu obchodu</w:t>
            </w:r>
            <w:r>
              <w:rPr>
                <w:rFonts w:cs="Arial"/>
                <w:color w:val="0D0D0D" w:themeColor="text1" w:themeTint="F2"/>
                <w:spacing w:val="-4"/>
                <w:szCs w:val="20"/>
              </w:rPr>
              <w:t>, kde sice letos ve 2. čtvrtletí rostly tržby meziročně o 36,7 %, v úhrnu za dvouleté období byly ale stále o 4,0 % nižší.</w:t>
            </w:r>
          </w:p>
        </w:tc>
      </w:tr>
    </w:tbl>
    <w:p w14:paraId="7FDB7848" w14:textId="77777777" w:rsidR="00ED1959" w:rsidRPr="00E42054" w:rsidRDefault="00ED1959" w:rsidP="00ED1959">
      <w:pPr>
        <w:pStyle w:val="Nadpis11"/>
        <w:rPr>
          <w:b w:val="0"/>
          <w:sz w:val="2"/>
          <w:szCs w:val="2"/>
        </w:rPr>
      </w:pPr>
    </w:p>
    <w:p w14:paraId="45E33EB6" w14:textId="77777777" w:rsidR="00AB3BA7" w:rsidRPr="000F45E7" w:rsidRDefault="00AB3BA7" w:rsidP="00AB3BA7">
      <w:pPr>
        <w:pStyle w:val="Nadpis11"/>
        <w:spacing w:after="0"/>
        <w:rPr>
          <w:b w:val="0"/>
          <w:sz w:val="2"/>
          <w:szCs w:val="2"/>
        </w:rPr>
      </w:pPr>
      <w:bookmarkStart w:id="5" w:name="_GoBack"/>
      <w:bookmarkEnd w:id="0"/>
      <w:bookmarkEnd w:id="1"/>
      <w:bookmarkEnd w:id="2"/>
      <w:bookmarkEnd w:id="3"/>
      <w:bookmarkEnd w:id="4"/>
      <w:bookmarkEnd w:id="5"/>
    </w:p>
    <w:p w14:paraId="39E9959F" w14:textId="77777777" w:rsidR="000663F0" w:rsidRPr="00E42054" w:rsidRDefault="000663F0" w:rsidP="00AB3BA7">
      <w:pPr>
        <w:pStyle w:val="Nadpis11"/>
        <w:rPr>
          <w:b w:val="0"/>
          <w:sz w:val="2"/>
          <w:szCs w:val="2"/>
        </w:rPr>
      </w:pPr>
    </w:p>
    <w:sectPr w:rsidR="000663F0" w:rsidRPr="00E42054" w:rsidSect="008A3BEF">
      <w:headerReference w:type="even" r:id="rId13"/>
      <w:headerReference w:type="default" r:id="rId14"/>
      <w:footerReference w:type="even" r:id="rId15"/>
      <w:footerReference w:type="default" r:id="rId16"/>
      <w:pgSz w:w="11906" w:h="16838" w:code="9"/>
      <w:pgMar w:top="1134" w:right="1134" w:bottom="1418" w:left="1134" w:header="680" w:footer="737"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2801F" w14:textId="77777777" w:rsidR="00575F4E" w:rsidRDefault="00575F4E" w:rsidP="00E71A58">
      <w:r>
        <w:separator/>
      </w:r>
    </w:p>
  </w:endnote>
  <w:endnote w:type="continuationSeparator" w:id="0">
    <w:p w14:paraId="2036FBCD" w14:textId="77777777" w:rsidR="00575F4E" w:rsidRDefault="00575F4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6AA923EB" w:rsidR="00C872AA" w:rsidRPr="00932443" w:rsidRDefault="00C872AA"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8A3BEF">
      <w:rPr>
        <w:szCs w:val="16"/>
      </w:rPr>
      <w:t>12</w:t>
    </w:r>
    <w:r w:rsidRPr="00932443">
      <w:rPr>
        <w:szCs w:val="16"/>
      </w:rPr>
      <w:fldChar w:fldCharType="end"/>
    </w:r>
    <w:r w:rsidRPr="00932443">
      <w:rPr>
        <w:szCs w:val="16"/>
      </w:rPr>
      <w:tab/>
    </w:r>
    <w:r>
      <w:rPr>
        <w:szCs w:val="16"/>
      </w:rPr>
      <w:t>1. pololetí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2D51D98D" w:rsidR="00C872AA" w:rsidRPr="00932443" w:rsidRDefault="00C872AA" w:rsidP="00FA6CB6">
    <w:pPr>
      <w:pStyle w:val="Zpat"/>
      <w:rPr>
        <w:szCs w:val="16"/>
      </w:rPr>
    </w:pPr>
    <w:r w:rsidRPr="00FA6CB6">
      <w:rPr>
        <w:szCs w:val="16"/>
      </w:rPr>
      <w:tab/>
    </w:r>
    <w:r>
      <w:rPr>
        <w:szCs w:val="16"/>
      </w:rPr>
      <w:t>1. pololetí 2021</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8A3BEF">
      <w:rPr>
        <w:rStyle w:val="ZpatChar"/>
        <w:szCs w:val="16"/>
      </w:rPr>
      <w:t>11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97D2E" w14:textId="77777777" w:rsidR="00575F4E" w:rsidRDefault="00575F4E" w:rsidP="00A21B4D">
      <w:pPr>
        <w:spacing w:after="0"/>
      </w:pPr>
      <w:r>
        <w:separator/>
      </w:r>
    </w:p>
  </w:footnote>
  <w:footnote w:type="continuationSeparator" w:id="0">
    <w:p w14:paraId="74E0A27E" w14:textId="77777777" w:rsidR="00575F4E" w:rsidRDefault="00575F4E" w:rsidP="00E71A58">
      <w:r>
        <w:continuationSeparator/>
      </w:r>
    </w:p>
  </w:footnote>
  <w:footnote w:id="1">
    <w:p w14:paraId="7BF9788C" w14:textId="77777777" w:rsidR="00ED1959" w:rsidRPr="00FB58F4" w:rsidRDefault="00ED1959" w:rsidP="00ED1959">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Údaje o</w:t>
      </w:r>
      <w:r>
        <w:rPr>
          <w:rFonts w:cs="Arial"/>
          <w:color w:val="0D0D0D" w:themeColor="text1" w:themeTint="F2"/>
          <w:spacing w:val="-2"/>
          <w:sz w:val="16"/>
          <w:szCs w:val="16"/>
        </w:rPr>
        <w:t> </w:t>
      </w:r>
      <w:r w:rsidRPr="00FB58F4">
        <w:rPr>
          <w:rFonts w:cs="Arial"/>
          <w:color w:val="0D0D0D" w:themeColor="text1" w:themeTint="F2"/>
          <w:spacing w:val="-2"/>
          <w:sz w:val="16"/>
          <w:szCs w:val="16"/>
        </w:rPr>
        <w:t>HPH jsou vyjádřeny ve stálých cenách a</w:t>
      </w:r>
      <w:r>
        <w:rPr>
          <w:rFonts w:cs="Arial"/>
          <w:color w:val="0D0D0D" w:themeColor="text1" w:themeTint="F2"/>
          <w:spacing w:val="-2"/>
          <w:sz w:val="16"/>
          <w:szCs w:val="16"/>
        </w:rPr>
        <w:t> </w:t>
      </w:r>
      <w:r w:rsidRPr="00FB58F4">
        <w:rPr>
          <w:rFonts w:cs="Arial"/>
          <w:color w:val="0D0D0D" w:themeColor="text1" w:themeTint="F2"/>
          <w:spacing w:val="-2"/>
          <w:sz w:val="16"/>
          <w:szCs w:val="16"/>
        </w:rPr>
        <w:t>v očištění o</w:t>
      </w:r>
      <w:r>
        <w:rPr>
          <w:rFonts w:cs="Arial"/>
          <w:color w:val="0D0D0D" w:themeColor="text1" w:themeTint="F2"/>
          <w:spacing w:val="-2"/>
          <w:sz w:val="16"/>
          <w:szCs w:val="16"/>
        </w:rPr>
        <w:t> </w:t>
      </w:r>
      <w:r w:rsidRPr="00FB58F4">
        <w:rPr>
          <w:rFonts w:cs="Arial"/>
          <w:color w:val="0D0D0D" w:themeColor="text1" w:themeTint="F2"/>
          <w:spacing w:val="-2"/>
          <w:sz w:val="16"/>
          <w:szCs w:val="16"/>
        </w:rPr>
        <w:t>sezónní a</w:t>
      </w:r>
      <w:r>
        <w:rPr>
          <w:rFonts w:cs="Arial"/>
          <w:color w:val="0D0D0D" w:themeColor="text1" w:themeTint="F2"/>
          <w:spacing w:val="-2"/>
          <w:sz w:val="16"/>
          <w:szCs w:val="16"/>
        </w:rPr>
        <w:t> </w:t>
      </w:r>
      <w:r w:rsidRPr="00FB58F4">
        <w:rPr>
          <w:rFonts w:cs="Arial"/>
          <w:color w:val="0D0D0D" w:themeColor="text1" w:themeTint="F2"/>
          <w:spacing w:val="-2"/>
          <w:sz w:val="16"/>
          <w:szCs w:val="16"/>
        </w:rPr>
        <w:t>kalendářní vlivy.</w:t>
      </w:r>
    </w:p>
  </w:footnote>
  <w:footnote w:id="2">
    <w:p w14:paraId="2C92995B" w14:textId="77777777" w:rsidR="00ED1959" w:rsidRPr="00C70024" w:rsidRDefault="00ED1959" w:rsidP="00ED1959">
      <w:pPr>
        <w:pStyle w:val="Textpoznpodarou"/>
        <w:rPr>
          <w:sz w:val="16"/>
          <w:szCs w:val="16"/>
        </w:rPr>
      </w:pPr>
      <w:r w:rsidRPr="00C70024">
        <w:rPr>
          <w:rStyle w:val="Znakapoznpodarou"/>
          <w:sz w:val="16"/>
          <w:szCs w:val="16"/>
        </w:rPr>
        <w:footnoteRef/>
      </w:r>
      <w:r w:rsidRPr="00C70024">
        <w:rPr>
          <w:sz w:val="16"/>
          <w:szCs w:val="16"/>
        </w:rPr>
        <w:t xml:space="preserve"> To platilo analogicky i</w:t>
      </w:r>
      <w:r>
        <w:rPr>
          <w:sz w:val="16"/>
          <w:szCs w:val="16"/>
        </w:rPr>
        <w:t> </w:t>
      </w:r>
      <w:r w:rsidRPr="00C70024">
        <w:rPr>
          <w:sz w:val="16"/>
          <w:szCs w:val="16"/>
        </w:rPr>
        <w:t>pro EU (</w:t>
      </w:r>
      <w:r>
        <w:rPr>
          <w:sz w:val="16"/>
          <w:szCs w:val="16"/>
        </w:rPr>
        <w:t>–</w:t>
      </w:r>
      <w:r w:rsidRPr="00C70024">
        <w:rPr>
          <w:sz w:val="16"/>
          <w:szCs w:val="16"/>
        </w:rPr>
        <w:t>2,2</w:t>
      </w:r>
      <w:r>
        <w:rPr>
          <w:sz w:val="16"/>
          <w:szCs w:val="16"/>
        </w:rPr>
        <w:t> %</w:t>
      </w:r>
      <w:r w:rsidRPr="00C70024">
        <w:rPr>
          <w:sz w:val="16"/>
          <w:szCs w:val="16"/>
        </w:rPr>
        <w:t xml:space="preserve">), včetně všech jejích nejvýznamnějších ekonomik. </w:t>
      </w:r>
      <w:r>
        <w:rPr>
          <w:sz w:val="16"/>
          <w:szCs w:val="16"/>
        </w:rPr>
        <w:t>Naopak své předkrizové maximum z pohledu HPH již během dosavadní části letošního roku překonaly pobaltské státy, většina severských států, ale také např. Polsko, Maďarsko, Slovinsko či Rumunsko – tedy státy, v jejichž ekonomikách hrají služby vázané na cestovní ruch relativně menší roli.</w:t>
      </w:r>
    </w:p>
  </w:footnote>
  <w:footnote w:id="3">
    <w:p w14:paraId="0F1213B3" w14:textId="77777777" w:rsidR="00ED1959" w:rsidRPr="00DF11EC" w:rsidRDefault="00ED1959" w:rsidP="00ED1959">
      <w:pPr>
        <w:pStyle w:val="Textpoznpodarou"/>
        <w:rPr>
          <w:sz w:val="16"/>
          <w:szCs w:val="16"/>
        </w:rPr>
      </w:pPr>
      <w:r w:rsidRPr="00DF11EC">
        <w:rPr>
          <w:rStyle w:val="Znakapoznpodarou"/>
          <w:sz w:val="16"/>
          <w:szCs w:val="16"/>
        </w:rPr>
        <w:footnoteRef/>
      </w:r>
      <w:r>
        <w:rPr>
          <w:sz w:val="16"/>
          <w:szCs w:val="16"/>
        </w:rPr>
        <w:t xml:space="preserve"> Méně</w:t>
      </w:r>
      <w:r w:rsidRPr="00DF11EC">
        <w:rPr>
          <w:sz w:val="16"/>
          <w:szCs w:val="16"/>
        </w:rPr>
        <w:t xml:space="preserve"> růstová odvětví vytvářela v 1.</w:t>
      </w:r>
      <w:r>
        <w:rPr>
          <w:sz w:val="16"/>
          <w:szCs w:val="16"/>
        </w:rPr>
        <w:t> pololet</w:t>
      </w:r>
      <w:r w:rsidRPr="00DF11EC">
        <w:rPr>
          <w:sz w:val="16"/>
          <w:szCs w:val="16"/>
        </w:rPr>
        <w:t>í 2021 necelých 30</w:t>
      </w:r>
      <w:r>
        <w:rPr>
          <w:sz w:val="16"/>
          <w:szCs w:val="16"/>
        </w:rPr>
        <w:t> %</w:t>
      </w:r>
      <w:r w:rsidRPr="00DF11EC">
        <w:rPr>
          <w:sz w:val="16"/>
          <w:szCs w:val="16"/>
        </w:rPr>
        <w:t xml:space="preserve"> HPH národního hospodářství.</w:t>
      </w:r>
    </w:p>
  </w:footnote>
  <w:footnote w:id="4">
    <w:p w14:paraId="438A731F" w14:textId="77777777" w:rsidR="00ED1959" w:rsidRPr="00DF11EC" w:rsidRDefault="00ED1959" w:rsidP="00ED1959">
      <w:pPr>
        <w:pStyle w:val="Textpoznpodarou"/>
        <w:rPr>
          <w:sz w:val="16"/>
          <w:szCs w:val="16"/>
        </w:rPr>
      </w:pPr>
      <w:r w:rsidRPr="00DF11EC">
        <w:rPr>
          <w:rStyle w:val="Znakapoznpodarou"/>
          <w:sz w:val="16"/>
          <w:szCs w:val="16"/>
        </w:rPr>
        <w:footnoteRef/>
      </w:r>
      <w:r w:rsidRPr="00DF11EC">
        <w:rPr>
          <w:sz w:val="16"/>
          <w:szCs w:val="16"/>
        </w:rPr>
        <w:t xml:space="preserve"> Zahrnuj</w:t>
      </w:r>
      <w:r>
        <w:rPr>
          <w:sz w:val="16"/>
          <w:szCs w:val="16"/>
        </w:rPr>
        <w:t>í</w:t>
      </w:r>
      <w:r w:rsidRPr="00DF11EC">
        <w:rPr>
          <w:sz w:val="16"/>
          <w:szCs w:val="16"/>
        </w:rPr>
        <w:t xml:space="preserve"> veřejnou správu a</w:t>
      </w:r>
      <w:r>
        <w:rPr>
          <w:sz w:val="16"/>
          <w:szCs w:val="16"/>
        </w:rPr>
        <w:t> </w:t>
      </w:r>
      <w:r w:rsidRPr="00DF11EC">
        <w:rPr>
          <w:sz w:val="16"/>
          <w:szCs w:val="16"/>
        </w:rPr>
        <w:t>obranu, vzdělávání, zdravotní a</w:t>
      </w:r>
      <w:r>
        <w:rPr>
          <w:sz w:val="16"/>
          <w:szCs w:val="16"/>
        </w:rPr>
        <w:t> </w:t>
      </w:r>
      <w:r w:rsidRPr="00DF11EC">
        <w:rPr>
          <w:sz w:val="16"/>
          <w:szCs w:val="16"/>
        </w:rPr>
        <w:t>sociální péči.</w:t>
      </w:r>
    </w:p>
  </w:footnote>
  <w:footnote w:id="5">
    <w:p w14:paraId="316F55D6" w14:textId="77777777" w:rsidR="00ED1959" w:rsidRDefault="00ED1959" w:rsidP="00ED1959">
      <w:pPr>
        <w:pStyle w:val="Textpoznpodarou"/>
      </w:pPr>
      <w:r w:rsidRPr="00743B12">
        <w:rPr>
          <w:rStyle w:val="Znakapoznpodarou"/>
          <w:sz w:val="16"/>
          <w:szCs w:val="16"/>
        </w:rPr>
        <w:footnoteRef/>
      </w:r>
      <w:r w:rsidRPr="00743B12">
        <w:rPr>
          <w:sz w:val="16"/>
          <w:szCs w:val="16"/>
        </w:rPr>
        <w:t xml:space="preserve"> Údaje vycház</w:t>
      </w:r>
      <w:r>
        <w:rPr>
          <w:sz w:val="16"/>
          <w:szCs w:val="16"/>
        </w:rPr>
        <w:t>ej</w:t>
      </w:r>
      <w:r w:rsidRPr="00743B12">
        <w:rPr>
          <w:sz w:val="16"/>
          <w:szCs w:val="16"/>
        </w:rPr>
        <w:t>í z národních účtů a</w:t>
      </w:r>
      <w:r>
        <w:rPr>
          <w:sz w:val="16"/>
          <w:szCs w:val="16"/>
        </w:rPr>
        <w:t> </w:t>
      </w:r>
      <w:r w:rsidRPr="00743B12">
        <w:rPr>
          <w:sz w:val="16"/>
          <w:szCs w:val="16"/>
        </w:rPr>
        <w:t xml:space="preserve">jsou očištěny </w:t>
      </w:r>
      <w:r w:rsidRPr="00743B12">
        <w:rPr>
          <w:rFonts w:cs="Arial"/>
          <w:color w:val="0D0D0D" w:themeColor="text1" w:themeTint="F2"/>
          <w:spacing w:val="-2"/>
          <w:sz w:val="16"/>
          <w:szCs w:val="16"/>
        </w:rPr>
        <w:t>o sezónní</w:t>
      </w:r>
      <w:r w:rsidRPr="00FB58F4">
        <w:rPr>
          <w:rFonts w:cs="Arial"/>
          <w:color w:val="0D0D0D" w:themeColor="text1" w:themeTint="F2"/>
          <w:spacing w:val="-2"/>
          <w:sz w:val="16"/>
          <w:szCs w:val="16"/>
        </w:rPr>
        <w:t xml:space="preserve"> a</w:t>
      </w:r>
      <w:r>
        <w:rPr>
          <w:rFonts w:cs="Arial"/>
          <w:color w:val="0D0D0D" w:themeColor="text1" w:themeTint="F2"/>
          <w:spacing w:val="-2"/>
          <w:sz w:val="16"/>
          <w:szCs w:val="16"/>
        </w:rPr>
        <w:t> </w:t>
      </w:r>
      <w:r w:rsidRPr="00FB58F4">
        <w:rPr>
          <w:rFonts w:cs="Arial"/>
          <w:color w:val="0D0D0D" w:themeColor="text1" w:themeTint="F2"/>
          <w:spacing w:val="-2"/>
          <w:sz w:val="16"/>
          <w:szCs w:val="16"/>
        </w:rPr>
        <w:t>kalendářní vlivy.</w:t>
      </w:r>
    </w:p>
  </w:footnote>
  <w:footnote w:id="6">
    <w:p w14:paraId="173CC9F6" w14:textId="77777777" w:rsidR="00ED1959" w:rsidRDefault="00ED1959" w:rsidP="00ED1959">
      <w:pPr>
        <w:pStyle w:val="Textpoznpodarou"/>
      </w:pPr>
      <w:r w:rsidRPr="001F719B">
        <w:rPr>
          <w:rStyle w:val="Znakapoznpodarou"/>
          <w:sz w:val="16"/>
          <w:szCs w:val="16"/>
        </w:rPr>
        <w:footnoteRef/>
      </w:r>
      <w:r w:rsidRPr="001F719B">
        <w:rPr>
          <w:sz w:val="16"/>
          <w:szCs w:val="16"/>
        </w:rPr>
        <w:t xml:space="preserve"> Zahrnuje</w:t>
      </w:r>
      <w:r w:rsidRPr="003B5B59">
        <w:rPr>
          <w:sz w:val="16"/>
          <w:szCs w:val="16"/>
        </w:rPr>
        <w:t xml:space="preserve"> kulturní, zábavní a</w:t>
      </w:r>
      <w:r>
        <w:rPr>
          <w:sz w:val="16"/>
          <w:szCs w:val="16"/>
        </w:rPr>
        <w:t> </w:t>
      </w:r>
      <w:r w:rsidRPr="003B5B59">
        <w:rPr>
          <w:sz w:val="16"/>
          <w:szCs w:val="16"/>
        </w:rPr>
        <w:t>rekreační činnosti a</w:t>
      </w:r>
      <w:r>
        <w:rPr>
          <w:sz w:val="16"/>
          <w:szCs w:val="16"/>
        </w:rPr>
        <w:t> </w:t>
      </w:r>
      <w:r w:rsidRPr="003B5B59">
        <w:rPr>
          <w:sz w:val="16"/>
          <w:szCs w:val="16"/>
        </w:rPr>
        <w:t xml:space="preserve">dále zejména poskytování osobních služeb (např. kadeřnictví, kosmetické služby, </w:t>
      </w:r>
      <w:r>
        <w:rPr>
          <w:rFonts w:cs="Arial"/>
          <w:color w:val="0D0D0D" w:themeColor="text1" w:themeTint="F2"/>
          <w:spacing w:val="-2"/>
          <w:sz w:val="16"/>
          <w:szCs w:val="16"/>
        </w:rPr>
        <w:t xml:space="preserve">čisticí služby či </w:t>
      </w:r>
      <w:r w:rsidRPr="003B5B59">
        <w:rPr>
          <w:sz w:val="16"/>
          <w:szCs w:val="16"/>
        </w:rPr>
        <w:t>opravy výrobků pro osobní potřebu a převážně pro</w:t>
      </w:r>
      <w:r>
        <w:rPr>
          <w:sz w:val="16"/>
          <w:szCs w:val="16"/>
        </w:rPr>
        <w:t xml:space="preserve"> </w:t>
      </w:r>
      <w:r w:rsidRPr="003B5B59">
        <w:rPr>
          <w:sz w:val="16"/>
          <w:szCs w:val="16"/>
        </w:rPr>
        <w:t>domácnost).</w:t>
      </w:r>
    </w:p>
  </w:footnote>
  <w:footnote w:id="7">
    <w:p w14:paraId="121CA655" w14:textId="77777777" w:rsidR="00ED1959" w:rsidRPr="00CE71E4" w:rsidRDefault="00ED1959" w:rsidP="00ED1959">
      <w:pPr>
        <w:pStyle w:val="Textpoznpodarou"/>
        <w:jc w:val="both"/>
        <w:rPr>
          <w:rFonts w:cs="Arial"/>
          <w:color w:val="0D0D0D" w:themeColor="text1" w:themeTint="F2"/>
          <w:spacing w:val="-2"/>
          <w:sz w:val="16"/>
          <w:szCs w:val="16"/>
        </w:rPr>
      </w:pPr>
      <w:r w:rsidRPr="00CE71E4">
        <w:rPr>
          <w:rStyle w:val="Znakapoznpodarou"/>
          <w:rFonts w:cs="Arial"/>
          <w:color w:val="0D0D0D" w:themeColor="text1" w:themeTint="F2"/>
          <w:spacing w:val="-2"/>
          <w:sz w:val="16"/>
          <w:szCs w:val="16"/>
        </w:rPr>
        <w:footnoteRef/>
      </w:r>
      <w:r w:rsidRPr="00CE71E4">
        <w:rPr>
          <w:rFonts w:cs="Arial"/>
          <w:color w:val="0D0D0D" w:themeColor="text1" w:themeTint="F2"/>
          <w:spacing w:val="-2"/>
          <w:sz w:val="16"/>
          <w:szCs w:val="16"/>
        </w:rPr>
        <w:t xml:space="preserve"> Zahrnuje odvětví těžby a dobývání, zpracovatelského průmyslu a také energetiky (zde pojímané jako odvětví výroby a rozvodu elektřiny, plynu, tepla a klimatizovaného vzduchu). Všechna meziroční tempa produkce (na úrovni odvětvových sekcí i oddílů) jsou očištěna o kalendářní vlivy, mezičtvrtletní i meziměsíční tempa pak také o vliv sezónnosti.</w:t>
      </w:r>
    </w:p>
  </w:footnote>
  <w:footnote w:id="8">
    <w:p w14:paraId="7025B4B0" w14:textId="77777777" w:rsidR="00ED1959" w:rsidRPr="00EB7CEF" w:rsidRDefault="00ED1959" w:rsidP="00ED1959">
      <w:pPr>
        <w:pStyle w:val="Textpoznpodarou"/>
        <w:rPr>
          <w:sz w:val="16"/>
          <w:szCs w:val="16"/>
        </w:rPr>
      </w:pPr>
      <w:r w:rsidRPr="00EB7CEF">
        <w:rPr>
          <w:rStyle w:val="Znakapoznpodarou"/>
          <w:sz w:val="16"/>
          <w:szCs w:val="16"/>
        </w:rPr>
        <w:footnoteRef/>
      </w:r>
      <w:r w:rsidRPr="00EB7CEF">
        <w:rPr>
          <w:sz w:val="16"/>
          <w:szCs w:val="16"/>
        </w:rPr>
        <w:t xml:space="preserve"> Do Německa směřovalo ve 2.</w:t>
      </w:r>
      <w:r>
        <w:rPr>
          <w:sz w:val="16"/>
          <w:szCs w:val="16"/>
        </w:rPr>
        <w:t> čtvrtlet</w:t>
      </w:r>
      <w:r w:rsidRPr="00EB7CEF">
        <w:rPr>
          <w:sz w:val="16"/>
          <w:szCs w:val="16"/>
        </w:rPr>
        <w:t>í 30,8</w:t>
      </w:r>
      <w:r>
        <w:rPr>
          <w:sz w:val="16"/>
          <w:szCs w:val="16"/>
        </w:rPr>
        <w:t> %</w:t>
      </w:r>
      <w:r w:rsidRPr="00EB7CEF">
        <w:rPr>
          <w:sz w:val="16"/>
          <w:szCs w:val="16"/>
        </w:rPr>
        <w:t xml:space="preserve"> hodnoty celkového tuzemského exportu průmyslového zboží, do EU pak rovných 80</w:t>
      </w:r>
      <w:r>
        <w:rPr>
          <w:sz w:val="16"/>
          <w:szCs w:val="16"/>
        </w:rPr>
        <w:t> %</w:t>
      </w:r>
      <w:r w:rsidRPr="00EB7CEF">
        <w:rPr>
          <w:sz w:val="16"/>
          <w:szCs w:val="16"/>
        </w:rPr>
        <w:t>.</w:t>
      </w:r>
    </w:p>
  </w:footnote>
  <w:footnote w:id="9">
    <w:p w14:paraId="7191AB69" w14:textId="604A2F08" w:rsidR="00ED1959" w:rsidRPr="00C46BC0" w:rsidRDefault="00ED1959" w:rsidP="00ED1959">
      <w:pPr>
        <w:pStyle w:val="Textpoznpodarou"/>
        <w:rPr>
          <w:sz w:val="16"/>
          <w:szCs w:val="16"/>
        </w:rPr>
      </w:pPr>
      <w:r w:rsidRPr="00C46BC0">
        <w:rPr>
          <w:rStyle w:val="Znakapoznpodarou"/>
          <w:sz w:val="16"/>
          <w:szCs w:val="16"/>
        </w:rPr>
        <w:footnoteRef/>
      </w:r>
      <w:r w:rsidRPr="00C46BC0">
        <w:rPr>
          <w:sz w:val="16"/>
          <w:szCs w:val="16"/>
        </w:rPr>
        <w:t xml:space="preserve"> V samotném le</w:t>
      </w:r>
      <w:r w:rsidR="00A45858">
        <w:rPr>
          <w:sz w:val="16"/>
          <w:szCs w:val="16"/>
        </w:rPr>
        <w:t>tošním dubnu tak</w:t>
      </w:r>
      <w:r w:rsidR="00C12304">
        <w:rPr>
          <w:sz w:val="16"/>
          <w:szCs w:val="16"/>
        </w:rPr>
        <w:t xml:space="preserve"> produkce v celém průmyslu</w:t>
      </w:r>
      <w:r w:rsidRPr="00C46BC0">
        <w:rPr>
          <w:sz w:val="16"/>
          <w:szCs w:val="16"/>
        </w:rPr>
        <w:t xml:space="preserve"> </w:t>
      </w:r>
      <w:r w:rsidR="00A45858">
        <w:rPr>
          <w:sz w:val="16"/>
          <w:szCs w:val="16"/>
        </w:rPr>
        <w:t xml:space="preserve">meziročně vzrostla o </w:t>
      </w:r>
      <w:r w:rsidRPr="00C46BC0">
        <w:rPr>
          <w:sz w:val="16"/>
          <w:szCs w:val="16"/>
        </w:rPr>
        <w:t>54</w:t>
      </w:r>
      <w:r>
        <w:rPr>
          <w:sz w:val="16"/>
          <w:szCs w:val="16"/>
        </w:rPr>
        <w:t> %</w:t>
      </w:r>
      <w:r w:rsidRPr="00C46BC0">
        <w:rPr>
          <w:sz w:val="16"/>
          <w:szCs w:val="16"/>
        </w:rPr>
        <w:t>, z toho</w:t>
      </w:r>
      <w:r w:rsidR="00C12304">
        <w:rPr>
          <w:sz w:val="16"/>
          <w:szCs w:val="16"/>
        </w:rPr>
        <w:t xml:space="preserve"> ve výrobě motorových vozidel</w:t>
      </w:r>
      <w:r w:rsidRPr="00C46BC0">
        <w:rPr>
          <w:sz w:val="16"/>
          <w:szCs w:val="16"/>
        </w:rPr>
        <w:t xml:space="preserve"> 445</w:t>
      </w:r>
      <w:r>
        <w:rPr>
          <w:sz w:val="16"/>
          <w:szCs w:val="16"/>
        </w:rPr>
        <w:t> %</w:t>
      </w:r>
      <w:r w:rsidR="00C12304">
        <w:rPr>
          <w:sz w:val="16"/>
          <w:szCs w:val="16"/>
        </w:rPr>
        <w:t>.</w:t>
      </w:r>
    </w:p>
  </w:footnote>
  <w:footnote w:id="10">
    <w:p w14:paraId="7C69D580" w14:textId="77777777" w:rsidR="00ED1959" w:rsidRPr="005D3416" w:rsidRDefault="00ED1959" w:rsidP="00ED1959">
      <w:pPr>
        <w:pStyle w:val="Textpoznpodarou"/>
        <w:rPr>
          <w:sz w:val="16"/>
          <w:szCs w:val="16"/>
        </w:rPr>
      </w:pPr>
      <w:r w:rsidRPr="00CE71E4">
        <w:rPr>
          <w:rStyle w:val="Znakapoznpodarou"/>
          <w:spacing w:val="-2"/>
          <w:sz w:val="16"/>
          <w:szCs w:val="16"/>
        </w:rPr>
        <w:footnoteRef/>
      </w:r>
      <w:r>
        <w:rPr>
          <w:spacing w:val="-2"/>
          <w:sz w:val="16"/>
          <w:szCs w:val="16"/>
        </w:rPr>
        <w:t xml:space="preserve"> To</w:t>
      </w:r>
      <w:r w:rsidRPr="00CE71E4">
        <w:rPr>
          <w:spacing w:val="-2"/>
          <w:sz w:val="16"/>
          <w:szCs w:val="16"/>
        </w:rPr>
        <w:t xml:space="preserve"> se vlivem cyklického útlumu, kte</w:t>
      </w:r>
      <w:r>
        <w:rPr>
          <w:spacing w:val="-2"/>
          <w:sz w:val="16"/>
          <w:szCs w:val="16"/>
        </w:rPr>
        <w:t>rým tuzemský průmysl procházel již ve druhé polovině</w:t>
      </w:r>
      <w:r w:rsidRPr="00CE71E4">
        <w:rPr>
          <w:spacing w:val="-2"/>
          <w:sz w:val="16"/>
          <w:szCs w:val="16"/>
        </w:rPr>
        <w:t xml:space="preserve"> </w:t>
      </w:r>
      <w:r>
        <w:rPr>
          <w:spacing w:val="-2"/>
          <w:sz w:val="16"/>
          <w:szCs w:val="16"/>
        </w:rPr>
        <w:t>předloňského roku, nacházelo</w:t>
      </w:r>
      <w:r w:rsidRPr="00CE71E4">
        <w:rPr>
          <w:spacing w:val="-2"/>
          <w:sz w:val="16"/>
          <w:szCs w:val="16"/>
        </w:rPr>
        <w:t xml:space="preserve"> v květnu 2019. Ve srovnání s</w:t>
      </w:r>
      <w:r>
        <w:rPr>
          <w:spacing w:val="-2"/>
          <w:sz w:val="16"/>
          <w:szCs w:val="16"/>
        </w:rPr>
        <w:t> </w:t>
      </w:r>
      <w:r w:rsidRPr="00CE71E4">
        <w:rPr>
          <w:spacing w:val="-2"/>
          <w:sz w:val="16"/>
          <w:szCs w:val="16"/>
        </w:rPr>
        <w:t>touto úrovn</w:t>
      </w:r>
      <w:r>
        <w:rPr>
          <w:spacing w:val="-2"/>
          <w:sz w:val="16"/>
          <w:szCs w:val="16"/>
        </w:rPr>
        <w:t>í</w:t>
      </w:r>
      <w:r w:rsidRPr="00CE71E4">
        <w:rPr>
          <w:spacing w:val="-2"/>
          <w:sz w:val="16"/>
          <w:szCs w:val="16"/>
        </w:rPr>
        <w:t xml:space="preserve"> byl</w:t>
      </w:r>
      <w:r>
        <w:rPr>
          <w:spacing w:val="-2"/>
          <w:sz w:val="16"/>
          <w:szCs w:val="16"/>
        </w:rPr>
        <w:t>a produkce v červnu 2021 o 4,0 %</w:t>
      </w:r>
      <w:r w:rsidRPr="00CE71E4">
        <w:rPr>
          <w:spacing w:val="-2"/>
          <w:sz w:val="16"/>
          <w:szCs w:val="16"/>
        </w:rPr>
        <w:t xml:space="preserve"> nižší.</w:t>
      </w:r>
      <w:r>
        <w:rPr>
          <w:spacing w:val="-2"/>
          <w:sz w:val="16"/>
          <w:szCs w:val="16"/>
        </w:rPr>
        <w:t xml:space="preserve"> Protože příznivý vývoj průmyslu pokračoval i letos v červenci, snížil se tento odstup již jen na 2,0 %.</w:t>
      </w:r>
    </w:p>
  </w:footnote>
  <w:footnote w:id="11">
    <w:p w14:paraId="0330812C" w14:textId="77777777" w:rsidR="00ED1959" w:rsidRPr="00B324AF" w:rsidRDefault="00ED1959" w:rsidP="00ED1959">
      <w:pPr>
        <w:pStyle w:val="Textpoznpodarou"/>
        <w:rPr>
          <w:sz w:val="16"/>
          <w:szCs w:val="16"/>
        </w:rPr>
      </w:pPr>
      <w:r w:rsidRPr="00B324AF">
        <w:rPr>
          <w:rStyle w:val="Znakapoznpodarou"/>
          <w:sz w:val="16"/>
          <w:szCs w:val="16"/>
        </w:rPr>
        <w:footnoteRef/>
      </w:r>
      <w:r w:rsidRPr="00B324AF">
        <w:rPr>
          <w:sz w:val="16"/>
          <w:szCs w:val="16"/>
        </w:rPr>
        <w:t xml:space="preserve"> </w:t>
      </w:r>
      <w:r w:rsidRPr="00B324AF">
        <w:rPr>
          <w:rFonts w:cs="Arial"/>
          <w:sz w:val="16"/>
          <w:szCs w:val="16"/>
        </w:rPr>
        <w:t>Přitom už v předchozím kvartálu došlo k poklesu ve srovnání s velmi silným závěrem roku 2020.</w:t>
      </w:r>
    </w:p>
  </w:footnote>
  <w:footnote w:id="12">
    <w:p w14:paraId="76D81739" w14:textId="77777777" w:rsidR="00ED1959" w:rsidRPr="0017398B" w:rsidRDefault="00ED1959" w:rsidP="00ED1959">
      <w:pPr>
        <w:pStyle w:val="Textpoznpodarou"/>
        <w:rPr>
          <w:sz w:val="16"/>
          <w:szCs w:val="16"/>
        </w:rPr>
      </w:pPr>
      <w:r w:rsidRPr="0017398B">
        <w:rPr>
          <w:rStyle w:val="Znakapoznpodarou"/>
          <w:sz w:val="16"/>
          <w:szCs w:val="16"/>
        </w:rPr>
        <w:footnoteRef/>
      </w:r>
      <w:r w:rsidRPr="0017398B">
        <w:rPr>
          <w:sz w:val="16"/>
          <w:szCs w:val="16"/>
        </w:rPr>
        <w:t xml:space="preserve"> Za celý rok 2020 se produkce propadla o</w:t>
      </w:r>
      <w:r>
        <w:rPr>
          <w:sz w:val="16"/>
          <w:szCs w:val="16"/>
        </w:rPr>
        <w:t> </w:t>
      </w:r>
      <w:r w:rsidRPr="0017398B">
        <w:rPr>
          <w:sz w:val="16"/>
          <w:szCs w:val="16"/>
        </w:rPr>
        <w:t>šestinu</w:t>
      </w:r>
      <w:r>
        <w:rPr>
          <w:sz w:val="16"/>
          <w:szCs w:val="16"/>
        </w:rPr>
        <w:t>,</w:t>
      </w:r>
      <w:r w:rsidRPr="0017398B">
        <w:rPr>
          <w:sz w:val="16"/>
          <w:szCs w:val="16"/>
        </w:rPr>
        <w:t xml:space="preserve"> tedy </w:t>
      </w:r>
      <w:r>
        <w:rPr>
          <w:sz w:val="16"/>
          <w:szCs w:val="16"/>
        </w:rPr>
        <w:t>nejvíce v</w:t>
      </w:r>
      <w:r w:rsidRPr="0017398B">
        <w:rPr>
          <w:sz w:val="16"/>
          <w:szCs w:val="16"/>
        </w:rPr>
        <w:t>e srovnatelné řadě od roku 2000.</w:t>
      </w:r>
    </w:p>
  </w:footnote>
  <w:footnote w:id="13">
    <w:p w14:paraId="5AFFE649" w14:textId="77777777" w:rsidR="00ED1959" w:rsidRPr="007E52E6" w:rsidRDefault="00ED1959" w:rsidP="00ED1959">
      <w:pPr>
        <w:pStyle w:val="Textpoznpodarou"/>
        <w:rPr>
          <w:sz w:val="16"/>
          <w:szCs w:val="16"/>
        </w:rPr>
      </w:pPr>
      <w:r w:rsidRPr="007E52E6">
        <w:rPr>
          <w:rStyle w:val="Znakapoznpodarou"/>
          <w:sz w:val="16"/>
          <w:szCs w:val="16"/>
        </w:rPr>
        <w:footnoteRef/>
      </w:r>
      <w:r w:rsidRPr="007E52E6">
        <w:rPr>
          <w:sz w:val="16"/>
          <w:szCs w:val="16"/>
        </w:rPr>
        <w:t xml:space="preserve"> </w:t>
      </w:r>
      <w:r w:rsidRPr="007E52E6">
        <w:rPr>
          <w:color w:val="000000" w:themeColor="text1"/>
          <w:spacing w:val="-4"/>
          <w:sz w:val="16"/>
          <w:szCs w:val="16"/>
        </w:rPr>
        <w:t xml:space="preserve">Zahrnuje různorodé spektrum aktivit – výrobu lékařských </w:t>
      </w:r>
      <w:r>
        <w:rPr>
          <w:color w:val="000000" w:themeColor="text1"/>
          <w:spacing w:val="-4"/>
          <w:sz w:val="16"/>
          <w:szCs w:val="16"/>
        </w:rPr>
        <w:t>a </w:t>
      </w:r>
      <w:r w:rsidRPr="007E52E6">
        <w:rPr>
          <w:color w:val="000000" w:themeColor="text1"/>
          <w:spacing w:val="-4"/>
          <w:sz w:val="16"/>
          <w:szCs w:val="16"/>
        </w:rPr>
        <w:t xml:space="preserve">sportovních </w:t>
      </w:r>
      <w:r>
        <w:rPr>
          <w:color w:val="000000" w:themeColor="text1"/>
          <w:spacing w:val="-4"/>
          <w:sz w:val="16"/>
          <w:szCs w:val="16"/>
        </w:rPr>
        <w:t>potřeb,</w:t>
      </w:r>
      <w:r w:rsidRPr="007E52E6">
        <w:rPr>
          <w:color w:val="000000" w:themeColor="text1"/>
          <w:spacing w:val="-4"/>
          <w:sz w:val="16"/>
          <w:szCs w:val="16"/>
        </w:rPr>
        <w:t xml:space="preserve"> her a</w:t>
      </w:r>
      <w:r>
        <w:rPr>
          <w:color w:val="000000" w:themeColor="text1"/>
          <w:spacing w:val="-4"/>
          <w:sz w:val="16"/>
          <w:szCs w:val="16"/>
        </w:rPr>
        <w:t> </w:t>
      </w:r>
      <w:r w:rsidRPr="007E52E6">
        <w:rPr>
          <w:color w:val="000000" w:themeColor="text1"/>
          <w:spacing w:val="-4"/>
          <w:sz w:val="16"/>
          <w:szCs w:val="16"/>
        </w:rPr>
        <w:t>hraček, hudebních nástrojů i</w:t>
      </w:r>
      <w:r>
        <w:rPr>
          <w:color w:val="000000" w:themeColor="text1"/>
          <w:spacing w:val="-4"/>
          <w:sz w:val="16"/>
          <w:szCs w:val="16"/>
        </w:rPr>
        <w:t> </w:t>
      </w:r>
      <w:r w:rsidRPr="007E52E6">
        <w:rPr>
          <w:color w:val="000000" w:themeColor="text1"/>
          <w:spacing w:val="-4"/>
          <w:sz w:val="16"/>
          <w:szCs w:val="16"/>
        </w:rPr>
        <w:t>bižuterie.</w:t>
      </w:r>
    </w:p>
  </w:footnote>
  <w:footnote w:id="14">
    <w:p w14:paraId="263263C0" w14:textId="77777777" w:rsidR="00ED1959" w:rsidRPr="004670E0" w:rsidRDefault="00ED1959" w:rsidP="00ED1959">
      <w:pPr>
        <w:pStyle w:val="Textpoznpodarou"/>
        <w:rPr>
          <w:sz w:val="16"/>
          <w:szCs w:val="16"/>
        </w:rPr>
      </w:pPr>
      <w:r w:rsidRPr="004670E0">
        <w:rPr>
          <w:rStyle w:val="Znakapoznpodarou"/>
          <w:sz w:val="16"/>
          <w:szCs w:val="16"/>
        </w:rPr>
        <w:footnoteRef/>
      </w:r>
      <w:r>
        <w:rPr>
          <w:sz w:val="16"/>
          <w:szCs w:val="16"/>
        </w:rPr>
        <w:t xml:space="preserve"> </w:t>
      </w:r>
      <w:r>
        <w:rPr>
          <w:rFonts w:cs="Arial"/>
          <w:color w:val="0D0D0D" w:themeColor="text1" w:themeTint="F2"/>
          <w:spacing w:val="-2"/>
          <w:sz w:val="16"/>
          <w:szCs w:val="16"/>
        </w:rPr>
        <w:t>M</w:t>
      </w:r>
      <w:r w:rsidRPr="00CE71E4">
        <w:rPr>
          <w:rFonts w:cs="Arial"/>
          <w:color w:val="0D0D0D" w:themeColor="text1" w:themeTint="F2"/>
          <w:spacing w:val="-2"/>
          <w:sz w:val="16"/>
          <w:szCs w:val="16"/>
        </w:rPr>
        <w:t>eziroční tempa</w:t>
      </w:r>
      <w:r>
        <w:rPr>
          <w:rFonts w:cs="Arial"/>
          <w:color w:val="0D0D0D" w:themeColor="text1" w:themeTint="F2"/>
          <w:spacing w:val="-2"/>
          <w:sz w:val="16"/>
          <w:szCs w:val="16"/>
        </w:rPr>
        <w:t xml:space="preserve"> tržeb</w:t>
      </w:r>
      <w:r w:rsidRPr="00CE71E4">
        <w:rPr>
          <w:rFonts w:cs="Arial"/>
          <w:color w:val="0D0D0D" w:themeColor="text1" w:themeTint="F2"/>
          <w:spacing w:val="-2"/>
          <w:sz w:val="16"/>
          <w:szCs w:val="16"/>
        </w:rPr>
        <w:t xml:space="preserve"> jsou očištěna o kalendářní vli</w:t>
      </w:r>
      <w:r>
        <w:rPr>
          <w:rFonts w:cs="Arial"/>
          <w:color w:val="0D0D0D" w:themeColor="text1" w:themeTint="F2"/>
          <w:spacing w:val="-2"/>
          <w:sz w:val="16"/>
          <w:szCs w:val="16"/>
        </w:rPr>
        <w:t>vy, mezičtvrtletní</w:t>
      </w:r>
      <w:r w:rsidRPr="00CE71E4">
        <w:rPr>
          <w:rFonts w:cs="Arial"/>
          <w:color w:val="0D0D0D" w:themeColor="text1" w:themeTint="F2"/>
          <w:spacing w:val="-2"/>
          <w:sz w:val="16"/>
          <w:szCs w:val="16"/>
        </w:rPr>
        <w:t xml:space="preserve"> tempa pak také o vliv sezónnosti.</w:t>
      </w:r>
    </w:p>
  </w:footnote>
  <w:footnote w:id="15">
    <w:p w14:paraId="76297F6F" w14:textId="77777777" w:rsidR="00ED1959" w:rsidRPr="00BC724B" w:rsidRDefault="00ED1959" w:rsidP="00ED1959">
      <w:pPr>
        <w:pStyle w:val="Textpoznpodarou"/>
        <w:rPr>
          <w:sz w:val="16"/>
          <w:szCs w:val="16"/>
        </w:rPr>
      </w:pPr>
      <w:r w:rsidRPr="00BC724B">
        <w:rPr>
          <w:rStyle w:val="Znakapoznpodarou"/>
          <w:sz w:val="16"/>
          <w:szCs w:val="16"/>
        </w:rPr>
        <w:footnoteRef/>
      </w:r>
      <w:r w:rsidRPr="00BC724B">
        <w:rPr>
          <w:sz w:val="16"/>
          <w:szCs w:val="16"/>
        </w:rPr>
        <w:t xml:space="preserve"> Bylo to však zčásti ovlivněno méně příznivým vývojem zahraniční poptávky </w:t>
      </w:r>
      <w:r>
        <w:rPr>
          <w:sz w:val="16"/>
          <w:szCs w:val="16"/>
        </w:rPr>
        <w:t>v </w:t>
      </w:r>
      <w:r w:rsidRPr="00BC724B">
        <w:rPr>
          <w:sz w:val="16"/>
          <w:szCs w:val="16"/>
        </w:rPr>
        <w:t>období cyklického útlumu evropské ekonomiky na přelomu let 2019 a</w:t>
      </w:r>
      <w:r>
        <w:rPr>
          <w:sz w:val="16"/>
          <w:szCs w:val="16"/>
        </w:rPr>
        <w:t> </w:t>
      </w:r>
      <w:r w:rsidRPr="00BC724B">
        <w:rPr>
          <w:sz w:val="16"/>
          <w:szCs w:val="16"/>
        </w:rPr>
        <w:t>2020 a</w:t>
      </w:r>
      <w:r>
        <w:rPr>
          <w:sz w:val="16"/>
          <w:szCs w:val="16"/>
        </w:rPr>
        <w:t> </w:t>
      </w:r>
      <w:r w:rsidRPr="00BC724B">
        <w:rPr>
          <w:sz w:val="16"/>
          <w:szCs w:val="16"/>
        </w:rPr>
        <w:t>také během první pandemické vlny.</w:t>
      </w:r>
      <w:r>
        <w:rPr>
          <w:sz w:val="16"/>
          <w:szCs w:val="16"/>
        </w:rPr>
        <w:t xml:space="preserve"> </w:t>
      </w:r>
      <w:r w:rsidRPr="00BC724B">
        <w:rPr>
          <w:sz w:val="16"/>
          <w:szCs w:val="16"/>
        </w:rPr>
        <w:t>Ve dvouletém srovnání (s 2.</w:t>
      </w:r>
      <w:r>
        <w:rPr>
          <w:sz w:val="16"/>
          <w:szCs w:val="16"/>
        </w:rPr>
        <w:t> čtvrtlet</w:t>
      </w:r>
      <w:r w:rsidRPr="00BC724B">
        <w:rPr>
          <w:sz w:val="16"/>
          <w:szCs w:val="16"/>
        </w:rPr>
        <w:t>ím 2019) vzrostly v tuzemském průmyslu tržby z přímého vývozu o</w:t>
      </w:r>
      <w:r>
        <w:rPr>
          <w:sz w:val="16"/>
          <w:szCs w:val="16"/>
        </w:rPr>
        <w:t> </w:t>
      </w:r>
      <w:r w:rsidRPr="00BC724B">
        <w:rPr>
          <w:sz w:val="16"/>
          <w:szCs w:val="16"/>
        </w:rPr>
        <w:t>2,6</w:t>
      </w:r>
      <w:r>
        <w:rPr>
          <w:sz w:val="16"/>
          <w:szCs w:val="16"/>
        </w:rPr>
        <w:t> %</w:t>
      </w:r>
      <w:r w:rsidRPr="00BC724B">
        <w:rPr>
          <w:sz w:val="16"/>
          <w:szCs w:val="16"/>
        </w:rPr>
        <w:t>, domácí tržby o</w:t>
      </w:r>
      <w:r>
        <w:rPr>
          <w:sz w:val="16"/>
          <w:szCs w:val="16"/>
        </w:rPr>
        <w:t> </w:t>
      </w:r>
      <w:r w:rsidRPr="00BC724B">
        <w:rPr>
          <w:sz w:val="16"/>
          <w:szCs w:val="16"/>
        </w:rPr>
        <w:t>1,9</w:t>
      </w:r>
      <w:r>
        <w:rPr>
          <w:sz w:val="16"/>
          <w:szCs w:val="16"/>
        </w:rPr>
        <w:t> %</w:t>
      </w:r>
      <w:r w:rsidRPr="00BC724B">
        <w:rPr>
          <w:sz w:val="16"/>
          <w:szCs w:val="16"/>
        </w:rPr>
        <w:t>.</w:t>
      </w:r>
    </w:p>
  </w:footnote>
  <w:footnote w:id="16">
    <w:p w14:paraId="310AB87E" w14:textId="77777777" w:rsidR="00ED1959" w:rsidRPr="00FB58F4" w:rsidRDefault="00ED1959" w:rsidP="00ED1959">
      <w:pPr>
        <w:pStyle w:val="Textpoznpodarou"/>
        <w:jc w:val="both"/>
        <w:rPr>
          <w:rFonts w:cs="Arial"/>
          <w:color w:val="0D0D0D" w:themeColor="text1" w:themeTint="F2"/>
          <w:spacing w:val="-2"/>
          <w:sz w:val="16"/>
          <w:szCs w:val="16"/>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sidRPr="007A20EB">
        <w:rPr>
          <w:rFonts w:cs="Arial"/>
          <w:color w:val="0D0D0D" w:themeColor="text1" w:themeTint="F2"/>
          <w:sz w:val="16"/>
          <w:szCs w:val="16"/>
        </w:rPr>
        <w:t>Zjišťování zaká</w:t>
      </w:r>
      <w:r>
        <w:rPr>
          <w:rFonts w:cs="Arial"/>
          <w:color w:val="0D0D0D" w:themeColor="text1" w:themeTint="F2"/>
          <w:sz w:val="16"/>
          <w:szCs w:val="16"/>
        </w:rPr>
        <w:t xml:space="preserve">zek probíhá jen ve 12 zpracovatelských odvětvích </w:t>
      </w:r>
      <w:r w:rsidRPr="007A20EB">
        <w:rPr>
          <w:rFonts w:cs="Arial"/>
          <w:color w:val="0D0D0D" w:themeColor="text1" w:themeTint="F2"/>
          <w:sz w:val="16"/>
          <w:szCs w:val="16"/>
        </w:rPr>
        <w:t>vyrábějí</w:t>
      </w:r>
      <w:r>
        <w:rPr>
          <w:rFonts w:cs="Arial"/>
          <w:color w:val="0D0D0D" w:themeColor="text1" w:themeTint="F2"/>
          <w:sz w:val="16"/>
          <w:szCs w:val="16"/>
        </w:rPr>
        <w:t>cích</w:t>
      </w:r>
      <w:r w:rsidRPr="007A20EB">
        <w:rPr>
          <w:rFonts w:cs="Arial"/>
          <w:color w:val="0D0D0D" w:themeColor="text1" w:themeTint="F2"/>
          <w:sz w:val="16"/>
          <w:szCs w:val="16"/>
        </w:rPr>
        <w:t xml:space="preserve"> převážně na zakázku, s dlouhodobějším výrobním cyklem a s většími zásobami zakázek.</w:t>
      </w:r>
      <w:r>
        <w:rPr>
          <w:rFonts w:cs="Arial"/>
          <w:color w:val="0D0D0D" w:themeColor="text1" w:themeTint="F2"/>
          <w:sz w:val="16"/>
          <w:szCs w:val="16"/>
        </w:rPr>
        <w:t xml:space="preserve"> </w:t>
      </w:r>
      <w:r>
        <w:rPr>
          <w:rFonts w:cs="Arial"/>
          <w:color w:val="0D0D0D" w:themeColor="text1" w:themeTint="F2"/>
          <w:spacing w:val="-2"/>
          <w:sz w:val="16"/>
          <w:szCs w:val="16"/>
        </w:rPr>
        <w:t>M</w:t>
      </w:r>
      <w:r w:rsidRPr="00CE71E4">
        <w:rPr>
          <w:rFonts w:cs="Arial"/>
          <w:color w:val="0D0D0D" w:themeColor="text1" w:themeTint="F2"/>
          <w:spacing w:val="-2"/>
          <w:sz w:val="16"/>
          <w:szCs w:val="16"/>
        </w:rPr>
        <w:t>eziroční tempa</w:t>
      </w:r>
      <w:r>
        <w:rPr>
          <w:rFonts w:cs="Arial"/>
          <w:color w:val="0D0D0D" w:themeColor="text1" w:themeTint="F2"/>
          <w:spacing w:val="-2"/>
          <w:sz w:val="16"/>
          <w:szCs w:val="16"/>
        </w:rPr>
        <w:t xml:space="preserve"> zakázek</w:t>
      </w:r>
      <w:r w:rsidRPr="00CE71E4">
        <w:rPr>
          <w:rFonts w:cs="Arial"/>
          <w:color w:val="0D0D0D" w:themeColor="text1" w:themeTint="F2"/>
          <w:spacing w:val="-2"/>
          <w:sz w:val="16"/>
          <w:szCs w:val="16"/>
        </w:rPr>
        <w:t xml:space="preserve"> jsou očištěna o kalendářní vli</w:t>
      </w:r>
      <w:r>
        <w:rPr>
          <w:rFonts w:cs="Arial"/>
          <w:color w:val="0D0D0D" w:themeColor="text1" w:themeTint="F2"/>
          <w:spacing w:val="-2"/>
          <w:sz w:val="16"/>
          <w:szCs w:val="16"/>
        </w:rPr>
        <w:t>vy, mezičtvrtletní</w:t>
      </w:r>
      <w:r w:rsidRPr="00CE71E4">
        <w:rPr>
          <w:rFonts w:cs="Arial"/>
          <w:color w:val="0D0D0D" w:themeColor="text1" w:themeTint="F2"/>
          <w:spacing w:val="-2"/>
          <w:sz w:val="16"/>
          <w:szCs w:val="16"/>
        </w:rPr>
        <w:t xml:space="preserve"> </w:t>
      </w:r>
      <w:r>
        <w:rPr>
          <w:rFonts w:cs="Arial"/>
          <w:color w:val="0D0D0D" w:themeColor="text1" w:themeTint="F2"/>
          <w:spacing w:val="-2"/>
          <w:sz w:val="16"/>
          <w:szCs w:val="16"/>
        </w:rPr>
        <w:t>tempa</w:t>
      </w:r>
      <w:r w:rsidRPr="00CE71E4">
        <w:rPr>
          <w:rFonts w:cs="Arial"/>
          <w:color w:val="0D0D0D" w:themeColor="text1" w:themeTint="F2"/>
          <w:spacing w:val="-2"/>
          <w:sz w:val="16"/>
          <w:szCs w:val="16"/>
        </w:rPr>
        <w:t xml:space="preserve"> také o vliv sezónnosti.</w:t>
      </w:r>
    </w:p>
  </w:footnote>
  <w:footnote w:id="17">
    <w:p w14:paraId="0354744C" w14:textId="77777777" w:rsidR="00ED1959" w:rsidRPr="00263664" w:rsidRDefault="00ED1959" w:rsidP="00ED1959">
      <w:pPr>
        <w:pStyle w:val="Textpoznpodarou"/>
        <w:rPr>
          <w:sz w:val="16"/>
          <w:szCs w:val="16"/>
        </w:rPr>
      </w:pPr>
      <w:r w:rsidRPr="00263664">
        <w:rPr>
          <w:rStyle w:val="Znakapoznpodarou"/>
          <w:sz w:val="16"/>
          <w:szCs w:val="16"/>
        </w:rPr>
        <w:footnoteRef/>
      </w:r>
      <w:r w:rsidRPr="00263664">
        <w:rPr>
          <w:sz w:val="16"/>
          <w:szCs w:val="16"/>
        </w:rPr>
        <w:t xml:space="preserve"> Hodnotu zakázek z června 2019 převýšily o</w:t>
      </w:r>
      <w:r>
        <w:rPr>
          <w:sz w:val="16"/>
          <w:szCs w:val="16"/>
        </w:rPr>
        <w:t> </w:t>
      </w:r>
      <w:r w:rsidRPr="00263664">
        <w:rPr>
          <w:sz w:val="16"/>
          <w:szCs w:val="16"/>
        </w:rPr>
        <w:t>15</w:t>
      </w:r>
      <w:r>
        <w:rPr>
          <w:sz w:val="16"/>
          <w:szCs w:val="16"/>
        </w:rPr>
        <w:t> %</w:t>
      </w:r>
      <w:r w:rsidRPr="00263664">
        <w:rPr>
          <w:sz w:val="16"/>
          <w:szCs w:val="16"/>
        </w:rPr>
        <w:t>, v kladných hodnotách se držely</w:t>
      </w:r>
      <w:r>
        <w:rPr>
          <w:sz w:val="16"/>
          <w:szCs w:val="16"/>
        </w:rPr>
        <w:t xml:space="preserve"> i ve všech předchozích</w:t>
      </w:r>
      <w:r w:rsidRPr="00263664">
        <w:rPr>
          <w:sz w:val="16"/>
          <w:szCs w:val="16"/>
        </w:rPr>
        <w:t xml:space="preserve"> letošních měsících.</w:t>
      </w:r>
    </w:p>
  </w:footnote>
  <w:footnote w:id="18">
    <w:p w14:paraId="59FE35C4" w14:textId="77777777" w:rsidR="00ED1959" w:rsidRPr="000A1518" w:rsidRDefault="00ED1959" w:rsidP="00ED1959">
      <w:pPr>
        <w:pStyle w:val="Textpoznpodarou"/>
        <w:rPr>
          <w:sz w:val="16"/>
          <w:szCs w:val="16"/>
        </w:rPr>
      </w:pPr>
      <w:r w:rsidRPr="000A1518">
        <w:rPr>
          <w:rStyle w:val="Znakapoznpodarou"/>
          <w:sz w:val="16"/>
          <w:szCs w:val="16"/>
        </w:rPr>
        <w:footnoteRef/>
      </w:r>
      <w:r w:rsidRPr="000A1518">
        <w:rPr>
          <w:sz w:val="16"/>
          <w:szCs w:val="16"/>
        </w:rPr>
        <w:t xml:space="preserve"> P</w:t>
      </w:r>
      <w:r>
        <w:rPr>
          <w:sz w:val="16"/>
          <w:szCs w:val="16"/>
        </w:rPr>
        <w:t>odniky mohly uv</w:t>
      </w:r>
      <w:r w:rsidRPr="000A1518">
        <w:rPr>
          <w:sz w:val="16"/>
          <w:szCs w:val="16"/>
        </w:rPr>
        <w:t>ést více bariér současně.</w:t>
      </w:r>
    </w:p>
  </w:footnote>
  <w:footnote w:id="19">
    <w:p w14:paraId="086175DA" w14:textId="77777777" w:rsidR="00ED1959" w:rsidRPr="003F0F7D" w:rsidRDefault="00ED1959" w:rsidP="00ED1959">
      <w:pPr>
        <w:pStyle w:val="Textpoznpodarou"/>
        <w:rPr>
          <w:sz w:val="16"/>
          <w:szCs w:val="16"/>
        </w:rPr>
      </w:pPr>
      <w:r w:rsidRPr="003F0F7D">
        <w:rPr>
          <w:rStyle w:val="Znakapoznpodarou"/>
          <w:sz w:val="16"/>
          <w:szCs w:val="16"/>
        </w:rPr>
        <w:footnoteRef/>
      </w:r>
      <w:r w:rsidRPr="003F0F7D">
        <w:rPr>
          <w:sz w:val="16"/>
          <w:szCs w:val="16"/>
        </w:rPr>
        <w:t xml:space="preserve"> </w:t>
      </w:r>
      <w:r w:rsidRPr="003F0F7D">
        <w:rPr>
          <w:spacing w:val="-4"/>
          <w:sz w:val="16"/>
          <w:szCs w:val="16"/>
        </w:rPr>
        <w:t xml:space="preserve">Byť byl tento problém </w:t>
      </w:r>
      <w:r>
        <w:rPr>
          <w:spacing w:val="-4"/>
          <w:sz w:val="16"/>
          <w:szCs w:val="16"/>
        </w:rPr>
        <w:t xml:space="preserve">zdaleka </w:t>
      </w:r>
      <w:r w:rsidRPr="003F0F7D">
        <w:rPr>
          <w:spacing w:val="-4"/>
          <w:sz w:val="16"/>
          <w:szCs w:val="16"/>
        </w:rPr>
        <w:t>nejvíce patrný v automobilovém průmyslu</w:t>
      </w:r>
      <w:r>
        <w:rPr>
          <w:spacing w:val="-4"/>
          <w:sz w:val="16"/>
          <w:szCs w:val="16"/>
        </w:rPr>
        <w:t xml:space="preserve"> (96 %)</w:t>
      </w:r>
      <w:r w:rsidRPr="003F0F7D">
        <w:rPr>
          <w:spacing w:val="-4"/>
          <w:sz w:val="16"/>
          <w:szCs w:val="16"/>
        </w:rPr>
        <w:t xml:space="preserve"> a</w:t>
      </w:r>
      <w:r>
        <w:rPr>
          <w:spacing w:val="-4"/>
          <w:sz w:val="16"/>
          <w:szCs w:val="16"/>
        </w:rPr>
        <w:t> </w:t>
      </w:r>
      <w:r w:rsidRPr="003F0F7D">
        <w:rPr>
          <w:spacing w:val="-4"/>
          <w:sz w:val="16"/>
          <w:szCs w:val="16"/>
        </w:rPr>
        <w:t xml:space="preserve">navazujících oborech, nevyhýbal se ani kovovýrobě, </w:t>
      </w:r>
      <w:r>
        <w:rPr>
          <w:spacing w:val="-4"/>
          <w:sz w:val="16"/>
          <w:szCs w:val="16"/>
        </w:rPr>
        <w:t xml:space="preserve">hutnictví, strojírenství, elektrotechnice </w:t>
      </w:r>
      <w:r w:rsidRPr="003F0F7D">
        <w:rPr>
          <w:spacing w:val="-4"/>
          <w:sz w:val="16"/>
          <w:szCs w:val="16"/>
        </w:rPr>
        <w:t>či chemickému průmyslu.</w:t>
      </w:r>
    </w:p>
  </w:footnote>
  <w:footnote w:id="20">
    <w:p w14:paraId="1DF2E7EA" w14:textId="77777777" w:rsidR="00ED1959" w:rsidRPr="00DE17ED" w:rsidRDefault="00ED1959" w:rsidP="00ED1959">
      <w:pPr>
        <w:pStyle w:val="Textpoznpodarou"/>
        <w:rPr>
          <w:sz w:val="16"/>
          <w:szCs w:val="16"/>
        </w:rPr>
      </w:pPr>
      <w:r w:rsidRPr="00DE17ED">
        <w:rPr>
          <w:rStyle w:val="Znakapoznpodarou"/>
          <w:sz w:val="16"/>
          <w:szCs w:val="16"/>
        </w:rPr>
        <w:footnoteRef/>
      </w:r>
      <w:r w:rsidRPr="00DE17ED">
        <w:rPr>
          <w:sz w:val="16"/>
          <w:szCs w:val="16"/>
        </w:rPr>
        <w:t xml:space="preserve"> V některých vesměs menších oborech ale </w:t>
      </w:r>
      <w:r>
        <w:rPr>
          <w:sz w:val="16"/>
          <w:szCs w:val="16"/>
        </w:rPr>
        <w:t xml:space="preserve">slabá poptávka </w:t>
      </w:r>
      <w:r w:rsidRPr="00DE17ED">
        <w:rPr>
          <w:sz w:val="16"/>
          <w:szCs w:val="16"/>
        </w:rPr>
        <w:t xml:space="preserve">stále představovala nejvýznamnější limitující faktor rozvoje. </w:t>
      </w:r>
      <w:r>
        <w:rPr>
          <w:sz w:val="16"/>
          <w:szCs w:val="16"/>
        </w:rPr>
        <w:t>Jednalo se</w:t>
      </w:r>
      <w:r w:rsidRPr="00DE17ED">
        <w:rPr>
          <w:sz w:val="16"/>
          <w:szCs w:val="16"/>
        </w:rPr>
        <w:t xml:space="preserve"> </w:t>
      </w:r>
      <w:r>
        <w:rPr>
          <w:sz w:val="16"/>
          <w:szCs w:val="16"/>
        </w:rPr>
        <w:t>o</w:t>
      </w:r>
      <w:r w:rsidRPr="00263664">
        <w:rPr>
          <w:sz w:val="16"/>
          <w:szCs w:val="16"/>
        </w:rPr>
        <w:t> </w:t>
      </w:r>
      <w:r w:rsidRPr="00DE17ED">
        <w:rPr>
          <w:sz w:val="16"/>
          <w:szCs w:val="16"/>
        </w:rPr>
        <w:t>oděvnictví (90</w:t>
      </w:r>
      <w:r>
        <w:rPr>
          <w:sz w:val="16"/>
          <w:szCs w:val="16"/>
        </w:rPr>
        <w:t> %</w:t>
      </w:r>
      <w:r w:rsidRPr="00DE17ED">
        <w:rPr>
          <w:sz w:val="16"/>
          <w:szCs w:val="16"/>
        </w:rPr>
        <w:t>), výrobu nápojů (79</w:t>
      </w:r>
      <w:r>
        <w:rPr>
          <w:sz w:val="16"/>
          <w:szCs w:val="16"/>
        </w:rPr>
        <w:t> %</w:t>
      </w:r>
      <w:r w:rsidRPr="00DE17ED">
        <w:rPr>
          <w:sz w:val="16"/>
          <w:szCs w:val="16"/>
        </w:rPr>
        <w:t>), kožedělný průmysl (68</w:t>
      </w:r>
      <w:r>
        <w:rPr>
          <w:sz w:val="16"/>
          <w:szCs w:val="16"/>
        </w:rPr>
        <w:t> %</w:t>
      </w:r>
      <w:r w:rsidRPr="00DE17ED">
        <w:rPr>
          <w:sz w:val="16"/>
          <w:szCs w:val="16"/>
        </w:rPr>
        <w:t>), textilní a</w:t>
      </w:r>
      <w:r>
        <w:rPr>
          <w:sz w:val="16"/>
          <w:szCs w:val="16"/>
        </w:rPr>
        <w:t> </w:t>
      </w:r>
      <w:r w:rsidRPr="00DE17ED">
        <w:rPr>
          <w:sz w:val="16"/>
          <w:szCs w:val="16"/>
        </w:rPr>
        <w:t>tiskárenský průmysl (shodně 57</w:t>
      </w:r>
      <w:r>
        <w:rPr>
          <w:sz w:val="16"/>
          <w:szCs w:val="16"/>
        </w:rPr>
        <w:t> %</w:t>
      </w:r>
      <w:r w:rsidRPr="00DE17ED">
        <w:rPr>
          <w:sz w:val="16"/>
          <w:szCs w:val="16"/>
        </w:rPr>
        <w:t xml:space="preserve">), </w:t>
      </w:r>
      <w:r>
        <w:rPr>
          <w:sz w:val="16"/>
          <w:szCs w:val="16"/>
        </w:rPr>
        <w:t>výrobu</w:t>
      </w:r>
      <w:r w:rsidRPr="00DE17ED">
        <w:rPr>
          <w:sz w:val="16"/>
          <w:szCs w:val="16"/>
        </w:rPr>
        <w:t xml:space="preserve"> stavebních materiálů (53</w:t>
      </w:r>
      <w:r>
        <w:rPr>
          <w:sz w:val="16"/>
          <w:szCs w:val="16"/>
        </w:rPr>
        <w:t> %</w:t>
      </w:r>
      <w:r w:rsidRPr="00DE17ED">
        <w:rPr>
          <w:sz w:val="16"/>
          <w:szCs w:val="16"/>
        </w:rPr>
        <w:t>), farmacii (52</w:t>
      </w:r>
      <w:r>
        <w:rPr>
          <w:sz w:val="16"/>
          <w:szCs w:val="16"/>
        </w:rPr>
        <w:t> %</w:t>
      </w:r>
      <w:r w:rsidRPr="00DE17ED">
        <w:rPr>
          <w:sz w:val="16"/>
          <w:szCs w:val="16"/>
        </w:rPr>
        <w:t xml:space="preserve">), </w:t>
      </w:r>
      <w:r>
        <w:rPr>
          <w:sz w:val="16"/>
          <w:szCs w:val="16"/>
        </w:rPr>
        <w:t>výrobu počítačů, elektronických a optických přístrojů</w:t>
      </w:r>
      <w:r w:rsidRPr="00DE17ED">
        <w:rPr>
          <w:sz w:val="16"/>
          <w:szCs w:val="16"/>
        </w:rPr>
        <w:t xml:space="preserve"> (51</w:t>
      </w:r>
      <w:r>
        <w:rPr>
          <w:sz w:val="16"/>
          <w:szCs w:val="16"/>
        </w:rPr>
        <w:t> %</w:t>
      </w:r>
      <w:r w:rsidRPr="00DE17ED">
        <w:rPr>
          <w:sz w:val="16"/>
          <w:szCs w:val="16"/>
        </w:rPr>
        <w:t>) a</w:t>
      </w:r>
      <w:r>
        <w:rPr>
          <w:sz w:val="16"/>
          <w:szCs w:val="16"/>
        </w:rPr>
        <w:t> </w:t>
      </w:r>
      <w:r w:rsidRPr="00DE17ED">
        <w:rPr>
          <w:sz w:val="16"/>
          <w:szCs w:val="16"/>
        </w:rPr>
        <w:t>potravinářství (42</w:t>
      </w:r>
      <w:r>
        <w:rPr>
          <w:sz w:val="16"/>
          <w:szCs w:val="16"/>
        </w:rPr>
        <w:t> %</w:t>
      </w:r>
      <w:r w:rsidRPr="00DE17ED">
        <w:rPr>
          <w:sz w:val="16"/>
          <w:szCs w:val="16"/>
        </w:rPr>
        <w:t>).</w:t>
      </w:r>
    </w:p>
  </w:footnote>
  <w:footnote w:id="21">
    <w:p w14:paraId="0AB7CCEF" w14:textId="77777777" w:rsidR="00ED1959" w:rsidRPr="007A0D91" w:rsidRDefault="00ED1959" w:rsidP="00ED1959">
      <w:pPr>
        <w:pStyle w:val="Textpoznpodarou"/>
        <w:rPr>
          <w:sz w:val="16"/>
          <w:szCs w:val="16"/>
        </w:rPr>
      </w:pPr>
      <w:r w:rsidRPr="007A0D91">
        <w:rPr>
          <w:rStyle w:val="Znakapoznpodarou"/>
          <w:sz w:val="16"/>
          <w:szCs w:val="16"/>
        </w:rPr>
        <w:footnoteRef/>
      </w:r>
      <w:r w:rsidRPr="007A0D91">
        <w:rPr>
          <w:sz w:val="16"/>
          <w:szCs w:val="16"/>
        </w:rPr>
        <w:t xml:space="preserve"> Konkrétně v gumárenství a</w:t>
      </w:r>
      <w:r>
        <w:rPr>
          <w:sz w:val="16"/>
          <w:szCs w:val="16"/>
        </w:rPr>
        <w:t> </w:t>
      </w:r>
      <w:r w:rsidRPr="007A0D91">
        <w:rPr>
          <w:sz w:val="16"/>
          <w:szCs w:val="16"/>
        </w:rPr>
        <w:t>plastikářství (64</w:t>
      </w:r>
      <w:r>
        <w:rPr>
          <w:sz w:val="16"/>
          <w:szCs w:val="16"/>
        </w:rPr>
        <w:t> %</w:t>
      </w:r>
      <w:r w:rsidRPr="007A0D91">
        <w:rPr>
          <w:sz w:val="16"/>
          <w:szCs w:val="16"/>
        </w:rPr>
        <w:t xml:space="preserve">), </w:t>
      </w:r>
      <w:r>
        <w:rPr>
          <w:sz w:val="16"/>
          <w:szCs w:val="16"/>
        </w:rPr>
        <w:t xml:space="preserve">výrobě ostatních dopravních prostředků (61 %), elektrotechnice (53 %), opravách strojů a zařízení (47 %), strojírenství i kovovýrobě (shodně 40 %), </w:t>
      </w:r>
      <w:r w:rsidRPr="007A0D91">
        <w:rPr>
          <w:sz w:val="16"/>
          <w:szCs w:val="16"/>
        </w:rPr>
        <w:t>papírenském průmyslu (31</w:t>
      </w:r>
      <w:r>
        <w:rPr>
          <w:sz w:val="16"/>
          <w:szCs w:val="16"/>
        </w:rPr>
        <w:t> %) a ostatním průmyslu (30 %).</w:t>
      </w:r>
    </w:p>
  </w:footnote>
  <w:footnote w:id="22">
    <w:p w14:paraId="483DA6E5" w14:textId="77777777" w:rsidR="00ED1959" w:rsidRPr="00C94BE8" w:rsidRDefault="00ED1959" w:rsidP="00ED1959">
      <w:pPr>
        <w:pStyle w:val="Textpoznpodarou"/>
        <w:jc w:val="both"/>
        <w:rPr>
          <w:spacing w:val="-2"/>
          <w:sz w:val="16"/>
          <w:szCs w:val="16"/>
        </w:rPr>
      </w:pPr>
      <w:r w:rsidRPr="00C94BE8">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Ú</w:t>
      </w:r>
      <w:r w:rsidRPr="00C94BE8">
        <w:rPr>
          <w:rFonts w:cs="Arial"/>
          <w:color w:val="0D0D0D" w:themeColor="text1" w:themeTint="F2"/>
          <w:spacing w:val="-2"/>
          <w:sz w:val="16"/>
          <w:szCs w:val="16"/>
        </w:rPr>
        <w:t xml:space="preserve">daje o stavební produkci </w:t>
      </w:r>
      <w:r>
        <w:rPr>
          <w:rFonts w:cs="Arial"/>
          <w:color w:val="0D0D0D" w:themeColor="text1" w:themeTint="F2"/>
          <w:spacing w:val="-2"/>
          <w:sz w:val="16"/>
          <w:szCs w:val="16"/>
        </w:rPr>
        <w:t xml:space="preserve">jsou ve stálých cenách, meziroční tempa </w:t>
      </w:r>
      <w:r w:rsidRPr="00C94BE8">
        <w:rPr>
          <w:rFonts w:cs="Arial"/>
          <w:color w:val="0D0D0D" w:themeColor="text1" w:themeTint="F2"/>
          <w:spacing w:val="-2"/>
          <w:sz w:val="16"/>
          <w:szCs w:val="16"/>
        </w:rPr>
        <w:t>jsou očištěn</w:t>
      </w:r>
      <w:r>
        <w:rPr>
          <w:rFonts w:cs="Arial"/>
          <w:color w:val="0D0D0D" w:themeColor="text1" w:themeTint="F2"/>
          <w:spacing w:val="-2"/>
          <w:sz w:val="16"/>
          <w:szCs w:val="16"/>
        </w:rPr>
        <w:t>a</w:t>
      </w:r>
      <w:r w:rsidRPr="00C94BE8">
        <w:rPr>
          <w:rFonts w:cs="Arial"/>
          <w:color w:val="0D0D0D" w:themeColor="text1" w:themeTint="F2"/>
          <w:spacing w:val="-2"/>
          <w:sz w:val="16"/>
          <w:szCs w:val="16"/>
        </w:rPr>
        <w:t xml:space="preserve"> o kalendá</w:t>
      </w:r>
      <w:r>
        <w:rPr>
          <w:rFonts w:cs="Arial"/>
          <w:color w:val="0D0D0D" w:themeColor="text1" w:themeTint="F2"/>
          <w:spacing w:val="-2"/>
          <w:sz w:val="16"/>
          <w:szCs w:val="16"/>
        </w:rPr>
        <w:t>řní vlivy, mezičtvrtletní též</w:t>
      </w:r>
      <w:r w:rsidRPr="00C94BE8">
        <w:rPr>
          <w:rFonts w:cs="Arial"/>
          <w:color w:val="0D0D0D" w:themeColor="text1" w:themeTint="F2"/>
          <w:spacing w:val="-2"/>
          <w:sz w:val="16"/>
          <w:szCs w:val="16"/>
        </w:rPr>
        <w:t xml:space="preserve"> o vliv sezónnosti.</w:t>
      </w:r>
    </w:p>
  </w:footnote>
  <w:footnote w:id="23">
    <w:p w14:paraId="00387045" w14:textId="77777777" w:rsidR="00ED1959" w:rsidRPr="0042470E" w:rsidRDefault="00ED1959" w:rsidP="00ED1959">
      <w:pPr>
        <w:pStyle w:val="Textpoznpodarou"/>
        <w:rPr>
          <w:sz w:val="16"/>
          <w:szCs w:val="16"/>
        </w:rPr>
      </w:pPr>
      <w:r w:rsidRPr="0042470E">
        <w:rPr>
          <w:rStyle w:val="Znakapoznpodarou"/>
          <w:sz w:val="16"/>
          <w:szCs w:val="16"/>
        </w:rPr>
        <w:footnoteRef/>
      </w:r>
      <w:r w:rsidRPr="0042470E">
        <w:rPr>
          <w:sz w:val="16"/>
          <w:szCs w:val="16"/>
        </w:rPr>
        <w:t xml:space="preserve"> Poněkud rozpačitý letošní vývoj stavebnictví podpořily i</w:t>
      </w:r>
      <w:r>
        <w:rPr>
          <w:sz w:val="16"/>
          <w:szCs w:val="16"/>
        </w:rPr>
        <w:t> </w:t>
      </w:r>
      <w:r w:rsidRPr="0042470E">
        <w:rPr>
          <w:sz w:val="16"/>
          <w:szCs w:val="16"/>
        </w:rPr>
        <w:t>aktuální červencové údaje. Dle nich stavební produkce meziměsíčně klesla o</w:t>
      </w:r>
      <w:r>
        <w:rPr>
          <w:sz w:val="16"/>
          <w:szCs w:val="16"/>
        </w:rPr>
        <w:t> </w:t>
      </w:r>
      <w:r w:rsidRPr="0042470E">
        <w:rPr>
          <w:sz w:val="16"/>
          <w:szCs w:val="16"/>
        </w:rPr>
        <w:t>2,6</w:t>
      </w:r>
      <w:r>
        <w:rPr>
          <w:sz w:val="16"/>
          <w:szCs w:val="16"/>
        </w:rPr>
        <w:t> %</w:t>
      </w:r>
      <w:r w:rsidRPr="0042470E">
        <w:rPr>
          <w:sz w:val="16"/>
          <w:szCs w:val="16"/>
        </w:rPr>
        <w:t xml:space="preserve"> (při nižším výkonu v obou jeho hlavních segmentech). </w:t>
      </w:r>
      <w:r>
        <w:rPr>
          <w:sz w:val="16"/>
          <w:szCs w:val="16"/>
        </w:rPr>
        <w:t>Ve srovnání s nižší loňskou základnou stavebnictví pouze stagnovalo a oproti 2. čtvrtletí 2019 byla jeho produkce nižší o celou desetinu.</w:t>
      </w:r>
    </w:p>
  </w:footnote>
  <w:footnote w:id="24">
    <w:p w14:paraId="1037A8B6" w14:textId="77777777" w:rsidR="00ED1959" w:rsidRPr="00DE38E6" w:rsidRDefault="00ED1959" w:rsidP="00ED1959">
      <w:pPr>
        <w:spacing w:after="0" w:line="240" w:lineRule="auto"/>
      </w:pPr>
      <w:r w:rsidRPr="004A26AF">
        <w:rPr>
          <w:rStyle w:val="Znakapoznpodarou"/>
          <w:color w:val="0D0D0D" w:themeColor="text1" w:themeTint="F2"/>
          <w:sz w:val="16"/>
          <w:szCs w:val="16"/>
        </w:rPr>
        <w:footnoteRef/>
      </w:r>
      <w:r>
        <w:rPr>
          <w:color w:val="0D0D0D" w:themeColor="text1" w:themeTint="F2"/>
          <w:sz w:val="16"/>
          <w:szCs w:val="16"/>
        </w:rPr>
        <w:t xml:space="preserve"> </w:t>
      </w:r>
      <w:r w:rsidRPr="004A26AF">
        <w:rPr>
          <w:color w:val="0D0D0D" w:themeColor="text1" w:themeTint="F2"/>
          <w:sz w:val="16"/>
          <w:szCs w:val="16"/>
        </w:rPr>
        <w:t>Bez obchodu, peněžnictví, poji</w:t>
      </w:r>
      <w:r>
        <w:rPr>
          <w:color w:val="0D0D0D" w:themeColor="text1" w:themeTint="F2"/>
          <w:sz w:val="16"/>
          <w:szCs w:val="16"/>
        </w:rPr>
        <w:t>šťovnictví, vědy, výzkumu a veřejných</w:t>
      </w:r>
      <w:r w:rsidRPr="004A26AF">
        <w:rPr>
          <w:color w:val="0D0D0D" w:themeColor="text1" w:themeTint="F2"/>
          <w:sz w:val="16"/>
          <w:szCs w:val="16"/>
        </w:rPr>
        <w:t xml:space="preserve"> služeb. Všechny údaje za služby jsou </w:t>
      </w:r>
      <w:r>
        <w:rPr>
          <w:color w:val="0D0D0D" w:themeColor="text1" w:themeTint="F2"/>
          <w:sz w:val="16"/>
          <w:szCs w:val="16"/>
        </w:rPr>
        <w:t xml:space="preserve">ve stálých cenách, meziroční údaje jsou </w:t>
      </w:r>
      <w:r w:rsidRPr="004A26AF">
        <w:rPr>
          <w:color w:val="0D0D0D" w:themeColor="text1" w:themeTint="F2"/>
          <w:sz w:val="16"/>
          <w:szCs w:val="16"/>
        </w:rPr>
        <w:t>očištěny o</w:t>
      </w:r>
      <w:r>
        <w:rPr>
          <w:color w:val="0D0D0D" w:themeColor="text1" w:themeTint="F2"/>
          <w:sz w:val="16"/>
          <w:szCs w:val="16"/>
        </w:rPr>
        <w:t> </w:t>
      </w:r>
      <w:r w:rsidRPr="004A26AF">
        <w:rPr>
          <w:color w:val="0D0D0D" w:themeColor="text1" w:themeTint="F2"/>
          <w:sz w:val="16"/>
          <w:szCs w:val="16"/>
        </w:rPr>
        <w:t>kal</w:t>
      </w:r>
      <w:r>
        <w:rPr>
          <w:color w:val="0D0D0D" w:themeColor="text1" w:themeTint="F2"/>
          <w:sz w:val="16"/>
          <w:szCs w:val="16"/>
        </w:rPr>
        <w:t>endářní vlivy, mezičtvrtletní i meziměsíční jsou očištěny o sezónní vlivy (včetně vlivu počtu pracovních dnů)</w:t>
      </w:r>
      <w:r w:rsidRPr="004A26AF">
        <w:rPr>
          <w:color w:val="0D0D0D" w:themeColor="text1" w:themeTint="F2"/>
          <w:sz w:val="16"/>
          <w:szCs w:val="16"/>
        </w:rPr>
        <w:t>.</w:t>
      </w:r>
    </w:p>
  </w:footnote>
  <w:footnote w:id="25">
    <w:p w14:paraId="425016F3" w14:textId="77777777" w:rsidR="00ED1959" w:rsidRPr="00C02D23" w:rsidRDefault="00ED1959" w:rsidP="00ED1959">
      <w:pPr>
        <w:pStyle w:val="Textpoznpodarou"/>
        <w:rPr>
          <w:sz w:val="16"/>
          <w:szCs w:val="16"/>
        </w:rPr>
      </w:pPr>
      <w:r w:rsidRPr="00C02D23">
        <w:rPr>
          <w:rStyle w:val="Znakapoznpodarou"/>
          <w:sz w:val="16"/>
          <w:szCs w:val="16"/>
        </w:rPr>
        <w:footnoteRef/>
      </w:r>
      <w:r w:rsidRPr="00C02D23">
        <w:rPr>
          <w:sz w:val="16"/>
          <w:szCs w:val="16"/>
        </w:rPr>
        <w:t xml:space="preserve"> Počet přenocování tuzemských hostů v hromadných ubytovacích zařízeních v ČR propadl ve výše uvedeném dvouletém období </w:t>
      </w:r>
      <w:r>
        <w:rPr>
          <w:sz w:val="16"/>
          <w:szCs w:val="16"/>
        </w:rPr>
        <w:t>o</w:t>
      </w:r>
      <w:r>
        <w:rPr>
          <w:color w:val="0D0D0D" w:themeColor="text1" w:themeTint="F2"/>
          <w:sz w:val="16"/>
          <w:szCs w:val="16"/>
        </w:rPr>
        <w:t> </w:t>
      </w:r>
      <w:r>
        <w:rPr>
          <w:sz w:val="16"/>
          <w:szCs w:val="16"/>
        </w:rPr>
        <w:t>47</w:t>
      </w:r>
      <w:r>
        <w:rPr>
          <w:color w:val="0D0D0D" w:themeColor="text1" w:themeTint="F2"/>
          <w:sz w:val="16"/>
          <w:szCs w:val="16"/>
        </w:rPr>
        <w:t> </w:t>
      </w:r>
      <w:r w:rsidRPr="00C02D23">
        <w:rPr>
          <w:sz w:val="16"/>
          <w:szCs w:val="16"/>
        </w:rPr>
        <w:t>%, u</w:t>
      </w:r>
      <w:r>
        <w:rPr>
          <w:sz w:val="16"/>
          <w:szCs w:val="16"/>
        </w:rPr>
        <w:t> </w:t>
      </w:r>
      <w:r w:rsidRPr="00C02D23">
        <w:rPr>
          <w:sz w:val="16"/>
          <w:szCs w:val="16"/>
        </w:rPr>
        <w:t>zahraničních hostů dokonce o</w:t>
      </w:r>
      <w:r>
        <w:rPr>
          <w:sz w:val="16"/>
          <w:szCs w:val="16"/>
        </w:rPr>
        <w:t> </w:t>
      </w:r>
      <w:r w:rsidRPr="00C02D23">
        <w:rPr>
          <w:sz w:val="16"/>
          <w:szCs w:val="16"/>
        </w:rPr>
        <w:t>92</w:t>
      </w:r>
      <w:r>
        <w:rPr>
          <w:sz w:val="16"/>
          <w:szCs w:val="16"/>
        </w:rPr>
        <w:t> %</w:t>
      </w:r>
      <w:r w:rsidRPr="00C02D23">
        <w:rPr>
          <w:sz w:val="16"/>
          <w:szCs w:val="16"/>
        </w:rPr>
        <w:t>.</w:t>
      </w:r>
    </w:p>
  </w:footnote>
  <w:footnote w:id="26">
    <w:p w14:paraId="06D33FBE" w14:textId="26B1F199" w:rsidR="00BF35C9" w:rsidRPr="00BF35C9" w:rsidRDefault="00BF35C9">
      <w:pPr>
        <w:pStyle w:val="Textpoznpodarou"/>
        <w:rPr>
          <w:sz w:val="16"/>
          <w:szCs w:val="16"/>
        </w:rPr>
      </w:pPr>
      <w:r w:rsidRPr="00BF35C9">
        <w:rPr>
          <w:rStyle w:val="Znakapoznpodarou"/>
          <w:sz w:val="16"/>
          <w:szCs w:val="16"/>
        </w:rPr>
        <w:footnoteRef/>
      </w:r>
      <w:r w:rsidRPr="00BF35C9">
        <w:rPr>
          <w:sz w:val="16"/>
          <w:szCs w:val="16"/>
        </w:rPr>
        <w:t xml:space="preserve"> Údaje za tento oddíl služeb nejsou sezónně očištěny.</w:t>
      </w:r>
    </w:p>
  </w:footnote>
  <w:footnote w:id="27">
    <w:p w14:paraId="158D3F67" w14:textId="5B2B232D" w:rsidR="00ED1959" w:rsidRPr="000305E0" w:rsidRDefault="00ED1959" w:rsidP="00ED1959">
      <w:pPr>
        <w:pStyle w:val="Textpoznpodarou"/>
        <w:rPr>
          <w:sz w:val="16"/>
          <w:szCs w:val="16"/>
        </w:rPr>
      </w:pPr>
      <w:r w:rsidRPr="000305E0">
        <w:rPr>
          <w:rStyle w:val="Znakapoznpodarou"/>
          <w:sz w:val="16"/>
          <w:szCs w:val="16"/>
        </w:rPr>
        <w:footnoteRef/>
      </w:r>
      <w:r w:rsidRPr="000305E0">
        <w:rPr>
          <w:sz w:val="16"/>
          <w:szCs w:val="16"/>
        </w:rPr>
        <w:t xml:space="preserve"> V 1</w:t>
      </w:r>
      <w:r>
        <w:rPr>
          <w:sz w:val="16"/>
          <w:szCs w:val="16"/>
        </w:rPr>
        <w:t>. </w:t>
      </w:r>
      <w:r w:rsidRPr="000305E0">
        <w:rPr>
          <w:sz w:val="16"/>
          <w:szCs w:val="16"/>
        </w:rPr>
        <w:t>letošním pololetí zavítalo do tuzemských kin pouze 464</w:t>
      </w:r>
      <w:r>
        <w:rPr>
          <w:sz w:val="16"/>
          <w:szCs w:val="16"/>
        </w:rPr>
        <w:t> tis.</w:t>
      </w:r>
      <w:r w:rsidRPr="000305E0">
        <w:rPr>
          <w:sz w:val="16"/>
          <w:szCs w:val="16"/>
        </w:rPr>
        <w:t xml:space="preserve"> návšt</w:t>
      </w:r>
      <w:r>
        <w:rPr>
          <w:sz w:val="16"/>
          <w:szCs w:val="16"/>
        </w:rPr>
        <w:t>ěvníků</w:t>
      </w:r>
      <w:r w:rsidRPr="000305E0">
        <w:rPr>
          <w:sz w:val="16"/>
          <w:szCs w:val="16"/>
        </w:rPr>
        <w:t xml:space="preserve"> (s</w:t>
      </w:r>
      <w:r>
        <w:rPr>
          <w:sz w:val="16"/>
          <w:szCs w:val="16"/>
        </w:rPr>
        <w:t> </w:t>
      </w:r>
      <w:r w:rsidRPr="000305E0">
        <w:rPr>
          <w:sz w:val="16"/>
          <w:szCs w:val="16"/>
        </w:rPr>
        <w:t>výjimkou června byla činnost kin prakticky paralyzována)</w:t>
      </w:r>
      <w:r>
        <w:rPr>
          <w:sz w:val="16"/>
          <w:szCs w:val="16"/>
        </w:rPr>
        <w:t>, o rok dříve 3,8 mil. (kina byla uzavřena mezi 13. březnem a 10. květnem), a v první půli n</w:t>
      </w:r>
      <w:r w:rsidR="00BF35C9">
        <w:rPr>
          <w:sz w:val="16"/>
          <w:szCs w:val="16"/>
        </w:rPr>
        <w:t>ávštěvnicky rekordního roku 2019</w:t>
      </w:r>
      <w:r>
        <w:rPr>
          <w:sz w:val="16"/>
          <w:szCs w:val="16"/>
        </w:rPr>
        <w:t xml:space="preserve"> dokonce 8,8 mil. osob.</w:t>
      </w:r>
    </w:p>
  </w:footnote>
  <w:footnote w:id="28">
    <w:p w14:paraId="66C61746" w14:textId="77777777" w:rsidR="00ED1959" w:rsidRPr="00C75B60" w:rsidRDefault="00ED1959" w:rsidP="00ED1959">
      <w:pPr>
        <w:pStyle w:val="Textpoznpodarou"/>
        <w:rPr>
          <w:sz w:val="16"/>
          <w:szCs w:val="16"/>
        </w:rPr>
      </w:pPr>
      <w:r w:rsidRPr="00C75B60">
        <w:rPr>
          <w:rStyle w:val="Znakapoznpodarou"/>
          <w:sz w:val="16"/>
          <w:szCs w:val="16"/>
        </w:rPr>
        <w:footnoteRef/>
      </w:r>
      <w:r w:rsidRPr="00C75B60">
        <w:rPr>
          <w:sz w:val="16"/>
          <w:szCs w:val="16"/>
        </w:rPr>
        <w:t xml:space="preserve"> </w:t>
      </w:r>
      <w:r w:rsidRPr="00C75B60">
        <w:rPr>
          <w:rFonts w:cs="Arial"/>
          <w:color w:val="0D0D0D" w:themeColor="text1" w:themeTint="F2"/>
          <w:spacing w:val="-4"/>
          <w:sz w:val="16"/>
          <w:szCs w:val="16"/>
        </w:rPr>
        <w:t>Vedle vlivu rozvolňování působil na nákup</w:t>
      </w:r>
      <w:r>
        <w:rPr>
          <w:rFonts w:cs="Arial"/>
          <w:color w:val="0D0D0D" w:themeColor="text1" w:themeTint="F2"/>
          <w:spacing w:val="-4"/>
          <w:sz w:val="16"/>
          <w:szCs w:val="16"/>
        </w:rPr>
        <w:t>ní</w:t>
      </w:r>
      <w:r w:rsidRPr="00C75B60">
        <w:rPr>
          <w:rFonts w:cs="Arial"/>
          <w:color w:val="0D0D0D" w:themeColor="text1" w:themeTint="F2"/>
          <w:spacing w:val="-4"/>
          <w:sz w:val="16"/>
          <w:szCs w:val="16"/>
        </w:rPr>
        <w:t xml:space="preserve"> apetit lidí </w:t>
      </w:r>
      <w:r>
        <w:rPr>
          <w:rFonts w:cs="Arial"/>
          <w:color w:val="0D0D0D" w:themeColor="text1" w:themeTint="F2"/>
          <w:spacing w:val="-4"/>
          <w:sz w:val="16"/>
          <w:szCs w:val="16"/>
        </w:rPr>
        <w:t>i solidní růst objemu</w:t>
      </w:r>
      <w:r w:rsidRPr="00C75B60">
        <w:rPr>
          <w:rFonts w:cs="Arial"/>
          <w:color w:val="0D0D0D" w:themeColor="text1" w:themeTint="F2"/>
          <w:spacing w:val="-4"/>
          <w:sz w:val="16"/>
          <w:szCs w:val="16"/>
        </w:rPr>
        <w:t xml:space="preserve"> vyplacených mezd v ekonomice a</w:t>
      </w:r>
      <w:r>
        <w:rPr>
          <w:rFonts w:cs="Arial"/>
          <w:color w:val="0D0D0D" w:themeColor="text1" w:themeTint="F2"/>
          <w:spacing w:val="-4"/>
          <w:sz w:val="16"/>
          <w:szCs w:val="16"/>
        </w:rPr>
        <w:t> s </w:t>
      </w:r>
      <w:r w:rsidRPr="00C75B60">
        <w:rPr>
          <w:rFonts w:cs="Arial"/>
          <w:color w:val="0D0D0D" w:themeColor="text1" w:themeTint="F2"/>
          <w:spacing w:val="-4"/>
          <w:sz w:val="16"/>
          <w:szCs w:val="16"/>
        </w:rPr>
        <w:t>tím související vyšší koupěschopnost domácností (podpořená i</w:t>
      </w:r>
      <w:r>
        <w:rPr>
          <w:rFonts w:cs="Arial"/>
          <w:color w:val="0D0D0D" w:themeColor="text1" w:themeTint="F2"/>
          <w:spacing w:val="-4"/>
          <w:sz w:val="16"/>
          <w:szCs w:val="16"/>
        </w:rPr>
        <w:t> </w:t>
      </w:r>
      <w:r w:rsidRPr="00C75B60">
        <w:rPr>
          <w:rFonts w:cs="Arial"/>
          <w:color w:val="0D0D0D" w:themeColor="text1" w:themeTint="F2"/>
          <w:spacing w:val="-4"/>
          <w:sz w:val="16"/>
          <w:szCs w:val="16"/>
        </w:rPr>
        <w:t>nižším zdaněním</w:t>
      </w:r>
      <w:r>
        <w:rPr>
          <w:rFonts w:cs="Arial"/>
          <w:color w:val="0D0D0D" w:themeColor="text1" w:themeTint="F2"/>
          <w:spacing w:val="-4"/>
          <w:sz w:val="16"/>
          <w:szCs w:val="16"/>
        </w:rPr>
        <w:t xml:space="preserve"> výdělků). Spotřebitelská důvěra</w:t>
      </w:r>
      <w:r w:rsidRPr="00C75B60">
        <w:rPr>
          <w:rFonts w:cs="Arial"/>
          <w:color w:val="0D0D0D" w:themeColor="text1" w:themeTint="F2"/>
          <w:spacing w:val="-4"/>
          <w:sz w:val="16"/>
          <w:szCs w:val="16"/>
        </w:rPr>
        <w:t xml:space="preserve"> byla v červnu nejvyšší za </w:t>
      </w:r>
      <w:r>
        <w:rPr>
          <w:rFonts w:cs="Arial"/>
          <w:color w:val="0D0D0D" w:themeColor="text1" w:themeTint="F2"/>
          <w:spacing w:val="-4"/>
          <w:sz w:val="16"/>
          <w:szCs w:val="16"/>
        </w:rPr>
        <w:t xml:space="preserve">poslední </w:t>
      </w:r>
      <w:r w:rsidRPr="00C75B60">
        <w:rPr>
          <w:rFonts w:cs="Arial"/>
          <w:color w:val="0D0D0D" w:themeColor="text1" w:themeTint="F2"/>
          <w:spacing w:val="-4"/>
          <w:sz w:val="16"/>
          <w:szCs w:val="16"/>
        </w:rPr>
        <w:t>rok a</w:t>
      </w:r>
      <w:r>
        <w:rPr>
          <w:rFonts w:cs="Arial"/>
          <w:color w:val="0D0D0D" w:themeColor="text1" w:themeTint="F2"/>
          <w:spacing w:val="-4"/>
          <w:sz w:val="16"/>
          <w:szCs w:val="16"/>
        </w:rPr>
        <w:t> </w:t>
      </w:r>
      <w:r w:rsidRPr="00C75B60">
        <w:rPr>
          <w:rFonts w:cs="Arial"/>
          <w:color w:val="0D0D0D" w:themeColor="text1" w:themeTint="F2"/>
          <w:spacing w:val="-4"/>
          <w:sz w:val="16"/>
          <w:szCs w:val="16"/>
        </w:rPr>
        <w:t>půl. Proti rychlejší realizaci odložené spotřeby mohly ale působit sílící obavy lidí z růstu cen, které měly oporu i</w:t>
      </w:r>
      <w:r>
        <w:rPr>
          <w:rFonts w:cs="Arial"/>
          <w:color w:val="0D0D0D" w:themeColor="text1" w:themeTint="F2"/>
          <w:spacing w:val="-4"/>
          <w:sz w:val="16"/>
          <w:szCs w:val="16"/>
        </w:rPr>
        <w:t> v </w:t>
      </w:r>
      <w:r w:rsidRPr="00C75B60">
        <w:rPr>
          <w:rFonts w:cs="Arial"/>
          <w:color w:val="0D0D0D" w:themeColor="text1" w:themeTint="F2"/>
          <w:spacing w:val="-4"/>
          <w:sz w:val="16"/>
          <w:szCs w:val="16"/>
        </w:rPr>
        <w:t>reálném vývoji ekonomiky.</w:t>
      </w:r>
    </w:p>
  </w:footnote>
  <w:footnote w:id="29">
    <w:p w14:paraId="5877D5DC" w14:textId="77777777" w:rsidR="00ED1959" w:rsidRDefault="00ED1959" w:rsidP="00ED1959">
      <w:pPr>
        <w:spacing w:after="0" w:line="240" w:lineRule="auto"/>
      </w:pPr>
      <w:r w:rsidRPr="000F615E">
        <w:rPr>
          <w:rStyle w:val="Znakapoznpodarou"/>
          <w:color w:val="0D0D0D" w:themeColor="text1" w:themeTint="F2"/>
          <w:sz w:val="16"/>
          <w:szCs w:val="16"/>
        </w:rPr>
        <w:footnoteRef/>
      </w:r>
      <w:r w:rsidRPr="000F615E">
        <w:rPr>
          <w:color w:val="0D0D0D" w:themeColor="text1" w:themeTint="F2"/>
          <w:sz w:val="16"/>
          <w:szCs w:val="16"/>
        </w:rPr>
        <w:t xml:space="preserve"> Všechna meziroční tempa tržeb za maloobchod jsou uvedena ve stálých cenách a očištěna o kalendářní vlivy, mezičtvrtletní tempa jsou očištěna o sezónní vlivy (včetně vlivu počtu pracovních dnů).</w:t>
      </w:r>
      <w:r>
        <w:rPr>
          <w:color w:val="0D0D0D" w:themeColor="text1" w:themeTint="F2"/>
          <w:sz w:val="16"/>
          <w:szCs w:val="16"/>
        </w:rPr>
        <w:t xml:space="preserve"> Maloobchod zahrnuje odvětví CZ-NACE 47.</w:t>
      </w:r>
    </w:p>
  </w:footnote>
  <w:footnote w:id="30">
    <w:p w14:paraId="08543550" w14:textId="77777777" w:rsidR="00ED1959" w:rsidRPr="00E951AB" w:rsidRDefault="00ED1959" w:rsidP="00ED1959">
      <w:pPr>
        <w:pStyle w:val="Textpoznpodarou"/>
        <w:rPr>
          <w:sz w:val="16"/>
          <w:szCs w:val="16"/>
        </w:rPr>
      </w:pPr>
      <w:r w:rsidRPr="00E951AB">
        <w:rPr>
          <w:rStyle w:val="Znakapoznpodarou"/>
          <w:sz w:val="16"/>
          <w:szCs w:val="16"/>
        </w:rPr>
        <w:footnoteRef/>
      </w:r>
      <w:r w:rsidRPr="00E951AB">
        <w:rPr>
          <w:sz w:val="16"/>
          <w:szCs w:val="16"/>
        </w:rPr>
        <w:t xml:space="preserve"> Ve srovnání s</w:t>
      </w:r>
      <w:r>
        <w:rPr>
          <w:sz w:val="16"/>
          <w:szCs w:val="16"/>
        </w:rPr>
        <w:t> </w:t>
      </w:r>
      <w:r w:rsidRPr="00E951AB">
        <w:rPr>
          <w:sz w:val="16"/>
          <w:szCs w:val="16"/>
        </w:rPr>
        <w:t>„nevychýleným“ 2.</w:t>
      </w:r>
      <w:r>
        <w:rPr>
          <w:sz w:val="16"/>
          <w:szCs w:val="16"/>
        </w:rPr>
        <w:t> čtvrtlet</w:t>
      </w:r>
      <w:r w:rsidRPr="00E951AB">
        <w:rPr>
          <w:sz w:val="16"/>
          <w:szCs w:val="16"/>
        </w:rPr>
        <w:t>ím 2019 byly letos tržby vyšší o</w:t>
      </w:r>
      <w:r>
        <w:rPr>
          <w:sz w:val="16"/>
          <w:szCs w:val="16"/>
        </w:rPr>
        <w:t> </w:t>
      </w:r>
      <w:r w:rsidRPr="00E951AB">
        <w:rPr>
          <w:sz w:val="16"/>
          <w:szCs w:val="16"/>
        </w:rPr>
        <w:t>rovná 4</w:t>
      </w:r>
      <w:r>
        <w:rPr>
          <w:sz w:val="16"/>
          <w:szCs w:val="16"/>
        </w:rPr>
        <w:t> %</w:t>
      </w:r>
      <w:r w:rsidRPr="00E951AB">
        <w:rPr>
          <w:sz w:val="16"/>
          <w:szCs w:val="16"/>
        </w:rPr>
        <w:t>. Maloobchod tak letos ve 2.</w:t>
      </w:r>
      <w:r>
        <w:rPr>
          <w:sz w:val="16"/>
          <w:szCs w:val="16"/>
        </w:rPr>
        <w:t> čtvrtlet</w:t>
      </w:r>
      <w:r w:rsidRPr="00E951AB">
        <w:rPr>
          <w:sz w:val="16"/>
          <w:szCs w:val="16"/>
        </w:rPr>
        <w:t>í do značné míry navázal na tempa z</w:t>
      </w:r>
      <w:r>
        <w:rPr>
          <w:sz w:val="16"/>
          <w:szCs w:val="16"/>
        </w:rPr>
        <w:t xml:space="preserve"> éry </w:t>
      </w:r>
      <w:r w:rsidRPr="00E951AB">
        <w:rPr>
          <w:sz w:val="16"/>
          <w:szCs w:val="16"/>
        </w:rPr>
        <w:t>končícího konju</w:t>
      </w:r>
      <w:r>
        <w:rPr>
          <w:sz w:val="16"/>
          <w:szCs w:val="16"/>
        </w:rPr>
        <w:t>n</w:t>
      </w:r>
      <w:r w:rsidRPr="00E951AB">
        <w:rPr>
          <w:sz w:val="16"/>
          <w:szCs w:val="16"/>
        </w:rPr>
        <w:t>kturního období (za celý rok 2018 +5,0</w:t>
      </w:r>
      <w:r>
        <w:rPr>
          <w:sz w:val="16"/>
          <w:szCs w:val="16"/>
        </w:rPr>
        <w:t> %</w:t>
      </w:r>
      <w:r w:rsidRPr="00E951AB">
        <w:rPr>
          <w:sz w:val="16"/>
          <w:szCs w:val="16"/>
        </w:rPr>
        <w:t>, 2019 +4,8</w:t>
      </w:r>
      <w:r>
        <w:rPr>
          <w:sz w:val="16"/>
          <w:szCs w:val="16"/>
        </w:rPr>
        <w:t> %</w:t>
      </w:r>
      <w:r w:rsidRPr="00E951A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C872AA" w:rsidRDefault="00C872AA" w:rsidP="00937AE2">
    <w:pPr>
      <w:pStyle w:val="Zhlav"/>
    </w:pPr>
    <w:r>
      <w:t>Vývoj ekonomiky České republiky</w:t>
    </w:r>
  </w:p>
  <w:p w14:paraId="3E881AB3" w14:textId="77777777" w:rsidR="00C872AA" w:rsidRPr="006F5416" w:rsidRDefault="00C872AA"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C872AA" w:rsidRDefault="00C872AA" w:rsidP="00937AE2">
    <w:pPr>
      <w:pStyle w:val="Zhlav"/>
    </w:pPr>
    <w:r>
      <w:t>Vývoj ekonomiky České republiky</w:t>
    </w:r>
  </w:p>
  <w:p w14:paraId="57266714" w14:textId="77777777" w:rsidR="00C872AA" w:rsidRPr="006F5416" w:rsidRDefault="00C872AA"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70A"/>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29B7"/>
    <w:rsid w:val="0001387D"/>
    <w:rsid w:val="00014ED0"/>
    <w:rsid w:val="00016420"/>
    <w:rsid w:val="00016BDB"/>
    <w:rsid w:val="00017B01"/>
    <w:rsid w:val="000205D1"/>
    <w:rsid w:val="00020F22"/>
    <w:rsid w:val="0002195D"/>
    <w:rsid w:val="00021F9B"/>
    <w:rsid w:val="000228AE"/>
    <w:rsid w:val="000233D1"/>
    <w:rsid w:val="000234D6"/>
    <w:rsid w:val="00023D29"/>
    <w:rsid w:val="00024348"/>
    <w:rsid w:val="00026389"/>
    <w:rsid w:val="0002669F"/>
    <w:rsid w:val="000279E5"/>
    <w:rsid w:val="000305E0"/>
    <w:rsid w:val="00031AE0"/>
    <w:rsid w:val="00031BB2"/>
    <w:rsid w:val="000322EF"/>
    <w:rsid w:val="00033FCD"/>
    <w:rsid w:val="000348AF"/>
    <w:rsid w:val="00034DF7"/>
    <w:rsid w:val="00034E68"/>
    <w:rsid w:val="000350C8"/>
    <w:rsid w:val="00036195"/>
    <w:rsid w:val="000374B2"/>
    <w:rsid w:val="000376C0"/>
    <w:rsid w:val="000403A7"/>
    <w:rsid w:val="00040632"/>
    <w:rsid w:val="00041AFC"/>
    <w:rsid w:val="00041CEC"/>
    <w:rsid w:val="00042596"/>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033F"/>
    <w:rsid w:val="000610E1"/>
    <w:rsid w:val="000616AD"/>
    <w:rsid w:val="000622A6"/>
    <w:rsid w:val="00062EC5"/>
    <w:rsid w:val="00062F22"/>
    <w:rsid w:val="00063975"/>
    <w:rsid w:val="00063CEA"/>
    <w:rsid w:val="0006444D"/>
    <w:rsid w:val="000645FC"/>
    <w:rsid w:val="0006533F"/>
    <w:rsid w:val="00065348"/>
    <w:rsid w:val="0006551C"/>
    <w:rsid w:val="00065A75"/>
    <w:rsid w:val="000663F0"/>
    <w:rsid w:val="00066558"/>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A2C"/>
    <w:rsid w:val="000A3D9E"/>
    <w:rsid w:val="000A4A54"/>
    <w:rsid w:val="000A4ED9"/>
    <w:rsid w:val="000A5DB7"/>
    <w:rsid w:val="000A6D94"/>
    <w:rsid w:val="000A7377"/>
    <w:rsid w:val="000A74A4"/>
    <w:rsid w:val="000A775A"/>
    <w:rsid w:val="000A7FF4"/>
    <w:rsid w:val="000B03CC"/>
    <w:rsid w:val="000B4212"/>
    <w:rsid w:val="000B67B7"/>
    <w:rsid w:val="000C0CA6"/>
    <w:rsid w:val="000C0EA8"/>
    <w:rsid w:val="000C13A2"/>
    <w:rsid w:val="000C21E7"/>
    <w:rsid w:val="000C23EC"/>
    <w:rsid w:val="000C290E"/>
    <w:rsid w:val="000C30C3"/>
    <w:rsid w:val="000C3408"/>
    <w:rsid w:val="000C35AB"/>
    <w:rsid w:val="000C3F7B"/>
    <w:rsid w:val="000C4769"/>
    <w:rsid w:val="000C4D56"/>
    <w:rsid w:val="000C5DFA"/>
    <w:rsid w:val="000C6AFD"/>
    <w:rsid w:val="000C6C90"/>
    <w:rsid w:val="000C72B7"/>
    <w:rsid w:val="000D0A26"/>
    <w:rsid w:val="000D2196"/>
    <w:rsid w:val="000D3058"/>
    <w:rsid w:val="000D310A"/>
    <w:rsid w:val="000D3EF4"/>
    <w:rsid w:val="000D4DC0"/>
    <w:rsid w:val="000D55BA"/>
    <w:rsid w:val="000D5637"/>
    <w:rsid w:val="000D5A03"/>
    <w:rsid w:val="000D5ED3"/>
    <w:rsid w:val="000D6F4E"/>
    <w:rsid w:val="000D73BB"/>
    <w:rsid w:val="000E0E96"/>
    <w:rsid w:val="000E298B"/>
    <w:rsid w:val="000E2C7D"/>
    <w:rsid w:val="000E3E56"/>
    <w:rsid w:val="000E440D"/>
    <w:rsid w:val="000E4AC5"/>
    <w:rsid w:val="000E6253"/>
    <w:rsid w:val="000E6AC4"/>
    <w:rsid w:val="000E6E4D"/>
    <w:rsid w:val="000E6FBD"/>
    <w:rsid w:val="000E6FCB"/>
    <w:rsid w:val="000F090B"/>
    <w:rsid w:val="000F3F3B"/>
    <w:rsid w:val="000F4721"/>
    <w:rsid w:val="000F47E8"/>
    <w:rsid w:val="000F70E4"/>
    <w:rsid w:val="000F76EA"/>
    <w:rsid w:val="00100A8B"/>
    <w:rsid w:val="00100F5C"/>
    <w:rsid w:val="00101CDA"/>
    <w:rsid w:val="00102037"/>
    <w:rsid w:val="00103DCB"/>
    <w:rsid w:val="00104C4C"/>
    <w:rsid w:val="00105015"/>
    <w:rsid w:val="001055D2"/>
    <w:rsid w:val="001057C2"/>
    <w:rsid w:val="0011038E"/>
    <w:rsid w:val="001125EF"/>
    <w:rsid w:val="00112CAB"/>
    <w:rsid w:val="0011440C"/>
    <w:rsid w:val="00114C33"/>
    <w:rsid w:val="00116D3F"/>
    <w:rsid w:val="00117474"/>
    <w:rsid w:val="00117623"/>
    <w:rsid w:val="00117FEA"/>
    <w:rsid w:val="001200CF"/>
    <w:rsid w:val="001208E3"/>
    <w:rsid w:val="00121609"/>
    <w:rsid w:val="0012192F"/>
    <w:rsid w:val="00122994"/>
    <w:rsid w:val="00123204"/>
    <w:rsid w:val="00124B46"/>
    <w:rsid w:val="001257E0"/>
    <w:rsid w:val="00125D69"/>
    <w:rsid w:val="0012799C"/>
    <w:rsid w:val="00127BC2"/>
    <w:rsid w:val="00127E15"/>
    <w:rsid w:val="00130ADC"/>
    <w:rsid w:val="00130D9F"/>
    <w:rsid w:val="00132C4D"/>
    <w:rsid w:val="00133FC1"/>
    <w:rsid w:val="00134659"/>
    <w:rsid w:val="00136A6F"/>
    <w:rsid w:val="001405FA"/>
    <w:rsid w:val="00140D1A"/>
    <w:rsid w:val="00141184"/>
    <w:rsid w:val="00141315"/>
    <w:rsid w:val="00141AA0"/>
    <w:rsid w:val="001425C3"/>
    <w:rsid w:val="0014262D"/>
    <w:rsid w:val="00142B29"/>
    <w:rsid w:val="00144588"/>
    <w:rsid w:val="001447DD"/>
    <w:rsid w:val="00145358"/>
    <w:rsid w:val="001459BC"/>
    <w:rsid w:val="00152C86"/>
    <w:rsid w:val="00152F4F"/>
    <w:rsid w:val="001544A1"/>
    <w:rsid w:val="001553B8"/>
    <w:rsid w:val="001554C2"/>
    <w:rsid w:val="001571C0"/>
    <w:rsid w:val="0015753D"/>
    <w:rsid w:val="00157CC9"/>
    <w:rsid w:val="00160C21"/>
    <w:rsid w:val="001612F4"/>
    <w:rsid w:val="00161553"/>
    <w:rsid w:val="0016216F"/>
    <w:rsid w:val="0016256B"/>
    <w:rsid w:val="00162F81"/>
    <w:rsid w:val="00163793"/>
    <w:rsid w:val="00164CA1"/>
    <w:rsid w:val="00165313"/>
    <w:rsid w:val="00167485"/>
    <w:rsid w:val="001679F5"/>
    <w:rsid w:val="00167B92"/>
    <w:rsid w:val="00167CB9"/>
    <w:rsid w:val="00167DD8"/>
    <w:rsid w:val="001705AD"/>
    <w:rsid w:val="001706D6"/>
    <w:rsid w:val="001714F2"/>
    <w:rsid w:val="00171FEA"/>
    <w:rsid w:val="00173622"/>
    <w:rsid w:val="00175B9F"/>
    <w:rsid w:val="001762F4"/>
    <w:rsid w:val="00181029"/>
    <w:rsid w:val="00181BBC"/>
    <w:rsid w:val="0018385F"/>
    <w:rsid w:val="00183BCF"/>
    <w:rsid w:val="00184017"/>
    <w:rsid w:val="001847BB"/>
    <w:rsid w:val="00184B08"/>
    <w:rsid w:val="00185010"/>
    <w:rsid w:val="00185C22"/>
    <w:rsid w:val="00186BA9"/>
    <w:rsid w:val="00187D50"/>
    <w:rsid w:val="0019196C"/>
    <w:rsid w:val="001926A9"/>
    <w:rsid w:val="00192F05"/>
    <w:rsid w:val="00194729"/>
    <w:rsid w:val="00194850"/>
    <w:rsid w:val="00195234"/>
    <w:rsid w:val="00196016"/>
    <w:rsid w:val="00196117"/>
    <w:rsid w:val="00197A70"/>
    <w:rsid w:val="00197C0F"/>
    <w:rsid w:val="00197D0E"/>
    <w:rsid w:val="001A0487"/>
    <w:rsid w:val="001A0675"/>
    <w:rsid w:val="001A0A37"/>
    <w:rsid w:val="001A1F68"/>
    <w:rsid w:val="001A21FA"/>
    <w:rsid w:val="001A4D7C"/>
    <w:rsid w:val="001A4EF0"/>
    <w:rsid w:val="001A552F"/>
    <w:rsid w:val="001A70B1"/>
    <w:rsid w:val="001B0738"/>
    <w:rsid w:val="001B1235"/>
    <w:rsid w:val="001B2CA9"/>
    <w:rsid w:val="001B3110"/>
    <w:rsid w:val="001B3E38"/>
    <w:rsid w:val="001B40F5"/>
    <w:rsid w:val="001B4729"/>
    <w:rsid w:val="001B4F0E"/>
    <w:rsid w:val="001B5F40"/>
    <w:rsid w:val="001B6310"/>
    <w:rsid w:val="001B6C09"/>
    <w:rsid w:val="001B6E12"/>
    <w:rsid w:val="001C05CD"/>
    <w:rsid w:val="001C082B"/>
    <w:rsid w:val="001C0F17"/>
    <w:rsid w:val="001C1B24"/>
    <w:rsid w:val="001C1B66"/>
    <w:rsid w:val="001C31A2"/>
    <w:rsid w:val="001C351D"/>
    <w:rsid w:val="001C4B8F"/>
    <w:rsid w:val="001C4BB8"/>
    <w:rsid w:val="001C4FD0"/>
    <w:rsid w:val="001C5E46"/>
    <w:rsid w:val="001C6B3B"/>
    <w:rsid w:val="001C7A26"/>
    <w:rsid w:val="001C7E3F"/>
    <w:rsid w:val="001D0EF1"/>
    <w:rsid w:val="001D22C2"/>
    <w:rsid w:val="001D2C99"/>
    <w:rsid w:val="001D452E"/>
    <w:rsid w:val="001D54C1"/>
    <w:rsid w:val="001D556E"/>
    <w:rsid w:val="001D5DF2"/>
    <w:rsid w:val="001D68B2"/>
    <w:rsid w:val="001D7EFD"/>
    <w:rsid w:val="001D7F60"/>
    <w:rsid w:val="001E085B"/>
    <w:rsid w:val="001E149B"/>
    <w:rsid w:val="001E15CB"/>
    <w:rsid w:val="001E3306"/>
    <w:rsid w:val="001E504C"/>
    <w:rsid w:val="001E5A17"/>
    <w:rsid w:val="001E74C5"/>
    <w:rsid w:val="001F1236"/>
    <w:rsid w:val="001F2F90"/>
    <w:rsid w:val="001F4597"/>
    <w:rsid w:val="001F4826"/>
    <w:rsid w:val="001F59C8"/>
    <w:rsid w:val="001F6CD3"/>
    <w:rsid w:val="001F75DA"/>
    <w:rsid w:val="001F7CE0"/>
    <w:rsid w:val="00200085"/>
    <w:rsid w:val="00203332"/>
    <w:rsid w:val="00203CD5"/>
    <w:rsid w:val="00203D8F"/>
    <w:rsid w:val="00203DA4"/>
    <w:rsid w:val="00204EA6"/>
    <w:rsid w:val="00205186"/>
    <w:rsid w:val="00206516"/>
    <w:rsid w:val="002070CF"/>
    <w:rsid w:val="002071D5"/>
    <w:rsid w:val="002111E5"/>
    <w:rsid w:val="0021149E"/>
    <w:rsid w:val="002118B9"/>
    <w:rsid w:val="00213691"/>
    <w:rsid w:val="002142C0"/>
    <w:rsid w:val="00217C5B"/>
    <w:rsid w:val="00220A43"/>
    <w:rsid w:val="0022139E"/>
    <w:rsid w:val="00222729"/>
    <w:rsid w:val="0022287B"/>
    <w:rsid w:val="002228DB"/>
    <w:rsid w:val="00223185"/>
    <w:rsid w:val="00223264"/>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05FE"/>
    <w:rsid w:val="0026120E"/>
    <w:rsid w:val="002617EE"/>
    <w:rsid w:val="00262582"/>
    <w:rsid w:val="0026291D"/>
    <w:rsid w:val="00262CF3"/>
    <w:rsid w:val="00264309"/>
    <w:rsid w:val="00264992"/>
    <w:rsid w:val="00264B4F"/>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E4C"/>
    <w:rsid w:val="002E4EA7"/>
    <w:rsid w:val="002E5846"/>
    <w:rsid w:val="002E792B"/>
    <w:rsid w:val="002E7AEB"/>
    <w:rsid w:val="002E7B79"/>
    <w:rsid w:val="002F1B09"/>
    <w:rsid w:val="002F1D56"/>
    <w:rsid w:val="002F1DCB"/>
    <w:rsid w:val="002F1DE4"/>
    <w:rsid w:val="002F333D"/>
    <w:rsid w:val="002F351A"/>
    <w:rsid w:val="002F46D6"/>
    <w:rsid w:val="002F498A"/>
    <w:rsid w:val="002F4AD8"/>
    <w:rsid w:val="002F5285"/>
    <w:rsid w:val="002F5820"/>
    <w:rsid w:val="002F64BB"/>
    <w:rsid w:val="002F7D9B"/>
    <w:rsid w:val="00300C31"/>
    <w:rsid w:val="003017EC"/>
    <w:rsid w:val="00302165"/>
    <w:rsid w:val="00303BB4"/>
    <w:rsid w:val="00304771"/>
    <w:rsid w:val="003052D4"/>
    <w:rsid w:val="003060E9"/>
    <w:rsid w:val="00306C5B"/>
    <w:rsid w:val="00307529"/>
    <w:rsid w:val="00307DB3"/>
    <w:rsid w:val="00307ED2"/>
    <w:rsid w:val="0031076D"/>
    <w:rsid w:val="0031169A"/>
    <w:rsid w:val="00311AA6"/>
    <w:rsid w:val="00311C4D"/>
    <w:rsid w:val="003121AB"/>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47E1"/>
    <w:rsid w:val="00324B59"/>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54F89"/>
    <w:rsid w:val="0035506D"/>
    <w:rsid w:val="0036077F"/>
    <w:rsid w:val="00360C86"/>
    <w:rsid w:val="00360F7A"/>
    <w:rsid w:val="00360FBC"/>
    <w:rsid w:val="00361537"/>
    <w:rsid w:val="00361FB7"/>
    <w:rsid w:val="0036242A"/>
    <w:rsid w:val="00362C23"/>
    <w:rsid w:val="00362DCA"/>
    <w:rsid w:val="00362E90"/>
    <w:rsid w:val="00364FA0"/>
    <w:rsid w:val="003657F3"/>
    <w:rsid w:val="00365844"/>
    <w:rsid w:val="0036624C"/>
    <w:rsid w:val="00367F84"/>
    <w:rsid w:val="003712BC"/>
    <w:rsid w:val="00372164"/>
    <w:rsid w:val="003738BD"/>
    <w:rsid w:val="00374263"/>
    <w:rsid w:val="003746F0"/>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6739"/>
    <w:rsid w:val="003978B1"/>
    <w:rsid w:val="003A04F6"/>
    <w:rsid w:val="003A0837"/>
    <w:rsid w:val="003A2B4D"/>
    <w:rsid w:val="003A2D12"/>
    <w:rsid w:val="003A2EBA"/>
    <w:rsid w:val="003A45E3"/>
    <w:rsid w:val="003A46B8"/>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B50"/>
    <w:rsid w:val="003C0B07"/>
    <w:rsid w:val="003C2CE7"/>
    <w:rsid w:val="003C2DB8"/>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E6F84"/>
    <w:rsid w:val="003F313C"/>
    <w:rsid w:val="003F33B9"/>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23623"/>
    <w:rsid w:val="0042470E"/>
    <w:rsid w:val="00430C96"/>
    <w:rsid w:val="0043174F"/>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F1"/>
    <w:rsid w:val="00452E60"/>
    <w:rsid w:val="0045321B"/>
    <w:rsid w:val="00456FE5"/>
    <w:rsid w:val="00457490"/>
    <w:rsid w:val="0045786C"/>
    <w:rsid w:val="00457953"/>
    <w:rsid w:val="004604D8"/>
    <w:rsid w:val="00460656"/>
    <w:rsid w:val="00460FB3"/>
    <w:rsid w:val="00463D3C"/>
    <w:rsid w:val="00464851"/>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BAE"/>
    <w:rsid w:val="00480D7F"/>
    <w:rsid w:val="0048139F"/>
    <w:rsid w:val="00481E40"/>
    <w:rsid w:val="00482405"/>
    <w:rsid w:val="004826A7"/>
    <w:rsid w:val="0048368C"/>
    <w:rsid w:val="0048372F"/>
    <w:rsid w:val="00483A0C"/>
    <w:rsid w:val="004841CC"/>
    <w:rsid w:val="00484ECE"/>
    <w:rsid w:val="00485E82"/>
    <w:rsid w:val="00486132"/>
    <w:rsid w:val="0048686D"/>
    <w:rsid w:val="00486A4D"/>
    <w:rsid w:val="004915C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40D9"/>
    <w:rsid w:val="004A49A5"/>
    <w:rsid w:val="004A4F8A"/>
    <w:rsid w:val="004A52AB"/>
    <w:rsid w:val="004A5494"/>
    <w:rsid w:val="004A5D4E"/>
    <w:rsid w:val="004A61C5"/>
    <w:rsid w:val="004A62A0"/>
    <w:rsid w:val="004A77DF"/>
    <w:rsid w:val="004B1417"/>
    <w:rsid w:val="004B305C"/>
    <w:rsid w:val="004B31B8"/>
    <w:rsid w:val="004B339A"/>
    <w:rsid w:val="004B4C83"/>
    <w:rsid w:val="004B55B7"/>
    <w:rsid w:val="004B5BFA"/>
    <w:rsid w:val="004B619E"/>
    <w:rsid w:val="004B6468"/>
    <w:rsid w:val="004B6EF8"/>
    <w:rsid w:val="004B7125"/>
    <w:rsid w:val="004B756A"/>
    <w:rsid w:val="004B7FB1"/>
    <w:rsid w:val="004C0B3F"/>
    <w:rsid w:val="004C0F87"/>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425"/>
    <w:rsid w:val="00522E01"/>
    <w:rsid w:val="0052337A"/>
    <w:rsid w:val="00524385"/>
    <w:rsid w:val="005246BE"/>
    <w:rsid w:val="00525137"/>
    <w:rsid w:val="005251DD"/>
    <w:rsid w:val="0052762C"/>
    <w:rsid w:val="0053012B"/>
    <w:rsid w:val="005301A6"/>
    <w:rsid w:val="00530A68"/>
    <w:rsid w:val="00530AD4"/>
    <w:rsid w:val="0053129F"/>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3A3"/>
    <w:rsid w:val="005455F6"/>
    <w:rsid w:val="0054582F"/>
    <w:rsid w:val="00546FC7"/>
    <w:rsid w:val="005500F9"/>
    <w:rsid w:val="00550160"/>
    <w:rsid w:val="005519E2"/>
    <w:rsid w:val="005523A8"/>
    <w:rsid w:val="00552F2C"/>
    <w:rsid w:val="00553A25"/>
    <w:rsid w:val="005547EB"/>
    <w:rsid w:val="00554863"/>
    <w:rsid w:val="005555E0"/>
    <w:rsid w:val="0055599F"/>
    <w:rsid w:val="00556D68"/>
    <w:rsid w:val="0055707B"/>
    <w:rsid w:val="005570D6"/>
    <w:rsid w:val="00557E0E"/>
    <w:rsid w:val="00557E45"/>
    <w:rsid w:val="00560C41"/>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5F4E"/>
    <w:rsid w:val="005761EC"/>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63"/>
    <w:rsid w:val="005A0948"/>
    <w:rsid w:val="005A0A03"/>
    <w:rsid w:val="005A10F2"/>
    <w:rsid w:val="005A16C0"/>
    <w:rsid w:val="005A21E0"/>
    <w:rsid w:val="005A28FF"/>
    <w:rsid w:val="005A2C09"/>
    <w:rsid w:val="005A3778"/>
    <w:rsid w:val="005A37B0"/>
    <w:rsid w:val="005A3DF8"/>
    <w:rsid w:val="005A5549"/>
    <w:rsid w:val="005A566A"/>
    <w:rsid w:val="005A7CF8"/>
    <w:rsid w:val="005B0EDA"/>
    <w:rsid w:val="005B121D"/>
    <w:rsid w:val="005B26B0"/>
    <w:rsid w:val="005B41C9"/>
    <w:rsid w:val="005B44E6"/>
    <w:rsid w:val="005B4853"/>
    <w:rsid w:val="005B6CA1"/>
    <w:rsid w:val="005B770C"/>
    <w:rsid w:val="005C06ED"/>
    <w:rsid w:val="005C0CE1"/>
    <w:rsid w:val="005C11B8"/>
    <w:rsid w:val="005C216C"/>
    <w:rsid w:val="005C2609"/>
    <w:rsid w:val="005C2B30"/>
    <w:rsid w:val="005C412B"/>
    <w:rsid w:val="005C43EC"/>
    <w:rsid w:val="005C45DD"/>
    <w:rsid w:val="005C4704"/>
    <w:rsid w:val="005C4CB1"/>
    <w:rsid w:val="005D3F06"/>
    <w:rsid w:val="005D4B73"/>
    <w:rsid w:val="005D5645"/>
    <w:rsid w:val="005D5802"/>
    <w:rsid w:val="005D5AA9"/>
    <w:rsid w:val="005D66E6"/>
    <w:rsid w:val="005D7119"/>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20D"/>
    <w:rsid w:val="00601ADE"/>
    <w:rsid w:val="00601EEF"/>
    <w:rsid w:val="0060255A"/>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4C57"/>
    <w:rsid w:val="00634CE7"/>
    <w:rsid w:val="006350D5"/>
    <w:rsid w:val="0063642C"/>
    <w:rsid w:val="006376B3"/>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982"/>
    <w:rsid w:val="00665BA4"/>
    <w:rsid w:val="00666BF3"/>
    <w:rsid w:val="00667856"/>
    <w:rsid w:val="00667AF2"/>
    <w:rsid w:val="00670489"/>
    <w:rsid w:val="006710C9"/>
    <w:rsid w:val="00671D85"/>
    <w:rsid w:val="00672586"/>
    <w:rsid w:val="006741CD"/>
    <w:rsid w:val="00674D89"/>
    <w:rsid w:val="0067514E"/>
    <w:rsid w:val="00675E37"/>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6718"/>
    <w:rsid w:val="00686BFA"/>
    <w:rsid w:val="00686DED"/>
    <w:rsid w:val="006875A0"/>
    <w:rsid w:val="006878C6"/>
    <w:rsid w:val="00687D27"/>
    <w:rsid w:val="00691943"/>
    <w:rsid w:val="00693550"/>
    <w:rsid w:val="00695065"/>
    <w:rsid w:val="00695BEF"/>
    <w:rsid w:val="00696251"/>
    <w:rsid w:val="006966C7"/>
    <w:rsid w:val="006968C1"/>
    <w:rsid w:val="006977F6"/>
    <w:rsid w:val="00697A13"/>
    <w:rsid w:val="006A0DD4"/>
    <w:rsid w:val="006A109C"/>
    <w:rsid w:val="006A5F4B"/>
    <w:rsid w:val="006A6114"/>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11F5"/>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601"/>
    <w:rsid w:val="00767777"/>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EF1"/>
    <w:rsid w:val="00781A91"/>
    <w:rsid w:val="00781AD3"/>
    <w:rsid w:val="00781F36"/>
    <w:rsid w:val="0078357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4B0"/>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B74AA"/>
    <w:rsid w:val="007C10BD"/>
    <w:rsid w:val="007C162D"/>
    <w:rsid w:val="007C1F0C"/>
    <w:rsid w:val="007C1FFB"/>
    <w:rsid w:val="007C2D94"/>
    <w:rsid w:val="007C4A6B"/>
    <w:rsid w:val="007C5F92"/>
    <w:rsid w:val="007C6227"/>
    <w:rsid w:val="007C6BBD"/>
    <w:rsid w:val="007C6D89"/>
    <w:rsid w:val="007C6F5E"/>
    <w:rsid w:val="007D0382"/>
    <w:rsid w:val="007D14FE"/>
    <w:rsid w:val="007D1A1F"/>
    <w:rsid w:val="007D213B"/>
    <w:rsid w:val="007D2E18"/>
    <w:rsid w:val="007D40DF"/>
    <w:rsid w:val="007D42E5"/>
    <w:rsid w:val="007D4458"/>
    <w:rsid w:val="007D6AF9"/>
    <w:rsid w:val="007E0535"/>
    <w:rsid w:val="007E07F2"/>
    <w:rsid w:val="007E0D4A"/>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1FF8"/>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4BA6"/>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20A8"/>
    <w:rsid w:val="00852217"/>
    <w:rsid w:val="00853282"/>
    <w:rsid w:val="0085334C"/>
    <w:rsid w:val="00854291"/>
    <w:rsid w:val="00855408"/>
    <w:rsid w:val="00855D03"/>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ECD"/>
    <w:rsid w:val="0087347C"/>
    <w:rsid w:val="008734E7"/>
    <w:rsid w:val="0087368D"/>
    <w:rsid w:val="008740CC"/>
    <w:rsid w:val="0087442A"/>
    <w:rsid w:val="00874FE8"/>
    <w:rsid w:val="00875A32"/>
    <w:rsid w:val="00876086"/>
    <w:rsid w:val="00876651"/>
    <w:rsid w:val="00876E83"/>
    <w:rsid w:val="008772BC"/>
    <w:rsid w:val="00880A0E"/>
    <w:rsid w:val="008817FE"/>
    <w:rsid w:val="00881CD7"/>
    <w:rsid w:val="00882911"/>
    <w:rsid w:val="00882F6E"/>
    <w:rsid w:val="00883202"/>
    <w:rsid w:val="00884E02"/>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37E2"/>
    <w:rsid w:val="008A388E"/>
    <w:rsid w:val="008A394E"/>
    <w:rsid w:val="008A3BEF"/>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5324"/>
    <w:rsid w:val="008B5C99"/>
    <w:rsid w:val="008B6106"/>
    <w:rsid w:val="008B7C02"/>
    <w:rsid w:val="008B7D2B"/>
    <w:rsid w:val="008B7EF9"/>
    <w:rsid w:val="008C0049"/>
    <w:rsid w:val="008C0314"/>
    <w:rsid w:val="008C0E88"/>
    <w:rsid w:val="008C1717"/>
    <w:rsid w:val="008C17F0"/>
    <w:rsid w:val="008C3B05"/>
    <w:rsid w:val="008C4B50"/>
    <w:rsid w:val="008C5A37"/>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E0001"/>
    <w:rsid w:val="008E292B"/>
    <w:rsid w:val="008E2C57"/>
    <w:rsid w:val="008E31FF"/>
    <w:rsid w:val="008E3287"/>
    <w:rsid w:val="008E38E4"/>
    <w:rsid w:val="008E51EB"/>
    <w:rsid w:val="008E6DCB"/>
    <w:rsid w:val="008E6F06"/>
    <w:rsid w:val="008E7000"/>
    <w:rsid w:val="008E7B8E"/>
    <w:rsid w:val="008E7FC9"/>
    <w:rsid w:val="008F0107"/>
    <w:rsid w:val="008F029B"/>
    <w:rsid w:val="008F0589"/>
    <w:rsid w:val="008F2A5D"/>
    <w:rsid w:val="008F2BC7"/>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476D"/>
    <w:rsid w:val="00915D07"/>
    <w:rsid w:val="009162AE"/>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05E"/>
    <w:rsid w:val="00933F4A"/>
    <w:rsid w:val="009341F1"/>
    <w:rsid w:val="00934FF2"/>
    <w:rsid w:val="009358D7"/>
    <w:rsid w:val="00935BD4"/>
    <w:rsid w:val="00935DFE"/>
    <w:rsid w:val="00935F70"/>
    <w:rsid w:val="0093648B"/>
    <w:rsid w:val="009373B2"/>
    <w:rsid w:val="00937AE2"/>
    <w:rsid w:val="0094061F"/>
    <w:rsid w:val="00940F0F"/>
    <w:rsid w:val="00941912"/>
    <w:rsid w:val="0094416B"/>
    <w:rsid w:val="0094427A"/>
    <w:rsid w:val="00944C7C"/>
    <w:rsid w:val="00945245"/>
    <w:rsid w:val="00945523"/>
    <w:rsid w:val="00950921"/>
    <w:rsid w:val="00951D68"/>
    <w:rsid w:val="00951E5B"/>
    <w:rsid w:val="00952050"/>
    <w:rsid w:val="00952315"/>
    <w:rsid w:val="009523D9"/>
    <w:rsid w:val="00952B7B"/>
    <w:rsid w:val="0095357B"/>
    <w:rsid w:val="009538B3"/>
    <w:rsid w:val="00954F39"/>
    <w:rsid w:val="009555F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BB3"/>
    <w:rsid w:val="00992CF3"/>
    <w:rsid w:val="00993194"/>
    <w:rsid w:val="0099321E"/>
    <w:rsid w:val="00994171"/>
    <w:rsid w:val="00994868"/>
    <w:rsid w:val="00994976"/>
    <w:rsid w:val="00994D28"/>
    <w:rsid w:val="00994F2C"/>
    <w:rsid w:val="00995720"/>
    <w:rsid w:val="009957CC"/>
    <w:rsid w:val="009968D6"/>
    <w:rsid w:val="00997953"/>
    <w:rsid w:val="00997D55"/>
    <w:rsid w:val="009A0BFF"/>
    <w:rsid w:val="009A10A0"/>
    <w:rsid w:val="009A1CAB"/>
    <w:rsid w:val="009A2359"/>
    <w:rsid w:val="009A24F1"/>
    <w:rsid w:val="009A27E0"/>
    <w:rsid w:val="009A4D57"/>
    <w:rsid w:val="009A51A5"/>
    <w:rsid w:val="009A60D1"/>
    <w:rsid w:val="009A6225"/>
    <w:rsid w:val="009A64F5"/>
    <w:rsid w:val="009B00D2"/>
    <w:rsid w:val="009B05B3"/>
    <w:rsid w:val="009B0CAF"/>
    <w:rsid w:val="009B1324"/>
    <w:rsid w:val="009B2558"/>
    <w:rsid w:val="009B284F"/>
    <w:rsid w:val="009B3764"/>
    <w:rsid w:val="009B3840"/>
    <w:rsid w:val="009B52AC"/>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2CF"/>
    <w:rsid w:val="009F4982"/>
    <w:rsid w:val="009F4CA7"/>
    <w:rsid w:val="009F4F6A"/>
    <w:rsid w:val="009F55BA"/>
    <w:rsid w:val="009F7D36"/>
    <w:rsid w:val="009F7D61"/>
    <w:rsid w:val="00A00E71"/>
    <w:rsid w:val="00A0306F"/>
    <w:rsid w:val="00A03511"/>
    <w:rsid w:val="00A03B10"/>
    <w:rsid w:val="00A03E2E"/>
    <w:rsid w:val="00A04616"/>
    <w:rsid w:val="00A04717"/>
    <w:rsid w:val="00A05D8F"/>
    <w:rsid w:val="00A05EE4"/>
    <w:rsid w:val="00A06F99"/>
    <w:rsid w:val="00A1053B"/>
    <w:rsid w:val="00A10D66"/>
    <w:rsid w:val="00A113A4"/>
    <w:rsid w:val="00A14114"/>
    <w:rsid w:val="00A16413"/>
    <w:rsid w:val="00A16545"/>
    <w:rsid w:val="00A16A1A"/>
    <w:rsid w:val="00A16AED"/>
    <w:rsid w:val="00A16BD3"/>
    <w:rsid w:val="00A16C37"/>
    <w:rsid w:val="00A16E1D"/>
    <w:rsid w:val="00A171D5"/>
    <w:rsid w:val="00A17A15"/>
    <w:rsid w:val="00A17A37"/>
    <w:rsid w:val="00A17D5B"/>
    <w:rsid w:val="00A2016A"/>
    <w:rsid w:val="00A201E1"/>
    <w:rsid w:val="00A20FE1"/>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3DB1"/>
    <w:rsid w:val="00A33EEB"/>
    <w:rsid w:val="00A35900"/>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81652"/>
    <w:rsid w:val="00A82BF0"/>
    <w:rsid w:val="00A82C91"/>
    <w:rsid w:val="00A83150"/>
    <w:rsid w:val="00A83398"/>
    <w:rsid w:val="00A83D6E"/>
    <w:rsid w:val="00A83FD5"/>
    <w:rsid w:val="00A8521A"/>
    <w:rsid w:val="00A857C0"/>
    <w:rsid w:val="00A85ACB"/>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417E"/>
    <w:rsid w:val="00AE6414"/>
    <w:rsid w:val="00AE7269"/>
    <w:rsid w:val="00AE797C"/>
    <w:rsid w:val="00AE7CE7"/>
    <w:rsid w:val="00AE7FAB"/>
    <w:rsid w:val="00AF0DE4"/>
    <w:rsid w:val="00AF12A0"/>
    <w:rsid w:val="00AF1E87"/>
    <w:rsid w:val="00AF436B"/>
    <w:rsid w:val="00AF5179"/>
    <w:rsid w:val="00AF5CC2"/>
    <w:rsid w:val="00AF6776"/>
    <w:rsid w:val="00AF6F98"/>
    <w:rsid w:val="00AF7277"/>
    <w:rsid w:val="00B00550"/>
    <w:rsid w:val="00B00913"/>
    <w:rsid w:val="00B01593"/>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3108D"/>
    <w:rsid w:val="00B32DDB"/>
    <w:rsid w:val="00B32F57"/>
    <w:rsid w:val="00B3345C"/>
    <w:rsid w:val="00B34528"/>
    <w:rsid w:val="00B34CC9"/>
    <w:rsid w:val="00B34CDA"/>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A97"/>
    <w:rsid w:val="00B55F5E"/>
    <w:rsid w:val="00B5601B"/>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77E34"/>
    <w:rsid w:val="00B80D89"/>
    <w:rsid w:val="00B80EC6"/>
    <w:rsid w:val="00B81288"/>
    <w:rsid w:val="00B81D70"/>
    <w:rsid w:val="00B833B9"/>
    <w:rsid w:val="00B83AAF"/>
    <w:rsid w:val="00B83E07"/>
    <w:rsid w:val="00B84CF6"/>
    <w:rsid w:val="00B85016"/>
    <w:rsid w:val="00B8561A"/>
    <w:rsid w:val="00B86628"/>
    <w:rsid w:val="00B86643"/>
    <w:rsid w:val="00B868F7"/>
    <w:rsid w:val="00B90131"/>
    <w:rsid w:val="00B92951"/>
    <w:rsid w:val="00B92D1D"/>
    <w:rsid w:val="00B92D7E"/>
    <w:rsid w:val="00B930CE"/>
    <w:rsid w:val="00B938C5"/>
    <w:rsid w:val="00B940A8"/>
    <w:rsid w:val="00B9554A"/>
    <w:rsid w:val="00B95940"/>
    <w:rsid w:val="00B95ACA"/>
    <w:rsid w:val="00B96D74"/>
    <w:rsid w:val="00B9720E"/>
    <w:rsid w:val="00B97ACC"/>
    <w:rsid w:val="00B97FE2"/>
    <w:rsid w:val="00BA0E0B"/>
    <w:rsid w:val="00BA201A"/>
    <w:rsid w:val="00BA21DF"/>
    <w:rsid w:val="00BA361D"/>
    <w:rsid w:val="00BA3787"/>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25BB"/>
    <w:rsid w:val="00BD2AF8"/>
    <w:rsid w:val="00BD366B"/>
    <w:rsid w:val="00BD3C09"/>
    <w:rsid w:val="00BD410B"/>
    <w:rsid w:val="00BD4A73"/>
    <w:rsid w:val="00BD4EF4"/>
    <w:rsid w:val="00BD6659"/>
    <w:rsid w:val="00BD6C75"/>
    <w:rsid w:val="00BD6D50"/>
    <w:rsid w:val="00BD73D2"/>
    <w:rsid w:val="00BE0AD1"/>
    <w:rsid w:val="00BE0EF9"/>
    <w:rsid w:val="00BE10A1"/>
    <w:rsid w:val="00BE18B9"/>
    <w:rsid w:val="00BE190A"/>
    <w:rsid w:val="00BE2495"/>
    <w:rsid w:val="00BE24DD"/>
    <w:rsid w:val="00BE386D"/>
    <w:rsid w:val="00BE4DA9"/>
    <w:rsid w:val="00BE54BF"/>
    <w:rsid w:val="00BE557B"/>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7FC"/>
    <w:rsid w:val="00C006D6"/>
    <w:rsid w:val="00C00BD7"/>
    <w:rsid w:val="00C01410"/>
    <w:rsid w:val="00C02D23"/>
    <w:rsid w:val="00C03D4D"/>
    <w:rsid w:val="00C044F4"/>
    <w:rsid w:val="00C04B78"/>
    <w:rsid w:val="00C052AA"/>
    <w:rsid w:val="00C06EE3"/>
    <w:rsid w:val="00C07279"/>
    <w:rsid w:val="00C07749"/>
    <w:rsid w:val="00C07C67"/>
    <w:rsid w:val="00C11244"/>
    <w:rsid w:val="00C11D48"/>
    <w:rsid w:val="00C12304"/>
    <w:rsid w:val="00C12316"/>
    <w:rsid w:val="00C1246C"/>
    <w:rsid w:val="00C1493E"/>
    <w:rsid w:val="00C15DBD"/>
    <w:rsid w:val="00C161C5"/>
    <w:rsid w:val="00C172F7"/>
    <w:rsid w:val="00C2010D"/>
    <w:rsid w:val="00C20CB5"/>
    <w:rsid w:val="00C21430"/>
    <w:rsid w:val="00C216DF"/>
    <w:rsid w:val="00C21E61"/>
    <w:rsid w:val="00C21F94"/>
    <w:rsid w:val="00C224BD"/>
    <w:rsid w:val="00C234DB"/>
    <w:rsid w:val="00C23C5C"/>
    <w:rsid w:val="00C2479A"/>
    <w:rsid w:val="00C24903"/>
    <w:rsid w:val="00C2590D"/>
    <w:rsid w:val="00C25D9C"/>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72AA"/>
    <w:rsid w:val="00C90CF4"/>
    <w:rsid w:val="00C91C20"/>
    <w:rsid w:val="00C922DE"/>
    <w:rsid w:val="00C92843"/>
    <w:rsid w:val="00C92EB6"/>
    <w:rsid w:val="00C93389"/>
    <w:rsid w:val="00C948E6"/>
    <w:rsid w:val="00C94CDD"/>
    <w:rsid w:val="00C97588"/>
    <w:rsid w:val="00CA0346"/>
    <w:rsid w:val="00CA0DA1"/>
    <w:rsid w:val="00CA1BD6"/>
    <w:rsid w:val="00CA37FF"/>
    <w:rsid w:val="00CA423A"/>
    <w:rsid w:val="00CA47BC"/>
    <w:rsid w:val="00CA5EAD"/>
    <w:rsid w:val="00CA6AB4"/>
    <w:rsid w:val="00CA7255"/>
    <w:rsid w:val="00CB1BEE"/>
    <w:rsid w:val="00CB2351"/>
    <w:rsid w:val="00CB4022"/>
    <w:rsid w:val="00CB4930"/>
    <w:rsid w:val="00CB4BA9"/>
    <w:rsid w:val="00CB4C63"/>
    <w:rsid w:val="00CB5A48"/>
    <w:rsid w:val="00CB5E10"/>
    <w:rsid w:val="00CB613B"/>
    <w:rsid w:val="00CB6152"/>
    <w:rsid w:val="00CB64E1"/>
    <w:rsid w:val="00CB6E4D"/>
    <w:rsid w:val="00CC009B"/>
    <w:rsid w:val="00CC0834"/>
    <w:rsid w:val="00CC0AEA"/>
    <w:rsid w:val="00CC20FE"/>
    <w:rsid w:val="00CC225C"/>
    <w:rsid w:val="00CC2E7D"/>
    <w:rsid w:val="00CC5BE8"/>
    <w:rsid w:val="00CC612B"/>
    <w:rsid w:val="00CC655F"/>
    <w:rsid w:val="00CC66F9"/>
    <w:rsid w:val="00CC6C2A"/>
    <w:rsid w:val="00CC6FE5"/>
    <w:rsid w:val="00CC7458"/>
    <w:rsid w:val="00CC76BD"/>
    <w:rsid w:val="00CC7A87"/>
    <w:rsid w:val="00CD0D6B"/>
    <w:rsid w:val="00CD1060"/>
    <w:rsid w:val="00CD10A5"/>
    <w:rsid w:val="00CD1129"/>
    <w:rsid w:val="00CD1A80"/>
    <w:rsid w:val="00CD1CB5"/>
    <w:rsid w:val="00CD2076"/>
    <w:rsid w:val="00CD24CE"/>
    <w:rsid w:val="00CD29B5"/>
    <w:rsid w:val="00CD2B78"/>
    <w:rsid w:val="00CD3FAB"/>
    <w:rsid w:val="00CD5456"/>
    <w:rsid w:val="00CD5C3E"/>
    <w:rsid w:val="00CD5C57"/>
    <w:rsid w:val="00CD6331"/>
    <w:rsid w:val="00CE14BE"/>
    <w:rsid w:val="00CE17A4"/>
    <w:rsid w:val="00CE1BA9"/>
    <w:rsid w:val="00CE2D8F"/>
    <w:rsid w:val="00CE3532"/>
    <w:rsid w:val="00CE3E48"/>
    <w:rsid w:val="00CE46C0"/>
    <w:rsid w:val="00CE47B8"/>
    <w:rsid w:val="00CE54FD"/>
    <w:rsid w:val="00CE62FA"/>
    <w:rsid w:val="00CE670B"/>
    <w:rsid w:val="00CE6833"/>
    <w:rsid w:val="00CF020B"/>
    <w:rsid w:val="00CF15BF"/>
    <w:rsid w:val="00CF2E4D"/>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4C5B"/>
    <w:rsid w:val="00D15FED"/>
    <w:rsid w:val="00D16712"/>
    <w:rsid w:val="00D214EF"/>
    <w:rsid w:val="00D215B0"/>
    <w:rsid w:val="00D21D6D"/>
    <w:rsid w:val="00D21D83"/>
    <w:rsid w:val="00D22A47"/>
    <w:rsid w:val="00D235B7"/>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5781F"/>
    <w:rsid w:val="00D60415"/>
    <w:rsid w:val="00D60E3C"/>
    <w:rsid w:val="00D61FAB"/>
    <w:rsid w:val="00D63BE5"/>
    <w:rsid w:val="00D6475F"/>
    <w:rsid w:val="00D655D4"/>
    <w:rsid w:val="00D66223"/>
    <w:rsid w:val="00D667B8"/>
    <w:rsid w:val="00D67D55"/>
    <w:rsid w:val="00D70289"/>
    <w:rsid w:val="00D70822"/>
    <w:rsid w:val="00D72076"/>
    <w:rsid w:val="00D721B4"/>
    <w:rsid w:val="00D726A9"/>
    <w:rsid w:val="00D72DBA"/>
    <w:rsid w:val="00D743E0"/>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32B8"/>
    <w:rsid w:val="00D95302"/>
    <w:rsid w:val="00D95889"/>
    <w:rsid w:val="00D95C5D"/>
    <w:rsid w:val="00D97D00"/>
    <w:rsid w:val="00DA096C"/>
    <w:rsid w:val="00DA1AB6"/>
    <w:rsid w:val="00DA2E65"/>
    <w:rsid w:val="00DA3ADF"/>
    <w:rsid w:val="00DA4174"/>
    <w:rsid w:val="00DA544C"/>
    <w:rsid w:val="00DA5F8E"/>
    <w:rsid w:val="00DA6364"/>
    <w:rsid w:val="00DA7114"/>
    <w:rsid w:val="00DA7C0C"/>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17D0"/>
    <w:rsid w:val="00DC1E5D"/>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450F"/>
    <w:rsid w:val="00DE5CA6"/>
    <w:rsid w:val="00DE7AC8"/>
    <w:rsid w:val="00DF0830"/>
    <w:rsid w:val="00DF2C5D"/>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7BE"/>
    <w:rsid w:val="00E41CD5"/>
    <w:rsid w:val="00E42054"/>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1EF0"/>
    <w:rsid w:val="00E53470"/>
    <w:rsid w:val="00E5368D"/>
    <w:rsid w:val="00E539F6"/>
    <w:rsid w:val="00E54698"/>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C5F"/>
    <w:rsid w:val="00E71A58"/>
    <w:rsid w:val="00E728D7"/>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87CE2"/>
    <w:rsid w:val="00E90CA8"/>
    <w:rsid w:val="00E911C6"/>
    <w:rsid w:val="00E930A1"/>
    <w:rsid w:val="00E93820"/>
    <w:rsid w:val="00E94A86"/>
    <w:rsid w:val="00E951AB"/>
    <w:rsid w:val="00E953F6"/>
    <w:rsid w:val="00E96143"/>
    <w:rsid w:val="00E96833"/>
    <w:rsid w:val="00E97506"/>
    <w:rsid w:val="00E97BB5"/>
    <w:rsid w:val="00E97F14"/>
    <w:rsid w:val="00EA0C68"/>
    <w:rsid w:val="00EA0E39"/>
    <w:rsid w:val="00EA1D0E"/>
    <w:rsid w:val="00EA2072"/>
    <w:rsid w:val="00EA2841"/>
    <w:rsid w:val="00EA32BC"/>
    <w:rsid w:val="00EA35A7"/>
    <w:rsid w:val="00EA3B32"/>
    <w:rsid w:val="00EA3CEB"/>
    <w:rsid w:val="00EA3D05"/>
    <w:rsid w:val="00EA4402"/>
    <w:rsid w:val="00EA4B8D"/>
    <w:rsid w:val="00EA513E"/>
    <w:rsid w:val="00EA7419"/>
    <w:rsid w:val="00EB0E32"/>
    <w:rsid w:val="00EB3E60"/>
    <w:rsid w:val="00EB4511"/>
    <w:rsid w:val="00EB48D7"/>
    <w:rsid w:val="00EB49F1"/>
    <w:rsid w:val="00EB4A8E"/>
    <w:rsid w:val="00EB4BC5"/>
    <w:rsid w:val="00EB5BF7"/>
    <w:rsid w:val="00EB5E79"/>
    <w:rsid w:val="00EB6FAC"/>
    <w:rsid w:val="00EB7BAC"/>
    <w:rsid w:val="00EB7CC9"/>
    <w:rsid w:val="00EC03D7"/>
    <w:rsid w:val="00EC13A7"/>
    <w:rsid w:val="00EC2EB6"/>
    <w:rsid w:val="00EC4FFF"/>
    <w:rsid w:val="00EC6E8C"/>
    <w:rsid w:val="00ED0EF0"/>
    <w:rsid w:val="00ED12B9"/>
    <w:rsid w:val="00ED16B8"/>
    <w:rsid w:val="00ED1959"/>
    <w:rsid w:val="00ED1A00"/>
    <w:rsid w:val="00ED1DF0"/>
    <w:rsid w:val="00ED2386"/>
    <w:rsid w:val="00ED2EA1"/>
    <w:rsid w:val="00ED3851"/>
    <w:rsid w:val="00ED3E51"/>
    <w:rsid w:val="00ED3F10"/>
    <w:rsid w:val="00ED3F9B"/>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E06"/>
    <w:rsid w:val="00EE7179"/>
    <w:rsid w:val="00EF0D90"/>
    <w:rsid w:val="00EF150D"/>
    <w:rsid w:val="00EF1F5A"/>
    <w:rsid w:val="00EF23B5"/>
    <w:rsid w:val="00EF326A"/>
    <w:rsid w:val="00EF3898"/>
    <w:rsid w:val="00EF47BF"/>
    <w:rsid w:val="00EF52F7"/>
    <w:rsid w:val="00EF59B1"/>
    <w:rsid w:val="00EF5A13"/>
    <w:rsid w:val="00EF5FF9"/>
    <w:rsid w:val="00EF77D4"/>
    <w:rsid w:val="00EF7CC7"/>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FAA"/>
    <w:rsid w:val="00F25040"/>
    <w:rsid w:val="00F27071"/>
    <w:rsid w:val="00F27331"/>
    <w:rsid w:val="00F276D3"/>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615B"/>
    <w:rsid w:val="00F575D3"/>
    <w:rsid w:val="00F57D57"/>
    <w:rsid w:val="00F62BFF"/>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82D14"/>
    <w:rsid w:val="00F84E7D"/>
    <w:rsid w:val="00F85066"/>
    <w:rsid w:val="00F87A4D"/>
    <w:rsid w:val="00F93688"/>
    <w:rsid w:val="00F939F3"/>
    <w:rsid w:val="00F93C6E"/>
    <w:rsid w:val="00F93F2C"/>
    <w:rsid w:val="00F962AD"/>
    <w:rsid w:val="00F9644E"/>
    <w:rsid w:val="00FA0105"/>
    <w:rsid w:val="00FA05A0"/>
    <w:rsid w:val="00FA0AEF"/>
    <w:rsid w:val="00FA17CC"/>
    <w:rsid w:val="00FA1CFE"/>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580"/>
    <w:rsid w:val="00FB564F"/>
    <w:rsid w:val="00FB7DBB"/>
    <w:rsid w:val="00FC05F8"/>
    <w:rsid w:val="00FC077B"/>
    <w:rsid w:val="00FC0E5F"/>
    <w:rsid w:val="00FC1266"/>
    <w:rsid w:val="00FC1A95"/>
    <w:rsid w:val="00FC1ED4"/>
    <w:rsid w:val="00FC3BEC"/>
    <w:rsid w:val="00FC440B"/>
    <w:rsid w:val="00FC56DE"/>
    <w:rsid w:val="00FC63D9"/>
    <w:rsid w:val="00FC64DE"/>
    <w:rsid w:val="00FC6785"/>
    <w:rsid w:val="00FC684B"/>
    <w:rsid w:val="00FC7D98"/>
    <w:rsid w:val="00FD1135"/>
    <w:rsid w:val="00FD3265"/>
    <w:rsid w:val="00FD3CF7"/>
    <w:rsid w:val="00FD4916"/>
    <w:rsid w:val="00FD4D12"/>
    <w:rsid w:val="00FD4F73"/>
    <w:rsid w:val="00FD595E"/>
    <w:rsid w:val="00FD7802"/>
    <w:rsid w:val="00FE27C7"/>
    <w:rsid w:val="00FE2C7E"/>
    <w:rsid w:val="00FE2F78"/>
    <w:rsid w:val="00FE3137"/>
    <w:rsid w:val="00FE346B"/>
    <w:rsid w:val="00FE346F"/>
    <w:rsid w:val="00FE48E4"/>
    <w:rsid w:val="00FE634C"/>
    <w:rsid w:val="00FE6E69"/>
    <w:rsid w:val="00FE6F59"/>
    <w:rsid w:val="00FF01B6"/>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Odv&#283;tv&#237;\Odv&#283;tv&#237;%20grafy-2q-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Odv&#283;tv&#237;\Odv&#283;tv&#237;%20grafy-2q-2021-nov&#25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Odv&#283;tv&#237;\Odv&#283;tv&#237;%20grafy-2q-2021-nov&#25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Q-makro-1.%20pololet&#237;-2021\Odv&#283;tv&#237;\Odv&#283;tv&#237;%20grafy-2q-2021-nov&#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6203544707895996E-2"/>
          <c:w val="0.84974974879787502"/>
          <c:h val="0.71911425331511469"/>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IPP'!$R$27:$AR$27</c:f>
              <c:numCache>
                <c:formatCode>0.0</c:formatCode>
                <c:ptCount val="27"/>
                <c:pt idx="0">
                  <c:v>1.5428898176392496</c:v>
                </c:pt>
                <c:pt idx="1">
                  <c:v>2.1743718256924107</c:v>
                </c:pt>
                <c:pt idx="2">
                  <c:v>2.3590492908960439</c:v>
                </c:pt>
                <c:pt idx="3">
                  <c:v>2.8772486090638396</c:v>
                </c:pt>
                <c:pt idx="4">
                  <c:v>3.3183568360577667</c:v>
                </c:pt>
                <c:pt idx="5">
                  <c:v>2.726135980015763</c:v>
                </c:pt>
                <c:pt idx="6">
                  <c:v>1.4737639394577176</c:v>
                </c:pt>
                <c:pt idx="7">
                  <c:v>1.0298153192049733</c:v>
                </c:pt>
                <c:pt idx="8">
                  <c:v>1.7609137024842152</c:v>
                </c:pt>
                <c:pt idx="9">
                  <c:v>2.1167862077962001</c:v>
                </c:pt>
                <c:pt idx="10">
                  <c:v>1.5869964664235507</c:v>
                </c:pt>
                <c:pt idx="11">
                  <c:v>1.681411454669806</c:v>
                </c:pt>
                <c:pt idx="12">
                  <c:v>0.74237714955218947</c:v>
                </c:pt>
                <c:pt idx="13">
                  <c:v>0.54613557309892891</c:v>
                </c:pt>
                <c:pt idx="14">
                  <c:v>0.23904640916369443</c:v>
                </c:pt>
                <c:pt idx="15">
                  <c:v>0.98490029941942658</c:v>
                </c:pt>
                <c:pt idx="16">
                  <c:v>-0.22712700654221288</c:v>
                </c:pt>
                <c:pt idx="17">
                  <c:v>0.47876328427856657</c:v>
                </c:pt>
                <c:pt idx="18">
                  <c:v>0.83775598681488828</c:v>
                </c:pt>
                <c:pt idx="19">
                  <c:v>-1.1010749377233835</c:v>
                </c:pt>
                <c:pt idx="20">
                  <c:v>-1.5400994508720254</c:v>
                </c:pt>
                <c:pt idx="21">
                  <c:v>-9.3996605775771389</c:v>
                </c:pt>
                <c:pt idx="22">
                  <c:v>-0.1984331735847174</c:v>
                </c:pt>
                <c:pt idx="23">
                  <c:v>2.0419884732728906</c:v>
                </c:pt>
                <c:pt idx="24">
                  <c:v>1.783245169103493</c:v>
                </c:pt>
                <c:pt idx="25">
                  <c:v>11.457884985980385</c:v>
                </c:pt>
              </c:numCache>
            </c:numRef>
          </c:val>
          <c:extLst>
            <c:ext xmlns:c16="http://schemas.microsoft.com/office/drawing/2014/chart" uri="{C3380CC4-5D6E-409C-BE32-E72D297353CC}">
              <c16:uniqueId val="{00000000-0696-4F9D-9ED6-365B06A2FB9E}"/>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IPP'!$R$28:$AR$28</c:f>
              <c:numCache>
                <c:formatCode>0.0</c:formatCode>
                <c:ptCount val="27"/>
                <c:pt idx="0">
                  <c:v>1.034672951175343</c:v>
                </c:pt>
                <c:pt idx="1">
                  <c:v>1.2402872249055439</c:v>
                </c:pt>
                <c:pt idx="2">
                  <c:v>1.3942884794721908</c:v>
                </c:pt>
                <c:pt idx="3">
                  <c:v>0.63756976588884984</c:v>
                </c:pt>
                <c:pt idx="4">
                  <c:v>0.7944903405734538</c:v>
                </c:pt>
                <c:pt idx="5">
                  <c:v>0.20047553290148593</c:v>
                </c:pt>
                <c:pt idx="6">
                  <c:v>0.26203247933087592</c:v>
                </c:pt>
                <c:pt idx="7">
                  <c:v>0.42925022381945577</c:v>
                </c:pt>
                <c:pt idx="8">
                  <c:v>0.85509469319178899</c:v>
                </c:pt>
                <c:pt idx="9">
                  <c:v>1.4003096522077234</c:v>
                </c:pt>
                <c:pt idx="10">
                  <c:v>0.85542183955477147</c:v>
                </c:pt>
                <c:pt idx="11">
                  <c:v>1.6527257176884005</c:v>
                </c:pt>
                <c:pt idx="12">
                  <c:v>0.96912614591005941</c:v>
                </c:pt>
                <c:pt idx="13">
                  <c:v>0.34015391143850388</c:v>
                </c:pt>
                <c:pt idx="14">
                  <c:v>0.42914077951440655</c:v>
                </c:pt>
                <c:pt idx="15">
                  <c:v>-4.0280326098931243E-2</c:v>
                </c:pt>
                <c:pt idx="16">
                  <c:v>0.52468036745672719</c:v>
                </c:pt>
                <c:pt idx="17">
                  <c:v>0.40727721709233999</c:v>
                </c:pt>
                <c:pt idx="18">
                  <c:v>0.23777798772963615</c:v>
                </c:pt>
                <c:pt idx="19">
                  <c:v>0.39315489791744185</c:v>
                </c:pt>
                <c:pt idx="20">
                  <c:v>-0.5336834932447807</c:v>
                </c:pt>
                <c:pt idx="21">
                  <c:v>-4.0591767538544659</c:v>
                </c:pt>
                <c:pt idx="22">
                  <c:v>-0.43318739953820484</c:v>
                </c:pt>
                <c:pt idx="23">
                  <c:v>0.56877492176088063</c:v>
                </c:pt>
                <c:pt idx="24">
                  <c:v>0.90068361305567801</c:v>
                </c:pt>
                <c:pt idx="25">
                  <c:v>5.5137038592871939</c:v>
                </c:pt>
              </c:numCache>
            </c:numRef>
          </c:val>
          <c:extLst>
            <c:ext xmlns:c16="http://schemas.microsoft.com/office/drawing/2014/chart" uri="{C3380CC4-5D6E-409C-BE32-E72D297353CC}">
              <c16:uniqueId val="{00000001-0696-4F9D-9ED6-365B06A2FB9E}"/>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IPP'!$R$29:$AR$29</c:f>
              <c:numCache>
                <c:formatCode>0.0</c:formatCode>
                <c:ptCount val="27"/>
                <c:pt idx="0">
                  <c:v>0.27254464463314693</c:v>
                </c:pt>
                <c:pt idx="1">
                  <c:v>0.29396963786095853</c:v>
                </c:pt>
                <c:pt idx="2">
                  <c:v>0.39152523509606818</c:v>
                </c:pt>
                <c:pt idx="3">
                  <c:v>1.6200417736821196E-2</c:v>
                </c:pt>
                <c:pt idx="4">
                  <c:v>0.36694942006841863</c:v>
                </c:pt>
                <c:pt idx="5">
                  <c:v>-7.7911792574484814E-2</c:v>
                </c:pt>
                <c:pt idx="6">
                  <c:v>0.1987099016441323</c:v>
                </c:pt>
                <c:pt idx="7">
                  <c:v>0.31990708238357735</c:v>
                </c:pt>
                <c:pt idx="8">
                  <c:v>0.34959411680822744</c:v>
                </c:pt>
                <c:pt idx="9">
                  <c:v>1.0827590636445108</c:v>
                </c:pt>
                <c:pt idx="10">
                  <c:v>0.85295353330611445</c:v>
                </c:pt>
                <c:pt idx="11">
                  <c:v>0.80087396958540291</c:v>
                </c:pt>
                <c:pt idx="12">
                  <c:v>0.479471307913379</c:v>
                </c:pt>
                <c:pt idx="13">
                  <c:v>0.1423157226032094</c:v>
                </c:pt>
                <c:pt idx="14">
                  <c:v>0.18574582107238052</c:v>
                </c:pt>
                <c:pt idx="15">
                  <c:v>-0.19599700087649827</c:v>
                </c:pt>
                <c:pt idx="16">
                  <c:v>0.14262071470057108</c:v>
                </c:pt>
                <c:pt idx="17">
                  <c:v>-1.7720632744717035E-2</c:v>
                </c:pt>
                <c:pt idx="18">
                  <c:v>-0.26820737830766378</c:v>
                </c:pt>
                <c:pt idx="19">
                  <c:v>-0.13470183553131065</c:v>
                </c:pt>
                <c:pt idx="20">
                  <c:v>-0.70067449755996181</c:v>
                </c:pt>
                <c:pt idx="21">
                  <c:v>-2.1429229667168639</c:v>
                </c:pt>
                <c:pt idx="22">
                  <c:v>-0.79850670146483804</c:v>
                </c:pt>
                <c:pt idx="23">
                  <c:v>-0.53309088102789204</c:v>
                </c:pt>
                <c:pt idx="24">
                  <c:v>6.0882399541106913E-2</c:v>
                </c:pt>
                <c:pt idx="25">
                  <c:v>2.1284857067707743</c:v>
                </c:pt>
              </c:numCache>
            </c:numRef>
          </c:val>
          <c:extLst>
            <c:ext xmlns:c16="http://schemas.microsoft.com/office/drawing/2014/chart" uri="{C3380CC4-5D6E-409C-BE32-E72D297353CC}">
              <c16:uniqueId val="{00000002-0696-4F9D-9ED6-365B06A2FB9E}"/>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IPP'!$R$30:$AR$30</c:f>
              <c:numCache>
                <c:formatCode>0.0</c:formatCode>
                <c:ptCount val="27"/>
                <c:pt idx="0">
                  <c:v>0.69598466412593474</c:v>
                </c:pt>
                <c:pt idx="1">
                  <c:v>0.78523209830157625</c:v>
                </c:pt>
                <c:pt idx="2">
                  <c:v>0.97812808698582676</c:v>
                </c:pt>
                <c:pt idx="3">
                  <c:v>0.60585855548016065</c:v>
                </c:pt>
                <c:pt idx="4">
                  <c:v>0.7974142567928203</c:v>
                </c:pt>
                <c:pt idx="5">
                  <c:v>0.39435941300086852</c:v>
                </c:pt>
                <c:pt idx="6">
                  <c:v>0.22320292471013239</c:v>
                </c:pt>
                <c:pt idx="7">
                  <c:v>0.25093421694411544</c:v>
                </c:pt>
                <c:pt idx="8">
                  <c:v>0.420593323359785</c:v>
                </c:pt>
                <c:pt idx="9">
                  <c:v>0.91449350181259326</c:v>
                </c:pt>
                <c:pt idx="10">
                  <c:v>0.85069745323039048</c:v>
                </c:pt>
                <c:pt idx="11">
                  <c:v>0.96475784711286927</c:v>
                </c:pt>
                <c:pt idx="12">
                  <c:v>0.6496282287639249</c:v>
                </c:pt>
                <c:pt idx="13">
                  <c:v>0.47190400503104318</c:v>
                </c:pt>
                <c:pt idx="14">
                  <c:v>0.40332248383604502</c:v>
                </c:pt>
                <c:pt idx="15">
                  <c:v>0.15276873851363962</c:v>
                </c:pt>
                <c:pt idx="16">
                  <c:v>0.25794025853962294</c:v>
                </c:pt>
                <c:pt idx="17">
                  <c:v>8.1804977725853222E-3</c:v>
                </c:pt>
                <c:pt idx="18">
                  <c:v>-0.23678308583363922</c:v>
                </c:pt>
                <c:pt idx="19">
                  <c:v>-0.3569761365718796</c:v>
                </c:pt>
                <c:pt idx="20">
                  <c:v>-0.60279608093648751</c:v>
                </c:pt>
                <c:pt idx="21">
                  <c:v>-2.0867839126509864</c:v>
                </c:pt>
                <c:pt idx="22">
                  <c:v>-0.54628616828783072</c:v>
                </c:pt>
                <c:pt idx="23">
                  <c:v>0.14233966871529949</c:v>
                </c:pt>
                <c:pt idx="24">
                  <c:v>0.5024976254118193</c:v>
                </c:pt>
                <c:pt idx="25">
                  <c:v>3.0678936722203458</c:v>
                </c:pt>
              </c:numCache>
            </c:numRef>
          </c:val>
          <c:extLst>
            <c:ext xmlns:c16="http://schemas.microsoft.com/office/drawing/2014/chart" uri="{C3380CC4-5D6E-409C-BE32-E72D297353CC}">
              <c16:uniqueId val="{00000003-0696-4F9D-9ED6-365B06A2FB9E}"/>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IPP'!$R$31:$AR$31</c:f>
              <c:numCache>
                <c:formatCode>0.0</c:formatCode>
                <c:ptCount val="27"/>
                <c:pt idx="0">
                  <c:v>0.10174478910853679</c:v>
                </c:pt>
                <c:pt idx="1">
                  <c:v>1.5828953523061507E-2</c:v>
                </c:pt>
                <c:pt idx="2">
                  <c:v>4.099582748163963E-2</c:v>
                </c:pt>
                <c:pt idx="3">
                  <c:v>-7.2764071813088554E-2</c:v>
                </c:pt>
                <c:pt idx="4">
                  <c:v>-5.3199772200864092E-3</c:v>
                </c:pt>
                <c:pt idx="5">
                  <c:v>6.0334021815885465E-2</c:v>
                </c:pt>
                <c:pt idx="6">
                  <c:v>5.0638983184188399E-2</c:v>
                </c:pt>
                <c:pt idx="7">
                  <c:v>0.16208161104378524</c:v>
                </c:pt>
                <c:pt idx="8">
                  <c:v>0.14164406764460333</c:v>
                </c:pt>
                <c:pt idx="9">
                  <c:v>0.36084600241723092</c:v>
                </c:pt>
                <c:pt idx="10">
                  <c:v>0.23025191154693395</c:v>
                </c:pt>
                <c:pt idx="11">
                  <c:v>0.23490510719047802</c:v>
                </c:pt>
                <c:pt idx="12">
                  <c:v>0.39487785017355559</c:v>
                </c:pt>
                <c:pt idx="13">
                  <c:v>0.15525543720367532</c:v>
                </c:pt>
                <c:pt idx="14">
                  <c:v>0.63668466142391178</c:v>
                </c:pt>
                <c:pt idx="15">
                  <c:v>0.31239835694712781</c:v>
                </c:pt>
                <c:pt idx="16">
                  <c:v>-0.11382932295885198</c:v>
                </c:pt>
                <c:pt idx="17">
                  <c:v>-4.341493446561568E-2</c:v>
                </c:pt>
                <c:pt idx="18">
                  <c:v>-0.61087240850785662</c:v>
                </c:pt>
                <c:pt idx="19">
                  <c:v>-0.34647971068415334</c:v>
                </c:pt>
                <c:pt idx="20">
                  <c:v>-9.3262273282259972E-2</c:v>
                </c:pt>
                <c:pt idx="21">
                  <c:v>-0.27991365476515007</c:v>
                </c:pt>
                <c:pt idx="22">
                  <c:v>3.7480674787972556E-3</c:v>
                </c:pt>
                <c:pt idx="23">
                  <c:v>-5.8376761155660142E-3</c:v>
                </c:pt>
                <c:pt idx="24">
                  <c:v>9.3943210027643706E-2</c:v>
                </c:pt>
                <c:pt idx="25">
                  <c:v>0.15306612055432237</c:v>
                </c:pt>
              </c:numCache>
            </c:numRef>
          </c:val>
          <c:extLst>
            <c:ext xmlns:c16="http://schemas.microsoft.com/office/drawing/2014/chart" uri="{C3380CC4-5D6E-409C-BE32-E72D297353CC}">
              <c16:uniqueId val="{00000004-0696-4F9D-9ED6-365B06A2FB9E}"/>
            </c:ext>
          </c:extLst>
        </c:ser>
        <c:ser>
          <c:idx val="5"/>
          <c:order val="5"/>
          <c:tx>
            <c:strRef>
              <c:f>'GRAF příspěvky IPP'!$A$32</c:f>
              <c:strCache>
                <c:ptCount val="1"/>
                <c:pt idx="0">
                  <c:v>Chemický a farmaceutický pr. (20, 21)</c:v>
                </c:pt>
              </c:strCache>
            </c:strRef>
          </c:tx>
          <c:spPr>
            <a:solidFill>
              <a:srgbClr val="F8A124"/>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IPP'!$R$32:$AR$32</c:f>
              <c:numCache>
                <c:formatCode>0.0</c:formatCode>
                <c:ptCount val="27"/>
                <c:pt idx="0">
                  <c:v>7.7143378794105238E-2</c:v>
                </c:pt>
                <c:pt idx="1">
                  <c:v>0.23593739633638305</c:v>
                </c:pt>
                <c:pt idx="2">
                  <c:v>-0.1618035309720528</c:v>
                </c:pt>
                <c:pt idx="3">
                  <c:v>-0.33496224531375707</c:v>
                </c:pt>
                <c:pt idx="4">
                  <c:v>-0.41674583594172754</c:v>
                </c:pt>
                <c:pt idx="5">
                  <c:v>-0.4282443957917389</c:v>
                </c:pt>
                <c:pt idx="6">
                  <c:v>-0.10705569687500868</c:v>
                </c:pt>
                <c:pt idx="7">
                  <c:v>0.23734613396913962</c:v>
                </c:pt>
                <c:pt idx="8">
                  <c:v>0.52004631375398047</c:v>
                </c:pt>
                <c:pt idx="9">
                  <c:v>0.82674096187567125</c:v>
                </c:pt>
                <c:pt idx="10">
                  <c:v>0.6516009273870198</c:v>
                </c:pt>
                <c:pt idx="11">
                  <c:v>0.50475413241681488</c:v>
                </c:pt>
                <c:pt idx="12">
                  <c:v>0.40512406777705501</c:v>
                </c:pt>
                <c:pt idx="13">
                  <c:v>7.9522592595157926E-2</c:v>
                </c:pt>
                <c:pt idx="14">
                  <c:v>-5.31759637412869E-2</c:v>
                </c:pt>
                <c:pt idx="15">
                  <c:v>-6.9085533222069381E-2</c:v>
                </c:pt>
                <c:pt idx="16">
                  <c:v>0.10389114606048008</c:v>
                </c:pt>
                <c:pt idx="17">
                  <c:v>4.8518655211085254E-2</c:v>
                </c:pt>
                <c:pt idx="18">
                  <c:v>0.22788597854650419</c:v>
                </c:pt>
                <c:pt idx="19">
                  <c:v>3.146341110732534E-2</c:v>
                </c:pt>
                <c:pt idx="20">
                  <c:v>-3.2343833499911212E-2</c:v>
                </c:pt>
                <c:pt idx="21">
                  <c:v>-0.54875551656759858</c:v>
                </c:pt>
                <c:pt idx="22">
                  <c:v>-0.21314624785035269</c:v>
                </c:pt>
                <c:pt idx="23">
                  <c:v>0.43258748242153289</c:v>
                </c:pt>
                <c:pt idx="24">
                  <c:v>0.26430043366619738</c:v>
                </c:pt>
                <c:pt idx="25">
                  <c:v>0.80015964881321644</c:v>
                </c:pt>
              </c:numCache>
            </c:numRef>
          </c:val>
          <c:extLst>
            <c:ext xmlns:c16="http://schemas.microsoft.com/office/drawing/2014/chart" uri="{C3380CC4-5D6E-409C-BE32-E72D297353CC}">
              <c16:uniqueId val="{00000005-0696-4F9D-9ED6-365B06A2FB9E}"/>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IPP'!$R$33:$AR$33</c:f>
              <c:numCache>
                <c:formatCode>0.0</c:formatCode>
                <c:ptCount val="27"/>
                <c:pt idx="0">
                  <c:v>0.99790191745106882</c:v>
                </c:pt>
                <c:pt idx="1">
                  <c:v>0.89869551924785085</c:v>
                </c:pt>
                <c:pt idx="2">
                  <c:v>1.0140985408551135</c:v>
                </c:pt>
                <c:pt idx="3">
                  <c:v>-0.23144536420896189</c:v>
                </c:pt>
                <c:pt idx="4">
                  <c:v>0.26284587339298521</c:v>
                </c:pt>
                <c:pt idx="5">
                  <c:v>-0.36379862472242158</c:v>
                </c:pt>
                <c:pt idx="6">
                  <c:v>6.0778320295188704E-2</c:v>
                </c:pt>
                <c:pt idx="7">
                  <c:v>0.57462664260793739</c:v>
                </c:pt>
                <c:pt idx="8">
                  <c:v>7.0021742223497829E-2</c:v>
                </c:pt>
                <c:pt idx="9">
                  <c:v>1.4968765381346332</c:v>
                </c:pt>
                <c:pt idx="10">
                  <c:v>0.75563441850938817</c:v>
                </c:pt>
                <c:pt idx="11">
                  <c:v>0.97414760712501969</c:v>
                </c:pt>
                <c:pt idx="12">
                  <c:v>1.1572391799219797</c:v>
                </c:pt>
                <c:pt idx="13">
                  <c:v>0.6725057701913375</c:v>
                </c:pt>
                <c:pt idx="14">
                  <c:v>1.1043020585420495</c:v>
                </c:pt>
                <c:pt idx="15">
                  <c:v>0.49003903449396968</c:v>
                </c:pt>
                <c:pt idx="16">
                  <c:v>-4.5073361183030347E-2</c:v>
                </c:pt>
                <c:pt idx="17">
                  <c:v>4.2642071767505327E-2</c:v>
                </c:pt>
                <c:pt idx="18">
                  <c:v>-0.66202289851528051</c:v>
                </c:pt>
                <c:pt idx="19">
                  <c:v>-0.22564017800563624</c:v>
                </c:pt>
                <c:pt idx="20">
                  <c:v>7.6841219891765677E-2</c:v>
                </c:pt>
                <c:pt idx="21">
                  <c:v>-2.8313423651484886</c:v>
                </c:pt>
                <c:pt idx="22">
                  <c:v>8.2797121426130077E-2</c:v>
                </c:pt>
                <c:pt idx="23">
                  <c:v>9.7557088121208529E-2</c:v>
                </c:pt>
                <c:pt idx="24">
                  <c:v>-0.15110672459180577</c:v>
                </c:pt>
                <c:pt idx="25">
                  <c:v>4.133502245600396</c:v>
                </c:pt>
              </c:numCache>
            </c:numRef>
          </c:val>
          <c:extLst>
            <c:ext xmlns:c16="http://schemas.microsoft.com/office/drawing/2014/chart" uri="{C3380CC4-5D6E-409C-BE32-E72D297353CC}">
              <c16:uniqueId val="{00000006-0696-4F9D-9ED6-365B06A2FB9E}"/>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IPP'!$R$34:$AR$34</c:f>
              <c:numCache>
                <c:formatCode>0.0</c:formatCode>
                <c:ptCount val="27"/>
                <c:pt idx="0">
                  <c:v>0.14536369337262112</c:v>
                </c:pt>
                <c:pt idx="1">
                  <c:v>-0.33984851886778389</c:v>
                </c:pt>
                <c:pt idx="2">
                  <c:v>-0.39719330301482159</c:v>
                </c:pt>
                <c:pt idx="3">
                  <c:v>-1.1146161627338653</c:v>
                </c:pt>
                <c:pt idx="4">
                  <c:v>-0.64581780602362893</c:v>
                </c:pt>
                <c:pt idx="5">
                  <c:v>9.8757674154636987E-2</c:v>
                </c:pt>
                <c:pt idx="6">
                  <c:v>-0.47678822664722548</c:v>
                </c:pt>
                <c:pt idx="7">
                  <c:v>0.5038061309270212</c:v>
                </c:pt>
                <c:pt idx="8">
                  <c:v>0.66217224583389844</c:v>
                </c:pt>
                <c:pt idx="9">
                  <c:v>-0.18248944438855802</c:v>
                </c:pt>
                <c:pt idx="10">
                  <c:v>0.77178193644183435</c:v>
                </c:pt>
                <c:pt idx="11">
                  <c:v>0.73275070181120505</c:v>
                </c:pt>
                <c:pt idx="12">
                  <c:v>-0.53887865891214681</c:v>
                </c:pt>
                <c:pt idx="13">
                  <c:v>4.2205690381435096E-3</c:v>
                </c:pt>
                <c:pt idx="14">
                  <c:v>0.78780707738879552</c:v>
                </c:pt>
                <c:pt idx="15">
                  <c:v>0.33124326032333173</c:v>
                </c:pt>
                <c:pt idx="16">
                  <c:v>0.21326016962669453</c:v>
                </c:pt>
                <c:pt idx="17">
                  <c:v>4.593311018825097E-2</c:v>
                </c:pt>
                <c:pt idx="18">
                  <c:v>-0.66562135602659178</c:v>
                </c:pt>
                <c:pt idx="19">
                  <c:v>-0.33090067760840614</c:v>
                </c:pt>
                <c:pt idx="20">
                  <c:v>-0.97349114199634235</c:v>
                </c:pt>
                <c:pt idx="21">
                  <c:v>-1.5874404115193026</c:v>
                </c:pt>
                <c:pt idx="22">
                  <c:v>-0.71569504087898972</c:v>
                </c:pt>
                <c:pt idx="23">
                  <c:v>-0.6949618157483497</c:v>
                </c:pt>
                <c:pt idx="24">
                  <c:v>0.45638788328587099</c:v>
                </c:pt>
                <c:pt idx="25">
                  <c:v>0.4715212296733623</c:v>
                </c:pt>
              </c:numCache>
            </c:numRef>
          </c:val>
          <c:extLst>
            <c:ext xmlns:c16="http://schemas.microsoft.com/office/drawing/2014/chart" uri="{C3380CC4-5D6E-409C-BE32-E72D297353CC}">
              <c16:uniqueId val="{00000007-0696-4F9D-9ED6-365B06A2FB9E}"/>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Průmysl celkem (NACE B, C,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IPP'!$R$35:$AR$35</c:f>
              <c:numCache>
                <c:formatCode>0.0</c:formatCode>
                <c:ptCount val="27"/>
                <c:pt idx="0">
                  <c:v>4.8682458563000068</c:v>
                </c:pt>
                <c:pt idx="1">
                  <c:v>5.3044741369999997</c:v>
                </c:pt>
                <c:pt idx="2">
                  <c:v>5.6190886268000071</c:v>
                </c:pt>
                <c:pt idx="3">
                  <c:v>2.3830895040999991</c:v>
                </c:pt>
                <c:pt idx="4">
                  <c:v>4.4721731077000015</c:v>
                </c:pt>
                <c:pt idx="5">
                  <c:v>2.6101078087999952</c:v>
                </c:pt>
                <c:pt idx="6">
                  <c:v>1.685282625100001</c:v>
                </c:pt>
                <c:pt idx="7">
                  <c:v>3.5077673609000044</c:v>
                </c:pt>
                <c:pt idx="8">
                  <c:v>4.7800802052999956</c:v>
                </c:pt>
                <c:pt idx="9">
                  <c:v>8.0163224835000051</c:v>
                </c:pt>
                <c:pt idx="10">
                  <c:v>6.5553384864000037</c:v>
                </c:pt>
                <c:pt idx="11">
                  <c:v>7.5463265375999953</c:v>
                </c:pt>
                <c:pt idx="12">
                  <c:v>4.2589652710999957</c:v>
                </c:pt>
                <c:pt idx="13">
                  <c:v>2.4120135812000001</c:v>
                </c:pt>
                <c:pt idx="14">
                  <c:v>3.7328733271999965</c:v>
                </c:pt>
                <c:pt idx="15">
                  <c:v>1.9659868294999967</c:v>
                </c:pt>
                <c:pt idx="16">
                  <c:v>0.8563629657000007</c:v>
                </c:pt>
                <c:pt idx="17">
                  <c:v>0.97017926910000085</c:v>
                </c:pt>
                <c:pt idx="18">
                  <c:v>-1.1400871741000032</c:v>
                </c:pt>
                <c:pt idx="19">
                  <c:v>-2.0711551671000024</c:v>
                </c:pt>
                <c:pt idx="20">
                  <c:v>-4.3995095515000031</c:v>
                </c:pt>
                <c:pt idx="21">
                  <c:v>-22.935996158799995</c:v>
                </c:pt>
                <c:pt idx="22">
                  <c:v>-2.818709542700006</c:v>
                </c:pt>
                <c:pt idx="23">
                  <c:v>2.0493572614000044</c:v>
                </c:pt>
                <c:pt idx="24">
                  <c:v>3.9108336095000027</c:v>
                </c:pt>
                <c:pt idx="25">
                  <c:v>27.726217468900003</c:v>
                </c:pt>
              </c:numCache>
            </c:numRef>
          </c:val>
          <c:smooth val="0"/>
          <c:extLst>
            <c:ext xmlns:c16="http://schemas.microsoft.com/office/drawing/2014/chart" uri="{C3380CC4-5D6E-409C-BE32-E72D297353CC}">
              <c16:uniqueId val="{00000008-0696-4F9D-9ED6-365B06A2FB9E}"/>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IPP'!$R$36:$AR$36</c:f>
              <c:numCache>
                <c:formatCode>0.0</c:formatCode>
                <c:ptCount val="27"/>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c:v>
                </c:pt>
                <c:pt idx="22">
                  <c:v>-6.3</c:v>
                </c:pt>
                <c:pt idx="23">
                  <c:v>-10</c:v>
                </c:pt>
                <c:pt idx="24">
                  <c:v>-1.3</c:v>
                </c:pt>
                <c:pt idx="25">
                  <c:v>5.3</c:v>
                </c:pt>
                <c:pt idx="26">
                  <c:v>-1.3</c:v>
                </c:pt>
              </c:numCache>
            </c:numRef>
          </c:val>
          <c:smooth val="0"/>
          <c:extLst>
            <c:ext xmlns:c16="http://schemas.microsoft.com/office/drawing/2014/chart" uri="{C3380CC4-5D6E-409C-BE32-E72D297353CC}">
              <c16:uniqueId val="{00000009-0696-4F9D-9ED6-365B06A2FB9E}"/>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28"/>
          <c:min val="-24"/>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Průmyslová</a:t>
                </a:r>
                <a:r>
                  <a:rPr lang="cs-CZ" sz="700" b="0" i="1" baseline="0">
                    <a:latin typeface="Arial" panose="020B0604020202020204" pitchFamily="34" charset="0"/>
                    <a:cs typeface="Arial" panose="020B0604020202020204" pitchFamily="34" charset="0"/>
                  </a:rPr>
                  <a:t> produkce</a:t>
                </a:r>
                <a:endParaRPr lang="cs-CZ" sz="700" b="0" i="1">
                  <a:latin typeface="Arial" panose="020B0604020202020204" pitchFamily="34" charset="0"/>
                  <a:cs typeface="Arial" panose="020B0604020202020204" pitchFamily="34" charset="0"/>
                </a:endParaRPr>
              </a:p>
            </c:rich>
          </c:tx>
          <c:layout>
            <c:manualLayout>
              <c:xMode val="edge"/>
              <c:yMode val="edge"/>
              <c:x val="0"/>
              <c:y val="0.2024453460319801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4"/>
      </c:valAx>
      <c:valAx>
        <c:axId val="1513729024"/>
        <c:scaling>
          <c:orientation val="minMax"/>
          <c:max val="15"/>
          <c:min val="-5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a:t>
                </a:r>
                <a:r>
                  <a:rPr lang="cs-CZ" sz="700" b="0" i="1" baseline="0">
                    <a:latin typeface="Arial" panose="020B0604020202020204" pitchFamily="34" charset="0"/>
                    <a:cs typeface="Arial" panose="020B0604020202020204" pitchFamily="34" charset="0"/>
                  </a:rPr>
                  <a:t> indikátoru důvěry</a:t>
                </a:r>
                <a:endParaRPr lang="cs-CZ" sz="700" b="0" i="1">
                  <a:latin typeface="Arial" panose="020B0604020202020204" pitchFamily="34" charset="0"/>
                  <a:cs typeface="Arial" panose="020B0604020202020204" pitchFamily="34" charset="0"/>
                </a:endParaRPr>
              </a:p>
            </c:rich>
          </c:tx>
          <c:layout>
            <c:manualLayout>
              <c:xMode val="edge"/>
              <c:yMode val="edge"/>
              <c:x val="0.97073916983354047"/>
              <c:y val="0.1919156077545873"/>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5"/>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3674313143127631E-3"/>
          <c:y val="0.8208401379824497"/>
          <c:w val="0.99049246182308814"/>
          <c:h val="0.1680903527628885"/>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15582501720615E-2"/>
          <c:y val="1.643251153889452E-2"/>
          <c:w val="0.86254083709606399"/>
          <c:h val="0.76336766858043459"/>
        </c:manualLayout>
      </c:layout>
      <c:barChart>
        <c:barDir val="col"/>
        <c:grouping val="clustered"/>
        <c:varyColors val="0"/>
        <c:ser>
          <c:idx val="0"/>
          <c:order val="0"/>
          <c:tx>
            <c:strRef>
              <c:f>'výkonnost odvětví 2'!$A$31</c:f>
              <c:strCache>
                <c:ptCount val="1"/>
                <c:pt idx="0">
                  <c:v>Průmyslové zakázky celkem</c:v>
                </c:pt>
              </c:strCache>
            </c:strRef>
          </c:tx>
          <c:spPr>
            <a:solidFill>
              <a:schemeClr val="bg1">
                <a:lumMod val="65000"/>
              </a:schemeClr>
            </a:solidFill>
            <a:ln w="12700">
              <a:noFill/>
              <a:prstDash val="solid"/>
            </a:ln>
          </c:spPr>
          <c:invertIfNegative val="0"/>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2'!$R$31:$AR$31</c:f>
              <c:numCache>
                <c:formatCode>#\ ##0.0__</c:formatCode>
                <c:ptCount val="27"/>
                <c:pt idx="0">
                  <c:v>8.5397251010390391</c:v>
                </c:pt>
                <c:pt idx="1">
                  <c:v>6.4894834031568251</c:v>
                </c:pt>
                <c:pt idx="2">
                  <c:v>4.1045761314248068</c:v>
                </c:pt>
                <c:pt idx="3">
                  <c:v>6.0151063810169205</c:v>
                </c:pt>
                <c:pt idx="4">
                  <c:v>1.3550678522953064</c:v>
                </c:pt>
                <c:pt idx="5">
                  <c:v>10.856046878525433</c:v>
                </c:pt>
                <c:pt idx="6">
                  <c:v>1.6431282237439291</c:v>
                </c:pt>
                <c:pt idx="7">
                  <c:v>6.7220844736941103</c:v>
                </c:pt>
                <c:pt idx="8">
                  <c:v>10.841479121555906</c:v>
                </c:pt>
                <c:pt idx="9">
                  <c:v>4.5315942367003714</c:v>
                </c:pt>
                <c:pt idx="10">
                  <c:v>6.9082617878945598</c:v>
                </c:pt>
                <c:pt idx="11">
                  <c:v>7.5112613571588724</c:v>
                </c:pt>
                <c:pt idx="12">
                  <c:v>1.6339188767607453</c:v>
                </c:pt>
                <c:pt idx="13">
                  <c:v>4.6301209797549205</c:v>
                </c:pt>
                <c:pt idx="14">
                  <c:v>3.6945404784506337</c:v>
                </c:pt>
                <c:pt idx="15">
                  <c:v>4.2467023509658759</c:v>
                </c:pt>
                <c:pt idx="16">
                  <c:v>3.2159327201169816</c:v>
                </c:pt>
                <c:pt idx="17">
                  <c:v>0.65858715061426665</c:v>
                </c:pt>
                <c:pt idx="18">
                  <c:v>2.2747163836690305</c:v>
                </c:pt>
                <c:pt idx="19">
                  <c:v>-4.7832000111320241</c:v>
                </c:pt>
                <c:pt idx="20">
                  <c:v>-1.2762466132796817</c:v>
                </c:pt>
                <c:pt idx="21">
                  <c:v>-27.685678861776282</c:v>
                </c:pt>
                <c:pt idx="22">
                  <c:v>-2.0849225069869703</c:v>
                </c:pt>
                <c:pt idx="23">
                  <c:v>6.882954384462451</c:v>
                </c:pt>
                <c:pt idx="24">
                  <c:v>7.4402517572367941</c:v>
                </c:pt>
                <c:pt idx="25">
                  <c:v>50.150616494159699</c:v>
                </c:pt>
              </c:numCache>
            </c:numRef>
          </c:val>
          <c:extLst>
            <c:ext xmlns:c16="http://schemas.microsoft.com/office/drawing/2014/chart" uri="{C3380CC4-5D6E-409C-BE32-E72D297353CC}">
              <c16:uniqueId val="{00000000-8F93-4928-971A-D55969073560}"/>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Celk. zakázky ve výrobě motor. vozidel</c:v>
                </c:pt>
              </c:strCache>
            </c:strRef>
          </c:tx>
          <c:spPr>
            <a:ln w="15875">
              <a:solidFill>
                <a:srgbClr val="984807"/>
              </a:solidFill>
              <a:prstDash val="sysDot"/>
            </a:ln>
          </c:spPr>
          <c:marker>
            <c:symbol val="diamond"/>
            <c:size val="5"/>
            <c:spPr>
              <a:solidFill>
                <a:srgbClr val="984807"/>
              </a:solidFill>
              <a:ln>
                <a:noFill/>
              </a:ln>
            </c:spPr>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2'!$R$32:$AR$32</c:f>
              <c:numCache>
                <c:formatCode>#\ ##0.0__</c:formatCode>
                <c:ptCount val="27"/>
                <c:pt idx="0">
                  <c:v>15.316352438277931</c:v>
                </c:pt>
                <c:pt idx="1">
                  <c:v>5.584343456517459</c:v>
                </c:pt>
                <c:pt idx="2">
                  <c:v>13.898535777390734</c:v>
                </c:pt>
                <c:pt idx="3">
                  <c:v>18.975191723154538</c:v>
                </c:pt>
                <c:pt idx="4">
                  <c:v>11.460497347422447</c:v>
                </c:pt>
                <c:pt idx="5">
                  <c:v>33.085131031292235</c:v>
                </c:pt>
                <c:pt idx="6">
                  <c:v>5.912380139380474</c:v>
                </c:pt>
                <c:pt idx="7">
                  <c:v>12.001000805244416</c:v>
                </c:pt>
                <c:pt idx="8">
                  <c:v>7.9804719471503205</c:v>
                </c:pt>
                <c:pt idx="9">
                  <c:v>-1.7592612473364966</c:v>
                </c:pt>
                <c:pt idx="10">
                  <c:v>3.8626497182263222</c:v>
                </c:pt>
                <c:pt idx="11">
                  <c:v>0.37376710568412364</c:v>
                </c:pt>
                <c:pt idx="12">
                  <c:v>0.60861960894675349</c:v>
                </c:pt>
                <c:pt idx="13">
                  <c:v>3.6675371997157811</c:v>
                </c:pt>
                <c:pt idx="14">
                  <c:v>0.69699979014031044</c:v>
                </c:pt>
                <c:pt idx="15">
                  <c:v>1.0371076901644045</c:v>
                </c:pt>
                <c:pt idx="16">
                  <c:v>2.3844519038519962</c:v>
                </c:pt>
                <c:pt idx="17">
                  <c:v>3.1505861553301884</c:v>
                </c:pt>
                <c:pt idx="18">
                  <c:v>7.8772894879504776</c:v>
                </c:pt>
                <c:pt idx="19">
                  <c:v>-0.27078960340936931</c:v>
                </c:pt>
                <c:pt idx="20">
                  <c:v>-6.5941090261626556</c:v>
                </c:pt>
                <c:pt idx="21">
                  <c:v>-43.297757603226039</c:v>
                </c:pt>
                <c:pt idx="22">
                  <c:v>3.6539438072891244</c:v>
                </c:pt>
                <c:pt idx="23">
                  <c:v>8.0597939162845336</c:v>
                </c:pt>
                <c:pt idx="24">
                  <c:v>16.785005657074436</c:v>
                </c:pt>
                <c:pt idx="25">
                  <c:v>87.30774154401422</c:v>
                </c:pt>
              </c:numCache>
            </c:numRef>
          </c:val>
          <c:smooth val="0"/>
          <c:extLst>
            <c:ext xmlns:c16="http://schemas.microsoft.com/office/drawing/2014/chart" uri="{C3380CC4-5D6E-409C-BE32-E72D297353CC}">
              <c16:uniqueId val="{00000001-8F93-4928-971A-D55969073560}"/>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5"/>
          <c:order val="2"/>
          <c:tx>
            <c:strRef>
              <c:f>'výkonnost odvětví 2'!$A$33</c:f>
              <c:strCache>
                <c:ptCount val="1"/>
                <c:pt idx="0">
                  <c:v>Využití výrobních kapacit v průmyslu</c:v>
                </c:pt>
              </c:strCache>
            </c:strRef>
          </c:tx>
          <c:spPr>
            <a:ln w="15875">
              <a:solidFill>
                <a:srgbClr val="D2CD00"/>
              </a:solidFill>
              <a:prstDash val="solid"/>
            </a:ln>
          </c:spPr>
          <c:marker>
            <c:symbol val="none"/>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2'!$R$33:$AR$33</c:f>
              <c:numCache>
                <c:formatCode>#\ ##0.0</c:formatCode>
                <c:ptCount val="27"/>
                <c:pt idx="0">
                  <c:v>86.2</c:v>
                </c:pt>
                <c:pt idx="1">
                  <c:v>85</c:v>
                </c:pt>
                <c:pt idx="2">
                  <c:v>85.6</c:v>
                </c:pt>
                <c:pt idx="3">
                  <c:v>83.9</c:v>
                </c:pt>
                <c:pt idx="4">
                  <c:v>84.5</c:v>
                </c:pt>
                <c:pt idx="5">
                  <c:v>84.7</c:v>
                </c:pt>
                <c:pt idx="6">
                  <c:v>84.7</c:v>
                </c:pt>
                <c:pt idx="7">
                  <c:v>84.1</c:v>
                </c:pt>
                <c:pt idx="8">
                  <c:v>84.9</c:v>
                </c:pt>
                <c:pt idx="9">
                  <c:v>83.1</c:v>
                </c:pt>
                <c:pt idx="10">
                  <c:v>84.4</c:v>
                </c:pt>
                <c:pt idx="11">
                  <c:v>84.3</c:v>
                </c:pt>
                <c:pt idx="12">
                  <c:v>85.8</c:v>
                </c:pt>
                <c:pt idx="13">
                  <c:v>85.4</c:v>
                </c:pt>
                <c:pt idx="14">
                  <c:v>86.2</c:v>
                </c:pt>
                <c:pt idx="15">
                  <c:v>85.8</c:v>
                </c:pt>
                <c:pt idx="16">
                  <c:v>85.8</c:v>
                </c:pt>
                <c:pt idx="17">
                  <c:v>85.9</c:v>
                </c:pt>
                <c:pt idx="18">
                  <c:v>84.8</c:v>
                </c:pt>
                <c:pt idx="19">
                  <c:v>84.1</c:v>
                </c:pt>
                <c:pt idx="20">
                  <c:v>84.2</c:v>
                </c:pt>
                <c:pt idx="21">
                  <c:v>71</c:v>
                </c:pt>
                <c:pt idx="22">
                  <c:v>75.5</c:v>
                </c:pt>
                <c:pt idx="23">
                  <c:v>81.099999999999994</c:v>
                </c:pt>
                <c:pt idx="24">
                  <c:v>83.4</c:v>
                </c:pt>
                <c:pt idx="25">
                  <c:v>87.5</c:v>
                </c:pt>
                <c:pt idx="26">
                  <c:v>88.1</c:v>
                </c:pt>
              </c:numCache>
            </c:numRef>
          </c:val>
          <c:smooth val="0"/>
          <c:extLst>
            <c:ext xmlns:c16="http://schemas.microsoft.com/office/drawing/2014/chart" uri="{C3380CC4-5D6E-409C-BE32-E72D297353CC}">
              <c16:uniqueId val="{00000002-8F93-4928-971A-D55969073560}"/>
            </c:ext>
          </c:extLst>
        </c:ser>
        <c:ser>
          <c:idx val="3"/>
          <c:order val="3"/>
          <c:tx>
            <c:strRef>
              <c:f>'výkonnost odvětví 2'!$A$34</c:f>
              <c:strCache>
                <c:ptCount val="1"/>
                <c:pt idx="0">
                  <c:v>Využití výr. kapacit v automobil. průmyslu</c:v>
                </c:pt>
              </c:strCache>
            </c:strRef>
          </c:tx>
          <c:spPr>
            <a:ln w="19050">
              <a:solidFill>
                <a:srgbClr val="D2CD00"/>
              </a:solidFill>
              <a:prstDash val="sysDash"/>
            </a:ln>
          </c:spPr>
          <c:marker>
            <c:symbol val="none"/>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2'!$R$34:$AR$34</c:f>
              <c:numCache>
                <c:formatCode>0.0</c:formatCode>
                <c:ptCount val="27"/>
                <c:pt idx="0">
                  <c:v>92.8</c:v>
                </c:pt>
                <c:pt idx="1">
                  <c:v>91.1</c:v>
                </c:pt>
                <c:pt idx="2">
                  <c:v>93.1</c:v>
                </c:pt>
                <c:pt idx="3">
                  <c:v>88.7</c:v>
                </c:pt>
                <c:pt idx="4">
                  <c:v>91.6</c:v>
                </c:pt>
                <c:pt idx="5">
                  <c:v>90.3</c:v>
                </c:pt>
                <c:pt idx="6">
                  <c:v>93.1</c:v>
                </c:pt>
                <c:pt idx="7">
                  <c:v>90.9</c:v>
                </c:pt>
                <c:pt idx="8">
                  <c:v>93.2</c:v>
                </c:pt>
                <c:pt idx="9">
                  <c:v>87.3</c:v>
                </c:pt>
                <c:pt idx="10">
                  <c:v>90.7</c:v>
                </c:pt>
                <c:pt idx="11">
                  <c:v>90.5</c:v>
                </c:pt>
                <c:pt idx="12">
                  <c:v>91.1</c:v>
                </c:pt>
                <c:pt idx="13">
                  <c:v>91.6</c:v>
                </c:pt>
                <c:pt idx="14">
                  <c:v>92.1</c:v>
                </c:pt>
                <c:pt idx="15">
                  <c:v>93</c:v>
                </c:pt>
                <c:pt idx="16">
                  <c:v>92.8</c:v>
                </c:pt>
                <c:pt idx="17">
                  <c:v>93.6</c:v>
                </c:pt>
                <c:pt idx="18">
                  <c:v>92.3</c:v>
                </c:pt>
                <c:pt idx="19">
                  <c:v>93.4</c:v>
                </c:pt>
                <c:pt idx="20">
                  <c:v>90.5</c:v>
                </c:pt>
                <c:pt idx="21">
                  <c:v>50.8</c:v>
                </c:pt>
                <c:pt idx="22" formatCode="General">
                  <c:v>75.3</c:v>
                </c:pt>
                <c:pt idx="23" formatCode="General">
                  <c:v>90.9</c:v>
                </c:pt>
                <c:pt idx="24" formatCode="General">
                  <c:v>90.3</c:v>
                </c:pt>
                <c:pt idx="25" formatCode="General">
                  <c:v>99.1</c:v>
                </c:pt>
                <c:pt idx="26" formatCode="General">
                  <c:v>94.7</c:v>
                </c:pt>
              </c:numCache>
            </c:numRef>
          </c:val>
          <c:smooth val="0"/>
          <c:extLst>
            <c:ext xmlns:c16="http://schemas.microsoft.com/office/drawing/2014/chart" uri="{C3380CC4-5D6E-409C-BE32-E72D297353CC}">
              <c16:uniqueId val="{00000003-8F93-4928-971A-D55969073560}"/>
            </c:ext>
          </c:extLst>
        </c:ser>
        <c:ser>
          <c:idx val="1"/>
          <c:order val="4"/>
          <c:tx>
            <c:strRef>
              <c:f>'výkonnost odvětví 2'!$A$35</c:f>
              <c:strCache>
                <c:ptCount val="1"/>
                <c:pt idx="0">
                  <c:v>Bariéra růstu: nedostatečná poptávka</c:v>
                </c:pt>
              </c:strCache>
            </c:strRef>
          </c:tx>
          <c:spPr>
            <a:ln w="15875">
              <a:solidFill>
                <a:srgbClr val="00B050"/>
              </a:solidFill>
              <a:prstDash val="solid"/>
            </a:ln>
          </c:spPr>
          <c:marker>
            <c:symbol val="none"/>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2'!$R$35:$AR$35</c:f>
              <c:numCache>
                <c:formatCode>#\ ##0.0</c:formatCode>
                <c:ptCount val="27"/>
                <c:pt idx="0">
                  <c:v>43.6</c:v>
                </c:pt>
                <c:pt idx="1">
                  <c:v>49.6</c:v>
                </c:pt>
                <c:pt idx="2">
                  <c:v>47.8</c:v>
                </c:pt>
                <c:pt idx="3">
                  <c:v>47.8</c:v>
                </c:pt>
                <c:pt idx="4">
                  <c:v>45.7</c:v>
                </c:pt>
                <c:pt idx="5">
                  <c:v>45.5</c:v>
                </c:pt>
                <c:pt idx="6">
                  <c:v>43</c:v>
                </c:pt>
                <c:pt idx="7">
                  <c:v>43.8</c:v>
                </c:pt>
                <c:pt idx="8">
                  <c:v>42.7</c:v>
                </c:pt>
                <c:pt idx="9">
                  <c:v>41.6</c:v>
                </c:pt>
                <c:pt idx="10">
                  <c:v>40.299999999999997</c:v>
                </c:pt>
                <c:pt idx="11">
                  <c:v>37.299999999999997</c:v>
                </c:pt>
                <c:pt idx="12">
                  <c:v>35.4</c:v>
                </c:pt>
                <c:pt idx="13">
                  <c:v>36</c:v>
                </c:pt>
                <c:pt idx="14">
                  <c:v>31.6</c:v>
                </c:pt>
                <c:pt idx="15">
                  <c:v>33.4</c:v>
                </c:pt>
                <c:pt idx="16">
                  <c:v>33.700000000000003</c:v>
                </c:pt>
                <c:pt idx="17">
                  <c:v>35.299999999999997</c:v>
                </c:pt>
                <c:pt idx="18">
                  <c:v>40.1</c:v>
                </c:pt>
                <c:pt idx="19">
                  <c:v>47.3</c:v>
                </c:pt>
                <c:pt idx="20">
                  <c:v>50.4</c:v>
                </c:pt>
                <c:pt idx="21">
                  <c:v>58.4</c:v>
                </c:pt>
                <c:pt idx="22">
                  <c:v>63.2</c:v>
                </c:pt>
                <c:pt idx="23">
                  <c:v>47.9</c:v>
                </c:pt>
                <c:pt idx="24">
                  <c:v>48.7</c:v>
                </c:pt>
                <c:pt idx="25">
                  <c:v>38.5</c:v>
                </c:pt>
                <c:pt idx="26">
                  <c:v>24.5</c:v>
                </c:pt>
              </c:numCache>
            </c:numRef>
          </c:val>
          <c:smooth val="0"/>
          <c:extLst>
            <c:ext xmlns:c16="http://schemas.microsoft.com/office/drawing/2014/chart" uri="{C3380CC4-5D6E-409C-BE32-E72D297353CC}">
              <c16:uniqueId val="{00000004-8F93-4928-971A-D55969073560}"/>
            </c:ext>
          </c:extLst>
        </c:ser>
        <c:ser>
          <c:idx val="4"/>
          <c:order val="5"/>
          <c:tx>
            <c:strRef>
              <c:f>'výkonnost odvětví 2'!$A$36</c:f>
              <c:strCache>
                <c:ptCount val="1"/>
                <c:pt idx="0">
                  <c:v>Bariéra růstu: nedostatek pracovníků</c:v>
                </c:pt>
              </c:strCache>
            </c:strRef>
          </c:tx>
          <c:spPr>
            <a:ln w="15875">
              <a:solidFill>
                <a:srgbClr val="00B050"/>
              </a:solidFill>
              <a:prstDash val="dash"/>
            </a:ln>
          </c:spPr>
          <c:marker>
            <c:symbol val="none"/>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2'!$R$36:$AR$36</c:f>
              <c:numCache>
                <c:formatCode>#\ ##0.0</c:formatCode>
                <c:ptCount val="27"/>
                <c:pt idx="0">
                  <c:v>6.7</c:v>
                </c:pt>
                <c:pt idx="1">
                  <c:v>6.9</c:v>
                </c:pt>
                <c:pt idx="2">
                  <c:v>8.1</c:v>
                </c:pt>
                <c:pt idx="3">
                  <c:v>13.9</c:v>
                </c:pt>
                <c:pt idx="4">
                  <c:v>15.4</c:v>
                </c:pt>
                <c:pt idx="5">
                  <c:v>16.899999999999999</c:v>
                </c:pt>
                <c:pt idx="6">
                  <c:v>18.8</c:v>
                </c:pt>
                <c:pt idx="7">
                  <c:v>28.8</c:v>
                </c:pt>
                <c:pt idx="8">
                  <c:v>32.799999999999997</c:v>
                </c:pt>
                <c:pt idx="9">
                  <c:v>34.700000000000003</c:v>
                </c:pt>
                <c:pt idx="10">
                  <c:v>41.3</c:v>
                </c:pt>
                <c:pt idx="11">
                  <c:v>38.299999999999997</c:v>
                </c:pt>
                <c:pt idx="12">
                  <c:v>43.4</c:v>
                </c:pt>
                <c:pt idx="13">
                  <c:v>43.7</c:v>
                </c:pt>
                <c:pt idx="14">
                  <c:v>43.7</c:v>
                </c:pt>
                <c:pt idx="15">
                  <c:v>44.8</c:v>
                </c:pt>
                <c:pt idx="16">
                  <c:v>38.799999999999997</c:v>
                </c:pt>
                <c:pt idx="17">
                  <c:v>36.4</c:v>
                </c:pt>
                <c:pt idx="18">
                  <c:v>39.5</c:v>
                </c:pt>
                <c:pt idx="19">
                  <c:v>37.200000000000003</c:v>
                </c:pt>
                <c:pt idx="20">
                  <c:v>28.2</c:v>
                </c:pt>
                <c:pt idx="21">
                  <c:v>16.600000000000001</c:v>
                </c:pt>
                <c:pt idx="22">
                  <c:v>15.1</c:v>
                </c:pt>
                <c:pt idx="23">
                  <c:v>13.7</c:v>
                </c:pt>
                <c:pt idx="24">
                  <c:v>20.3</c:v>
                </c:pt>
                <c:pt idx="25">
                  <c:v>21.5</c:v>
                </c:pt>
                <c:pt idx="26">
                  <c:v>26.2</c:v>
                </c:pt>
              </c:numCache>
            </c:numRef>
          </c:val>
          <c:smooth val="0"/>
          <c:extLst>
            <c:ext xmlns:c16="http://schemas.microsoft.com/office/drawing/2014/chart" uri="{C3380CC4-5D6E-409C-BE32-E72D297353CC}">
              <c16:uniqueId val="{00000005-8F93-4928-971A-D55969073560}"/>
            </c:ext>
          </c:extLst>
        </c:ser>
        <c:ser>
          <c:idx val="6"/>
          <c:order val="6"/>
          <c:tx>
            <c:strRef>
              <c:f>'výkonnost odvětví 2'!$A$37</c:f>
              <c:strCache>
                <c:ptCount val="1"/>
                <c:pt idx="0">
                  <c:v>Bariéra růstu: nedost. materiálu a zařízení</c:v>
                </c:pt>
              </c:strCache>
            </c:strRef>
          </c:tx>
          <c:spPr>
            <a:ln w="19050">
              <a:solidFill>
                <a:srgbClr val="92D050"/>
              </a:solidFill>
              <a:prstDash val="sysDash"/>
            </a:ln>
          </c:spPr>
          <c:marker>
            <c:symbol val="none"/>
          </c:marker>
          <c:cat>
            <c:multiLvlStrRef>
              <c:f>'výkonnost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2'!$R$37:$AR$37</c:f>
              <c:numCache>
                <c:formatCode>#\ ##0.0</c:formatCode>
                <c:ptCount val="27"/>
                <c:pt idx="0">
                  <c:v>7.8</c:v>
                </c:pt>
                <c:pt idx="1">
                  <c:v>10.1</c:v>
                </c:pt>
                <c:pt idx="2">
                  <c:v>10.5</c:v>
                </c:pt>
                <c:pt idx="3">
                  <c:v>10</c:v>
                </c:pt>
                <c:pt idx="4">
                  <c:v>11.1</c:v>
                </c:pt>
                <c:pt idx="5">
                  <c:v>7.1</c:v>
                </c:pt>
                <c:pt idx="6">
                  <c:v>8.5</c:v>
                </c:pt>
                <c:pt idx="7">
                  <c:v>7.8</c:v>
                </c:pt>
                <c:pt idx="8">
                  <c:v>9.9</c:v>
                </c:pt>
                <c:pt idx="9">
                  <c:v>7.8</c:v>
                </c:pt>
                <c:pt idx="10">
                  <c:v>10</c:v>
                </c:pt>
                <c:pt idx="11">
                  <c:v>20.8</c:v>
                </c:pt>
                <c:pt idx="12">
                  <c:v>13.9</c:v>
                </c:pt>
                <c:pt idx="13">
                  <c:v>12.8</c:v>
                </c:pt>
                <c:pt idx="14">
                  <c:v>14.1</c:v>
                </c:pt>
                <c:pt idx="15">
                  <c:v>20</c:v>
                </c:pt>
                <c:pt idx="16">
                  <c:v>27.1</c:v>
                </c:pt>
                <c:pt idx="17">
                  <c:v>26.8</c:v>
                </c:pt>
                <c:pt idx="18">
                  <c:v>23.8</c:v>
                </c:pt>
                <c:pt idx="19">
                  <c:v>9.4</c:v>
                </c:pt>
                <c:pt idx="20">
                  <c:v>17.399999999999999</c:v>
                </c:pt>
                <c:pt idx="21">
                  <c:v>11.5</c:v>
                </c:pt>
                <c:pt idx="22">
                  <c:v>7.6</c:v>
                </c:pt>
                <c:pt idx="23">
                  <c:v>8.6</c:v>
                </c:pt>
                <c:pt idx="24">
                  <c:v>19</c:v>
                </c:pt>
                <c:pt idx="25">
                  <c:v>31.2</c:v>
                </c:pt>
                <c:pt idx="26">
                  <c:v>46</c:v>
                </c:pt>
              </c:numCache>
            </c:numRef>
          </c:val>
          <c:smooth val="0"/>
          <c:extLst>
            <c:ext xmlns:c16="http://schemas.microsoft.com/office/drawing/2014/chart" uri="{C3380CC4-5D6E-409C-BE32-E72D297353CC}">
              <c16:uniqueId val="{00000006-8F93-4928-971A-D55969073560}"/>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90"/>
          <c:min val="-50"/>
        </c:scaling>
        <c:delete val="0"/>
        <c:axPos val="l"/>
        <c:majorGridlines>
          <c:spPr>
            <a:ln w="6350">
              <a:solidFill>
                <a:schemeClr val="bg1">
                  <a:lumMod val="75000"/>
                </a:schemeClr>
              </a:solidFill>
            </a:ln>
          </c:spPr>
        </c:majorGridlines>
        <c:title>
          <c:tx>
            <c:rich>
              <a:bodyPr/>
              <a:lstStyle/>
              <a:p>
                <a:pPr>
                  <a:defRPr sz="700" i="1"/>
                </a:pPr>
                <a:r>
                  <a:rPr lang="cs-CZ" sz="700" i="1"/>
                  <a:t>Zakázky</a:t>
                </a:r>
              </a:p>
            </c:rich>
          </c:tx>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10"/>
      </c:valAx>
      <c:valAx>
        <c:axId val="139177344"/>
        <c:scaling>
          <c:orientation val="minMax"/>
          <c:max val="100"/>
          <c:min val="0"/>
        </c:scaling>
        <c:delete val="0"/>
        <c:axPos val="r"/>
        <c:title>
          <c:tx>
            <c:rich>
              <a:bodyPr/>
              <a:lstStyle/>
              <a:p>
                <a:pPr>
                  <a:defRPr sz="700" b="0" i="1"/>
                </a:pPr>
                <a:r>
                  <a:rPr lang="cs-CZ" sz="700" b="0" i="1"/>
                  <a:t>Využití výrobních kapacit, bariéry</a:t>
                </a:r>
                <a:r>
                  <a:rPr lang="cs-CZ" sz="700" b="0" i="1" baseline="0"/>
                  <a:t> růstu</a:t>
                </a:r>
                <a:endParaRPr lang="cs-CZ" sz="700" b="0" i="1"/>
              </a:p>
            </c:rich>
          </c:tx>
          <c:layout>
            <c:manualLayout>
              <c:xMode val="edge"/>
              <c:yMode val="edge"/>
              <c:x val="0.97051506350706762"/>
              <c:y val="0.16321710007880222"/>
            </c:manualLayout>
          </c:layout>
          <c:overlay val="0"/>
        </c:title>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r"/>
      <c:layout>
        <c:manualLayout>
          <c:xMode val="edge"/>
          <c:yMode val="edge"/>
          <c:x val="5.4286656151664786E-3"/>
          <c:y val="0.86843605763818532"/>
          <c:w val="0.98923469429561495"/>
          <c:h val="0.12452043228638973"/>
        </c:manualLayout>
      </c:layout>
      <c:overlay val="0"/>
      <c:spPr>
        <a:ln>
          <a:solidFill>
            <a:schemeClr val="bg1">
              <a:lumMod val="50000"/>
            </a:schemeClr>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528655934435024E-2"/>
          <c:y val="1.6563187842952781E-2"/>
          <c:w val="0.85309492009152854"/>
          <c:h val="0.75433571654769893"/>
        </c:manualLayout>
      </c:layout>
      <c:barChart>
        <c:barDir val="col"/>
        <c:grouping val="stacked"/>
        <c:varyColors val="0"/>
        <c:ser>
          <c:idx val="1"/>
          <c:order val="1"/>
          <c:tx>
            <c:strRef>
              <c:f>'výkonnost odvětví 3'!$Y$10</c:f>
              <c:strCache>
                <c:ptCount val="1"/>
                <c:pt idx="0">
                  <c:v>Pozemní stavitelství (příspěvek v p. b.)</c:v>
                </c:pt>
              </c:strCache>
            </c:strRef>
          </c:tx>
          <c:spPr>
            <a:solidFill>
              <a:srgbClr val="A6CDE9"/>
            </a:solidFill>
            <a:ln w="19050">
              <a:noFill/>
              <a:prstDash val="solid"/>
            </a:ln>
          </c:spPr>
          <c:invertIfNegative val="0"/>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3'!$Y$31:$Y$57</c:f>
              <c:numCache>
                <c:formatCode>0.0</c:formatCode>
                <c:ptCount val="27"/>
                <c:pt idx="0">
                  <c:v>6.0472691415550308</c:v>
                </c:pt>
                <c:pt idx="1">
                  <c:v>5.0361785279850331</c:v>
                </c:pt>
                <c:pt idx="2">
                  <c:v>0.79284647800469443</c:v>
                </c:pt>
                <c:pt idx="3">
                  <c:v>-1.7469503076723902</c:v>
                </c:pt>
                <c:pt idx="4">
                  <c:v>-4.9966395973466113</c:v>
                </c:pt>
                <c:pt idx="5">
                  <c:v>-4.9257017459251742</c:v>
                </c:pt>
                <c:pt idx="6">
                  <c:v>0.77276571096827207</c:v>
                </c:pt>
                <c:pt idx="7">
                  <c:v>3.9335414535585005</c:v>
                </c:pt>
                <c:pt idx="8">
                  <c:v>2.3671560586056022</c:v>
                </c:pt>
                <c:pt idx="9">
                  <c:v>9.8680621909171364</c:v>
                </c:pt>
                <c:pt idx="10">
                  <c:v>3.4017933101817137</c:v>
                </c:pt>
                <c:pt idx="11">
                  <c:v>2.6470410387980881</c:v>
                </c:pt>
                <c:pt idx="12">
                  <c:v>13.566805669626437</c:v>
                </c:pt>
                <c:pt idx="13">
                  <c:v>6.3014309761028438</c:v>
                </c:pt>
                <c:pt idx="14">
                  <c:v>7.6955191405999477</c:v>
                </c:pt>
                <c:pt idx="15">
                  <c:v>2.4925933032829257</c:v>
                </c:pt>
                <c:pt idx="16">
                  <c:v>2.8991265346082757</c:v>
                </c:pt>
                <c:pt idx="17">
                  <c:v>2.4161064271216639</c:v>
                </c:pt>
                <c:pt idx="18">
                  <c:v>-0.67044140108437589</c:v>
                </c:pt>
                <c:pt idx="19">
                  <c:v>2.416093622463102</c:v>
                </c:pt>
                <c:pt idx="20">
                  <c:v>-0.33918173121542228</c:v>
                </c:pt>
                <c:pt idx="21">
                  <c:v>-7.4193975140058424</c:v>
                </c:pt>
                <c:pt idx="22">
                  <c:v>-7.1727603765696051</c:v>
                </c:pt>
                <c:pt idx="23">
                  <c:v>-8.6187108971115816</c:v>
                </c:pt>
                <c:pt idx="24">
                  <c:v>-5.4842868872233632</c:v>
                </c:pt>
                <c:pt idx="25">
                  <c:v>1.8124446445232327</c:v>
                </c:pt>
                <c:pt idx="26">
                  <c:v>0.95832621497377113</c:v>
                </c:pt>
              </c:numCache>
            </c:numRef>
          </c:val>
          <c:extLst>
            <c:ext xmlns:c16="http://schemas.microsoft.com/office/drawing/2014/chart" uri="{C3380CC4-5D6E-409C-BE32-E72D297353CC}">
              <c16:uniqueId val="{00000000-AE4A-4510-ACEE-84F56717B2D8}"/>
            </c:ext>
          </c:extLst>
        </c:ser>
        <c:ser>
          <c:idx val="2"/>
          <c:order val="2"/>
          <c:tx>
            <c:strRef>
              <c:f>'výkonnost odvětví 3'!$Z$10</c:f>
              <c:strCache>
                <c:ptCount val="1"/>
                <c:pt idx="0">
                  <c:v>Inženýrské stavitelství (příspěvek v p. b.)</c:v>
                </c:pt>
              </c:strCache>
            </c:strRef>
          </c:tx>
          <c:spPr>
            <a:solidFill>
              <a:srgbClr val="E8AFB2"/>
            </a:solidFill>
            <a:ln w="19050">
              <a:noFill/>
              <a:prstDash val="solid"/>
            </a:ln>
          </c:spPr>
          <c:invertIfNegative val="0"/>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3'!$Z$31:$Z$57</c:f>
              <c:numCache>
                <c:formatCode>0.0</c:formatCode>
                <c:ptCount val="27"/>
                <c:pt idx="0">
                  <c:v>3.2371734793492286</c:v>
                </c:pt>
                <c:pt idx="1">
                  <c:v>7.2133653363142445</c:v>
                </c:pt>
                <c:pt idx="2">
                  <c:v>7.3965728347939308</c:v>
                </c:pt>
                <c:pt idx="3">
                  <c:v>2.855138673774563</c:v>
                </c:pt>
                <c:pt idx="4">
                  <c:v>-1.2748612346910093</c:v>
                </c:pt>
                <c:pt idx="5">
                  <c:v>-5.414778412052824</c:v>
                </c:pt>
                <c:pt idx="6">
                  <c:v>-7.0615948905346464</c:v>
                </c:pt>
                <c:pt idx="7">
                  <c:v>-5.9113799674669414</c:v>
                </c:pt>
                <c:pt idx="8">
                  <c:v>-3.3927259981365467</c:v>
                </c:pt>
                <c:pt idx="9">
                  <c:v>-1.198952761717637</c:v>
                </c:pt>
                <c:pt idx="10">
                  <c:v>-1.5292517461591122</c:v>
                </c:pt>
                <c:pt idx="11">
                  <c:v>0.24904908942130594</c:v>
                </c:pt>
                <c:pt idx="12">
                  <c:v>1.7517060590922457</c:v>
                </c:pt>
                <c:pt idx="13">
                  <c:v>1.2046321635544115</c:v>
                </c:pt>
                <c:pt idx="14">
                  <c:v>4.7152862062363932</c:v>
                </c:pt>
                <c:pt idx="15">
                  <c:v>1.8992954479389978</c:v>
                </c:pt>
                <c:pt idx="16">
                  <c:v>0.73586870212531541</c:v>
                </c:pt>
                <c:pt idx="17">
                  <c:v>1.8713674836205678</c:v>
                </c:pt>
                <c:pt idx="18">
                  <c:v>0.75615189920903703</c:v>
                </c:pt>
                <c:pt idx="19">
                  <c:v>0.84449513778573204</c:v>
                </c:pt>
                <c:pt idx="20">
                  <c:v>3.2042596941285559</c:v>
                </c:pt>
                <c:pt idx="21">
                  <c:v>1.2156790684783816</c:v>
                </c:pt>
                <c:pt idx="22">
                  <c:v>-1.8725018139646268</c:v>
                </c:pt>
                <c:pt idx="23">
                  <c:v>0.34408386896870419</c:v>
                </c:pt>
                <c:pt idx="24">
                  <c:v>-1.6340021483392655E-2</c:v>
                </c:pt>
                <c:pt idx="25">
                  <c:v>1.6179575882962347</c:v>
                </c:pt>
                <c:pt idx="26">
                  <c:v>1.4893172756810871</c:v>
                </c:pt>
              </c:numCache>
            </c:numRef>
          </c:val>
          <c:extLst>
            <c:ext xmlns:c16="http://schemas.microsoft.com/office/drawing/2014/chart" uri="{C3380CC4-5D6E-409C-BE32-E72D297353CC}">
              <c16:uniqueId val="{00000001-AE4A-4510-ACEE-84F56717B2D8}"/>
            </c:ext>
          </c:extLst>
        </c:ser>
        <c:dLbls>
          <c:showLegendKey val="0"/>
          <c:showVal val="0"/>
          <c:showCatName val="0"/>
          <c:showSerName val="0"/>
          <c:showPercent val="0"/>
          <c:showBubbleSize val="0"/>
        </c:dLbls>
        <c:gapWidth val="24"/>
        <c:overlap val="100"/>
        <c:axId val="147432960"/>
        <c:axId val="147434496"/>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9"/>
            <c:spPr>
              <a:solidFill>
                <a:schemeClr val="tx1">
                  <a:lumMod val="95000"/>
                  <a:lumOff val="5000"/>
                </a:schemeClr>
              </a:solidFill>
              <a:ln>
                <a:noFill/>
              </a:ln>
            </c:spPr>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3'!$X$31:$X$57</c:f>
              <c:numCache>
                <c:formatCode>0.0</c:formatCode>
                <c:ptCount val="27"/>
                <c:pt idx="0">
                  <c:v>9.2017765228224988</c:v>
                </c:pt>
                <c:pt idx="1">
                  <c:v>11.980043538808332</c:v>
                </c:pt>
                <c:pt idx="2">
                  <c:v>7.8286342656312939</c:v>
                </c:pt>
                <c:pt idx="3">
                  <c:v>0.94557774780092529</c:v>
                </c:pt>
                <c:pt idx="4">
                  <c:v>-6.2824122661548785</c:v>
                </c:pt>
                <c:pt idx="5">
                  <c:v>-10.194427090117628</c:v>
                </c:pt>
                <c:pt idx="6">
                  <c:v>-5.917849407755682</c:v>
                </c:pt>
                <c:pt idx="7">
                  <c:v>-1.6490685502181321</c:v>
                </c:pt>
                <c:pt idx="8">
                  <c:v>-0.79880269419055594</c:v>
                </c:pt>
                <c:pt idx="9">
                  <c:v>8.9534675343638526</c:v>
                </c:pt>
                <c:pt idx="10">
                  <c:v>2.0444749820850632</c:v>
                </c:pt>
                <c:pt idx="11">
                  <c:v>2.9396785672127379</c:v>
                </c:pt>
                <c:pt idx="12">
                  <c:v>15.317302207920179</c:v>
                </c:pt>
                <c:pt idx="13">
                  <c:v>7.5063094273893398</c:v>
                </c:pt>
                <c:pt idx="14">
                  <c:v>12.406544540651936</c:v>
                </c:pt>
                <c:pt idx="15">
                  <c:v>4.3180623617480762</c:v>
                </c:pt>
                <c:pt idx="16">
                  <c:v>3.6346322356212539</c:v>
                </c:pt>
                <c:pt idx="17">
                  <c:v>4.2888988271298842</c:v>
                </c:pt>
                <c:pt idx="18">
                  <c:v>8.6862748706039383E-2</c:v>
                </c:pt>
                <c:pt idx="19">
                  <c:v>3.2606251776515762</c:v>
                </c:pt>
                <c:pt idx="20">
                  <c:v>2.8649648216544392</c:v>
                </c:pt>
                <c:pt idx="21">
                  <c:v>-6.2024596600145259</c:v>
                </c:pt>
                <c:pt idx="22">
                  <c:v>-9.0466947127630135</c:v>
                </c:pt>
                <c:pt idx="23">
                  <c:v>-8.2756255759856003</c:v>
                </c:pt>
                <c:pt idx="24">
                  <c:v>-5.5002420655324329</c:v>
                </c:pt>
                <c:pt idx="25">
                  <c:v>3.4312458290330028</c:v>
                </c:pt>
                <c:pt idx="26">
                  <c:v>2.4486999965538416</c:v>
                </c:pt>
              </c:numCache>
            </c:numRef>
          </c:val>
          <c:smooth val="0"/>
          <c:extLst>
            <c:ext xmlns:c16="http://schemas.microsoft.com/office/drawing/2014/chart" uri="{C3380CC4-5D6E-409C-BE32-E72D297353CC}">
              <c16:uniqueId val="{00000002-AE4A-4510-ACEE-84F56717B2D8}"/>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Nové stavební zakázky v tuzemsku</c:v>
                </c:pt>
              </c:strCache>
            </c:strRef>
          </c:tx>
          <c:spPr>
            <a:ln w="15875">
              <a:solidFill>
                <a:srgbClr val="984807"/>
              </a:solidFill>
              <a:prstDash val="solid"/>
            </a:ln>
          </c:spPr>
          <c:marker>
            <c:symbol val="none"/>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3'!$AA$31:$AA$57</c:f>
              <c:numCache>
                <c:formatCode>0.0</c:formatCode>
                <c:ptCount val="27"/>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pt idx="24">
                  <c:v>28.188227371706034</c:v>
                </c:pt>
                <c:pt idx="25">
                  <c:v>21.356647205514562</c:v>
                </c:pt>
              </c:numCache>
            </c:numRef>
          </c:val>
          <c:smooth val="0"/>
          <c:extLst>
            <c:ext xmlns:c16="http://schemas.microsoft.com/office/drawing/2014/chart" uri="{C3380CC4-5D6E-409C-BE32-E72D297353CC}">
              <c16:uniqueId val="{00000003-AE4A-4510-ACEE-84F56717B2D8}"/>
            </c:ext>
          </c:extLst>
        </c:ser>
        <c:ser>
          <c:idx val="4"/>
          <c:order val="4"/>
          <c:tx>
            <c:strRef>
              <c:f>'výkonnost odvětví 3'!$AB$10</c:f>
              <c:strCache>
                <c:ptCount val="1"/>
                <c:pt idx="0">
                  <c:v>Bariéra růstu: nedostatečná poptávka</c:v>
                </c:pt>
              </c:strCache>
            </c:strRef>
          </c:tx>
          <c:spPr>
            <a:ln w="15875">
              <a:solidFill>
                <a:srgbClr val="00B050"/>
              </a:solidFill>
            </a:ln>
          </c:spPr>
          <c:marker>
            <c:symbol val="none"/>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3'!$AB$31:$AB$57</c:f>
              <c:numCache>
                <c:formatCode>#\ ##0.0</c:formatCode>
                <c:ptCount val="27"/>
                <c:pt idx="0">
                  <c:v>65.8</c:v>
                </c:pt>
                <c:pt idx="1">
                  <c:v>60.4</c:v>
                </c:pt>
                <c:pt idx="2">
                  <c:v>58.9</c:v>
                </c:pt>
                <c:pt idx="3">
                  <c:v>57.6</c:v>
                </c:pt>
                <c:pt idx="4">
                  <c:v>54.5</c:v>
                </c:pt>
                <c:pt idx="5">
                  <c:v>61.1</c:v>
                </c:pt>
                <c:pt idx="6">
                  <c:v>60.4</c:v>
                </c:pt>
                <c:pt idx="7">
                  <c:v>57</c:v>
                </c:pt>
                <c:pt idx="8">
                  <c:v>53.9</c:v>
                </c:pt>
                <c:pt idx="9">
                  <c:v>54.3</c:v>
                </c:pt>
                <c:pt idx="10">
                  <c:v>50</c:v>
                </c:pt>
                <c:pt idx="11">
                  <c:v>48.3</c:v>
                </c:pt>
                <c:pt idx="12">
                  <c:v>40.299999999999997</c:v>
                </c:pt>
                <c:pt idx="13">
                  <c:v>38.200000000000003</c:v>
                </c:pt>
                <c:pt idx="14">
                  <c:v>33.4</c:v>
                </c:pt>
                <c:pt idx="15">
                  <c:v>24.1</c:v>
                </c:pt>
                <c:pt idx="16">
                  <c:v>25.4</c:v>
                </c:pt>
                <c:pt idx="17">
                  <c:v>23.3</c:v>
                </c:pt>
                <c:pt idx="18">
                  <c:v>17.899999999999999</c:v>
                </c:pt>
                <c:pt idx="19">
                  <c:v>20.9</c:v>
                </c:pt>
                <c:pt idx="20">
                  <c:v>30.3</c:v>
                </c:pt>
                <c:pt idx="21">
                  <c:v>29.3</c:v>
                </c:pt>
                <c:pt idx="22">
                  <c:v>38.799999999999997</c:v>
                </c:pt>
                <c:pt idx="23" formatCode="General">
                  <c:v>41.2</c:v>
                </c:pt>
                <c:pt idx="24">
                  <c:v>31.3</c:v>
                </c:pt>
                <c:pt idx="25">
                  <c:v>34.200000000000003</c:v>
                </c:pt>
                <c:pt idx="26">
                  <c:v>23.8</c:v>
                </c:pt>
              </c:numCache>
            </c:numRef>
          </c:val>
          <c:smooth val="0"/>
          <c:extLst>
            <c:ext xmlns:c16="http://schemas.microsoft.com/office/drawing/2014/chart" uri="{C3380CC4-5D6E-409C-BE32-E72D297353CC}">
              <c16:uniqueId val="{00000004-AE4A-4510-ACEE-84F56717B2D8}"/>
            </c:ext>
          </c:extLst>
        </c:ser>
        <c:ser>
          <c:idx val="5"/>
          <c:order val="5"/>
          <c:tx>
            <c:strRef>
              <c:f>'výkonnost odvětví 3'!$AC$10</c:f>
              <c:strCache>
                <c:ptCount val="1"/>
                <c:pt idx="0">
                  <c:v>Bariéra růstu: nedostatek pracovníků</c:v>
                </c:pt>
              </c:strCache>
            </c:strRef>
          </c:tx>
          <c:spPr>
            <a:ln w="15875">
              <a:solidFill>
                <a:srgbClr val="00B050"/>
              </a:solidFill>
              <a:prstDash val="sysDash"/>
            </a:ln>
          </c:spPr>
          <c:marker>
            <c:symbol val="none"/>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3'!$AC$31:$AC$57</c:f>
              <c:numCache>
                <c:formatCode>#\ ##0.0</c:formatCode>
                <c:ptCount val="27"/>
                <c:pt idx="0">
                  <c:v>6.8</c:v>
                </c:pt>
                <c:pt idx="1">
                  <c:v>7.9</c:v>
                </c:pt>
                <c:pt idx="2">
                  <c:v>7.2</c:v>
                </c:pt>
                <c:pt idx="3">
                  <c:v>7</c:v>
                </c:pt>
                <c:pt idx="4">
                  <c:v>5.8</c:v>
                </c:pt>
                <c:pt idx="5">
                  <c:v>6.7</c:v>
                </c:pt>
                <c:pt idx="6">
                  <c:v>7.8</c:v>
                </c:pt>
                <c:pt idx="7">
                  <c:v>10.7</c:v>
                </c:pt>
                <c:pt idx="8">
                  <c:v>11.5</c:v>
                </c:pt>
                <c:pt idx="9">
                  <c:v>14</c:v>
                </c:pt>
                <c:pt idx="10">
                  <c:v>22.7</c:v>
                </c:pt>
                <c:pt idx="11">
                  <c:v>23.1</c:v>
                </c:pt>
                <c:pt idx="12">
                  <c:v>23.5</c:v>
                </c:pt>
                <c:pt idx="13">
                  <c:v>29.3</c:v>
                </c:pt>
                <c:pt idx="14">
                  <c:v>30.4</c:v>
                </c:pt>
                <c:pt idx="15">
                  <c:v>40.799999999999997</c:v>
                </c:pt>
                <c:pt idx="16">
                  <c:v>34.299999999999997</c:v>
                </c:pt>
                <c:pt idx="17">
                  <c:v>43</c:v>
                </c:pt>
                <c:pt idx="18">
                  <c:v>55</c:v>
                </c:pt>
                <c:pt idx="19">
                  <c:v>49.7</c:v>
                </c:pt>
                <c:pt idx="20">
                  <c:v>50</c:v>
                </c:pt>
                <c:pt idx="21">
                  <c:v>46.3</c:v>
                </c:pt>
                <c:pt idx="22">
                  <c:v>38.200000000000003</c:v>
                </c:pt>
                <c:pt idx="23" formatCode="0.0">
                  <c:v>34</c:v>
                </c:pt>
                <c:pt idx="24">
                  <c:v>43.6</c:v>
                </c:pt>
                <c:pt idx="25">
                  <c:v>32</c:v>
                </c:pt>
                <c:pt idx="26">
                  <c:v>42.6</c:v>
                </c:pt>
              </c:numCache>
            </c:numRef>
          </c:val>
          <c:smooth val="0"/>
          <c:extLst>
            <c:ext xmlns:c16="http://schemas.microsoft.com/office/drawing/2014/chart" uri="{C3380CC4-5D6E-409C-BE32-E72D297353CC}">
              <c16:uniqueId val="{00000005-AE4A-4510-ACEE-84F56717B2D8}"/>
            </c:ext>
          </c:extLst>
        </c:ser>
        <c:ser>
          <c:idx val="6"/>
          <c:order val="6"/>
          <c:tx>
            <c:strRef>
              <c:f>'výkonnost odvětví 3'!$AD$10</c:f>
              <c:strCache>
                <c:ptCount val="1"/>
                <c:pt idx="0">
                  <c:v>Saldo indikátoru důvěry ve stavebnictví</c:v>
                </c:pt>
              </c:strCache>
            </c:strRef>
          </c:tx>
          <c:spPr>
            <a:ln w="12700">
              <a:solidFill>
                <a:schemeClr val="tx1">
                  <a:lumMod val="75000"/>
                  <a:lumOff val="25000"/>
                </a:schemeClr>
              </a:solidFill>
              <a:prstDash val="sysDot"/>
            </a:ln>
          </c:spPr>
          <c:marker>
            <c:symbol val="circle"/>
            <c:size val="5"/>
            <c:spPr>
              <a:solidFill>
                <a:srgbClr val="FFFF00"/>
              </a:solidFill>
              <a:ln>
                <a:solidFill>
                  <a:schemeClr val="tx1">
                    <a:lumMod val="75000"/>
                    <a:lumOff val="25000"/>
                  </a:schemeClr>
                </a:solidFill>
              </a:ln>
            </c:spPr>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3'!$AD$31:$AD$57</c:f>
              <c:numCache>
                <c:formatCode>0.0</c:formatCode>
                <c:ptCount val="27"/>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numCache>
            </c:numRef>
          </c:val>
          <c:smooth val="0"/>
          <c:extLst>
            <c:ext xmlns:c16="http://schemas.microsoft.com/office/drawing/2014/chart" uri="{C3380CC4-5D6E-409C-BE32-E72D297353CC}">
              <c16:uniqueId val="{00000006-AE4A-4510-ACEE-84F56717B2D8}"/>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30"/>
          <c:min val="-20"/>
        </c:scaling>
        <c:delete val="0"/>
        <c:axPos val="l"/>
        <c:majorGridlines>
          <c:spPr>
            <a:ln w="6350">
              <a:solidFill>
                <a:schemeClr val="bg1">
                  <a:lumMod val="75000"/>
                </a:schemeClr>
              </a:solidFill>
            </a:ln>
          </c:spPr>
        </c:majorGridlines>
        <c:title>
          <c:tx>
            <c:rich>
              <a:bodyPr/>
              <a:lstStyle/>
              <a:p>
                <a:pPr>
                  <a:defRPr sz="700" i="1"/>
                </a:pPr>
                <a:r>
                  <a:rPr lang="cs-CZ" sz="700" i="1"/>
                  <a:t>Příspěvek k růstu stavební produkce</a:t>
                </a:r>
              </a:p>
            </c:rich>
          </c:tx>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90"/>
          <c:min val="-60"/>
        </c:scaling>
        <c:delete val="0"/>
        <c:axPos val="r"/>
        <c:title>
          <c:tx>
            <c:rich>
              <a:bodyPr/>
              <a:lstStyle/>
              <a:p>
                <a:pPr>
                  <a:defRPr sz="700" i="1"/>
                </a:pPr>
                <a:r>
                  <a:rPr lang="cs-CZ" sz="700" i="1"/>
                  <a:t>Zakázky, saldo indikátoru důvěry, bariéry růstu</a:t>
                </a:r>
              </a:p>
            </c:rich>
          </c:tx>
          <c:overlay val="0"/>
        </c:title>
        <c:numFmt formatCode="0" sourceLinked="0"/>
        <c:majorTickMark val="out"/>
        <c:minorTickMark val="none"/>
        <c:tickLblPos val="nextTo"/>
        <c:crossAx val="147650816"/>
        <c:crosses val="max"/>
        <c:crossBetween val="between"/>
        <c:majorUnit val="15"/>
      </c:valAx>
      <c:catAx>
        <c:axId val="147650816"/>
        <c:scaling>
          <c:orientation val="minMax"/>
        </c:scaling>
        <c:delete val="1"/>
        <c:axPos val="b"/>
        <c:numFmt formatCode="General" sourceLinked="1"/>
        <c:majorTickMark val="out"/>
        <c:minorTickMark val="none"/>
        <c:tickLblPos val="none"/>
        <c:crossAx val="147649280"/>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3.2100887722170054E-2"/>
          <c:y val="0.85664457736723998"/>
          <c:w val="0.96253285608010408"/>
          <c:h val="0.13635475415022985"/>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6647319020345381"/>
          <c:h val="0.7103501120970378"/>
        </c:manualLayout>
      </c:layout>
      <c:barChart>
        <c:barDir val="col"/>
        <c:grouping val="stacked"/>
        <c:varyColors val="0"/>
        <c:ser>
          <c:idx val="0"/>
          <c:order val="1"/>
          <c:tx>
            <c:strRef>
              <c:f>'Služby-příspěvkyk růstu'!$D$25</c:f>
              <c:strCache>
                <c:ptCount val="1"/>
                <c:pt idx="0">
                  <c:v>Doprava a skladování</c:v>
                </c:pt>
              </c:strCache>
            </c:strRef>
          </c:tx>
          <c:spPr>
            <a:solidFill>
              <a:srgbClr val="92D050"/>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růstu'!$D$38:$D$64</c:f>
              <c:numCache>
                <c:formatCode>0.0</c:formatCode>
                <c:ptCount val="27"/>
                <c:pt idx="0">
                  <c:v>0.17784702557599033</c:v>
                </c:pt>
                <c:pt idx="1">
                  <c:v>-4.1153954550536498E-2</c:v>
                </c:pt>
                <c:pt idx="2">
                  <c:v>0.19675507185404387</c:v>
                </c:pt>
                <c:pt idx="3">
                  <c:v>4.4524490268410655E-2</c:v>
                </c:pt>
                <c:pt idx="4">
                  <c:v>0.13946448096623712</c:v>
                </c:pt>
                <c:pt idx="5">
                  <c:v>0.20828573579317947</c:v>
                </c:pt>
                <c:pt idx="6">
                  <c:v>0.13789200530936441</c:v>
                </c:pt>
                <c:pt idx="7">
                  <c:v>0.86068515110873312</c:v>
                </c:pt>
                <c:pt idx="8">
                  <c:v>1.7974934723664766</c:v>
                </c:pt>
                <c:pt idx="9">
                  <c:v>1.0846625349009715</c:v>
                </c:pt>
                <c:pt idx="10">
                  <c:v>1.1351852375742451</c:v>
                </c:pt>
                <c:pt idx="11">
                  <c:v>0.60468210639017606</c:v>
                </c:pt>
                <c:pt idx="12">
                  <c:v>1.7465012928992198</c:v>
                </c:pt>
                <c:pt idx="13">
                  <c:v>1.9213841091805361</c:v>
                </c:pt>
                <c:pt idx="14">
                  <c:v>1.4689302905524204</c:v>
                </c:pt>
                <c:pt idx="15">
                  <c:v>0.50117729578518855</c:v>
                </c:pt>
                <c:pt idx="16">
                  <c:v>0.75263240054785618</c:v>
                </c:pt>
                <c:pt idx="17">
                  <c:v>-8.121137806355179E-2</c:v>
                </c:pt>
                <c:pt idx="18">
                  <c:v>-0.66994926294940094</c:v>
                </c:pt>
                <c:pt idx="19">
                  <c:v>-0.54040905308684861</c:v>
                </c:pt>
                <c:pt idx="20">
                  <c:v>-1.8646946552605359</c:v>
                </c:pt>
                <c:pt idx="21">
                  <c:v>-6.8769875395707061</c:v>
                </c:pt>
                <c:pt idx="22">
                  <c:v>-4.2186862803005329</c:v>
                </c:pt>
                <c:pt idx="23">
                  <c:v>-1.7603068852892723</c:v>
                </c:pt>
                <c:pt idx="24">
                  <c:v>-0.16843968789779365</c:v>
                </c:pt>
                <c:pt idx="25">
                  <c:v>6.918128731705961</c:v>
                </c:pt>
              </c:numCache>
            </c:numRef>
          </c:val>
          <c:extLst>
            <c:ext xmlns:c16="http://schemas.microsoft.com/office/drawing/2014/chart" uri="{C3380CC4-5D6E-409C-BE32-E72D297353CC}">
              <c16:uniqueId val="{00000000-1512-40D0-A9C7-9A67AAB69EFA}"/>
            </c:ext>
          </c:extLst>
        </c:ser>
        <c:ser>
          <c:idx val="1"/>
          <c:order val="2"/>
          <c:tx>
            <c:strRef>
              <c:f>'Služby-příspěvkyk růstu'!$E$25</c:f>
              <c:strCache>
                <c:ptCount val="1"/>
                <c:pt idx="0">
                  <c:v>Ubytování, stravování a pohostinství</c:v>
                </c:pt>
              </c:strCache>
            </c:strRef>
          </c:tx>
          <c:spPr>
            <a:solidFill>
              <a:srgbClr val="00B0F0"/>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růstu'!$E$38:$E$64</c:f>
              <c:numCache>
                <c:formatCode>0.0</c:formatCode>
                <c:ptCount val="27"/>
                <c:pt idx="0">
                  <c:v>0.23068727874505793</c:v>
                </c:pt>
                <c:pt idx="1">
                  <c:v>0.65500430584103086</c:v>
                </c:pt>
                <c:pt idx="2">
                  <c:v>0.65445127748121035</c:v>
                </c:pt>
                <c:pt idx="3">
                  <c:v>0.40295089080303936</c:v>
                </c:pt>
                <c:pt idx="4">
                  <c:v>0.46667218520329662</c:v>
                </c:pt>
                <c:pt idx="5">
                  <c:v>0.17104444695300572</c:v>
                </c:pt>
                <c:pt idx="6">
                  <c:v>0.56704693143903195</c:v>
                </c:pt>
                <c:pt idx="7">
                  <c:v>0.60083208257587717</c:v>
                </c:pt>
                <c:pt idx="8">
                  <c:v>0.91455838493249142</c:v>
                </c:pt>
                <c:pt idx="9">
                  <c:v>1.231607253071263</c:v>
                </c:pt>
                <c:pt idx="10">
                  <c:v>0.5534510922648459</c:v>
                </c:pt>
                <c:pt idx="11">
                  <c:v>0.45394811178918809</c:v>
                </c:pt>
                <c:pt idx="12">
                  <c:v>0.20369258900958792</c:v>
                </c:pt>
                <c:pt idx="13">
                  <c:v>4.7235698176859818E-2</c:v>
                </c:pt>
                <c:pt idx="14">
                  <c:v>5.8750890591798624E-2</c:v>
                </c:pt>
                <c:pt idx="15">
                  <c:v>-3.8366347387654286E-2</c:v>
                </c:pt>
                <c:pt idx="16">
                  <c:v>0.19921781020350779</c:v>
                </c:pt>
                <c:pt idx="17">
                  <c:v>0.19028430952840486</c:v>
                </c:pt>
                <c:pt idx="18">
                  <c:v>-1.916690216819248E-2</c:v>
                </c:pt>
                <c:pt idx="19">
                  <c:v>-1.9416332102348634E-2</c:v>
                </c:pt>
                <c:pt idx="20">
                  <c:v>-1.1592357036246839</c:v>
                </c:pt>
                <c:pt idx="21">
                  <c:v>-4.9682177104098058</c:v>
                </c:pt>
                <c:pt idx="22">
                  <c:v>-1.9519574731345033</c:v>
                </c:pt>
                <c:pt idx="23">
                  <c:v>-4.5016526436732862</c:v>
                </c:pt>
                <c:pt idx="24">
                  <c:v>-3.7508869539731311</c:v>
                </c:pt>
                <c:pt idx="25">
                  <c:v>1.3827301210406615</c:v>
                </c:pt>
              </c:numCache>
            </c:numRef>
          </c:val>
          <c:extLst>
            <c:ext xmlns:c16="http://schemas.microsoft.com/office/drawing/2014/chart" uri="{C3380CC4-5D6E-409C-BE32-E72D297353CC}">
              <c16:uniqueId val="{00000001-1512-40D0-A9C7-9A67AAB69EFA}"/>
            </c:ext>
          </c:extLst>
        </c:ser>
        <c:ser>
          <c:idx val="2"/>
          <c:order val="3"/>
          <c:tx>
            <c:strRef>
              <c:f>'Služby-příspěvkyk růstu'!$F$25</c:f>
              <c:strCache>
                <c:ptCount val="1"/>
                <c:pt idx="0">
                  <c:v>Informační a komunikační činnosti</c:v>
                </c:pt>
              </c:strCache>
            </c:strRef>
          </c:tx>
          <c:spPr>
            <a:solidFill>
              <a:srgbClr val="E6E100"/>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růstu'!$F$38:$F$64</c:f>
              <c:numCache>
                <c:formatCode>0.0</c:formatCode>
                <c:ptCount val="27"/>
                <c:pt idx="0">
                  <c:v>1.4078898109159903</c:v>
                </c:pt>
                <c:pt idx="1">
                  <c:v>0.82525906257812898</c:v>
                </c:pt>
                <c:pt idx="2">
                  <c:v>0.80495762868220244</c:v>
                </c:pt>
                <c:pt idx="3">
                  <c:v>1.3162338204655517</c:v>
                </c:pt>
                <c:pt idx="4">
                  <c:v>0.36033487670421366</c:v>
                </c:pt>
                <c:pt idx="5">
                  <c:v>0.15638027838317614</c:v>
                </c:pt>
                <c:pt idx="6">
                  <c:v>0.32610885513838739</c:v>
                </c:pt>
                <c:pt idx="7">
                  <c:v>0.17762627373781287</c:v>
                </c:pt>
                <c:pt idx="8">
                  <c:v>0.76282425945040022</c:v>
                </c:pt>
                <c:pt idx="9">
                  <c:v>0.98306885205975347</c:v>
                </c:pt>
                <c:pt idx="10">
                  <c:v>0.77131824944810223</c:v>
                </c:pt>
                <c:pt idx="11">
                  <c:v>0.58432043551404034</c:v>
                </c:pt>
                <c:pt idx="12">
                  <c:v>1.4410506386239601</c:v>
                </c:pt>
                <c:pt idx="13">
                  <c:v>0.76544504374458233</c:v>
                </c:pt>
                <c:pt idx="14">
                  <c:v>1.4164775798085461</c:v>
                </c:pt>
                <c:pt idx="15">
                  <c:v>0.98719747480527764</c:v>
                </c:pt>
                <c:pt idx="16">
                  <c:v>1.2347847857804872</c:v>
                </c:pt>
                <c:pt idx="17">
                  <c:v>1.1610055784403761</c:v>
                </c:pt>
                <c:pt idx="18">
                  <c:v>0.91432300980238912</c:v>
                </c:pt>
                <c:pt idx="19">
                  <c:v>1.1615543875830505</c:v>
                </c:pt>
                <c:pt idx="20">
                  <c:v>0.81894474477217827</c:v>
                </c:pt>
                <c:pt idx="21">
                  <c:v>1.2294640949034262E-2</c:v>
                </c:pt>
                <c:pt idx="22">
                  <c:v>-0.20775191175017058</c:v>
                </c:pt>
                <c:pt idx="23">
                  <c:v>-0.54240589854371102</c:v>
                </c:pt>
                <c:pt idx="24">
                  <c:v>0.48886999175229195</c:v>
                </c:pt>
                <c:pt idx="25">
                  <c:v>1.4742653447482703</c:v>
                </c:pt>
              </c:numCache>
            </c:numRef>
          </c:val>
          <c:extLst>
            <c:ext xmlns:c16="http://schemas.microsoft.com/office/drawing/2014/chart" uri="{C3380CC4-5D6E-409C-BE32-E72D297353CC}">
              <c16:uniqueId val="{00000002-1512-40D0-A9C7-9A67AAB69EFA}"/>
            </c:ext>
          </c:extLst>
        </c:ser>
        <c:ser>
          <c:idx val="4"/>
          <c:order val="4"/>
          <c:tx>
            <c:strRef>
              <c:f>'Služby-příspěvkyk růstu'!$G$25</c:f>
              <c:strCache>
                <c:ptCount val="1"/>
                <c:pt idx="0">
                  <c:v>Činnosti v oblasti nemovitostí</c:v>
                </c:pt>
              </c:strCache>
            </c:strRef>
          </c:tx>
          <c:spPr>
            <a:solidFill>
              <a:schemeClr val="accent5">
                <a:lumMod val="60000"/>
                <a:lumOff val="40000"/>
              </a:schemeClr>
            </a:solidFill>
            <a:ln>
              <a:noFill/>
              <a:prstDash val="sysDash"/>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růstu'!$G$38:$G$64</c:f>
              <c:numCache>
                <c:formatCode>0.0</c:formatCode>
                <c:ptCount val="27"/>
                <c:pt idx="0">
                  <c:v>4.5114687215489196E-2</c:v>
                </c:pt>
                <c:pt idx="1">
                  <c:v>-4.633203545382855E-3</c:v>
                </c:pt>
                <c:pt idx="2">
                  <c:v>8.5015739753390329E-2</c:v>
                </c:pt>
                <c:pt idx="3">
                  <c:v>4.220830931986512E-2</c:v>
                </c:pt>
                <c:pt idx="4">
                  <c:v>0.22367935692513705</c:v>
                </c:pt>
                <c:pt idx="5">
                  <c:v>6.8179123861302385E-2</c:v>
                </c:pt>
                <c:pt idx="6">
                  <c:v>0.11569139719415283</c:v>
                </c:pt>
                <c:pt idx="7">
                  <c:v>-7.0466113098899399E-2</c:v>
                </c:pt>
                <c:pt idx="8">
                  <c:v>0.28170347372407545</c:v>
                </c:pt>
                <c:pt idx="9">
                  <c:v>0.36183937198533883</c:v>
                </c:pt>
                <c:pt idx="10">
                  <c:v>-3.8722623438578699E-2</c:v>
                </c:pt>
                <c:pt idx="11">
                  <c:v>0.13751786545078354</c:v>
                </c:pt>
                <c:pt idx="12">
                  <c:v>-1.6524917654980809E-2</c:v>
                </c:pt>
                <c:pt idx="13">
                  <c:v>-0.22648210744306341</c:v>
                </c:pt>
                <c:pt idx="14">
                  <c:v>-0.12424593391733178</c:v>
                </c:pt>
                <c:pt idx="15">
                  <c:v>-0.2069362641489616</c:v>
                </c:pt>
                <c:pt idx="16">
                  <c:v>0.14696794947238928</c:v>
                </c:pt>
                <c:pt idx="17">
                  <c:v>-2.7570980462265055E-2</c:v>
                </c:pt>
                <c:pt idx="18">
                  <c:v>-0.16565733818130893</c:v>
                </c:pt>
                <c:pt idx="19">
                  <c:v>-0.11837811648212067</c:v>
                </c:pt>
                <c:pt idx="20">
                  <c:v>0.43339495192195154</c:v>
                </c:pt>
                <c:pt idx="21">
                  <c:v>-0.29664667919137244</c:v>
                </c:pt>
                <c:pt idx="22">
                  <c:v>-0.27589755073842731</c:v>
                </c:pt>
                <c:pt idx="23">
                  <c:v>-0.22603611712587934</c:v>
                </c:pt>
                <c:pt idx="24">
                  <c:v>-0.21976379159449222</c:v>
                </c:pt>
                <c:pt idx="25">
                  <c:v>0.27047496115097869</c:v>
                </c:pt>
              </c:numCache>
            </c:numRef>
          </c:val>
          <c:extLst>
            <c:ext xmlns:c16="http://schemas.microsoft.com/office/drawing/2014/chart" uri="{C3380CC4-5D6E-409C-BE32-E72D297353CC}">
              <c16:uniqueId val="{00000003-1512-40D0-A9C7-9A67AAB69EFA}"/>
            </c:ext>
          </c:extLst>
        </c:ser>
        <c:ser>
          <c:idx val="5"/>
          <c:order val="5"/>
          <c:tx>
            <c:strRef>
              <c:f>'Služby-příspěvkyk růstu'!$H$25</c:f>
              <c:strCache>
                <c:ptCount val="1"/>
                <c:pt idx="0">
                  <c:v>Profesní, vědecké a technické činnosti</c:v>
                </c:pt>
              </c:strCache>
            </c:strRef>
          </c:tx>
          <c:spPr>
            <a:solidFill>
              <a:schemeClr val="accent6">
                <a:lumMod val="60000"/>
                <a:lumOff val="40000"/>
              </a:schemeClr>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růstu'!$H$38:$H$64</c:f>
              <c:numCache>
                <c:formatCode>0.0</c:formatCode>
                <c:ptCount val="27"/>
                <c:pt idx="0">
                  <c:v>1.0484383463709321</c:v>
                </c:pt>
                <c:pt idx="1">
                  <c:v>0.72052999502781179</c:v>
                </c:pt>
                <c:pt idx="2">
                  <c:v>1.0868604197952834</c:v>
                </c:pt>
                <c:pt idx="3">
                  <c:v>-4.0322082082337972E-2</c:v>
                </c:pt>
                <c:pt idx="4">
                  <c:v>-0.43449187704976927</c:v>
                </c:pt>
                <c:pt idx="5">
                  <c:v>-1.3323039000266932</c:v>
                </c:pt>
                <c:pt idx="6">
                  <c:v>-3.9552220086378894E-3</c:v>
                </c:pt>
                <c:pt idx="7">
                  <c:v>-0.31462694364037369</c:v>
                </c:pt>
                <c:pt idx="8">
                  <c:v>0.96902063476099443</c:v>
                </c:pt>
                <c:pt idx="9">
                  <c:v>0.58685347143608046</c:v>
                </c:pt>
                <c:pt idx="10">
                  <c:v>0.3036767260079471</c:v>
                </c:pt>
                <c:pt idx="11">
                  <c:v>0.42723783324562753</c:v>
                </c:pt>
                <c:pt idx="12">
                  <c:v>1.0465166620234574</c:v>
                </c:pt>
                <c:pt idx="13">
                  <c:v>0.55031893076940297</c:v>
                </c:pt>
                <c:pt idx="14">
                  <c:v>0.36062690239541018</c:v>
                </c:pt>
                <c:pt idx="15">
                  <c:v>-0.26282042548043488</c:v>
                </c:pt>
                <c:pt idx="16">
                  <c:v>0.70683419275912829</c:v>
                </c:pt>
                <c:pt idx="17">
                  <c:v>0.58909336860858441</c:v>
                </c:pt>
                <c:pt idx="18">
                  <c:v>-0.76655146702786459</c:v>
                </c:pt>
                <c:pt idx="19">
                  <c:v>-0.57242584774453176</c:v>
                </c:pt>
                <c:pt idx="20">
                  <c:v>-0.86095792954266626</c:v>
                </c:pt>
                <c:pt idx="21">
                  <c:v>-3.1835055642505159</c:v>
                </c:pt>
                <c:pt idx="22">
                  <c:v>-1.4957874257817754</c:v>
                </c:pt>
                <c:pt idx="23">
                  <c:v>-1.5473623495881494</c:v>
                </c:pt>
                <c:pt idx="24">
                  <c:v>-1.5619850455789446</c:v>
                </c:pt>
                <c:pt idx="25">
                  <c:v>2.2444613621662812</c:v>
                </c:pt>
              </c:numCache>
            </c:numRef>
          </c:val>
          <c:extLst>
            <c:ext xmlns:c16="http://schemas.microsoft.com/office/drawing/2014/chart" uri="{C3380CC4-5D6E-409C-BE32-E72D297353CC}">
              <c16:uniqueId val="{00000004-1512-40D0-A9C7-9A67AAB69EFA}"/>
            </c:ext>
          </c:extLst>
        </c:ser>
        <c:ser>
          <c:idx val="6"/>
          <c:order val="6"/>
          <c:tx>
            <c:strRef>
              <c:f>'Služby-příspěvkyk růstu'!$I$25</c:f>
              <c:strCache>
                <c:ptCount val="1"/>
                <c:pt idx="0">
                  <c:v>Administrativní a podpůrné činnosti</c:v>
                </c:pt>
              </c:strCache>
            </c:strRef>
          </c:tx>
          <c:spPr>
            <a:solidFill>
              <a:schemeClr val="accent1">
                <a:lumMod val="20000"/>
                <a:lumOff val="80000"/>
              </a:schemeClr>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růstu'!$I$38:$I$64</c:f>
              <c:numCache>
                <c:formatCode>0.0</c:formatCode>
                <c:ptCount val="27"/>
                <c:pt idx="0">
                  <c:v>0.51529021776837436</c:v>
                </c:pt>
                <c:pt idx="1">
                  <c:v>0.62103855147350373</c:v>
                </c:pt>
                <c:pt idx="2">
                  <c:v>0.43595933582649415</c:v>
                </c:pt>
                <c:pt idx="3">
                  <c:v>0.5014624395084516</c:v>
                </c:pt>
                <c:pt idx="4">
                  <c:v>0.46409597389160773</c:v>
                </c:pt>
                <c:pt idx="5">
                  <c:v>0.16302807991689272</c:v>
                </c:pt>
                <c:pt idx="6">
                  <c:v>0.26998446590022002</c:v>
                </c:pt>
                <c:pt idx="7">
                  <c:v>0.51404132645830092</c:v>
                </c:pt>
                <c:pt idx="8">
                  <c:v>1.3081284665881006</c:v>
                </c:pt>
                <c:pt idx="9">
                  <c:v>1.0890272586366447</c:v>
                </c:pt>
                <c:pt idx="10">
                  <c:v>0.64167805687312862</c:v>
                </c:pt>
                <c:pt idx="11">
                  <c:v>0.3049450708114973</c:v>
                </c:pt>
                <c:pt idx="12">
                  <c:v>0.5336964228095209</c:v>
                </c:pt>
                <c:pt idx="13">
                  <c:v>0.37812124631965366</c:v>
                </c:pt>
                <c:pt idx="14">
                  <c:v>0.43585539133912715</c:v>
                </c:pt>
                <c:pt idx="15">
                  <c:v>-1.3565736472039135E-2</c:v>
                </c:pt>
                <c:pt idx="16">
                  <c:v>0.47293200908229094</c:v>
                </c:pt>
                <c:pt idx="17">
                  <c:v>0.12985986360314838</c:v>
                </c:pt>
                <c:pt idx="18">
                  <c:v>-0.12378098867957033</c:v>
                </c:pt>
                <c:pt idx="19">
                  <c:v>-0.21503501352804164</c:v>
                </c:pt>
                <c:pt idx="20">
                  <c:v>-1.0975647540029245</c:v>
                </c:pt>
                <c:pt idx="21">
                  <c:v>-4.3127603654212834</c:v>
                </c:pt>
                <c:pt idx="22">
                  <c:v>-4.4461404317321751</c:v>
                </c:pt>
                <c:pt idx="23">
                  <c:v>-2.3715294384068484</c:v>
                </c:pt>
                <c:pt idx="24">
                  <c:v>-1.587792910461185</c:v>
                </c:pt>
                <c:pt idx="25">
                  <c:v>1.8635640082735587</c:v>
                </c:pt>
              </c:numCache>
            </c:numRef>
          </c:val>
          <c:extLst>
            <c:ext xmlns:c16="http://schemas.microsoft.com/office/drawing/2014/chart" uri="{C3380CC4-5D6E-409C-BE32-E72D297353CC}">
              <c16:uniqueId val="{00000005-1512-40D0-A9C7-9A67AAB69EFA}"/>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růstu'!$C$25</c:f>
              <c:strCache>
                <c:ptCount val="1"/>
                <c:pt idx="0">
                  <c:v>Služby celkem</c:v>
                </c:pt>
              </c:strCache>
            </c:strRef>
          </c:tx>
          <c:spPr>
            <a:ln>
              <a:noFill/>
            </a:ln>
          </c:spPr>
          <c:marker>
            <c:symbol val="dash"/>
            <c:size val="9"/>
            <c:spPr>
              <a:solidFill>
                <a:schemeClr val="tx1">
                  <a:lumMod val="95000"/>
                  <a:lumOff val="5000"/>
                </a:schemeClr>
              </a:solidFill>
              <a:ln>
                <a:noFill/>
              </a:ln>
            </c:spPr>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růstu'!$C$38:$C$64</c:f>
              <c:numCache>
                <c:formatCode>0.0</c:formatCode>
                <c:ptCount val="27"/>
                <c:pt idx="0">
                  <c:v>3.4252673665918341</c:v>
                </c:pt>
                <c:pt idx="1">
                  <c:v>2.7760447568245561</c:v>
                </c:pt>
                <c:pt idx="2">
                  <c:v>3.2639994733926248</c:v>
                </c:pt>
                <c:pt idx="3">
                  <c:v>2.2670578682829805</c:v>
                </c:pt>
                <c:pt idx="4">
                  <c:v>1.2197549966407228</c:v>
                </c:pt>
                <c:pt idx="5">
                  <c:v>-0.56538623511913677</c:v>
                </c:pt>
                <c:pt idx="6">
                  <c:v>1.4127684329725188</c:v>
                </c:pt>
                <c:pt idx="7">
                  <c:v>1.7680917771414508</c:v>
                </c:pt>
                <c:pt idx="8">
                  <c:v>6.0337286918225388</c:v>
                </c:pt>
                <c:pt idx="9">
                  <c:v>5.3370587420900524</c:v>
                </c:pt>
                <c:pt idx="10">
                  <c:v>3.3665867387296897</c:v>
                </c:pt>
                <c:pt idx="11">
                  <c:v>2.5126514232013126</c:v>
                </c:pt>
                <c:pt idx="12">
                  <c:v>4.9549326877107651</c:v>
                </c:pt>
                <c:pt idx="13">
                  <c:v>3.4360229207479716</c:v>
                </c:pt>
                <c:pt idx="14">
                  <c:v>3.6163951207699707</c:v>
                </c:pt>
                <c:pt idx="15">
                  <c:v>0.96668599710137615</c:v>
                </c:pt>
                <c:pt idx="16">
                  <c:v>3.5133691478456601</c:v>
                </c:pt>
                <c:pt idx="17">
                  <c:v>1.9614607616546968</c:v>
                </c:pt>
                <c:pt idx="18">
                  <c:v>-0.83078294920394813</c:v>
                </c:pt>
                <c:pt idx="19">
                  <c:v>-0.30410997536084072</c:v>
                </c:pt>
                <c:pt idx="20">
                  <c:v>-3.7301133457366804</c:v>
                </c:pt>
                <c:pt idx="21">
                  <c:v>-19.625823217894649</c:v>
                </c:pt>
                <c:pt idx="22">
                  <c:v>-12.596221073437585</c:v>
                </c:pt>
                <c:pt idx="23">
                  <c:v>-10.949293332627146</c:v>
                </c:pt>
                <c:pt idx="24">
                  <c:v>-6.8072748090039994</c:v>
                </c:pt>
                <c:pt idx="25">
                  <c:v>14.153289749565971</c:v>
                </c:pt>
              </c:numCache>
            </c:numRef>
          </c:val>
          <c:smooth val="0"/>
          <c:extLst>
            <c:ext xmlns:c16="http://schemas.microsoft.com/office/drawing/2014/chart" uri="{C3380CC4-5D6E-409C-BE32-E72D297353CC}">
              <c16:uniqueId val="{00000006-1512-40D0-A9C7-9A67AAB69EFA}"/>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růstu'!$J$25</c:f>
              <c:strCache>
                <c:ptCount val="1"/>
                <c:pt idx="0">
                  <c:v>Saldo indikátoru důvěry ve službách</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růstu'!$J$38:$J$64</c:f>
              <c:numCache>
                <c:formatCode>0.0</c:formatCode>
                <c:ptCount val="27"/>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numCache>
            </c:numRef>
          </c:val>
          <c:smooth val="0"/>
          <c:extLst>
            <c:ext xmlns:c16="http://schemas.microsoft.com/office/drawing/2014/chart" uri="{C3380CC4-5D6E-409C-BE32-E72D297353CC}">
              <c16:uniqueId val="{00000007-1512-40D0-A9C7-9A67AAB69EFA}"/>
            </c:ext>
          </c:extLst>
        </c:ser>
        <c:ser>
          <c:idx val="8"/>
          <c:order val="8"/>
          <c:tx>
            <c:strRef>
              <c:f>'Služby-příspěvkyk růstu'!$K$25</c:f>
              <c:strCache>
                <c:ptCount val="1"/>
                <c:pt idx="0">
                  <c:v>Bariéra růstu: nedostatečná poptávka</c:v>
                </c:pt>
              </c:strCache>
            </c:strRef>
          </c:tx>
          <c:spPr>
            <a:ln w="15875">
              <a:solidFill>
                <a:srgbClr val="00B050"/>
              </a:solidFill>
            </a:ln>
          </c:spPr>
          <c:marker>
            <c:symbol val="none"/>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růstu'!$K$38:$K$64</c:f>
              <c:numCache>
                <c:formatCode>#\ ##0.0</c:formatCode>
                <c:ptCount val="27"/>
                <c:pt idx="0">
                  <c:v>26.2</c:v>
                </c:pt>
                <c:pt idx="1">
                  <c:v>29</c:v>
                </c:pt>
                <c:pt idx="2">
                  <c:v>26.9</c:v>
                </c:pt>
                <c:pt idx="3">
                  <c:v>23.3</c:v>
                </c:pt>
                <c:pt idx="4">
                  <c:v>24</c:v>
                </c:pt>
                <c:pt idx="5">
                  <c:v>24.5</c:v>
                </c:pt>
                <c:pt idx="6">
                  <c:v>21</c:v>
                </c:pt>
                <c:pt idx="7">
                  <c:v>23.3</c:v>
                </c:pt>
                <c:pt idx="8">
                  <c:v>26.2</c:v>
                </c:pt>
                <c:pt idx="9">
                  <c:v>20.5</c:v>
                </c:pt>
                <c:pt idx="10">
                  <c:v>19.899999999999999</c:v>
                </c:pt>
                <c:pt idx="11">
                  <c:v>20.9</c:v>
                </c:pt>
                <c:pt idx="12">
                  <c:v>17.3</c:v>
                </c:pt>
                <c:pt idx="13">
                  <c:v>18.600000000000001</c:v>
                </c:pt>
                <c:pt idx="14">
                  <c:v>18.899999999999999</c:v>
                </c:pt>
                <c:pt idx="15">
                  <c:v>19.8</c:v>
                </c:pt>
                <c:pt idx="16">
                  <c:v>20.7</c:v>
                </c:pt>
                <c:pt idx="17">
                  <c:v>17.100000000000001</c:v>
                </c:pt>
                <c:pt idx="18">
                  <c:v>21.7</c:v>
                </c:pt>
                <c:pt idx="19">
                  <c:v>14.1</c:v>
                </c:pt>
                <c:pt idx="20">
                  <c:v>20.399999999999999</c:v>
                </c:pt>
                <c:pt idx="21">
                  <c:v>29.1</c:v>
                </c:pt>
                <c:pt idx="22">
                  <c:v>30.9</c:v>
                </c:pt>
                <c:pt idx="23">
                  <c:v>39</c:v>
                </c:pt>
                <c:pt idx="24">
                  <c:v>35.799999999999997</c:v>
                </c:pt>
                <c:pt idx="25">
                  <c:v>37.1</c:v>
                </c:pt>
                <c:pt idx="26">
                  <c:v>30.9</c:v>
                </c:pt>
              </c:numCache>
            </c:numRef>
          </c:val>
          <c:smooth val="0"/>
          <c:extLst>
            <c:ext xmlns:c16="http://schemas.microsoft.com/office/drawing/2014/chart" uri="{C3380CC4-5D6E-409C-BE32-E72D297353CC}">
              <c16:uniqueId val="{00000008-1512-40D0-A9C7-9A67AAB69EFA}"/>
            </c:ext>
          </c:extLst>
        </c:ser>
        <c:ser>
          <c:idx val="9"/>
          <c:order val="9"/>
          <c:tx>
            <c:strRef>
              <c:f>'Služby-příspěvkyk růstu'!$L$25</c:f>
              <c:strCache>
                <c:ptCount val="1"/>
                <c:pt idx="0">
                  <c:v>Bariéra růstu: nedostatek pracovníků</c:v>
                </c:pt>
              </c:strCache>
            </c:strRef>
          </c:tx>
          <c:spPr>
            <a:ln w="15875">
              <a:solidFill>
                <a:srgbClr val="00B050"/>
              </a:solidFill>
              <a:prstDash val="sysDash"/>
            </a:ln>
          </c:spPr>
          <c:marker>
            <c:symbol val="none"/>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růstu'!$L$38:$L$64</c:f>
              <c:numCache>
                <c:formatCode>#\ ##0.0</c:formatCode>
                <c:ptCount val="27"/>
                <c:pt idx="0">
                  <c:v>2.8</c:v>
                </c:pt>
                <c:pt idx="1">
                  <c:v>5.7</c:v>
                </c:pt>
                <c:pt idx="2">
                  <c:v>5.9</c:v>
                </c:pt>
                <c:pt idx="3">
                  <c:v>5.8</c:v>
                </c:pt>
                <c:pt idx="4">
                  <c:v>8.6999999999999993</c:v>
                </c:pt>
                <c:pt idx="5">
                  <c:v>4.5999999999999996</c:v>
                </c:pt>
                <c:pt idx="6">
                  <c:v>7.1</c:v>
                </c:pt>
                <c:pt idx="7">
                  <c:v>9.1</c:v>
                </c:pt>
                <c:pt idx="8">
                  <c:v>10.1</c:v>
                </c:pt>
                <c:pt idx="9">
                  <c:v>10</c:v>
                </c:pt>
                <c:pt idx="10">
                  <c:v>9.3000000000000007</c:v>
                </c:pt>
                <c:pt idx="11">
                  <c:v>12.2</c:v>
                </c:pt>
                <c:pt idx="12">
                  <c:v>14.2</c:v>
                </c:pt>
                <c:pt idx="13">
                  <c:v>16.600000000000001</c:v>
                </c:pt>
                <c:pt idx="14">
                  <c:v>17.3</c:v>
                </c:pt>
                <c:pt idx="15">
                  <c:v>18.600000000000001</c:v>
                </c:pt>
                <c:pt idx="16">
                  <c:v>19.600000000000001</c:v>
                </c:pt>
                <c:pt idx="17">
                  <c:v>16.600000000000001</c:v>
                </c:pt>
                <c:pt idx="18">
                  <c:v>21.2</c:v>
                </c:pt>
                <c:pt idx="19">
                  <c:v>19.100000000000001</c:v>
                </c:pt>
                <c:pt idx="20">
                  <c:v>19.7</c:v>
                </c:pt>
                <c:pt idx="21">
                  <c:v>12.1</c:v>
                </c:pt>
                <c:pt idx="22">
                  <c:v>9.8000000000000007</c:v>
                </c:pt>
                <c:pt idx="23">
                  <c:v>11.1</c:v>
                </c:pt>
                <c:pt idx="24">
                  <c:v>11.2</c:v>
                </c:pt>
                <c:pt idx="25">
                  <c:v>10.8</c:v>
                </c:pt>
                <c:pt idx="26">
                  <c:v>16.3</c:v>
                </c:pt>
              </c:numCache>
            </c:numRef>
          </c:val>
          <c:smooth val="0"/>
          <c:extLst>
            <c:ext xmlns:c16="http://schemas.microsoft.com/office/drawing/2014/chart" uri="{C3380CC4-5D6E-409C-BE32-E72D297353CC}">
              <c16:uniqueId val="{00000009-1512-40D0-A9C7-9A67AAB69EFA}"/>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21"/>
        </c:scaling>
        <c:delete val="0"/>
        <c:axPos val="l"/>
        <c:majorGridlines>
          <c:spPr>
            <a:ln w="6350">
              <a:solidFill>
                <a:schemeClr val="bg1">
                  <a:lumMod val="75000"/>
                </a:schemeClr>
              </a:solidFill>
            </a:ln>
          </c:spPr>
        </c:majorGridlines>
        <c:title>
          <c:tx>
            <c:rich>
              <a:bodyPr/>
              <a:lstStyle/>
              <a:p>
                <a:pPr>
                  <a:defRPr sz="700" b="0" i="1"/>
                </a:pPr>
                <a:r>
                  <a:rPr lang="cs-CZ" sz="700" b="0" i="1"/>
                  <a:t>Příspěvěk k růstu tržeb</a:t>
                </a:r>
              </a:p>
            </c:rich>
          </c:tx>
          <c:layout>
            <c:manualLayout>
              <c:xMode val="edge"/>
              <c:yMode val="edge"/>
              <c:x val="0"/>
              <c:y val="0.21427956658597461"/>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100"/>
          <c:min val="-20"/>
        </c:scaling>
        <c:delete val="0"/>
        <c:axPos val="r"/>
        <c:title>
          <c:tx>
            <c:rich>
              <a:bodyPr/>
              <a:lstStyle/>
              <a:p>
                <a:pPr>
                  <a:defRPr sz="700" b="0" i="1"/>
                </a:pPr>
                <a:r>
                  <a:rPr lang="cs-CZ" sz="700" b="0" i="1"/>
                  <a:t>Saldo indikátoru důvěry, bariéry růstu</a:t>
                </a:r>
              </a:p>
            </c:rich>
          </c:tx>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6.4054887921739166E-5"/>
          <c:y val="0.81821506531821531"/>
          <c:w val="0.98649823440865303"/>
          <c:h val="0.17117269183021638"/>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E91E-6B5D-47F4-BDA9-068B1190F891}">
  <ds:schemaRefs>
    <ds:schemaRef ds:uri="http://schemas.openxmlformats.org/officeDocument/2006/bibliography"/>
  </ds:schemaRefs>
</ds:datastoreItem>
</file>

<file path=customXml/itemProps2.xml><?xml version="1.0" encoding="utf-8"?>
<ds:datastoreItem xmlns:ds="http://schemas.openxmlformats.org/officeDocument/2006/customXml" ds:itemID="{3CEBCC62-6113-4209-8919-97889002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8</Pages>
  <Words>3364</Words>
  <Characters>19850</Characters>
  <Application>Microsoft Office Word</Application>
  <DocSecurity>0</DocSecurity>
  <Lines>165</Lines>
  <Paragraphs>46</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23168</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3</cp:revision>
  <cp:lastPrinted>2019-04-08T10:52:00Z</cp:lastPrinted>
  <dcterms:created xsi:type="dcterms:W3CDTF">2021-09-14T08:33:00Z</dcterms:created>
  <dcterms:modified xsi:type="dcterms:W3CDTF">2021-09-14T08:43:00Z</dcterms:modified>
</cp:coreProperties>
</file>