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5E" w:rsidRPr="001E6EB9" w:rsidRDefault="00451DCC" w:rsidP="00767393">
      <w:pPr>
        <w:pStyle w:val="Nadpis1"/>
        <w:numPr>
          <w:ilvl w:val="0"/>
          <w:numId w:val="6"/>
        </w:numPr>
        <w:jc w:val="both"/>
        <w:rPr>
          <w:lang w:val="en-GB"/>
        </w:rPr>
      </w:pPr>
      <w:bookmarkStart w:id="0" w:name="_Toc446341887"/>
      <w:r w:rsidRPr="001E6EB9">
        <w:rPr>
          <w:lang w:val="en-GB"/>
        </w:rPr>
        <w:t>State Budget</w:t>
      </w:r>
      <w:bookmarkEnd w:id="0"/>
    </w:p>
    <w:tbl>
      <w:tblPr>
        <w:tblW w:w="5063" w:type="pct"/>
        <w:tblCellMar>
          <w:left w:w="28" w:type="dxa"/>
          <w:right w:w="28" w:type="dxa"/>
        </w:tblCellMar>
        <w:tblLook w:val="04A0"/>
      </w:tblPr>
      <w:tblGrid>
        <w:gridCol w:w="590"/>
        <w:gridCol w:w="1457"/>
        <w:gridCol w:w="275"/>
        <w:gridCol w:w="2625"/>
        <w:gridCol w:w="717"/>
        <w:gridCol w:w="4105"/>
        <w:gridCol w:w="125"/>
      </w:tblGrid>
      <w:tr w:rsidR="00A644E1" w:rsidRPr="001E6EB9" w:rsidTr="00E90A4B">
        <w:trPr>
          <w:gridAfter w:val="1"/>
          <w:wAfter w:w="62" w:type="pct"/>
        </w:trPr>
        <w:tc>
          <w:tcPr>
            <w:tcW w:w="1041" w:type="pct"/>
            <w:gridSpan w:val="2"/>
          </w:tcPr>
          <w:p w:rsidR="00A644E1" w:rsidRPr="001E6EB9" w:rsidRDefault="001E6EB9" w:rsidP="001E6EB9">
            <w:pPr>
              <w:spacing w:line="240" w:lineRule="auto"/>
              <w:rPr>
                <w:rFonts w:cs="Arial"/>
                <w:bCs/>
                <w:iCs/>
                <w:color w:val="0D0D0D" w:themeColor="text1" w:themeTint="F2"/>
                <w:spacing w:val="-2"/>
                <w:sz w:val="16"/>
                <w:szCs w:val="16"/>
                <w:lang w:val="en-GB"/>
              </w:rPr>
            </w:pPr>
            <w:r w:rsidRPr="001E6EB9">
              <w:rPr>
                <w:rFonts w:cs="Arial"/>
                <w:bCs/>
                <w:iCs/>
                <w:color w:val="0D0D0D" w:themeColor="text1" w:themeTint="F2"/>
                <w:spacing w:val="-2"/>
                <w:sz w:val="16"/>
                <w:szCs w:val="16"/>
                <w:lang w:val="en-GB"/>
              </w:rPr>
              <w:t>Strengthening economic growth supported by a record drawing of resources from the European funds catapulted the state budget to the lowest deficit after year 2008</w:t>
            </w:r>
            <w:r w:rsidR="00A644E1" w:rsidRPr="001E6EB9">
              <w:rPr>
                <w:rFonts w:cs="Arial"/>
                <w:bCs/>
                <w:iCs/>
                <w:color w:val="0D0D0D" w:themeColor="text1" w:themeTint="F2"/>
                <w:spacing w:val="-2"/>
                <w:sz w:val="16"/>
                <w:szCs w:val="16"/>
                <w:lang w:val="en-GB"/>
              </w:rPr>
              <w:t xml:space="preserve"> </w:t>
            </w:r>
          </w:p>
          <w:p w:rsidR="00A644E1" w:rsidRPr="001E6EB9" w:rsidRDefault="00A644E1" w:rsidP="00611531">
            <w:pPr>
              <w:spacing w:line="240" w:lineRule="auto"/>
              <w:rPr>
                <w:rFonts w:cs="Arial"/>
                <w:color w:val="0D0D0D" w:themeColor="text1" w:themeTint="F2"/>
                <w:spacing w:val="-4"/>
                <w:szCs w:val="20"/>
                <w:lang w:val="en-GB"/>
              </w:rPr>
            </w:pPr>
          </w:p>
        </w:tc>
        <w:tc>
          <w:tcPr>
            <w:tcW w:w="140" w:type="pct"/>
          </w:tcPr>
          <w:p w:rsidR="00A644E1" w:rsidRPr="001E6EB9" w:rsidRDefault="00A644E1" w:rsidP="00611531">
            <w:pPr>
              <w:pStyle w:val="Textpoznpodarou"/>
              <w:jc w:val="both"/>
              <w:rPr>
                <w:color w:val="0D0D0D" w:themeColor="text1" w:themeTint="F2"/>
                <w:lang w:val="en-GB"/>
              </w:rPr>
            </w:pPr>
          </w:p>
        </w:tc>
        <w:tc>
          <w:tcPr>
            <w:tcW w:w="3757" w:type="pct"/>
            <w:gridSpan w:val="3"/>
          </w:tcPr>
          <w:p w:rsidR="00A644E1" w:rsidRPr="001E6EB9" w:rsidRDefault="001E6EB9" w:rsidP="00611531">
            <w:pPr>
              <w:pStyle w:val="Textpoznpodarou"/>
              <w:jc w:val="both"/>
              <w:rPr>
                <w:rFonts w:cs="Arial"/>
                <w:color w:val="0D0D0D" w:themeColor="text1" w:themeTint="F2"/>
                <w:lang w:val="en-GB"/>
              </w:rPr>
            </w:pPr>
            <w:r>
              <w:rPr>
                <w:rFonts w:cs="Arial"/>
                <w:color w:val="0D0D0D" w:themeColor="text1" w:themeTint="F2"/>
                <w:lang w:val="en-GB"/>
              </w:rPr>
              <w:t>T</w:t>
            </w:r>
            <w:r w:rsidRPr="001E6EB9">
              <w:rPr>
                <w:rFonts w:cs="Arial"/>
                <w:color w:val="0D0D0D" w:themeColor="text1" w:themeTint="F2"/>
                <w:lang w:val="en-GB"/>
              </w:rPr>
              <w:t>he strengthening economic growth accompanied by the intensive finalisation of drawing of funds from the EU budget</w:t>
            </w:r>
            <w:r>
              <w:rPr>
                <w:rFonts w:cs="Arial"/>
                <w:color w:val="0D0D0D" w:themeColor="text1" w:themeTint="F2"/>
                <w:lang w:val="en-GB"/>
              </w:rPr>
              <w:t xml:space="preserve"> </w:t>
            </w:r>
            <w:r w:rsidRPr="001E6EB9">
              <w:rPr>
                <w:rFonts w:cs="Arial"/>
                <w:color w:val="0D0D0D" w:themeColor="text1" w:themeTint="F2"/>
                <w:lang w:val="en-GB"/>
              </w:rPr>
              <w:t>helped to keep the trend of declinin</w:t>
            </w:r>
            <w:r>
              <w:rPr>
                <w:rFonts w:cs="Arial"/>
                <w:color w:val="0D0D0D" w:themeColor="text1" w:themeTint="F2"/>
                <w:lang w:val="en-GB"/>
              </w:rPr>
              <w:t>g</w:t>
            </w:r>
            <w:r w:rsidRPr="001E6EB9">
              <w:rPr>
                <w:rFonts w:cs="Arial"/>
                <w:color w:val="0D0D0D" w:themeColor="text1" w:themeTint="F2"/>
                <w:lang w:val="en-GB"/>
              </w:rPr>
              <w:t xml:space="preserve"> state budget (SB) defi</w:t>
            </w:r>
            <w:r>
              <w:rPr>
                <w:rFonts w:cs="Arial"/>
                <w:color w:val="0D0D0D" w:themeColor="text1" w:themeTint="F2"/>
                <w:lang w:val="en-GB"/>
              </w:rPr>
              <w:t>c</w:t>
            </w:r>
            <w:r w:rsidRPr="001E6EB9">
              <w:rPr>
                <w:rFonts w:cs="Arial"/>
                <w:color w:val="0D0D0D" w:themeColor="text1" w:themeTint="F2"/>
                <w:lang w:val="en-GB"/>
              </w:rPr>
              <w:t xml:space="preserve">its in 2015. It ended (based on cash fulfilment) in deficit of </w:t>
            </w:r>
            <w:r w:rsidR="00F15398">
              <w:rPr>
                <w:rFonts w:cs="Arial"/>
                <w:color w:val="0D0D0D" w:themeColor="text1" w:themeTint="F2"/>
                <w:lang w:val="en-GB"/>
              </w:rPr>
              <w:t>62.8</w:t>
            </w:r>
            <w:r w:rsidRPr="001E6EB9">
              <w:rPr>
                <w:rFonts w:cs="Arial"/>
                <w:color w:val="0D0D0D" w:themeColor="text1" w:themeTint="F2"/>
                <w:lang w:val="en-GB"/>
              </w:rPr>
              <w:t xml:space="preserve"> </w:t>
            </w:r>
            <w:r w:rsidR="00546888">
              <w:rPr>
                <w:rFonts w:cs="Arial"/>
                <w:color w:val="0D0D0D" w:themeColor="text1" w:themeTint="F2"/>
                <w:lang w:val="en-GB"/>
              </w:rPr>
              <w:t xml:space="preserve">CZK </w:t>
            </w:r>
            <w:r w:rsidRPr="001E6EB9">
              <w:rPr>
                <w:rFonts w:cs="Arial"/>
                <w:color w:val="0D0D0D" w:themeColor="text1" w:themeTint="F2"/>
                <w:lang w:val="en-GB"/>
              </w:rPr>
              <w:t>bn, which was the fourth best result after 2000. The actual deficit was visibly better than the budget anticipations (similarly to the previous two years). Deepening irregulariti</w:t>
            </w:r>
            <w:r>
              <w:rPr>
                <w:rFonts w:cs="Arial"/>
                <w:color w:val="0D0D0D" w:themeColor="text1" w:themeTint="F2"/>
                <w:lang w:val="en-GB"/>
              </w:rPr>
              <w:t>es</w:t>
            </w:r>
            <w:r w:rsidRPr="001E6EB9">
              <w:rPr>
                <w:rFonts w:cs="Arial"/>
                <w:color w:val="0D0D0D" w:themeColor="text1" w:themeTint="F2"/>
                <w:lang w:val="en-GB"/>
              </w:rPr>
              <w:t xml:space="preserve"> on both the revenue and outlay side caused, that the SB fell into a more notable deficits o</w:t>
            </w:r>
            <w:r>
              <w:rPr>
                <w:rFonts w:cs="Arial"/>
                <w:color w:val="0D0D0D" w:themeColor="text1" w:themeTint="F2"/>
                <w:lang w:val="en-GB"/>
              </w:rPr>
              <w:t>n</w:t>
            </w:r>
            <w:r w:rsidRPr="001E6EB9">
              <w:rPr>
                <w:rFonts w:cs="Arial"/>
                <w:color w:val="0D0D0D" w:themeColor="text1" w:themeTint="F2"/>
                <w:lang w:val="en-GB"/>
              </w:rPr>
              <w:t>ly in the last quarter of the year. The SB balance (forming the k</w:t>
            </w:r>
            <w:r w:rsidR="007B4FE1">
              <w:rPr>
                <w:rFonts w:cs="Arial"/>
                <w:color w:val="0D0D0D" w:themeColor="text1" w:themeTint="F2"/>
                <w:lang w:val="en-GB"/>
              </w:rPr>
              <w:t>ey part of a deficit or</w:t>
            </w:r>
            <w:r w:rsidRPr="001E6EB9">
              <w:rPr>
                <w:rFonts w:cs="Arial"/>
                <w:color w:val="0D0D0D" w:themeColor="text1" w:themeTint="F2"/>
                <w:lang w:val="en-GB"/>
              </w:rPr>
              <w:t xml:space="preserve"> surplus of the government institution sector) amounted to </w:t>
            </w:r>
            <w:r w:rsidR="00404AC3">
              <w:rPr>
                <w:rFonts w:cs="Arial"/>
                <w:color w:val="0D0D0D" w:themeColor="text1" w:themeTint="F2"/>
                <w:lang w:val="en-GB"/>
              </w:rPr>
              <w:t>-1.4</w:t>
            </w:r>
            <w:r w:rsidR="00F15398">
              <w:rPr>
                <w:rFonts w:cs="Arial"/>
                <w:color w:val="0D0D0D" w:themeColor="text1" w:themeTint="F2"/>
                <w:lang w:val="en-GB"/>
              </w:rPr>
              <w:t>%</w:t>
            </w:r>
            <w:r w:rsidR="00532E6C">
              <w:rPr>
                <w:rFonts w:cs="Arial"/>
                <w:color w:val="0D0D0D" w:themeColor="text1" w:themeTint="F2"/>
                <w:lang w:val="en-GB"/>
              </w:rPr>
              <w:t xml:space="preserve"> in relation to no</w:t>
            </w:r>
            <w:r w:rsidRPr="001E6EB9">
              <w:rPr>
                <w:rFonts w:cs="Arial"/>
                <w:color w:val="0D0D0D" w:themeColor="text1" w:themeTint="F2"/>
                <w:lang w:val="en-GB"/>
              </w:rPr>
              <w:t>minal GDP in 2015 (</w:t>
            </w:r>
            <w:r w:rsidR="00404AC3">
              <w:rPr>
                <w:rFonts w:cs="Arial"/>
                <w:color w:val="0D0D0D" w:themeColor="text1" w:themeTint="F2"/>
                <w:lang w:val="en-GB"/>
              </w:rPr>
              <w:t>-1.8</w:t>
            </w:r>
            <w:r w:rsidR="00F15398">
              <w:rPr>
                <w:rFonts w:cs="Arial"/>
                <w:color w:val="0D0D0D" w:themeColor="text1" w:themeTint="F2"/>
                <w:lang w:val="en-GB"/>
              </w:rPr>
              <w:t>%</w:t>
            </w:r>
            <w:r w:rsidRPr="001E6EB9">
              <w:rPr>
                <w:rFonts w:cs="Arial"/>
                <w:color w:val="0D0D0D" w:themeColor="text1" w:themeTint="F2"/>
                <w:lang w:val="en-GB"/>
              </w:rPr>
              <w:t xml:space="preserve"> a year ago) and it belonged (togeth</w:t>
            </w:r>
            <w:r>
              <w:rPr>
                <w:rFonts w:cs="Arial"/>
                <w:color w:val="0D0D0D" w:themeColor="text1" w:themeTint="F2"/>
                <w:lang w:val="en-GB"/>
              </w:rPr>
              <w:t>e</w:t>
            </w:r>
            <w:r w:rsidRPr="001E6EB9">
              <w:rPr>
                <w:rFonts w:cs="Arial"/>
                <w:color w:val="0D0D0D" w:themeColor="text1" w:themeTint="F2"/>
                <w:lang w:val="en-GB"/>
              </w:rPr>
              <w:t>r with year 2008) to the lowest in the new millennium.</w:t>
            </w:r>
          </w:p>
          <w:p w:rsidR="00A644E1" w:rsidRPr="008112E9" w:rsidRDefault="00A644E1" w:rsidP="00611531">
            <w:pPr>
              <w:pStyle w:val="Textpoznpodarou"/>
              <w:jc w:val="both"/>
              <w:rPr>
                <w:rFonts w:cs="Arial"/>
                <w:color w:val="0D0D0D" w:themeColor="text1" w:themeTint="F2"/>
                <w:spacing w:val="-2"/>
                <w:sz w:val="14"/>
                <w:szCs w:val="14"/>
                <w:lang w:val="en-GB"/>
              </w:rPr>
            </w:pPr>
          </w:p>
        </w:tc>
      </w:tr>
      <w:tr w:rsidR="00A644E1" w:rsidTr="00E90A4B">
        <w:trPr>
          <w:gridAfter w:val="1"/>
          <w:wAfter w:w="62" w:type="pct"/>
        </w:trPr>
        <w:tc>
          <w:tcPr>
            <w:tcW w:w="1041" w:type="pct"/>
            <w:gridSpan w:val="2"/>
          </w:tcPr>
          <w:p w:rsidR="00A644E1" w:rsidRPr="00F15398" w:rsidRDefault="00F15398" w:rsidP="00611531">
            <w:pPr>
              <w:spacing w:line="240" w:lineRule="auto"/>
              <w:rPr>
                <w:color w:val="0D0D0D" w:themeColor="text1" w:themeTint="F2"/>
                <w:spacing w:val="-2"/>
                <w:szCs w:val="20"/>
                <w:lang w:val="en-GB"/>
              </w:rPr>
            </w:pPr>
            <w:r w:rsidRPr="00F15398">
              <w:rPr>
                <w:rFonts w:cs="Arial"/>
                <w:bCs/>
                <w:iCs/>
                <w:color w:val="0D0D0D" w:themeColor="text1" w:themeTint="F2"/>
                <w:spacing w:val="-4"/>
                <w:sz w:val="16"/>
                <w:szCs w:val="16"/>
                <w:lang w:val="en-GB"/>
              </w:rPr>
              <w:t xml:space="preserve">Even though the year-on-year dynamics of the state-wide VAT collection </w:t>
            </w:r>
            <w:r w:rsidR="00A644E1" w:rsidRPr="00F15398">
              <w:rPr>
                <w:rFonts w:cs="Arial"/>
                <w:bCs/>
                <w:iCs/>
                <w:color w:val="0D0D0D" w:themeColor="text1" w:themeTint="F2"/>
                <w:spacing w:val="-4"/>
                <w:sz w:val="16"/>
                <w:szCs w:val="16"/>
                <w:lang w:val="en-GB"/>
              </w:rPr>
              <w:t>(+2</w:t>
            </w:r>
            <w:r w:rsidRPr="00F15398">
              <w:rPr>
                <w:rFonts w:cs="Arial"/>
                <w:bCs/>
                <w:iCs/>
                <w:color w:val="0D0D0D" w:themeColor="text1" w:themeTint="F2"/>
                <w:spacing w:val="-4"/>
                <w:sz w:val="16"/>
                <w:szCs w:val="16"/>
                <w:lang w:val="en-GB"/>
              </w:rPr>
              <w:t>.</w:t>
            </w:r>
            <w:r w:rsidR="00404AC3">
              <w:rPr>
                <w:rFonts w:cs="Arial"/>
                <w:bCs/>
                <w:iCs/>
                <w:color w:val="0D0D0D" w:themeColor="text1" w:themeTint="F2"/>
                <w:spacing w:val="-4"/>
                <w:sz w:val="16"/>
                <w:szCs w:val="16"/>
                <w:lang w:val="en-GB"/>
              </w:rPr>
              <w:t>8</w:t>
            </w:r>
            <w:r w:rsidR="00A644E1" w:rsidRPr="00F15398">
              <w:rPr>
                <w:rFonts w:cs="Arial"/>
                <w:bCs/>
                <w:iCs/>
                <w:color w:val="0D0D0D" w:themeColor="text1" w:themeTint="F2"/>
                <w:spacing w:val="-4"/>
                <w:sz w:val="16"/>
                <w:szCs w:val="16"/>
                <w:lang w:val="en-GB"/>
              </w:rPr>
              <w:t xml:space="preserve">%) </w:t>
            </w:r>
            <w:r w:rsidRPr="00F15398">
              <w:rPr>
                <w:rFonts w:cs="Arial"/>
                <w:bCs/>
                <w:iCs/>
                <w:color w:val="0D0D0D" w:themeColor="text1" w:themeTint="F2"/>
                <w:spacing w:val="-4"/>
                <w:sz w:val="16"/>
                <w:szCs w:val="16"/>
                <w:lang w:val="en-GB"/>
              </w:rPr>
              <w:t>was also due to the effect of the legislative measures the lowest in the last three years, still it exceeded the budget anticipations</w:t>
            </w:r>
          </w:p>
          <w:p w:rsidR="00A644E1" w:rsidRPr="00750404" w:rsidRDefault="00A644E1" w:rsidP="00611531">
            <w:pPr>
              <w:spacing w:line="240" w:lineRule="auto"/>
              <w:rPr>
                <w:color w:val="0D0D0D" w:themeColor="text1" w:themeTint="F2"/>
                <w:spacing w:val="-2"/>
                <w:szCs w:val="20"/>
              </w:rPr>
            </w:pPr>
          </w:p>
        </w:tc>
        <w:tc>
          <w:tcPr>
            <w:tcW w:w="140" w:type="pct"/>
          </w:tcPr>
          <w:p w:rsidR="00A644E1" w:rsidRPr="009720D9" w:rsidRDefault="00A644E1" w:rsidP="00611531">
            <w:pPr>
              <w:pStyle w:val="Textpoznpodarou"/>
              <w:jc w:val="both"/>
              <w:rPr>
                <w:color w:val="0D0D0D" w:themeColor="text1" w:themeTint="F2"/>
              </w:rPr>
            </w:pPr>
          </w:p>
        </w:tc>
        <w:tc>
          <w:tcPr>
            <w:tcW w:w="3757" w:type="pct"/>
            <w:gridSpan w:val="3"/>
          </w:tcPr>
          <w:p w:rsidR="00A644E1" w:rsidRPr="00532E6C" w:rsidRDefault="00F15398" w:rsidP="00611531">
            <w:pPr>
              <w:pStyle w:val="Textpoznpodarou"/>
              <w:jc w:val="both"/>
              <w:rPr>
                <w:rFonts w:cs="Arial"/>
                <w:color w:val="0D0D0D" w:themeColor="text1" w:themeTint="F2"/>
                <w:spacing w:val="-2"/>
                <w:lang w:val="en-GB"/>
              </w:rPr>
            </w:pPr>
            <w:r w:rsidRPr="00532E6C">
              <w:rPr>
                <w:spacing w:val="-2"/>
                <w:lang w:val="en-GB"/>
              </w:rPr>
              <w:t xml:space="preserve">Both transfers from the EU and all tax revenues (higher by nearly 50 </w:t>
            </w:r>
            <w:r w:rsidR="00546888" w:rsidRPr="00532E6C">
              <w:rPr>
                <w:spacing w:val="-2"/>
                <w:lang w:val="en-GB"/>
              </w:rPr>
              <w:t xml:space="preserve">CZK </w:t>
            </w:r>
            <w:r w:rsidR="005073C7" w:rsidRPr="00532E6C">
              <w:rPr>
                <w:spacing w:val="-2"/>
                <w:lang w:val="en-GB"/>
              </w:rPr>
              <w:t xml:space="preserve">bn) </w:t>
            </w:r>
            <w:r w:rsidRPr="00532E6C">
              <w:rPr>
                <w:spacing w:val="-2"/>
                <w:lang w:val="en-GB"/>
              </w:rPr>
              <w:t xml:space="preserve">contributed to the growth of the total SB revenues </w:t>
            </w:r>
            <w:r w:rsidR="00404AC3" w:rsidRPr="00532E6C">
              <w:rPr>
                <w:rFonts w:cs="Arial"/>
                <w:color w:val="0D0D0D" w:themeColor="text1" w:themeTint="F2"/>
                <w:spacing w:val="-2"/>
                <w:lang w:val="en-GB"/>
              </w:rPr>
              <w:t>(by 8.9</w:t>
            </w:r>
            <w:r w:rsidRPr="00532E6C">
              <w:rPr>
                <w:rFonts w:cs="Arial"/>
                <w:color w:val="0D0D0D" w:themeColor="text1" w:themeTint="F2"/>
                <w:spacing w:val="-2"/>
                <w:lang w:val="en-GB"/>
              </w:rPr>
              <w:t xml:space="preserve">% year-on-year) </w:t>
            </w:r>
            <w:r w:rsidRPr="00532E6C">
              <w:rPr>
                <w:spacing w:val="-2"/>
                <w:lang w:val="en-GB"/>
              </w:rPr>
              <w:t>by an equal amount.</w:t>
            </w:r>
            <w:r w:rsidR="00A644E1" w:rsidRPr="00532E6C">
              <w:rPr>
                <w:rFonts w:cs="Arial"/>
                <w:color w:val="0D0D0D" w:themeColor="text1" w:themeTint="F2"/>
                <w:spacing w:val="-2"/>
                <w:lang w:val="en-GB"/>
              </w:rPr>
              <w:t xml:space="preserve"> </w:t>
            </w:r>
            <w:r w:rsidRPr="00532E6C">
              <w:rPr>
                <w:rFonts w:cs="Arial"/>
                <w:color w:val="0D0D0D" w:themeColor="text1" w:themeTint="F2"/>
                <w:spacing w:val="-2"/>
                <w:lang w:val="en-GB"/>
              </w:rPr>
              <w:t xml:space="preserve">The swift pace of the economy was to a growing extent reflected in the tax revenue collection, including the indirect taxes, whose year-on-year dynamics was blurred by an artificially raised basis at </w:t>
            </w:r>
            <w:r w:rsidR="007842A5" w:rsidRPr="00532E6C">
              <w:rPr>
                <w:rFonts w:cs="Arial"/>
                <w:color w:val="0D0D0D" w:themeColor="text1" w:themeTint="F2"/>
                <w:spacing w:val="-2"/>
                <w:lang w:val="en-GB"/>
              </w:rPr>
              <w:t>th</w:t>
            </w:r>
            <w:r w:rsidRPr="00532E6C">
              <w:rPr>
                <w:rFonts w:cs="Arial"/>
                <w:color w:val="0D0D0D" w:themeColor="text1" w:themeTint="F2"/>
                <w:spacing w:val="-2"/>
                <w:lang w:val="en-GB"/>
              </w:rPr>
              <w:t>e beginning of the year.</w:t>
            </w:r>
            <w:r w:rsidR="00A644E1" w:rsidRPr="00532E6C">
              <w:rPr>
                <w:rStyle w:val="Znakapoznpodarou"/>
                <w:rFonts w:cs="Arial"/>
                <w:color w:val="0D0D0D" w:themeColor="text1" w:themeTint="F2"/>
                <w:spacing w:val="-2"/>
                <w:lang w:val="en-GB"/>
              </w:rPr>
              <w:footnoteReference w:id="1"/>
            </w:r>
            <w:r w:rsidR="00A644E1" w:rsidRPr="00532E6C">
              <w:rPr>
                <w:rFonts w:cs="Arial"/>
                <w:color w:val="0D0D0D" w:themeColor="text1" w:themeTint="F2"/>
                <w:spacing w:val="-2"/>
                <w:lang w:val="en-GB"/>
              </w:rPr>
              <w:t xml:space="preserve"> </w:t>
            </w:r>
            <w:r w:rsidRPr="00532E6C">
              <w:rPr>
                <w:spacing w:val="-2"/>
                <w:lang w:val="en-GB"/>
              </w:rPr>
              <w:t>The collection of the weight dominant VAT increased by 2.</w:t>
            </w:r>
            <w:r w:rsidR="00404AC3" w:rsidRPr="00532E6C">
              <w:rPr>
                <w:rFonts w:cs="Arial"/>
                <w:color w:val="0D0D0D" w:themeColor="text1" w:themeTint="F2"/>
                <w:spacing w:val="-2"/>
                <w:lang w:val="en-GB"/>
              </w:rPr>
              <w:t>8</w:t>
            </w:r>
            <w:r w:rsidR="00A644E1" w:rsidRPr="00532E6C">
              <w:rPr>
                <w:rFonts w:cs="Arial"/>
                <w:color w:val="0D0D0D" w:themeColor="text1" w:themeTint="F2"/>
                <w:spacing w:val="-2"/>
                <w:lang w:val="en-GB"/>
              </w:rPr>
              <w:t>%</w:t>
            </w:r>
            <w:r w:rsidRPr="00532E6C">
              <w:rPr>
                <w:rFonts w:cs="Arial"/>
                <w:color w:val="0D0D0D" w:themeColor="text1" w:themeTint="F2"/>
                <w:spacing w:val="-2"/>
                <w:lang w:val="en-GB"/>
              </w:rPr>
              <w:t xml:space="preserve"> </w:t>
            </w:r>
            <w:r w:rsidRPr="00532E6C">
              <w:rPr>
                <w:spacing w:val="-2"/>
                <w:lang w:val="en-GB"/>
              </w:rPr>
              <w:t>for the whole year 2015</w:t>
            </w:r>
            <w:r w:rsidR="00A644E1" w:rsidRPr="00532E6C">
              <w:rPr>
                <w:rFonts w:cs="Arial"/>
                <w:color w:val="0D0D0D" w:themeColor="text1" w:themeTint="F2"/>
                <w:spacing w:val="-2"/>
                <w:lang w:val="en-GB"/>
              </w:rPr>
              <w:t xml:space="preserve">. </w:t>
            </w:r>
            <w:r w:rsidRPr="00532E6C">
              <w:rPr>
                <w:spacing w:val="-2"/>
                <w:lang w:val="en-GB"/>
              </w:rPr>
              <w:t xml:space="preserve">The effect of the strong final consumption expenditure </w:t>
            </w:r>
            <w:r w:rsidR="007B4FE1" w:rsidRPr="00532E6C">
              <w:rPr>
                <w:spacing w:val="-2"/>
                <w:lang w:val="en-GB"/>
              </w:rPr>
              <w:t>throughout</w:t>
            </w:r>
            <w:r w:rsidRPr="00532E6C">
              <w:rPr>
                <w:spacing w:val="-2"/>
                <w:lang w:val="en-GB"/>
              </w:rPr>
              <w:t xml:space="preserve"> the economy was </w:t>
            </w:r>
            <w:r w:rsidR="007B4FE1" w:rsidRPr="00532E6C">
              <w:rPr>
                <w:spacing w:val="-2"/>
                <w:lang w:val="en-GB"/>
              </w:rPr>
              <w:t xml:space="preserve">partly </w:t>
            </w:r>
            <w:r w:rsidRPr="00532E6C">
              <w:rPr>
                <w:spacing w:val="-2"/>
                <w:lang w:val="en-GB"/>
              </w:rPr>
              <w:t>dampened by the introduction of the second lowered VAT rate, falling prices of fuels and also by the</w:t>
            </w:r>
            <w:r w:rsidR="00D10F44" w:rsidRPr="00532E6C">
              <w:rPr>
                <w:spacing w:val="-2"/>
                <w:lang w:val="en-GB"/>
              </w:rPr>
              <w:t xml:space="preserve"> payment of the tempor</w:t>
            </w:r>
            <w:r w:rsidR="007B4FE1" w:rsidRPr="00532E6C">
              <w:rPr>
                <w:spacing w:val="-2"/>
                <w:lang w:val="en-GB"/>
              </w:rPr>
              <w:t>arily excessive VAT deductions.</w:t>
            </w:r>
          </w:p>
          <w:p w:rsidR="00A644E1" w:rsidRPr="008112E9" w:rsidRDefault="00A644E1" w:rsidP="00611531">
            <w:pPr>
              <w:pStyle w:val="Textpoznpodarou"/>
              <w:jc w:val="both"/>
              <w:rPr>
                <w:rFonts w:cs="Arial"/>
                <w:color w:val="0D0D0D" w:themeColor="text1" w:themeTint="F2"/>
                <w:spacing w:val="-2"/>
                <w:sz w:val="14"/>
                <w:szCs w:val="14"/>
              </w:rPr>
            </w:pPr>
          </w:p>
        </w:tc>
      </w:tr>
      <w:tr w:rsidR="00A644E1" w:rsidTr="00E90A4B">
        <w:trPr>
          <w:gridAfter w:val="1"/>
          <w:wAfter w:w="62" w:type="pct"/>
        </w:trPr>
        <w:tc>
          <w:tcPr>
            <w:tcW w:w="1041" w:type="pct"/>
            <w:gridSpan w:val="2"/>
          </w:tcPr>
          <w:p w:rsidR="00F12DCA" w:rsidRPr="00E5473C" w:rsidRDefault="00E5473C" w:rsidP="00E5473C">
            <w:pPr>
              <w:spacing w:line="240" w:lineRule="auto"/>
              <w:rPr>
                <w:rFonts w:cs="Arial"/>
                <w:bCs/>
                <w:iCs/>
                <w:color w:val="0D0D0D" w:themeColor="text1" w:themeTint="F2"/>
                <w:sz w:val="16"/>
                <w:szCs w:val="16"/>
                <w:lang w:val="en-GB"/>
              </w:rPr>
            </w:pPr>
            <w:r>
              <w:rPr>
                <w:rFonts w:cs="Arial"/>
                <w:bCs/>
                <w:iCs/>
                <w:color w:val="0D0D0D" w:themeColor="text1" w:themeTint="F2"/>
                <w:spacing w:val="-4"/>
                <w:sz w:val="16"/>
                <w:szCs w:val="16"/>
                <w:lang w:val="en-GB"/>
              </w:rPr>
              <w:t>T</w:t>
            </w:r>
            <w:r w:rsidRPr="00F15398">
              <w:rPr>
                <w:rFonts w:cs="Arial"/>
                <w:bCs/>
                <w:iCs/>
                <w:color w:val="0D0D0D" w:themeColor="text1" w:themeTint="F2"/>
                <w:spacing w:val="-4"/>
                <w:sz w:val="16"/>
                <w:szCs w:val="16"/>
                <w:lang w:val="en-GB"/>
              </w:rPr>
              <w:t>he year-on-year dynamics</w:t>
            </w:r>
            <w:r>
              <w:rPr>
                <w:rFonts w:cs="Arial"/>
                <w:bCs/>
                <w:iCs/>
                <w:color w:val="0D0D0D" w:themeColor="text1" w:themeTint="F2"/>
                <w:spacing w:val="-4"/>
                <w:sz w:val="16"/>
                <w:szCs w:val="16"/>
                <w:lang w:val="en-GB"/>
              </w:rPr>
              <w:t xml:space="preserve"> of</w:t>
            </w:r>
            <w:r w:rsidRPr="00E5473C">
              <w:rPr>
                <w:rFonts w:cs="Arial"/>
                <w:bCs/>
                <w:iCs/>
                <w:color w:val="0D0D0D" w:themeColor="text1" w:themeTint="F2"/>
                <w:sz w:val="16"/>
                <w:szCs w:val="16"/>
                <w:lang w:val="en-GB"/>
              </w:rPr>
              <w:t xml:space="preserve"> </w:t>
            </w:r>
            <w:r w:rsidR="00F12DCA" w:rsidRPr="00E5473C">
              <w:rPr>
                <w:rFonts w:cs="Arial"/>
                <w:bCs/>
                <w:iCs/>
                <w:color w:val="0D0D0D" w:themeColor="text1" w:themeTint="F2"/>
                <w:sz w:val="16"/>
                <w:szCs w:val="16"/>
                <w:lang w:val="en-GB"/>
              </w:rPr>
              <w:t>consumption tax collection the fastest in the last eight years, especially thanks to the growing rates of taxes on tobacco products</w:t>
            </w:r>
          </w:p>
          <w:p w:rsidR="00A644E1" w:rsidRPr="009720D9" w:rsidRDefault="00A644E1" w:rsidP="00611531">
            <w:pPr>
              <w:spacing w:line="240" w:lineRule="auto"/>
              <w:rPr>
                <w:rFonts w:cs="Arial"/>
                <w:bCs/>
                <w:iCs/>
                <w:color w:val="0D0D0D" w:themeColor="text1" w:themeTint="F2"/>
                <w:szCs w:val="20"/>
              </w:rPr>
            </w:pPr>
          </w:p>
        </w:tc>
        <w:tc>
          <w:tcPr>
            <w:tcW w:w="140" w:type="pct"/>
          </w:tcPr>
          <w:p w:rsidR="00A644E1" w:rsidRPr="007B4FE1" w:rsidRDefault="00A644E1" w:rsidP="00611531">
            <w:pPr>
              <w:pStyle w:val="Textpoznpodarou"/>
              <w:jc w:val="both"/>
              <w:rPr>
                <w:lang w:val="en-GB"/>
              </w:rPr>
            </w:pPr>
          </w:p>
        </w:tc>
        <w:tc>
          <w:tcPr>
            <w:tcW w:w="3757" w:type="pct"/>
            <w:gridSpan w:val="3"/>
          </w:tcPr>
          <w:p w:rsidR="00A644E1" w:rsidRPr="00532E6C" w:rsidRDefault="00F12DCA" w:rsidP="00611531">
            <w:pPr>
              <w:pStyle w:val="Textpoznpodarou"/>
              <w:jc w:val="both"/>
              <w:rPr>
                <w:spacing w:val="-2"/>
                <w:lang w:val="en-GB"/>
              </w:rPr>
            </w:pPr>
            <w:r w:rsidRPr="00532E6C">
              <w:rPr>
                <w:spacing w:val="-2"/>
                <w:lang w:val="en-GB"/>
              </w:rPr>
              <w:t xml:space="preserve">The </w:t>
            </w:r>
            <w:r w:rsidR="007D71F5" w:rsidRPr="00532E6C">
              <w:rPr>
                <w:spacing w:val="-2"/>
                <w:lang w:val="en-GB"/>
              </w:rPr>
              <w:t>state-wide</w:t>
            </w:r>
            <w:r w:rsidRPr="00532E6C">
              <w:rPr>
                <w:spacing w:val="-2"/>
                <w:lang w:val="en-GB"/>
              </w:rPr>
              <w:t xml:space="preserve"> collection of all consumption taxes grew the fastest </w:t>
            </w:r>
            <w:r w:rsidR="007B4FE1" w:rsidRPr="00532E6C">
              <w:rPr>
                <w:spacing w:val="-2"/>
                <w:lang w:val="en-GB"/>
              </w:rPr>
              <w:t xml:space="preserve">(+6.5%) </w:t>
            </w:r>
            <w:r w:rsidRPr="00532E6C">
              <w:rPr>
                <w:spacing w:val="-2"/>
                <w:lang w:val="en-GB"/>
              </w:rPr>
              <w:t>after year 2007</w:t>
            </w:r>
            <w:r w:rsidR="007B4FE1" w:rsidRPr="00532E6C">
              <w:rPr>
                <w:spacing w:val="-2"/>
                <w:lang w:val="en-GB"/>
              </w:rPr>
              <w:t>,</w:t>
            </w:r>
            <w:r w:rsidRPr="00532E6C">
              <w:rPr>
                <w:spacing w:val="-2"/>
                <w:lang w:val="en-GB"/>
              </w:rPr>
              <w:t xml:space="preserve"> thanks to t</w:t>
            </w:r>
            <w:r w:rsidR="007B4FE1" w:rsidRPr="00532E6C">
              <w:rPr>
                <w:spacing w:val="-2"/>
                <w:lang w:val="en-GB"/>
              </w:rPr>
              <w:t xml:space="preserve">he tax on the tobacco products, whose collection increased </w:t>
            </w:r>
            <w:r w:rsidRPr="00532E6C">
              <w:rPr>
                <w:spacing w:val="-2"/>
                <w:lang w:val="en-GB"/>
              </w:rPr>
              <w:t xml:space="preserve">by </w:t>
            </w:r>
            <w:r w:rsidR="007B4FE1" w:rsidRPr="00532E6C">
              <w:rPr>
                <w:spacing w:val="-2"/>
                <w:lang w:val="en-GB"/>
              </w:rPr>
              <w:t>one seventh higher year-on-year and</w:t>
            </w:r>
            <w:r w:rsidRPr="00532E6C">
              <w:rPr>
                <w:spacing w:val="-2"/>
                <w:lang w:val="en-GB"/>
              </w:rPr>
              <w:t xml:space="preserve"> (according to the cash fulfilment) returned to a continual course for the first time after year 2011. The collection of the dominant </w:t>
            </w:r>
            <w:r w:rsidR="007B4FE1" w:rsidRPr="00532E6C">
              <w:rPr>
                <w:spacing w:val="-2"/>
                <w:lang w:val="en-GB"/>
              </w:rPr>
              <w:t>(</w:t>
            </w:r>
            <w:r w:rsidRPr="00532E6C">
              <w:rPr>
                <w:spacing w:val="-2"/>
                <w:lang w:val="en-GB"/>
              </w:rPr>
              <w:t>by weight</w:t>
            </w:r>
            <w:r w:rsidR="007B4FE1" w:rsidRPr="00532E6C">
              <w:rPr>
                <w:spacing w:val="-2"/>
                <w:lang w:val="en-GB"/>
              </w:rPr>
              <w:t>)</w:t>
            </w:r>
            <w:r w:rsidRPr="00532E6C">
              <w:rPr>
                <w:spacing w:val="-2"/>
                <w:lang w:val="en-GB"/>
              </w:rPr>
              <w:t xml:space="preserve"> tax on mineral oils </w:t>
            </w:r>
            <w:r w:rsidR="007D71F5" w:rsidRPr="00532E6C">
              <w:rPr>
                <w:spacing w:val="-2"/>
                <w:lang w:val="en-GB"/>
              </w:rPr>
              <w:t>strengthened</w:t>
            </w:r>
            <w:r w:rsidRPr="00532E6C">
              <w:rPr>
                <w:spacing w:val="-2"/>
                <w:lang w:val="en-GB"/>
              </w:rPr>
              <w:t xml:space="preserve"> </w:t>
            </w:r>
            <w:r w:rsidR="00E5473C" w:rsidRPr="00532E6C">
              <w:rPr>
                <w:spacing w:val="-2"/>
                <w:lang w:val="en-GB"/>
              </w:rPr>
              <w:t xml:space="preserve">by </w:t>
            </w:r>
            <w:r w:rsidR="00A644E1" w:rsidRPr="00532E6C">
              <w:rPr>
                <w:spacing w:val="-2"/>
                <w:lang w:val="en-GB"/>
              </w:rPr>
              <w:t>3</w:t>
            </w:r>
            <w:r w:rsidRPr="00532E6C">
              <w:rPr>
                <w:spacing w:val="-2"/>
                <w:lang w:val="en-GB"/>
              </w:rPr>
              <w:t>.</w:t>
            </w:r>
            <w:r w:rsidR="00404AC3" w:rsidRPr="00532E6C">
              <w:rPr>
                <w:spacing w:val="-2"/>
                <w:lang w:val="en-GB"/>
              </w:rPr>
              <w:t>3%</w:t>
            </w:r>
            <w:r w:rsidRPr="00532E6C">
              <w:rPr>
                <w:spacing w:val="-2"/>
                <w:lang w:val="en-GB"/>
              </w:rPr>
              <w:t xml:space="preserve"> in 2015</w:t>
            </w:r>
            <w:r w:rsidR="00A644E1" w:rsidRPr="00532E6C">
              <w:rPr>
                <w:spacing w:val="-2"/>
                <w:lang w:val="en-GB"/>
              </w:rPr>
              <w:t xml:space="preserve">, </w:t>
            </w:r>
            <w:r w:rsidRPr="00532E6C">
              <w:rPr>
                <w:spacing w:val="-2"/>
                <w:lang w:val="en-GB"/>
              </w:rPr>
              <w:t>mainly the consumption of diesel oil expanded. Low prices of</w:t>
            </w:r>
            <w:r w:rsidR="007D71F5" w:rsidRPr="00532E6C">
              <w:rPr>
                <w:spacing w:val="-2"/>
                <w:lang w:val="en-GB"/>
              </w:rPr>
              <w:t xml:space="preserve"> automotive fuel </w:t>
            </w:r>
            <w:r w:rsidRPr="00532E6C">
              <w:rPr>
                <w:spacing w:val="-2"/>
                <w:lang w:val="en-GB"/>
              </w:rPr>
              <w:t>stimulated the demand (incl. the transit transport)</w:t>
            </w:r>
            <w:proofErr w:type="gramStart"/>
            <w:r w:rsidRPr="00532E6C">
              <w:rPr>
                <w:spacing w:val="-2"/>
                <w:lang w:val="en-GB"/>
              </w:rPr>
              <w:t>,</w:t>
            </w:r>
            <w:proofErr w:type="gramEnd"/>
            <w:r w:rsidRPr="00532E6C">
              <w:rPr>
                <w:spacing w:val="-2"/>
                <w:lang w:val="en-GB"/>
              </w:rPr>
              <w:t xml:space="preserve"> the </w:t>
            </w:r>
            <w:r w:rsidR="007D71F5" w:rsidRPr="00532E6C">
              <w:rPr>
                <w:spacing w:val="-2"/>
                <w:lang w:val="en-GB"/>
              </w:rPr>
              <w:t>strengthening</w:t>
            </w:r>
            <w:r w:rsidRPr="00532E6C">
              <w:rPr>
                <w:spacing w:val="-2"/>
                <w:lang w:val="en-GB"/>
              </w:rPr>
              <w:t xml:space="preserve"> economy </w:t>
            </w:r>
            <w:r w:rsidR="00E5473C" w:rsidRPr="00532E6C">
              <w:rPr>
                <w:spacing w:val="-2"/>
                <w:lang w:val="en-GB"/>
              </w:rPr>
              <w:t xml:space="preserve">was </w:t>
            </w:r>
            <w:r w:rsidRPr="00532E6C">
              <w:rPr>
                <w:spacing w:val="-2"/>
                <w:lang w:val="en-GB"/>
              </w:rPr>
              <w:t xml:space="preserve">also </w:t>
            </w:r>
            <w:r w:rsidR="00E5473C" w:rsidRPr="00532E6C">
              <w:rPr>
                <w:spacing w:val="-2"/>
                <w:lang w:val="en-GB"/>
              </w:rPr>
              <w:t>accompanied by</w:t>
            </w:r>
            <w:r w:rsidRPr="00532E6C">
              <w:rPr>
                <w:spacing w:val="-2"/>
                <w:lang w:val="en-GB"/>
              </w:rPr>
              <w:t xml:space="preserve"> the </w:t>
            </w:r>
            <w:r w:rsidR="00E5473C" w:rsidRPr="00532E6C">
              <w:rPr>
                <w:spacing w:val="-2"/>
                <w:lang w:val="en-GB"/>
              </w:rPr>
              <w:t xml:space="preserve">growth </w:t>
            </w:r>
            <w:r w:rsidRPr="00532E6C">
              <w:rPr>
                <w:spacing w:val="-2"/>
                <w:lang w:val="en-GB"/>
              </w:rPr>
              <w:t>of private as well as freigh</w:t>
            </w:r>
            <w:r w:rsidR="00E5473C" w:rsidRPr="00532E6C">
              <w:rPr>
                <w:spacing w:val="-2"/>
                <w:lang w:val="en-GB"/>
              </w:rPr>
              <w:t>t transportation. O</w:t>
            </w:r>
            <w:r w:rsidRPr="00532E6C">
              <w:rPr>
                <w:spacing w:val="-2"/>
                <w:lang w:val="en-GB"/>
              </w:rPr>
              <w:t>n the contrary the re-introduction of tax reliefs (so called</w:t>
            </w:r>
            <w:r w:rsidR="007D71F5" w:rsidRPr="00532E6C">
              <w:rPr>
                <w:spacing w:val="-2"/>
                <w:lang w:val="en-GB"/>
              </w:rPr>
              <w:t xml:space="preserve"> green fuel</w:t>
            </w:r>
            <w:r w:rsidRPr="00532E6C">
              <w:rPr>
                <w:spacing w:val="-2"/>
                <w:lang w:val="en-GB"/>
              </w:rPr>
              <w:t>) had a slight negative effect.</w:t>
            </w:r>
            <w:r w:rsidR="00A644E1" w:rsidRPr="00532E6C">
              <w:rPr>
                <w:spacing w:val="-2"/>
                <w:lang w:val="en-GB"/>
              </w:rPr>
              <w:t xml:space="preserve"> </w:t>
            </w:r>
          </w:p>
          <w:p w:rsidR="00A644E1" w:rsidRPr="008112E9" w:rsidRDefault="00A644E1" w:rsidP="00611531">
            <w:pPr>
              <w:pStyle w:val="Textpoznpodarou"/>
              <w:jc w:val="both"/>
              <w:rPr>
                <w:spacing w:val="-2"/>
                <w:sz w:val="14"/>
                <w:szCs w:val="14"/>
                <w:lang w:val="en-GB"/>
              </w:rPr>
            </w:pPr>
          </w:p>
        </w:tc>
      </w:tr>
      <w:tr w:rsidR="00A644E1" w:rsidTr="00E90A4B">
        <w:trPr>
          <w:gridAfter w:val="1"/>
          <w:wAfter w:w="62" w:type="pct"/>
        </w:trPr>
        <w:tc>
          <w:tcPr>
            <w:tcW w:w="1041" w:type="pct"/>
            <w:gridSpan w:val="2"/>
          </w:tcPr>
          <w:p w:rsidR="00A644E1" w:rsidRPr="0026715A" w:rsidRDefault="0026715A" w:rsidP="00611531">
            <w:pPr>
              <w:spacing w:line="240" w:lineRule="auto"/>
              <w:rPr>
                <w:rFonts w:cs="Arial"/>
                <w:bCs/>
                <w:iCs/>
                <w:color w:val="0D0D0D" w:themeColor="text1" w:themeTint="F2"/>
                <w:spacing w:val="-4"/>
                <w:sz w:val="16"/>
                <w:szCs w:val="16"/>
                <w:lang w:val="en-GB"/>
              </w:rPr>
            </w:pPr>
            <w:r w:rsidRPr="0026715A">
              <w:rPr>
                <w:rFonts w:cs="Arial"/>
                <w:bCs/>
                <w:iCs/>
                <w:color w:val="0D0D0D" w:themeColor="text1" w:themeTint="F2"/>
                <w:sz w:val="16"/>
                <w:szCs w:val="16"/>
                <w:lang w:val="en-GB"/>
              </w:rPr>
              <w:t>State-wide</w:t>
            </w:r>
            <w:r w:rsidR="009128CD" w:rsidRPr="0026715A">
              <w:rPr>
                <w:rFonts w:cs="Arial"/>
                <w:bCs/>
                <w:iCs/>
                <w:color w:val="0D0D0D" w:themeColor="text1" w:themeTint="F2"/>
                <w:sz w:val="16"/>
                <w:szCs w:val="16"/>
                <w:lang w:val="en-GB"/>
              </w:rPr>
              <w:t xml:space="preserve"> collection of the corporate taxes grew the most since the business cycle peak in 2008 </w:t>
            </w:r>
          </w:p>
          <w:p w:rsidR="00A644E1" w:rsidRPr="0026715A" w:rsidRDefault="00A644E1" w:rsidP="00611531">
            <w:pPr>
              <w:spacing w:line="240" w:lineRule="auto"/>
              <w:rPr>
                <w:rFonts w:cs="Arial"/>
                <w:bCs/>
                <w:iCs/>
                <w:color w:val="0D0D0D" w:themeColor="text1" w:themeTint="F2"/>
                <w:spacing w:val="-4"/>
                <w:sz w:val="16"/>
                <w:szCs w:val="16"/>
                <w:lang w:val="en-GB"/>
              </w:rPr>
            </w:pPr>
          </w:p>
          <w:p w:rsidR="00A644E1" w:rsidRPr="0026715A" w:rsidRDefault="00A644E1" w:rsidP="00611531">
            <w:pPr>
              <w:spacing w:line="240" w:lineRule="auto"/>
              <w:rPr>
                <w:rFonts w:cs="Arial"/>
                <w:bCs/>
                <w:iCs/>
                <w:color w:val="0D0D0D" w:themeColor="text1" w:themeTint="F2"/>
                <w:spacing w:val="-4"/>
                <w:sz w:val="16"/>
                <w:szCs w:val="16"/>
                <w:lang w:val="en-GB"/>
              </w:rPr>
            </w:pPr>
          </w:p>
          <w:p w:rsidR="00A644E1" w:rsidRPr="0026715A" w:rsidRDefault="00A644E1" w:rsidP="00611531">
            <w:pPr>
              <w:spacing w:line="240" w:lineRule="auto"/>
              <w:rPr>
                <w:rFonts w:cs="Arial"/>
                <w:bCs/>
                <w:iCs/>
                <w:color w:val="0D0D0D" w:themeColor="text1" w:themeTint="F2"/>
                <w:spacing w:val="-4"/>
                <w:sz w:val="16"/>
                <w:szCs w:val="16"/>
                <w:lang w:val="en-GB"/>
              </w:rPr>
            </w:pPr>
          </w:p>
          <w:p w:rsidR="009128CD" w:rsidRPr="0026715A" w:rsidRDefault="009128CD" w:rsidP="0065065D">
            <w:pPr>
              <w:spacing w:line="240" w:lineRule="auto"/>
              <w:rPr>
                <w:rFonts w:cs="Arial"/>
                <w:bCs/>
                <w:iCs/>
                <w:color w:val="0D0D0D" w:themeColor="text1" w:themeTint="F2"/>
                <w:sz w:val="16"/>
                <w:szCs w:val="16"/>
                <w:lang w:val="en-GB"/>
              </w:rPr>
            </w:pPr>
            <w:r w:rsidRPr="0026715A">
              <w:rPr>
                <w:rFonts w:cs="Arial"/>
                <w:bCs/>
                <w:iCs/>
                <w:color w:val="0D0D0D" w:themeColor="text1" w:themeTint="F2"/>
                <w:sz w:val="16"/>
                <w:szCs w:val="16"/>
                <w:lang w:val="en-GB"/>
              </w:rPr>
              <w:t>Larger collection of taxes from employees was preven</w:t>
            </w:r>
            <w:r w:rsidR="0065065D">
              <w:rPr>
                <w:rFonts w:cs="Arial"/>
                <w:bCs/>
                <w:iCs/>
                <w:color w:val="0D0D0D" w:themeColor="text1" w:themeTint="F2"/>
                <w:sz w:val="16"/>
                <w:szCs w:val="16"/>
                <w:lang w:val="en-GB"/>
              </w:rPr>
              <w:t>ted by the widening of tax relief</w:t>
            </w:r>
            <w:r w:rsidRPr="0026715A">
              <w:rPr>
                <w:rFonts w:cs="Arial"/>
                <w:bCs/>
                <w:iCs/>
                <w:color w:val="0D0D0D" w:themeColor="text1" w:themeTint="F2"/>
                <w:sz w:val="16"/>
                <w:szCs w:val="16"/>
                <w:lang w:val="en-GB"/>
              </w:rPr>
              <w:t>s and partially also the modest wage growth especially in the first half of the year</w:t>
            </w:r>
          </w:p>
          <w:p w:rsidR="00A644E1" w:rsidRPr="0026715A" w:rsidRDefault="00A644E1" w:rsidP="00611531">
            <w:pPr>
              <w:spacing w:line="240" w:lineRule="auto"/>
              <w:rPr>
                <w:rFonts w:cs="Arial"/>
                <w:bCs/>
                <w:iCs/>
                <w:color w:val="0D0D0D" w:themeColor="text1" w:themeTint="F2"/>
                <w:spacing w:val="-4"/>
                <w:sz w:val="16"/>
                <w:szCs w:val="16"/>
                <w:lang w:val="en-GB"/>
              </w:rPr>
            </w:pPr>
          </w:p>
          <w:p w:rsidR="00A644E1" w:rsidRPr="0026715A" w:rsidRDefault="00A644E1" w:rsidP="00611531">
            <w:pPr>
              <w:spacing w:line="240" w:lineRule="auto"/>
              <w:rPr>
                <w:rFonts w:cs="Arial"/>
                <w:bCs/>
                <w:iCs/>
                <w:color w:val="0D0D0D" w:themeColor="text1" w:themeTint="F2"/>
                <w:szCs w:val="20"/>
                <w:lang w:val="en-GB"/>
              </w:rPr>
            </w:pPr>
          </w:p>
        </w:tc>
        <w:tc>
          <w:tcPr>
            <w:tcW w:w="140" w:type="pct"/>
          </w:tcPr>
          <w:p w:rsidR="00A644E1" w:rsidRPr="0026715A" w:rsidRDefault="00A644E1" w:rsidP="00611531">
            <w:pPr>
              <w:pStyle w:val="Textpoznpodarou"/>
              <w:jc w:val="both"/>
              <w:rPr>
                <w:color w:val="0D0D0D" w:themeColor="text1" w:themeTint="F2"/>
                <w:lang w:val="en-GB"/>
              </w:rPr>
            </w:pPr>
          </w:p>
        </w:tc>
        <w:tc>
          <w:tcPr>
            <w:tcW w:w="3757" w:type="pct"/>
            <w:gridSpan w:val="3"/>
          </w:tcPr>
          <w:p w:rsidR="00A644E1" w:rsidRPr="00532E6C" w:rsidRDefault="00461C48" w:rsidP="00611531">
            <w:pPr>
              <w:pStyle w:val="Textpoznpodarou"/>
              <w:jc w:val="both"/>
              <w:rPr>
                <w:spacing w:val="-2"/>
                <w:lang w:val="en-GB"/>
              </w:rPr>
            </w:pPr>
            <w:r w:rsidRPr="00532E6C">
              <w:rPr>
                <w:spacing w:val="-2"/>
                <w:lang w:val="en-GB"/>
              </w:rPr>
              <w:t>Rising</w:t>
            </w:r>
            <w:r w:rsidR="009128CD" w:rsidRPr="00532E6C">
              <w:rPr>
                <w:spacing w:val="-2"/>
                <w:lang w:val="en-GB"/>
              </w:rPr>
              <w:t xml:space="preserve"> profits of the businesses </w:t>
            </w:r>
            <w:r w:rsidRPr="00532E6C">
              <w:rPr>
                <w:spacing w:val="-2"/>
                <w:lang w:val="en-GB"/>
              </w:rPr>
              <w:t xml:space="preserve">were </w:t>
            </w:r>
            <w:r w:rsidR="009128CD" w:rsidRPr="00532E6C">
              <w:rPr>
                <w:spacing w:val="-2"/>
                <w:lang w:val="en-GB"/>
              </w:rPr>
              <w:t xml:space="preserve">gradually transformed into </w:t>
            </w:r>
            <w:r w:rsidRPr="00532E6C">
              <w:rPr>
                <w:spacing w:val="-2"/>
                <w:lang w:val="en-GB"/>
              </w:rPr>
              <w:t xml:space="preserve">increasing growth rates </w:t>
            </w:r>
            <w:r w:rsidR="009128CD" w:rsidRPr="00532E6C">
              <w:rPr>
                <w:spacing w:val="-2"/>
                <w:lang w:val="en-GB"/>
              </w:rPr>
              <w:t xml:space="preserve">of corporate tax collection </w:t>
            </w:r>
            <w:r w:rsidR="00A644E1" w:rsidRPr="00532E6C">
              <w:rPr>
                <w:spacing w:val="-2"/>
                <w:lang w:val="en-GB"/>
              </w:rPr>
              <w:t>(+9</w:t>
            </w:r>
            <w:r w:rsidR="009128CD" w:rsidRPr="00532E6C">
              <w:rPr>
                <w:spacing w:val="-2"/>
                <w:lang w:val="en-GB"/>
              </w:rPr>
              <w:t>.</w:t>
            </w:r>
            <w:r w:rsidR="00404AC3" w:rsidRPr="00532E6C">
              <w:rPr>
                <w:spacing w:val="-2"/>
                <w:lang w:val="en-GB"/>
              </w:rPr>
              <w:t>7</w:t>
            </w:r>
            <w:r w:rsidR="00A644E1" w:rsidRPr="00532E6C">
              <w:rPr>
                <w:spacing w:val="-2"/>
                <w:lang w:val="en-GB"/>
              </w:rPr>
              <w:t xml:space="preserve">% </w:t>
            </w:r>
            <w:r w:rsidR="009128CD" w:rsidRPr="00532E6C">
              <w:rPr>
                <w:spacing w:val="-2"/>
                <w:lang w:val="en-GB"/>
              </w:rPr>
              <w:t xml:space="preserve">in </w:t>
            </w:r>
            <w:r w:rsidR="00A644E1" w:rsidRPr="00532E6C">
              <w:rPr>
                <w:spacing w:val="-2"/>
                <w:lang w:val="en-GB"/>
              </w:rPr>
              <w:t>2014, +11</w:t>
            </w:r>
            <w:r w:rsidR="009128CD" w:rsidRPr="00532E6C">
              <w:rPr>
                <w:spacing w:val="-2"/>
                <w:lang w:val="en-GB"/>
              </w:rPr>
              <w:t>.</w:t>
            </w:r>
            <w:r w:rsidR="00404AC3" w:rsidRPr="00532E6C">
              <w:rPr>
                <w:spacing w:val="-2"/>
                <w:lang w:val="en-GB"/>
              </w:rPr>
              <w:t>4</w:t>
            </w:r>
            <w:r w:rsidR="00A644E1" w:rsidRPr="00532E6C">
              <w:rPr>
                <w:spacing w:val="-2"/>
                <w:lang w:val="en-GB"/>
              </w:rPr>
              <w:t xml:space="preserve">% </w:t>
            </w:r>
            <w:r w:rsidR="009128CD" w:rsidRPr="00532E6C">
              <w:rPr>
                <w:spacing w:val="-2"/>
                <w:lang w:val="en-GB"/>
              </w:rPr>
              <w:t>a year later</w:t>
            </w:r>
            <w:r w:rsidR="00A644E1" w:rsidRPr="00532E6C">
              <w:rPr>
                <w:spacing w:val="-2"/>
                <w:lang w:val="en-GB"/>
              </w:rPr>
              <w:t xml:space="preserve">). </w:t>
            </w:r>
            <w:r w:rsidR="009128CD" w:rsidRPr="00532E6C">
              <w:rPr>
                <w:spacing w:val="-2"/>
                <w:lang w:val="en-GB"/>
              </w:rPr>
              <w:t>On the contrary, the collection of income</w:t>
            </w:r>
            <w:r w:rsidR="008112E9">
              <w:rPr>
                <w:spacing w:val="-2"/>
                <w:lang w:val="en-GB"/>
              </w:rPr>
              <w:t xml:space="preserve"> taxes of natural persons</w:t>
            </w:r>
            <w:r w:rsidR="009128CD" w:rsidRPr="00532E6C">
              <w:rPr>
                <w:spacing w:val="-2"/>
                <w:lang w:val="en-GB"/>
              </w:rPr>
              <w:t xml:space="preserve"> remained (similarly to years 2013 and 2014) below the level of budget a</w:t>
            </w:r>
            <w:r w:rsidR="00404AC3" w:rsidRPr="00532E6C">
              <w:rPr>
                <w:spacing w:val="-2"/>
                <w:lang w:val="en-GB"/>
              </w:rPr>
              <w:t>nticipations, when it grew by 4</w:t>
            </w:r>
            <w:r w:rsidR="009128CD" w:rsidRPr="00532E6C">
              <w:rPr>
                <w:spacing w:val="-2"/>
                <w:lang w:val="en-GB"/>
              </w:rPr>
              <w:t xml:space="preserve">% </w:t>
            </w:r>
            <w:r w:rsidR="00A644E1" w:rsidRPr="00532E6C">
              <w:rPr>
                <w:spacing w:val="-2"/>
                <w:lang w:val="en-GB"/>
              </w:rPr>
              <w:t>(</w:t>
            </w:r>
            <w:r w:rsidR="009128CD" w:rsidRPr="00532E6C">
              <w:rPr>
                <w:spacing w:val="-2"/>
                <w:lang w:val="en-GB"/>
              </w:rPr>
              <w:t>similar rate as in 2014</w:t>
            </w:r>
            <w:r w:rsidR="00A644E1" w:rsidRPr="00532E6C">
              <w:rPr>
                <w:spacing w:val="-2"/>
                <w:lang w:val="en-GB"/>
              </w:rPr>
              <w:t xml:space="preserve">). </w:t>
            </w:r>
            <w:r w:rsidR="006A6FB8" w:rsidRPr="00532E6C">
              <w:rPr>
                <w:spacing w:val="-2"/>
                <w:lang w:val="en-GB"/>
              </w:rPr>
              <w:t>The legislative mea</w:t>
            </w:r>
            <w:r w:rsidR="00105D1F" w:rsidRPr="00532E6C">
              <w:rPr>
                <w:spacing w:val="-2"/>
                <w:lang w:val="en-GB"/>
              </w:rPr>
              <w:t>sures (increase of the tax relief</w:t>
            </w:r>
            <w:r w:rsidR="006E2B48" w:rsidRPr="00532E6C">
              <w:rPr>
                <w:spacing w:val="-2"/>
                <w:lang w:val="en-GB"/>
              </w:rPr>
              <w:t xml:space="preserve"> on second and further child, “kindergarten fee”</w:t>
            </w:r>
            <w:r w:rsidR="006A6FB8" w:rsidRPr="00532E6C">
              <w:rPr>
                <w:spacing w:val="-2"/>
                <w:lang w:val="en-GB"/>
              </w:rPr>
              <w:t xml:space="preserve">, </w:t>
            </w:r>
            <w:r w:rsidR="00105D1F" w:rsidRPr="00532E6C">
              <w:rPr>
                <w:spacing w:val="-2"/>
                <w:lang w:val="en-GB"/>
              </w:rPr>
              <w:t>re-introduction the basic tax relief</w:t>
            </w:r>
            <w:r w:rsidR="006A6FB8" w:rsidRPr="00532E6C">
              <w:rPr>
                <w:spacing w:val="-2"/>
                <w:lang w:val="en-GB"/>
              </w:rPr>
              <w:t xml:space="preserve"> for working pensioners) partially subdued the positive impact of higher employment as well as gradual wage growth acceleration. Even though the state-wide collection of corporate taxes grew the fastest in last seven years in 2015</w:t>
            </w:r>
            <w:r w:rsidR="0065065D" w:rsidRPr="00532E6C">
              <w:rPr>
                <w:spacing w:val="-2"/>
                <w:lang w:val="en-GB"/>
              </w:rPr>
              <w:t xml:space="preserve"> (+11,4 %)</w:t>
            </w:r>
            <w:r w:rsidR="006A6FB8" w:rsidRPr="00532E6C">
              <w:rPr>
                <w:spacing w:val="-2"/>
                <w:lang w:val="en-GB"/>
              </w:rPr>
              <w:t>, it still lagged by nearly one fifth a</w:t>
            </w:r>
            <w:r w:rsidR="0065065D" w:rsidRPr="00532E6C">
              <w:rPr>
                <w:spacing w:val="-2"/>
                <w:lang w:val="en-GB"/>
              </w:rPr>
              <w:t>gainst its pre-crisis peak (</w:t>
            </w:r>
            <w:r w:rsidR="006A6FB8" w:rsidRPr="00532E6C">
              <w:rPr>
                <w:spacing w:val="-2"/>
                <w:lang w:val="en-GB"/>
              </w:rPr>
              <w:t>year 2008). Apart from the impacts of the recession on the tax collection (the highest in 2009, but also in years 201</w:t>
            </w:r>
            <w:r w:rsidR="007842A5" w:rsidRPr="00532E6C">
              <w:rPr>
                <w:spacing w:val="-2"/>
                <w:lang w:val="en-GB"/>
              </w:rPr>
              <w:t>1</w:t>
            </w:r>
            <w:r w:rsidR="008112E9">
              <w:rPr>
                <w:spacing w:val="-2"/>
                <w:lang w:val="en-GB"/>
              </w:rPr>
              <w:t xml:space="preserve"> and</w:t>
            </w:r>
            <w:r w:rsidR="006A6FB8" w:rsidRPr="00532E6C">
              <w:rPr>
                <w:spacing w:val="-2"/>
                <w:lang w:val="en-GB"/>
              </w:rPr>
              <w:t xml:space="preserve"> 2013), the lowering of the tax rates also played a role. The collection of taxes from employees was already by </w:t>
            </w:r>
            <w:r w:rsidR="00A644E1" w:rsidRPr="00532E6C">
              <w:rPr>
                <w:spacing w:val="-2"/>
                <w:lang w:val="en-GB"/>
              </w:rPr>
              <w:t>7</w:t>
            </w:r>
            <w:r w:rsidR="006A6FB8" w:rsidRPr="00532E6C">
              <w:rPr>
                <w:spacing w:val="-2"/>
                <w:lang w:val="en-GB"/>
              </w:rPr>
              <w:t>.</w:t>
            </w:r>
            <w:r w:rsidR="00404AC3" w:rsidRPr="00532E6C">
              <w:rPr>
                <w:spacing w:val="-2"/>
                <w:lang w:val="en-GB"/>
              </w:rPr>
              <w:t>7</w:t>
            </w:r>
            <w:r w:rsidR="00A644E1" w:rsidRPr="00532E6C">
              <w:rPr>
                <w:spacing w:val="-2"/>
                <w:lang w:val="en-GB"/>
              </w:rPr>
              <w:t xml:space="preserve">% </w:t>
            </w:r>
            <w:r w:rsidR="006A6FB8" w:rsidRPr="00532E6C">
              <w:rPr>
                <w:spacing w:val="-2"/>
                <w:lang w:val="en-GB"/>
              </w:rPr>
              <w:t xml:space="preserve">higher compared </w:t>
            </w:r>
            <w:r w:rsidR="008112E9">
              <w:rPr>
                <w:spacing w:val="-2"/>
                <w:lang w:val="en-GB"/>
              </w:rPr>
              <w:t>to its pre-crisis peak</w:t>
            </w:r>
            <w:r w:rsidR="0065065D" w:rsidRPr="00532E6C">
              <w:rPr>
                <w:spacing w:val="-2"/>
                <w:lang w:val="en-GB"/>
              </w:rPr>
              <w:t xml:space="preserve"> (</w:t>
            </w:r>
            <w:r w:rsidR="006A6FB8" w:rsidRPr="00532E6C">
              <w:rPr>
                <w:spacing w:val="-2"/>
                <w:lang w:val="en-GB"/>
              </w:rPr>
              <w:t xml:space="preserve">year 2007). </w:t>
            </w:r>
          </w:p>
          <w:p w:rsidR="00A644E1" w:rsidRPr="008112E9" w:rsidRDefault="00A644E1" w:rsidP="00611531">
            <w:pPr>
              <w:pStyle w:val="Textpoznpodarou"/>
              <w:jc w:val="both"/>
              <w:rPr>
                <w:rFonts w:cs="Arial"/>
                <w:color w:val="0D0D0D" w:themeColor="text1" w:themeTint="F2"/>
                <w:spacing w:val="-2"/>
                <w:sz w:val="14"/>
                <w:szCs w:val="14"/>
                <w:lang w:val="en-GB"/>
              </w:rPr>
            </w:pPr>
          </w:p>
        </w:tc>
      </w:tr>
      <w:tr w:rsidR="00A644E1" w:rsidTr="00E90A4B">
        <w:trPr>
          <w:gridAfter w:val="1"/>
          <w:wAfter w:w="62" w:type="pct"/>
        </w:trPr>
        <w:tc>
          <w:tcPr>
            <w:tcW w:w="1041" w:type="pct"/>
            <w:gridSpan w:val="2"/>
          </w:tcPr>
          <w:p w:rsidR="00A644E1" w:rsidRPr="006A6FB8" w:rsidRDefault="009128CD" w:rsidP="00611531">
            <w:pPr>
              <w:spacing w:line="240" w:lineRule="auto"/>
              <w:rPr>
                <w:rFonts w:cs="Arial"/>
                <w:bCs/>
                <w:iCs/>
                <w:color w:val="0D0D0D" w:themeColor="text1" w:themeTint="F2"/>
                <w:sz w:val="16"/>
                <w:szCs w:val="16"/>
                <w:lang w:val="en-GB"/>
              </w:rPr>
            </w:pPr>
            <w:r w:rsidRPr="006A6FB8">
              <w:rPr>
                <w:rFonts w:cs="Arial"/>
                <w:bCs/>
                <w:iCs/>
                <w:color w:val="0D0D0D" w:themeColor="text1" w:themeTint="F2"/>
                <w:sz w:val="16"/>
                <w:szCs w:val="16"/>
                <w:lang w:val="en-GB"/>
              </w:rPr>
              <w:t xml:space="preserve">More than one fifth of the CR revenues from the EU budget eventuated in the </w:t>
            </w:r>
            <w:r w:rsidR="006A6FB8">
              <w:rPr>
                <w:rFonts w:cs="Arial"/>
                <w:bCs/>
                <w:iCs/>
                <w:color w:val="0D0D0D" w:themeColor="text1" w:themeTint="F2"/>
                <w:sz w:val="16"/>
                <w:szCs w:val="16"/>
                <w:lang w:val="en-GB"/>
              </w:rPr>
              <w:t>l</w:t>
            </w:r>
            <w:r w:rsidR="00D208E9">
              <w:rPr>
                <w:rFonts w:cs="Arial"/>
                <w:bCs/>
                <w:iCs/>
                <w:color w:val="0D0D0D" w:themeColor="text1" w:themeTint="F2"/>
                <w:sz w:val="16"/>
                <w:szCs w:val="16"/>
                <w:lang w:val="en-GB"/>
              </w:rPr>
              <w:t xml:space="preserve">ast year during the period </w:t>
            </w:r>
            <w:r w:rsidR="00D208E9" w:rsidRPr="00D208E9">
              <w:rPr>
                <w:rFonts w:cs="Arial"/>
                <w:bCs/>
                <w:iCs/>
                <w:color w:val="0D0D0D" w:themeColor="text1" w:themeTint="F2"/>
                <w:sz w:val="16"/>
                <w:szCs w:val="16"/>
                <w:lang w:val="en-GB"/>
              </w:rPr>
              <w:t>2007</w:t>
            </w:r>
            <w:r w:rsidR="00D208E9" w:rsidRPr="00D208E9">
              <w:rPr>
                <w:sz w:val="16"/>
                <w:szCs w:val="16"/>
                <w:lang w:val="en-GB"/>
              </w:rPr>
              <w:t>–</w:t>
            </w:r>
            <w:r w:rsidRPr="00D208E9">
              <w:rPr>
                <w:rFonts w:cs="Arial"/>
                <w:bCs/>
                <w:iCs/>
                <w:color w:val="0D0D0D" w:themeColor="text1" w:themeTint="F2"/>
                <w:sz w:val="16"/>
                <w:szCs w:val="16"/>
                <w:lang w:val="en-GB"/>
              </w:rPr>
              <w:t>2015</w:t>
            </w:r>
            <w:r w:rsidRPr="006A6FB8">
              <w:rPr>
                <w:rFonts w:cs="Arial"/>
                <w:bCs/>
                <w:iCs/>
                <w:color w:val="0D0D0D" w:themeColor="text1" w:themeTint="F2"/>
                <w:sz w:val="16"/>
                <w:szCs w:val="16"/>
                <w:lang w:val="en-GB"/>
              </w:rPr>
              <w:t xml:space="preserve"> </w:t>
            </w:r>
          </w:p>
          <w:p w:rsidR="00A644E1" w:rsidRPr="000C0310" w:rsidRDefault="00A644E1" w:rsidP="00611531">
            <w:pPr>
              <w:spacing w:line="240" w:lineRule="auto"/>
              <w:rPr>
                <w:rFonts w:cs="Arial"/>
                <w:bCs/>
                <w:iCs/>
                <w:color w:val="0D0D0D" w:themeColor="text1" w:themeTint="F2"/>
                <w:sz w:val="6"/>
                <w:szCs w:val="6"/>
              </w:rPr>
            </w:pPr>
          </w:p>
        </w:tc>
        <w:tc>
          <w:tcPr>
            <w:tcW w:w="140" w:type="pct"/>
          </w:tcPr>
          <w:p w:rsidR="00A644E1" w:rsidRPr="009720D9" w:rsidRDefault="00A644E1" w:rsidP="00611531">
            <w:pPr>
              <w:pStyle w:val="Textpoznpodarou"/>
              <w:jc w:val="both"/>
              <w:rPr>
                <w:color w:val="0D0D0D" w:themeColor="text1" w:themeTint="F2"/>
              </w:rPr>
            </w:pPr>
          </w:p>
        </w:tc>
        <w:tc>
          <w:tcPr>
            <w:tcW w:w="3757" w:type="pct"/>
            <w:gridSpan w:val="3"/>
          </w:tcPr>
          <w:p w:rsidR="00A644E1" w:rsidRPr="00532E6C" w:rsidRDefault="00112905" w:rsidP="00611531">
            <w:pPr>
              <w:pStyle w:val="Textpoznpodarou"/>
              <w:jc w:val="both"/>
              <w:rPr>
                <w:spacing w:val="-4"/>
                <w:lang w:val="en-GB"/>
              </w:rPr>
            </w:pPr>
            <w:r w:rsidRPr="00532E6C">
              <w:rPr>
                <w:spacing w:val="-4"/>
                <w:lang w:val="en-GB"/>
              </w:rPr>
              <w:t xml:space="preserve">The expected intensive finalisation of drawing of resources from the EU budget fundamentally influenced both the revenue as well as outlay side of the budget. The CR gained in total nearly </w:t>
            </w:r>
            <w:r w:rsidR="00A644E1" w:rsidRPr="00532E6C">
              <w:rPr>
                <w:spacing w:val="-4"/>
                <w:lang w:val="en-GB"/>
              </w:rPr>
              <w:t xml:space="preserve">194 </w:t>
            </w:r>
            <w:r w:rsidR="00546888" w:rsidRPr="00532E6C">
              <w:rPr>
                <w:spacing w:val="-4"/>
                <w:lang w:val="en-GB"/>
              </w:rPr>
              <w:t xml:space="preserve">CZK </w:t>
            </w:r>
            <w:r w:rsidRPr="00532E6C">
              <w:rPr>
                <w:spacing w:val="-4"/>
                <w:lang w:val="en-GB"/>
              </w:rPr>
              <w:t>bn in 2015, which represented more than one fifth of the rec</w:t>
            </w:r>
            <w:r w:rsidR="001305C4" w:rsidRPr="00532E6C">
              <w:rPr>
                <w:spacing w:val="-4"/>
                <w:lang w:val="en-GB"/>
              </w:rPr>
              <w:t>eived funds for the period 2007–</w:t>
            </w:r>
            <w:r w:rsidRPr="00532E6C">
              <w:rPr>
                <w:spacing w:val="-4"/>
                <w:lang w:val="en-GB"/>
              </w:rPr>
              <w:t xml:space="preserve">2015. Nearly </w:t>
            </w:r>
            <w:r w:rsidR="00404AC3" w:rsidRPr="00532E6C">
              <w:rPr>
                <w:spacing w:val="-4"/>
                <w:lang w:val="en-GB"/>
              </w:rPr>
              <w:t>57</w:t>
            </w:r>
            <w:r w:rsidR="00A644E1" w:rsidRPr="00532E6C">
              <w:rPr>
                <w:spacing w:val="-4"/>
                <w:lang w:val="en-GB"/>
              </w:rPr>
              <w:t xml:space="preserve">% </w:t>
            </w:r>
            <w:r w:rsidR="005073C7" w:rsidRPr="00532E6C">
              <w:rPr>
                <w:spacing w:val="-4"/>
                <w:lang w:val="en-GB"/>
              </w:rPr>
              <w:t>of revenues were</w:t>
            </w:r>
            <w:r w:rsidRPr="00532E6C">
              <w:rPr>
                <w:spacing w:val="-4"/>
                <w:lang w:val="en-GB"/>
              </w:rPr>
              <w:t xml:space="preserve"> associated with the structural funds in 2015, which also participated the most on the fastened drawing completion (they were by </w:t>
            </w:r>
            <w:r w:rsidR="00FF02EB" w:rsidRPr="00532E6C">
              <w:rPr>
                <w:spacing w:val="-4"/>
                <w:lang w:val="en-GB"/>
              </w:rPr>
              <w:t xml:space="preserve">53 </w:t>
            </w:r>
            <w:r w:rsidR="00546888" w:rsidRPr="00532E6C">
              <w:rPr>
                <w:spacing w:val="-4"/>
                <w:lang w:val="en-GB"/>
              </w:rPr>
              <w:t xml:space="preserve">CZK </w:t>
            </w:r>
            <w:r w:rsidRPr="00532E6C">
              <w:rPr>
                <w:spacing w:val="-4"/>
                <w:lang w:val="en-GB"/>
              </w:rPr>
              <w:t>bn</w:t>
            </w:r>
            <w:r w:rsidR="00546888" w:rsidRPr="00532E6C">
              <w:rPr>
                <w:spacing w:val="-4"/>
                <w:lang w:val="en-GB"/>
              </w:rPr>
              <w:t xml:space="preserve"> </w:t>
            </w:r>
            <w:r w:rsidRPr="00532E6C">
              <w:rPr>
                <w:spacing w:val="-4"/>
                <w:lang w:val="en-GB"/>
              </w:rPr>
              <w:t xml:space="preserve">higher year-on-year, by </w:t>
            </w:r>
            <w:r w:rsidR="00A644E1" w:rsidRPr="00532E6C">
              <w:rPr>
                <w:spacing w:val="-4"/>
                <w:lang w:val="en-GB"/>
              </w:rPr>
              <w:t xml:space="preserve">23 </w:t>
            </w:r>
            <w:r w:rsidR="00546888" w:rsidRPr="00532E6C">
              <w:rPr>
                <w:spacing w:val="-4"/>
                <w:lang w:val="en-GB"/>
              </w:rPr>
              <w:t xml:space="preserve">CZK </w:t>
            </w:r>
            <w:r w:rsidRPr="00532E6C">
              <w:rPr>
                <w:spacing w:val="-4"/>
                <w:lang w:val="en-GB"/>
              </w:rPr>
              <w:t>bn</w:t>
            </w:r>
            <w:r w:rsidR="00546888" w:rsidRPr="00532E6C">
              <w:rPr>
                <w:spacing w:val="-4"/>
                <w:lang w:val="en-GB"/>
              </w:rPr>
              <w:t xml:space="preserve"> </w:t>
            </w:r>
            <w:r w:rsidRPr="00532E6C">
              <w:rPr>
                <w:spacing w:val="-4"/>
                <w:lang w:val="en-GB"/>
              </w:rPr>
              <w:t xml:space="preserve">for the cohesion funds). After accounting for the payments into the EU budget, the net position of the CR arrived at nearly </w:t>
            </w:r>
            <w:r w:rsidR="00A644E1" w:rsidRPr="00532E6C">
              <w:rPr>
                <w:spacing w:val="-4"/>
                <w:lang w:val="en-GB"/>
              </w:rPr>
              <w:t xml:space="preserve">152 </w:t>
            </w:r>
            <w:r w:rsidR="00546888" w:rsidRPr="00532E6C">
              <w:rPr>
                <w:spacing w:val="-4"/>
                <w:lang w:val="en-GB"/>
              </w:rPr>
              <w:t xml:space="preserve">CZK </w:t>
            </w:r>
            <w:r w:rsidRPr="00532E6C">
              <w:rPr>
                <w:spacing w:val="-4"/>
                <w:lang w:val="en-GB"/>
              </w:rPr>
              <w:t xml:space="preserve">bn, twice as much as in 2014. </w:t>
            </w:r>
          </w:p>
          <w:p w:rsidR="00A644E1" w:rsidRPr="008112E9" w:rsidRDefault="00A644E1" w:rsidP="00611531">
            <w:pPr>
              <w:pStyle w:val="Textpoznpodarou"/>
              <w:jc w:val="both"/>
              <w:rPr>
                <w:spacing w:val="-2"/>
                <w:sz w:val="14"/>
                <w:szCs w:val="14"/>
              </w:rPr>
            </w:pPr>
          </w:p>
        </w:tc>
      </w:tr>
      <w:tr w:rsidR="00A644E1" w:rsidTr="00E90A4B">
        <w:trPr>
          <w:gridAfter w:val="1"/>
          <w:wAfter w:w="62" w:type="pct"/>
        </w:trPr>
        <w:tc>
          <w:tcPr>
            <w:tcW w:w="1041" w:type="pct"/>
            <w:gridSpan w:val="2"/>
          </w:tcPr>
          <w:p w:rsidR="007F7737" w:rsidRPr="00C80BF1" w:rsidRDefault="007F7737" w:rsidP="00C80BF1">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lastRenderedPageBreak/>
              <w:t>Dynamics of the SB expenditure growth increased its pace to the highest level after 2006</w:t>
            </w:r>
          </w:p>
          <w:p w:rsidR="00A644E1" w:rsidRPr="00C80BF1" w:rsidRDefault="00A644E1" w:rsidP="00611531">
            <w:pPr>
              <w:spacing w:line="240" w:lineRule="auto"/>
              <w:rPr>
                <w:rFonts w:cs="Arial"/>
                <w:bCs/>
                <w:iCs/>
                <w:color w:val="0D0D0D" w:themeColor="text1" w:themeTint="F2"/>
                <w:spacing w:val="-2"/>
                <w:sz w:val="16"/>
                <w:szCs w:val="16"/>
                <w:lang w:val="en-GB"/>
              </w:rPr>
            </w:pPr>
          </w:p>
          <w:p w:rsidR="00FF02EB" w:rsidRPr="00C80BF1" w:rsidRDefault="00FF02EB" w:rsidP="00611531">
            <w:pPr>
              <w:spacing w:line="240" w:lineRule="auto"/>
              <w:rPr>
                <w:rFonts w:cs="Arial"/>
                <w:bCs/>
                <w:iCs/>
                <w:color w:val="0D0D0D" w:themeColor="text1" w:themeTint="F2"/>
                <w:spacing w:val="-2"/>
                <w:sz w:val="16"/>
                <w:szCs w:val="16"/>
                <w:lang w:val="en-GB"/>
              </w:rPr>
            </w:pPr>
          </w:p>
          <w:p w:rsidR="00FF02EB" w:rsidRPr="00C80BF1" w:rsidRDefault="00FF02EB" w:rsidP="00611531">
            <w:pPr>
              <w:spacing w:line="240" w:lineRule="auto"/>
              <w:rPr>
                <w:rFonts w:cs="Arial"/>
                <w:bCs/>
                <w:iCs/>
                <w:color w:val="0D0D0D" w:themeColor="text1" w:themeTint="F2"/>
                <w:spacing w:val="-2"/>
                <w:sz w:val="16"/>
                <w:szCs w:val="16"/>
                <w:lang w:val="en-GB"/>
              </w:rPr>
            </w:pPr>
          </w:p>
          <w:p w:rsidR="00A644E1" w:rsidRPr="008112E9" w:rsidRDefault="007F7737" w:rsidP="007F7737">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Nearly one seventh of the state budget outlays directed to investment</w:t>
            </w:r>
            <w:r w:rsidR="00C80BF1">
              <w:rPr>
                <w:rFonts w:cs="Arial"/>
                <w:bCs/>
                <w:iCs/>
                <w:color w:val="0D0D0D" w:themeColor="text1" w:themeTint="F2"/>
                <w:spacing w:val="-2"/>
                <w:sz w:val="16"/>
                <w:szCs w:val="16"/>
                <w:lang w:val="en-GB"/>
              </w:rPr>
              <w:t xml:space="preserve"> </w:t>
            </w:r>
            <w:r w:rsidR="00C80BF1" w:rsidRPr="00C80BF1">
              <w:rPr>
                <w:rFonts w:cs="Arial"/>
                <w:bCs/>
                <w:iCs/>
                <w:color w:val="0D0D0D" w:themeColor="text1" w:themeTint="F2"/>
                <w:spacing w:val="-2"/>
                <w:sz w:val="16"/>
                <w:szCs w:val="16"/>
                <w:lang w:val="en-GB"/>
              </w:rPr>
              <w:t>in 2015</w:t>
            </w:r>
          </w:p>
        </w:tc>
        <w:tc>
          <w:tcPr>
            <w:tcW w:w="140" w:type="pct"/>
          </w:tcPr>
          <w:p w:rsidR="00A644E1" w:rsidRPr="009720D9" w:rsidRDefault="00A644E1" w:rsidP="00611531">
            <w:pPr>
              <w:pStyle w:val="Textpoznpodarou"/>
              <w:jc w:val="both"/>
              <w:rPr>
                <w:color w:val="0D0D0D" w:themeColor="text1" w:themeTint="F2"/>
              </w:rPr>
            </w:pPr>
          </w:p>
        </w:tc>
        <w:tc>
          <w:tcPr>
            <w:tcW w:w="3757" w:type="pct"/>
            <w:gridSpan w:val="3"/>
          </w:tcPr>
          <w:p w:rsidR="00A644E1" w:rsidRPr="00532E6C" w:rsidRDefault="007F7737" w:rsidP="00611531">
            <w:pPr>
              <w:pStyle w:val="Textpoznpodarou"/>
              <w:jc w:val="both"/>
              <w:rPr>
                <w:rFonts w:cs="Arial"/>
                <w:spacing w:val="-2"/>
                <w:lang w:val="en-GB"/>
              </w:rPr>
            </w:pPr>
            <w:r w:rsidRPr="00532E6C">
              <w:rPr>
                <w:spacing w:val="-2"/>
                <w:lang w:val="en-GB"/>
              </w:rPr>
              <w:t xml:space="preserve">Total </w:t>
            </w:r>
            <w:r w:rsidR="00CF0376" w:rsidRPr="00532E6C">
              <w:rPr>
                <w:spacing w:val="-2"/>
                <w:lang w:val="en-GB"/>
              </w:rPr>
              <w:t xml:space="preserve">expenditures </w:t>
            </w:r>
            <w:r w:rsidRPr="00532E6C">
              <w:rPr>
                <w:spacing w:val="-2"/>
                <w:lang w:val="en-GB"/>
              </w:rPr>
              <w:t xml:space="preserve">of the SB accelerated to </w:t>
            </w:r>
            <w:r w:rsidR="00A644E1" w:rsidRPr="00532E6C">
              <w:rPr>
                <w:rFonts w:cs="Arial"/>
                <w:color w:val="0D0D0D" w:themeColor="text1" w:themeTint="F2"/>
                <w:spacing w:val="-2"/>
                <w:lang w:val="en-GB"/>
              </w:rPr>
              <w:t>7</w:t>
            </w:r>
            <w:r w:rsidRPr="00532E6C">
              <w:rPr>
                <w:rFonts w:cs="Arial"/>
                <w:color w:val="0D0D0D" w:themeColor="text1" w:themeTint="F2"/>
                <w:spacing w:val="-2"/>
                <w:lang w:val="en-GB"/>
              </w:rPr>
              <w:t>.</w:t>
            </w:r>
            <w:r w:rsidR="00404AC3" w:rsidRPr="00532E6C">
              <w:rPr>
                <w:rFonts w:cs="Arial"/>
                <w:color w:val="0D0D0D" w:themeColor="text1" w:themeTint="F2"/>
                <w:spacing w:val="-2"/>
                <w:lang w:val="en-GB"/>
              </w:rPr>
              <w:t>1</w:t>
            </w:r>
            <w:r w:rsidR="00A644E1" w:rsidRPr="00532E6C">
              <w:rPr>
                <w:rFonts w:cs="Arial"/>
                <w:color w:val="0D0D0D" w:themeColor="text1" w:themeTint="F2"/>
                <w:spacing w:val="-2"/>
                <w:lang w:val="en-GB"/>
              </w:rPr>
              <w:t>%</w:t>
            </w:r>
            <w:r w:rsidRPr="00532E6C">
              <w:rPr>
                <w:rFonts w:cs="Arial"/>
                <w:color w:val="0D0D0D" w:themeColor="text1" w:themeTint="F2"/>
                <w:spacing w:val="-2"/>
                <w:lang w:val="en-GB"/>
              </w:rPr>
              <w:t xml:space="preserve"> </w:t>
            </w:r>
            <w:r w:rsidRPr="00532E6C">
              <w:rPr>
                <w:spacing w:val="-2"/>
                <w:lang w:val="en-GB"/>
              </w:rPr>
              <w:t xml:space="preserve">year-on-year, they grew by nearly double pace compared to year 2014. Especially the investment expenditure caused it, by </w:t>
            </w:r>
            <w:r w:rsidR="00404AC3" w:rsidRPr="00532E6C">
              <w:rPr>
                <w:rFonts w:cs="Arial"/>
                <w:color w:val="0D0D0D" w:themeColor="text1" w:themeTint="F2"/>
                <w:spacing w:val="-2"/>
                <w:lang w:val="en-GB"/>
              </w:rPr>
              <w:t>58</w:t>
            </w:r>
            <w:r w:rsidR="00A644E1" w:rsidRPr="00532E6C">
              <w:rPr>
                <w:rFonts w:cs="Arial"/>
                <w:color w:val="0D0D0D" w:themeColor="text1" w:themeTint="F2"/>
                <w:spacing w:val="-2"/>
                <w:lang w:val="en-GB"/>
              </w:rPr>
              <w:t>%</w:t>
            </w:r>
            <w:r w:rsidRPr="00532E6C">
              <w:rPr>
                <w:rFonts w:cs="Arial"/>
                <w:color w:val="0D0D0D" w:themeColor="text1" w:themeTint="F2"/>
                <w:spacing w:val="-2"/>
                <w:lang w:val="en-GB"/>
              </w:rPr>
              <w:t xml:space="preserve"> </w:t>
            </w:r>
            <w:r w:rsidRPr="00532E6C">
              <w:rPr>
                <w:spacing w:val="-2"/>
                <w:lang w:val="en-GB"/>
              </w:rPr>
              <w:t xml:space="preserve">higher year-on-year.  83% of SB capital outlays were direct to co-financing of common CR and EU programmes. It was especially the </w:t>
            </w:r>
            <w:r w:rsidR="00D3095E" w:rsidRPr="00532E6C">
              <w:rPr>
                <w:spacing w:val="-2"/>
                <w:lang w:val="en-GB"/>
              </w:rPr>
              <w:t xml:space="preserve">Transport </w:t>
            </w:r>
            <w:r w:rsidRPr="00532E6C">
              <w:rPr>
                <w:spacing w:val="-2"/>
                <w:lang w:val="en-GB"/>
              </w:rPr>
              <w:t>Operation</w:t>
            </w:r>
            <w:r w:rsidR="00CF0376" w:rsidRPr="00532E6C">
              <w:rPr>
                <w:spacing w:val="-2"/>
                <w:lang w:val="en-GB"/>
              </w:rPr>
              <w:t>al</w:t>
            </w:r>
            <w:r w:rsidR="00D3095E" w:rsidRPr="00532E6C">
              <w:rPr>
                <w:spacing w:val="-2"/>
                <w:lang w:val="en-GB"/>
              </w:rPr>
              <w:t xml:space="preserve"> Programme </w:t>
            </w:r>
            <w:r w:rsidR="00A644E1" w:rsidRPr="00532E6C">
              <w:rPr>
                <w:rFonts w:cs="Arial"/>
                <w:color w:val="0D0D0D" w:themeColor="text1" w:themeTint="F2"/>
                <w:spacing w:val="-2"/>
                <w:lang w:val="en-GB"/>
              </w:rPr>
              <w:t>(41</w:t>
            </w:r>
            <w:r w:rsidRPr="00532E6C">
              <w:rPr>
                <w:rFonts w:cs="Arial"/>
                <w:color w:val="0D0D0D" w:themeColor="text1" w:themeTint="F2"/>
                <w:spacing w:val="-2"/>
                <w:lang w:val="en-GB"/>
              </w:rPr>
              <w:t>.</w:t>
            </w:r>
            <w:r w:rsidR="00A644E1" w:rsidRPr="00532E6C">
              <w:rPr>
                <w:rFonts w:cs="Arial"/>
                <w:color w:val="0D0D0D" w:themeColor="text1" w:themeTint="F2"/>
                <w:spacing w:val="-2"/>
                <w:lang w:val="en-GB"/>
              </w:rPr>
              <w:t>4</w:t>
            </w:r>
            <w:r w:rsidR="00B92A4B" w:rsidRPr="00532E6C">
              <w:rPr>
                <w:rFonts w:cs="Arial"/>
                <w:color w:val="0D0D0D" w:themeColor="text1" w:themeTint="F2"/>
                <w:spacing w:val="-2"/>
                <w:lang w:val="en-GB"/>
              </w:rPr>
              <w:t> </w:t>
            </w:r>
            <w:r w:rsidRPr="00532E6C">
              <w:rPr>
                <w:spacing w:val="-2"/>
                <w:lang w:val="en-GB"/>
              </w:rPr>
              <w:t>CZK</w:t>
            </w:r>
            <w:r w:rsidR="00546888" w:rsidRPr="00532E6C">
              <w:rPr>
                <w:spacing w:val="-2"/>
                <w:lang w:val="en-GB"/>
              </w:rPr>
              <w:t xml:space="preserve"> bn</w:t>
            </w:r>
            <w:r w:rsidRPr="00532E6C">
              <w:rPr>
                <w:spacing w:val="-2"/>
                <w:lang w:val="en-GB"/>
              </w:rPr>
              <w:t xml:space="preserve">, by </w:t>
            </w:r>
            <w:r w:rsidR="00A644E1" w:rsidRPr="00532E6C">
              <w:rPr>
                <w:rFonts w:cs="Arial"/>
                <w:color w:val="0D0D0D" w:themeColor="text1" w:themeTint="F2"/>
                <w:spacing w:val="-2"/>
                <w:lang w:val="en-GB"/>
              </w:rPr>
              <w:t>27</w:t>
            </w:r>
            <w:r w:rsidRPr="00532E6C">
              <w:rPr>
                <w:rFonts w:cs="Arial"/>
                <w:color w:val="0D0D0D" w:themeColor="text1" w:themeTint="F2"/>
                <w:spacing w:val="-2"/>
                <w:lang w:val="en-GB"/>
              </w:rPr>
              <w:t>.</w:t>
            </w:r>
            <w:r w:rsidR="00A644E1" w:rsidRPr="00532E6C">
              <w:rPr>
                <w:rFonts w:cs="Arial"/>
                <w:color w:val="0D0D0D" w:themeColor="text1" w:themeTint="F2"/>
                <w:spacing w:val="-2"/>
                <w:lang w:val="en-GB"/>
              </w:rPr>
              <w:t xml:space="preserve">9 </w:t>
            </w:r>
            <w:r w:rsidR="00546888" w:rsidRPr="00532E6C">
              <w:rPr>
                <w:rFonts w:cs="Arial"/>
                <w:color w:val="0D0D0D" w:themeColor="text1" w:themeTint="F2"/>
                <w:spacing w:val="-2"/>
                <w:lang w:val="en-GB"/>
              </w:rPr>
              <w:t xml:space="preserve">CZK </w:t>
            </w:r>
            <w:r w:rsidRPr="00532E6C">
              <w:rPr>
                <w:spacing w:val="-2"/>
                <w:lang w:val="en-GB"/>
              </w:rPr>
              <w:t>bn</w:t>
            </w:r>
            <w:r w:rsidR="00546888" w:rsidRPr="00532E6C">
              <w:rPr>
                <w:spacing w:val="-2"/>
                <w:lang w:val="en-GB"/>
              </w:rPr>
              <w:t xml:space="preserve"> </w:t>
            </w:r>
            <w:r w:rsidRPr="00532E6C">
              <w:rPr>
                <w:spacing w:val="-2"/>
                <w:lang w:val="en-GB"/>
              </w:rPr>
              <w:t>more ye</w:t>
            </w:r>
            <w:r w:rsidR="00C80BF1" w:rsidRPr="00532E6C">
              <w:rPr>
                <w:spacing w:val="-2"/>
                <w:lang w:val="en-GB"/>
              </w:rPr>
              <w:t>ar-on-year) and further the domains of entrepreneurship,</w:t>
            </w:r>
            <w:r w:rsidRPr="00532E6C">
              <w:rPr>
                <w:spacing w:val="-2"/>
                <w:lang w:val="en-GB"/>
              </w:rPr>
              <w:t xml:space="preserve"> innovations</w:t>
            </w:r>
            <w:r w:rsidR="00C80BF1" w:rsidRPr="00532E6C">
              <w:rPr>
                <w:spacing w:val="-2"/>
                <w:lang w:val="en-GB"/>
              </w:rPr>
              <w:t>,</w:t>
            </w:r>
            <w:r w:rsidRPr="00532E6C">
              <w:rPr>
                <w:spacing w:val="-2"/>
                <w:lang w:val="en-GB"/>
              </w:rPr>
              <w:t xml:space="preserve"> environment and also the regional operation programme</w:t>
            </w:r>
            <w:r w:rsidR="00C80BF1" w:rsidRPr="00532E6C">
              <w:rPr>
                <w:spacing w:val="-2"/>
                <w:lang w:val="en-GB"/>
              </w:rPr>
              <w:t>s</w:t>
            </w:r>
            <w:r w:rsidRPr="00532E6C">
              <w:rPr>
                <w:spacing w:val="-2"/>
                <w:lang w:val="en-GB"/>
              </w:rPr>
              <w:t xml:space="preserve">. Investment constituted a record </w:t>
            </w:r>
            <w:r w:rsidR="00A644E1" w:rsidRPr="00532E6C">
              <w:rPr>
                <w:rFonts w:cs="Arial"/>
                <w:color w:val="0D0D0D" w:themeColor="text1" w:themeTint="F2"/>
                <w:spacing w:val="-2"/>
                <w:lang w:val="en-GB"/>
              </w:rPr>
              <w:t>13</w:t>
            </w:r>
            <w:r w:rsidRPr="00532E6C">
              <w:rPr>
                <w:rFonts w:cs="Arial"/>
                <w:color w:val="0D0D0D" w:themeColor="text1" w:themeTint="F2"/>
                <w:spacing w:val="-2"/>
                <w:lang w:val="en-GB"/>
              </w:rPr>
              <w:t>.</w:t>
            </w:r>
            <w:r w:rsidR="00A644E1" w:rsidRPr="00532E6C">
              <w:rPr>
                <w:rFonts w:cs="Arial"/>
                <w:color w:val="0D0D0D" w:themeColor="text1" w:themeTint="F2"/>
                <w:spacing w:val="-2"/>
                <w:lang w:val="en-GB"/>
              </w:rPr>
              <w:t xml:space="preserve">6% </w:t>
            </w:r>
            <w:r w:rsidRPr="00532E6C">
              <w:rPr>
                <w:spacing w:val="-2"/>
                <w:lang w:val="en-GB"/>
              </w:rPr>
              <w:t xml:space="preserve">of all SB outlays, when its share oscillated only slightly above </w:t>
            </w:r>
            <w:r w:rsidR="00A644E1" w:rsidRPr="00532E6C">
              <w:rPr>
                <w:rFonts w:cs="Arial"/>
                <w:color w:val="0D0D0D" w:themeColor="text1" w:themeTint="F2"/>
                <w:spacing w:val="-2"/>
                <w:lang w:val="en-GB"/>
              </w:rPr>
              <w:t>10</w:t>
            </w:r>
            <w:r w:rsidR="00A644E1" w:rsidRPr="00532E6C">
              <w:rPr>
                <w:rFonts w:cs="Arial"/>
                <w:spacing w:val="-2"/>
                <w:lang w:val="en-GB"/>
              </w:rPr>
              <w:t>%</w:t>
            </w:r>
            <w:r w:rsidRPr="00532E6C">
              <w:rPr>
                <w:rFonts w:cs="Arial"/>
                <w:spacing w:val="-2"/>
                <w:lang w:val="en-GB"/>
              </w:rPr>
              <w:t xml:space="preserve"> </w:t>
            </w:r>
            <w:r w:rsidRPr="00532E6C">
              <w:rPr>
                <w:spacing w:val="-2"/>
                <w:lang w:val="en-GB"/>
              </w:rPr>
              <w:t>in years of the business cycle peak.</w:t>
            </w:r>
          </w:p>
          <w:p w:rsidR="00A644E1" w:rsidRPr="008112E9" w:rsidRDefault="00A644E1" w:rsidP="00611531">
            <w:pPr>
              <w:pStyle w:val="Textpoznpodarou"/>
              <w:jc w:val="both"/>
              <w:rPr>
                <w:rFonts w:cs="Arial"/>
                <w:color w:val="0D0D0D" w:themeColor="text1" w:themeTint="F2"/>
                <w:spacing w:val="-2"/>
                <w:sz w:val="14"/>
                <w:szCs w:val="14"/>
              </w:rPr>
            </w:pPr>
          </w:p>
        </w:tc>
      </w:tr>
      <w:tr w:rsidR="00A644E1" w:rsidRPr="00CF0376" w:rsidTr="00E90A4B">
        <w:trPr>
          <w:gridAfter w:val="1"/>
          <w:wAfter w:w="62" w:type="pct"/>
        </w:trPr>
        <w:tc>
          <w:tcPr>
            <w:tcW w:w="1041" w:type="pct"/>
            <w:gridSpan w:val="2"/>
          </w:tcPr>
          <w:p w:rsidR="00DE06DA" w:rsidRPr="00C80BF1" w:rsidRDefault="00DE06DA" w:rsidP="00C80BF1">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Pension account deficit lowered already second time in a row and achieved its best result in the last five years in 2015</w:t>
            </w:r>
          </w:p>
          <w:p w:rsidR="00A644E1" w:rsidRPr="00DE06DA" w:rsidRDefault="00A644E1" w:rsidP="00611531">
            <w:pPr>
              <w:spacing w:line="240" w:lineRule="auto"/>
              <w:rPr>
                <w:rFonts w:cs="Arial"/>
                <w:bCs/>
                <w:iCs/>
                <w:color w:val="0D0D0D" w:themeColor="text1" w:themeTint="F2"/>
                <w:spacing w:val="-4"/>
                <w:sz w:val="16"/>
                <w:szCs w:val="16"/>
                <w:lang w:val="en-GB"/>
              </w:rPr>
            </w:pPr>
          </w:p>
          <w:p w:rsidR="00A644E1" w:rsidRPr="00DE06DA" w:rsidRDefault="00A644E1" w:rsidP="00611531">
            <w:pPr>
              <w:spacing w:line="240" w:lineRule="auto"/>
              <w:rPr>
                <w:rFonts w:cs="Arial"/>
                <w:bCs/>
                <w:iCs/>
                <w:color w:val="0D0D0D" w:themeColor="text1" w:themeTint="F2"/>
                <w:spacing w:val="-4"/>
                <w:sz w:val="16"/>
                <w:szCs w:val="16"/>
                <w:lang w:val="en-GB"/>
              </w:rPr>
            </w:pPr>
          </w:p>
        </w:tc>
        <w:tc>
          <w:tcPr>
            <w:tcW w:w="140" w:type="pct"/>
          </w:tcPr>
          <w:p w:rsidR="00A644E1" w:rsidRPr="00DE06DA" w:rsidRDefault="00A644E1" w:rsidP="00611531">
            <w:pPr>
              <w:pStyle w:val="Textpoznpodarou"/>
              <w:jc w:val="both"/>
              <w:rPr>
                <w:color w:val="0D0D0D" w:themeColor="text1" w:themeTint="F2"/>
                <w:lang w:val="en-GB"/>
              </w:rPr>
            </w:pPr>
          </w:p>
        </w:tc>
        <w:tc>
          <w:tcPr>
            <w:tcW w:w="3757" w:type="pct"/>
            <w:gridSpan w:val="3"/>
          </w:tcPr>
          <w:p w:rsidR="00A644E1" w:rsidRPr="00532E6C" w:rsidRDefault="00DE06DA" w:rsidP="00611531">
            <w:pPr>
              <w:pStyle w:val="Textpoznpodarou"/>
              <w:jc w:val="both"/>
              <w:rPr>
                <w:rFonts w:cs="Arial"/>
                <w:color w:val="0D0D0D" w:themeColor="text1" w:themeTint="F2"/>
                <w:spacing w:val="-2"/>
                <w:lang w:val="en-GB"/>
              </w:rPr>
            </w:pPr>
            <w:r w:rsidRPr="00532E6C">
              <w:rPr>
                <w:rFonts w:cs="Arial"/>
                <w:color w:val="0D0D0D" w:themeColor="text1" w:themeTint="F2"/>
                <w:spacing w:val="-2"/>
                <w:lang w:val="en-GB"/>
              </w:rPr>
              <w:t>T</w:t>
            </w:r>
            <w:r w:rsidRPr="00532E6C">
              <w:rPr>
                <w:spacing w:val="-2"/>
                <w:lang w:val="en-GB"/>
              </w:rPr>
              <w:t xml:space="preserve">he growing social benefits (by 10.5 </w:t>
            </w:r>
            <w:r w:rsidR="00006468" w:rsidRPr="00532E6C">
              <w:rPr>
                <w:spacing w:val="-2"/>
                <w:lang w:val="en-GB"/>
              </w:rPr>
              <w:t xml:space="preserve">CZK </w:t>
            </w:r>
            <w:r w:rsidR="00C70925" w:rsidRPr="00532E6C">
              <w:rPr>
                <w:spacing w:val="-2"/>
                <w:lang w:val="en-GB"/>
              </w:rPr>
              <w:t>bn</w:t>
            </w:r>
            <w:r w:rsidRPr="00532E6C">
              <w:rPr>
                <w:spacing w:val="-2"/>
                <w:lang w:val="en-GB"/>
              </w:rPr>
              <w:t xml:space="preserve">) participated from one half on the higher current expenditures (by </w:t>
            </w:r>
            <w:r w:rsidR="00A644E1" w:rsidRPr="00532E6C">
              <w:rPr>
                <w:rFonts w:cs="Arial"/>
                <w:color w:val="0D0D0D" w:themeColor="text1" w:themeTint="F2"/>
                <w:spacing w:val="-2"/>
                <w:lang w:val="en-GB"/>
              </w:rPr>
              <w:t>1</w:t>
            </w:r>
            <w:r w:rsidRPr="00532E6C">
              <w:rPr>
                <w:rFonts w:cs="Arial"/>
                <w:color w:val="0D0D0D" w:themeColor="text1" w:themeTint="F2"/>
                <w:spacing w:val="-2"/>
                <w:lang w:val="en-GB"/>
              </w:rPr>
              <w:t>.</w:t>
            </w:r>
            <w:r w:rsidR="00404AC3" w:rsidRPr="00532E6C">
              <w:rPr>
                <w:rFonts w:cs="Arial"/>
                <w:color w:val="0D0D0D" w:themeColor="text1" w:themeTint="F2"/>
                <w:spacing w:val="-2"/>
                <w:lang w:val="en-GB"/>
              </w:rPr>
              <w:t>9</w:t>
            </w:r>
            <w:r w:rsidR="00A644E1" w:rsidRPr="00532E6C">
              <w:rPr>
                <w:rFonts w:cs="Arial"/>
                <w:color w:val="0D0D0D" w:themeColor="text1" w:themeTint="F2"/>
                <w:spacing w:val="-2"/>
                <w:lang w:val="en-GB"/>
              </w:rPr>
              <w:t>%)</w:t>
            </w:r>
            <w:r w:rsidRPr="00532E6C">
              <w:rPr>
                <w:rFonts w:cs="Arial"/>
                <w:color w:val="0D0D0D" w:themeColor="text1" w:themeTint="F2"/>
                <w:spacing w:val="-2"/>
                <w:lang w:val="en-GB"/>
              </w:rPr>
              <w:t xml:space="preserve">. </w:t>
            </w:r>
            <w:r w:rsidRPr="00532E6C">
              <w:rPr>
                <w:spacing w:val="-2"/>
                <w:lang w:val="en-GB"/>
              </w:rPr>
              <w:t xml:space="preserve">Nearly four fifths of social outlays were expended on pensions, whose size was influenced by a repeated transfer to a previous </w:t>
            </w:r>
            <w:r w:rsidR="002175EB" w:rsidRPr="00532E6C">
              <w:rPr>
                <w:spacing w:val="-2"/>
                <w:lang w:val="en-GB"/>
              </w:rPr>
              <w:t xml:space="preserve">indexation scheme and to partly also by </w:t>
            </w:r>
            <w:r w:rsidRPr="00532E6C">
              <w:rPr>
                <w:spacing w:val="-2"/>
                <w:lang w:val="en-GB"/>
              </w:rPr>
              <w:t xml:space="preserve">intergenerational exchange of the pensioners. The number of pension recipients was moderately increasing (from </w:t>
            </w:r>
            <w:r w:rsidR="00A644E1" w:rsidRPr="00532E6C">
              <w:rPr>
                <w:rFonts w:cs="Arial"/>
                <w:color w:val="0D0D0D" w:themeColor="text1" w:themeTint="F2"/>
                <w:spacing w:val="-2"/>
                <w:lang w:val="en-GB"/>
              </w:rPr>
              <w:t>0</w:t>
            </w:r>
            <w:r w:rsidRPr="00532E6C">
              <w:rPr>
                <w:rFonts w:cs="Arial"/>
                <w:color w:val="0D0D0D" w:themeColor="text1" w:themeTint="F2"/>
                <w:spacing w:val="-2"/>
                <w:lang w:val="en-GB"/>
              </w:rPr>
              <w:t>.</w:t>
            </w:r>
            <w:r w:rsidR="00404AC3" w:rsidRPr="00532E6C">
              <w:rPr>
                <w:rFonts w:cs="Arial"/>
                <w:color w:val="0D0D0D" w:themeColor="text1" w:themeTint="F2"/>
                <w:spacing w:val="-2"/>
                <w:lang w:val="en-GB"/>
              </w:rPr>
              <w:t>2</w:t>
            </w:r>
            <w:r w:rsidR="00A644E1" w:rsidRPr="00532E6C">
              <w:rPr>
                <w:rFonts w:cs="Arial"/>
                <w:color w:val="0D0D0D" w:themeColor="text1" w:themeTint="F2"/>
                <w:spacing w:val="-2"/>
                <w:lang w:val="en-GB"/>
              </w:rPr>
              <w:t xml:space="preserve">% </w:t>
            </w:r>
            <w:r w:rsidR="00EE2011" w:rsidRPr="00532E6C">
              <w:rPr>
                <w:rFonts w:cs="Arial"/>
                <w:color w:val="0D0D0D" w:themeColor="text1" w:themeTint="F2"/>
                <w:spacing w:val="-2"/>
                <w:lang w:val="en-GB"/>
              </w:rPr>
              <w:t xml:space="preserve">in 2014 </w:t>
            </w:r>
            <w:r w:rsidRPr="00532E6C">
              <w:rPr>
                <w:rFonts w:cs="Arial"/>
                <w:color w:val="0D0D0D" w:themeColor="text1" w:themeTint="F2"/>
                <w:spacing w:val="-2"/>
                <w:lang w:val="en-GB"/>
              </w:rPr>
              <w:t xml:space="preserve">to </w:t>
            </w:r>
            <w:r w:rsidR="00A644E1" w:rsidRPr="00532E6C">
              <w:rPr>
                <w:rFonts w:cs="Arial"/>
                <w:color w:val="0D0D0D" w:themeColor="text1" w:themeTint="F2"/>
                <w:spacing w:val="-2"/>
                <w:lang w:val="en-GB"/>
              </w:rPr>
              <w:t>0</w:t>
            </w:r>
            <w:r w:rsidRPr="00532E6C">
              <w:rPr>
                <w:rFonts w:cs="Arial"/>
                <w:color w:val="0D0D0D" w:themeColor="text1" w:themeTint="F2"/>
                <w:spacing w:val="-2"/>
                <w:lang w:val="en-GB"/>
              </w:rPr>
              <w:t>.</w:t>
            </w:r>
            <w:r w:rsidR="00404AC3" w:rsidRPr="00532E6C">
              <w:rPr>
                <w:rFonts w:cs="Arial"/>
                <w:color w:val="0D0D0D" w:themeColor="text1" w:themeTint="F2"/>
                <w:spacing w:val="-2"/>
                <w:lang w:val="en-GB"/>
              </w:rPr>
              <w:t>4</w:t>
            </w:r>
            <w:r w:rsidR="00A644E1" w:rsidRPr="00532E6C">
              <w:rPr>
                <w:rFonts w:cs="Arial"/>
                <w:color w:val="0D0D0D" w:themeColor="text1" w:themeTint="F2"/>
                <w:spacing w:val="-2"/>
                <w:lang w:val="en-GB"/>
              </w:rPr>
              <w:t>%</w:t>
            </w:r>
            <w:r w:rsidR="00EE2011" w:rsidRPr="00532E6C">
              <w:rPr>
                <w:rFonts w:cs="Arial"/>
                <w:color w:val="0D0D0D" w:themeColor="text1" w:themeTint="F2"/>
                <w:spacing w:val="-2"/>
                <w:lang w:val="en-GB"/>
              </w:rPr>
              <w:t xml:space="preserve"> in the following year</w:t>
            </w:r>
            <w:r w:rsidR="00A644E1" w:rsidRPr="00532E6C">
              <w:rPr>
                <w:rFonts w:cs="Arial"/>
                <w:color w:val="0D0D0D" w:themeColor="text1" w:themeTint="F2"/>
                <w:spacing w:val="-2"/>
                <w:lang w:val="en-GB"/>
              </w:rPr>
              <w:t xml:space="preserve">), </w:t>
            </w:r>
            <w:r w:rsidRPr="00532E6C">
              <w:rPr>
                <w:spacing w:val="-2"/>
                <w:lang w:val="en-GB"/>
              </w:rPr>
              <w:t>exclusively due to the</w:t>
            </w:r>
            <w:r w:rsidR="00CF0376" w:rsidRPr="00532E6C">
              <w:rPr>
                <w:spacing w:val="-2"/>
                <w:lang w:val="en-GB"/>
              </w:rPr>
              <w:t xml:space="preserve"> higher number of old-age pensioners. Even though the growth of the expenditure on pensions was the </w:t>
            </w:r>
            <w:r w:rsidRPr="00532E6C">
              <w:rPr>
                <w:spacing w:val="-2"/>
                <w:lang w:val="en-GB"/>
              </w:rPr>
              <w:t xml:space="preserve">highest in the last three years (by </w:t>
            </w:r>
            <w:r w:rsidR="00404AC3" w:rsidRPr="00532E6C">
              <w:rPr>
                <w:rFonts w:cs="Arial"/>
                <w:color w:val="0D0D0D" w:themeColor="text1" w:themeTint="F2"/>
                <w:spacing w:val="-2"/>
                <w:lang w:val="en-GB"/>
              </w:rPr>
              <w:t>2.4</w:t>
            </w:r>
            <w:r w:rsidRPr="00532E6C">
              <w:rPr>
                <w:rFonts w:cs="Arial"/>
                <w:color w:val="0D0D0D" w:themeColor="text1" w:themeTint="F2"/>
                <w:spacing w:val="-2"/>
                <w:lang w:val="en-GB"/>
              </w:rPr>
              <w:t xml:space="preserve">% </w:t>
            </w:r>
            <w:r w:rsidR="00751D40" w:rsidRPr="00532E6C">
              <w:rPr>
                <w:spacing w:val="-2"/>
                <w:lang w:val="en-GB"/>
              </w:rPr>
              <w:t>year-o</w:t>
            </w:r>
            <w:r w:rsidRPr="00532E6C">
              <w:rPr>
                <w:spacing w:val="-2"/>
                <w:lang w:val="en-GB"/>
              </w:rPr>
              <w:t>n-year</w:t>
            </w:r>
            <w:r w:rsidR="00A644E1" w:rsidRPr="00532E6C">
              <w:rPr>
                <w:rFonts w:cs="Arial"/>
                <w:color w:val="0D0D0D" w:themeColor="text1" w:themeTint="F2"/>
                <w:spacing w:val="-2"/>
                <w:lang w:val="en-GB"/>
              </w:rPr>
              <w:t>)</w:t>
            </w:r>
            <w:r w:rsidR="00CF0376" w:rsidRPr="00532E6C">
              <w:rPr>
                <w:rFonts w:cs="Arial"/>
                <w:color w:val="0D0D0D" w:themeColor="text1" w:themeTint="F2"/>
                <w:spacing w:val="-2"/>
                <w:lang w:val="en-GB"/>
              </w:rPr>
              <w:t xml:space="preserve"> this year,</w:t>
            </w:r>
            <w:r w:rsidR="00A644E1" w:rsidRPr="00532E6C">
              <w:rPr>
                <w:rFonts w:cs="Arial"/>
                <w:color w:val="0D0D0D" w:themeColor="text1" w:themeTint="F2"/>
                <w:spacing w:val="-2"/>
                <w:lang w:val="en-GB"/>
              </w:rPr>
              <w:t xml:space="preserve"> </w:t>
            </w:r>
            <w:r w:rsidRPr="00532E6C">
              <w:rPr>
                <w:spacing w:val="-2"/>
                <w:lang w:val="en-GB"/>
              </w:rPr>
              <w:t xml:space="preserve">the pension account deficit (the difference between revenues and expenditure on pensions from the SB) kept declining (to 35 </w:t>
            </w:r>
            <w:r w:rsidR="00546888" w:rsidRPr="00532E6C">
              <w:rPr>
                <w:spacing w:val="-2"/>
                <w:lang w:val="en-GB"/>
              </w:rPr>
              <w:t xml:space="preserve">CZK </w:t>
            </w:r>
            <w:r w:rsidRPr="00532E6C">
              <w:rPr>
                <w:spacing w:val="-2"/>
                <w:lang w:val="en-GB"/>
              </w:rPr>
              <w:t xml:space="preserve">bn) thanks to the dynamic growth of the collection of the insurance (by </w:t>
            </w:r>
            <w:r w:rsidR="00A644E1" w:rsidRPr="00532E6C">
              <w:rPr>
                <w:rFonts w:cs="Arial"/>
                <w:color w:val="0D0D0D" w:themeColor="text1" w:themeTint="F2"/>
                <w:spacing w:val="-2"/>
                <w:lang w:val="en-GB"/>
              </w:rPr>
              <w:t>5</w:t>
            </w:r>
            <w:r w:rsidRPr="00532E6C">
              <w:rPr>
                <w:rFonts w:cs="Arial"/>
                <w:color w:val="0D0D0D" w:themeColor="text1" w:themeTint="F2"/>
                <w:spacing w:val="-2"/>
                <w:lang w:val="en-GB"/>
              </w:rPr>
              <w:t>.</w:t>
            </w:r>
            <w:r w:rsidR="00404AC3" w:rsidRPr="00532E6C">
              <w:rPr>
                <w:rFonts w:cs="Arial"/>
                <w:color w:val="0D0D0D" w:themeColor="text1" w:themeTint="F2"/>
                <w:spacing w:val="-2"/>
                <w:lang w:val="en-GB"/>
              </w:rPr>
              <w:t>2</w:t>
            </w:r>
            <w:r w:rsidR="00A644E1" w:rsidRPr="00532E6C">
              <w:rPr>
                <w:rFonts w:cs="Arial"/>
                <w:color w:val="0D0D0D" w:themeColor="text1" w:themeTint="F2"/>
                <w:spacing w:val="-2"/>
                <w:lang w:val="en-GB"/>
              </w:rPr>
              <w:t xml:space="preserve">%, </w:t>
            </w:r>
            <w:r w:rsidRPr="00532E6C">
              <w:rPr>
                <w:rFonts w:cs="Arial"/>
                <w:color w:val="0D0D0D" w:themeColor="text1" w:themeTint="F2"/>
                <w:spacing w:val="-2"/>
                <w:lang w:val="en-GB"/>
              </w:rPr>
              <w:t xml:space="preserve">the highest after 2008). </w:t>
            </w:r>
          </w:p>
          <w:p w:rsidR="00A644E1" w:rsidRPr="008112E9" w:rsidRDefault="00A644E1" w:rsidP="00611531">
            <w:pPr>
              <w:pStyle w:val="Textpoznpodarou"/>
              <w:jc w:val="both"/>
              <w:rPr>
                <w:rFonts w:cs="Arial"/>
                <w:color w:val="0D0D0D" w:themeColor="text1" w:themeTint="F2"/>
                <w:spacing w:val="-2"/>
                <w:sz w:val="14"/>
                <w:szCs w:val="14"/>
                <w:lang w:val="en-GB"/>
              </w:rPr>
            </w:pPr>
          </w:p>
        </w:tc>
      </w:tr>
      <w:tr w:rsidR="00A644E1" w:rsidRPr="003A21DC" w:rsidTr="00E90A4B">
        <w:trPr>
          <w:gridAfter w:val="1"/>
          <w:wAfter w:w="62" w:type="pct"/>
        </w:trPr>
        <w:tc>
          <w:tcPr>
            <w:tcW w:w="1041" w:type="pct"/>
            <w:gridSpan w:val="2"/>
          </w:tcPr>
          <w:p w:rsidR="00A644E1" w:rsidRPr="004C6982" w:rsidRDefault="004C6982" w:rsidP="00611531">
            <w:pPr>
              <w:spacing w:line="240" w:lineRule="auto"/>
              <w:rPr>
                <w:rFonts w:cs="Arial"/>
                <w:bCs/>
                <w:iCs/>
                <w:color w:val="0D0D0D" w:themeColor="text1" w:themeTint="F2"/>
                <w:spacing w:val="-4"/>
                <w:sz w:val="16"/>
                <w:szCs w:val="16"/>
                <w:lang w:val="en-GB"/>
              </w:rPr>
            </w:pPr>
            <w:r w:rsidRPr="004C6982">
              <w:rPr>
                <w:rFonts w:cs="Arial"/>
                <w:bCs/>
                <w:iCs/>
                <w:color w:val="0D0D0D" w:themeColor="text1" w:themeTint="F2"/>
                <w:spacing w:val="-4"/>
                <w:sz w:val="16"/>
                <w:szCs w:val="16"/>
                <w:lang w:val="en-GB"/>
              </w:rPr>
              <w:t>Sickness benefits expenditure reac</w:t>
            </w:r>
            <w:r>
              <w:rPr>
                <w:rFonts w:cs="Arial"/>
                <w:bCs/>
                <w:iCs/>
                <w:color w:val="0D0D0D" w:themeColor="text1" w:themeTint="F2"/>
                <w:spacing w:val="-4"/>
                <w:sz w:val="16"/>
                <w:szCs w:val="16"/>
                <w:lang w:val="en-GB"/>
              </w:rPr>
              <w:t>h</w:t>
            </w:r>
            <w:r w:rsidRPr="004C6982">
              <w:rPr>
                <w:rFonts w:cs="Arial"/>
                <w:bCs/>
                <w:iCs/>
                <w:color w:val="0D0D0D" w:themeColor="text1" w:themeTint="F2"/>
                <w:spacing w:val="-4"/>
                <w:sz w:val="16"/>
                <w:szCs w:val="16"/>
                <w:lang w:val="en-GB"/>
              </w:rPr>
              <w:t>ed t</w:t>
            </w:r>
            <w:r>
              <w:rPr>
                <w:rFonts w:cs="Arial"/>
                <w:bCs/>
                <w:iCs/>
                <w:color w:val="0D0D0D" w:themeColor="text1" w:themeTint="F2"/>
                <w:spacing w:val="-4"/>
                <w:sz w:val="16"/>
                <w:szCs w:val="16"/>
                <w:lang w:val="en-GB"/>
              </w:rPr>
              <w:t>h</w:t>
            </w:r>
            <w:r w:rsidRPr="004C6982">
              <w:rPr>
                <w:rFonts w:cs="Arial"/>
                <w:bCs/>
                <w:iCs/>
                <w:color w:val="0D0D0D" w:themeColor="text1" w:themeTint="F2"/>
                <w:spacing w:val="-4"/>
                <w:sz w:val="16"/>
                <w:szCs w:val="16"/>
                <w:lang w:val="en-GB"/>
              </w:rPr>
              <w:t xml:space="preserve">e highest absolute amount after year 2009, still they were by more than </w:t>
            </w:r>
            <w:r w:rsidR="00A644E1" w:rsidRPr="004C6982">
              <w:rPr>
                <w:rFonts w:cs="Arial"/>
                <w:bCs/>
                <w:iCs/>
                <w:color w:val="0D0D0D" w:themeColor="text1" w:themeTint="F2"/>
                <w:spacing w:val="-4"/>
                <w:sz w:val="16"/>
                <w:szCs w:val="16"/>
                <w:lang w:val="en-GB"/>
              </w:rPr>
              <w:t xml:space="preserve">3 </w:t>
            </w:r>
            <w:r w:rsidR="00006468">
              <w:rPr>
                <w:rFonts w:cs="Arial"/>
                <w:bCs/>
                <w:iCs/>
                <w:color w:val="0D0D0D" w:themeColor="text1" w:themeTint="F2"/>
                <w:spacing w:val="-4"/>
                <w:sz w:val="16"/>
                <w:szCs w:val="16"/>
                <w:lang w:val="en-GB"/>
              </w:rPr>
              <w:t xml:space="preserve">CZK </w:t>
            </w:r>
            <w:r w:rsidRPr="004C6982">
              <w:rPr>
                <w:rFonts w:cs="Arial"/>
                <w:bCs/>
                <w:iCs/>
                <w:color w:val="0D0D0D" w:themeColor="text1" w:themeTint="F2"/>
                <w:spacing w:val="-4"/>
                <w:sz w:val="16"/>
                <w:szCs w:val="16"/>
                <w:lang w:val="en-GB"/>
              </w:rPr>
              <w:t>bn</w:t>
            </w:r>
            <w:r w:rsidR="00006468">
              <w:rPr>
                <w:rFonts w:cs="Arial"/>
                <w:bCs/>
                <w:iCs/>
                <w:color w:val="0D0D0D" w:themeColor="text1" w:themeTint="F2"/>
                <w:spacing w:val="-4"/>
                <w:sz w:val="16"/>
                <w:szCs w:val="16"/>
                <w:lang w:val="en-GB"/>
              </w:rPr>
              <w:t xml:space="preserve"> </w:t>
            </w:r>
            <w:r w:rsidRPr="004C6982">
              <w:rPr>
                <w:rFonts w:cs="Arial"/>
                <w:bCs/>
                <w:iCs/>
                <w:color w:val="0D0D0D" w:themeColor="text1" w:themeTint="F2"/>
                <w:spacing w:val="-4"/>
                <w:sz w:val="16"/>
                <w:szCs w:val="16"/>
                <w:lang w:val="en-GB"/>
              </w:rPr>
              <w:t xml:space="preserve">lower than the volume of collected insurance </w:t>
            </w:r>
          </w:p>
          <w:p w:rsidR="00A644E1" w:rsidRPr="004C6982" w:rsidRDefault="00A644E1" w:rsidP="00611531">
            <w:pPr>
              <w:spacing w:line="240" w:lineRule="auto"/>
              <w:rPr>
                <w:rFonts w:cs="Arial"/>
                <w:bCs/>
                <w:iCs/>
                <w:color w:val="0D0D0D" w:themeColor="text1" w:themeTint="F2"/>
                <w:spacing w:val="-4"/>
                <w:sz w:val="16"/>
                <w:szCs w:val="16"/>
                <w:lang w:val="en-GB"/>
              </w:rPr>
            </w:pPr>
          </w:p>
          <w:p w:rsidR="00A644E1" w:rsidRPr="004C6982" w:rsidRDefault="004C6982" w:rsidP="00611531">
            <w:pPr>
              <w:spacing w:line="240" w:lineRule="auto"/>
              <w:rPr>
                <w:rFonts w:cs="Arial"/>
                <w:bCs/>
                <w:iCs/>
                <w:color w:val="0D0D0D" w:themeColor="text1" w:themeTint="F2"/>
                <w:spacing w:val="-2"/>
                <w:sz w:val="16"/>
                <w:szCs w:val="16"/>
                <w:lang w:val="en-GB"/>
              </w:rPr>
            </w:pPr>
            <w:r w:rsidRPr="004C6982">
              <w:rPr>
                <w:rFonts w:cs="Arial"/>
                <w:bCs/>
                <w:iCs/>
                <w:color w:val="0D0D0D" w:themeColor="text1" w:themeTint="F2"/>
                <w:spacing w:val="-2"/>
                <w:sz w:val="16"/>
                <w:szCs w:val="16"/>
                <w:lang w:val="en-GB"/>
              </w:rPr>
              <w:t xml:space="preserve">State social support benefits in total stagnated year-on-year, similarly to the social care benefits </w:t>
            </w:r>
          </w:p>
          <w:p w:rsidR="00A644E1" w:rsidRDefault="00A644E1" w:rsidP="00611531">
            <w:pPr>
              <w:spacing w:line="240" w:lineRule="auto"/>
              <w:rPr>
                <w:rFonts w:cs="Arial"/>
                <w:bCs/>
                <w:iCs/>
                <w:color w:val="0D0D0D" w:themeColor="text1" w:themeTint="F2"/>
                <w:spacing w:val="-2"/>
                <w:sz w:val="16"/>
                <w:szCs w:val="16"/>
              </w:rPr>
            </w:pPr>
          </w:p>
          <w:p w:rsidR="00A644E1" w:rsidRDefault="00A644E1" w:rsidP="00611531">
            <w:pPr>
              <w:spacing w:line="240" w:lineRule="auto"/>
              <w:rPr>
                <w:rFonts w:cs="Arial"/>
                <w:bCs/>
                <w:iCs/>
                <w:color w:val="0D0D0D" w:themeColor="text1" w:themeTint="F2"/>
                <w:spacing w:val="-4"/>
                <w:sz w:val="16"/>
                <w:szCs w:val="16"/>
              </w:rPr>
            </w:pPr>
          </w:p>
          <w:p w:rsidR="00A644E1" w:rsidRPr="00750404" w:rsidRDefault="00A644E1" w:rsidP="00611531">
            <w:pPr>
              <w:spacing w:line="240" w:lineRule="auto"/>
              <w:rPr>
                <w:color w:val="0D0D0D" w:themeColor="text1" w:themeTint="F2"/>
                <w:spacing w:val="-2"/>
                <w:szCs w:val="20"/>
              </w:rPr>
            </w:pPr>
          </w:p>
        </w:tc>
        <w:tc>
          <w:tcPr>
            <w:tcW w:w="140" w:type="pct"/>
          </w:tcPr>
          <w:p w:rsidR="00A644E1" w:rsidRPr="009720D9" w:rsidRDefault="00A644E1" w:rsidP="00611531">
            <w:pPr>
              <w:pStyle w:val="Textpoznpodarou"/>
              <w:jc w:val="both"/>
              <w:rPr>
                <w:color w:val="0D0D0D" w:themeColor="text1" w:themeTint="F2"/>
              </w:rPr>
            </w:pPr>
          </w:p>
        </w:tc>
        <w:tc>
          <w:tcPr>
            <w:tcW w:w="3757" w:type="pct"/>
            <w:gridSpan w:val="3"/>
          </w:tcPr>
          <w:p w:rsidR="00A644E1" w:rsidRPr="00532E6C" w:rsidRDefault="004C6982" w:rsidP="004C6982">
            <w:pPr>
              <w:pStyle w:val="Textpoznpodarou"/>
              <w:jc w:val="both"/>
              <w:rPr>
                <w:rFonts w:cs="Arial"/>
                <w:color w:val="0D0D0D" w:themeColor="text1" w:themeTint="F2"/>
                <w:spacing w:val="-2"/>
                <w:lang w:val="en-GB"/>
              </w:rPr>
            </w:pPr>
            <w:r w:rsidRPr="00532E6C">
              <w:rPr>
                <w:rFonts w:cs="Arial"/>
                <w:color w:val="0D0D0D" w:themeColor="text1" w:themeTint="F2"/>
                <w:spacing w:val="-2"/>
                <w:lang w:val="en-GB"/>
              </w:rPr>
              <w:t>E</w:t>
            </w:r>
            <w:r w:rsidRPr="00532E6C">
              <w:rPr>
                <w:spacing w:val="-2"/>
                <w:lang w:val="en-GB"/>
              </w:rPr>
              <w:t xml:space="preserve">specially the outlays on sickness insurance (by </w:t>
            </w:r>
            <w:r w:rsidR="00404AC3" w:rsidRPr="00532E6C">
              <w:rPr>
                <w:rFonts w:cs="Arial"/>
                <w:color w:val="0D0D0D" w:themeColor="text1" w:themeTint="F2"/>
                <w:spacing w:val="-2"/>
                <w:lang w:val="en-GB"/>
              </w:rPr>
              <w:t>9</w:t>
            </w:r>
            <w:r w:rsidR="00A644E1" w:rsidRPr="00532E6C">
              <w:rPr>
                <w:rFonts w:cs="Arial"/>
                <w:color w:val="0D0D0D" w:themeColor="text1" w:themeTint="F2"/>
                <w:spacing w:val="-2"/>
                <w:lang w:val="en-GB"/>
              </w:rPr>
              <w:t xml:space="preserve">%) </w:t>
            </w:r>
            <w:r w:rsidRPr="00532E6C">
              <w:rPr>
                <w:spacing w:val="-2"/>
                <w:lang w:val="en-GB"/>
              </w:rPr>
              <w:t>were increasing among the social benefits</w:t>
            </w:r>
            <w:r w:rsidR="001041BA" w:rsidRPr="00532E6C">
              <w:rPr>
                <w:spacing w:val="-2"/>
                <w:lang w:val="en-GB"/>
              </w:rPr>
              <w:t xml:space="preserve"> (other than pensions). It</w:t>
            </w:r>
            <w:r w:rsidRPr="00532E6C">
              <w:rPr>
                <w:spacing w:val="-2"/>
                <w:lang w:val="en-GB"/>
              </w:rPr>
              <w:t xml:space="preserve"> was caused by the legislative measures (renewed payment of sickness benefits already from the 15th day) and also the growth of sickness</w:t>
            </w:r>
            <w:r w:rsidR="001041BA" w:rsidRPr="00532E6C">
              <w:rPr>
                <w:spacing w:val="-2"/>
                <w:lang w:val="en-GB"/>
              </w:rPr>
              <w:t xml:space="preserve"> rate</w:t>
            </w:r>
            <w:r w:rsidRPr="00532E6C">
              <w:rPr>
                <w:spacing w:val="-2"/>
                <w:lang w:val="en-GB"/>
              </w:rPr>
              <w:t xml:space="preserve">. The weight most dominant state social support benefits in total stagnated. Only the foster care benefits (by one eight year-on-year), maternity grant and housing benefits (by </w:t>
            </w:r>
            <w:r w:rsidR="00A644E1" w:rsidRPr="00532E6C">
              <w:rPr>
                <w:rFonts w:cs="Arial"/>
                <w:color w:val="0D0D0D" w:themeColor="text1" w:themeTint="F2"/>
                <w:spacing w:val="-2"/>
                <w:lang w:val="en-GB"/>
              </w:rPr>
              <w:t>3</w:t>
            </w:r>
            <w:r w:rsidRPr="00532E6C">
              <w:rPr>
                <w:rFonts w:cs="Arial"/>
                <w:color w:val="0D0D0D" w:themeColor="text1" w:themeTint="F2"/>
                <w:spacing w:val="-2"/>
                <w:lang w:val="en-GB"/>
              </w:rPr>
              <w:t>.</w:t>
            </w:r>
            <w:r w:rsidR="00A644E1" w:rsidRPr="00532E6C">
              <w:rPr>
                <w:rFonts w:cs="Arial"/>
                <w:color w:val="0D0D0D" w:themeColor="text1" w:themeTint="F2"/>
                <w:spacing w:val="-2"/>
                <w:lang w:val="en-GB"/>
              </w:rPr>
              <w:t>6%)</w:t>
            </w:r>
            <w:r w:rsidRPr="00532E6C">
              <w:rPr>
                <w:rFonts w:cs="Arial"/>
                <w:color w:val="0D0D0D" w:themeColor="text1" w:themeTint="F2"/>
                <w:spacing w:val="-2"/>
                <w:lang w:val="en-GB"/>
              </w:rPr>
              <w:t xml:space="preserve"> </w:t>
            </w:r>
            <w:r w:rsidRPr="00532E6C">
              <w:rPr>
                <w:spacing w:val="-2"/>
                <w:lang w:val="en-GB"/>
              </w:rPr>
              <w:t xml:space="preserve">grew within this sector. Social </w:t>
            </w:r>
            <w:r w:rsidR="001041BA" w:rsidRPr="00532E6C">
              <w:rPr>
                <w:spacing w:val="-2"/>
                <w:lang w:val="en-GB"/>
              </w:rPr>
              <w:t xml:space="preserve">care </w:t>
            </w:r>
            <w:r w:rsidRPr="00532E6C">
              <w:rPr>
                <w:spacing w:val="-2"/>
                <w:lang w:val="en-GB"/>
              </w:rPr>
              <w:t>benefits also stagnated, when a higher expenditure on care (</w:t>
            </w:r>
            <w:r w:rsidR="006A0951" w:rsidRPr="00532E6C">
              <w:rPr>
                <w:spacing w:val="-2"/>
                <w:lang w:val="en-GB"/>
              </w:rPr>
              <w:t>based on</w:t>
            </w:r>
            <w:r w:rsidR="001041BA" w:rsidRPr="00532E6C">
              <w:rPr>
                <w:spacing w:val="-2"/>
                <w:lang w:val="en-GB"/>
              </w:rPr>
              <w:t xml:space="preserve"> the Social </w:t>
            </w:r>
            <w:r w:rsidR="006A0951" w:rsidRPr="00532E6C">
              <w:rPr>
                <w:spacing w:val="-2"/>
                <w:lang w:val="en-GB"/>
              </w:rPr>
              <w:t>S</w:t>
            </w:r>
            <w:r w:rsidR="001041BA" w:rsidRPr="00532E6C">
              <w:rPr>
                <w:spacing w:val="-2"/>
                <w:lang w:val="en-GB"/>
              </w:rPr>
              <w:t xml:space="preserve">ervices </w:t>
            </w:r>
            <w:r w:rsidR="006A0951" w:rsidRPr="00532E6C">
              <w:rPr>
                <w:spacing w:val="-2"/>
                <w:lang w:val="en-GB"/>
              </w:rPr>
              <w:t>A</w:t>
            </w:r>
            <w:r w:rsidR="00867527" w:rsidRPr="00532E6C">
              <w:rPr>
                <w:spacing w:val="-2"/>
                <w:lang w:val="en-GB"/>
              </w:rPr>
              <w:t>ct) was</w:t>
            </w:r>
            <w:r w:rsidRPr="00532E6C">
              <w:rPr>
                <w:spacing w:val="-2"/>
                <w:lang w:val="en-GB"/>
              </w:rPr>
              <w:t xml:space="preserve"> compensated by </w:t>
            </w:r>
            <w:r w:rsidR="00A644E1" w:rsidRPr="00532E6C">
              <w:rPr>
                <w:rFonts w:cs="Arial"/>
                <w:color w:val="0D0D0D" w:themeColor="text1" w:themeTint="F2"/>
                <w:spacing w:val="-2"/>
                <w:lang w:val="en-GB"/>
              </w:rPr>
              <w:t>7%</w:t>
            </w:r>
            <w:r w:rsidRPr="00532E6C">
              <w:rPr>
                <w:rFonts w:cs="Arial"/>
                <w:color w:val="0D0D0D" w:themeColor="text1" w:themeTint="F2"/>
                <w:spacing w:val="-2"/>
                <w:lang w:val="en-GB"/>
              </w:rPr>
              <w:t xml:space="preserve"> </w:t>
            </w:r>
            <w:r w:rsidRPr="00532E6C">
              <w:rPr>
                <w:spacing w:val="-2"/>
                <w:lang w:val="en-GB"/>
              </w:rPr>
              <w:t>drop of the material</w:t>
            </w:r>
            <w:r w:rsidR="00B04119" w:rsidRPr="00532E6C">
              <w:rPr>
                <w:spacing w:val="-2"/>
                <w:lang w:val="en-GB"/>
              </w:rPr>
              <w:t xml:space="preserve"> </w:t>
            </w:r>
            <w:r w:rsidR="001041BA" w:rsidRPr="00532E6C">
              <w:rPr>
                <w:spacing w:val="-2"/>
                <w:lang w:val="en-GB"/>
              </w:rPr>
              <w:t>need</w:t>
            </w:r>
            <w:r w:rsidR="00B04119" w:rsidRPr="00532E6C">
              <w:rPr>
                <w:spacing w:val="-2"/>
                <w:lang w:val="en-GB"/>
              </w:rPr>
              <w:t xml:space="preserve"> benefits</w:t>
            </w:r>
            <w:r w:rsidRPr="00532E6C">
              <w:rPr>
                <w:spacing w:val="-2"/>
                <w:lang w:val="en-GB"/>
              </w:rPr>
              <w:t>. The favourable situation on the labour market also led to a marked fall of the size of paid out</w:t>
            </w:r>
            <w:r w:rsidR="00AD209E" w:rsidRPr="00532E6C">
              <w:rPr>
                <w:spacing w:val="-2"/>
                <w:lang w:val="en-GB"/>
              </w:rPr>
              <w:t xml:space="preserve"> unemployment benefits (by</w:t>
            </w:r>
            <w:r w:rsidRPr="00532E6C">
              <w:rPr>
                <w:spacing w:val="-2"/>
                <w:lang w:val="en-GB"/>
              </w:rPr>
              <w:t xml:space="preserve"> one tenth compared to year 2014, they fell even by </w:t>
            </w:r>
            <w:r w:rsidR="00404AC3" w:rsidRPr="00532E6C">
              <w:rPr>
                <w:rFonts w:cs="Arial"/>
                <w:color w:val="0D0D0D" w:themeColor="text1" w:themeTint="F2"/>
                <w:spacing w:val="-2"/>
                <w:lang w:val="en-GB"/>
              </w:rPr>
              <w:t>45</w:t>
            </w:r>
            <w:r w:rsidR="00A644E1" w:rsidRPr="00532E6C">
              <w:rPr>
                <w:rFonts w:cs="Arial"/>
                <w:color w:val="0D0D0D" w:themeColor="text1" w:themeTint="F2"/>
                <w:spacing w:val="-2"/>
                <w:lang w:val="en-GB"/>
              </w:rPr>
              <w:t>%</w:t>
            </w:r>
            <w:r w:rsidRPr="00532E6C">
              <w:rPr>
                <w:rFonts w:cs="Arial"/>
                <w:color w:val="0D0D0D" w:themeColor="text1" w:themeTint="F2"/>
                <w:spacing w:val="-2"/>
                <w:lang w:val="en-GB"/>
              </w:rPr>
              <w:t xml:space="preserve"> against the year of the deepest recession). </w:t>
            </w:r>
            <w:r w:rsidR="00AD209E" w:rsidRPr="00532E6C">
              <w:rPr>
                <w:spacing w:val="-2"/>
                <w:lang w:val="en-GB"/>
              </w:rPr>
              <w:t>Only</w:t>
            </w:r>
            <w:r w:rsidRPr="00532E6C">
              <w:rPr>
                <w:spacing w:val="-2"/>
                <w:lang w:val="en-GB"/>
              </w:rPr>
              <w:t xml:space="preserve"> one quarter of persons registered in the labour offices was receiving the unemployment benefits in December 2015 (their share slightly increased by 2.</w:t>
            </w:r>
            <w:r w:rsidR="00A644E1" w:rsidRPr="00532E6C">
              <w:rPr>
                <w:rFonts w:cs="Arial"/>
                <w:color w:val="0D0D0D" w:themeColor="text1" w:themeTint="F2"/>
                <w:spacing w:val="-2"/>
                <w:lang w:val="en-GB"/>
              </w:rPr>
              <w:t>5 p</w:t>
            </w:r>
            <w:r w:rsidR="00494343" w:rsidRPr="00532E6C">
              <w:rPr>
                <w:rFonts w:cs="Arial"/>
                <w:color w:val="0D0D0D" w:themeColor="text1" w:themeTint="F2"/>
                <w:spacing w:val="-2"/>
                <w:lang w:val="en-GB"/>
              </w:rPr>
              <w:t>.</w:t>
            </w:r>
            <w:r w:rsidRPr="00532E6C">
              <w:rPr>
                <w:rFonts w:cs="Arial"/>
                <w:color w:val="0D0D0D" w:themeColor="text1" w:themeTint="F2"/>
                <w:spacing w:val="-2"/>
                <w:lang w:val="en-GB"/>
              </w:rPr>
              <w:t>p</w:t>
            </w:r>
            <w:r w:rsidR="00A644E1" w:rsidRPr="00532E6C">
              <w:rPr>
                <w:rFonts w:cs="Arial"/>
                <w:color w:val="0D0D0D" w:themeColor="text1" w:themeTint="F2"/>
                <w:spacing w:val="-2"/>
                <w:lang w:val="en-GB"/>
              </w:rPr>
              <w:t>.</w:t>
            </w:r>
            <w:r w:rsidRPr="00532E6C">
              <w:rPr>
                <w:rFonts w:cs="Arial"/>
                <w:color w:val="0D0D0D" w:themeColor="text1" w:themeTint="F2"/>
                <w:spacing w:val="-2"/>
                <w:lang w:val="en-GB"/>
              </w:rPr>
              <w:t xml:space="preserve"> </w:t>
            </w:r>
            <w:r w:rsidRPr="00532E6C">
              <w:rPr>
                <w:spacing w:val="-2"/>
                <w:lang w:val="en-GB"/>
              </w:rPr>
              <w:t>year-on-year</w:t>
            </w:r>
            <w:r w:rsidR="00A644E1" w:rsidRPr="00532E6C">
              <w:rPr>
                <w:rFonts w:cs="Arial"/>
                <w:color w:val="0D0D0D" w:themeColor="text1" w:themeTint="F2"/>
                <w:spacing w:val="-2"/>
                <w:lang w:val="en-GB"/>
              </w:rPr>
              <w:t>).</w:t>
            </w:r>
            <w:r w:rsidRPr="00532E6C">
              <w:rPr>
                <w:rFonts w:cs="Arial"/>
                <w:color w:val="0D0D0D" w:themeColor="text1" w:themeTint="F2"/>
                <w:spacing w:val="-2"/>
                <w:lang w:val="en-GB"/>
              </w:rPr>
              <w:t xml:space="preserve"> Simultaneously, the outlays on the </w:t>
            </w:r>
            <w:r w:rsidR="00E36208" w:rsidRPr="00532E6C">
              <w:rPr>
                <w:rFonts w:cs="Arial"/>
                <w:color w:val="0D0D0D" w:themeColor="text1" w:themeTint="F2"/>
                <w:spacing w:val="-2"/>
                <w:lang w:val="en-GB"/>
              </w:rPr>
              <w:t>active policy</w:t>
            </w:r>
            <w:r w:rsidRPr="00532E6C">
              <w:rPr>
                <w:rFonts w:cs="Arial"/>
                <w:color w:val="0D0D0D" w:themeColor="text1" w:themeTint="F2"/>
                <w:spacing w:val="-2"/>
                <w:lang w:val="en-GB"/>
              </w:rPr>
              <w:t xml:space="preserve"> of employment markedly strengthened (thanks to the EU funds), they were by more than one half higher for</w:t>
            </w:r>
            <w:r w:rsidR="001305C4" w:rsidRPr="00532E6C">
              <w:rPr>
                <w:rFonts w:cs="Arial"/>
                <w:color w:val="0D0D0D" w:themeColor="text1" w:themeTint="F2"/>
                <w:spacing w:val="-2"/>
                <w:lang w:val="en-GB"/>
              </w:rPr>
              <w:t xml:space="preserve"> Q1 </w:t>
            </w:r>
            <w:r w:rsidR="00C60444" w:rsidRPr="00532E6C">
              <w:rPr>
                <w:spacing w:val="-2"/>
                <w:lang w:val="en-GB"/>
              </w:rPr>
              <w:t>to</w:t>
            </w:r>
            <w:r w:rsidRPr="00532E6C">
              <w:rPr>
                <w:rFonts w:cs="Arial"/>
                <w:color w:val="0D0D0D" w:themeColor="text1" w:themeTint="F2"/>
                <w:spacing w:val="-2"/>
                <w:lang w:val="en-GB"/>
              </w:rPr>
              <w:t xml:space="preserve"> Q3 2015 </w:t>
            </w:r>
            <w:r w:rsidR="00AD209E" w:rsidRPr="00532E6C">
              <w:rPr>
                <w:rFonts w:cs="Arial"/>
                <w:color w:val="0D0D0D" w:themeColor="text1" w:themeTint="F2"/>
                <w:spacing w:val="-2"/>
                <w:lang w:val="en-GB"/>
              </w:rPr>
              <w:t xml:space="preserve">year-on year </w:t>
            </w:r>
            <w:r w:rsidRPr="00532E6C">
              <w:rPr>
                <w:rFonts w:cs="Arial"/>
                <w:color w:val="0D0D0D" w:themeColor="text1" w:themeTint="F2"/>
                <w:spacing w:val="-2"/>
                <w:lang w:val="en-GB"/>
              </w:rPr>
              <w:t xml:space="preserve">and they even exceeded the resources on the </w:t>
            </w:r>
            <w:r w:rsidR="00E36208" w:rsidRPr="00532E6C">
              <w:rPr>
                <w:rFonts w:cs="Arial"/>
                <w:color w:val="0D0D0D" w:themeColor="text1" w:themeTint="F2"/>
                <w:spacing w:val="-2"/>
                <w:lang w:val="en-GB"/>
              </w:rPr>
              <w:t>pas</w:t>
            </w:r>
            <w:r w:rsidRPr="00532E6C">
              <w:rPr>
                <w:rFonts w:cs="Arial"/>
                <w:color w:val="0D0D0D" w:themeColor="text1" w:themeTint="F2"/>
                <w:spacing w:val="-2"/>
                <w:lang w:val="en-GB"/>
              </w:rPr>
              <w:t xml:space="preserve">sive </w:t>
            </w:r>
            <w:r w:rsidR="00E36208" w:rsidRPr="00532E6C">
              <w:rPr>
                <w:rFonts w:cs="Arial"/>
                <w:color w:val="0D0D0D" w:themeColor="text1" w:themeTint="F2"/>
                <w:spacing w:val="-2"/>
                <w:lang w:val="en-GB"/>
              </w:rPr>
              <w:t>e</w:t>
            </w:r>
            <w:r w:rsidRPr="00532E6C">
              <w:rPr>
                <w:rFonts w:cs="Arial"/>
                <w:color w:val="0D0D0D" w:themeColor="text1" w:themeTint="F2"/>
                <w:spacing w:val="-2"/>
                <w:lang w:val="en-GB"/>
              </w:rPr>
              <w:t>mployment policy after a long time.</w:t>
            </w:r>
            <w:r w:rsidR="00A644E1" w:rsidRPr="00532E6C">
              <w:rPr>
                <w:rFonts w:cs="Arial"/>
                <w:color w:val="0D0D0D" w:themeColor="text1" w:themeTint="F2"/>
                <w:spacing w:val="-2"/>
                <w:lang w:val="en-GB"/>
              </w:rPr>
              <w:t xml:space="preserve"> </w:t>
            </w:r>
          </w:p>
          <w:p w:rsidR="00A644E1" w:rsidRPr="00532E6C" w:rsidRDefault="00A644E1" w:rsidP="00611531">
            <w:pPr>
              <w:pStyle w:val="Textpoznpodarou"/>
              <w:jc w:val="both"/>
              <w:rPr>
                <w:rFonts w:cs="Arial"/>
                <w:color w:val="0D0D0D" w:themeColor="text1" w:themeTint="F2"/>
                <w:spacing w:val="-2"/>
                <w:sz w:val="14"/>
                <w:szCs w:val="14"/>
              </w:rPr>
            </w:pPr>
          </w:p>
        </w:tc>
      </w:tr>
      <w:tr w:rsidR="00A644E1" w:rsidTr="00E90A4B">
        <w:trPr>
          <w:gridAfter w:val="1"/>
          <w:wAfter w:w="62" w:type="pct"/>
        </w:trPr>
        <w:tc>
          <w:tcPr>
            <w:tcW w:w="1041" w:type="pct"/>
            <w:gridSpan w:val="2"/>
          </w:tcPr>
          <w:p w:rsidR="00972492" w:rsidRPr="00C80BF1" w:rsidRDefault="00972492" w:rsidP="00C80BF1">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 xml:space="preserve">Expenditure on wages and other payments for work fastened to </w:t>
            </w:r>
            <w:r w:rsidR="00A644E1" w:rsidRPr="00C80BF1">
              <w:rPr>
                <w:rFonts w:cs="Arial"/>
                <w:bCs/>
                <w:iCs/>
                <w:color w:val="0D0D0D" w:themeColor="text1" w:themeTint="F2"/>
                <w:spacing w:val="-2"/>
                <w:sz w:val="16"/>
                <w:szCs w:val="16"/>
                <w:lang w:val="en-GB"/>
              </w:rPr>
              <w:t>7</w:t>
            </w:r>
            <w:r w:rsidRPr="00C80BF1">
              <w:rPr>
                <w:rFonts w:cs="Arial"/>
                <w:bCs/>
                <w:iCs/>
                <w:color w:val="0D0D0D" w:themeColor="text1" w:themeTint="F2"/>
                <w:spacing w:val="-2"/>
                <w:sz w:val="16"/>
                <w:szCs w:val="16"/>
                <w:lang w:val="en-GB"/>
              </w:rPr>
              <w:t>.</w:t>
            </w:r>
            <w:r w:rsidR="00404AC3" w:rsidRPr="00C80BF1">
              <w:rPr>
                <w:rFonts w:cs="Arial"/>
                <w:bCs/>
                <w:iCs/>
                <w:color w:val="0D0D0D" w:themeColor="text1" w:themeTint="F2"/>
                <w:spacing w:val="-2"/>
                <w:sz w:val="16"/>
                <w:szCs w:val="16"/>
                <w:lang w:val="en-GB"/>
              </w:rPr>
              <w:t>8</w:t>
            </w:r>
            <w:r w:rsidR="00A644E1" w:rsidRPr="00C80BF1">
              <w:rPr>
                <w:rFonts w:cs="Arial"/>
                <w:bCs/>
                <w:iCs/>
                <w:color w:val="0D0D0D" w:themeColor="text1" w:themeTint="F2"/>
                <w:spacing w:val="-2"/>
                <w:sz w:val="16"/>
                <w:szCs w:val="16"/>
                <w:lang w:val="en-GB"/>
              </w:rPr>
              <w:t xml:space="preserve">%, </w:t>
            </w:r>
            <w:r w:rsidR="00404AC3" w:rsidRPr="00C80BF1">
              <w:rPr>
                <w:rFonts w:cs="Arial"/>
                <w:bCs/>
                <w:iCs/>
                <w:color w:val="0D0D0D" w:themeColor="text1" w:themeTint="F2"/>
                <w:spacing w:val="-2"/>
                <w:sz w:val="16"/>
                <w:szCs w:val="16"/>
                <w:lang w:val="en-GB"/>
              </w:rPr>
              <w:t>they were however only by 4</w:t>
            </w:r>
            <w:r w:rsidRPr="00C80BF1">
              <w:rPr>
                <w:rFonts w:cs="Arial"/>
                <w:bCs/>
                <w:iCs/>
                <w:color w:val="0D0D0D" w:themeColor="text1" w:themeTint="F2"/>
                <w:spacing w:val="-2"/>
                <w:sz w:val="16"/>
                <w:szCs w:val="16"/>
                <w:lang w:val="en-GB"/>
              </w:rPr>
              <w:t>% higher against the year 2009</w:t>
            </w:r>
          </w:p>
          <w:p w:rsidR="00A644E1" w:rsidRPr="00972492" w:rsidRDefault="00972492" w:rsidP="00972492">
            <w:pPr>
              <w:spacing w:line="240" w:lineRule="auto"/>
              <w:rPr>
                <w:rFonts w:cs="Arial"/>
                <w:bCs/>
                <w:iCs/>
                <w:color w:val="0D0D0D" w:themeColor="text1" w:themeTint="F2"/>
                <w:szCs w:val="20"/>
                <w:lang w:val="en-GB"/>
              </w:rPr>
            </w:pPr>
            <w:r w:rsidRPr="00972492">
              <w:rPr>
                <w:rFonts w:cs="Arial"/>
                <w:bCs/>
                <w:iCs/>
                <w:color w:val="000000" w:themeColor="text1"/>
                <w:spacing w:val="-4"/>
                <w:sz w:val="16"/>
                <w:szCs w:val="16"/>
                <w:lang w:val="en-GB"/>
              </w:rPr>
              <w:t xml:space="preserve"> </w:t>
            </w:r>
            <w:r w:rsidR="00A644E1" w:rsidRPr="00972492">
              <w:rPr>
                <w:rFonts w:cs="Arial"/>
                <w:bCs/>
                <w:iCs/>
                <w:color w:val="0D0D0D" w:themeColor="text1" w:themeTint="F2"/>
                <w:szCs w:val="20"/>
                <w:lang w:val="en-GB"/>
              </w:rPr>
              <w:t xml:space="preserve"> </w:t>
            </w:r>
          </w:p>
        </w:tc>
        <w:tc>
          <w:tcPr>
            <w:tcW w:w="140" w:type="pct"/>
          </w:tcPr>
          <w:p w:rsidR="00A644E1" w:rsidRPr="00972492" w:rsidRDefault="00A644E1" w:rsidP="00611531">
            <w:pPr>
              <w:pStyle w:val="Textpoznpodarou"/>
              <w:jc w:val="both"/>
              <w:rPr>
                <w:color w:val="0D0D0D" w:themeColor="text1" w:themeTint="F2"/>
                <w:lang w:val="en-GB"/>
              </w:rPr>
            </w:pPr>
          </w:p>
        </w:tc>
        <w:tc>
          <w:tcPr>
            <w:tcW w:w="3757" w:type="pct"/>
            <w:gridSpan w:val="3"/>
          </w:tcPr>
          <w:p w:rsidR="00A644E1" w:rsidRPr="00972492" w:rsidRDefault="00972492" w:rsidP="00972492">
            <w:pPr>
              <w:pStyle w:val="Textpoznpodarou"/>
              <w:jc w:val="both"/>
              <w:rPr>
                <w:rFonts w:cs="Arial"/>
                <w:color w:val="0D0D0D" w:themeColor="text1" w:themeTint="F2"/>
                <w:lang w:val="en-GB"/>
              </w:rPr>
            </w:pPr>
            <w:r w:rsidRPr="00972492">
              <w:rPr>
                <w:rFonts w:cs="Arial"/>
                <w:color w:val="0D0D0D" w:themeColor="text1" w:themeTint="F2"/>
                <w:lang w:val="en-GB"/>
              </w:rPr>
              <w:t>T</w:t>
            </w:r>
            <w:r w:rsidRPr="00972492">
              <w:rPr>
                <w:lang w:val="en-GB"/>
              </w:rPr>
              <w:t xml:space="preserve">he retreat from the former restrictive measures stood also behind the rise of the current SB expenditures. This was also reflected in the higher non-investment transfers to regional budgets (e.g. on teachers' wages or contribution to state </w:t>
            </w:r>
            <w:r w:rsidR="006A0951">
              <w:rPr>
                <w:lang w:val="en-GB"/>
              </w:rPr>
              <w:t>administration</w:t>
            </w:r>
            <w:r w:rsidR="00B04119">
              <w:rPr>
                <w:lang w:val="en-GB"/>
              </w:rPr>
              <w:t xml:space="preserve"> </w:t>
            </w:r>
            <w:r w:rsidRPr="00972492">
              <w:rPr>
                <w:lang w:val="en-GB"/>
              </w:rPr>
              <w:t>in municipalities)</w:t>
            </w:r>
            <w:r w:rsidR="006A0951">
              <w:rPr>
                <w:lang w:val="en-GB"/>
              </w:rPr>
              <w:t xml:space="preserve"> as well as </w:t>
            </w:r>
            <w:r w:rsidRPr="00972492">
              <w:rPr>
                <w:lang w:val="en-GB"/>
              </w:rPr>
              <w:t xml:space="preserve">in the growth of expenditure on wages of state employees (by </w:t>
            </w:r>
            <w:r w:rsidR="00A644E1" w:rsidRPr="00972492">
              <w:rPr>
                <w:rFonts w:cs="Arial"/>
                <w:color w:val="0D0D0D" w:themeColor="text1" w:themeTint="F2"/>
                <w:lang w:val="en-GB"/>
              </w:rPr>
              <w:t>7</w:t>
            </w:r>
            <w:r w:rsidRPr="00972492">
              <w:rPr>
                <w:rFonts w:cs="Arial"/>
                <w:color w:val="0D0D0D" w:themeColor="text1" w:themeTint="F2"/>
                <w:lang w:val="en-GB"/>
              </w:rPr>
              <w:t>.</w:t>
            </w:r>
            <w:r w:rsidR="00404AC3">
              <w:rPr>
                <w:rFonts w:cs="Arial"/>
                <w:color w:val="0D0D0D" w:themeColor="text1" w:themeTint="F2"/>
                <w:lang w:val="en-GB"/>
              </w:rPr>
              <w:t>8</w:t>
            </w:r>
            <w:r w:rsidR="00A644E1" w:rsidRPr="00972492">
              <w:rPr>
                <w:rFonts w:cs="Arial"/>
                <w:color w:val="0D0D0D" w:themeColor="text1" w:themeTint="F2"/>
                <w:lang w:val="en-GB"/>
              </w:rPr>
              <w:t xml:space="preserve">%, </w:t>
            </w:r>
            <w:r w:rsidRPr="00972492">
              <w:rPr>
                <w:rFonts w:cs="Arial"/>
                <w:color w:val="0D0D0D" w:themeColor="text1" w:themeTint="F2"/>
                <w:lang w:val="en-GB"/>
              </w:rPr>
              <w:t>partially also due to the preparation for the new</w:t>
            </w:r>
            <w:r w:rsidR="007F4476">
              <w:rPr>
                <w:rFonts w:cs="Arial"/>
                <w:color w:val="0D0D0D" w:themeColor="text1" w:themeTint="F2"/>
                <w:lang w:val="en-GB"/>
              </w:rPr>
              <w:t xml:space="preserve"> Public Servants Act, </w:t>
            </w:r>
            <w:r w:rsidRPr="00972492">
              <w:rPr>
                <w:rFonts w:cs="Arial"/>
                <w:color w:val="0D0D0D" w:themeColor="text1" w:themeTint="F2"/>
                <w:lang w:val="en-GB"/>
              </w:rPr>
              <w:t xml:space="preserve">but also due to higher wages in defence or </w:t>
            </w:r>
            <w:r>
              <w:rPr>
                <w:rFonts w:cs="Arial"/>
                <w:color w:val="0D0D0D" w:themeColor="text1" w:themeTint="F2"/>
                <w:lang w:val="en-GB"/>
              </w:rPr>
              <w:t>the judiciary)</w:t>
            </w:r>
            <w:r w:rsidRPr="00972492">
              <w:rPr>
                <w:rFonts w:cs="Arial"/>
                <w:color w:val="0D0D0D" w:themeColor="text1" w:themeTint="F2"/>
                <w:lang w:val="en-GB"/>
              </w:rPr>
              <w:t>. Expenditure o</w:t>
            </w:r>
            <w:r>
              <w:rPr>
                <w:rFonts w:cs="Arial"/>
                <w:color w:val="0D0D0D" w:themeColor="text1" w:themeTint="F2"/>
                <w:lang w:val="en-GB"/>
              </w:rPr>
              <w:t>n</w:t>
            </w:r>
            <w:r w:rsidRPr="00972492">
              <w:rPr>
                <w:rFonts w:cs="Arial"/>
                <w:color w:val="0D0D0D" w:themeColor="text1" w:themeTint="F2"/>
                <w:lang w:val="en-GB"/>
              </w:rPr>
              <w:t xml:space="preserve"> non-investment purchases was also higher year-on-year.  </w:t>
            </w:r>
          </w:p>
          <w:p w:rsidR="00972492" w:rsidRPr="00972492" w:rsidRDefault="00972492" w:rsidP="00972492">
            <w:pPr>
              <w:pStyle w:val="Textpoznpodarou"/>
              <w:jc w:val="both"/>
              <w:rPr>
                <w:rFonts w:cs="Arial"/>
                <w:color w:val="0D0D0D" w:themeColor="text1" w:themeTint="F2"/>
                <w:spacing w:val="-2"/>
                <w:sz w:val="14"/>
                <w:szCs w:val="14"/>
                <w:lang w:val="en-GB"/>
              </w:rPr>
            </w:pPr>
          </w:p>
        </w:tc>
      </w:tr>
      <w:tr w:rsidR="00A644E1" w:rsidTr="00E90A4B">
        <w:trPr>
          <w:gridAfter w:val="1"/>
          <w:wAfter w:w="62" w:type="pct"/>
        </w:trPr>
        <w:tc>
          <w:tcPr>
            <w:tcW w:w="1041" w:type="pct"/>
            <w:gridSpan w:val="2"/>
          </w:tcPr>
          <w:p w:rsidR="00A644E1" w:rsidRPr="001F5C50" w:rsidRDefault="001F5C50" w:rsidP="000D6206">
            <w:pPr>
              <w:spacing w:line="240" w:lineRule="auto"/>
              <w:rPr>
                <w:rFonts w:cs="Arial"/>
                <w:bCs/>
                <w:iCs/>
                <w:color w:val="000000" w:themeColor="text1"/>
                <w:szCs w:val="20"/>
                <w:lang w:val="en-GB"/>
              </w:rPr>
            </w:pPr>
            <w:r w:rsidRPr="001F5C50">
              <w:rPr>
                <w:rFonts w:cs="Arial"/>
                <w:bCs/>
                <w:iCs/>
                <w:color w:val="000000" w:themeColor="text1"/>
                <w:sz w:val="16"/>
                <w:szCs w:val="16"/>
                <w:lang w:val="en-GB"/>
              </w:rPr>
              <w:t>Expenditure on state debt were declining already second year in a row</w:t>
            </w:r>
            <w:r w:rsidR="000D6206">
              <w:rPr>
                <w:rFonts w:cs="Arial"/>
                <w:bCs/>
                <w:iCs/>
                <w:color w:val="000000" w:themeColor="text1"/>
                <w:sz w:val="16"/>
                <w:szCs w:val="16"/>
                <w:lang w:val="en-GB"/>
              </w:rPr>
              <w:t>,</w:t>
            </w:r>
            <w:r w:rsidRPr="001F5C50">
              <w:rPr>
                <w:rFonts w:cs="Arial"/>
                <w:bCs/>
                <w:iCs/>
                <w:color w:val="000000" w:themeColor="text1"/>
                <w:sz w:val="16"/>
                <w:szCs w:val="16"/>
                <w:lang w:val="en-GB"/>
              </w:rPr>
              <w:t xml:space="preserve"> in accumulation by </w:t>
            </w:r>
            <w:r w:rsidR="00404AC3">
              <w:rPr>
                <w:rFonts w:cs="Arial"/>
                <w:bCs/>
                <w:iCs/>
                <w:color w:val="000000" w:themeColor="text1"/>
                <w:sz w:val="16"/>
                <w:szCs w:val="16"/>
                <w:lang w:val="en-GB"/>
              </w:rPr>
              <w:t>8</w:t>
            </w:r>
            <w:r w:rsidR="00A644E1" w:rsidRPr="001F5C50">
              <w:rPr>
                <w:rFonts w:cs="Arial"/>
                <w:bCs/>
                <w:iCs/>
                <w:color w:val="000000" w:themeColor="text1"/>
                <w:sz w:val="16"/>
                <w:szCs w:val="16"/>
                <w:lang w:val="en-GB"/>
              </w:rPr>
              <w:t>%</w:t>
            </w:r>
          </w:p>
        </w:tc>
        <w:tc>
          <w:tcPr>
            <w:tcW w:w="140" w:type="pct"/>
          </w:tcPr>
          <w:p w:rsidR="00A644E1" w:rsidRPr="001F5C50" w:rsidRDefault="00A644E1" w:rsidP="00611531">
            <w:pPr>
              <w:pStyle w:val="Textpoznpodarou"/>
              <w:jc w:val="both"/>
              <w:rPr>
                <w:color w:val="0D0D0D" w:themeColor="text1" w:themeTint="F2"/>
                <w:lang w:val="en-GB"/>
              </w:rPr>
            </w:pPr>
          </w:p>
        </w:tc>
        <w:tc>
          <w:tcPr>
            <w:tcW w:w="3757" w:type="pct"/>
            <w:gridSpan w:val="3"/>
          </w:tcPr>
          <w:p w:rsidR="00A644E1" w:rsidRPr="00532E6C" w:rsidRDefault="001F5C50" w:rsidP="001F5C50">
            <w:pPr>
              <w:pStyle w:val="Textpoznpodarou"/>
              <w:jc w:val="both"/>
              <w:rPr>
                <w:rFonts w:cs="Arial"/>
                <w:color w:val="0D0D0D" w:themeColor="text1" w:themeTint="F2"/>
                <w:spacing w:val="-2"/>
                <w:lang w:val="en-GB"/>
              </w:rPr>
            </w:pPr>
            <w:r w:rsidRPr="00532E6C">
              <w:rPr>
                <w:rFonts w:cs="Arial"/>
                <w:color w:val="0D0D0D" w:themeColor="text1" w:themeTint="F2"/>
                <w:spacing w:val="-2"/>
                <w:lang w:val="en-GB"/>
              </w:rPr>
              <w:t>T</w:t>
            </w:r>
            <w:r w:rsidRPr="00532E6C">
              <w:rPr>
                <w:spacing w:val="-2"/>
                <w:lang w:val="en-GB"/>
              </w:rPr>
              <w:t>he SB saved on the payments to the EU budget as well as the expenditure on state debt</w:t>
            </w:r>
            <w:r w:rsidRPr="00532E6C">
              <w:rPr>
                <w:rFonts w:cs="Arial"/>
                <w:color w:val="0D0D0D" w:themeColor="text1" w:themeTint="F2"/>
                <w:spacing w:val="-2"/>
                <w:lang w:val="en-GB"/>
              </w:rPr>
              <w:t xml:space="preserve"> </w:t>
            </w:r>
            <w:r w:rsidR="00A644E1" w:rsidRPr="00532E6C">
              <w:rPr>
                <w:rFonts w:cs="Arial"/>
                <w:color w:val="000000" w:themeColor="text1"/>
                <w:spacing w:val="-2"/>
                <w:lang w:val="en-GB"/>
              </w:rPr>
              <w:t>(-2</w:t>
            </w:r>
            <w:r w:rsidRPr="00532E6C">
              <w:rPr>
                <w:rFonts w:cs="Arial"/>
                <w:color w:val="000000" w:themeColor="text1"/>
                <w:spacing w:val="-2"/>
                <w:lang w:val="en-GB"/>
              </w:rPr>
              <w:t>.</w:t>
            </w:r>
            <w:r w:rsidR="00A644E1" w:rsidRPr="00532E6C">
              <w:rPr>
                <w:rFonts w:cs="Arial"/>
                <w:color w:val="000000" w:themeColor="text1"/>
                <w:spacing w:val="-2"/>
                <w:lang w:val="en-GB"/>
              </w:rPr>
              <w:t xml:space="preserve">7 </w:t>
            </w:r>
            <w:r w:rsidR="00006468" w:rsidRPr="00532E6C">
              <w:rPr>
                <w:rFonts w:cs="Arial"/>
                <w:color w:val="000000" w:themeColor="text1"/>
                <w:spacing w:val="-2"/>
                <w:lang w:val="en-GB"/>
              </w:rPr>
              <w:t xml:space="preserve">CZK </w:t>
            </w:r>
            <w:r w:rsidRPr="00532E6C">
              <w:rPr>
                <w:rFonts w:cs="Arial"/>
                <w:color w:val="000000" w:themeColor="text1"/>
                <w:spacing w:val="-2"/>
                <w:lang w:val="en-GB"/>
              </w:rPr>
              <w:t>bn) similarly to the last year. The state managed to sell its medium term bonds on the primary market with negative interest rates by the end of summer for the first time in history.</w:t>
            </w:r>
            <w:r w:rsidR="00A644E1" w:rsidRPr="00532E6C">
              <w:rPr>
                <w:rFonts w:cs="Arial"/>
                <w:color w:val="0D0D0D" w:themeColor="text1" w:themeTint="F2"/>
                <w:spacing w:val="-2"/>
                <w:lang w:val="en-GB"/>
              </w:rPr>
              <w:t xml:space="preserve"> </w:t>
            </w:r>
          </w:p>
          <w:p w:rsidR="00A644E1" w:rsidRPr="00532E6C" w:rsidRDefault="00A644E1" w:rsidP="00611531">
            <w:pPr>
              <w:pStyle w:val="Textpoznpodarou"/>
              <w:jc w:val="both"/>
              <w:rPr>
                <w:rFonts w:cs="Arial"/>
                <w:color w:val="0D0D0D" w:themeColor="text1" w:themeTint="F2"/>
                <w:spacing w:val="-2"/>
                <w:sz w:val="14"/>
                <w:szCs w:val="14"/>
                <w:lang w:val="en-GB"/>
              </w:rPr>
            </w:pPr>
          </w:p>
        </w:tc>
      </w:tr>
      <w:tr w:rsidR="00A644E1" w:rsidTr="00E90A4B">
        <w:trPr>
          <w:gridAfter w:val="1"/>
          <w:wAfter w:w="62" w:type="pct"/>
        </w:trPr>
        <w:tc>
          <w:tcPr>
            <w:tcW w:w="1041" w:type="pct"/>
            <w:gridSpan w:val="2"/>
          </w:tcPr>
          <w:p w:rsidR="00A644E1" w:rsidRPr="00C80BF1" w:rsidRDefault="001F5C50" w:rsidP="00C80BF1">
            <w:pPr>
              <w:spacing w:line="240" w:lineRule="auto"/>
              <w:rPr>
                <w:rFonts w:cs="Arial"/>
                <w:bCs/>
                <w:iCs/>
                <w:color w:val="0D0D0D" w:themeColor="text1" w:themeTint="F2"/>
                <w:spacing w:val="-2"/>
                <w:sz w:val="16"/>
                <w:szCs w:val="16"/>
                <w:lang w:val="en-GB"/>
              </w:rPr>
            </w:pPr>
            <w:r w:rsidRPr="00C80BF1">
              <w:rPr>
                <w:rFonts w:cs="Arial"/>
                <w:bCs/>
                <w:iCs/>
                <w:color w:val="0D0D0D" w:themeColor="text1" w:themeTint="F2"/>
                <w:spacing w:val="-2"/>
                <w:sz w:val="16"/>
                <w:szCs w:val="16"/>
                <w:lang w:val="en-GB"/>
              </w:rPr>
              <w:t xml:space="preserve">Size of the state debt was stabilised in the last nine quarters </w:t>
            </w:r>
          </w:p>
          <w:p w:rsidR="00A644E1" w:rsidRPr="00C80BF1" w:rsidRDefault="00A644E1" w:rsidP="00C80BF1">
            <w:pPr>
              <w:spacing w:line="240" w:lineRule="auto"/>
              <w:rPr>
                <w:rFonts w:cs="Arial"/>
                <w:bCs/>
                <w:iCs/>
                <w:color w:val="0D0D0D" w:themeColor="text1" w:themeTint="F2"/>
                <w:spacing w:val="-2"/>
                <w:sz w:val="16"/>
                <w:szCs w:val="16"/>
                <w:lang w:val="en-GB"/>
              </w:rPr>
            </w:pPr>
          </w:p>
        </w:tc>
        <w:tc>
          <w:tcPr>
            <w:tcW w:w="140" w:type="pct"/>
          </w:tcPr>
          <w:p w:rsidR="00A644E1" w:rsidRPr="001F5C50" w:rsidRDefault="00A644E1" w:rsidP="00611531">
            <w:pPr>
              <w:pStyle w:val="Textpoznpodarou"/>
              <w:jc w:val="both"/>
              <w:rPr>
                <w:color w:val="0D0D0D" w:themeColor="text1" w:themeTint="F2"/>
                <w:lang w:val="en-GB"/>
              </w:rPr>
            </w:pPr>
          </w:p>
        </w:tc>
        <w:tc>
          <w:tcPr>
            <w:tcW w:w="3757" w:type="pct"/>
            <w:gridSpan w:val="3"/>
          </w:tcPr>
          <w:p w:rsidR="00E90A4B" w:rsidRPr="00532E6C" w:rsidRDefault="001F5C50" w:rsidP="001F5C50">
            <w:pPr>
              <w:pStyle w:val="Textpoznpodarou"/>
              <w:jc w:val="both"/>
              <w:rPr>
                <w:rFonts w:cs="Arial"/>
                <w:color w:val="000000" w:themeColor="text1"/>
                <w:spacing w:val="-4"/>
                <w:lang w:val="en-GB"/>
              </w:rPr>
            </w:pPr>
            <w:r w:rsidRPr="00532E6C">
              <w:rPr>
                <w:rFonts w:cs="Arial"/>
                <w:color w:val="000000" w:themeColor="text1"/>
                <w:spacing w:val="-4"/>
                <w:lang w:val="en-GB"/>
              </w:rPr>
              <w:t xml:space="preserve">The stabilisation of the state debt continued. Its size reached even </w:t>
            </w:r>
            <w:r w:rsidR="00A644E1" w:rsidRPr="00532E6C">
              <w:rPr>
                <w:rFonts w:cs="Arial"/>
                <w:color w:val="000000" w:themeColor="text1"/>
                <w:spacing w:val="-4"/>
                <w:lang w:val="en-GB"/>
              </w:rPr>
              <w:t xml:space="preserve">1 673 </w:t>
            </w:r>
            <w:r w:rsidR="00006468" w:rsidRPr="00532E6C">
              <w:rPr>
                <w:rFonts w:cs="Arial"/>
                <w:color w:val="000000" w:themeColor="text1"/>
                <w:spacing w:val="-4"/>
                <w:lang w:val="en-GB"/>
              </w:rPr>
              <w:t xml:space="preserve">CZK </w:t>
            </w:r>
            <w:r w:rsidRPr="00532E6C">
              <w:rPr>
                <w:spacing w:val="-4"/>
                <w:lang w:val="en-GB"/>
              </w:rPr>
              <w:t>bn</w:t>
            </w:r>
            <w:r w:rsidR="00006468" w:rsidRPr="00532E6C">
              <w:rPr>
                <w:spacing w:val="-4"/>
                <w:lang w:val="en-GB"/>
              </w:rPr>
              <w:t xml:space="preserve"> </w:t>
            </w:r>
            <w:r w:rsidRPr="00532E6C">
              <w:rPr>
                <w:spacing w:val="-4"/>
                <w:lang w:val="en-GB"/>
              </w:rPr>
              <w:t>according to th</w:t>
            </w:r>
            <w:r w:rsidR="00665215" w:rsidRPr="00532E6C">
              <w:rPr>
                <w:spacing w:val="-4"/>
                <w:lang w:val="en-GB"/>
              </w:rPr>
              <w:t>e MF</w:t>
            </w:r>
            <w:r w:rsidRPr="00532E6C">
              <w:rPr>
                <w:spacing w:val="-4"/>
                <w:lang w:val="en-GB"/>
              </w:rPr>
              <w:t xml:space="preserve"> at the end of the year 2015 and increased by </w:t>
            </w:r>
            <w:r w:rsidR="00A644E1" w:rsidRPr="00532E6C">
              <w:rPr>
                <w:rFonts w:cs="Arial"/>
                <w:color w:val="000000" w:themeColor="text1"/>
                <w:spacing w:val="-4"/>
                <w:lang w:val="en-GB"/>
              </w:rPr>
              <w:t>0</w:t>
            </w:r>
            <w:r w:rsidRPr="00532E6C">
              <w:rPr>
                <w:rFonts w:cs="Arial"/>
                <w:color w:val="000000" w:themeColor="text1"/>
                <w:spacing w:val="-4"/>
                <w:lang w:val="en-GB"/>
              </w:rPr>
              <w:t>.</w:t>
            </w:r>
            <w:r w:rsidR="00404AC3" w:rsidRPr="00532E6C">
              <w:rPr>
                <w:rFonts w:cs="Arial"/>
                <w:color w:val="000000" w:themeColor="text1"/>
                <w:spacing w:val="-4"/>
                <w:lang w:val="en-GB"/>
              </w:rPr>
              <w:t>6</w:t>
            </w:r>
            <w:r w:rsidR="00A644E1" w:rsidRPr="00532E6C">
              <w:rPr>
                <w:rFonts w:cs="Arial"/>
                <w:color w:val="000000" w:themeColor="text1"/>
                <w:spacing w:val="-4"/>
                <w:lang w:val="en-GB"/>
              </w:rPr>
              <w:t>%</w:t>
            </w:r>
            <w:r w:rsidRPr="00532E6C">
              <w:rPr>
                <w:rFonts w:cs="Arial"/>
                <w:color w:val="000000" w:themeColor="text1"/>
                <w:spacing w:val="-4"/>
                <w:lang w:val="en-GB"/>
              </w:rPr>
              <w:t xml:space="preserve"> </w:t>
            </w:r>
            <w:r w:rsidRPr="00532E6C">
              <w:rPr>
                <w:spacing w:val="-4"/>
                <w:lang w:val="en-GB"/>
              </w:rPr>
              <w:t xml:space="preserve">year-on-year (after fall in the preceding year by </w:t>
            </w:r>
            <w:r w:rsidR="00A644E1" w:rsidRPr="00532E6C">
              <w:rPr>
                <w:rFonts w:cs="Arial"/>
                <w:color w:val="000000" w:themeColor="text1"/>
                <w:spacing w:val="-4"/>
                <w:lang w:val="en-GB"/>
              </w:rPr>
              <w:t>1</w:t>
            </w:r>
            <w:r w:rsidRPr="00532E6C">
              <w:rPr>
                <w:rFonts w:cs="Arial"/>
                <w:color w:val="000000" w:themeColor="text1"/>
                <w:spacing w:val="-4"/>
                <w:lang w:val="en-GB"/>
              </w:rPr>
              <w:t>.</w:t>
            </w:r>
            <w:r w:rsidR="00B21913" w:rsidRPr="00532E6C">
              <w:rPr>
                <w:rFonts w:cs="Arial"/>
                <w:color w:val="000000" w:themeColor="text1"/>
                <w:spacing w:val="-4"/>
                <w:lang w:val="en-GB"/>
              </w:rPr>
              <w:t>2</w:t>
            </w:r>
            <w:r w:rsidR="00A644E1" w:rsidRPr="00532E6C">
              <w:rPr>
                <w:rFonts w:cs="Arial"/>
                <w:color w:val="000000" w:themeColor="text1"/>
                <w:spacing w:val="-4"/>
                <w:lang w:val="en-GB"/>
              </w:rPr>
              <w:t xml:space="preserve">%). </w:t>
            </w:r>
            <w:r w:rsidRPr="00532E6C">
              <w:rPr>
                <w:spacing w:val="-4"/>
                <w:lang w:val="en-GB"/>
              </w:rPr>
              <w:t xml:space="preserve">It happened due to the development in Q4 itself, when the total debt rose by </w:t>
            </w:r>
            <w:r w:rsidR="00A644E1" w:rsidRPr="00532E6C">
              <w:rPr>
                <w:rFonts w:cs="Arial"/>
                <w:color w:val="000000" w:themeColor="text1"/>
                <w:spacing w:val="-4"/>
                <w:lang w:val="en-GB"/>
              </w:rPr>
              <w:t>10</w:t>
            </w:r>
            <w:r w:rsidR="00014D35" w:rsidRPr="00532E6C">
              <w:rPr>
                <w:rFonts w:cs="Arial"/>
                <w:color w:val="000000" w:themeColor="text1"/>
                <w:spacing w:val="-4"/>
                <w:lang w:val="en-GB"/>
              </w:rPr>
              <w:t xml:space="preserve"> </w:t>
            </w:r>
            <w:r w:rsidR="00006468" w:rsidRPr="00532E6C">
              <w:rPr>
                <w:rFonts w:cs="Arial"/>
                <w:color w:val="000000" w:themeColor="text1"/>
                <w:spacing w:val="-4"/>
                <w:lang w:val="en-GB"/>
              </w:rPr>
              <w:t xml:space="preserve">CZK </w:t>
            </w:r>
            <w:r w:rsidR="00014D35" w:rsidRPr="00532E6C">
              <w:rPr>
                <w:rFonts w:cs="Arial"/>
                <w:color w:val="000000" w:themeColor="text1"/>
                <w:spacing w:val="-4"/>
                <w:lang w:val="en-GB"/>
              </w:rPr>
              <w:t>bn.</w:t>
            </w:r>
            <w:r w:rsidR="00A644E1" w:rsidRPr="00532E6C">
              <w:rPr>
                <w:rFonts w:cs="Arial"/>
                <w:color w:val="000000" w:themeColor="text1"/>
                <w:spacing w:val="-4"/>
                <w:lang w:val="en-GB"/>
              </w:rPr>
              <w:t xml:space="preserve"> </w:t>
            </w:r>
            <w:r w:rsidRPr="00532E6C">
              <w:rPr>
                <w:spacing w:val="-4"/>
                <w:lang w:val="en-GB"/>
              </w:rPr>
              <w:t xml:space="preserve">State utilised the favourable situation on the financial markets, when it borrowed with a negative yield. The external debt share on the total indebtedness </w:t>
            </w:r>
            <w:r w:rsidR="00014D35" w:rsidRPr="00532E6C">
              <w:rPr>
                <w:spacing w:val="-4"/>
                <w:lang w:val="en-GB"/>
              </w:rPr>
              <w:t xml:space="preserve">was </w:t>
            </w:r>
            <w:r w:rsidR="00B21913" w:rsidRPr="00532E6C">
              <w:rPr>
                <w:spacing w:val="-4"/>
                <w:lang w:val="en-GB"/>
              </w:rPr>
              <w:t>17</w:t>
            </w:r>
            <w:r w:rsidR="00A644E1" w:rsidRPr="00532E6C">
              <w:rPr>
                <w:spacing w:val="-4"/>
                <w:lang w:val="en-GB"/>
              </w:rPr>
              <w:t>%</w:t>
            </w:r>
            <w:r w:rsidRPr="00532E6C">
              <w:rPr>
                <w:spacing w:val="-4"/>
                <w:lang w:val="en-GB"/>
              </w:rPr>
              <w:t xml:space="preserve"> at the end of 2015 (the least since the beginning of 2008). The volume of the Czech bonds kept by foreign investors increased by nearly one half during the year 2015 and amounted </w:t>
            </w:r>
            <w:r w:rsidR="00014D35" w:rsidRPr="00532E6C">
              <w:rPr>
                <w:spacing w:val="-4"/>
                <w:lang w:val="en-GB"/>
              </w:rPr>
              <w:t xml:space="preserve">to </w:t>
            </w:r>
            <w:r w:rsidR="00A644E1" w:rsidRPr="00532E6C">
              <w:rPr>
                <w:spacing w:val="-4"/>
                <w:lang w:val="en-GB"/>
              </w:rPr>
              <w:t xml:space="preserve">295 </w:t>
            </w:r>
            <w:r w:rsidR="00006468" w:rsidRPr="00532E6C">
              <w:rPr>
                <w:spacing w:val="-4"/>
                <w:lang w:val="en-GB"/>
              </w:rPr>
              <w:t xml:space="preserve">CZK </w:t>
            </w:r>
            <w:r w:rsidRPr="00532E6C">
              <w:rPr>
                <w:spacing w:val="-4"/>
                <w:lang w:val="en-GB"/>
              </w:rPr>
              <w:t>bn</w:t>
            </w:r>
            <w:r w:rsidR="00006468" w:rsidRPr="00532E6C">
              <w:rPr>
                <w:spacing w:val="-4"/>
                <w:lang w:val="en-GB"/>
              </w:rPr>
              <w:t xml:space="preserve"> </w:t>
            </w:r>
            <w:r w:rsidRPr="00532E6C">
              <w:rPr>
                <w:spacing w:val="-4"/>
                <w:lang w:val="en-GB"/>
              </w:rPr>
              <w:t xml:space="preserve">at the end of Q4. </w:t>
            </w:r>
          </w:p>
          <w:p w:rsidR="00A644E1" w:rsidRPr="00532E6C" w:rsidRDefault="00A644E1" w:rsidP="00611531">
            <w:pPr>
              <w:pStyle w:val="Textpoznpodarou"/>
              <w:jc w:val="both"/>
              <w:rPr>
                <w:rFonts w:cs="Arial"/>
                <w:color w:val="0D0D0D" w:themeColor="text1" w:themeTint="F2"/>
                <w:spacing w:val="-2"/>
                <w:sz w:val="14"/>
                <w:szCs w:val="14"/>
                <w:lang w:val="en-GB"/>
              </w:rPr>
            </w:pPr>
          </w:p>
        </w:tc>
      </w:tr>
      <w:tr w:rsidR="00E90A4B" w:rsidTr="00E90A4B">
        <w:trPr>
          <w:gridAfter w:val="1"/>
          <w:wAfter w:w="62" w:type="pct"/>
        </w:trPr>
        <w:tc>
          <w:tcPr>
            <w:tcW w:w="1041" w:type="pct"/>
            <w:gridSpan w:val="2"/>
          </w:tcPr>
          <w:p w:rsidR="00E90A4B" w:rsidRPr="003C7E11" w:rsidRDefault="00E13FAA" w:rsidP="00C80BF1">
            <w:pPr>
              <w:spacing w:line="240" w:lineRule="auto"/>
              <w:rPr>
                <w:rFonts w:cs="Arial"/>
                <w:bCs/>
                <w:iCs/>
                <w:color w:val="000000" w:themeColor="text1"/>
                <w:sz w:val="16"/>
                <w:szCs w:val="16"/>
                <w:lang w:val="en-GB"/>
              </w:rPr>
            </w:pPr>
            <w:r w:rsidRPr="00C80BF1">
              <w:rPr>
                <w:rFonts w:cs="Arial"/>
                <w:bCs/>
                <w:iCs/>
                <w:color w:val="0D0D0D" w:themeColor="text1" w:themeTint="F2"/>
                <w:spacing w:val="-2"/>
                <w:sz w:val="16"/>
                <w:szCs w:val="16"/>
                <w:lang w:val="en-GB"/>
              </w:rPr>
              <w:t xml:space="preserve">Debt of the government institution sector relative to </w:t>
            </w:r>
            <w:r w:rsidRPr="00C80BF1">
              <w:rPr>
                <w:rFonts w:cs="Arial"/>
                <w:bCs/>
                <w:iCs/>
                <w:color w:val="0D0D0D" w:themeColor="text1" w:themeTint="F2"/>
                <w:spacing w:val="-2"/>
                <w:sz w:val="16"/>
                <w:szCs w:val="16"/>
                <w:lang w:val="en-GB"/>
              </w:rPr>
              <w:lastRenderedPageBreak/>
              <w:t>GDP lowered during the first three quarters of 2015, similarly to the majority of EU countries</w:t>
            </w:r>
          </w:p>
        </w:tc>
        <w:tc>
          <w:tcPr>
            <w:tcW w:w="140" w:type="pct"/>
          </w:tcPr>
          <w:p w:rsidR="00E90A4B" w:rsidRPr="003C7E11" w:rsidRDefault="00E90A4B" w:rsidP="00611531">
            <w:pPr>
              <w:pStyle w:val="Textpoznpodarou"/>
              <w:jc w:val="both"/>
              <w:rPr>
                <w:color w:val="0D0D0D" w:themeColor="text1" w:themeTint="F2"/>
                <w:lang w:val="en-GB"/>
              </w:rPr>
            </w:pPr>
          </w:p>
        </w:tc>
        <w:tc>
          <w:tcPr>
            <w:tcW w:w="3757" w:type="pct"/>
            <w:gridSpan w:val="3"/>
          </w:tcPr>
          <w:p w:rsidR="00E90A4B" w:rsidRDefault="00E13FAA" w:rsidP="00B7292D">
            <w:pPr>
              <w:pStyle w:val="Textpoznpodarou"/>
              <w:jc w:val="both"/>
              <w:rPr>
                <w:lang w:val="en-GB"/>
              </w:rPr>
            </w:pPr>
            <w:r w:rsidRPr="003C7E11">
              <w:rPr>
                <w:lang w:val="en-GB"/>
              </w:rPr>
              <w:t xml:space="preserve">The debt of the whole government institution sector (accounting for among other things also the budget of </w:t>
            </w:r>
            <w:r w:rsidR="00426E99">
              <w:rPr>
                <w:lang w:val="en-GB"/>
              </w:rPr>
              <w:t xml:space="preserve">regions </w:t>
            </w:r>
            <w:bookmarkStart w:id="1" w:name="_GoBack"/>
            <w:bookmarkEnd w:id="1"/>
            <w:r w:rsidRPr="003C7E11">
              <w:rPr>
                <w:lang w:val="en-GB"/>
              </w:rPr>
              <w:t>or social security funds) rea</w:t>
            </w:r>
            <w:r w:rsidR="00014D35">
              <w:rPr>
                <w:lang w:val="en-GB"/>
              </w:rPr>
              <w:t>ch</w:t>
            </w:r>
            <w:r w:rsidRPr="003C7E11">
              <w:rPr>
                <w:lang w:val="en-GB"/>
              </w:rPr>
              <w:t xml:space="preserve">ed according to the </w:t>
            </w:r>
            <w:r w:rsidRPr="003C7E11">
              <w:rPr>
                <w:lang w:val="en-GB"/>
              </w:rPr>
              <w:lastRenderedPageBreak/>
              <w:t xml:space="preserve">up-to-date data of the CZSO the size of 1831.3 </w:t>
            </w:r>
            <w:r w:rsidR="00665215">
              <w:rPr>
                <w:spacing w:val="-2"/>
                <w:lang w:val="en-GB"/>
              </w:rPr>
              <w:t xml:space="preserve">CZK </w:t>
            </w:r>
            <w:proofErr w:type="spellStart"/>
            <w:r w:rsidR="00665215" w:rsidRPr="001F5C50">
              <w:rPr>
                <w:spacing w:val="-2"/>
                <w:lang w:val="en-GB"/>
              </w:rPr>
              <w:t>bn</w:t>
            </w:r>
            <w:proofErr w:type="spellEnd"/>
            <w:r w:rsidR="00665215">
              <w:rPr>
                <w:spacing w:val="-2"/>
                <w:lang w:val="en-GB"/>
              </w:rPr>
              <w:t xml:space="preserve"> </w:t>
            </w:r>
            <w:r w:rsidRPr="003C7E11">
              <w:rPr>
                <w:lang w:val="en-GB"/>
              </w:rPr>
              <w:t>at the end of Q3 2015</w:t>
            </w:r>
            <w:r w:rsidR="003C7E11" w:rsidRPr="003C7E11">
              <w:rPr>
                <w:rStyle w:val="Znakapoznpodarou"/>
                <w:lang w:val="en-GB"/>
              </w:rPr>
              <w:footnoteReference w:id="2"/>
            </w:r>
            <w:r w:rsidR="003C7E11" w:rsidRPr="003C7E11">
              <w:rPr>
                <w:lang w:val="en-GB"/>
              </w:rPr>
              <w:t xml:space="preserve"> and it was </w:t>
            </w:r>
            <w:r w:rsidR="00E90A4B" w:rsidRPr="003C7E11">
              <w:rPr>
                <w:lang w:val="en-GB"/>
              </w:rPr>
              <w:t>41</w:t>
            </w:r>
            <w:r w:rsidR="003C7E11" w:rsidRPr="003C7E11">
              <w:rPr>
                <w:lang w:val="en-GB"/>
              </w:rPr>
              <w:t>.</w:t>
            </w:r>
            <w:r w:rsidR="00B21913">
              <w:rPr>
                <w:lang w:val="en-GB"/>
              </w:rPr>
              <w:t>4</w:t>
            </w:r>
            <w:r w:rsidR="00E90A4B" w:rsidRPr="003C7E11">
              <w:rPr>
                <w:lang w:val="en-GB"/>
              </w:rPr>
              <w:t>%</w:t>
            </w:r>
            <w:r w:rsidR="003C7E11" w:rsidRPr="003C7E11">
              <w:rPr>
                <w:lang w:val="en-GB"/>
              </w:rPr>
              <w:t xml:space="preserve"> in relation to GDP </w:t>
            </w:r>
            <w:r w:rsidR="00E90A4B" w:rsidRPr="003C7E11">
              <w:rPr>
                <w:lang w:val="en-GB"/>
              </w:rPr>
              <w:t>(</w:t>
            </w:r>
            <w:r w:rsidR="00B21913">
              <w:rPr>
                <w:lang w:val="en-GB"/>
              </w:rPr>
              <w:t>42.7</w:t>
            </w:r>
            <w:r w:rsidR="003C7E11" w:rsidRPr="003C7E11">
              <w:rPr>
                <w:lang w:val="en-GB"/>
              </w:rPr>
              <w:t>% then at the end of 2014). The drop of the relative level of the government institution debt is the result of both the growth of the nominal GDP and the stabilisation of the nominal level of the state debt, which comprises the dominant part of the total debt of the government institutions. The relative size of the government institution sector debt was the seventh lowest among the EU countries in the CR at the end of Q3 2015 (e.g. Denmark or Sweden also had a similar position to the CR). The relative indebtednes</w:t>
            </w:r>
            <w:r w:rsidR="003C7E11">
              <w:rPr>
                <w:lang w:val="en-GB"/>
              </w:rPr>
              <w:t>s</w:t>
            </w:r>
            <w:r w:rsidR="003C7E11" w:rsidRPr="003C7E11">
              <w:rPr>
                <w:lang w:val="en-GB"/>
              </w:rPr>
              <w:t xml:space="preserve"> lowered in most EU countries since the beginning of 2015 (the most in Ireland </w:t>
            </w:r>
            <w:r w:rsidR="00E90A4B" w:rsidRPr="003C7E11">
              <w:rPr>
                <w:lang w:val="en-GB"/>
              </w:rPr>
              <w:t xml:space="preserve">– </w:t>
            </w:r>
            <w:r w:rsidR="003C7E11" w:rsidRPr="003C7E11">
              <w:rPr>
                <w:lang w:val="en-GB"/>
              </w:rPr>
              <w:t xml:space="preserve">from </w:t>
            </w:r>
            <w:r w:rsidR="00E90A4B" w:rsidRPr="003C7E11">
              <w:rPr>
                <w:lang w:val="en-GB"/>
              </w:rPr>
              <w:t>107</w:t>
            </w:r>
            <w:r w:rsidR="003C7E11" w:rsidRPr="003C7E11">
              <w:rPr>
                <w:lang w:val="en-GB"/>
              </w:rPr>
              <w:t>.</w:t>
            </w:r>
            <w:r w:rsidR="00B21913">
              <w:rPr>
                <w:lang w:val="en-GB"/>
              </w:rPr>
              <w:t>5</w:t>
            </w:r>
            <w:r w:rsidR="00E90A4B" w:rsidRPr="003C7E11">
              <w:rPr>
                <w:lang w:val="en-GB"/>
              </w:rPr>
              <w:t xml:space="preserve">% </w:t>
            </w:r>
            <w:r w:rsidR="003C7E11" w:rsidRPr="003C7E11">
              <w:rPr>
                <w:lang w:val="en-GB"/>
              </w:rPr>
              <w:t xml:space="preserve">to </w:t>
            </w:r>
            <w:r w:rsidR="00E90A4B" w:rsidRPr="003C7E11">
              <w:rPr>
                <w:lang w:val="en-GB"/>
              </w:rPr>
              <w:t>99</w:t>
            </w:r>
            <w:r w:rsidR="003C7E11" w:rsidRPr="003C7E11">
              <w:rPr>
                <w:lang w:val="en-GB"/>
              </w:rPr>
              <w:t>.</w:t>
            </w:r>
            <w:r w:rsidR="00B21913">
              <w:rPr>
                <w:lang w:val="en-GB"/>
              </w:rPr>
              <w:t>4</w:t>
            </w:r>
            <w:r w:rsidR="00E90A4B" w:rsidRPr="003C7E11">
              <w:rPr>
                <w:lang w:val="en-GB"/>
              </w:rPr>
              <w:t>%)</w:t>
            </w:r>
            <w:proofErr w:type="gramStart"/>
            <w:r w:rsidR="00E90A4B" w:rsidRPr="003C7E11">
              <w:rPr>
                <w:lang w:val="en-GB"/>
              </w:rPr>
              <w:t>,</w:t>
            </w:r>
            <w:proofErr w:type="gramEnd"/>
            <w:r w:rsidR="00E90A4B" w:rsidRPr="003C7E11">
              <w:rPr>
                <w:lang w:val="en-GB"/>
              </w:rPr>
              <w:t xml:space="preserve"> </w:t>
            </w:r>
            <w:r w:rsidR="003C7E11" w:rsidRPr="003C7E11">
              <w:rPr>
                <w:lang w:val="en-GB"/>
              </w:rPr>
              <w:t xml:space="preserve">on the contrary it increased by more than </w:t>
            </w:r>
            <w:r w:rsidR="00E90A4B" w:rsidRPr="003C7E11">
              <w:rPr>
                <w:lang w:val="en-GB"/>
              </w:rPr>
              <w:t>3 p.</w:t>
            </w:r>
            <w:r w:rsidR="003C7E11" w:rsidRPr="003C7E11">
              <w:rPr>
                <w:lang w:val="en-GB"/>
              </w:rPr>
              <w:t>p</w:t>
            </w:r>
            <w:r w:rsidR="00E90A4B" w:rsidRPr="003C7E11">
              <w:rPr>
                <w:lang w:val="en-GB"/>
              </w:rPr>
              <w:t>.</w:t>
            </w:r>
            <w:r w:rsidR="003C7E11" w:rsidRPr="003C7E11">
              <w:rPr>
                <w:lang w:val="en-GB"/>
              </w:rPr>
              <w:t xml:space="preserve"> in Slovenia (</w:t>
            </w:r>
            <w:r w:rsidR="008D4245">
              <w:rPr>
                <w:lang w:val="en-GB"/>
              </w:rPr>
              <w:t xml:space="preserve">to </w:t>
            </w:r>
            <w:r w:rsidR="00E90A4B" w:rsidRPr="003C7E11">
              <w:rPr>
                <w:lang w:val="en-GB"/>
              </w:rPr>
              <w:t>84</w:t>
            </w:r>
            <w:r w:rsidR="003C7E11" w:rsidRPr="003C7E11">
              <w:rPr>
                <w:lang w:val="en-GB"/>
              </w:rPr>
              <w:t>.</w:t>
            </w:r>
            <w:r w:rsidR="00B21913">
              <w:rPr>
                <w:lang w:val="en-GB"/>
              </w:rPr>
              <w:t>1</w:t>
            </w:r>
            <w:r w:rsidR="00E90A4B" w:rsidRPr="003C7E11">
              <w:rPr>
                <w:lang w:val="en-GB"/>
              </w:rPr>
              <w:t>%).</w:t>
            </w:r>
          </w:p>
          <w:p w:rsidR="001D1A17" w:rsidRPr="008112E9" w:rsidRDefault="001D1A17" w:rsidP="00B7292D">
            <w:pPr>
              <w:pStyle w:val="Textpoznpodarou"/>
              <w:jc w:val="both"/>
              <w:rPr>
                <w:rFonts w:cs="Arial"/>
                <w:color w:val="000000" w:themeColor="text1"/>
                <w:sz w:val="14"/>
                <w:szCs w:val="14"/>
                <w:lang w:val="en-GB"/>
              </w:rPr>
            </w:pPr>
          </w:p>
        </w:tc>
      </w:tr>
      <w:tr w:rsidR="00A644E1" w:rsidTr="00E90A4B">
        <w:tc>
          <w:tcPr>
            <w:tcW w:w="300" w:type="pct"/>
          </w:tcPr>
          <w:p w:rsidR="00A644E1" w:rsidRDefault="00866561" w:rsidP="00866561">
            <w:pPr>
              <w:spacing w:line="240" w:lineRule="auto"/>
            </w:pPr>
            <w:r>
              <w:lastRenderedPageBreak/>
              <w:t xml:space="preserve">Chart </w:t>
            </w:r>
            <w:r w:rsidR="00A644E1">
              <w:t>19</w:t>
            </w:r>
          </w:p>
        </w:tc>
        <w:tc>
          <w:tcPr>
            <w:tcW w:w="2216" w:type="pct"/>
            <w:gridSpan w:val="3"/>
          </w:tcPr>
          <w:p w:rsidR="00A644E1" w:rsidRPr="00866561" w:rsidRDefault="00A80F0A" w:rsidP="00006468">
            <w:pPr>
              <w:spacing w:line="240" w:lineRule="auto"/>
              <w:rPr>
                <w:rFonts w:cs="Arial"/>
                <w:b/>
                <w:bCs/>
                <w:lang w:val="en-GB"/>
              </w:rPr>
            </w:pPr>
            <w:r w:rsidRPr="00866561">
              <w:rPr>
                <w:rFonts w:cs="Arial"/>
                <w:b/>
                <w:bCs/>
                <w:lang w:val="en-GB"/>
              </w:rPr>
              <w:t>State-wide</w:t>
            </w:r>
            <w:r w:rsidR="00866561" w:rsidRPr="00866561">
              <w:rPr>
                <w:rFonts w:cs="Arial"/>
                <w:b/>
                <w:bCs/>
                <w:lang w:val="en-GB"/>
              </w:rPr>
              <w:t xml:space="preserve"> collections of tax revenues </w:t>
            </w:r>
            <w:r w:rsidR="00A644E1" w:rsidRPr="00866561">
              <w:rPr>
                <w:rFonts w:cs="Arial"/>
                <w:bCs/>
                <w:lang w:val="en-GB"/>
              </w:rPr>
              <w:t xml:space="preserve">(y/y, </w:t>
            </w:r>
            <w:r w:rsidR="00866561" w:rsidRPr="00866561">
              <w:rPr>
                <w:rFonts w:cs="Arial"/>
                <w:bCs/>
                <w:lang w:val="en-GB"/>
              </w:rPr>
              <w:t>in</w:t>
            </w:r>
            <w:r w:rsidR="00A644E1" w:rsidRPr="00866561">
              <w:rPr>
                <w:rFonts w:cs="Arial"/>
                <w:bCs/>
                <w:lang w:val="en-GB"/>
              </w:rPr>
              <w:t xml:space="preserve"> %) </w:t>
            </w:r>
            <w:r w:rsidR="00A644E1" w:rsidRPr="00866561">
              <w:rPr>
                <w:rFonts w:cs="Arial"/>
                <w:b/>
                <w:bCs/>
                <w:lang w:val="en-GB"/>
              </w:rPr>
              <w:t>a</w:t>
            </w:r>
            <w:r w:rsidR="00866561" w:rsidRPr="00866561">
              <w:rPr>
                <w:rFonts w:cs="Arial"/>
                <w:b/>
                <w:bCs/>
                <w:lang w:val="en-GB"/>
              </w:rPr>
              <w:t xml:space="preserve">nd state budget balance </w:t>
            </w:r>
            <w:r w:rsidR="00A644E1" w:rsidRPr="00866561">
              <w:rPr>
                <w:rFonts w:cs="Arial"/>
                <w:bCs/>
                <w:lang w:val="en-GB"/>
              </w:rPr>
              <w:t>(</w:t>
            </w:r>
            <w:r w:rsidR="00866561" w:rsidRPr="00866561">
              <w:rPr>
                <w:rFonts w:cs="Arial"/>
                <w:bCs/>
                <w:lang w:val="en-GB"/>
              </w:rPr>
              <w:t xml:space="preserve">in </w:t>
            </w:r>
            <w:r w:rsidR="00006468">
              <w:rPr>
                <w:rFonts w:cs="Arial"/>
                <w:bCs/>
                <w:lang w:val="en-GB"/>
              </w:rPr>
              <w:t xml:space="preserve">CZK </w:t>
            </w:r>
            <w:r w:rsidR="00866561" w:rsidRPr="00866561">
              <w:rPr>
                <w:rFonts w:cs="Arial"/>
                <w:bCs/>
                <w:lang w:val="en-GB"/>
              </w:rPr>
              <w:t>bn</w:t>
            </w:r>
            <w:r w:rsidR="00A644E1" w:rsidRPr="00866561">
              <w:rPr>
                <w:rFonts w:cs="Arial"/>
                <w:bCs/>
                <w:lang w:val="en-GB"/>
              </w:rPr>
              <w:t>)</w:t>
            </w:r>
          </w:p>
        </w:tc>
        <w:tc>
          <w:tcPr>
            <w:tcW w:w="360" w:type="pct"/>
          </w:tcPr>
          <w:p w:rsidR="00A644E1" w:rsidRPr="00866561" w:rsidRDefault="00866561" w:rsidP="00866561">
            <w:pPr>
              <w:spacing w:line="240" w:lineRule="auto"/>
              <w:rPr>
                <w:lang w:val="en-GB"/>
              </w:rPr>
            </w:pPr>
            <w:r w:rsidRPr="00866561">
              <w:rPr>
                <w:lang w:val="en-GB"/>
              </w:rPr>
              <w:t xml:space="preserve">Chart </w:t>
            </w:r>
            <w:r w:rsidR="00A644E1" w:rsidRPr="00866561">
              <w:rPr>
                <w:lang w:val="en-GB"/>
              </w:rPr>
              <w:t>20</w:t>
            </w:r>
          </w:p>
        </w:tc>
        <w:tc>
          <w:tcPr>
            <w:tcW w:w="2125" w:type="pct"/>
            <w:gridSpan w:val="2"/>
          </w:tcPr>
          <w:p w:rsidR="000C164D" w:rsidRDefault="00D85AC2" w:rsidP="00006468">
            <w:pPr>
              <w:spacing w:line="240" w:lineRule="auto"/>
              <w:rPr>
                <w:rFonts w:cs="Arial"/>
                <w:b/>
                <w:bCs/>
                <w:lang w:val="en-GB"/>
              </w:rPr>
            </w:pPr>
            <w:r w:rsidRPr="005E0476">
              <w:rPr>
                <w:rFonts w:cs="Arial"/>
                <w:b/>
                <w:bCs/>
                <w:lang w:val="en-GB"/>
              </w:rPr>
              <w:t xml:space="preserve">Selected state budget expenditures </w:t>
            </w:r>
          </w:p>
          <w:p w:rsidR="00A644E1" w:rsidRPr="00866561" w:rsidRDefault="00A644E1" w:rsidP="00006468">
            <w:pPr>
              <w:spacing w:line="240" w:lineRule="auto"/>
              <w:rPr>
                <w:rFonts w:cs="Arial"/>
                <w:b/>
                <w:bCs/>
                <w:spacing w:val="-2"/>
                <w:lang w:val="en-GB"/>
              </w:rPr>
            </w:pPr>
            <w:r w:rsidRPr="00866561">
              <w:rPr>
                <w:rFonts w:cs="Arial"/>
                <w:bCs/>
                <w:lang w:val="en-GB"/>
              </w:rPr>
              <w:t>(</w:t>
            </w:r>
            <w:r w:rsidR="00866561" w:rsidRPr="00866561">
              <w:rPr>
                <w:rFonts w:cs="Arial"/>
                <w:bCs/>
                <w:lang w:val="en-GB"/>
              </w:rPr>
              <w:t xml:space="preserve">in </w:t>
            </w:r>
            <w:r w:rsidR="00006468">
              <w:rPr>
                <w:rFonts w:cs="Arial"/>
                <w:bCs/>
                <w:lang w:val="en-GB"/>
              </w:rPr>
              <w:t xml:space="preserve">CZK </w:t>
            </w:r>
            <w:proofErr w:type="spellStart"/>
            <w:r w:rsidR="00866561" w:rsidRPr="00866561">
              <w:rPr>
                <w:rFonts w:cs="Arial"/>
                <w:bCs/>
                <w:lang w:val="en-GB"/>
              </w:rPr>
              <w:t>bn</w:t>
            </w:r>
            <w:proofErr w:type="spellEnd"/>
            <w:r w:rsidR="00866561" w:rsidRPr="00866561">
              <w:rPr>
                <w:rFonts w:cs="Arial"/>
                <w:bCs/>
                <w:lang w:val="en-GB"/>
              </w:rPr>
              <w:t>)</w:t>
            </w:r>
          </w:p>
        </w:tc>
      </w:tr>
      <w:tr w:rsidR="00A644E1" w:rsidTr="00E90A4B">
        <w:tc>
          <w:tcPr>
            <w:tcW w:w="2515" w:type="pct"/>
            <w:gridSpan w:val="4"/>
          </w:tcPr>
          <w:p w:rsidR="00A644E1" w:rsidRDefault="00550297" w:rsidP="00611531">
            <w:pPr>
              <w:pStyle w:val="Textpoznpodarou"/>
              <w:jc w:val="both"/>
            </w:pPr>
            <w:r>
              <w:rPr>
                <w:noProof/>
              </w:rPr>
              <w:drawing>
                <wp:inline distT="0" distB="0" distL="0" distR="0">
                  <wp:extent cx="3077361" cy="2345635"/>
                  <wp:effectExtent l="19050" t="0" r="8739" b="0"/>
                  <wp:docPr id="3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077210" cy="2345520"/>
                          </a:xfrm>
                          <a:prstGeom prst="rect">
                            <a:avLst/>
                          </a:prstGeom>
                          <a:noFill/>
                          <a:ln w="9525">
                            <a:noFill/>
                            <a:miter lim="800000"/>
                            <a:headEnd/>
                            <a:tailEnd/>
                          </a:ln>
                        </pic:spPr>
                      </pic:pic>
                    </a:graphicData>
                  </a:graphic>
                </wp:inline>
              </w:drawing>
            </w:r>
          </w:p>
        </w:tc>
        <w:tc>
          <w:tcPr>
            <w:tcW w:w="2485" w:type="pct"/>
            <w:gridSpan w:val="3"/>
          </w:tcPr>
          <w:p w:rsidR="00A644E1" w:rsidRDefault="000C164D" w:rsidP="00611531">
            <w:pPr>
              <w:pStyle w:val="Textpoznpodarou"/>
              <w:jc w:val="both"/>
            </w:pPr>
            <w:r>
              <w:rPr>
                <w:noProof/>
              </w:rPr>
              <w:drawing>
                <wp:inline distT="0" distB="0" distL="0" distR="0">
                  <wp:extent cx="3077210" cy="2345690"/>
                  <wp:effectExtent l="19050" t="0" r="8890" b="0"/>
                  <wp:docPr id="2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77210" cy="2345690"/>
                          </a:xfrm>
                          <a:prstGeom prst="rect">
                            <a:avLst/>
                          </a:prstGeom>
                          <a:noFill/>
                          <a:ln w="9525">
                            <a:noFill/>
                            <a:miter lim="800000"/>
                            <a:headEnd/>
                            <a:tailEnd/>
                          </a:ln>
                        </pic:spPr>
                      </pic:pic>
                    </a:graphicData>
                  </a:graphic>
                </wp:inline>
              </w:drawing>
            </w:r>
          </w:p>
        </w:tc>
      </w:tr>
      <w:tr w:rsidR="00A644E1" w:rsidTr="00E90A4B">
        <w:tc>
          <w:tcPr>
            <w:tcW w:w="5000" w:type="pct"/>
            <w:gridSpan w:val="7"/>
          </w:tcPr>
          <w:p w:rsidR="00A644E1" w:rsidRPr="00A80F0A" w:rsidRDefault="00A644E1" w:rsidP="00611531">
            <w:pPr>
              <w:pStyle w:val="Textpoznpodarou"/>
              <w:rPr>
                <w:sz w:val="18"/>
                <w:szCs w:val="18"/>
                <w:lang w:val="en-GB"/>
              </w:rPr>
            </w:pPr>
            <w:r w:rsidRPr="00A80F0A">
              <w:rPr>
                <w:sz w:val="18"/>
                <w:szCs w:val="18"/>
                <w:lang w:val="en-GB"/>
              </w:rPr>
              <w:t>*</w:t>
            </w:r>
            <w:r w:rsidR="00014D35" w:rsidRPr="00A80F0A">
              <w:rPr>
                <w:sz w:val="18"/>
                <w:szCs w:val="18"/>
                <w:lang w:val="en-GB"/>
              </w:rPr>
              <w:t>including the foster care benefits</w:t>
            </w:r>
            <w:r w:rsidRPr="00A80F0A">
              <w:rPr>
                <w:sz w:val="18"/>
                <w:szCs w:val="18"/>
                <w:lang w:val="en-GB"/>
              </w:rPr>
              <w:t xml:space="preserve">         </w:t>
            </w:r>
          </w:p>
          <w:p w:rsidR="00A644E1" w:rsidRPr="00A80F0A" w:rsidRDefault="00A644E1" w:rsidP="00FA217B">
            <w:pPr>
              <w:pStyle w:val="Textpoznpodarou"/>
              <w:rPr>
                <w:sz w:val="18"/>
                <w:szCs w:val="18"/>
                <w:lang w:val="en-GB"/>
              </w:rPr>
            </w:pPr>
            <w:r w:rsidRPr="00A80F0A">
              <w:rPr>
                <w:sz w:val="18"/>
                <w:szCs w:val="18"/>
                <w:lang w:val="en-GB"/>
              </w:rPr>
              <w:t>**</w:t>
            </w:r>
            <w:r w:rsidR="00FA217B" w:rsidRPr="00252E1B">
              <w:rPr>
                <w:rFonts w:cs="Arial"/>
                <w:sz w:val="18"/>
                <w:szCs w:val="18"/>
                <w:lang w:val="en-GB"/>
              </w:rPr>
              <w:t xml:space="preserve"> material deprivation assistance benefits, disability benefits,</w:t>
            </w:r>
            <w:r w:rsidR="00FA217B">
              <w:rPr>
                <w:rFonts w:cs="Arial"/>
                <w:sz w:val="18"/>
                <w:szCs w:val="18"/>
                <w:lang w:val="en-GB"/>
              </w:rPr>
              <w:t xml:space="preserve"> </w:t>
            </w:r>
            <w:r w:rsidR="00FA217B" w:rsidRPr="00252E1B">
              <w:rPr>
                <w:rFonts w:cs="Arial"/>
                <w:sz w:val="18"/>
                <w:szCs w:val="18"/>
                <w:lang w:val="en-GB"/>
              </w:rPr>
              <w:t>contribution to care based on Act on State Social Support</w:t>
            </w:r>
          </w:p>
          <w:p w:rsidR="00A644E1" w:rsidRPr="009E6613" w:rsidRDefault="00A644E1" w:rsidP="00014D35">
            <w:pPr>
              <w:pStyle w:val="Textpoznpodarou"/>
              <w:rPr>
                <w:sz w:val="18"/>
                <w:szCs w:val="18"/>
              </w:rPr>
            </w:pPr>
            <w:r w:rsidRPr="00A80F0A">
              <w:rPr>
                <w:sz w:val="18"/>
                <w:szCs w:val="18"/>
                <w:lang w:val="en-GB"/>
              </w:rPr>
              <w:t xml:space="preserve">*** </w:t>
            </w:r>
            <w:r w:rsidR="00014D35" w:rsidRPr="00A80F0A">
              <w:rPr>
                <w:sz w:val="18"/>
                <w:szCs w:val="18"/>
                <w:lang w:val="en-GB"/>
              </w:rPr>
              <w:t xml:space="preserve">excluding interest and other Financial costs </w:t>
            </w:r>
            <w:r w:rsidRPr="00A80F0A">
              <w:rPr>
                <w:sz w:val="18"/>
                <w:szCs w:val="18"/>
                <w:lang w:val="en-GB"/>
              </w:rPr>
              <w:t xml:space="preserve">                                                    </w:t>
            </w:r>
            <w:r w:rsidR="00240815" w:rsidRPr="00A80F0A">
              <w:rPr>
                <w:sz w:val="18"/>
                <w:szCs w:val="18"/>
                <w:lang w:val="en-GB"/>
              </w:rPr>
              <w:t xml:space="preserve">                          </w:t>
            </w:r>
            <w:r w:rsidRPr="00A80F0A">
              <w:rPr>
                <w:sz w:val="18"/>
                <w:szCs w:val="18"/>
                <w:lang w:val="en-GB"/>
              </w:rPr>
              <w:t xml:space="preserve">     </w:t>
            </w:r>
            <w:proofErr w:type="spellStart"/>
            <w:r w:rsidR="001946B9">
              <w:rPr>
                <w:sz w:val="18"/>
                <w:szCs w:val="18"/>
              </w:rPr>
              <w:t>Source</w:t>
            </w:r>
            <w:proofErr w:type="spellEnd"/>
            <w:r>
              <w:rPr>
                <w:rFonts w:cs="Arial"/>
                <w:sz w:val="18"/>
                <w:szCs w:val="18"/>
              </w:rPr>
              <w:t>: MF, M</w:t>
            </w:r>
            <w:r w:rsidR="001946B9">
              <w:rPr>
                <w:rFonts w:cs="Arial"/>
                <w:sz w:val="18"/>
                <w:szCs w:val="18"/>
              </w:rPr>
              <w:t>LSA</w:t>
            </w:r>
          </w:p>
        </w:tc>
      </w:tr>
    </w:tbl>
    <w:p w:rsidR="00A644E1" w:rsidRPr="001E0D70" w:rsidRDefault="00A644E1" w:rsidP="00A644E1">
      <w:pPr>
        <w:pStyle w:val="Textpoznpodarou"/>
        <w:rPr>
          <w:rFonts w:cs="Arial"/>
        </w:rPr>
      </w:pPr>
    </w:p>
    <w:tbl>
      <w:tblPr>
        <w:tblW w:w="5079" w:type="pct"/>
        <w:tblCellMar>
          <w:left w:w="28" w:type="dxa"/>
          <w:right w:w="28" w:type="dxa"/>
        </w:tblCellMar>
        <w:tblLook w:val="04A0"/>
      </w:tblPr>
      <w:tblGrid>
        <w:gridCol w:w="745"/>
        <w:gridCol w:w="4185"/>
        <w:gridCol w:w="715"/>
        <w:gridCol w:w="4202"/>
      </w:tblGrid>
      <w:tr w:rsidR="00A644E1" w:rsidRPr="00A80F0A" w:rsidTr="00611531">
        <w:tc>
          <w:tcPr>
            <w:tcW w:w="382" w:type="pct"/>
          </w:tcPr>
          <w:p w:rsidR="00A644E1" w:rsidRDefault="001946B9" w:rsidP="001946B9">
            <w:pPr>
              <w:spacing w:line="240" w:lineRule="auto"/>
            </w:pPr>
            <w:r>
              <w:t xml:space="preserve">Chart </w:t>
            </w:r>
            <w:r w:rsidR="007F42E0">
              <w:t>21</w:t>
            </w:r>
          </w:p>
        </w:tc>
        <w:tc>
          <w:tcPr>
            <w:tcW w:w="2128" w:type="pct"/>
          </w:tcPr>
          <w:p w:rsidR="00A644E1" w:rsidRPr="00D90B56" w:rsidRDefault="00A644E1" w:rsidP="00006468">
            <w:pPr>
              <w:spacing w:line="240" w:lineRule="auto"/>
              <w:rPr>
                <w:rFonts w:cs="Arial"/>
                <w:b/>
                <w:bCs/>
              </w:rPr>
            </w:pPr>
            <w:r w:rsidRPr="008F40E1">
              <w:rPr>
                <w:rFonts w:cs="Arial"/>
                <w:b/>
                <w:bCs/>
                <w:lang w:val="en-GB"/>
              </w:rPr>
              <w:t>Stru</w:t>
            </w:r>
            <w:r w:rsidR="008F40E1" w:rsidRPr="008F40E1">
              <w:rPr>
                <w:rFonts w:cs="Arial"/>
                <w:b/>
                <w:bCs/>
                <w:lang w:val="en-GB"/>
              </w:rPr>
              <w:t xml:space="preserve">cture of the CR revenues from the EU budget, total net position </w:t>
            </w:r>
            <w:r w:rsidRPr="008F40E1">
              <w:rPr>
                <w:rFonts w:cs="Arial"/>
                <w:bCs/>
                <w:lang w:val="en-GB"/>
              </w:rPr>
              <w:t>(</w:t>
            </w:r>
            <w:r w:rsidR="00866561" w:rsidRPr="008F40E1">
              <w:rPr>
                <w:rFonts w:cs="Arial"/>
                <w:bCs/>
                <w:lang w:val="en-GB"/>
              </w:rPr>
              <w:t xml:space="preserve">in </w:t>
            </w:r>
            <w:r w:rsidR="00006468">
              <w:rPr>
                <w:rFonts w:cs="Arial"/>
                <w:bCs/>
                <w:lang w:val="en-GB"/>
              </w:rPr>
              <w:t xml:space="preserve">CZK </w:t>
            </w:r>
            <w:r w:rsidR="00866561" w:rsidRPr="008F40E1">
              <w:rPr>
                <w:rFonts w:cs="Arial"/>
                <w:bCs/>
                <w:lang w:val="en-GB"/>
              </w:rPr>
              <w:t>bn</w:t>
            </w:r>
            <w:r w:rsidRPr="00A80F0A">
              <w:rPr>
                <w:rFonts w:cs="Arial"/>
                <w:bCs/>
                <w:lang w:val="en-GB"/>
              </w:rPr>
              <w:t>)</w:t>
            </w:r>
          </w:p>
        </w:tc>
        <w:tc>
          <w:tcPr>
            <w:tcW w:w="362" w:type="pct"/>
          </w:tcPr>
          <w:p w:rsidR="00A644E1" w:rsidRDefault="001946B9" w:rsidP="001946B9">
            <w:pPr>
              <w:spacing w:line="240" w:lineRule="auto"/>
            </w:pPr>
            <w:r>
              <w:t xml:space="preserve">Chart </w:t>
            </w:r>
            <w:r w:rsidR="00A644E1">
              <w:t>2</w:t>
            </w:r>
            <w:r w:rsidR="007F42E0">
              <w:t>2</w:t>
            </w:r>
          </w:p>
        </w:tc>
        <w:tc>
          <w:tcPr>
            <w:tcW w:w="2129" w:type="pct"/>
          </w:tcPr>
          <w:p w:rsidR="00550297" w:rsidRDefault="008F40E1" w:rsidP="00006468">
            <w:pPr>
              <w:spacing w:line="240" w:lineRule="auto"/>
              <w:rPr>
                <w:rFonts w:cs="Arial"/>
                <w:bCs/>
                <w:spacing w:val="-2"/>
                <w:lang w:val="en-GB"/>
              </w:rPr>
            </w:pPr>
            <w:r>
              <w:rPr>
                <w:rFonts w:cs="Arial"/>
                <w:b/>
                <w:bCs/>
                <w:spacing w:val="-2"/>
                <w:lang w:val="en-GB"/>
              </w:rPr>
              <w:t>Revenues and expe</w:t>
            </w:r>
            <w:r w:rsidR="00550297">
              <w:rPr>
                <w:rFonts w:cs="Arial"/>
                <w:b/>
                <w:bCs/>
                <w:spacing w:val="-2"/>
                <w:lang w:val="en-GB"/>
              </w:rPr>
              <w:t>nditures on pensions from the State budget</w:t>
            </w:r>
            <w:r>
              <w:rPr>
                <w:rFonts w:cs="Arial"/>
                <w:b/>
                <w:bCs/>
                <w:spacing w:val="-2"/>
                <w:lang w:val="en-GB"/>
              </w:rPr>
              <w:t xml:space="preserve"> </w:t>
            </w:r>
            <w:r w:rsidR="00A644E1" w:rsidRPr="00A80F0A">
              <w:rPr>
                <w:rFonts w:cs="Arial"/>
                <w:bCs/>
                <w:spacing w:val="-2"/>
                <w:lang w:val="en-GB"/>
              </w:rPr>
              <w:t xml:space="preserve">(y/y, </w:t>
            </w:r>
            <w:r w:rsidR="001946B9" w:rsidRPr="00A80F0A">
              <w:rPr>
                <w:rFonts w:cs="Arial"/>
                <w:bCs/>
                <w:spacing w:val="-2"/>
                <w:lang w:val="en-GB"/>
              </w:rPr>
              <w:t>in</w:t>
            </w:r>
            <w:r w:rsidR="00A644E1" w:rsidRPr="00A80F0A">
              <w:rPr>
                <w:rFonts w:cs="Arial"/>
                <w:bCs/>
                <w:spacing w:val="-2"/>
                <w:lang w:val="en-GB"/>
              </w:rPr>
              <w:t xml:space="preserve"> %)</w:t>
            </w:r>
            <w:r>
              <w:rPr>
                <w:rFonts w:cs="Arial"/>
                <w:bCs/>
                <w:spacing w:val="-2"/>
                <w:lang w:val="en-GB"/>
              </w:rPr>
              <w:t xml:space="preserve"> </w:t>
            </w:r>
          </w:p>
          <w:p w:rsidR="00A644E1" w:rsidRPr="00A80F0A" w:rsidRDefault="00A644E1" w:rsidP="00006468">
            <w:pPr>
              <w:spacing w:line="240" w:lineRule="auto"/>
              <w:rPr>
                <w:rFonts w:cs="Arial"/>
                <w:b/>
                <w:bCs/>
                <w:spacing w:val="-2"/>
                <w:lang w:val="en-GB"/>
              </w:rPr>
            </w:pPr>
            <w:r w:rsidRPr="00A80F0A">
              <w:rPr>
                <w:rFonts w:cs="Arial"/>
                <w:b/>
                <w:bCs/>
                <w:spacing w:val="-2"/>
                <w:lang w:val="en-GB"/>
              </w:rPr>
              <w:t>a</w:t>
            </w:r>
            <w:r w:rsidR="008F40E1">
              <w:rPr>
                <w:rFonts w:cs="Arial"/>
                <w:b/>
                <w:bCs/>
                <w:spacing w:val="-2"/>
                <w:lang w:val="en-GB"/>
              </w:rPr>
              <w:t xml:space="preserve">nd pension account balance </w:t>
            </w:r>
            <w:r w:rsidRPr="00A80F0A">
              <w:rPr>
                <w:rFonts w:cs="Arial"/>
                <w:bCs/>
                <w:spacing w:val="-2"/>
                <w:lang w:val="en-GB"/>
              </w:rPr>
              <w:t>(</w:t>
            </w:r>
            <w:r w:rsidR="001946B9" w:rsidRPr="00A80F0A">
              <w:rPr>
                <w:rFonts w:cs="Arial"/>
                <w:bCs/>
                <w:spacing w:val="-2"/>
                <w:lang w:val="en-GB"/>
              </w:rPr>
              <w:t xml:space="preserve">in </w:t>
            </w:r>
            <w:r w:rsidR="00006468">
              <w:rPr>
                <w:rFonts w:cs="Arial"/>
                <w:bCs/>
                <w:spacing w:val="-2"/>
                <w:lang w:val="en-GB"/>
              </w:rPr>
              <w:t xml:space="preserve">CZK </w:t>
            </w:r>
            <w:r w:rsidR="001946B9" w:rsidRPr="00A80F0A">
              <w:rPr>
                <w:rFonts w:cs="Arial"/>
                <w:bCs/>
                <w:spacing w:val="-2"/>
                <w:lang w:val="en-GB"/>
              </w:rPr>
              <w:t>bn</w:t>
            </w:r>
            <w:r w:rsidRPr="00A80F0A">
              <w:rPr>
                <w:rFonts w:cs="Arial"/>
                <w:bCs/>
                <w:spacing w:val="-2"/>
                <w:lang w:val="en-GB"/>
              </w:rPr>
              <w:t>)</w:t>
            </w:r>
            <w:r w:rsidRPr="00A80F0A">
              <w:rPr>
                <w:rFonts w:cs="Arial"/>
                <w:bCs/>
                <w:lang w:val="en-GB"/>
              </w:rPr>
              <w:t xml:space="preserve"> </w:t>
            </w:r>
          </w:p>
        </w:tc>
      </w:tr>
      <w:tr w:rsidR="00A644E1" w:rsidTr="00611531">
        <w:tc>
          <w:tcPr>
            <w:tcW w:w="2509" w:type="pct"/>
            <w:gridSpan w:val="2"/>
          </w:tcPr>
          <w:p w:rsidR="00A644E1" w:rsidRDefault="00CE095E" w:rsidP="00611531">
            <w:pPr>
              <w:pStyle w:val="Textpoznpodarou"/>
              <w:jc w:val="both"/>
            </w:pPr>
            <w:r>
              <w:rPr>
                <w:noProof/>
              </w:rPr>
              <w:drawing>
                <wp:inline distT="0" distB="0" distL="0" distR="0">
                  <wp:extent cx="3045610" cy="2274073"/>
                  <wp:effectExtent l="19050" t="0" r="2390" b="0"/>
                  <wp:docPr id="3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045460" cy="2273961"/>
                          </a:xfrm>
                          <a:prstGeom prst="rect">
                            <a:avLst/>
                          </a:prstGeom>
                          <a:noFill/>
                          <a:ln w="9525">
                            <a:noFill/>
                            <a:miter lim="800000"/>
                            <a:headEnd/>
                            <a:tailEnd/>
                          </a:ln>
                        </pic:spPr>
                      </pic:pic>
                    </a:graphicData>
                  </a:graphic>
                </wp:inline>
              </w:drawing>
            </w:r>
          </w:p>
        </w:tc>
        <w:tc>
          <w:tcPr>
            <w:tcW w:w="2491" w:type="pct"/>
            <w:gridSpan w:val="2"/>
          </w:tcPr>
          <w:p w:rsidR="00A644E1" w:rsidRDefault="00A976E8" w:rsidP="00611531">
            <w:pPr>
              <w:pStyle w:val="Textpoznpodarou"/>
              <w:jc w:val="both"/>
            </w:pPr>
            <w:r>
              <w:rPr>
                <w:noProof/>
              </w:rPr>
              <w:drawing>
                <wp:inline distT="0" distB="0" distL="0" distR="0">
                  <wp:extent cx="3065421" cy="2274073"/>
                  <wp:effectExtent l="19050" t="0" r="1629" b="0"/>
                  <wp:docPr id="3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069430" cy="2277047"/>
                          </a:xfrm>
                          <a:prstGeom prst="rect">
                            <a:avLst/>
                          </a:prstGeom>
                          <a:noFill/>
                          <a:ln w="9525">
                            <a:noFill/>
                            <a:miter lim="800000"/>
                            <a:headEnd/>
                            <a:tailEnd/>
                          </a:ln>
                        </pic:spPr>
                      </pic:pic>
                    </a:graphicData>
                  </a:graphic>
                </wp:inline>
              </w:drawing>
            </w:r>
          </w:p>
        </w:tc>
      </w:tr>
      <w:tr w:rsidR="00A644E1" w:rsidRPr="00DC7315" w:rsidTr="00611531">
        <w:tc>
          <w:tcPr>
            <w:tcW w:w="5000" w:type="pct"/>
            <w:gridSpan w:val="4"/>
          </w:tcPr>
          <w:p w:rsidR="00C94371" w:rsidRPr="00DC7315" w:rsidRDefault="00A644E1" w:rsidP="00C94371">
            <w:pPr>
              <w:autoSpaceDE w:val="0"/>
              <w:autoSpaceDN w:val="0"/>
              <w:adjustRightInd w:val="0"/>
              <w:spacing w:line="240" w:lineRule="auto"/>
              <w:rPr>
                <w:rFonts w:cs="Arial"/>
                <w:color w:val="000000" w:themeColor="text1"/>
                <w:spacing w:val="-2"/>
                <w:sz w:val="18"/>
                <w:szCs w:val="18"/>
                <w:lang w:val="en-GB"/>
              </w:rPr>
            </w:pPr>
            <w:r w:rsidRPr="00DC7315">
              <w:rPr>
                <w:sz w:val="18"/>
                <w:szCs w:val="18"/>
                <w:lang w:val="en-GB" w:eastAsia="ar-SA"/>
              </w:rPr>
              <w:t>*</w:t>
            </w:r>
            <w:r w:rsidR="00C94371" w:rsidRPr="00DC7315">
              <w:rPr>
                <w:rFonts w:cs="Arial"/>
                <w:color w:val="000000" w:themeColor="text1"/>
                <w:spacing w:val="-2"/>
                <w:sz w:val="18"/>
                <w:szCs w:val="18"/>
                <w:lang w:val="en-GB"/>
              </w:rPr>
              <w:t xml:space="preserve">include programmes directly governed by the </w:t>
            </w:r>
            <w:r w:rsidR="00DC7315" w:rsidRPr="00DC7315">
              <w:rPr>
                <w:rFonts w:cs="Arial"/>
                <w:color w:val="000000" w:themeColor="text1"/>
                <w:spacing w:val="-2"/>
                <w:sz w:val="18"/>
                <w:szCs w:val="18"/>
                <w:lang w:val="en-GB"/>
              </w:rPr>
              <w:t>Commission</w:t>
            </w:r>
            <w:r w:rsidR="00C94371" w:rsidRPr="00DC7315">
              <w:rPr>
                <w:rFonts w:cs="Arial"/>
                <w:color w:val="000000" w:themeColor="text1"/>
                <w:spacing w:val="-2"/>
                <w:sz w:val="18"/>
                <w:szCs w:val="18"/>
                <w:lang w:val="en-GB"/>
              </w:rPr>
              <w:t xml:space="preserve"> </w:t>
            </w:r>
            <w:r w:rsidRPr="00DC7315">
              <w:rPr>
                <w:rFonts w:cs="Arial"/>
                <w:color w:val="000000" w:themeColor="text1"/>
                <w:spacing w:val="-2"/>
                <w:sz w:val="18"/>
                <w:szCs w:val="18"/>
                <w:lang w:val="en-GB"/>
              </w:rPr>
              <w:t xml:space="preserve">(Horizon 2020, </w:t>
            </w:r>
            <w:r w:rsidR="00C70925">
              <w:rPr>
                <w:rFonts w:cs="Arial"/>
                <w:color w:val="000000" w:themeColor="text1"/>
                <w:spacing w:val="-2"/>
                <w:sz w:val="18"/>
                <w:szCs w:val="18"/>
                <w:lang w:val="en-GB"/>
              </w:rPr>
              <w:t>Tool for interconnection of Europe</w:t>
            </w:r>
            <w:r w:rsidRPr="00DC7315">
              <w:rPr>
                <w:rFonts w:cs="Arial"/>
                <w:color w:val="000000" w:themeColor="text1"/>
                <w:spacing w:val="-2"/>
                <w:sz w:val="18"/>
                <w:szCs w:val="18"/>
                <w:lang w:val="en-GB"/>
              </w:rPr>
              <w:t>, Erasmus+)</w:t>
            </w:r>
            <w:r w:rsidR="00240815" w:rsidRPr="00DC7315">
              <w:rPr>
                <w:rFonts w:cs="Arial"/>
                <w:color w:val="000000" w:themeColor="text1"/>
                <w:spacing w:val="-2"/>
                <w:sz w:val="18"/>
                <w:szCs w:val="18"/>
                <w:lang w:val="en-GB"/>
              </w:rPr>
              <w:t xml:space="preserve">   </w:t>
            </w:r>
            <w:r w:rsidRPr="00DC7315">
              <w:rPr>
                <w:rFonts w:cs="Arial"/>
                <w:color w:val="000000" w:themeColor="text1"/>
                <w:spacing w:val="-2"/>
                <w:sz w:val="18"/>
                <w:szCs w:val="18"/>
                <w:lang w:val="en-GB"/>
              </w:rPr>
              <w:t xml:space="preserve">  </w:t>
            </w:r>
          </w:p>
          <w:p w:rsidR="00A644E1" w:rsidRPr="00DC7315" w:rsidRDefault="00451DCC" w:rsidP="00945932">
            <w:pPr>
              <w:autoSpaceDE w:val="0"/>
              <w:autoSpaceDN w:val="0"/>
              <w:adjustRightInd w:val="0"/>
              <w:spacing w:line="240" w:lineRule="auto"/>
              <w:jc w:val="right"/>
              <w:rPr>
                <w:rFonts w:cs="Arial"/>
                <w:color w:val="000000" w:themeColor="text1"/>
                <w:spacing w:val="-2"/>
                <w:sz w:val="18"/>
                <w:szCs w:val="18"/>
                <w:lang w:val="en-GB"/>
              </w:rPr>
            </w:pPr>
            <w:r w:rsidRPr="00DC7315">
              <w:rPr>
                <w:rFonts w:cs="Arial"/>
                <w:color w:val="000000" w:themeColor="text1"/>
                <w:spacing w:val="-2"/>
                <w:sz w:val="18"/>
                <w:szCs w:val="18"/>
                <w:lang w:val="en-GB"/>
              </w:rPr>
              <w:t>Source</w:t>
            </w:r>
            <w:r w:rsidR="00A644E1" w:rsidRPr="00DC7315">
              <w:rPr>
                <w:rFonts w:cs="Arial"/>
                <w:sz w:val="18"/>
                <w:szCs w:val="18"/>
                <w:lang w:val="en-GB"/>
              </w:rPr>
              <w:t xml:space="preserve">: MF, </w:t>
            </w:r>
            <w:r w:rsidR="00945932">
              <w:rPr>
                <w:rFonts w:cs="Arial"/>
                <w:sz w:val="18"/>
                <w:szCs w:val="18"/>
                <w:lang w:val="en-GB"/>
              </w:rPr>
              <w:t>CSSA</w:t>
            </w:r>
          </w:p>
        </w:tc>
      </w:tr>
    </w:tbl>
    <w:p w:rsidR="00240815" w:rsidRDefault="00240815" w:rsidP="00767393">
      <w:pPr>
        <w:pStyle w:val="Textpoznpodarou"/>
        <w:jc w:val="both"/>
        <w:rPr>
          <w:rFonts w:cs="Arial"/>
          <w:color w:val="000000" w:themeColor="text1"/>
          <w:spacing w:val="-2"/>
        </w:rPr>
      </w:pPr>
    </w:p>
    <w:sectPr w:rsidR="00240815" w:rsidSect="00157704">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41A" w:rsidRDefault="00AE041A" w:rsidP="00E71A58">
      <w:r>
        <w:separator/>
      </w:r>
    </w:p>
  </w:endnote>
  <w:endnote w:type="continuationSeparator" w:id="0">
    <w:p w:rsidR="00AE041A" w:rsidRDefault="00AE041A"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796F29" w:rsidRPr="005A21E0">
      <w:rPr>
        <w:rFonts w:ascii="Arial" w:hAnsi="Arial" w:cs="Arial"/>
        <w:sz w:val="16"/>
        <w:szCs w:val="16"/>
      </w:rPr>
      <w:fldChar w:fldCharType="begin"/>
    </w:r>
    <w:r w:rsidRPr="005A21E0">
      <w:rPr>
        <w:rFonts w:ascii="Arial" w:hAnsi="Arial" w:cs="Arial"/>
        <w:sz w:val="16"/>
        <w:szCs w:val="16"/>
      </w:rPr>
      <w:instrText>PAGE   \* MERGEFORMAT</w:instrText>
    </w:r>
    <w:r w:rsidR="00796F29" w:rsidRPr="005A21E0">
      <w:rPr>
        <w:rFonts w:ascii="Arial" w:hAnsi="Arial" w:cs="Arial"/>
        <w:sz w:val="16"/>
        <w:szCs w:val="16"/>
      </w:rPr>
      <w:fldChar w:fldCharType="separate"/>
    </w:r>
    <w:r w:rsidR="00157704">
      <w:rPr>
        <w:rFonts w:ascii="Arial" w:hAnsi="Arial" w:cs="Arial"/>
        <w:noProof/>
        <w:sz w:val="16"/>
        <w:szCs w:val="16"/>
      </w:rPr>
      <w:t>24</w:t>
    </w:r>
    <w:r w:rsidR="00796F29"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B21913" w:rsidRPr="00223E00" w:rsidRDefault="00B2191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796F29"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796F29" w:rsidRPr="00223E00">
      <w:rPr>
        <w:rFonts w:ascii="Arial" w:hAnsi="Arial" w:cs="Arial"/>
        <w:sz w:val="16"/>
        <w:szCs w:val="16"/>
      </w:rPr>
      <w:fldChar w:fldCharType="separate"/>
    </w:r>
    <w:r w:rsidR="00157704">
      <w:rPr>
        <w:rFonts w:ascii="Arial" w:hAnsi="Arial" w:cs="Arial"/>
        <w:noProof/>
        <w:sz w:val="16"/>
        <w:szCs w:val="16"/>
      </w:rPr>
      <w:t>23</w:t>
    </w:r>
    <w:r w:rsidR="00796F29"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41A" w:rsidRDefault="00AE041A" w:rsidP="00E71A58">
      <w:r>
        <w:separator/>
      </w:r>
    </w:p>
  </w:footnote>
  <w:footnote w:type="continuationSeparator" w:id="0">
    <w:p w:rsidR="00AE041A" w:rsidRDefault="00AE041A" w:rsidP="00E71A58">
      <w:r>
        <w:continuationSeparator/>
      </w:r>
    </w:p>
  </w:footnote>
  <w:footnote w:id="1">
    <w:p w:rsidR="00B21913" w:rsidRPr="00611531" w:rsidRDefault="00B21913" w:rsidP="00A644E1">
      <w:pPr>
        <w:autoSpaceDE w:val="0"/>
        <w:autoSpaceDN w:val="0"/>
        <w:adjustRightInd w:val="0"/>
        <w:spacing w:line="240" w:lineRule="auto"/>
        <w:jc w:val="both"/>
        <w:rPr>
          <w:spacing w:val="-2"/>
          <w:sz w:val="16"/>
          <w:szCs w:val="16"/>
        </w:rPr>
      </w:pPr>
      <w:r w:rsidRPr="00611531">
        <w:rPr>
          <w:rStyle w:val="Znakapoznpodarou"/>
          <w:sz w:val="16"/>
          <w:szCs w:val="16"/>
        </w:rPr>
        <w:footnoteRef/>
      </w:r>
      <w:r w:rsidRPr="00611531">
        <w:rPr>
          <w:sz w:val="16"/>
          <w:szCs w:val="16"/>
        </w:rPr>
        <w:t xml:space="preserve"> </w:t>
      </w:r>
      <w:r w:rsidRPr="007842A5">
        <w:rPr>
          <w:spacing w:val="-4"/>
          <w:sz w:val="16"/>
          <w:szCs w:val="16"/>
          <w:lang w:val="en-GB"/>
        </w:rPr>
        <w:t xml:space="preserve">With respect to the consumption tax on tobacco products, the higher collection from the beginning of year 2014 was connected with the intensive pre-stocking of traders at the end of year 2013 for the reason of subsequent increase of rates.  </w:t>
      </w:r>
      <w:r w:rsidRPr="007842A5">
        <w:rPr>
          <w:spacing w:val="-2"/>
          <w:sz w:val="16"/>
          <w:lang w:val="en-GB"/>
        </w:rPr>
        <w:t>As of 1.12.2014, another increase of the consumer tax rates occurred for the tobacco products, but was supplemented also by the regulation of the pre-stocking. Higher VAT basis was associated with the temporary deferring of payment of the part of excessive deductions at the beginning of year 2014 (in the amount of 8.7 </w:t>
      </w:r>
      <w:r>
        <w:rPr>
          <w:spacing w:val="-2"/>
          <w:sz w:val="16"/>
          <w:lang w:val="en-GB"/>
        </w:rPr>
        <w:t xml:space="preserve">CZK </w:t>
      </w:r>
      <w:r w:rsidRPr="007842A5">
        <w:rPr>
          <w:spacing w:val="-2"/>
          <w:sz w:val="16"/>
          <w:lang w:val="en-GB"/>
        </w:rPr>
        <w:t xml:space="preserve">bn) for the </w:t>
      </w:r>
      <w:r w:rsidR="00514FB1">
        <w:rPr>
          <w:spacing w:val="-2"/>
          <w:sz w:val="16"/>
          <w:lang w:val="en-GB"/>
        </w:rPr>
        <w:t>“</w:t>
      </w:r>
      <w:r w:rsidRPr="007842A5">
        <w:rPr>
          <w:spacing w:val="-2"/>
          <w:sz w:val="16"/>
          <w:lang w:val="en-GB"/>
        </w:rPr>
        <w:t>non-settled</w:t>
      </w:r>
      <w:r w:rsidR="00514FB1">
        <w:rPr>
          <w:spacing w:val="-2"/>
          <w:sz w:val="16"/>
          <w:lang w:val="en-GB"/>
        </w:rPr>
        <w:t>”</w:t>
      </w:r>
      <w:r w:rsidRPr="007842A5">
        <w:rPr>
          <w:spacing w:val="-2"/>
          <w:sz w:val="16"/>
          <w:lang w:val="en-GB"/>
        </w:rPr>
        <w:t xml:space="preserve"> VAT payers. Amount of 1.8 </w:t>
      </w:r>
      <w:r>
        <w:rPr>
          <w:spacing w:val="-2"/>
          <w:sz w:val="16"/>
          <w:lang w:val="en-GB"/>
        </w:rPr>
        <w:t>CZK b</w:t>
      </w:r>
      <w:r w:rsidRPr="007842A5">
        <w:rPr>
          <w:spacing w:val="-2"/>
          <w:sz w:val="16"/>
          <w:lang w:val="en-GB"/>
        </w:rPr>
        <w:t>n</w:t>
      </w:r>
      <w:r>
        <w:rPr>
          <w:spacing w:val="-2"/>
          <w:sz w:val="16"/>
          <w:lang w:val="en-GB"/>
        </w:rPr>
        <w:t xml:space="preserve"> </w:t>
      </w:r>
      <w:r w:rsidRPr="007842A5">
        <w:rPr>
          <w:spacing w:val="-2"/>
          <w:sz w:val="16"/>
          <w:lang w:val="en-GB"/>
        </w:rPr>
        <w:t xml:space="preserve">was still being deferred </w:t>
      </w:r>
      <w:r w:rsidR="00514FB1">
        <w:rPr>
          <w:spacing w:val="-2"/>
          <w:sz w:val="16"/>
          <w:lang w:val="en-GB"/>
        </w:rPr>
        <w:t xml:space="preserve">(by government authorities) </w:t>
      </w:r>
      <w:r w:rsidRPr="007842A5">
        <w:rPr>
          <w:spacing w:val="-2"/>
          <w:sz w:val="16"/>
          <w:lang w:val="en-GB"/>
        </w:rPr>
        <w:t>at the end</w:t>
      </w:r>
      <w:r>
        <w:rPr>
          <w:spacing w:val="-2"/>
          <w:sz w:val="16"/>
          <w:lang w:val="en-GB"/>
        </w:rPr>
        <w:t xml:space="preserve"> </w:t>
      </w:r>
      <w:r w:rsidRPr="007842A5">
        <w:rPr>
          <w:spacing w:val="-2"/>
          <w:sz w:val="16"/>
          <w:lang w:val="en-GB"/>
        </w:rPr>
        <w:t>of December 2014.</w:t>
      </w:r>
      <w:r>
        <w:rPr>
          <w:spacing w:val="-2"/>
          <w:sz w:val="16"/>
          <w:lang w:val="en-GB"/>
        </w:rPr>
        <w:t xml:space="preserve"> </w:t>
      </w:r>
      <w:r w:rsidRPr="007842A5">
        <w:rPr>
          <w:spacing w:val="-2"/>
          <w:sz w:val="16"/>
        </w:rPr>
        <w:t xml:space="preserve"> </w:t>
      </w:r>
    </w:p>
  </w:footnote>
  <w:footnote w:id="2">
    <w:p w:rsidR="00B21913" w:rsidRPr="008F40E1" w:rsidRDefault="00B21913" w:rsidP="003C7E11">
      <w:pPr>
        <w:pStyle w:val="Textpoznpodarou"/>
        <w:rPr>
          <w:sz w:val="16"/>
          <w:szCs w:val="16"/>
          <w:lang w:val="en-GB"/>
        </w:rPr>
      </w:pPr>
      <w:r w:rsidRPr="00E90A4B">
        <w:rPr>
          <w:rStyle w:val="Znakapoznpodarou"/>
          <w:sz w:val="16"/>
          <w:szCs w:val="16"/>
        </w:rPr>
        <w:footnoteRef/>
      </w:r>
      <w:r w:rsidRPr="00E90A4B">
        <w:rPr>
          <w:sz w:val="16"/>
          <w:szCs w:val="16"/>
        </w:rPr>
        <w:t xml:space="preserve"> </w:t>
      </w:r>
      <w:r w:rsidRPr="008F40E1">
        <w:rPr>
          <w:sz w:val="16"/>
          <w:szCs w:val="16"/>
          <w:lang w:val="en-GB"/>
        </w:rPr>
        <w:t>The data regarding the debt and deficit of the government institution sector for Q4 2015 will be published by th</w:t>
      </w:r>
      <w:r>
        <w:rPr>
          <w:sz w:val="16"/>
          <w:szCs w:val="16"/>
          <w:lang w:val="en-GB"/>
        </w:rPr>
        <w:t>e</w:t>
      </w:r>
      <w:r w:rsidRPr="008F40E1">
        <w:rPr>
          <w:sz w:val="16"/>
          <w:szCs w:val="16"/>
          <w:lang w:val="en-GB"/>
        </w:rPr>
        <w:t xml:space="preserve"> CZSO on 1st April 2016. Simultaneously, the previous data will also be revised.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3B34B7">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55C48"/>
    <w:multiLevelType w:val="hybridMultilevel"/>
    <w:tmpl w:val="7DD830D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9B70BD"/>
    <w:rsid w:val="00000FA7"/>
    <w:rsid w:val="0000191C"/>
    <w:rsid w:val="00001EFF"/>
    <w:rsid w:val="00003687"/>
    <w:rsid w:val="00003C43"/>
    <w:rsid w:val="00006026"/>
    <w:rsid w:val="00006468"/>
    <w:rsid w:val="000070E4"/>
    <w:rsid w:val="00007498"/>
    <w:rsid w:val="0000767A"/>
    <w:rsid w:val="000101F5"/>
    <w:rsid w:val="000104B9"/>
    <w:rsid w:val="000104F6"/>
    <w:rsid w:val="00010702"/>
    <w:rsid w:val="0001100E"/>
    <w:rsid w:val="00011191"/>
    <w:rsid w:val="0001159B"/>
    <w:rsid w:val="00012986"/>
    <w:rsid w:val="00014D35"/>
    <w:rsid w:val="00015195"/>
    <w:rsid w:val="0001519F"/>
    <w:rsid w:val="0001572B"/>
    <w:rsid w:val="0001573E"/>
    <w:rsid w:val="000162DB"/>
    <w:rsid w:val="00017F05"/>
    <w:rsid w:val="000202C6"/>
    <w:rsid w:val="00020946"/>
    <w:rsid w:val="00022B41"/>
    <w:rsid w:val="00022EA9"/>
    <w:rsid w:val="00023F1E"/>
    <w:rsid w:val="00024887"/>
    <w:rsid w:val="00024CBA"/>
    <w:rsid w:val="00025501"/>
    <w:rsid w:val="00026998"/>
    <w:rsid w:val="000304C4"/>
    <w:rsid w:val="0003066A"/>
    <w:rsid w:val="00030F14"/>
    <w:rsid w:val="000311C5"/>
    <w:rsid w:val="00031A35"/>
    <w:rsid w:val="00032838"/>
    <w:rsid w:val="00032C12"/>
    <w:rsid w:val="00035CCF"/>
    <w:rsid w:val="00035FC6"/>
    <w:rsid w:val="000366C7"/>
    <w:rsid w:val="00037667"/>
    <w:rsid w:val="0004075D"/>
    <w:rsid w:val="000411E1"/>
    <w:rsid w:val="00043E05"/>
    <w:rsid w:val="0004694F"/>
    <w:rsid w:val="000500DC"/>
    <w:rsid w:val="00052172"/>
    <w:rsid w:val="00053672"/>
    <w:rsid w:val="00053CBA"/>
    <w:rsid w:val="00054E43"/>
    <w:rsid w:val="00055059"/>
    <w:rsid w:val="000553E4"/>
    <w:rsid w:val="000567FA"/>
    <w:rsid w:val="00057864"/>
    <w:rsid w:val="00057C16"/>
    <w:rsid w:val="00060F26"/>
    <w:rsid w:val="00062D43"/>
    <w:rsid w:val="00062EC5"/>
    <w:rsid w:val="00064256"/>
    <w:rsid w:val="00065712"/>
    <w:rsid w:val="0006631E"/>
    <w:rsid w:val="000663A1"/>
    <w:rsid w:val="000706A4"/>
    <w:rsid w:val="00071F80"/>
    <w:rsid w:val="00072118"/>
    <w:rsid w:val="00073173"/>
    <w:rsid w:val="000773FF"/>
    <w:rsid w:val="000779AC"/>
    <w:rsid w:val="00082C2D"/>
    <w:rsid w:val="00083803"/>
    <w:rsid w:val="00084393"/>
    <w:rsid w:val="0008716A"/>
    <w:rsid w:val="00087634"/>
    <w:rsid w:val="00091237"/>
    <w:rsid w:val="0009191B"/>
    <w:rsid w:val="000920EC"/>
    <w:rsid w:val="00092208"/>
    <w:rsid w:val="00092505"/>
    <w:rsid w:val="00092C9A"/>
    <w:rsid w:val="00092E37"/>
    <w:rsid w:val="000935D1"/>
    <w:rsid w:val="0009763F"/>
    <w:rsid w:val="00097D02"/>
    <w:rsid w:val="000A1183"/>
    <w:rsid w:val="000A2121"/>
    <w:rsid w:val="000A2484"/>
    <w:rsid w:val="000A2525"/>
    <w:rsid w:val="000A26DC"/>
    <w:rsid w:val="000A36CE"/>
    <w:rsid w:val="000A3F13"/>
    <w:rsid w:val="000A59BF"/>
    <w:rsid w:val="000A66C2"/>
    <w:rsid w:val="000B1CFE"/>
    <w:rsid w:val="000B210A"/>
    <w:rsid w:val="000B249B"/>
    <w:rsid w:val="000B3DB9"/>
    <w:rsid w:val="000B3F02"/>
    <w:rsid w:val="000B4192"/>
    <w:rsid w:val="000B48A2"/>
    <w:rsid w:val="000B48E7"/>
    <w:rsid w:val="000B4F41"/>
    <w:rsid w:val="000B7663"/>
    <w:rsid w:val="000B76DE"/>
    <w:rsid w:val="000C10BC"/>
    <w:rsid w:val="000C11D3"/>
    <w:rsid w:val="000C12F5"/>
    <w:rsid w:val="000C164D"/>
    <w:rsid w:val="000C3408"/>
    <w:rsid w:val="000C45A4"/>
    <w:rsid w:val="000C481B"/>
    <w:rsid w:val="000C5C0F"/>
    <w:rsid w:val="000C6498"/>
    <w:rsid w:val="000D0D51"/>
    <w:rsid w:val="000D14B3"/>
    <w:rsid w:val="000D208B"/>
    <w:rsid w:val="000D2B8D"/>
    <w:rsid w:val="000D2E41"/>
    <w:rsid w:val="000D342A"/>
    <w:rsid w:val="000D5E7A"/>
    <w:rsid w:val="000D5FAA"/>
    <w:rsid w:val="000D6206"/>
    <w:rsid w:val="000D65A4"/>
    <w:rsid w:val="000D6AEF"/>
    <w:rsid w:val="000E025B"/>
    <w:rsid w:val="000E0ECB"/>
    <w:rsid w:val="000E153A"/>
    <w:rsid w:val="000E19A8"/>
    <w:rsid w:val="000E2ABE"/>
    <w:rsid w:val="000E3200"/>
    <w:rsid w:val="000E3280"/>
    <w:rsid w:val="000E4A42"/>
    <w:rsid w:val="000E6476"/>
    <w:rsid w:val="000E65AE"/>
    <w:rsid w:val="000E78D2"/>
    <w:rsid w:val="000F2E58"/>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D1B"/>
    <w:rsid w:val="00103D44"/>
    <w:rsid w:val="00103E41"/>
    <w:rsid w:val="001041B6"/>
    <w:rsid w:val="001041BA"/>
    <w:rsid w:val="00105478"/>
    <w:rsid w:val="00105D1F"/>
    <w:rsid w:val="001070EA"/>
    <w:rsid w:val="0011002A"/>
    <w:rsid w:val="001107CE"/>
    <w:rsid w:val="0011110A"/>
    <w:rsid w:val="001118AF"/>
    <w:rsid w:val="00111CA5"/>
    <w:rsid w:val="0011256E"/>
    <w:rsid w:val="00112905"/>
    <w:rsid w:val="0011352E"/>
    <w:rsid w:val="00113819"/>
    <w:rsid w:val="00114FC0"/>
    <w:rsid w:val="00116DB9"/>
    <w:rsid w:val="00116F28"/>
    <w:rsid w:val="00121C39"/>
    <w:rsid w:val="00123255"/>
    <w:rsid w:val="00124D2D"/>
    <w:rsid w:val="00124DA1"/>
    <w:rsid w:val="00125326"/>
    <w:rsid w:val="00125CB5"/>
    <w:rsid w:val="00127535"/>
    <w:rsid w:val="001305C4"/>
    <w:rsid w:val="001307BE"/>
    <w:rsid w:val="00130C8F"/>
    <w:rsid w:val="001314F2"/>
    <w:rsid w:val="001317DA"/>
    <w:rsid w:val="001323BA"/>
    <w:rsid w:val="0013254D"/>
    <w:rsid w:val="00133AAC"/>
    <w:rsid w:val="00133FBD"/>
    <w:rsid w:val="00134EBC"/>
    <w:rsid w:val="00136561"/>
    <w:rsid w:val="00137A68"/>
    <w:rsid w:val="001400E1"/>
    <w:rsid w:val="001405FA"/>
    <w:rsid w:val="001413B3"/>
    <w:rsid w:val="00141743"/>
    <w:rsid w:val="001425C3"/>
    <w:rsid w:val="00142F16"/>
    <w:rsid w:val="00143E03"/>
    <w:rsid w:val="00143E93"/>
    <w:rsid w:val="00151AC0"/>
    <w:rsid w:val="00151B27"/>
    <w:rsid w:val="00152046"/>
    <w:rsid w:val="00153047"/>
    <w:rsid w:val="00154147"/>
    <w:rsid w:val="00154F81"/>
    <w:rsid w:val="00155746"/>
    <w:rsid w:val="00156318"/>
    <w:rsid w:val="0015639A"/>
    <w:rsid w:val="00157704"/>
    <w:rsid w:val="00157F98"/>
    <w:rsid w:val="0016081D"/>
    <w:rsid w:val="00160CF3"/>
    <w:rsid w:val="00160E61"/>
    <w:rsid w:val="001620FA"/>
    <w:rsid w:val="00162853"/>
    <w:rsid w:val="00162C34"/>
    <w:rsid w:val="0016373B"/>
    <w:rsid w:val="00163793"/>
    <w:rsid w:val="001648D6"/>
    <w:rsid w:val="00165935"/>
    <w:rsid w:val="001707DE"/>
    <w:rsid w:val="00170B04"/>
    <w:rsid w:val="00170F47"/>
    <w:rsid w:val="001714F2"/>
    <w:rsid w:val="00171ABF"/>
    <w:rsid w:val="00173642"/>
    <w:rsid w:val="00173AF4"/>
    <w:rsid w:val="00173CB0"/>
    <w:rsid w:val="00174CE8"/>
    <w:rsid w:val="00175351"/>
    <w:rsid w:val="00175F60"/>
    <w:rsid w:val="00175FB4"/>
    <w:rsid w:val="00176050"/>
    <w:rsid w:val="001764D8"/>
    <w:rsid w:val="0017660D"/>
    <w:rsid w:val="00176A8F"/>
    <w:rsid w:val="00180D04"/>
    <w:rsid w:val="00180D58"/>
    <w:rsid w:val="00181DB4"/>
    <w:rsid w:val="001827A9"/>
    <w:rsid w:val="00182981"/>
    <w:rsid w:val="00184CF9"/>
    <w:rsid w:val="00185010"/>
    <w:rsid w:val="001852EC"/>
    <w:rsid w:val="00186447"/>
    <w:rsid w:val="001874CF"/>
    <w:rsid w:val="00190D9B"/>
    <w:rsid w:val="00191BAE"/>
    <w:rsid w:val="00193432"/>
    <w:rsid w:val="0019346C"/>
    <w:rsid w:val="001946B9"/>
    <w:rsid w:val="00194D0F"/>
    <w:rsid w:val="00195444"/>
    <w:rsid w:val="00197D35"/>
    <w:rsid w:val="001A199D"/>
    <w:rsid w:val="001A2BDB"/>
    <w:rsid w:val="001A30F4"/>
    <w:rsid w:val="001A4C0D"/>
    <w:rsid w:val="001A552F"/>
    <w:rsid w:val="001A56F3"/>
    <w:rsid w:val="001A750C"/>
    <w:rsid w:val="001B1D89"/>
    <w:rsid w:val="001B3110"/>
    <w:rsid w:val="001B4198"/>
    <w:rsid w:val="001B44BC"/>
    <w:rsid w:val="001B618F"/>
    <w:rsid w:val="001B639E"/>
    <w:rsid w:val="001B6545"/>
    <w:rsid w:val="001B681B"/>
    <w:rsid w:val="001B6A49"/>
    <w:rsid w:val="001B74FB"/>
    <w:rsid w:val="001B77A1"/>
    <w:rsid w:val="001C0422"/>
    <w:rsid w:val="001C0E0E"/>
    <w:rsid w:val="001C0EB9"/>
    <w:rsid w:val="001C1219"/>
    <w:rsid w:val="001C2912"/>
    <w:rsid w:val="001C357A"/>
    <w:rsid w:val="001C3A37"/>
    <w:rsid w:val="001C4384"/>
    <w:rsid w:val="001C58FF"/>
    <w:rsid w:val="001C65FF"/>
    <w:rsid w:val="001D1A17"/>
    <w:rsid w:val="001D23E4"/>
    <w:rsid w:val="001D40C2"/>
    <w:rsid w:val="001D47E5"/>
    <w:rsid w:val="001D5536"/>
    <w:rsid w:val="001D584C"/>
    <w:rsid w:val="001D5E1B"/>
    <w:rsid w:val="001D66C1"/>
    <w:rsid w:val="001D7C6F"/>
    <w:rsid w:val="001E0024"/>
    <w:rsid w:val="001E0C65"/>
    <w:rsid w:val="001E23E3"/>
    <w:rsid w:val="001E25A6"/>
    <w:rsid w:val="001E387A"/>
    <w:rsid w:val="001E3DA4"/>
    <w:rsid w:val="001E5830"/>
    <w:rsid w:val="001E684C"/>
    <w:rsid w:val="001E6EB9"/>
    <w:rsid w:val="001E701C"/>
    <w:rsid w:val="001E7C03"/>
    <w:rsid w:val="001F02AF"/>
    <w:rsid w:val="001F0649"/>
    <w:rsid w:val="001F28F4"/>
    <w:rsid w:val="001F3055"/>
    <w:rsid w:val="001F31BC"/>
    <w:rsid w:val="001F378E"/>
    <w:rsid w:val="001F3C79"/>
    <w:rsid w:val="001F3E68"/>
    <w:rsid w:val="001F4597"/>
    <w:rsid w:val="001F56A9"/>
    <w:rsid w:val="001F5C50"/>
    <w:rsid w:val="001F5C6A"/>
    <w:rsid w:val="001F670A"/>
    <w:rsid w:val="001F726C"/>
    <w:rsid w:val="00200D15"/>
    <w:rsid w:val="00203074"/>
    <w:rsid w:val="00203B46"/>
    <w:rsid w:val="002048E1"/>
    <w:rsid w:val="00207DB6"/>
    <w:rsid w:val="00210278"/>
    <w:rsid w:val="0021030B"/>
    <w:rsid w:val="00210CC2"/>
    <w:rsid w:val="00210F5B"/>
    <w:rsid w:val="00210FFA"/>
    <w:rsid w:val="00211262"/>
    <w:rsid w:val="002115F5"/>
    <w:rsid w:val="002118FC"/>
    <w:rsid w:val="00211AC9"/>
    <w:rsid w:val="0021355B"/>
    <w:rsid w:val="00214C52"/>
    <w:rsid w:val="002175EB"/>
    <w:rsid w:val="002179F9"/>
    <w:rsid w:val="002205F2"/>
    <w:rsid w:val="0022080E"/>
    <w:rsid w:val="0022139E"/>
    <w:rsid w:val="0022168A"/>
    <w:rsid w:val="0022272B"/>
    <w:rsid w:val="00222A99"/>
    <w:rsid w:val="00223678"/>
    <w:rsid w:val="002236F7"/>
    <w:rsid w:val="00223E00"/>
    <w:rsid w:val="002252E0"/>
    <w:rsid w:val="002255F6"/>
    <w:rsid w:val="00226466"/>
    <w:rsid w:val="002266D0"/>
    <w:rsid w:val="00226887"/>
    <w:rsid w:val="00230DAD"/>
    <w:rsid w:val="0023229C"/>
    <w:rsid w:val="00232AEF"/>
    <w:rsid w:val="0023355C"/>
    <w:rsid w:val="00234280"/>
    <w:rsid w:val="00235000"/>
    <w:rsid w:val="002350E3"/>
    <w:rsid w:val="00235330"/>
    <w:rsid w:val="0023629A"/>
    <w:rsid w:val="002363AE"/>
    <w:rsid w:val="00236443"/>
    <w:rsid w:val="00240355"/>
    <w:rsid w:val="00240773"/>
    <w:rsid w:val="00240815"/>
    <w:rsid w:val="00240A5B"/>
    <w:rsid w:val="00240C76"/>
    <w:rsid w:val="002436BA"/>
    <w:rsid w:val="002444ED"/>
    <w:rsid w:val="0024481A"/>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4AF7"/>
    <w:rsid w:val="00265536"/>
    <w:rsid w:val="00265E54"/>
    <w:rsid w:val="00266F3E"/>
    <w:rsid w:val="0026715A"/>
    <w:rsid w:val="00272464"/>
    <w:rsid w:val="00273DCD"/>
    <w:rsid w:val="00274291"/>
    <w:rsid w:val="00276CFE"/>
    <w:rsid w:val="00277071"/>
    <w:rsid w:val="0027786C"/>
    <w:rsid w:val="002778B0"/>
    <w:rsid w:val="00277BF7"/>
    <w:rsid w:val="00281416"/>
    <w:rsid w:val="00285986"/>
    <w:rsid w:val="00285CD3"/>
    <w:rsid w:val="0028686A"/>
    <w:rsid w:val="00286E66"/>
    <w:rsid w:val="002902F0"/>
    <w:rsid w:val="002919B5"/>
    <w:rsid w:val="00293441"/>
    <w:rsid w:val="00294238"/>
    <w:rsid w:val="0029493E"/>
    <w:rsid w:val="00296C2E"/>
    <w:rsid w:val="002A1B05"/>
    <w:rsid w:val="002A2420"/>
    <w:rsid w:val="002A267F"/>
    <w:rsid w:val="002A3354"/>
    <w:rsid w:val="002A35EA"/>
    <w:rsid w:val="002A37B6"/>
    <w:rsid w:val="002A3BD5"/>
    <w:rsid w:val="002A43A2"/>
    <w:rsid w:val="002A44ED"/>
    <w:rsid w:val="002A4612"/>
    <w:rsid w:val="002A4F70"/>
    <w:rsid w:val="002A5263"/>
    <w:rsid w:val="002A5C4A"/>
    <w:rsid w:val="002A6821"/>
    <w:rsid w:val="002A74D2"/>
    <w:rsid w:val="002A7CDA"/>
    <w:rsid w:val="002A7F47"/>
    <w:rsid w:val="002B08A8"/>
    <w:rsid w:val="002B1544"/>
    <w:rsid w:val="002B36C8"/>
    <w:rsid w:val="002B7240"/>
    <w:rsid w:val="002C1A8A"/>
    <w:rsid w:val="002C2668"/>
    <w:rsid w:val="002C3B51"/>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68A4"/>
    <w:rsid w:val="002F7594"/>
    <w:rsid w:val="002F77D2"/>
    <w:rsid w:val="00301357"/>
    <w:rsid w:val="00301D04"/>
    <w:rsid w:val="003035D4"/>
    <w:rsid w:val="00303DCB"/>
    <w:rsid w:val="00304771"/>
    <w:rsid w:val="00305736"/>
    <w:rsid w:val="00306C5B"/>
    <w:rsid w:val="00306E3B"/>
    <w:rsid w:val="003119B6"/>
    <w:rsid w:val="00312C3D"/>
    <w:rsid w:val="00313A6E"/>
    <w:rsid w:val="00313F7B"/>
    <w:rsid w:val="00314331"/>
    <w:rsid w:val="00316A67"/>
    <w:rsid w:val="00317E31"/>
    <w:rsid w:val="00320214"/>
    <w:rsid w:val="003209D6"/>
    <w:rsid w:val="0032109A"/>
    <w:rsid w:val="0032214F"/>
    <w:rsid w:val="00322164"/>
    <w:rsid w:val="00323CF7"/>
    <w:rsid w:val="00323E61"/>
    <w:rsid w:val="0032513D"/>
    <w:rsid w:val="003258C0"/>
    <w:rsid w:val="00326251"/>
    <w:rsid w:val="0032739C"/>
    <w:rsid w:val="00327DEE"/>
    <w:rsid w:val="003302DA"/>
    <w:rsid w:val="00330712"/>
    <w:rsid w:val="00330EB0"/>
    <w:rsid w:val="003329F3"/>
    <w:rsid w:val="0033352E"/>
    <w:rsid w:val="00333690"/>
    <w:rsid w:val="00333D20"/>
    <w:rsid w:val="00333F53"/>
    <w:rsid w:val="003340EF"/>
    <w:rsid w:val="00334A49"/>
    <w:rsid w:val="0033536F"/>
    <w:rsid w:val="00335BB0"/>
    <w:rsid w:val="0033627B"/>
    <w:rsid w:val="003406BD"/>
    <w:rsid w:val="00340D97"/>
    <w:rsid w:val="00342932"/>
    <w:rsid w:val="00343474"/>
    <w:rsid w:val="00343F84"/>
    <w:rsid w:val="00344135"/>
    <w:rsid w:val="003450E2"/>
    <w:rsid w:val="00351B63"/>
    <w:rsid w:val="003523CC"/>
    <w:rsid w:val="00352E57"/>
    <w:rsid w:val="00353BEC"/>
    <w:rsid w:val="003541B0"/>
    <w:rsid w:val="0035457E"/>
    <w:rsid w:val="00355885"/>
    <w:rsid w:val="0035605E"/>
    <w:rsid w:val="00357449"/>
    <w:rsid w:val="0036238B"/>
    <w:rsid w:val="003651A4"/>
    <w:rsid w:val="00365680"/>
    <w:rsid w:val="003657C9"/>
    <w:rsid w:val="003657F3"/>
    <w:rsid w:val="00365CF1"/>
    <w:rsid w:val="00367038"/>
    <w:rsid w:val="00370963"/>
    <w:rsid w:val="0037144E"/>
    <w:rsid w:val="00371B97"/>
    <w:rsid w:val="003736B5"/>
    <w:rsid w:val="00374F1E"/>
    <w:rsid w:val="00376DEC"/>
    <w:rsid w:val="00377200"/>
    <w:rsid w:val="00380CDB"/>
    <w:rsid w:val="00380E04"/>
    <w:rsid w:val="00382D95"/>
    <w:rsid w:val="00383227"/>
    <w:rsid w:val="00384D8F"/>
    <w:rsid w:val="00385D98"/>
    <w:rsid w:val="00385EC5"/>
    <w:rsid w:val="0038658E"/>
    <w:rsid w:val="00386BA4"/>
    <w:rsid w:val="0039066E"/>
    <w:rsid w:val="00391C95"/>
    <w:rsid w:val="003937D5"/>
    <w:rsid w:val="00394D49"/>
    <w:rsid w:val="00396DAC"/>
    <w:rsid w:val="003A0214"/>
    <w:rsid w:val="003A027D"/>
    <w:rsid w:val="003A1467"/>
    <w:rsid w:val="003A1D74"/>
    <w:rsid w:val="003A2B4D"/>
    <w:rsid w:val="003A2D2B"/>
    <w:rsid w:val="003A2DD4"/>
    <w:rsid w:val="003A3B1C"/>
    <w:rsid w:val="003A4088"/>
    <w:rsid w:val="003A478C"/>
    <w:rsid w:val="003A4F82"/>
    <w:rsid w:val="003A5525"/>
    <w:rsid w:val="003A6B38"/>
    <w:rsid w:val="003B2580"/>
    <w:rsid w:val="003B2E63"/>
    <w:rsid w:val="003B3189"/>
    <w:rsid w:val="003B34B7"/>
    <w:rsid w:val="003B3A9D"/>
    <w:rsid w:val="003B3DDD"/>
    <w:rsid w:val="003B5031"/>
    <w:rsid w:val="003B5A32"/>
    <w:rsid w:val="003B5CD8"/>
    <w:rsid w:val="003B6105"/>
    <w:rsid w:val="003C03CC"/>
    <w:rsid w:val="003C04C4"/>
    <w:rsid w:val="003C26F4"/>
    <w:rsid w:val="003C3686"/>
    <w:rsid w:val="003C4852"/>
    <w:rsid w:val="003C5BC7"/>
    <w:rsid w:val="003C5DD4"/>
    <w:rsid w:val="003C601E"/>
    <w:rsid w:val="003C7E11"/>
    <w:rsid w:val="003D2C4E"/>
    <w:rsid w:val="003D3600"/>
    <w:rsid w:val="003D37E2"/>
    <w:rsid w:val="003D3825"/>
    <w:rsid w:val="003D3EC4"/>
    <w:rsid w:val="003D4760"/>
    <w:rsid w:val="003D49DC"/>
    <w:rsid w:val="003D5D7A"/>
    <w:rsid w:val="003D65A7"/>
    <w:rsid w:val="003E0663"/>
    <w:rsid w:val="003E133F"/>
    <w:rsid w:val="003E39A8"/>
    <w:rsid w:val="003E49F6"/>
    <w:rsid w:val="003E699C"/>
    <w:rsid w:val="003E69F3"/>
    <w:rsid w:val="003E782E"/>
    <w:rsid w:val="003E7A0B"/>
    <w:rsid w:val="003E7B2B"/>
    <w:rsid w:val="003F181F"/>
    <w:rsid w:val="003F1A48"/>
    <w:rsid w:val="003F2B0A"/>
    <w:rsid w:val="003F313C"/>
    <w:rsid w:val="003F341B"/>
    <w:rsid w:val="003F37FC"/>
    <w:rsid w:val="003F4616"/>
    <w:rsid w:val="003F49A6"/>
    <w:rsid w:val="003F5098"/>
    <w:rsid w:val="003F5568"/>
    <w:rsid w:val="003F5A95"/>
    <w:rsid w:val="003F6D19"/>
    <w:rsid w:val="004000D5"/>
    <w:rsid w:val="004005C1"/>
    <w:rsid w:val="00401716"/>
    <w:rsid w:val="00401A09"/>
    <w:rsid w:val="00402496"/>
    <w:rsid w:val="0040273A"/>
    <w:rsid w:val="00402C25"/>
    <w:rsid w:val="00404AC3"/>
    <w:rsid w:val="004050D7"/>
    <w:rsid w:val="004075B0"/>
    <w:rsid w:val="004078BD"/>
    <w:rsid w:val="00410132"/>
    <w:rsid w:val="00410BCD"/>
    <w:rsid w:val="0041175D"/>
    <w:rsid w:val="004123BE"/>
    <w:rsid w:val="00414CE5"/>
    <w:rsid w:val="00416673"/>
    <w:rsid w:val="0042160D"/>
    <w:rsid w:val="004216B5"/>
    <w:rsid w:val="00423A3C"/>
    <w:rsid w:val="0042681B"/>
    <w:rsid w:val="00426E99"/>
    <w:rsid w:val="00427193"/>
    <w:rsid w:val="0043068A"/>
    <w:rsid w:val="004306E0"/>
    <w:rsid w:val="00430FC9"/>
    <w:rsid w:val="00431D54"/>
    <w:rsid w:val="004329BE"/>
    <w:rsid w:val="00432C38"/>
    <w:rsid w:val="004342EC"/>
    <w:rsid w:val="00437C76"/>
    <w:rsid w:val="0044105C"/>
    <w:rsid w:val="00443283"/>
    <w:rsid w:val="004441A0"/>
    <w:rsid w:val="00444268"/>
    <w:rsid w:val="00444326"/>
    <w:rsid w:val="004443BF"/>
    <w:rsid w:val="00444A7F"/>
    <w:rsid w:val="00444C19"/>
    <w:rsid w:val="00445218"/>
    <w:rsid w:val="00445CDD"/>
    <w:rsid w:val="00446892"/>
    <w:rsid w:val="00446E39"/>
    <w:rsid w:val="00447E36"/>
    <w:rsid w:val="00450C30"/>
    <w:rsid w:val="00451DCC"/>
    <w:rsid w:val="004540AA"/>
    <w:rsid w:val="004540FF"/>
    <w:rsid w:val="004541F1"/>
    <w:rsid w:val="004549B0"/>
    <w:rsid w:val="00455ECA"/>
    <w:rsid w:val="00457296"/>
    <w:rsid w:val="00457320"/>
    <w:rsid w:val="00460164"/>
    <w:rsid w:val="0046039A"/>
    <w:rsid w:val="00460A6B"/>
    <w:rsid w:val="00461977"/>
    <w:rsid w:val="00461C48"/>
    <w:rsid w:val="004629FD"/>
    <w:rsid w:val="00463B4B"/>
    <w:rsid w:val="00463F4D"/>
    <w:rsid w:val="0046471F"/>
    <w:rsid w:val="00464BD1"/>
    <w:rsid w:val="00464BE8"/>
    <w:rsid w:val="00465019"/>
    <w:rsid w:val="00465FA4"/>
    <w:rsid w:val="0046613F"/>
    <w:rsid w:val="0046655D"/>
    <w:rsid w:val="0046765E"/>
    <w:rsid w:val="004676E2"/>
    <w:rsid w:val="00471EDD"/>
    <w:rsid w:val="00473E94"/>
    <w:rsid w:val="00473EE2"/>
    <w:rsid w:val="0047400C"/>
    <w:rsid w:val="004745D9"/>
    <w:rsid w:val="004762D8"/>
    <w:rsid w:val="004765B3"/>
    <w:rsid w:val="00476D29"/>
    <w:rsid w:val="00477241"/>
    <w:rsid w:val="00477EAF"/>
    <w:rsid w:val="00477EE0"/>
    <w:rsid w:val="00480AB8"/>
    <w:rsid w:val="0048139F"/>
    <w:rsid w:val="00481C00"/>
    <w:rsid w:val="0048212D"/>
    <w:rsid w:val="00483053"/>
    <w:rsid w:val="00484874"/>
    <w:rsid w:val="00485230"/>
    <w:rsid w:val="00486D82"/>
    <w:rsid w:val="004879E9"/>
    <w:rsid w:val="00487B4F"/>
    <w:rsid w:val="00487F81"/>
    <w:rsid w:val="00490247"/>
    <w:rsid w:val="0049104F"/>
    <w:rsid w:val="00491218"/>
    <w:rsid w:val="00491CFD"/>
    <w:rsid w:val="0049263A"/>
    <w:rsid w:val="00493036"/>
    <w:rsid w:val="00493362"/>
    <w:rsid w:val="00494343"/>
    <w:rsid w:val="00496C2F"/>
    <w:rsid w:val="00496D92"/>
    <w:rsid w:val="0049729F"/>
    <w:rsid w:val="0049740D"/>
    <w:rsid w:val="004978D3"/>
    <w:rsid w:val="004A11F8"/>
    <w:rsid w:val="004A217A"/>
    <w:rsid w:val="004A22BD"/>
    <w:rsid w:val="004A22FA"/>
    <w:rsid w:val="004A269A"/>
    <w:rsid w:val="004A30FB"/>
    <w:rsid w:val="004A35DD"/>
    <w:rsid w:val="004A37D3"/>
    <w:rsid w:val="004A3AD6"/>
    <w:rsid w:val="004A3FB7"/>
    <w:rsid w:val="004A5865"/>
    <w:rsid w:val="004A77DF"/>
    <w:rsid w:val="004B0295"/>
    <w:rsid w:val="004B0803"/>
    <w:rsid w:val="004B10A8"/>
    <w:rsid w:val="004B22DA"/>
    <w:rsid w:val="004B3CB7"/>
    <w:rsid w:val="004B3D55"/>
    <w:rsid w:val="004B55B7"/>
    <w:rsid w:val="004B6EC5"/>
    <w:rsid w:val="004B7704"/>
    <w:rsid w:val="004C00A6"/>
    <w:rsid w:val="004C0BBB"/>
    <w:rsid w:val="004C1AD6"/>
    <w:rsid w:val="004C1B86"/>
    <w:rsid w:val="004C3382"/>
    <w:rsid w:val="004C3867"/>
    <w:rsid w:val="004C4AB7"/>
    <w:rsid w:val="004C4CD0"/>
    <w:rsid w:val="004C57B5"/>
    <w:rsid w:val="004C5C25"/>
    <w:rsid w:val="004C6717"/>
    <w:rsid w:val="004C6982"/>
    <w:rsid w:val="004C6CFF"/>
    <w:rsid w:val="004C70DC"/>
    <w:rsid w:val="004C7268"/>
    <w:rsid w:val="004D0211"/>
    <w:rsid w:val="004D1C9C"/>
    <w:rsid w:val="004D504B"/>
    <w:rsid w:val="004D536E"/>
    <w:rsid w:val="004D76CC"/>
    <w:rsid w:val="004E1839"/>
    <w:rsid w:val="004E4A75"/>
    <w:rsid w:val="004E541A"/>
    <w:rsid w:val="004E5A5C"/>
    <w:rsid w:val="004E6721"/>
    <w:rsid w:val="004E7007"/>
    <w:rsid w:val="004E731D"/>
    <w:rsid w:val="004E76D6"/>
    <w:rsid w:val="004E7F57"/>
    <w:rsid w:val="004F06F5"/>
    <w:rsid w:val="004F0C7C"/>
    <w:rsid w:val="004F191F"/>
    <w:rsid w:val="004F2476"/>
    <w:rsid w:val="004F2A73"/>
    <w:rsid w:val="004F33A0"/>
    <w:rsid w:val="004F37BE"/>
    <w:rsid w:val="004F4352"/>
    <w:rsid w:val="004F4353"/>
    <w:rsid w:val="004F447D"/>
    <w:rsid w:val="004F4C28"/>
    <w:rsid w:val="004F4E82"/>
    <w:rsid w:val="004F5CC5"/>
    <w:rsid w:val="004F6350"/>
    <w:rsid w:val="005028E1"/>
    <w:rsid w:val="005033F1"/>
    <w:rsid w:val="00503EF7"/>
    <w:rsid w:val="0050692E"/>
    <w:rsid w:val="00507040"/>
    <w:rsid w:val="005073C7"/>
    <w:rsid w:val="0050747C"/>
    <w:rsid w:val="005079F8"/>
    <w:rsid w:val="00507B84"/>
    <w:rsid w:val="005100D5"/>
    <w:rsid w:val="00510189"/>
    <w:rsid w:val="005108C0"/>
    <w:rsid w:val="00511873"/>
    <w:rsid w:val="00513B7E"/>
    <w:rsid w:val="005140DE"/>
    <w:rsid w:val="00514474"/>
    <w:rsid w:val="005147E9"/>
    <w:rsid w:val="00514FB1"/>
    <w:rsid w:val="005152B2"/>
    <w:rsid w:val="00515D06"/>
    <w:rsid w:val="0051778E"/>
    <w:rsid w:val="005215EF"/>
    <w:rsid w:val="00523BEC"/>
    <w:rsid w:val="00524637"/>
    <w:rsid w:val="00524962"/>
    <w:rsid w:val="00524FDD"/>
    <w:rsid w:val="00525137"/>
    <w:rsid w:val="005251DD"/>
    <w:rsid w:val="00526DB6"/>
    <w:rsid w:val="0053017A"/>
    <w:rsid w:val="00530492"/>
    <w:rsid w:val="00532854"/>
    <w:rsid w:val="00532E6C"/>
    <w:rsid w:val="005342F6"/>
    <w:rsid w:val="005350F2"/>
    <w:rsid w:val="00535152"/>
    <w:rsid w:val="00535359"/>
    <w:rsid w:val="005357A2"/>
    <w:rsid w:val="00535C70"/>
    <w:rsid w:val="00535D87"/>
    <w:rsid w:val="00535EF0"/>
    <w:rsid w:val="005363DF"/>
    <w:rsid w:val="0053734B"/>
    <w:rsid w:val="005375B1"/>
    <w:rsid w:val="00537AFD"/>
    <w:rsid w:val="00537CB4"/>
    <w:rsid w:val="00544422"/>
    <w:rsid w:val="0054516B"/>
    <w:rsid w:val="0054559E"/>
    <w:rsid w:val="00546888"/>
    <w:rsid w:val="00550297"/>
    <w:rsid w:val="005513D5"/>
    <w:rsid w:val="005523B9"/>
    <w:rsid w:val="005545E0"/>
    <w:rsid w:val="00554865"/>
    <w:rsid w:val="00554E57"/>
    <w:rsid w:val="00556828"/>
    <w:rsid w:val="005622CD"/>
    <w:rsid w:val="00562749"/>
    <w:rsid w:val="00562DE9"/>
    <w:rsid w:val="005638A5"/>
    <w:rsid w:val="00566381"/>
    <w:rsid w:val="0056640C"/>
    <w:rsid w:val="00566A03"/>
    <w:rsid w:val="00570772"/>
    <w:rsid w:val="00571932"/>
    <w:rsid w:val="00573C97"/>
    <w:rsid w:val="00574240"/>
    <w:rsid w:val="00575CDC"/>
    <w:rsid w:val="005765D5"/>
    <w:rsid w:val="00576A3E"/>
    <w:rsid w:val="0057703D"/>
    <w:rsid w:val="00577861"/>
    <w:rsid w:val="0058134C"/>
    <w:rsid w:val="005828FD"/>
    <w:rsid w:val="0058366F"/>
    <w:rsid w:val="00583D5B"/>
    <w:rsid w:val="00583FFD"/>
    <w:rsid w:val="00587216"/>
    <w:rsid w:val="00587CCD"/>
    <w:rsid w:val="005908AE"/>
    <w:rsid w:val="0059153E"/>
    <w:rsid w:val="0059176E"/>
    <w:rsid w:val="00591AF8"/>
    <w:rsid w:val="00592377"/>
    <w:rsid w:val="00592854"/>
    <w:rsid w:val="00593152"/>
    <w:rsid w:val="00593CA3"/>
    <w:rsid w:val="00594161"/>
    <w:rsid w:val="00594969"/>
    <w:rsid w:val="00595590"/>
    <w:rsid w:val="00596C5E"/>
    <w:rsid w:val="005A2194"/>
    <w:rsid w:val="005A21E0"/>
    <w:rsid w:val="005A33A1"/>
    <w:rsid w:val="005A3C7C"/>
    <w:rsid w:val="005A54EE"/>
    <w:rsid w:val="005A563B"/>
    <w:rsid w:val="005A7500"/>
    <w:rsid w:val="005A77E4"/>
    <w:rsid w:val="005B0321"/>
    <w:rsid w:val="005B0418"/>
    <w:rsid w:val="005B1BDB"/>
    <w:rsid w:val="005B2BAA"/>
    <w:rsid w:val="005B2D53"/>
    <w:rsid w:val="005B3247"/>
    <w:rsid w:val="005B3409"/>
    <w:rsid w:val="005B489E"/>
    <w:rsid w:val="005B498A"/>
    <w:rsid w:val="005B7B12"/>
    <w:rsid w:val="005C16CB"/>
    <w:rsid w:val="005C21D6"/>
    <w:rsid w:val="005C3F9F"/>
    <w:rsid w:val="005C406F"/>
    <w:rsid w:val="005C4244"/>
    <w:rsid w:val="005C4A23"/>
    <w:rsid w:val="005C562C"/>
    <w:rsid w:val="005C5812"/>
    <w:rsid w:val="005C6400"/>
    <w:rsid w:val="005C7122"/>
    <w:rsid w:val="005C7F1E"/>
    <w:rsid w:val="005D374F"/>
    <w:rsid w:val="005D5802"/>
    <w:rsid w:val="005D6CFC"/>
    <w:rsid w:val="005D73E2"/>
    <w:rsid w:val="005D757A"/>
    <w:rsid w:val="005E1859"/>
    <w:rsid w:val="005E1E4B"/>
    <w:rsid w:val="005E362D"/>
    <w:rsid w:val="005E492C"/>
    <w:rsid w:val="005E4BAA"/>
    <w:rsid w:val="005E52EF"/>
    <w:rsid w:val="005E5525"/>
    <w:rsid w:val="005E5B56"/>
    <w:rsid w:val="005E6088"/>
    <w:rsid w:val="005E61DF"/>
    <w:rsid w:val="005E6B65"/>
    <w:rsid w:val="005E6B78"/>
    <w:rsid w:val="005E75B8"/>
    <w:rsid w:val="005F01DE"/>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10BD5"/>
    <w:rsid w:val="00611531"/>
    <w:rsid w:val="006118AA"/>
    <w:rsid w:val="006123FD"/>
    <w:rsid w:val="006139C7"/>
    <w:rsid w:val="00613F86"/>
    <w:rsid w:val="006153E3"/>
    <w:rsid w:val="0061679C"/>
    <w:rsid w:val="006167AB"/>
    <w:rsid w:val="00617B14"/>
    <w:rsid w:val="00617D2D"/>
    <w:rsid w:val="00617D83"/>
    <w:rsid w:val="00620430"/>
    <w:rsid w:val="0062076A"/>
    <w:rsid w:val="00620AC5"/>
    <w:rsid w:val="00621575"/>
    <w:rsid w:val="006215FC"/>
    <w:rsid w:val="00621B50"/>
    <w:rsid w:val="00622BFE"/>
    <w:rsid w:val="00624093"/>
    <w:rsid w:val="00630F66"/>
    <w:rsid w:val="00631A82"/>
    <w:rsid w:val="00631FC2"/>
    <w:rsid w:val="00632171"/>
    <w:rsid w:val="0063332A"/>
    <w:rsid w:val="006347F9"/>
    <w:rsid w:val="0063494E"/>
    <w:rsid w:val="00634C90"/>
    <w:rsid w:val="00635E79"/>
    <w:rsid w:val="00636E5E"/>
    <w:rsid w:val="006379E0"/>
    <w:rsid w:val="006404A7"/>
    <w:rsid w:val="006407F3"/>
    <w:rsid w:val="006408EC"/>
    <w:rsid w:val="0064129B"/>
    <w:rsid w:val="00643EF9"/>
    <w:rsid w:val="00644DFC"/>
    <w:rsid w:val="006451E4"/>
    <w:rsid w:val="0064543C"/>
    <w:rsid w:val="006454B4"/>
    <w:rsid w:val="00645A9C"/>
    <w:rsid w:val="006460B8"/>
    <w:rsid w:val="00647505"/>
    <w:rsid w:val="006504A0"/>
    <w:rsid w:val="0065065D"/>
    <w:rsid w:val="006520C7"/>
    <w:rsid w:val="00652CBB"/>
    <w:rsid w:val="006530B8"/>
    <w:rsid w:val="006535D6"/>
    <w:rsid w:val="00654301"/>
    <w:rsid w:val="0065614E"/>
    <w:rsid w:val="00656312"/>
    <w:rsid w:val="006572ED"/>
    <w:rsid w:val="00657E87"/>
    <w:rsid w:val="00660457"/>
    <w:rsid w:val="0066086C"/>
    <w:rsid w:val="00660917"/>
    <w:rsid w:val="00660E1E"/>
    <w:rsid w:val="006637B1"/>
    <w:rsid w:val="00664B64"/>
    <w:rsid w:val="00665215"/>
    <w:rsid w:val="00665D67"/>
    <w:rsid w:val="00665D77"/>
    <w:rsid w:val="006660CD"/>
    <w:rsid w:val="00666EC8"/>
    <w:rsid w:val="00666F4B"/>
    <w:rsid w:val="006676D0"/>
    <w:rsid w:val="0066796E"/>
    <w:rsid w:val="00667B3B"/>
    <w:rsid w:val="00670FAC"/>
    <w:rsid w:val="006710C9"/>
    <w:rsid w:val="006716A5"/>
    <w:rsid w:val="00672886"/>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1374"/>
    <w:rsid w:val="00693EA1"/>
    <w:rsid w:val="00693FEA"/>
    <w:rsid w:val="00694460"/>
    <w:rsid w:val="00694930"/>
    <w:rsid w:val="00695170"/>
    <w:rsid w:val="00695BEF"/>
    <w:rsid w:val="00695DE9"/>
    <w:rsid w:val="006960D6"/>
    <w:rsid w:val="00696AA5"/>
    <w:rsid w:val="006977F6"/>
    <w:rsid w:val="00697A13"/>
    <w:rsid w:val="006A0951"/>
    <w:rsid w:val="006A109C"/>
    <w:rsid w:val="006A18AE"/>
    <w:rsid w:val="006A2EE8"/>
    <w:rsid w:val="006A33CF"/>
    <w:rsid w:val="006A3CF3"/>
    <w:rsid w:val="006A568F"/>
    <w:rsid w:val="006A65EF"/>
    <w:rsid w:val="006A672B"/>
    <w:rsid w:val="006A6FB8"/>
    <w:rsid w:val="006B23A9"/>
    <w:rsid w:val="006B3F8A"/>
    <w:rsid w:val="006B5CA3"/>
    <w:rsid w:val="006B5EEB"/>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5C8C"/>
    <w:rsid w:val="006D61F6"/>
    <w:rsid w:val="006E0EB0"/>
    <w:rsid w:val="006E0F26"/>
    <w:rsid w:val="006E1F4C"/>
    <w:rsid w:val="006E22C8"/>
    <w:rsid w:val="006E279A"/>
    <w:rsid w:val="006E2B48"/>
    <w:rsid w:val="006E2F3F"/>
    <w:rsid w:val="006E313B"/>
    <w:rsid w:val="006E442A"/>
    <w:rsid w:val="006E4434"/>
    <w:rsid w:val="006E59FC"/>
    <w:rsid w:val="006E5CFD"/>
    <w:rsid w:val="006E638B"/>
    <w:rsid w:val="006E6976"/>
    <w:rsid w:val="006E7D88"/>
    <w:rsid w:val="006E7E2C"/>
    <w:rsid w:val="006F1326"/>
    <w:rsid w:val="006F2BEE"/>
    <w:rsid w:val="006F3458"/>
    <w:rsid w:val="006F3708"/>
    <w:rsid w:val="006F3E6B"/>
    <w:rsid w:val="006F4619"/>
    <w:rsid w:val="006F4A59"/>
    <w:rsid w:val="00700232"/>
    <w:rsid w:val="007014C7"/>
    <w:rsid w:val="007025D8"/>
    <w:rsid w:val="00702682"/>
    <w:rsid w:val="00702D6F"/>
    <w:rsid w:val="00703163"/>
    <w:rsid w:val="00703B6C"/>
    <w:rsid w:val="00703C6B"/>
    <w:rsid w:val="007047D5"/>
    <w:rsid w:val="00705D98"/>
    <w:rsid w:val="00707891"/>
    <w:rsid w:val="00707D43"/>
    <w:rsid w:val="00711EF1"/>
    <w:rsid w:val="0071229A"/>
    <w:rsid w:val="00712572"/>
    <w:rsid w:val="00713495"/>
    <w:rsid w:val="00713EEB"/>
    <w:rsid w:val="007159D2"/>
    <w:rsid w:val="007177E9"/>
    <w:rsid w:val="0072050E"/>
    <w:rsid w:val="00720FA2"/>
    <w:rsid w:val="007211F5"/>
    <w:rsid w:val="00724666"/>
    <w:rsid w:val="00726043"/>
    <w:rsid w:val="0072704A"/>
    <w:rsid w:val="00730AE8"/>
    <w:rsid w:val="00731963"/>
    <w:rsid w:val="00731CA1"/>
    <w:rsid w:val="00733E39"/>
    <w:rsid w:val="00734321"/>
    <w:rsid w:val="0073532E"/>
    <w:rsid w:val="00740310"/>
    <w:rsid w:val="00740652"/>
    <w:rsid w:val="00740848"/>
    <w:rsid w:val="00740F02"/>
    <w:rsid w:val="00740FEC"/>
    <w:rsid w:val="0074132E"/>
    <w:rsid w:val="00741493"/>
    <w:rsid w:val="007426B3"/>
    <w:rsid w:val="007426FD"/>
    <w:rsid w:val="0074329D"/>
    <w:rsid w:val="00743CEB"/>
    <w:rsid w:val="00744376"/>
    <w:rsid w:val="007449EA"/>
    <w:rsid w:val="00744D00"/>
    <w:rsid w:val="00745273"/>
    <w:rsid w:val="00746DD9"/>
    <w:rsid w:val="0075057A"/>
    <w:rsid w:val="00751771"/>
    <w:rsid w:val="00751C1C"/>
    <w:rsid w:val="00751D40"/>
    <w:rsid w:val="00752180"/>
    <w:rsid w:val="007521A1"/>
    <w:rsid w:val="00752BC3"/>
    <w:rsid w:val="0075315D"/>
    <w:rsid w:val="007538F9"/>
    <w:rsid w:val="00754253"/>
    <w:rsid w:val="007552BB"/>
    <w:rsid w:val="007558D3"/>
    <w:rsid w:val="007559D7"/>
    <w:rsid w:val="00755D3A"/>
    <w:rsid w:val="00757BF6"/>
    <w:rsid w:val="00760141"/>
    <w:rsid w:val="007609C6"/>
    <w:rsid w:val="007610A0"/>
    <w:rsid w:val="007619CD"/>
    <w:rsid w:val="007620F2"/>
    <w:rsid w:val="00762EBA"/>
    <w:rsid w:val="0076359D"/>
    <w:rsid w:val="00763FEB"/>
    <w:rsid w:val="00767393"/>
    <w:rsid w:val="0077058D"/>
    <w:rsid w:val="00772536"/>
    <w:rsid w:val="00773613"/>
    <w:rsid w:val="00774782"/>
    <w:rsid w:val="00776476"/>
    <w:rsid w:val="00776527"/>
    <w:rsid w:val="00776B92"/>
    <w:rsid w:val="007805E1"/>
    <w:rsid w:val="0078113E"/>
    <w:rsid w:val="00781834"/>
    <w:rsid w:val="007821DB"/>
    <w:rsid w:val="00782818"/>
    <w:rsid w:val="007838F1"/>
    <w:rsid w:val="007842A5"/>
    <w:rsid w:val="00784442"/>
    <w:rsid w:val="00784A0E"/>
    <w:rsid w:val="00784C4A"/>
    <w:rsid w:val="00787432"/>
    <w:rsid w:val="00787507"/>
    <w:rsid w:val="007879F2"/>
    <w:rsid w:val="0079008B"/>
    <w:rsid w:val="00791CF8"/>
    <w:rsid w:val="00791EF9"/>
    <w:rsid w:val="00792262"/>
    <w:rsid w:val="00793387"/>
    <w:rsid w:val="00793BAE"/>
    <w:rsid w:val="00794E0A"/>
    <w:rsid w:val="00796642"/>
    <w:rsid w:val="00796F29"/>
    <w:rsid w:val="007A11D9"/>
    <w:rsid w:val="007A327B"/>
    <w:rsid w:val="007A45B1"/>
    <w:rsid w:val="007A4606"/>
    <w:rsid w:val="007B0D67"/>
    <w:rsid w:val="007B1966"/>
    <w:rsid w:val="007B2779"/>
    <w:rsid w:val="007B3DCC"/>
    <w:rsid w:val="007B4518"/>
    <w:rsid w:val="007B4FE1"/>
    <w:rsid w:val="007B5031"/>
    <w:rsid w:val="007B573F"/>
    <w:rsid w:val="007B6A6B"/>
    <w:rsid w:val="007C0065"/>
    <w:rsid w:val="007C010B"/>
    <w:rsid w:val="007C3384"/>
    <w:rsid w:val="007C4C07"/>
    <w:rsid w:val="007C605B"/>
    <w:rsid w:val="007D152D"/>
    <w:rsid w:val="007D1E65"/>
    <w:rsid w:val="007D2A5A"/>
    <w:rsid w:val="007D2AD8"/>
    <w:rsid w:val="007D2C47"/>
    <w:rsid w:val="007D3167"/>
    <w:rsid w:val="007D4128"/>
    <w:rsid w:val="007D4281"/>
    <w:rsid w:val="007D42F5"/>
    <w:rsid w:val="007D44C3"/>
    <w:rsid w:val="007D5947"/>
    <w:rsid w:val="007D65C1"/>
    <w:rsid w:val="007D6DD0"/>
    <w:rsid w:val="007D71F5"/>
    <w:rsid w:val="007D7CAD"/>
    <w:rsid w:val="007E030F"/>
    <w:rsid w:val="007E0839"/>
    <w:rsid w:val="007E0E59"/>
    <w:rsid w:val="007E0F4B"/>
    <w:rsid w:val="007E3715"/>
    <w:rsid w:val="007E3720"/>
    <w:rsid w:val="007E7E61"/>
    <w:rsid w:val="007F0012"/>
    <w:rsid w:val="007F0845"/>
    <w:rsid w:val="007F16F9"/>
    <w:rsid w:val="007F2953"/>
    <w:rsid w:val="007F3E3E"/>
    <w:rsid w:val="007F42E0"/>
    <w:rsid w:val="007F4476"/>
    <w:rsid w:val="007F48F0"/>
    <w:rsid w:val="007F500D"/>
    <w:rsid w:val="007F5F14"/>
    <w:rsid w:val="007F7737"/>
    <w:rsid w:val="007F7B54"/>
    <w:rsid w:val="00800073"/>
    <w:rsid w:val="008005D7"/>
    <w:rsid w:val="00801FDD"/>
    <w:rsid w:val="008020C2"/>
    <w:rsid w:val="0080255C"/>
    <w:rsid w:val="008042A9"/>
    <w:rsid w:val="008047F9"/>
    <w:rsid w:val="008112E9"/>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01B"/>
    <w:rsid w:val="00827181"/>
    <w:rsid w:val="0082733C"/>
    <w:rsid w:val="00827746"/>
    <w:rsid w:val="00830447"/>
    <w:rsid w:val="0083143E"/>
    <w:rsid w:val="0083159D"/>
    <w:rsid w:val="008318FF"/>
    <w:rsid w:val="00832187"/>
    <w:rsid w:val="008323E8"/>
    <w:rsid w:val="00832493"/>
    <w:rsid w:val="008330B5"/>
    <w:rsid w:val="008336D8"/>
    <w:rsid w:val="008339C4"/>
    <w:rsid w:val="00834F0A"/>
    <w:rsid w:val="00834FAA"/>
    <w:rsid w:val="00835181"/>
    <w:rsid w:val="00835991"/>
    <w:rsid w:val="00836086"/>
    <w:rsid w:val="00840699"/>
    <w:rsid w:val="00840DED"/>
    <w:rsid w:val="00841D9F"/>
    <w:rsid w:val="00842604"/>
    <w:rsid w:val="00843ECF"/>
    <w:rsid w:val="00846673"/>
    <w:rsid w:val="0085281A"/>
    <w:rsid w:val="008559FE"/>
    <w:rsid w:val="00857339"/>
    <w:rsid w:val="00860706"/>
    <w:rsid w:val="00862A7A"/>
    <w:rsid w:val="00862DA0"/>
    <w:rsid w:val="00863104"/>
    <w:rsid w:val="008636CD"/>
    <w:rsid w:val="00863D9E"/>
    <w:rsid w:val="00863FDC"/>
    <w:rsid w:val="008642AF"/>
    <w:rsid w:val="00865ED4"/>
    <w:rsid w:val="00866561"/>
    <w:rsid w:val="008669A7"/>
    <w:rsid w:val="00867462"/>
    <w:rsid w:val="00867527"/>
    <w:rsid w:val="00867E29"/>
    <w:rsid w:val="00870F2B"/>
    <w:rsid w:val="00872D92"/>
    <w:rsid w:val="00873D52"/>
    <w:rsid w:val="008746E6"/>
    <w:rsid w:val="008752FB"/>
    <w:rsid w:val="0087594C"/>
    <w:rsid w:val="00876086"/>
    <w:rsid w:val="008768D6"/>
    <w:rsid w:val="008775D1"/>
    <w:rsid w:val="008777BB"/>
    <w:rsid w:val="00877D68"/>
    <w:rsid w:val="00877E51"/>
    <w:rsid w:val="00877E5D"/>
    <w:rsid w:val="00880150"/>
    <w:rsid w:val="00880ABA"/>
    <w:rsid w:val="00881A75"/>
    <w:rsid w:val="00881F72"/>
    <w:rsid w:val="00883A67"/>
    <w:rsid w:val="00883D45"/>
    <w:rsid w:val="00884D69"/>
    <w:rsid w:val="0088503D"/>
    <w:rsid w:val="00886005"/>
    <w:rsid w:val="00886A8F"/>
    <w:rsid w:val="0088733A"/>
    <w:rsid w:val="008902DB"/>
    <w:rsid w:val="00891BE0"/>
    <w:rsid w:val="00893302"/>
    <w:rsid w:val="00893648"/>
    <w:rsid w:val="00893F3C"/>
    <w:rsid w:val="008945A1"/>
    <w:rsid w:val="00894A63"/>
    <w:rsid w:val="008954A8"/>
    <w:rsid w:val="00895A54"/>
    <w:rsid w:val="00896916"/>
    <w:rsid w:val="00896BDE"/>
    <w:rsid w:val="00897CC5"/>
    <w:rsid w:val="008A0861"/>
    <w:rsid w:val="008A0BB2"/>
    <w:rsid w:val="008A0BF6"/>
    <w:rsid w:val="008A1546"/>
    <w:rsid w:val="008A1AB3"/>
    <w:rsid w:val="008A1D5C"/>
    <w:rsid w:val="008A3292"/>
    <w:rsid w:val="008A3A85"/>
    <w:rsid w:val="008A43E9"/>
    <w:rsid w:val="008A4CB1"/>
    <w:rsid w:val="008A615E"/>
    <w:rsid w:val="008A632B"/>
    <w:rsid w:val="008A6BFE"/>
    <w:rsid w:val="008B00C2"/>
    <w:rsid w:val="008B07EF"/>
    <w:rsid w:val="008B16DE"/>
    <w:rsid w:val="008B17ED"/>
    <w:rsid w:val="008B190E"/>
    <w:rsid w:val="008B1A8A"/>
    <w:rsid w:val="008B1C17"/>
    <w:rsid w:val="008B1FC9"/>
    <w:rsid w:val="008B6B67"/>
    <w:rsid w:val="008B7306"/>
    <w:rsid w:val="008B775F"/>
    <w:rsid w:val="008B7C02"/>
    <w:rsid w:val="008B7D10"/>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C87"/>
    <w:rsid w:val="008D3F3D"/>
    <w:rsid w:val="008D4245"/>
    <w:rsid w:val="008E0367"/>
    <w:rsid w:val="008E2F41"/>
    <w:rsid w:val="008E308D"/>
    <w:rsid w:val="008E31FF"/>
    <w:rsid w:val="008E3867"/>
    <w:rsid w:val="008E46A3"/>
    <w:rsid w:val="008E5DE6"/>
    <w:rsid w:val="008E6073"/>
    <w:rsid w:val="008E6113"/>
    <w:rsid w:val="008E6AB3"/>
    <w:rsid w:val="008E6AD3"/>
    <w:rsid w:val="008E71A6"/>
    <w:rsid w:val="008E77B6"/>
    <w:rsid w:val="008E7C55"/>
    <w:rsid w:val="008F032E"/>
    <w:rsid w:val="008F0F14"/>
    <w:rsid w:val="008F40E1"/>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7A41"/>
    <w:rsid w:val="009102BD"/>
    <w:rsid w:val="00910F93"/>
    <w:rsid w:val="0091255A"/>
    <w:rsid w:val="009128CD"/>
    <w:rsid w:val="009141A1"/>
    <w:rsid w:val="00914426"/>
    <w:rsid w:val="00914EDB"/>
    <w:rsid w:val="0091675F"/>
    <w:rsid w:val="00917709"/>
    <w:rsid w:val="00917918"/>
    <w:rsid w:val="00920874"/>
    <w:rsid w:val="00921370"/>
    <w:rsid w:val="00921F14"/>
    <w:rsid w:val="00923750"/>
    <w:rsid w:val="009243A5"/>
    <w:rsid w:val="009250D2"/>
    <w:rsid w:val="0092540B"/>
    <w:rsid w:val="00926283"/>
    <w:rsid w:val="00934CE8"/>
    <w:rsid w:val="00937B11"/>
    <w:rsid w:val="00940F1F"/>
    <w:rsid w:val="00941250"/>
    <w:rsid w:val="0094427A"/>
    <w:rsid w:val="00944380"/>
    <w:rsid w:val="00945932"/>
    <w:rsid w:val="009459C5"/>
    <w:rsid w:val="0094626C"/>
    <w:rsid w:val="0095013A"/>
    <w:rsid w:val="009505E4"/>
    <w:rsid w:val="009511A7"/>
    <w:rsid w:val="00953AEF"/>
    <w:rsid w:val="009551E2"/>
    <w:rsid w:val="00955783"/>
    <w:rsid w:val="00955E5F"/>
    <w:rsid w:val="009560B0"/>
    <w:rsid w:val="00956F23"/>
    <w:rsid w:val="00957871"/>
    <w:rsid w:val="00960077"/>
    <w:rsid w:val="00960769"/>
    <w:rsid w:val="00962D2E"/>
    <w:rsid w:val="00963724"/>
    <w:rsid w:val="00963FA1"/>
    <w:rsid w:val="00964498"/>
    <w:rsid w:val="0096504D"/>
    <w:rsid w:val="00965A2D"/>
    <w:rsid w:val="009663EB"/>
    <w:rsid w:val="0096650F"/>
    <w:rsid w:val="00967AD2"/>
    <w:rsid w:val="009700DB"/>
    <w:rsid w:val="00971DC6"/>
    <w:rsid w:val="00972263"/>
    <w:rsid w:val="00972492"/>
    <w:rsid w:val="00972502"/>
    <w:rsid w:val="009729B5"/>
    <w:rsid w:val="00972D8D"/>
    <w:rsid w:val="00973AAE"/>
    <w:rsid w:val="0097476C"/>
    <w:rsid w:val="00974923"/>
    <w:rsid w:val="00974D48"/>
    <w:rsid w:val="00974D5F"/>
    <w:rsid w:val="00974FBF"/>
    <w:rsid w:val="00975017"/>
    <w:rsid w:val="009759DF"/>
    <w:rsid w:val="00977537"/>
    <w:rsid w:val="00980373"/>
    <w:rsid w:val="00980621"/>
    <w:rsid w:val="00982072"/>
    <w:rsid w:val="009833FA"/>
    <w:rsid w:val="00983DBB"/>
    <w:rsid w:val="00983ECF"/>
    <w:rsid w:val="00986745"/>
    <w:rsid w:val="009867BC"/>
    <w:rsid w:val="0098688F"/>
    <w:rsid w:val="00987109"/>
    <w:rsid w:val="00987309"/>
    <w:rsid w:val="0099012D"/>
    <w:rsid w:val="00990363"/>
    <w:rsid w:val="009954FF"/>
    <w:rsid w:val="00995BDD"/>
    <w:rsid w:val="009961BC"/>
    <w:rsid w:val="00996355"/>
    <w:rsid w:val="00997EE9"/>
    <w:rsid w:val="009A2014"/>
    <w:rsid w:val="009A3A87"/>
    <w:rsid w:val="009A4E12"/>
    <w:rsid w:val="009A5C68"/>
    <w:rsid w:val="009A6EF7"/>
    <w:rsid w:val="009B04D0"/>
    <w:rsid w:val="009B052C"/>
    <w:rsid w:val="009B0EF2"/>
    <w:rsid w:val="009B146D"/>
    <w:rsid w:val="009B23A3"/>
    <w:rsid w:val="009B4830"/>
    <w:rsid w:val="009B4925"/>
    <w:rsid w:val="009B4B4B"/>
    <w:rsid w:val="009B5DD6"/>
    <w:rsid w:val="009B6FD3"/>
    <w:rsid w:val="009B70BD"/>
    <w:rsid w:val="009B747B"/>
    <w:rsid w:val="009C07A5"/>
    <w:rsid w:val="009C4152"/>
    <w:rsid w:val="009C7388"/>
    <w:rsid w:val="009C7A48"/>
    <w:rsid w:val="009D0CFF"/>
    <w:rsid w:val="009D1551"/>
    <w:rsid w:val="009D1C80"/>
    <w:rsid w:val="009D2859"/>
    <w:rsid w:val="009D36EC"/>
    <w:rsid w:val="009D4173"/>
    <w:rsid w:val="009D4AD5"/>
    <w:rsid w:val="009D6095"/>
    <w:rsid w:val="009D6306"/>
    <w:rsid w:val="009D750A"/>
    <w:rsid w:val="009E048A"/>
    <w:rsid w:val="009E1FBA"/>
    <w:rsid w:val="009E2C54"/>
    <w:rsid w:val="009E3710"/>
    <w:rsid w:val="009E40AE"/>
    <w:rsid w:val="009E7B1F"/>
    <w:rsid w:val="009F012D"/>
    <w:rsid w:val="009F168D"/>
    <w:rsid w:val="009F41C4"/>
    <w:rsid w:val="009F5846"/>
    <w:rsid w:val="009F7B52"/>
    <w:rsid w:val="009F7D77"/>
    <w:rsid w:val="00A01528"/>
    <w:rsid w:val="00A015EA"/>
    <w:rsid w:val="00A06467"/>
    <w:rsid w:val="00A10D66"/>
    <w:rsid w:val="00A12BA8"/>
    <w:rsid w:val="00A1420C"/>
    <w:rsid w:val="00A1456C"/>
    <w:rsid w:val="00A14821"/>
    <w:rsid w:val="00A15077"/>
    <w:rsid w:val="00A16B4C"/>
    <w:rsid w:val="00A17754"/>
    <w:rsid w:val="00A2055B"/>
    <w:rsid w:val="00A2253C"/>
    <w:rsid w:val="00A23545"/>
    <w:rsid w:val="00A23A55"/>
    <w:rsid w:val="00A23E43"/>
    <w:rsid w:val="00A24F8C"/>
    <w:rsid w:val="00A262BF"/>
    <w:rsid w:val="00A271AD"/>
    <w:rsid w:val="00A276D5"/>
    <w:rsid w:val="00A30336"/>
    <w:rsid w:val="00A30BB5"/>
    <w:rsid w:val="00A3128F"/>
    <w:rsid w:val="00A31B69"/>
    <w:rsid w:val="00A32462"/>
    <w:rsid w:val="00A326D0"/>
    <w:rsid w:val="00A34AD9"/>
    <w:rsid w:val="00A35140"/>
    <w:rsid w:val="00A35287"/>
    <w:rsid w:val="00A378F8"/>
    <w:rsid w:val="00A40B19"/>
    <w:rsid w:val="00A424F8"/>
    <w:rsid w:val="00A437B7"/>
    <w:rsid w:val="00A46D48"/>
    <w:rsid w:val="00A46DE0"/>
    <w:rsid w:val="00A4778A"/>
    <w:rsid w:val="00A504C0"/>
    <w:rsid w:val="00A5067F"/>
    <w:rsid w:val="00A523DF"/>
    <w:rsid w:val="00A55301"/>
    <w:rsid w:val="00A572FB"/>
    <w:rsid w:val="00A57B3C"/>
    <w:rsid w:val="00A57F1B"/>
    <w:rsid w:val="00A6128E"/>
    <w:rsid w:val="00A62CE1"/>
    <w:rsid w:val="00A631FA"/>
    <w:rsid w:val="00A64203"/>
    <w:rsid w:val="00A64348"/>
    <w:rsid w:val="00A644E1"/>
    <w:rsid w:val="00A721FB"/>
    <w:rsid w:val="00A727BA"/>
    <w:rsid w:val="00A72D4B"/>
    <w:rsid w:val="00A732AE"/>
    <w:rsid w:val="00A75E40"/>
    <w:rsid w:val="00A77EB2"/>
    <w:rsid w:val="00A80F0A"/>
    <w:rsid w:val="00A81094"/>
    <w:rsid w:val="00A82B66"/>
    <w:rsid w:val="00A83B58"/>
    <w:rsid w:val="00A84FAF"/>
    <w:rsid w:val="00A851B6"/>
    <w:rsid w:val="00A85729"/>
    <w:rsid w:val="00A8574B"/>
    <w:rsid w:val="00A857C0"/>
    <w:rsid w:val="00A87F6E"/>
    <w:rsid w:val="00A903FE"/>
    <w:rsid w:val="00A91336"/>
    <w:rsid w:val="00A9221C"/>
    <w:rsid w:val="00A94628"/>
    <w:rsid w:val="00A955FD"/>
    <w:rsid w:val="00A96463"/>
    <w:rsid w:val="00A976E8"/>
    <w:rsid w:val="00A97E3F"/>
    <w:rsid w:val="00AA09D3"/>
    <w:rsid w:val="00AA23FB"/>
    <w:rsid w:val="00AA3948"/>
    <w:rsid w:val="00AA42AB"/>
    <w:rsid w:val="00AA559A"/>
    <w:rsid w:val="00AA756A"/>
    <w:rsid w:val="00AB050F"/>
    <w:rsid w:val="00AB104D"/>
    <w:rsid w:val="00AB2AF1"/>
    <w:rsid w:val="00AB440B"/>
    <w:rsid w:val="00AB47E3"/>
    <w:rsid w:val="00AB74C5"/>
    <w:rsid w:val="00AB7BEE"/>
    <w:rsid w:val="00AB7DF2"/>
    <w:rsid w:val="00AC0EC6"/>
    <w:rsid w:val="00AC1A08"/>
    <w:rsid w:val="00AC1E3F"/>
    <w:rsid w:val="00AC219A"/>
    <w:rsid w:val="00AC4F18"/>
    <w:rsid w:val="00AD0442"/>
    <w:rsid w:val="00AD0B46"/>
    <w:rsid w:val="00AD1094"/>
    <w:rsid w:val="00AD209E"/>
    <w:rsid w:val="00AD2565"/>
    <w:rsid w:val="00AD306C"/>
    <w:rsid w:val="00AD3424"/>
    <w:rsid w:val="00AD50D1"/>
    <w:rsid w:val="00AD59BB"/>
    <w:rsid w:val="00AD5D68"/>
    <w:rsid w:val="00AD6C73"/>
    <w:rsid w:val="00AD7D49"/>
    <w:rsid w:val="00AE041A"/>
    <w:rsid w:val="00AE06D0"/>
    <w:rsid w:val="00AE0C0C"/>
    <w:rsid w:val="00AE1732"/>
    <w:rsid w:val="00AE1B8A"/>
    <w:rsid w:val="00AE39DC"/>
    <w:rsid w:val="00AE3CDA"/>
    <w:rsid w:val="00AE7968"/>
    <w:rsid w:val="00AF128B"/>
    <w:rsid w:val="00AF1AEA"/>
    <w:rsid w:val="00AF2852"/>
    <w:rsid w:val="00AF28D4"/>
    <w:rsid w:val="00AF3225"/>
    <w:rsid w:val="00AF518B"/>
    <w:rsid w:val="00AF5275"/>
    <w:rsid w:val="00AF6367"/>
    <w:rsid w:val="00AF6A79"/>
    <w:rsid w:val="00AF724E"/>
    <w:rsid w:val="00AF73A9"/>
    <w:rsid w:val="00AF7E75"/>
    <w:rsid w:val="00B01436"/>
    <w:rsid w:val="00B01C2C"/>
    <w:rsid w:val="00B0231C"/>
    <w:rsid w:val="00B024E8"/>
    <w:rsid w:val="00B04119"/>
    <w:rsid w:val="00B048B5"/>
    <w:rsid w:val="00B05DCF"/>
    <w:rsid w:val="00B12B11"/>
    <w:rsid w:val="00B13681"/>
    <w:rsid w:val="00B15DCD"/>
    <w:rsid w:val="00B17E71"/>
    <w:rsid w:val="00B17FDE"/>
    <w:rsid w:val="00B208FC"/>
    <w:rsid w:val="00B20C65"/>
    <w:rsid w:val="00B21913"/>
    <w:rsid w:val="00B22E17"/>
    <w:rsid w:val="00B266C5"/>
    <w:rsid w:val="00B27293"/>
    <w:rsid w:val="00B2755D"/>
    <w:rsid w:val="00B3229E"/>
    <w:rsid w:val="00B32DDB"/>
    <w:rsid w:val="00B34EC4"/>
    <w:rsid w:val="00B35174"/>
    <w:rsid w:val="00B35BEA"/>
    <w:rsid w:val="00B37915"/>
    <w:rsid w:val="00B3793D"/>
    <w:rsid w:val="00B41BE6"/>
    <w:rsid w:val="00B428A4"/>
    <w:rsid w:val="00B457E7"/>
    <w:rsid w:val="00B45D1B"/>
    <w:rsid w:val="00B46D25"/>
    <w:rsid w:val="00B47430"/>
    <w:rsid w:val="00B5023C"/>
    <w:rsid w:val="00B50F9A"/>
    <w:rsid w:val="00B51C00"/>
    <w:rsid w:val="00B52D07"/>
    <w:rsid w:val="00B52D2D"/>
    <w:rsid w:val="00B55BA8"/>
    <w:rsid w:val="00B55F15"/>
    <w:rsid w:val="00B561A6"/>
    <w:rsid w:val="00B60062"/>
    <w:rsid w:val="00B62960"/>
    <w:rsid w:val="00B63A11"/>
    <w:rsid w:val="00B63FD0"/>
    <w:rsid w:val="00B65C84"/>
    <w:rsid w:val="00B6608F"/>
    <w:rsid w:val="00B7292D"/>
    <w:rsid w:val="00B74317"/>
    <w:rsid w:val="00B76CCC"/>
    <w:rsid w:val="00B76D1E"/>
    <w:rsid w:val="00B77BC8"/>
    <w:rsid w:val="00B800EB"/>
    <w:rsid w:val="00B822D2"/>
    <w:rsid w:val="00B8288B"/>
    <w:rsid w:val="00B83D46"/>
    <w:rsid w:val="00B848B8"/>
    <w:rsid w:val="00B84A41"/>
    <w:rsid w:val="00B84D57"/>
    <w:rsid w:val="00B8504B"/>
    <w:rsid w:val="00B85689"/>
    <w:rsid w:val="00B86748"/>
    <w:rsid w:val="00B907EA"/>
    <w:rsid w:val="00B918A9"/>
    <w:rsid w:val="00B91EC9"/>
    <w:rsid w:val="00B924CA"/>
    <w:rsid w:val="00B929B8"/>
    <w:rsid w:val="00B92A4B"/>
    <w:rsid w:val="00B93384"/>
    <w:rsid w:val="00B94417"/>
    <w:rsid w:val="00B95566"/>
    <w:rsid w:val="00B95940"/>
    <w:rsid w:val="00B95EF8"/>
    <w:rsid w:val="00B95F50"/>
    <w:rsid w:val="00B96BD9"/>
    <w:rsid w:val="00BA7797"/>
    <w:rsid w:val="00BB0274"/>
    <w:rsid w:val="00BB15EA"/>
    <w:rsid w:val="00BB1A6B"/>
    <w:rsid w:val="00BB1CFD"/>
    <w:rsid w:val="00BB291C"/>
    <w:rsid w:val="00BB2C53"/>
    <w:rsid w:val="00BB32DA"/>
    <w:rsid w:val="00BB3A54"/>
    <w:rsid w:val="00BB42A2"/>
    <w:rsid w:val="00BB4D26"/>
    <w:rsid w:val="00BB4E21"/>
    <w:rsid w:val="00BB7746"/>
    <w:rsid w:val="00BC22EB"/>
    <w:rsid w:val="00BC3BD6"/>
    <w:rsid w:val="00BC682B"/>
    <w:rsid w:val="00BC6B04"/>
    <w:rsid w:val="00BC6D27"/>
    <w:rsid w:val="00BD186B"/>
    <w:rsid w:val="00BD1EAC"/>
    <w:rsid w:val="00BD254C"/>
    <w:rsid w:val="00BD3428"/>
    <w:rsid w:val="00BD366B"/>
    <w:rsid w:val="00BD3B56"/>
    <w:rsid w:val="00BD47E8"/>
    <w:rsid w:val="00BD534C"/>
    <w:rsid w:val="00BD56BC"/>
    <w:rsid w:val="00BD5D91"/>
    <w:rsid w:val="00BD6615"/>
    <w:rsid w:val="00BD6D50"/>
    <w:rsid w:val="00BE0D79"/>
    <w:rsid w:val="00BE0DB0"/>
    <w:rsid w:val="00BE3381"/>
    <w:rsid w:val="00BE3F09"/>
    <w:rsid w:val="00BE5487"/>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5C71"/>
    <w:rsid w:val="00C0784A"/>
    <w:rsid w:val="00C07A1C"/>
    <w:rsid w:val="00C100E3"/>
    <w:rsid w:val="00C10B28"/>
    <w:rsid w:val="00C10D62"/>
    <w:rsid w:val="00C10FAE"/>
    <w:rsid w:val="00C123B4"/>
    <w:rsid w:val="00C12A69"/>
    <w:rsid w:val="00C13737"/>
    <w:rsid w:val="00C150BE"/>
    <w:rsid w:val="00C158B0"/>
    <w:rsid w:val="00C15A0C"/>
    <w:rsid w:val="00C15DCB"/>
    <w:rsid w:val="00C1711F"/>
    <w:rsid w:val="00C17E38"/>
    <w:rsid w:val="00C2054C"/>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94"/>
    <w:rsid w:val="00C476C5"/>
    <w:rsid w:val="00C503B0"/>
    <w:rsid w:val="00C511C2"/>
    <w:rsid w:val="00C534F3"/>
    <w:rsid w:val="00C53D82"/>
    <w:rsid w:val="00C54748"/>
    <w:rsid w:val="00C60444"/>
    <w:rsid w:val="00C60696"/>
    <w:rsid w:val="00C60EEF"/>
    <w:rsid w:val="00C6121D"/>
    <w:rsid w:val="00C615F1"/>
    <w:rsid w:val="00C61627"/>
    <w:rsid w:val="00C64E60"/>
    <w:rsid w:val="00C657A4"/>
    <w:rsid w:val="00C6736C"/>
    <w:rsid w:val="00C70925"/>
    <w:rsid w:val="00C71A1D"/>
    <w:rsid w:val="00C71EC4"/>
    <w:rsid w:val="00C723AC"/>
    <w:rsid w:val="00C72A00"/>
    <w:rsid w:val="00C7591E"/>
    <w:rsid w:val="00C75C7E"/>
    <w:rsid w:val="00C75C9B"/>
    <w:rsid w:val="00C76D8E"/>
    <w:rsid w:val="00C77833"/>
    <w:rsid w:val="00C80BF1"/>
    <w:rsid w:val="00C80C9B"/>
    <w:rsid w:val="00C8335E"/>
    <w:rsid w:val="00C83C08"/>
    <w:rsid w:val="00C83F9C"/>
    <w:rsid w:val="00C84CE3"/>
    <w:rsid w:val="00C85614"/>
    <w:rsid w:val="00C86127"/>
    <w:rsid w:val="00C8708D"/>
    <w:rsid w:val="00C90CF4"/>
    <w:rsid w:val="00C91C19"/>
    <w:rsid w:val="00C929A0"/>
    <w:rsid w:val="00C93389"/>
    <w:rsid w:val="00C937DB"/>
    <w:rsid w:val="00C94371"/>
    <w:rsid w:val="00C94519"/>
    <w:rsid w:val="00C94E83"/>
    <w:rsid w:val="00CA02B2"/>
    <w:rsid w:val="00CA0883"/>
    <w:rsid w:val="00CA140F"/>
    <w:rsid w:val="00CA17CC"/>
    <w:rsid w:val="00CA25C2"/>
    <w:rsid w:val="00CA37BB"/>
    <w:rsid w:val="00CA37CA"/>
    <w:rsid w:val="00CA5724"/>
    <w:rsid w:val="00CA6508"/>
    <w:rsid w:val="00CA6BA1"/>
    <w:rsid w:val="00CA6CD5"/>
    <w:rsid w:val="00CB1910"/>
    <w:rsid w:val="00CB2150"/>
    <w:rsid w:val="00CB28EE"/>
    <w:rsid w:val="00CB29C4"/>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089D"/>
    <w:rsid w:val="00CD2B3C"/>
    <w:rsid w:val="00CD30F6"/>
    <w:rsid w:val="00CD4B29"/>
    <w:rsid w:val="00CD6954"/>
    <w:rsid w:val="00CD6DA3"/>
    <w:rsid w:val="00CD6EF1"/>
    <w:rsid w:val="00CD7E35"/>
    <w:rsid w:val="00CE095E"/>
    <w:rsid w:val="00CE21C7"/>
    <w:rsid w:val="00CE2682"/>
    <w:rsid w:val="00CE442A"/>
    <w:rsid w:val="00CE57D8"/>
    <w:rsid w:val="00CE617A"/>
    <w:rsid w:val="00CE7F6B"/>
    <w:rsid w:val="00CF0376"/>
    <w:rsid w:val="00CF25D2"/>
    <w:rsid w:val="00CF263E"/>
    <w:rsid w:val="00CF2816"/>
    <w:rsid w:val="00CF28C2"/>
    <w:rsid w:val="00CF42BD"/>
    <w:rsid w:val="00CF51EC"/>
    <w:rsid w:val="00CF6A9D"/>
    <w:rsid w:val="00CF6CD7"/>
    <w:rsid w:val="00CF75EC"/>
    <w:rsid w:val="00CF7A70"/>
    <w:rsid w:val="00D0037A"/>
    <w:rsid w:val="00D00A5C"/>
    <w:rsid w:val="00D00CEE"/>
    <w:rsid w:val="00D00DAF"/>
    <w:rsid w:val="00D017EC"/>
    <w:rsid w:val="00D01CDA"/>
    <w:rsid w:val="00D040DD"/>
    <w:rsid w:val="00D041F9"/>
    <w:rsid w:val="00D04E1B"/>
    <w:rsid w:val="00D0547B"/>
    <w:rsid w:val="00D076DB"/>
    <w:rsid w:val="00D1067C"/>
    <w:rsid w:val="00D10F44"/>
    <w:rsid w:val="00D136D4"/>
    <w:rsid w:val="00D13830"/>
    <w:rsid w:val="00D13ECF"/>
    <w:rsid w:val="00D142E5"/>
    <w:rsid w:val="00D148CD"/>
    <w:rsid w:val="00D14EA6"/>
    <w:rsid w:val="00D1611E"/>
    <w:rsid w:val="00D16E69"/>
    <w:rsid w:val="00D205A9"/>
    <w:rsid w:val="00D208E9"/>
    <w:rsid w:val="00D217EE"/>
    <w:rsid w:val="00D245BA"/>
    <w:rsid w:val="00D26923"/>
    <w:rsid w:val="00D27063"/>
    <w:rsid w:val="00D27856"/>
    <w:rsid w:val="00D301CA"/>
    <w:rsid w:val="00D30740"/>
    <w:rsid w:val="00D3095E"/>
    <w:rsid w:val="00D31075"/>
    <w:rsid w:val="00D31445"/>
    <w:rsid w:val="00D31932"/>
    <w:rsid w:val="00D31FD1"/>
    <w:rsid w:val="00D37689"/>
    <w:rsid w:val="00D378CC"/>
    <w:rsid w:val="00D4042C"/>
    <w:rsid w:val="00D40B9E"/>
    <w:rsid w:val="00D41281"/>
    <w:rsid w:val="00D42312"/>
    <w:rsid w:val="00D43998"/>
    <w:rsid w:val="00D44A09"/>
    <w:rsid w:val="00D451E0"/>
    <w:rsid w:val="00D4615E"/>
    <w:rsid w:val="00D47318"/>
    <w:rsid w:val="00D478E2"/>
    <w:rsid w:val="00D501C2"/>
    <w:rsid w:val="00D51577"/>
    <w:rsid w:val="00D51710"/>
    <w:rsid w:val="00D5264C"/>
    <w:rsid w:val="00D547BA"/>
    <w:rsid w:val="00D55626"/>
    <w:rsid w:val="00D556BC"/>
    <w:rsid w:val="00D5626D"/>
    <w:rsid w:val="00D600C1"/>
    <w:rsid w:val="00D60277"/>
    <w:rsid w:val="00D60336"/>
    <w:rsid w:val="00D60F4D"/>
    <w:rsid w:val="00D61F88"/>
    <w:rsid w:val="00D62901"/>
    <w:rsid w:val="00D6470C"/>
    <w:rsid w:val="00D64853"/>
    <w:rsid w:val="00D64CB5"/>
    <w:rsid w:val="00D66D48"/>
    <w:rsid w:val="00D7162F"/>
    <w:rsid w:val="00D72D4B"/>
    <w:rsid w:val="00D73256"/>
    <w:rsid w:val="00D73A30"/>
    <w:rsid w:val="00D74C65"/>
    <w:rsid w:val="00D75DC2"/>
    <w:rsid w:val="00D766EF"/>
    <w:rsid w:val="00D76C03"/>
    <w:rsid w:val="00D779F4"/>
    <w:rsid w:val="00D77F8D"/>
    <w:rsid w:val="00D82462"/>
    <w:rsid w:val="00D85AC2"/>
    <w:rsid w:val="00D85F94"/>
    <w:rsid w:val="00D863D1"/>
    <w:rsid w:val="00D86879"/>
    <w:rsid w:val="00D868CE"/>
    <w:rsid w:val="00D86DAE"/>
    <w:rsid w:val="00D871A0"/>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378E"/>
    <w:rsid w:val="00DB3E9D"/>
    <w:rsid w:val="00DB47B9"/>
    <w:rsid w:val="00DB4FB8"/>
    <w:rsid w:val="00DB53CE"/>
    <w:rsid w:val="00DB549D"/>
    <w:rsid w:val="00DB5669"/>
    <w:rsid w:val="00DB5792"/>
    <w:rsid w:val="00DB6A88"/>
    <w:rsid w:val="00DB7BA4"/>
    <w:rsid w:val="00DB7E32"/>
    <w:rsid w:val="00DC0A15"/>
    <w:rsid w:val="00DC226A"/>
    <w:rsid w:val="00DC257F"/>
    <w:rsid w:val="00DC350B"/>
    <w:rsid w:val="00DC3790"/>
    <w:rsid w:val="00DC408A"/>
    <w:rsid w:val="00DC5B3B"/>
    <w:rsid w:val="00DC6796"/>
    <w:rsid w:val="00DC7315"/>
    <w:rsid w:val="00DC78DF"/>
    <w:rsid w:val="00DC7D4C"/>
    <w:rsid w:val="00DD0821"/>
    <w:rsid w:val="00DD0E32"/>
    <w:rsid w:val="00DD1DE0"/>
    <w:rsid w:val="00DD2872"/>
    <w:rsid w:val="00DD2BFE"/>
    <w:rsid w:val="00DD373E"/>
    <w:rsid w:val="00DD57AD"/>
    <w:rsid w:val="00DE009B"/>
    <w:rsid w:val="00DE06DA"/>
    <w:rsid w:val="00DE0C31"/>
    <w:rsid w:val="00DE2ED9"/>
    <w:rsid w:val="00DE319A"/>
    <w:rsid w:val="00DE3A72"/>
    <w:rsid w:val="00DE4476"/>
    <w:rsid w:val="00DF0DC3"/>
    <w:rsid w:val="00DF0DE0"/>
    <w:rsid w:val="00DF21FD"/>
    <w:rsid w:val="00DF2873"/>
    <w:rsid w:val="00DF4C74"/>
    <w:rsid w:val="00DF5578"/>
    <w:rsid w:val="00DF78DD"/>
    <w:rsid w:val="00DF7FEC"/>
    <w:rsid w:val="00E01C0E"/>
    <w:rsid w:val="00E02086"/>
    <w:rsid w:val="00E02740"/>
    <w:rsid w:val="00E03B27"/>
    <w:rsid w:val="00E03C0D"/>
    <w:rsid w:val="00E04694"/>
    <w:rsid w:val="00E049F6"/>
    <w:rsid w:val="00E04CA9"/>
    <w:rsid w:val="00E05B2B"/>
    <w:rsid w:val="00E06A2A"/>
    <w:rsid w:val="00E07D1E"/>
    <w:rsid w:val="00E07F05"/>
    <w:rsid w:val="00E127E1"/>
    <w:rsid w:val="00E13584"/>
    <w:rsid w:val="00E13FAA"/>
    <w:rsid w:val="00E144D2"/>
    <w:rsid w:val="00E144D6"/>
    <w:rsid w:val="00E15346"/>
    <w:rsid w:val="00E15B7D"/>
    <w:rsid w:val="00E16594"/>
    <w:rsid w:val="00E16D44"/>
    <w:rsid w:val="00E2097E"/>
    <w:rsid w:val="00E215EA"/>
    <w:rsid w:val="00E21CAB"/>
    <w:rsid w:val="00E221FC"/>
    <w:rsid w:val="00E23660"/>
    <w:rsid w:val="00E24619"/>
    <w:rsid w:val="00E25223"/>
    <w:rsid w:val="00E30BEA"/>
    <w:rsid w:val="00E31764"/>
    <w:rsid w:val="00E32BC2"/>
    <w:rsid w:val="00E34985"/>
    <w:rsid w:val="00E34E4A"/>
    <w:rsid w:val="00E36208"/>
    <w:rsid w:val="00E365B3"/>
    <w:rsid w:val="00E366BB"/>
    <w:rsid w:val="00E37C45"/>
    <w:rsid w:val="00E40AAA"/>
    <w:rsid w:val="00E41F3C"/>
    <w:rsid w:val="00E42444"/>
    <w:rsid w:val="00E436C0"/>
    <w:rsid w:val="00E438CF"/>
    <w:rsid w:val="00E43C41"/>
    <w:rsid w:val="00E4500E"/>
    <w:rsid w:val="00E450CE"/>
    <w:rsid w:val="00E45A00"/>
    <w:rsid w:val="00E45CE7"/>
    <w:rsid w:val="00E4631F"/>
    <w:rsid w:val="00E47CB8"/>
    <w:rsid w:val="00E522BB"/>
    <w:rsid w:val="00E539E4"/>
    <w:rsid w:val="00E5473C"/>
    <w:rsid w:val="00E569C7"/>
    <w:rsid w:val="00E56B5A"/>
    <w:rsid w:val="00E571F2"/>
    <w:rsid w:val="00E57429"/>
    <w:rsid w:val="00E61EA8"/>
    <w:rsid w:val="00E63F4B"/>
    <w:rsid w:val="00E64EA1"/>
    <w:rsid w:val="00E70510"/>
    <w:rsid w:val="00E70997"/>
    <w:rsid w:val="00E71262"/>
    <w:rsid w:val="00E71A58"/>
    <w:rsid w:val="00E737F6"/>
    <w:rsid w:val="00E74100"/>
    <w:rsid w:val="00E7568F"/>
    <w:rsid w:val="00E75D63"/>
    <w:rsid w:val="00E75FB7"/>
    <w:rsid w:val="00E7724B"/>
    <w:rsid w:val="00E8128F"/>
    <w:rsid w:val="00E84F21"/>
    <w:rsid w:val="00E8532E"/>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307"/>
    <w:rsid w:val="00EA5CD6"/>
    <w:rsid w:val="00EA76FD"/>
    <w:rsid w:val="00EB03D4"/>
    <w:rsid w:val="00EB0555"/>
    <w:rsid w:val="00EB0562"/>
    <w:rsid w:val="00EB1E12"/>
    <w:rsid w:val="00EB20A0"/>
    <w:rsid w:val="00EB30B6"/>
    <w:rsid w:val="00EB396E"/>
    <w:rsid w:val="00EB4FA4"/>
    <w:rsid w:val="00EB5146"/>
    <w:rsid w:val="00EB522B"/>
    <w:rsid w:val="00EB55E9"/>
    <w:rsid w:val="00EB5641"/>
    <w:rsid w:val="00EB5CA9"/>
    <w:rsid w:val="00EB5ED4"/>
    <w:rsid w:val="00EB6537"/>
    <w:rsid w:val="00EB6FA2"/>
    <w:rsid w:val="00EB70E1"/>
    <w:rsid w:val="00EB7EB5"/>
    <w:rsid w:val="00EC2187"/>
    <w:rsid w:val="00EC3585"/>
    <w:rsid w:val="00EC454B"/>
    <w:rsid w:val="00EC6153"/>
    <w:rsid w:val="00EC7F92"/>
    <w:rsid w:val="00ED00A8"/>
    <w:rsid w:val="00ED06A7"/>
    <w:rsid w:val="00ED0A79"/>
    <w:rsid w:val="00ED2989"/>
    <w:rsid w:val="00ED2CA5"/>
    <w:rsid w:val="00ED336F"/>
    <w:rsid w:val="00ED40F0"/>
    <w:rsid w:val="00ED4AC0"/>
    <w:rsid w:val="00ED54D6"/>
    <w:rsid w:val="00ED5726"/>
    <w:rsid w:val="00EE0113"/>
    <w:rsid w:val="00EE0298"/>
    <w:rsid w:val="00EE0384"/>
    <w:rsid w:val="00EE04C8"/>
    <w:rsid w:val="00EE10AA"/>
    <w:rsid w:val="00EE1637"/>
    <w:rsid w:val="00EE2011"/>
    <w:rsid w:val="00EE3B7A"/>
    <w:rsid w:val="00EE3E78"/>
    <w:rsid w:val="00EE495A"/>
    <w:rsid w:val="00EE4DA7"/>
    <w:rsid w:val="00EE539C"/>
    <w:rsid w:val="00EE5E02"/>
    <w:rsid w:val="00EE617D"/>
    <w:rsid w:val="00EE61BF"/>
    <w:rsid w:val="00EE6748"/>
    <w:rsid w:val="00EE6C6B"/>
    <w:rsid w:val="00EF0E75"/>
    <w:rsid w:val="00EF1F5A"/>
    <w:rsid w:val="00EF4685"/>
    <w:rsid w:val="00EF5397"/>
    <w:rsid w:val="00EF68CC"/>
    <w:rsid w:val="00EF6BE3"/>
    <w:rsid w:val="00F00D0E"/>
    <w:rsid w:val="00F00D3C"/>
    <w:rsid w:val="00F01A31"/>
    <w:rsid w:val="00F04811"/>
    <w:rsid w:val="00F0488C"/>
    <w:rsid w:val="00F0496E"/>
    <w:rsid w:val="00F04D10"/>
    <w:rsid w:val="00F0625B"/>
    <w:rsid w:val="00F101FF"/>
    <w:rsid w:val="00F104DF"/>
    <w:rsid w:val="00F10A33"/>
    <w:rsid w:val="00F1186C"/>
    <w:rsid w:val="00F11E59"/>
    <w:rsid w:val="00F12DCA"/>
    <w:rsid w:val="00F14ACD"/>
    <w:rsid w:val="00F15398"/>
    <w:rsid w:val="00F15BEF"/>
    <w:rsid w:val="00F172BE"/>
    <w:rsid w:val="00F1776C"/>
    <w:rsid w:val="00F2037E"/>
    <w:rsid w:val="00F20D17"/>
    <w:rsid w:val="00F2103E"/>
    <w:rsid w:val="00F214FC"/>
    <w:rsid w:val="00F21C31"/>
    <w:rsid w:val="00F23825"/>
    <w:rsid w:val="00F23FFF"/>
    <w:rsid w:val="00F2441D"/>
    <w:rsid w:val="00F24FAA"/>
    <w:rsid w:val="00F26197"/>
    <w:rsid w:val="00F266BD"/>
    <w:rsid w:val="00F273D4"/>
    <w:rsid w:val="00F307DD"/>
    <w:rsid w:val="00F318FC"/>
    <w:rsid w:val="00F31BAA"/>
    <w:rsid w:val="00F31F76"/>
    <w:rsid w:val="00F33263"/>
    <w:rsid w:val="00F3364D"/>
    <w:rsid w:val="00F34B26"/>
    <w:rsid w:val="00F3565E"/>
    <w:rsid w:val="00F35ACD"/>
    <w:rsid w:val="00F365BF"/>
    <w:rsid w:val="00F36BF8"/>
    <w:rsid w:val="00F36FAD"/>
    <w:rsid w:val="00F375BA"/>
    <w:rsid w:val="00F37760"/>
    <w:rsid w:val="00F403D1"/>
    <w:rsid w:val="00F43921"/>
    <w:rsid w:val="00F441A1"/>
    <w:rsid w:val="00F4524F"/>
    <w:rsid w:val="00F45530"/>
    <w:rsid w:val="00F4591F"/>
    <w:rsid w:val="00F4678D"/>
    <w:rsid w:val="00F4736B"/>
    <w:rsid w:val="00F47997"/>
    <w:rsid w:val="00F47D05"/>
    <w:rsid w:val="00F50030"/>
    <w:rsid w:val="00F502F5"/>
    <w:rsid w:val="00F50B9D"/>
    <w:rsid w:val="00F51FC9"/>
    <w:rsid w:val="00F52CAE"/>
    <w:rsid w:val="00F541ED"/>
    <w:rsid w:val="00F54B31"/>
    <w:rsid w:val="00F54FD3"/>
    <w:rsid w:val="00F555CA"/>
    <w:rsid w:val="00F55605"/>
    <w:rsid w:val="00F558B5"/>
    <w:rsid w:val="00F56793"/>
    <w:rsid w:val="00F570E8"/>
    <w:rsid w:val="00F57CD7"/>
    <w:rsid w:val="00F57DB4"/>
    <w:rsid w:val="00F62F02"/>
    <w:rsid w:val="00F63DDE"/>
    <w:rsid w:val="00F63FB7"/>
    <w:rsid w:val="00F64726"/>
    <w:rsid w:val="00F6561A"/>
    <w:rsid w:val="00F67202"/>
    <w:rsid w:val="00F70309"/>
    <w:rsid w:val="00F7078A"/>
    <w:rsid w:val="00F727D5"/>
    <w:rsid w:val="00F72F44"/>
    <w:rsid w:val="00F73A0C"/>
    <w:rsid w:val="00F759DC"/>
    <w:rsid w:val="00F75EA2"/>
    <w:rsid w:val="00F7717C"/>
    <w:rsid w:val="00F771A5"/>
    <w:rsid w:val="00F817A4"/>
    <w:rsid w:val="00F81C3A"/>
    <w:rsid w:val="00F835FC"/>
    <w:rsid w:val="00F8373A"/>
    <w:rsid w:val="00F83E21"/>
    <w:rsid w:val="00F83FA4"/>
    <w:rsid w:val="00F84E18"/>
    <w:rsid w:val="00F852E5"/>
    <w:rsid w:val="00F90C35"/>
    <w:rsid w:val="00F9310A"/>
    <w:rsid w:val="00F95117"/>
    <w:rsid w:val="00FA05D7"/>
    <w:rsid w:val="00FA1C6C"/>
    <w:rsid w:val="00FA217B"/>
    <w:rsid w:val="00FA2447"/>
    <w:rsid w:val="00FA2C2A"/>
    <w:rsid w:val="00FA309A"/>
    <w:rsid w:val="00FA6293"/>
    <w:rsid w:val="00FA7644"/>
    <w:rsid w:val="00FB0A9A"/>
    <w:rsid w:val="00FB16AD"/>
    <w:rsid w:val="00FB4207"/>
    <w:rsid w:val="00FB483B"/>
    <w:rsid w:val="00FB4E8E"/>
    <w:rsid w:val="00FB56F1"/>
    <w:rsid w:val="00FB5FD4"/>
    <w:rsid w:val="00FB67F3"/>
    <w:rsid w:val="00FC0D8A"/>
    <w:rsid w:val="00FC0E5F"/>
    <w:rsid w:val="00FC135D"/>
    <w:rsid w:val="00FC3C84"/>
    <w:rsid w:val="00FC4660"/>
    <w:rsid w:val="00FC56DE"/>
    <w:rsid w:val="00FC5A8C"/>
    <w:rsid w:val="00FC5E01"/>
    <w:rsid w:val="00FD1261"/>
    <w:rsid w:val="00FD1627"/>
    <w:rsid w:val="00FD1BBD"/>
    <w:rsid w:val="00FD473D"/>
    <w:rsid w:val="00FD4ED6"/>
    <w:rsid w:val="00FD61C8"/>
    <w:rsid w:val="00FD63CE"/>
    <w:rsid w:val="00FD7D49"/>
    <w:rsid w:val="00FE1251"/>
    <w:rsid w:val="00FE16E6"/>
    <w:rsid w:val="00FE2F78"/>
    <w:rsid w:val="00FE3510"/>
    <w:rsid w:val="00FE371D"/>
    <w:rsid w:val="00FE375F"/>
    <w:rsid w:val="00FE3D8B"/>
    <w:rsid w:val="00FE4FCB"/>
    <w:rsid w:val="00FE705E"/>
    <w:rsid w:val="00FE7E6E"/>
    <w:rsid w:val="00FF02EB"/>
    <w:rsid w:val="00FF28E0"/>
    <w:rsid w:val="00FF2FB4"/>
    <w:rsid w:val="00FF30B3"/>
    <w:rsid w:val="00FF3C97"/>
    <w:rsid w:val="00FF3DF3"/>
    <w:rsid w:val="00FF3F4C"/>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 w:type="character" w:customStyle="1" w:styleId="shorttext">
    <w:name w:val="short_text"/>
    <w:basedOn w:val="Standardnpsmoodstavce"/>
    <w:rsid w:val="007B4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9186744">
      <w:bodyDiv w:val="1"/>
      <w:marLeft w:val="0"/>
      <w:marRight w:val="0"/>
      <w:marTop w:val="0"/>
      <w:marBottom w:val="0"/>
      <w:divBdr>
        <w:top w:val="none" w:sz="0" w:space="0" w:color="auto"/>
        <w:left w:val="none" w:sz="0" w:space="0" w:color="auto"/>
        <w:bottom w:val="none" w:sz="0" w:space="0" w:color="auto"/>
        <w:right w:val="none" w:sz="0" w:space="0" w:color="auto"/>
      </w:divBdr>
    </w:div>
    <w:div w:id="34819328">
      <w:bodyDiv w:val="1"/>
      <w:marLeft w:val="0"/>
      <w:marRight w:val="0"/>
      <w:marTop w:val="0"/>
      <w:marBottom w:val="0"/>
      <w:divBdr>
        <w:top w:val="none" w:sz="0" w:space="0" w:color="auto"/>
        <w:left w:val="none" w:sz="0" w:space="0" w:color="auto"/>
        <w:bottom w:val="none" w:sz="0" w:space="0" w:color="auto"/>
        <w:right w:val="none" w:sz="0" w:space="0" w:color="auto"/>
      </w:divBdr>
    </w:div>
    <w:div w:id="50665514">
      <w:bodyDiv w:val="1"/>
      <w:marLeft w:val="0"/>
      <w:marRight w:val="0"/>
      <w:marTop w:val="0"/>
      <w:marBottom w:val="0"/>
      <w:divBdr>
        <w:top w:val="none" w:sz="0" w:space="0" w:color="auto"/>
        <w:left w:val="none" w:sz="0" w:space="0" w:color="auto"/>
        <w:bottom w:val="none" w:sz="0" w:space="0" w:color="auto"/>
        <w:right w:val="none" w:sz="0" w:space="0" w:color="auto"/>
      </w:divBdr>
    </w:div>
    <w:div w:id="129980672">
      <w:bodyDiv w:val="1"/>
      <w:marLeft w:val="0"/>
      <w:marRight w:val="0"/>
      <w:marTop w:val="0"/>
      <w:marBottom w:val="0"/>
      <w:divBdr>
        <w:top w:val="none" w:sz="0" w:space="0" w:color="auto"/>
        <w:left w:val="none" w:sz="0" w:space="0" w:color="auto"/>
        <w:bottom w:val="none" w:sz="0" w:space="0" w:color="auto"/>
        <w:right w:val="none" w:sz="0" w:space="0" w:color="auto"/>
      </w:divBdr>
    </w:div>
    <w:div w:id="150365725">
      <w:bodyDiv w:val="1"/>
      <w:marLeft w:val="0"/>
      <w:marRight w:val="0"/>
      <w:marTop w:val="0"/>
      <w:marBottom w:val="0"/>
      <w:divBdr>
        <w:top w:val="none" w:sz="0" w:space="0" w:color="auto"/>
        <w:left w:val="none" w:sz="0" w:space="0" w:color="auto"/>
        <w:bottom w:val="none" w:sz="0" w:space="0" w:color="auto"/>
        <w:right w:val="none" w:sz="0" w:space="0" w:color="auto"/>
      </w:divBdr>
    </w:div>
    <w:div w:id="167601131">
      <w:bodyDiv w:val="1"/>
      <w:marLeft w:val="0"/>
      <w:marRight w:val="0"/>
      <w:marTop w:val="0"/>
      <w:marBottom w:val="0"/>
      <w:divBdr>
        <w:top w:val="none" w:sz="0" w:space="0" w:color="auto"/>
        <w:left w:val="none" w:sz="0" w:space="0" w:color="auto"/>
        <w:bottom w:val="none" w:sz="0" w:space="0" w:color="auto"/>
        <w:right w:val="none" w:sz="0" w:space="0" w:color="auto"/>
      </w:divBdr>
    </w:div>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31963246">
      <w:bodyDiv w:val="1"/>
      <w:marLeft w:val="0"/>
      <w:marRight w:val="0"/>
      <w:marTop w:val="0"/>
      <w:marBottom w:val="0"/>
      <w:divBdr>
        <w:top w:val="none" w:sz="0" w:space="0" w:color="auto"/>
        <w:left w:val="none" w:sz="0" w:space="0" w:color="auto"/>
        <w:bottom w:val="none" w:sz="0" w:space="0" w:color="auto"/>
        <w:right w:val="none" w:sz="0" w:space="0" w:color="auto"/>
      </w:divBdr>
    </w:div>
    <w:div w:id="348682053">
      <w:bodyDiv w:val="1"/>
      <w:marLeft w:val="0"/>
      <w:marRight w:val="0"/>
      <w:marTop w:val="0"/>
      <w:marBottom w:val="0"/>
      <w:divBdr>
        <w:top w:val="none" w:sz="0" w:space="0" w:color="auto"/>
        <w:left w:val="none" w:sz="0" w:space="0" w:color="auto"/>
        <w:bottom w:val="none" w:sz="0" w:space="0" w:color="auto"/>
        <w:right w:val="none" w:sz="0" w:space="0" w:color="auto"/>
      </w:divBdr>
    </w:div>
    <w:div w:id="404836916">
      <w:bodyDiv w:val="1"/>
      <w:marLeft w:val="0"/>
      <w:marRight w:val="0"/>
      <w:marTop w:val="0"/>
      <w:marBottom w:val="0"/>
      <w:divBdr>
        <w:top w:val="none" w:sz="0" w:space="0" w:color="auto"/>
        <w:left w:val="none" w:sz="0" w:space="0" w:color="auto"/>
        <w:bottom w:val="none" w:sz="0" w:space="0" w:color="auto"/>
        <w:right w:val="none" w:sz="0" w:space="0" w:color="auto"/>
      </w:divBdr>
    </w:div>
    <w:div w:id="435830190">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74110357">
      <w:bodyDiv w:val="1"/>
      <w:marLeft w:val="0"/>
      <w:marRight w:val="0"/>
      <w:marTop w:val="0"/>
      <w:marBottom w:val="0"/>
      <w:divBdr>
        <w:top w:val="none" w:sz="0" w:space="0" w:color="auto"/>
        <w:left w:val="none" w:sz="0" w:space="0" w:color="auto"/>
        <w:bottom w:val="none" w:sz="0" w:space="0" w:color="auto"/>
        <w:right w:val="none" w:sz="0" w:space="0" w:color="auto"/>
      </w:divBdr>
    </w:div>
    <w:div w:id="497233491">
      <w:bodyDiv w:val="1"/>
      <w:marLeft w:val="0"/>
      <w:marRight w:val="0"/>
      <w:marTop w:val="0"/>
      <w:marBottom w:val="0"/>
      <w:divBdr>
        <w:top w:val="none" w:sz="0" w:space="0" w:color="auto"/>
        <w:left w:val="none" w:sz="0" w:space="0" w:color="auto"/>
        <w:bottom w:val="none" w:sz="0" w:space="0" w:color="auto"/>
        <w:right w:val="none" w:sz="0" w:space="0" w:color="auto"/>
      </w:divBdr>
    </w:div>
    <w:div w:id="502234822">
      <w:bodyDiv w:val="1"/>
      <w:marLeft w:val="0"/>
      <w:marRight w:val="0"/>
      <w:marTop w:val="0"/>
      <w:marBottom w:val="0"/>
      <w:divBdr>
        <w:top w:val="none" w:sz="0" w:space="0" w:color="auto"/>
        <w:left w:val="none" w:sz="0" w:space="0" w:color="auto"/>
        <w:bottom w:val="none" w:sz="0" w:space="0" w:color="auto"/>
        <w:right w:val="none" w:sz="0" w:space="0" w:color="auto"/>
      </w:divBdr>
    </w:div>
    <w:div w:id="528370466">
      <w:bodyDiv w:val="1"/>
      <w:marLeft w:val="0"/>
      <w:marRight w:val="0"/>
      <w:marTop w:val="0"/>
      <w:marBottom w:val="0"/>
      <w:divBdr>
        <w:top w:val="none" w:sz="0" w:space="0" w:color="auto"/>
        <w:left w:val="none" w:sz="0" w:space="0" w:color="auto"/>
        <w:bottom w:val="none" w:sz="0" w:space="0" w:color="auto"/>
        <w:right w:val="none" w:sz="0" w:space="0" w:color="auto"/>
      </w:divBdr>
    </w:div>
    <w:div w:id="541598979">
      <w:bodyDiv w:val="1"/>
      <w:marLeft w:val="0"/>
      <w:marRight w:val="0"/>
      <w:marTop w:val="0"/>
      <w:marBottom w:val="0"/>
      <w:divBdr>
        <w:top w:val="none" w:sz="0" w:space="0" w:color="auto"/>
        <w:left w:val="none" w:sz="0" w:space="0" w:color="auto"/>
        <w:bottom w:val="none" w:sz="0" w:space="0" w:color="auto"/>
        <w:right w:val="none" w:sz="0" w:space="0" w:color="auto"/>
      </w:divBdr>
    </w:div>
    <w:div w:id="556625086">
      <w:bodyDiv w:val="1"/>
      <w:marLeft w:val="0"/>
      <w:marRight w:val="0"/>
      <w:marTop w:val="0"/>
      <w:marBottom w:val="0"/>
      <w:divBdr>
        <w:top w:val="none" w:sz="0" w:space="0" w:color="auto"/>
        <w:left w:val="none" w:sz="0" w:space="0" w:color="auto"/>
        <w:bottom w:val="none" w:sz="0" w:space="0" w:color="auto"/>
        <w:right w:val="none" w:sz="0" w:space="0" w:color="auto"/>
      </w:divBdr>
    </w:div>
    <w:div w:id="56819827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
    <w:div w:id="588316833">
      <w:bodyDiv w:val="1"/>
      <w:marLeft w:val="0"/>
      <w:marRight w:val="0"/>
      <w:marTop w:val="0"/>
      <w:marBottom w:val="0"/>
      <w:divBdr>
        <w:top w:val="none" w:sz="0" w:space="0" w:color="auto"/>
        <w:left w:val="none" w:sz="0" w:space="0" w:color="auto"/>
        <w:bottom w:val="none" w:sz="0" w:space="0" w:color="auto"/>
        <w:right w:val="none" w:sz="0" w:space="0" w:color="auto"/>
      </w:divBdr>
    </w:div>
    <w:div w:id="623196708">
      <w:bodyDiv w:val="1"/>
      <w:marLeft w:val="0"/>
      <w:marRight w:val="0"/>
      <w:marTop w:val="0"/>
      <w:marBottom w:val="0"/>
      <w:divBdr>
        <w:top w:val="none" w:sz="0" w:space="0" w:color="auto"/>
        <w:left w:val="none" w:sz="0" w:space="0" w:color="auto"/>
        <w:bottom w:val="none" w:sz="0" w:space="0" w:color="auto"/>
        <w:right w:val="none" w:sz="0" w:space="0" w:color="auto"/>
      </w:divBdr>
    </w:div>
    <w:div w:id="631058813">
      <w:bodyDiv w:val="1"/>
      <w:marLeft w:val="0"/>
      <w:marRight w:val="0"/>
      <w:marTop w:val="0"/>
      <w:marBottom w:val="0"/>
      <w:divBdr>
        <w:top w:val="none" w:sz="0" w:space="0" w:color="auto"/>
        <w:left w:val="none" w:sz="0" w:space="0" w:color="auto"/>
        <w:bottom w:val="none" w:sz="0" w:space="0" w:color="auto"/>
        <w:right w:val="none" w:sz="0" w:space="0" w:color="auto"/>
      </w:divBdr>
    </w:div>
    <w:div w:id="704446898">
      <w:bodyDiv w:val="1"/>
      <w:marLeft w:val="0"/>
      <w:marRight w:val="0"/>
      <w:marTop w:val="0"/>
      <w:marBottom w:val="0"/>
      <w:divBdr>
        <w:top w:val="none" w:sz="0" w:space="0" w:color="auto"/>
        <w:left w:val="none" w:sz="0" w:space="0" w:color="auto"/>
        <w:bottom w:val="none" w:sz="0" w:space="0" w:color="auto"/>
        <w:right w:val="none" w:sz="0" w:space="0" w:color="auto"/>
      </w:divBdr>
    </w:div>
    <w:div w:id="708727306">
      <w:bodyDiv w:val="1"/>
      <w:marLeft w:val="0"/>
      <w:marRight w:val="0"/>
      <w:marTop w:val="0"/>
      <w:marBottom w:val="0"/>
      <w:divBdr>
        <w:top w:val="none" w:sz="0" w:space="0" w:color="auto"/>
        <w:left w:val="none" w:sz="0" w:space="0" w:color="auto"/>
        <w:bottom w:val="none" w:sz="0" w:space="0" w:color="auto"/>
        <w:right w:val="none" w:sz="0" w:space="0" w:color="auto"/>
      </w:divBdr>
    </w:div>
    <w:div w:id="717126479">
      <w:bodyDiv w:val="1"/>
      <w:marLeft w:val="0"/>
      <w:marRight w:val="0"/>
      <w:marTop w:val="0"/>
      <w:marBottom w:val="0"/>
      <w:divBdr>
        <w:top w:val="none" w:sz="0" w:space="0" w:color="auto"/>
        <w:left w:val="none" w:sz="0" w:space="0" w:color="auto"/>
        <w:bottom w:val="none" w:sz="0" w:space="0" w:color="auto"/>
        <w:right w:val="none" w:sz="0" w:space="0" w:color="auto"/>
      </w:divBdr>
    </w:div>
    <w:div w:id="718627241">
      <w:bodyDiv w:val="1"/>
      <w:marLeft w:val="0"/>
      <w:marRight w:val="0"/>
      <w:marTop w:val="0"/>
      <w:marBottom w:val="0"/>
      <w:divBdr>
        <w:top w:val="none" w:sz="0" w:space="0" w:color="auto"/>
        <w:left w:val="none" w:sz="0" w:space="0" w:color="auto"/>
        <w:bottom w:val="none" w:sz="0" w:space="0" w:color="auto"/>
        <w:right w:val="none" w:sz="0" w:space="0" w:color="auto"/>
      </w:divBdr>
    </w:div>
    <w:div w:id="762183815">
      <w:bodyDiv w:val="1"/>
      <w:marLeft w:val="0"/>
      <w:marRight w:val="0"/>
      <w:marTop w:val="0"/>
      <w:marBottom w:val="0"/>
      <w:divBdr>
        <w:top w:val="none" w:sz="0" w:space="0" w:color="auto"/>
        <w:left w:val="none" w:sz="0" w:space="0" w:color="auto"/>
        <w:bottom w:val="none" w:sz="0" w:space="0" w:color="auto"/>
        <w:right w:val="none" w:sz="0" w:space="0" w:color="auto"/>
      </w:divBdr>
    </w:div>
    <w:div w:id="783422102">
      <w:bodyDiv w:val="1"/>
      <w:marLeft w:val="0"/>
      <w:marRight w:val="0"/>
      <w:marTop w:val="0"/>
      <w:marBottom w:val="0"/>
      <w:divBdr>
        <w:top w:val="none" w:sz="0" w:space="0" w:color="auto"/>
        <w:left w:val="none" w:sz="0" w:space="0" w:color="auto"/>
        <w:bottom w:val="none" w:sz="0" w:space="0" w:color="auto"/>
        <w:right w:val="none" w:sz="0" w:space="0" w:color="auto"/>
      </w:divBdr>
    </w:div>
    <w:div w:id="791675927">
      <w:bodyDiv w:val="1"/>
      <w:marLeft w:val="0"/>
      <w:marRight w:val="0"/>
      <w:marTop w:val="0"/>
      <w:marBottom w:val="0"/>
      <w:divBdr>
        <w:top w:val="none" w:sz="0" w:space="0" w:color="auto"/>
        <w:left w:val="none" w:sz="0" w:space="0" w:color="auto"/>
        <w:bottom w:val="none" w:sz="0" w:space="0" w:color="auto"/>
        <w:right w:val="none" w:sz="0" w:space="0" w:color="auto"/>
      </w:divBdr>
    </w:div>
    <w:div w:id="801457157">
      <w:bodyDiv w:val="1"/>
      <w:marLeft w:val="0"/>
      <w:marRight w:val="0"/>
      <w:marTop w:val="0"/>
      <w:marBottom w:val="0"/>
      <w:divBdr>
        <w:top w:val="none" w:sz="0" w:space="0" w:color="auto"/>
        <w:left w:val="none" w:sz="0" w:space="0" w:color="auto"/>
        <w:bottom w:val="none" w:sz="0" w:space="0" w:color="auto"/>
        <w:right w:val="none" w:sz="0" w:space="0" w:color="auto"/>
      </w:divBdr>
    </w:div>
    <w:div w:id="812211366">
      <w:bodyDiv w:val="1"/>
      <w:marLeft w:val="0"/>
      <w:marRight w:val="0"/>
      <w:marTop w:val="0"/>
      <w:marBottom w:val="0"/>
      <w:divBdr>
        <w:top w:val="none" w:sz="0" w:space="0" w:color="auto"/>
        <w:left w:val="none" w:sz="0" w:space="0" w:color="auto"/>
        <w:bottom w:val="none" w:sz="0" w:space="0" w:color="auto"/>
        <w:right w:val="none" w:sz="0" w:space="0" w:color="auto"/>
      </w:divBdr>
    </w:div>
    <w:div w:id="829298221">
      <w:bodyDiv w:val="1"/>
      <w:marLeft w:val="0"/>
      <w:marRight w:val="0"/>
      <w:marTop w:val="0"/>
      <w:marBottom w:val="0"/>
      <w:divBdr>
        <w:top w:val="none" w:sz="0" w:space="0" w:color="auto"/>
        <w:left w:val="none" w:sz="0" w:space="0" w:color="auto"/>
        <w:bottom w:val="none" w:sz="0" w:space="0" w:color="auto"/>
        <w:right w:val="none" w:sz="0" w:space="0" w:color="auto"/>
      </w:divBdr>
    </w:div>
    <w:div w:id="835077351">
      <w:bodyDiv w:val="1"/>
      <w:marLeft w:val="0"/>
      <w:marRight w:val="0"/>
      <w:marTop w:val="0"/>
      <w:marBottom w:val="0"/>
      <w:divBdr>
        <w:top w:val="none" w:sz="0" w:space="0" w:color="auto"/>
        <w:left w:val="none" w:sz="0" w:space="0" w:color="auto"/>
        <w:bottom w:val="none" w:sz="0" w:space="0" w:color="auto"/>
        <w:right w:val="none" w:sz="0" w:space="0" w:color="auto"/>
      </w:divBdr>
    </w:div>
    <w:div w:id="863638094">
      <w:bodyDiv w:val="1"/>
      <w:marLeft w:val="0"/>
      <w:marRight w:val="0"/>
      <w:marTop w:val="0"/>
      <w:marBottom w:val="0"/>
      <w:divBdr>
        <w:top w:val="none" w:sz="0" w:space="0" w:color="auto"/>
        <w:left w:val="none" w:sz="0" w:space="0" w:color="auto"/>
        <w:bottom w:val="none" w:sz="0" w:space="0" w:color="auto"/>
        <w:right w:val="none" w:sz="0" w:space="0" w:color="auto"/>
      </w:divBdr>
    </w:div>
    <w:div w:id="866677845">
      <w:bodyDiv w:val="1"/>
      <w:marLeft w:val="0"/>
      <w:marRight w:val="0"/>
      <w:marTop w:val="0"/>
      <w:marBottom w:val="0"/>
      <w:divBdr>
        <w:top w:val="none" w:sz="0" w:space="0" w:color="auto"/>
        <w:left w:val="none" w:sz="0" w:space="0" w:color="auto"/>
        <w:bottom w:val="none" w:sz="0" w:space="0" w:color="auto"/>
        <w:right w:val="none" w:sz="0" w:space="0" w:color="auto"/>
      </w:divBdr>
    </w:div>
    <w:div w:id="876117020">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60301085">
      <w:bodyDiv w:val="1"/>
      <w:marLeft w:val="0"/>
      <w:marRight w:val="0"/>
      <w:marTop w:val="0"/>
      <w:marBottom w:val="0"/>
      <w:divBdr>
        <w:top w:val="none" w:sz="0" w:space="0" w:color="auto"/>
        <w:left w:val="none" w:sz="0" w:space="0" w:color="auto"/>
        <w:bottom w:val="none" w:sz="0" w:space="0" w:color="auto"/>
        <w:right w:val="none" w:sz="0" w:space="0" w:color="auto"/>
      </w:divBdr>
    </w:div>
    <w:div w:id="971137082">
      <w:bodyDiv w:val="1"/>
      <w:marLeft w:val="0"/>
      <w:marRight w:val="0"/>
      <w:marTop w:val="0"/>
      <w:marBottom w:val="0"/>
      <w:divBdr>
        <w:top w:val="none" w:sz="0" w:space="0" w:color="auto"/>
        <w:left w:val="none" w:sz="0" w:space="0" w:color="auto"/>
        <w:bottom w:val="none" w:sz="0" w:space="0" w:color="auto"/>
        <w:right w:val="none" w:sz="0" w:space="0" w:color="auto"/>
      </w:divBdr>
    </w:div>
    <w:div w:id="1017540873">
      <w:bodyDiv w:val="1"/>
      <w:marLeft w:val="0"/>
      <w:marRight w:val="0"/>
      <w:marTop w:val="0"/>
      <w:marBottom w:val="0"/>
      <w:divBdr>
        <w:top w:val="none" w:sz="0" w:space="0" w:color="auto"/>
        <w:left w:val="none" w:sz="0" w:space="0" w:color="auto"/>
        <w:bottom w:val="none" w:sz="0" w:space="0" w:color="auto"/>
        <w:right w:val="none" w:sz="0" w:space="0" w:color="auto"/>
      </w:divBdr>
    </w:div>
    <w:div w:id="1023554453">
      <w:bodyDiv w:val="1"/>
      <w:marLeft w:val="0"/>
      <w:marRight w:val="0"/>
      <w:marTop w:val="0"/>
      <w:marBottom w:val="0"/>
      <w:divBdr>
        <w:top w:val="none" w:sz="0" w:space="0" w:color="auto"/>
        <w:left w:val="none" w:sz="0" w:space="0" w:color="auto"/>
        <w:bottom w:val="none" w:sz="0" w:space="0" w:color="auto"/>
        <w:right w:val="none" w:sz="0" w:space="0" w:color="auto"/>
      </w:divBdr>
    </w:div>
    <w:div w:id="1026559302">
      <w:bodyDiv w:val="1"/>
      <w:marLeft w:val="0"/>
      <w:marRight w:val="0"/>
      <w:marTop w:val="0"/>
      <w:marBottom w:val="0"/>
      <w:divBdr>
        <w:top w:val="none" w:sz="0" w:space="0" w:color="auto"/>
        <w:left w:val="none" w:sz="0" w:space="0" w:color="auto"/>
        <w:bottom w:val="none" w:sz="0" w:space="0" w:color="auto"/>
        <w:right w:val="none" w:sz="0" w:space="0" w:color="auto"/>
      </w:divBdr>
    </w:div>
    <w:div w:id="1053238174">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84188567">
      <w:bodyDiv w:val="1"/>
      <w:marLeft w:val="0"/>
      <w:marRight w:val="0"/>
      <w:marTop w:val="0"/>
      <w:marBottom w:val="0"/>
      <w:divBdr>
        <w:top w:val="none" w:sz="0" w:space="0" w:color="auto"/>
        <w:left w:val="none" w:sz="0" w:space="0" w:color="auto"/>
        <w:bottom w:val="none" w:sz="0" w:space="0" w:color="auto"/>
        <w:right w:val="none" w:sz="0" w:space="0" w:color="auto"/>
      </w:divBdr>
    </w:div>
    <w:div w:id="1105689015">
      <w:bodyDiv w:val="1"/>
      <w:marLeft w:val="0"/>
      <w:marRight w:val="0"/>
      <w:marTop w:val="0"/>
      <w:marBottom w:val="0"/>
      <w:divBdr>
        <w:top w:val="none" w:sz="0" w:space="0" w:color="auto"/>
        <w:left w:val="none" w:sz="0" w:space="0" w:color="auto"/>
        <w:bottom w:val="none" w:sz="0" w:space="0" w:color="auto"/>
        <w:right w:val="none" w:sz="0" w:space="0" w:color="auto"/>
      </w:divBdr>
    </w:div>
    <w:div w:id="1135217867">
      <w:bodyDiv w:val="1"/>
      <w:marLeft w:val="0"/>
      <w:marRight w:val="0"/>
      <w:marTop w:val="0"/>
      <w:marBottom w:val="0"/>
      <w:divBdr>
        <w:top w:val="none" w:sz="0" w:space="0" w:color="auto"/>
        <w:left w:val="none" w:sz="0" w:space="0" w:color="auto"/>
        <w:bottom w:val="none" w:sz="0" w:space="0" w:color="auto"/>
        <w:right w:val="none" w:sz="0" w:space="0" w:color="auto"/>
      </w:divBdr>
    </w:div>
    <w:div w:id="1211721329">
      <w:bodyDiv w:val="1"/>
      <w:marLeft w:val="0"/>
      <w:marRight w:val="0"/>
      <w:marTop w:val="0"/>
      <w:marBottom w:val="0"/>
      <w:divBdr>
        <w:top w:val="none" w:sz="0" w:space="0" w:color="auto"/>
        <w:left w:val="none" w:sz="0" w:space="0" w:color="auto"/>
        <w:bottom w:val="none" w:sz="0" w:space="0" w:color="auto"/>
        <w:right w:val="none" w:sz="0" w:space="0" w:color="auto"/>
      </w:divBdr>
    </w:div>
    <w:div w:id="1217620375">
      <w:bodyDiv w:val="1"/>
      <w:marLeft w:val="0"/>
      <w:marRight w:val="0"/>
      <w:marTop w:val="0"/>
      <w:marBottom w:val="0"/>
      <w:divBdr>
        <w:top w:val="none" w:sz="0" w:space="0" w:color="auto"/>
        <w:left w:val="none" w:sz="0" w:space="0" w:color="auto"/>
        <w:bottom w:val="none" w:sz="0" w:space="0" w:color="auto"/>
        <w:right w:val="none" w:sz="0" w:space="0" w:color="auto"/>
      </w:divBdr>
    </w:div>
    <w:div w:id="1237518071">
      <w:bodyDiv w:val="1"/>
      <w:marLeft w:val="0"/>
      <w:marRight w:val="0"/>
      <w:marTop w:val="0"/>
      <w:marBottom w:val="0"/>
      <w:divBdr>
        <w:top w:val="none" w:sz="0" w:space="0" w:color="auto"/>
        <w:left w:val="none" w:sz="0" w:space="0" w:color="auto"/>
        <w:bottom w:val="none" w:sz="0" w:space="0" w:color="auto"/>
        <w:right w:val="none" w:sz="0" w:space="0" w:color="auto"/>
      </w:divBdr>
    </w:div>
    <w:div w:id="1264261019">
      <w:bodyDiv w:val="1"/>
      <w:marLeft w:val="0"/>
      <w:marRight w:val="0"/>
      <w:marTop w:val="0"/>
      <w:marBottom w:val="0"/>
      <w:divBdr>
        <w:top w:val="none" w:sz="0" w:space="0" w:color="auto"/>
        <w:left w:val="none" w:sz="0" w:space="0" w:color="auto"/>
        <w:bottom w:val="none" w:sz="0" w:space="0" w:color="auto"/>
        <w:right w:val="none" w:sz="0" w:space="0" w:color="auto"/>
      </w:divBdr>
    </w:div>
    <w:div w:id="1275138249">
      <w:bodyDiv w:val="1"/>
      <w:marLeft w:val="0"/>
      <w:marRight w:val="0"/>
      <w:marTop w:val="0"/>
      <w:marBottom w:val="0"/>
      <w:divBdr>
        <w:top w:val="none" w:sz="0" w:space="0" w:color="auto"/>
        <w:left w:val="none" w:sz="0" w:space="0" w:color="auto"/>
        <w:bottom w:val="none" w:sz="0" w:space="0" w:color="auto"/>
        <w:right w:val="none" w:sz="0" w:space="0" w:color="auto"/>
      </w:divBdr>
    </w:div>
    <w:div w:id="1305240326">
      <w:bodyDiv w:val="1"/>
      <w:marLeft w:val="0"/>
      <w:marRight w:val="0"/>
      <w:marTop w:val="0"/>
      <w:marBottom w:val="0"/>
      <w:divBdr>
        <w:top w:val="none" w:sz="0" w:space="0" w:color="auto"/>
        <w:left w:val="none" w:sz="0" w:space="0" w:color="auto"/>
        <w:bottom w:val="none" w:sz="0" w:space="0" w:color="auto"/>
        <w:right w:val="none" w:sz="0" w:space="0" w:color="auto"/>
      </w:divBdr>
    </w:div>
    <w:div w:id="1383286900">
      <w:bodyDiv w:val="1"/>
      <w:marLeft w:val="0"/>
      <w:marRight w:val="0"/>
      <w:marTop w:val="0"/>
      <w:marBottom w:val="0"/>
      <w:divBdr>
        <w:top w:val="none" w:sz="0" w:space="0" w:color="auto"/>
        <w:left w:val="none" w:sz="0" w:space="0" w:color="auto"/>
        <w:bottom w:val="none" w:sz="0" w:space="0" w:color="auto"/>
        <w:right w:val="none" w:sz="0" w:space="0" w:color="auto"/>
      </w:divBdr>
    </w:div>
    <w:div w:id="1386828185">
      <w:bodyDiv w:val="1"/>
      <w:marLeft w:val="0"/>
      <w:marRight w:val="0"/>
      <w:marTop w:val="0"/>
      <w:marBottom w:val="0"/>
      <w:divBdr>
        <w:top w:val="none" w:sz="0" w:space="0" w:color="auto"/>
        <w:left w:val="none" w:sz="0" w:space="0" w:color="auto"/>
        <w:bottom w:val="none" w:sz="0" w:space="0" w:color="auto"/>
        <w:right w:val="none" w:sz="0" w:space="0" w:color="auto"/>
      </w:divBdr>
    </w:div>
    <w:div w:id="1439056721">
      <w:bodyDiv w:val="1"/>
      <w:marLeft w:val="0"/>
      <w:marRight w:val="0"/>
      <w:marTop w:val="0"/>
      <w:marBottom w:val="0"/>
      <w:divBdr>
        <w:top w:val="none" w:sz="0" w:space="0" w:color="auto"/>
        <w:left w:val="none" w:sz="0" w:space="0" w:color="auto"/>
        <w:bottom w:val="none" w:sz="0" w:space="0" w:color="auto"/>
        <w:right w:val="none" w:sz="0" w:space="0" w:color="auto"/>
      </w:divBdr>
    </w:div>
    <w:div w:id="1445341868">
      <w:bodyDiv w:val="1"/>
      <w:marLeft w:val="0"/>
      <w:marRight w:val="0"/>
      <w:marTop w:val="0"/>
      <w:marBottom w:val="0"/>
      <w:divBdr>
        <w:top w:val="none" w:sz="0" w:space="0" w:color="auto"/>
        <w:left w:val="none" w:sz="0" w:space="0" w:color="auto"/>
        <w:bottom w:val="none" w:sz="0" w:space="0" w:color="auto"/>
        <w:right w:val="none" w:sz="0" w:space="0" w:color="auto"/>
      </w:divBdr>
    </w:div>
    <w:div w:id="1472866342">
      <w:bodyDiv w:val="1"/>
      <w:marLeft w:val="0"/>
      <w:marRight w:val="0"/>
      <w:marTop w:val="0"/>
      <w:marBottom w:val="0"/>
      <w:divBdr>
        <w:top w:val="none" w:sz="0" w:space="0" w:color="auto"/>
        <w:left w:val="none" w:sz="0" w:space="0" w:color="auto"/>
        <w:bottom w:val="none" w:sz="0" w:space="0" w:color="auto"/>
        <w:right w:val="none" w:sz="0" w:space="0" w:color="auto"/>
      </w:divBdr>
    </w:div>
    <w:div w:id="1501383924">
      <w:bodyDiv w:val="1"/>
      <w:marLeft w:val="0"/>
      <w:marRight w:val="0"/>
      <w:marTop w:val="0"/>
      <w:marBottom w:val="0"/>
      <w:divBdr>
        <w:top w:val="none" w:sz="0" w:space="0" w:color="auto"/>
        <w:left w:val="none" w:sz="0" w:space="0" w:color="auto"/>
        <w:bottom w:val="none" w:sz="0" w:space="0" w:color="auto"/>
        <w:right w:val="none" w:sz="0" w:space="0" w:color="auto"/>
      </w:divBdr>
    </w:div>
    <w:div w:id="1508590211">
      <w:bodyDiv w:val="1"/>
      <w:marLeft w:val="0"/>
      <w:marRight w:val="0"/>
      <w:marTop w:val="0"/>
      <w:marBottom w:val="0"/>
      <w:divBdr>
        <w:top w:val="none" w:sz="0" w:space="0" w:color="auto"/>
        <w:left w:val="none" w:sz="0" w:space="0" w:color="auto"/>
        <w:bottom w:val="none" w:sz="0" w:space="0" w:color="auto"/>
        <w:right w:val="none" w:sz="0" w:space="0" w:color="auto"/>
      </w:divBdr>
    </w:div>
    <w:div w:id="1515613438">
      <w:bodyDiv w:val="1"/>
      <w:marLeft w:val="0"/>
      <w:marRight w:val="0"/>
      <w:marTop w:val="0"/>
      <w:marBottom w:val="0"/>
      <w:divBdr>
        <w:top w:val="none" w:sz="0" w:space="0" w:color="auto"/>
        <w:left w:val="none" w:sz="0" w:space="0" w:color="auto"/>
        <w:bottom w:val="none" w:sz="0" w:space="0" w:color="auto"/>
        <w:right w:val="none" w:sz="0" w:space="0" w:color="auto"/>
      </w:divBdr>
    </w:div>
    <w:div w:id="1547376220">
      <w:bodyDiv w:val="1"/>
      <w:marLeft w:val="0"/>
      <w:marRight w:val="0"/>
      <w:marTop w:val="0"/>
      <w:marBottom w:val="0"/>
      <w:divBdr>
        <w:top w:val="none" w:sz="0" w:space="0" w:color="auto"/>
        <w:left w:val="none" w:sz="0" w:space="0" w:color="auto"/>
        <w:bottom w:val="none" w:sz="0" w:space="0" w:color="auto"/>
        <w:right w:val="none" w:sz="0" w:space="0" w:color="auto"/>
      </w:divBdr>
    </w:div>
    <w:div w:id="1558516333">
      <w:bodyDiv w:val="1"/>
      <w:marLeft w:val="0"/>
      <w:marRight w:val="0"/>
      <w:marTop w:val="0"/>
      <w:marBottom w:val="0"/>
      <w:divBdr>
        <w:top w:val="none" w:sz="0" w:space="0" w:color="auto"/>
        <w:left w:val="none" w:sz="0" w:space="0" w:color="auto"/>
        <w:bottom w:val="none" w:sz="0" w:space="0" w:color="auto"/>
        <w:right w:val="none" w:sz="0" w:space="0" w:color="auto"/>
      </w:divBdr>
    </w:div>
    <w:div w:id="1572108983">
      <w:bodyDiv w:val="1"/>
      <w:marLeft w:val="0"/>
      <w:marRight w:val="0"/>
      <w:marTop w:val="0"/>
      <w:marBottom w:val="0"/>
      <w:divBdr>
        <w:top w:val="none" w:sz="0" w:space="0" w:color="auto"/>
        <w:left w:val="none" w:sz="0" w:space="0" w:color="auto"/>
        <w:bottom w:val="none" w:sz="0" w:space="0" w:color="auto"/>
        <w:right w:val="none" w:sz="0" w:space="0" w:color="auto"/>
      </w:divBdr>
    </w:div>
    <w:div w:id="1578663414">
      <w:bodyDiv w:val="1"/>
      <w:marLeft w:val="0"/>
      <w:marRight w:val="0"/>
      <w:marTop w:val="0"/>
      <w:marBottom w:val="0"/>
      <w:divBdr>
        <w:top w:val="none" w:sz="0" w:space="0" w:color="auto"/>
        <w:left w:val="none" w:sz="0" w:space="0" w:color="auto"/>
        <w:bottom w:val="none" w:sz="0" w:space="0" w:color="auto"/>
        <w:right w:val="none" w:sz="0" w:space="0" w:color="auto"/>
      </w:divBdr>
    </w:div>
    <w:div w:id="1599023705">
      <w:bodyDiv w:val="1"/>
      <w:marLeft w:val="0"/>
      <w:marRight w:val="0"/>
      <w:marTop w:val="0"/>
      <w:marBottom w:val="0"/>
      <w:divBdr>
        <w:top w:val="none" w:sz="0" w:space="0" w:color="auto"/>
        <w:left w:val="none" w:sz="0" w:space="0" w:color="auto"/>
        <w:bottom w:val="none" w:sz="0" w:space="0" w:color="auto"/>
        <w:right w:val="none" w:sz="0" w:space="0" w:color="auto"/>
      </w:divBdr>
    </w:div>
    <w:div w:id="1669088500">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088450">
      <w:bodyDiv w:val="1"/>
      <w:marLeft w:val="0"/>
      <w:marRight w:val="0"/>
      <w:marTop w:val="0"/>
      <w:marBottom w:val="0"/>
      <w:divBdr>
        <w:top w:val="none" w:sz="0" w:space="0" w:color="auto"/>
        <w:left w:val="none" w:sz="0" w:space="0" w:color="auto"/>
        <w:bottom w:val="none" w:sz="0" w:space="0" w:color="auto"/>
        <w:right w:val="none" w:sz="0" w:space="0" w:color="auto"/>
      </w:divBdr>
    </w:div>
    <w:div w:id="1758936912">
      <w:bodyDiv w:val="1"/>
      <w:marLeft w:val="0"/>
      <w:marRight w:val="0"/>
      <w:marTop w:val="0"/>
      <w:marBottom w:val="0"/>
      <w:divBdr>
        <w:top w:val="none" w:sz="0" w:space="0" w:color="auto"/>
        <w:left w:val="none" w:sz="0" w:space="0" w:color="auto"/>
        <w:bottom w:val="none" w:sz="0" w:space="0" w:color="auto"/>
        <w:right w:val="none" w:sz="0" w:space="0" w:color="auto"/>
      </w:divBdr>
    </w:div>
    <w:div w:id="1762141816">
      <w:bodyDiv w:val="1"/>
      <w:marLeft w:val="0"/>
      <w:marRight w:val="0"/>
      <w:marTop w:val="0"/>
      <w:marBottom w:val="0"/>
      <w:divBdr>
        <w:top w:val="none" w:sz="0" w:space="0" w:color="auto"/>
        <w:left w:val="none" w:sz="0" w:space="0" w:color="auto"/>
        <w:bottom w:val="none" w:sz="0" w:space="0" w:color="auto"/>
        <w:right w:val="none" w:sz="0" w:space="0" w:color="auto"/>
      </w:divBdr>
    </w:div>
    <w:div w:id="1776512849">
      <w:bodyDiv w:val="1"/>
      <w:marLeft w:val="0"/>
      <w:marRight w:val="0"/>
      <w:marTop w:val="0"/>
      <w:marBottom w:val="0"/>
      <w:divBdr>
        <w:top w:val="none" w:sz="0" w:space="0" w:color="auto"/>
        <w:left w:val="none" w:sz="0" w:space="0" w:color="auto"/>
        <w:bottom w:val="none" w:sz="0" w:space="0" w:color="auto"/>
        <w:right w:val="none" w:sz="0" w:space="0" w:color="auto"/>
      </w:divBdr>
    </w:div>
    <w:div w:id="1838956693">
      <w:bodyDiv w:val="1"/>
      <w:marLeft w:val="0"/>
      <w:marRight w:val="0"/>
      <w:marTop w:val="0"/>
      <w:marBottom w:val="0"/>
      <w:divBdr>
        <w:top w:val="none" w:sz="0" w:space="0" w:color="auto"/>
        <w:left w:val="none" w:sz="0" w:space="0" w:color="auto"/>
        <w:bottom w:val="none" w:sz="0" w:space="0" w:color="auto"/>
        <w:right w:val="none" w:sz="0" w:space="0" w:color="auto"/>
      </w:divBdr>
    </w:div>
    <w:div w:id="1843397001">
      <w:bodyDiv w:val="1"/>
      <w:marLeft w:val="0"/>
      <w:marRight w:val="0"/>
      <w:marTop w:val="0"/>
      <w:marBottom w:val="0"/>
      <w:divBdr>
        <w:top w:val="none" w:sz="0" w:space="0" w:color="auto"/>
        <w:left w:val="none" w:sz="0" w:space="0" w:color="auto"/>
        <w:bottom w:val="none" w:sz="0" w:space="0" w:color="auto"/>
        <w:right w:val="none" w:sz="0" w:space="0" w:color="auto"/>
      </w:divBdr>
    </w:div>
    <w:div w:id="1851606538">
      <w:bodyDiv w:val="1"/>
      <w:marLeft w:val="0"/>
      <w:marRight w:val="0"/>
      <w:marTop w:val="0"/>
      <w:marBottom w:val="0"/>
      <w:divBdr>
        <w:top w:val="none" w:sz="0" w:space="0" w:color="auto"/>
        <w:left w:val="none" w:sz="0" w:space="0" w:color="auto"/>
        <w:bottom w:val="none" w:sz="0" w:space="0" w:color="auto"/>
        <w:right w:val="none" w:sz="0" w:space="0" w:color="auto"/>
      </w:divBdr>
    </w:div>
    <w:div w:id="1854998850">
      <w:bodyDiv w:val="1"/>
      <w:marLeft w:val="0"/>
      <w:marRight w:val="0"/>
      <w:marTop w:val="0"/>
      <w:marBottom w:val="0"/>
      <w:divBdr>
        <w:top w:val="none" w:sz="0" w:space="0" w:color="auto"/>
        <w:left w:val="none" w:sz="0" w:space="0" w:color="auto"/>
        <w:bottom w:val="none" w:sz="0" w:space="0" w:color="auto"/>
        <w:right w:val="none" w:sz="0" w:space="0" w:color="auto"/>
      </w:divBdr>
    </w:div>
    <w:div w:id="1858929557">
      <w:bodyDiv w:val="1"/>
      <w:marLeft w:val="0"/>
      <w:marRight w:val="0"/>
      <w:marTop w:val="0"/>
      <w:marBottom w:val="0"/>
      <w:divBdr>
        <w:top w:val="none" w:sz="0" w:space="0" w:color="auto"/>
        <w:left w:val="none" w:sz="0" w:space="0" w:color="auto"/>
        <w:bottom w:val="none" w:sz="0" w:space="0" w:color="auto"/>
        <w:right w:val="none" w:sz="0" w:space="0" w:color="auto"/>
      </w:divBdr>
    </w:div>
    <w:div w:id="1907835889">
      <w:bodyDiv w:val="1"/>
      <w:marLeft w:val="0"/>
      <w:marRight w:val="0"/>
      <w:marTop w:val="0"/>
      <w:marBottom w:val="0"/>
      <w:divBdr>
        <w:top w:val="none" w:sz="0" w:space="0" w:color="auto"/>
        <w:left w:val="none" w:sz="0" w:space="0" w:color="auto"/>
        <w:bottom w:val="none" w:sz="0" w:space="0" w:color="auto"/>
        <w:right w:val="none" w:sz="0" w:space="0" w:color="auto"/>
      </w:divBdr>
    </w:div>
    <w:div w:id="1922135995">
      <w:bodyDiv w:val="1"/>
      <w:marLeft w:val="0"/>
      <w:marRight w:val="0"/>
      <w:marTop w:val="0"/>
      <w:marBottom w:val="0"/>
      <w:divBdr>
        <w:top w:val="none" w:sz="0" w:space="0" w:color="auto"/>
        <w:left w:val="none" w:sz="0" w:space="0" w:color="auto"/>
        <w:bottom w:val="none" w:sz="0" w:space="0" w:color="auto"/>
        <w:right w:val="none" w:sz="0" w:space="0" w:color="auto"/>
      </w:divBdr>
    </w:div>
    <w:div w:id="1932740121">
      <w:bodyDiv w:val="1"/>
      <w:marLeft w:val="0"/>
      <w:marRight w:val="0"/>
      <w:marTop w:val="0"/>
      <w:marBottom w:val="0"/>
      <w:divBdr>
        <w:top w:val="none" w:sz="0" w:space="0" w:color="auto"/>
        <w:left w:val="none" w:sz="0" w:space="0" w:color="auto"/>
        <w:bottom w:val="none" w:sz="0" w:space="0" w:color="auto"/>
        <w:right w:val="none" w:sz="0" w:space="0" w:color="auto"/>
      </w:divBdr>
    </w:div>
    <w:div w:id="1934823796">
      <w:bodyDiv w:val="1"/>
      <w:marLeft w:val="0"/>
      <w:marRight w:val="0"/>
      <w:marTop w:val="0"/>
      <w:marBottom w:val="0"/>
      <w:divBdr>
        <w:top w:val="none" w:sz="0" w:space="0" w:color="auto"/>
        <w:left w:val="none" w:sz="0" w:space="0" w:color="auto"/>
        <w:bottom w:val="none" w:sz="0" w:space="0" w:color="auto"/>
        <w:right w:val="none" w:sz="0" w:space="0" w:color="auto"/>
      </w:divBdr>
    </w:div>
    <w:div w:id="1969776205">
      <w:bodyDiv w:val="1"/>
      <w:marLeft w:val="0"/>
      <w:marRight w:val="0"/>
      <w:marTop w:val="0"/>
      <w:marBottom w:val="0"/>
      <w:divBdr>
        <w:top w:val="none" w:sz="0" w:space="0" w:color="auto"/>
        <w:left w:val="none" w:sz="0" w:space="0" w:color="auto"/>
        <w:bottom w:val="none" w:sz="0" w:space="0" w:color="auto"/>
        <w:right w:val="none" w:sz="0" w:space="0" w:color="auto"/>
      </w:divBdr>
    </w:div>
    <w:div w:id="2020616666">
      <w:bodyDiv w:val="1"/>
      <w:marLeft w:val="0"/>
      <w:marRight w:val="0"/>
      <w:marTop w:val="0"/>
      <w:marBottom w:val="0"/>
      <w:divBdr>
        <w:top w:val="none" w:sz="0" w:space="0" w:color="auto"/>
        <w:left w:val="none" w:sz="0" w:space="0" w:color="auto"/>
        <w:bottom w:val="none" w:sz="0" w:space="0" w:color="auto"/>
        <w:right w:val="none" w:sz="0" w:space="0" w:color="auto"/>
      </w:divBdr>
    </w:div>
    <w:div w:id="2107074644">
      <w:bodyDiv w:val="1"/>
      <w:marLeft w:val="0"/>
      <w:marRight w:val="0"/>
      <w:marTop w:val="0"/>
      <w:marBottom w:val="0"/>
      <w:divBdr>
        <w:top w:val="none" w:sz="0" w:space="0" w:color="auto"/>
        <w:left w:val="none" w:sz="0" w:space="0" w:color="auto"/>
        <w:bottom w:val="none" w:sz="0" w:space="0" w:color="auto"/>
        <w:right w:val="none" w:sz="0" w:space="0" w:color="auto"/>
      </w:divBdr>
    </w:div>
    <w:div w:id="2115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280BB-D502-45A5-8C5E-B268446F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1383</TotalTime>
  <Pages>3</Pages>
  <Words>1758</Words>
  <Characters>10376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74</cp:revision>
  <cp:lastPrinted>2016-04-25T10:02:00Z</cp:lastPrinted>
  <dcterms:created xsi:type="dcterms:W3CDTF">2016-04-25T08:19:00Z</dcterms:created>
  <dcterms:modified xsi:type="dcterms:W3CDTF">2016-04-28T09:55:00Z</dcterms:modified>
</cp:coreProperties>
</file>