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2BC6B6" w14:textId="0BD1F4F8" w:rsidR="000533F4" w:rsidRPr="00AF759F" w:rsidRDefault="00FF063F" w:rsidP="00A72865">
      <w:pPr>
        <w:spacing w:after="120"/>
        <w:rPr>
          <w:rFonts w:ascii="Arial" w:hAnsi="Arial" w:cs="Arial"/>
          <w:sz w:val="24"/>
          <w:szCs w:val="24"/>
        </w:rPr>
      </w:pPr>
      <w:r w:rsidRPr="00FD6E67">
        <w:rPr>
          <w:rFonts w:ascii="Arial" w:hAnsi="Arial" w:cs="Arial"/>
          <w:sz w:val="24"/>
          <w:szCs w:val="24"/>
        </w:rPr>
        <w:t>Perex:</w:t>
      </w:r>
    </w:p>
    <w:p w14:paraId="39DC467E" w14:textId="7892F7B3" w:rsidR="006F2ED6" w:rsidRPr="00FD6E67" w:rsidRDefault="00441EAD" w:rsidP="00610947">
      <w:p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Odhlédneme-li od Prahy, která není de-iure okresem, je </w:t>
      </w:r>
      <w:r w:rsidR="00535691">
        <w:rPr>
          <w:rFonts w:ascii="Arial" w:hAnsi="Arial" w:cs="Arial"/>
          <w:bCs/>
          <w:sz w:val="24"/>
          <w:szCs w:val="24"/>
        </w:rPr>
        <w:t>o</w:t>
      </w:r>
      <w:r w:rsidR="006122CE">
        <w:rPr>
          <w:rFonts w:ascii="Arial" w:hAnsi="Arial" w:cs="Arial"/>
          <w:bCs/>
          <w:sz w:val="24"/>
          <w:szCs w:val="24"/>
        </w:rPr>
        <w:t>kresem</w:t>
      </w:r>
      <w:r w:rsidR="00AF4282" w:rsidRPr="006D2408">
        <w:rPr>
          <w:rFonts w:ascii="Arial" w:hAnsi="Arial" w:cs="Arial"/>
          <w:bCs/>
          <w:sz w:val="24"/>
          <w:szCs w:val="24"/>
        </w:rPr>
        <w:t xml:space="preserve"> s největším počtem obyvatel</w:t>
      </w:r>
      <w:r>
        <w:rPr>
          <w:rFonts w:ascii="Arial" w:hAnsi="Arial" w:cs="Arial"/>
          <w:bCs/>
          <w:sz w:val="24"/>
          <w:szCs w:val="24"/>
        </w:rPr>
        <w:t xml:space="preserve"> Brno-město. </w:t>
      </w:r>
      <w:r w:rsidR="005B657B">
        <w:rPr>
          <w:rFonts w:ascii="Arial" w:hAnsi="Arial" w:cs="Arial"/>
          <w:bCs/>
          <w:sz w:val="24"/>
          <w:szCs w:val="24"/>
        </w:rPr>
        <w:t>(</w:t>
      </w:r>
      <w:r w:rsidR="004D07BF">
        <w:rPr>
          <w:rFonts w:ascii="Arial" w:hAnsi="Arial" w:cs="Arial"/>
          <w:bCs/>
          <w:sz w:val="24"/>
          <w:szCs w:val="24"/>
        </w:rPr>
        <w:t>Údaje za Prahu jsou uvedeny v Demografické ročence krajů.</w:t>
      </w:r>
      <w:r w:rsidR="005B657B">
        <w:rPr>
          <w:rFonts w:ascii="Arial" w:hAnsi="Arial" w:cs="Arial"/>
          <w:bCs/>
          <w:sz w:val="24"/>
          <w:szCs w:val="24"/>
        </w:rPr>
        <w:t>)</w:t>
      </w:r>
      <w:r w:rsidR="004D07BF">
        <w:rPr>
          <w:rFonts w:ascii="Arial" w:hAnsi="Arial" w:cs="Arial"/>
          <w:bCs/>
          <w:sz w:val="24"/>
          <w:szCs w:val="24"/>
        </w:rPr>
        <w:t xml:space="preserve"> </w:t>
      </w:r>
      <w:r w:rsidR="00535691">
        <w:rPr>
          <w:rFonts w:ascii="Arial" w:hAnsi="Arial" w:cs="Arial"/>
          <w:bCs/>
          <w:sz w:val="24"/>
          <w:szCs w:val="24"/>
        </w:rPr>
        <w:t xml:space="preserve">Na konci roku 2018 </w:t>
      </w:r>
      <w:r>
        <w:rPr>
          <w:rFonts w:ascii="Arial" w:hAnsi="Arial" w:cs="Arial"/>
          <w:bCs/>
          <w:sz w:val="24"/>
          <w:szCs w:val="24"/>
        </w:rPr>
        <w:t>mělo</w:t>
      </w:r>
      <w:r w:rsidR="00BB2691">
        <w:rPr>
          <w:rFonts w:ascii="Arial" w:hAnsi="Arial" w:cs="Arial"/>
          <w:bCs/>
          <w:sz w:val="24"/>
          <w:szCs w:val="24"/>
        </w:rPr>
        <w:t xml:space="preserve"> Brno</w:t>
      </w:r>
      <w:r>
        <w:rPr>
          <w:rFonts w:ascii="Arial" w:hAnsi="Arial" w:cs="Arial"/>
          <w:bCs/>
          <w:sz w:val="24"/>
          <w:szCs w:val="24"/>
        </w:rPr>
        <w:t xml:space="preserve"> více než</w:t>
      </w:r>
      <w:r w:rsidR="00535691">
        <w:rPr>
          <w:rFonts w:ascii="Arial" w:hAnsi="Arial" w:cs="Arial"/>
          <w:bCs/>
          <w:sz w:val="24"/>
          <w:szCs w:val="24"/>
        </w:rPr>
        <w:t xml:space="preserve"> 380 tisíc</w:t>
      </w:r>
      <w:r w:rsidR="00B03BAB">
        <w:rPr>
          <w:rFonts w:ascii="Arial" w:hAnsi="Arial" w:cs="Arial"/>
          <w:bCs/>
          <w:sz w:val="24"/>
          <w:szCs w:val="24"/>
        </w:rPr>
        <w:t xml:space="preserve"> osob</w:t>
      </w:r>
      <w:r w:rsidR="00535691">
        <w:rPr>
          <w:rFonts w:ascii="Arial" w:hAnsi="Arial" w:cs="Arial"/>
          <w:bCs/>
          <w:sz w:val="24"/>
          <w:szCs w:val="24"/>
        </w:rPr>
        <w:t xml:space="preserve">. </w:t>
      </w:r>
      <w:r w:rsidR="00BB2691">
        <w:rPr>
          <w:rFonts w:ascii="Arial" w:hAnsi="Arial" w:cs="Arial"/>
          <w:bCs/>
          <w:sz w:val="24"/>
          <w:szCs w:val="24"/>
        </w:rPr>
        <w:t>Přes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535691">
        <w:rPr>
          <w:rFonts w:ascii="Arial" w:hAnsi="Arial" w:cs="Arial"/>
          <w:bCs/>
          <w:sz w:val="24"/>
          <w:szCs w:val="24"/>
        </w:rPr>
        <w:t xml:space="preserve">300 tisíc obyvatel má </w:t>
      </w:r>
      <w:bookmarkStart w:id="0" w:name="_GoBack"/>
      <w:bookmarkEnd w:id="0"/>
      <w:r w:rsidR="003C787B">
        <w:rPr>
          <w:rFonts w:ascii="Arial" w:hAnsi="Arial" w:cs="Arial"/>
          <w:bCs/>
          <w:sz w:val="24"/>
          <w:szCs w:val="24"/>
        </w:rPr>
        <w:t xml:space="preserve">dále </w:t>
      </w:r>
      <w:r w:rsidR="00B03BAB">
        <w:rPr>
          <w:rFonts w:ascii="Arial" w:hAnsi="Arial" w:cs="Arial"/>
          <w:bCs/>
          <w:sz w:val="24"/>
          <w:szCs w:val="24"/>
        </w:rPr>
        <w:t>již jen</w:t>
      </w:r>
      <w:r w:rsidR="00535691">
        <w:rPr>
          <w:rFonts w:ascii="Arial" w:hAnsi="Arial" w:cs="Arial"/>
          <w:bCs/>
          <w:sz w:val="24"/>
          <w:szCs w:val="24"/>
        </w:rPr>
        <w:t xml:space="preserve"> okres Ostrava-město</w:t>
      </w:r>
      <w:r w:rsidR="00ED165E">
        <w:rPr>
          <w:rFonts w:ascii="Arial" w:hAnsi="Arial" w:cs="Arial"/>
          <w:bCs/>
          <w:sz w:val="24"/>
          <w:szCs w:val="24"/>
        </w:rPr>
        <w:t>.</w:t>
      </w:r>
      <w:r w:rsidR="00AF4282" w:rsidRPr="006D2408">
        <w:rPr>
          <w:rFonts w:ascii="Arial" w:hAnsi="Arial" w:cs="Arial"/>
          <w:bCs/>
          <w:sz w:val="24"/>
          <w:szCs w:val="24"/>
        </w:rPr>
        <w:t xml:space="preserve"> </w:t>
      </w:r>
      <w:r w:rsidR="003C787B">
        <w:rPr>
          <w:rFonts w:ascii="Arial" w:hAnsi="Arial" w:cs="Arial"/>
          <w:bCs/>
          <w:sz w:val="24"/>
          <w:szCs w:val="24"/>
        </w:rPr>
        <w:t>P</w:t>
      </w:r>
      <w:r w:rsidR="00535691">
        <w:rPr>
          <w:rFonts w:ascii="Arial" w:hAnsi="Arial" w:cs="Arial"/>
          <w:bCs/>
          <w:sz w:val="24"/>
          <w:szCs w:val="24"/>
        </w:rPr>
        <w:t xml:space="preserve">opulačně nejmenší je </w:t>
      </w:r>
      <w:r w:rsidR="003C787B">
        <w:rPr>
          <w:rFonts w:ascii="Arial" w:hAnsi="Arial" w:cs="Arial"/>
          <w:bCs/>
          <w:sz w:val="24"/>
          <w:szCs w:val="24"/>
        </w:rPr>
        <w:t xml:space="preserve">naopak </w:t>
      </w:r>
      <w:r w:rsidR="00535691">
        <w:rPr>
          <w:rFonts w:ascii="Arial" w:hAnsi="Arial" w:cs="Arial"/>
          <w:bCs/>
          <w:sz w:val="24"/>
          <w:szCs w:val="24"/>
        </w:rPr>
        <w:t>38tisícový okres Jeseník</w:t>
      </w:r>
      <w:r>
        <w:rPr>
          <w:rFonts w:ascii="Arial" w:hAnsi="Arial" w:cs="Arial"/>
          <w:bCs/>
          <w:sz w:val="24"/>
          <w:szCs w:val="24"/>
        </w:rPr>
        <w:t xml:space="preserve">, jehož počet obyvatel se </w:t>
      </w:r>
      <w:r w:rsidR="00B03BAB">
        <w:rPr>
          <w:rFonts w:ascii="Arial" w:hAnsi="Arial" w:cs="Arial"/>
          <w:bCs/>
          <w:sz w:val="24"/>
          <w:szCs w:val="24"/>
        </w:rPr>
        <w:t xml:space="preserve">v uplynulých deseti letech </w:t>
      </w:r>
      <w:r w:rsidR="00BB2691">
        <w:rPr>
          <w:rFonts w:ascii="Arial" w:hAnsi="Arial" w:cs="Arial"/>
          <w:bCs/>
          <w:sz w:val="24"/>
          <w:szCs w:val="24"/>
        </w:rPr>
        <w:t xml:space="preserve">navíc pravidelně snižoval. </w:t>
      </w:r>
      <w:r w:rsidR="00F62CE7">
        <w:rPr>
          <w:rFonts w:ascii="Arial" w:hAnsi="Arial" w:cs="Arial"/>
          <w:bCs/>
          <w:sz w:val="24"/>
          <w:szCs w:val="24"/>
        </w:rPr>
        <w:t>Od konce roku</w:t>
      </w:r>
      <w:r w:rsidR="00BB2691">
        <w:rPr>
          <w:rFonts w:ascii="Arial" w:hAnsi="Arial" w:cs="Arial"/>
          <w:bCs/>
          <w:sz w:val="24"/>
          <w:szCs w:val="24"/>
        </w:rPr>
        <w:t xml:space="preserve"> 200</w:t>
      </w:r>
      <w:r w:rsidR="00BB2691" w:rsidRPr="00BB2691">
        <w:rPr>
          <w:rFonts w:ascii="Arial" w:hAnsi="Arial" w:cs="Arial"/>
          <w:bCs/>
          <w:sz w:val="24"/>
          <w:szCs w:val="24"/>
        </w:rPr>
        <w:t xml:space="preserve">9 </w:t>
      </w:r>
      <w:r w:rsidR="00F62CE7">
        <w:rPr>
          <w:rFonts w:ascii="Arial" w:hAnsi="Arial" w:cs="Arial"/>
          <w:bCs/>
          <w:sz w:val="24"/>
          <w:szCs w:val="24"/>
        </w:rPr>
        <w:t>do konce roku</w:t>
      </w:r>
      <w:r w:rsidR="00BB2691" w:rsidRPr="00BB2691">
        <w:rPr>
          <w:rFonts w:ascii="Arial" w:hAnsi="Arial" w:cs="Arial"/>
          <w:bCs/>
          <w:sz w:val="24"/>
          <w:szCs w:val="24"/>
        </w:rPr>
        <w:t xml:space="preserve"> 2018</w:t>
      </w:r>
      <w:r w:rsidR="00BB2691">
        <w:rPr>
          <w:rFonts w:ascii="Arial" w:hAnsi="Arial" w:cs="Arial"/>
          <w:bCs/>
          <w:sz w:val="24"/>
          <w:szCs w:val="24"/>
        </w:rPr>
        <w:t xml:space="preserve"> z něj ubylo</w:t>
      </w:r>
      <w:r w:rsidR="00BB2691" w:rsidRPr="00BB2691">
        <w:rPr>
          <w:rFonts w:ascii="Arial" w:hAnsi="Arial" w:cs="Arial"/>
          <w:bCs/>
          <w:sz w:val="24"/>
          <w:szCs w:val="24"/>
        </w:rPr>
        <w:t xml:space="preserve"> 2</w:t>
      </w:r>
      <w:r w:rsidR="00BB2691">
        <w:rPr>
          <w:rFonts w:ascii="Arial" w:hAnsi="Arial" w:cs="Arial"/>
          <w:bCs/>
          <w:sz w:val="24"/>
          <w:szCs w:val="24"/>
        </w:rPr>
        <w:t>,9 tisíce</w:t>
      </w:r>
      <w:r w:rsidR="00BB2691" w:rsidRPr="00BB2691">
        <w:rPr>
          <w:rFonts w:ascii="Arial" w:hAnsi="Arial" w:cs="Arial"/>
          <w:bCs/>
          <w:sz w:val="24"/>
          <w:szCs w:val="24"/>
        </w:rPr>
        <w:t xml:space="preserve"> osob, </w:t>
      </w:r>
      <w:r w:rsidR="00BB2691">
        <w:rPr>
          <w:rFonts w:ascii="Arial" w:hAnsi="Arial" w:cs="Arial"/>
          <w:bCs/>
          <w:sz w:val="24"/>
          <w:szCs w:val="24"/>
        </w:rPr>
        <w:t>tj.</w:t>
      </w:r>
      <w:r w:rsidR="00BB2691" w:rsidRPr="00BB2691">
        <w:rPr>
          <w:rFonts w:ascii="Arial" w:hAnsi="Arial" w:cs="Arial"/>
          <w:bCs/>
          <w:sz w:val="24"/>
          <w:szCs w:val="24"/>
        </w:rPr>
        <w:t xml:space="preserve"> </w:t>
      </w:r>
      <w:r w:rsidR="00F62CE7">
        <w:rPr>
          <w:rFonts w:ascii="Arial" w:hAnsi="Arial" w:cs="Arial"/>
          <w:bCs/>
          <w:sz w:val="24"/>
          <w:szCs w:val="24"/>
        </w:rPr>
        <w:t>7</w:t>
      </w:r>
      <w:r w:rsidR="00BB2691" w:rsidRPr="00BB2691">
        <w:rPr>
          <w:rFonts w:ascii="Arial" w:hAnsi="Arial" w:cs="Arial"/>
          <w:bCs/>
          <w:sz w:val="24"/>
          <w:szCs w:val="24"/>
        </w:rPr>
        <w:t xml:space="preserve"> %</w:t>
      </w:r>
      <w:r w:rsidR="00BB2691">
        <w:rPr>
          <w:rFonts w:ascii="Arial" w:hAnsi="Arial" w:cs="Arial"/>
          <w:bCs/>
          <w:sz w:val="24"/>
          <w:szCs w:val="24"/>
        </w:rPr>
        <w:t xml:space="preserve"> obyvatel. </w:t>
      </w:r>
      <w:r w:rsidR="00BB2691" w:rsidRPr="00BB2691">
        <w:rPr>
          <w:rFonts w:ascii="Arial" w:hAnsi="Arial" w:cs="Arial"/>
          <w:bCs/>
          <w:sz w:val="24"/>
          <w:szCs w:val="24"/>
        </w:rPr>
        <w:t xml:space="preserve">Naopak nejvýrazněji rostl počet obyvatel okresu Praha-východ. </w:t>
      </w:r>
      <w:r w:rsidR="00BB2691">
        <w:rPr>
          <w:rFonts w:ascii="Arial" w:hAnsi="Arial" w:cs="Arial"/>
          <w:bCs/>
          <w:sz w:val="24"/>
          <w:szCs w:val="24"/>
        </w:rPr>
        <w:t xml:space="preserve">Nárůst o </w:t>
      </w:r>
      <w:r w:rsidR="00BB2691" w:rsidRPr="00BB2691">
        <w:rPr>
          <w:rFonts w:ascii="Arial" w:hAnsi="Arial" w:cs="Arial"/>
          <w:bCs/>
          <w:sz w:val="24"/>
          <w:szCs w:val="24"/>
        </w:rPr>
        <w:t>2</w:t>
      </w:r>
      <w:r w:rsidR="00F62CE7">
        <w:rPr>
          <w:rFonts w:ascii="Arial" w:hAnsi="Arial" w:cs="Arial"/>
          <w:bCs/>
          <w:sz w:val="24"/>
          <w:szCs w:val="24"/>
        </w:rPr>
        <w:t>8</w:t>
      </w:r>
      <w:r w:rsidR="00BB2691">
        <w:rPr>
          <w:rFonts w:ascii="Arial" w:hAnsi="Arial" w:cs="Arial"/>
          <w:bCs/>
          <w:sz w:val="24"/>
          <w:szCs w:val="24"/>
        </w:rPr>
        <w:t> %</w:t>
      </w:r>
      <w:r w:rsidR="00BB2691" w:rsidRPr="00BB2691">
        <w:rPr>
          <w:rFonts w:ascii="Arial" w:hAnsi="Arial" w:cs="Arial"/>
          <w:bCs/>
          <w:sz w:val="24"/>
          <w:szCs w:val="24"/>
        </w:rPr>
        <w:t xml:space="preserve"> znamenal </w:t>
      </w:r>
      <w:r w:rsidR="00BB2691">
        <w:rPr>
          <w:rFonts w:ascii="Arial" w:hAnsi="Arial" w:cs="Arial"/>
          <w:bCs/>
          <w:sz w:val="24"/>
          <w:szCs w:val="24"/>
        </w:rPr>
        <w:t xml:space="preserve">na konci roku 2018 </w:t>
      </w:r>
      <w:r w:rsidR="00BB2691" w:rsidRPr="00BB2691">
        <w:rPr>
          <w:rFonts w:ascii="Arial" w:hAnsi="Arial" w:cs="Arial"/>
          <w:bCs/>
          <w:sz w:val="24"/>
          <w:szCs w:val="24"/>
        </w:rPr>
        <w:t xml:space="preserve">o </w:t>
      </w:r>
      <w:r w:rsidR="00F62CE7">
        <w:rPr>
          <w:rFonts w:ascii="Arial" w:hAnsi="Arial" w:cs="Arial"/>
          <w:bCs/>
          <w:sz w:val="24"/>
          <w:szCs w:val="24"/>
        </w:rPr>
        <w:t>39</w:t>
      </w:r>
      <w:r w:rsidR="00BB2691">
        <w:rPr>
          <w:rFonts w:ascii="Arial" w:hAnsi="Arial" w:cs="Arial"/>
          <w:bCs/>
          <w:sz w:val="24"/>
          <w:szCs w:val="24"/>
        </w:rPr>
        <w:t>,</w:t>
      </w:r>
      <w:r w:rsidR="00F62CE7">
        <w:rPr>
          <w:rFonts w:ascii="Arial" w:hAnsi="Arial" w:cs="Arial"/>
          <w:bCs/>
          <w:sz w:val="24"/>
          <w:szCs w:val="24"/>
        </w:rPr>
        <w:t>7</w:t>
      </w:r>
      <w:r w:rsidR="00BB2691">
        <w:rPr>
          <w:rFonts w:ascii="Arial" w:hAnsi="Arial" w:cs="Arial"/>
          <w:bCs/>
          <w:sz w:val="24"/>
          <w:szCs w:val="24"/>
        </w:rPr>
        <w:t xml:space="preserve"> tisíce </w:t>
      </w:r>
      <w:r w:rsidR="00BB2691" w:rsidRPr="00BB2691">
        <w:rPr>
          <w:rFonts w:ascii="Arial" w:hAnsi="Arial" w:cs="Arial"/>
          <w:bCs/>
          <w:sz w:val="24"/>
          <w:szCs w:val="24"/>
        </w:rPr>
        <w:t>osob v populaci více</w:t>
      </w:r>
      <w:r w:rsidR="00BB2691">
        <w:rPr>
          <w:rFonts w:ascii="Arial" w:hAnsi="Arial" w:cs="Arial"/>
          <w:bCs/>
          <w:sz w:val="24"/>
          <w:szCs w:val="24"/>
        </w:rPr>
        <w:t xml:space="preserve"> </w:t>
      </w:r>
      <w:r w:rsidR="00F62CE7">
        <w:rPr>
          <w:rFonts w:ascii="Arial" w:hAnsi="Arial" w:cs="Arial"/>
          <w:bCs/>
          <w:sz w:val="24"/>
          <w:szCs w:val="24"/>
        </w:rPr>
        <w:t>než v závěru roku 2009</w:t>
      </w:r>
      <w:r w:rsidR="00BB2691" w:rsidRPr="00BB2691">
        <w:rPr>
          <w:rFonts w:ascii="Arial" w:hAnsi="Arial" w:cs="Arial"/>
          <w:bCs/>
          <w:sz w:val="24"/>
          <w:szCs w:val="24"/>
        </w:rPr>
        <w:t xml:space="preserve">. O jednu čtvrtinu se </w:t>
      </w:r>
      <w:r w:rsidR="00610947">
        <w:rPr>
          <w:rFonts w:ascii="Arial" w:hAnsi="Arial" w:cs="Arial"/>
          <w:bCs/>
          <w:sz w:val="24"/>
          <w:szCs w:val="24"/>
        </w:rPr>
        <w:t>v</w:t>
      </w:r>
      <w:r w:rsidR="00C30018">
        <w:rPr>
          <w:rFonts w:ascii="Arial" w:hAnsi="Arial" w:cs="Arial"/>
          <w:bCs/>
          <w:sz w:val="24"/>
          <w:szCs w:val="24"/>
        </w:rPr>
        <w:t>e</w:t>
      </w:r>
      <w:r w:rsidR="00610947">
        <w:rPr>
          <w:rFonts w:ascii="Arial" w:hAnsi="Arial" w:cs="Arial"/>
          <w:bCs/>
          <w:sz w:val="24"/>
          <w:szCs w:val="24"/>
        </w:rPr>
        <w:t> </w:t>
      </w:r>
      <w:r w:rsidR="00C30018">
        <w:rPr>
          <w:rFonts w:ascii="Arial" w:hAnsi="Arial" w:cs="Arial"/>
          <w:bCs/>
          <w:sz w:val="24"/>
          <w:szCs w:val="24"/>
        </w:rPr>
        <w:t>stejném období</w:t>
      </w:r>
      <w:r w:rsidR="00610947">
        <w:rPr>
          <w:rFonts w:ascii="Arial" w:hAnsi="Arial" w:cs="Arial"/>
          <w:bCs/>
          <w:sz w:val="24"/>
          <w:szCs w:val="24"/>
        </w:rPr>
        <w:t xml:space="preserve"> </w:t>
      </w:r>
      <w:r w:rsidR="00BB2691" w:rsidRPr="00BB2691">
        <w:rPr>
          <w:rFonts w:ascii="Arial" w:hAnsi="Arial" w:cs="Arial"/>
          <w:bCs/>
          <w:sz w:val="24"/>
          <w:szCs w:val="24"/>
        </w:rPr>
        <w:t>rozrostla také populace okresu Praha-západ (absolutně o 29</w:t>
      </w:r>
      <w:r w:rsidR="00BB2691">
        <w:rPr>
          <w:rFonts w:ascii="Arial" w:hAnsi="Arial" w:cs="Arial"/>
          <w:bCs/>
          <w:sz w:val="24"/>
          <w:szCs w:val="24"/>
        </w:rPr>
        <w:t>,</w:t>
      </w:r>
      <w:r w:rsidR="00F62CE7">
        <w:rPr>
          <w:rFonts w:ascii="Arial" w:hAnsi="Arial" w:cs="Arial"/>
          <w:bCs/>
          <w:sz w:val="24"/>
          <w:szCs w:val="24"/>
        </w:rPr>
        <w:t>2</w:t>
      </w:r>
      <w:r w:rsidR="00BB2691">
        <w:rPr>
          <w:rFonts w:ascii="Arial" w:hAnsi="Arial" w:cs="Arial"/>
          <w:bCs/>
          <w:sz w:val="24"/>
          <w:szCs w:val="24"/>
        </w:rPr>
        <w:t xml:space="preserve"> tisíce</w:t>
      </w:r>
      <w:r w:rsidR="00BB2691" w:rsidRPr="00BB2691">
        <w:rPr>
          <w:rFonts w:ascii="Arial" w:hAnsi="Arial" w:cs="Arial"/>
          <w:bCs/>
          <w:sz w:val="24"/>
          <w:szCs w:val="24"/>
        </w:rPr>
        <w:t xml:space="preserve"> osob).</w:t>
      </w:r>
    </w:p>
    <w:sectPr w:rsidR="006F2ED6" w:rsidRPr="00FD6E67" w:rsidSect="00E72E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9D446F" w14:textId="77777777" w:rsidR="00CA4FAE" w:rsidRDefault="00CA4FAE" w:rsidP="00FD6E67">
      <w:pPr>
        <w:spacing w:after="0" w:line="240" w:lineRule="auto"/>
      </w:pPr>
      <w:r>
        <w:separator/>
      </w:r>
    </w:p>
  </w:endnote>
  <w:endnote w:type="continuationSeparator" w:id="0">
    <w:p w14:paraId="5197DBAC" w14:textId="77777777" w:rsidR="00CA4FAE" w:rsidRDefault="00CA4FAE" w:rsidP="00FD6E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8F7ABF" w14:textId="77777777" w:rsidR="00CA4FAE" w:rsidRDefault="00CA4FAE" w:rsidP="00FD6E67">
      <w:pPr>
        <w:spacing w:after="0" w:line="240" w:lineRule="auto"/>
      </w:pPr>
      <w:r>
        <w:separator/>
      </w:r>
    </w:p>
  </w:footnote>
  <w:footnote w:type="continuationSeparator" w:id="0">
    <w:p w14:paraId="328E3E87" w14:textId="77777777" w:rsidR="00CA4FAE" w:rsidRDefault="00CA4FAE" w:rsidP="00FD6E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A83F38"/>
    <w:multiLevelType w:val="hybridMultilevel"/>
    <w:tmpl w:val="E2F8E244"/>
    <w:lvl w:ilvl="0" w:tplc="E8E8AA4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63F"/>
    <w:rsid w:val="00011FB3"/>
    <w:rsid w:val="000342CC"/>
    <w:rsid w:val="000533F4"/>
    <w:rsid w:val="000551D9"/>
    <w:rsid w:val="00072C96"/>
    <w:rsid w:val="000A532E"/>
    <w:rsid w:val="000C2BF9"/>
    <w:rsid w:val="000C688B"/>
    <w:rsid w:val="000D0C82"/>
    <w:rsid w:val="00181447"/>
    <w:rsid w:val="00184350"/>
    <w:rsid w:val="00191539"/>
    <w:rsid w:val="0019340A"/>
    <w:rsid w:val="001940AE"/>
    <w:rsid w:val="001B4953"/>
    <w:rsid w:val="0020703E"/>
    <w:rsid w:val="00213DA2"/>
    <w:rsid w:val="00222844"/>
    <w:rsid w:val="00224472"/>
    <w:rsid w:val="00224A88"/>
    <w:rsid w:val="00261F13"/>
    <w:rsid w:val="00294B37"/>
    <w:rsid w:val="00295EC2"/>
    <w:rsid w:val="002A7CF0"/>
    <w:rsid w:val="002C1BEB"/>
    <w:rsid w:val="002C4E73"/>
    <w:rsid w:val="002D15A9"/>
    <w:rsid w:val="002E21FC"/>
    <w:rsid w:val="002E4591"/>
    <w:rsid w:val="002E4DF4"/>
    <w:rsid w:val="002F38B7"/>
    <w:rsid w:val="00306748"/>
    <w:rsid w:val="00311D89"/>
    <w:rsid w:val="00317432"/>
    <w:rsid w:val="00322D4D"/>
    <w:rsid w:val="00356FCD"/>
    <w:rsid w:val="00370A58"/>
    <w:rsid w:val="00383267"/>
    <w:rsid w:val="003A36C3"/>
    <w:rsid w:val="003B5447"/>
    <w:rsid w:val="003C787B"/>
    <w:rsid w:val="00412DB0"/>
    <w:rsid w:val="00420AC1"/>
    <w:rsid w:val="00441EAD"/>
    <w:rsid w:val="004769BA"/>
    <w:rsid w:val="004D07BF"/>
    <w:rsid w:val="004D5722"/>
    <w:rsid w:val="004D7B3A"/>
    <w:rsid w:val="00504A89"/>
    <w:rsid w:val="0052496D"/>
    <w:rsid w:val="0053321F"/>
    <w:rsid w:val="0053484C"/>
    <w:rsid w:val="00535691"/>
    <w:rsid w:val="00540C78"/>
    <w:rsid w:val="0056614E"/>
    <w:rsid w:val="00582DA5"/>
    <w:rsid w:val="005878E8"/>
    <w:rsid w:val="0059769E"/>
    <w:rsid w:val="005B6390"/>
    <w:rsid w:val="005B657B"/>
    <w:rsid w:val="00610947"/>
    <w:rsid w:val="006122CE"/>
    <w:rsid w:val="00662E18"/>
    <w:rsid w:val="00663B6D"/>
    <w:rsid w:val="00675766"/>
    <w:rsid w:val="00677D1E"/>
    <w:rsid w:val="006824B5"/>
    <w:rsid w:val="006B4878"/>
    <w:rsid w:val="006D2408"/>
    <w:rsid w:val="006E100B"/>
    <w:rsid w:val="006F2ED6"/>
    <w:rsid w:val="006F5ADA"/>
    <w:rsid w:val="0071195C"/>
    <w:rsid w:val="007B3C1A"/>
    <w:rsid w:val="007C3AF2"/>
    <w:rsid w:val="007C7948"/>
    <w:rsid w:val="007E0407"/>
    <w:rsid w:val="007E5A2D"/>
    <w:rsid w:val="007F3EC2"/>
    <w:rsid w:val="0081217C"/>
    <w:rsid w:val="0081403B"/>
    <w:rsid w:val="008330D2"/>
    <w:rsid w:val="00873C57"/>
    <w:rsid w:val="008828C5"/>
    <w:rsid w:val="008A4FEB"/>
    <w:rsid w:val="008B0211"/>
    <w:rsid w:val="008B3927"/>
    <w:rsid w:val="008D30A0"/>
    <w:rsid w:val="0094168C"/>
    <w:rsid w:val="00947EE6"/>
    <w:rsid w:val="00982D79"/>
    <w:rsid w:val="009B30E9"/>
    <w:rsid w:val="009C7BBD"/>
    <w:rsid w:val="009D28AE"/>
    <w:rsid w:val="009E5846"/>
    <w:rsid w:val="00A55518"/>
    <w:rsid w:val="00A6642F"/>
    <w:rsid w:val="00A72865"/>
    <w:rsid w:val="00AA0469"/>
    <w:rsid w:val="00AC5D75"/>
    <w:rsid w:val="00AD3951"/>
    <w:rsid w:val="00AE4A12"/>
    <w:rsid w:val="00AF4282"/>
    <w:rsid w:val="00AF759F"/>
    <w:rsid w:val="00B03BAB"/>
    <w:rsid w:val="00B4328A"/>
    <w:rsid w:val="00B44A7E"/>
    <w:rsid w:val="00B64DE2"/>
    <w:rsid w:val="00BB2691"/>
    <w:rsid w:val="00BB7437"/>
    <w:rsid w:val="00C30018"/>
    <w:rsid w:val="00CA4FAE"/>
    <w:rsid w:val="00CB7203"/>
    <w:rsid w:val="00CC6687"/>
    <w:rsid w:val="00CD6C94"/>
    <w:rsid w:val="00CE3B90"/>
    <w:rsid w:val="00D04936"/>
    <w:rsid w:val="00D05387"/>
    <w:rsid w:val="00D26638"/>
    <w:rsid w:val="00D4131D"/>
    <w:rsid w:val="00D42F3E"/>
    <w:rsid w:val="00D84FA1"/>
    <w:rsid w:val="00DB7E4C"/>
    <w:rsid w:val="00DC5B20"/>
    <w:rsid w:val="00DE40F2"/>
    <w:rsid w:val="00DE51F4"/>
    <w:rsid w:val="00DF78F0"/>
    <w:rsid w:val="00E04D8D"/>
    <w:rsid w:val="00E30F57"/>
    <w:rsid w:val="00E31641"/>
    <w:rsid w:val="00E54ED8"/>
    <w:rsid w:val="00E55704"/>
    <w:rsid w:val="00E5621C"/>
    <w:rsid w:val="00E669F1"/>
    <w:rsid w:val="00E72E73"/>
    <w:rsid w:val="00E74C00"/>
    <w:rsid w:val="00E76023"/>
    <w:rsid w:val="00E908FB"/>
    <w:rsid w:val="00E91B97"/>
    <w:rsid w:val="00ED165E"/>
    <w:rsid w:val="00EE25CE"/>
    <w:rsid w:val="00EF479D"/>
    <w:rsid w:val="00F10F38"/>
    <w:rsid w:val="00F117DE"/>
    <w:rsid w:val="00F462A7"/>
    <w:rsid w:val="00F62CE7"/>
    <w:rsid w:val="00F73C1F"/>
    <w:rsid w:val="00FD0A7B"/>
    <w:rsid w:val="00FD6E67"/>
    <w:rsid w:val="00FE4334"/>
    <w:rsid w:val="00FE4A73"/>
    <w:rsid w:val="00FF063F"/>
    <w:rsid w:val="00FF0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0C6AE"/>
  <w15:docId w15:val="{95859CEE-8BA5-420D-BF5B-5EE7DB585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E5A2D"/>
    <w:pPr>
      <w:ind w:left="720"/>
      <w:contextualSpacing/>
    </w:pPr>
  </w:style>
  <w:style w:type="character" w:styleId="Hypertextovodkaz">
    <w:name w:val="Hyperlink"/>
    <w:rsid w:val="0020703E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416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168C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941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416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416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41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4168C"/>
    <w:rPr>
      <w:b/>
      <w:bCs/>
      <w:sz w:val="20"/>
      <w:szCs w:val="20"/>
    </w:rPr>
  </w:style>
  <w:style w:type="character" w:customStyle="1" w:styleId="content">
    <w:name w:val="content"/>
    <w:basedOn w:val="Standardnpsmoodstavce"/>
    <w:rsid w:val="004769BA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D6E6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D6E6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D6E67"/>
    <w:rPr>
      <w:vertAlign w:val="superscript"/>
    </w:rPr>
  </w:style>
  <w:style w:type="paragraph" w:customStyle="1" w:styleId="A-tabvtext2">
    <w:name w:val="A-tab_v_text2"/>
    <w:basedOn w:val="Normln"/>
    <w:next w:val="Normln"/>
    <w:autoRedefine/>
    <w:rsid w:val="003C787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73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3FA4FD-5F14-42DA-ACAE-002D05DAB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112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hamersky33636</dc:creator>
  <cp:lastModifiedBy>Ing. Jan Bílík</cp:lastModifiedBy>
  <cp:revision>9</cp:revision>
  <dcterms:created xsi:type="dcterms:W3CDTF">2019-08-19T11:17:00Z</dcterms:created>
  <dcterms:modified xsi:type="dcterms:W3CDTF">2019-08-26T11:03:00Z</dcterms:modified>
</cp:coreProperties>
</file>