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02F34A7B" w:rsidR="0097104F" w:rsidRPr="009C73E7" w:rsidRDefault="00324DCF" w:rsidP="0097104F">
      <w:pPr>
        <w:pStyle w:val="Nadpis1"/>
        <w:rPr>
          <w:spacing w:val="-2"/>
        </w:rPr>
      </w:pPr>
      <w:r w:rsidRPr="00324DCF">
        <w:rPr>
          <w:rFonts w:cs="Arial"/>
        </w:rPr>
        <w:t>Průměrná míra inflace v</w:t>
      </w:r>
      <w:r>
        <w:rPr>
          <w:rFonts w:cs="Arial"/>
        </w:rPr>
        <w:t> </w:t>
      </w:r>
      <w:r w:rsidRPr="00324DCF">
        <w:rPr>
          <w:rFonts w:cs="Arial"/>
        </w:rPr>
        <w:t>roce 2025 byla</w:t>
      </w:r>
      <w:r>
        <w:rPr>
          <w:rFonts w:cs="Arial"/>
        </w:rPr>
        <w:t> </w:t>
      </w:r>
      <w:r w:rsidRPr="00324DCF">
        <w:rPr>
          <w:rFonts w:cs="Arial"/>
        </w:rPr>
        <w:t>2,5</w:t>
      </w:r>
      <w:r>
        <w:rPr>
          <w:rFonts w:cs="Arial"/>
        </w:rPr>
        <w:t> </w:t>
      </w:r>
      <w:r w:rsidRPr="00324DCF">
        <w:rPr>
          <w:rFonts w:cs="Arial"/>
        </w:rPr>
        <w:t>%</w:t>
      </w:r>
    </w:p>
    <w:p w14:paraId="3F564721" w14:textId="74E6C27C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324DCF">
        <w:t>prosinec</w:t>
      </w:r>
      <w:r w:rsidR="00250429">
        <w:t> 20</w:t>
      </w:r>
      <w:r w:rsidR="00D563FA">
        <w:t>2</w:t>
      </w:r>
      <w:r w:rsidR="00536F60">
        <w:t>5</w:t>
      </w:r>
    </w:p>
    <w:p w14:paraId="6BF3970D" w14:textId="27745FA2" w:rsidR="0078029C" w:rsidRDefault="00324DCF" w:rsidP="00B47419">
      <w:pPr>
        <w:pStyle w:val="Perex"/>
      </w:pPr>
      <w:r w:rsidRPr="004D32FB">
        <w:t xml:space="preserve">Spotřebitelské ceny v prosinci meziměsíčně klesly o 0,3 %. Tento vývoj byl ovlivněn zejména nižšími cenami v oddíle potraviny a nealkoholické nápoje. </w:t>
      </w:r>
      <w:r w:rsidRPr="004D32FB">
        <w:rPr>
          <w:spacing w:val="-4"/>
        </w:rPr>
        <w:t>Meziročně vzrostly spotřebitelské ceny v prosinci stejně jako v</w:t>
      </w:r>
      <w:r>
        <w:rPr>
          <w:spacing w:val="-4"/>
        </w:rPr>
        <w:t> </w:t>
      </w:r>
      <w:r w:rsidRPr="004D32FB">
        <w:rPr>
          <w:spacing w:val="-4"/>
        </w:rPr>
        <w:t>listopadu o 2,1 %.</w:t>
      </w:r>
      <w:r>
        <w:rPr>
          <w:spacing w:val="-4"/>
        </w:rPr>
        <w:t xml:space="preserve"> </w:t>
      </w:r>
      <w:r w:rsidRPr="004D32FB">
        <w:rPr>
          <w:spacing w:val="-4"/>
        </w:rPr>
        <w:t>Průměrná míra inflace za celý rok 2025 byla 2,5 %.</w:t>
      </w:r>
    </w:p>
    <w:p w14:paraId="7AF6B44C" w14:textId="2F134358" w:rsidR="00836FBD" w:rsidRDefault="00324DCF" w:rsidP="00836FBD">
      <w:pPr>
        <w:spacing w:after="0"/>
        <w:jc w:val="both"/>
        <w:rPr>
          <w:b/>
        </w:rPr>
      </w:pPr>
      <w:r w:rsidRPr="00324DCF">
        <w:rPr>
          <w:b/>
        </w:rPr>
        <w:t>Průměrná míra inflace</w:t>
      </w:r>
    </w:p>
    <w:p w14:paraId="52726CBB" w14:textId="77777777" w:rsidR="00324DCF" w:rsidRPr="004D32FB" w:rsidRDefault="00324DCF" w:rsidP="00324DCF">
      <w:pPr>
        <w:pStyle w:val="Zkladntext"/>
        <w:spacing w:after="240"/>
        <w:jc w:val="both"/>
        <w:outlineLvl w:val="0"/>
        <w:rPr>
          <w:rFonts w:eastAsia="Calibri"/>
          <w:i/>
          <w:iCs/>
          <w:szCs w:val="20"/>
        </w:rPr>
      </w:pPr>
      <w:r w:rsidRPr="004D32FB">
        <w:rPr>
          <w:rFonts w:cs="Arial"/>
          <w:bCs/>
          <w:szCs w:val="20"/>
        </w:rPr>
        <w:t>„Průměrná míra inflace za</w:t>
      </w:r>
      <w:r w:rsidRPr="004D32FB">
        <w:rPr>
          <w:rFonts w:cs="Arial"/>
          <w:szCs w:val="20"/>
        </w:rPr>
        <w:t xml:space="preserve"> rok 2025 </w:t>
      </w:r>
      <w:r w:rsidRPr="004D32FB">
        <w:rPr>
          <w:rFonts w:eastAsia="Calibri"/>
          <w:szCs w:val="22"/>
        </w:rPr>
        <w:t>činila 2,5 %. Ceny zboží úhrnem v roce 2025 vzrostly o 1,1 % a ceny služeb o 4,7 </w:t>
      </w:r>
      <w:r w:rsidRPr="004D32FB">
        <w:rPr>
          <w:rFonts w:eastAsia="Calibri"/>
          <w:szCs w:val="20"/>
        </w:rPr>
        <w:t xml:space="preserve">%,“ </w:t>
      </w:r>
      <w:r w:rsidRPr="004D32FB">
        <w:rPr>
          <w:rFonts w:cs="Arial"/>
          <w:szCs w:val="20"/>
        </w:rPr>
        <w:t>uvedla Pavla Šedivá, vedoucí oddělení statistiky spotřebitelských cen ČSÚ.</w:t>
      </w:r>
    </w:p>
    <w:p w14:paraId="0AC22657" w14:textId="77777777" w:rsidR="00324DCF" w:rsidRPr="004D7C35" w:rsidRDefault="00324DCF" w:rsidP="00324DCF">
      <w:pPr>
        <w:pStyle w:val="Zkladntext"/>
        <w:spacing w:after="240"/>
        <w:jc w:val="both"/>
        <w:rPr>
          <w:rFonts w:eastAsia="Calibri"/>
          <w:i/>
          <w:iCs/>
          <w:szCs w:val="22"/>
        </w:rPr>
      </w:pPr>
      <w:r w:rsidRPr="004D32FB">
        <w:rPr>
          <w:rFonts w:eastAsia="Calibri"/>
          <w:szCs w:val="22"/>
        </w:rPr>
        <w:t>(Shrnutí vývoje indexu spotřebitelských cen v roce 2025 je součástí souběžně vydávané analýzy za 4. čtvrtletí.)</w:t>
      </w:r>
    </w:p>
    <w:p w14:paraId="0FE486B3" w14:textId="77777777" w:rsidR="00324DCF" w:rsidRPr="002E7BAD" w:rsidRDefault="00324DCF" w:rsidP="00324DCF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01C0D593" w14:textId="77777777" w:rsidR="00324DCF" w:rsidRDefault="00324DCF" w:rsidP="00324DCF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klesly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prosinci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0,3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V oddíle potraviny a nealkoholické nápoje byly nižší především ceny </w:t>
      </w:r>
      <w:r w:rsidRPr="00D91348">
        <w:rPr>
          <w:rFonts w:eastAsia="Calibri" w:cs="Arial"/>
          <w:szCs w:val="20"/>
        </w:rPr>
        <w:t>vepřového</w:t>
      </w:r>
      <w:r>
        <w:rPr>
          <w:rFonts w:eastAsia="Calibri" w:cs="Arial"/>
          <w:szCs w:val="20"/>
        </w:rPr>
        <w:t xml:space="preserve"> masa o 4,9 %, drůbeže o 2,7 %, másla o 9,6 %, nealkoholických nápojů o 1,5 %, uzenin o 1,8 %, polotučného trvanlivého mléka o 7,6 %, vajec o 4,7 %, </w:t>
      </w:r>
      <w:r w:rsidRPr="00D91348">
        <w:rPr>
          <w:rFonts w:eastAsia="Calibri" w:cs="Arial"/>
          <w:szCs w:val="20"/>
        </w:rPr>
        <w:t>ovoce o </w:t>
      </w:r>
      <w:r>
        <w:rPr>
          <w:rFonts w:eastAsia="Calibri" w:cs="Arial"/>
          <w:szCs w:val="20"/>
        </w:rPr>
        <w:t>1,</w:t>
      </w:r>
      <w:r w:rsidRPr="00D91348">
        <w:rPr>
          <w:rFonts w:eastAsia="Calibri" w:cs="Arial"/>
          <w:szCs w:val="20"/>
        </w:rPr>
        <w:t>3 %</w:t>
      </w:r>
      <w:r>
        <w:rPr>
          <w:rFonts w:eastAsia="Calibri" w:cs="Arial"/>
          <w:szCs w:val="20"/>
        </w:rPr>
        <w:t xml:space="preserve">, čokolády a čokoládových výrobků o 4,0 %, jogurtů o 3,3 %. V oddíle alkoholické nápoje, tabák klesly ceny vína o 5,7 %, piva o 2,0 % a lihovin o 1,6 %. Pokles cen v oddíle doprava byl ovlivněn zejména nižšími cenami pohonných hmot a olejů o 1,9 %. Naopak na meziměsíční zvyšování celkové cenové hladiny měly v prosinci vliv zejména ceny v oddíle bydlení, a to především vlivem vyšších cen nájemného z bytu o 0,5 %. V oddíle bytové vybavení, zařízení domácnosti vzrostly zejména ceny přístrojů a spotřebičů pro domácnost o 3,3 %. </w:t>
      </w:r>
      <w:r>
        <w:rPr>
          <w:rFonts w:cs="Arial"/>
          <w:szCs w:val="20"/>
        </w:rPr>
        <w:t>Z potravin byly oproti minulému měsíci vyšší především ceny zeleniny o 3,9 %.</w:t>
      </w:r>
    </w:p>
    <w:p w14:paraId="0A689E4C" w14:textId="48272BDE" w:rsidR="004F3D10" w:rsidRPr="00A80AD3" w:rsidRDefault="00324DCF" w:rsidP="00324DCF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klesly o 0,6 %, zatímco ceny služeb o 0,2 % vzrostly.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2D8B5DCB" w14:textId="77777777" w:rsidR="00324DCF" w:rsidRDefault="00324DCF" w:rsidP="00324DCF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 xml:space="preserve"> prosinci stejně jako v listopadu o 2,1 %. </w:t>
      </w:r>
      <w:r w:rsidRPr="00B6305F">
        <w:rPr>
          <w:rFonts w:cs="Arial"/>
          <w:b/>
          <w:bCs/>
          <w:szCs w:val="20"/>
        </w:rPr>
        <w:t>Z</w:t>
      </w:r>
      <w:r>
        <w:rPr>
          <w:rFonts w:cs="Arial"/>
          <w:b/>
          <w:bCs/>
          <w:szCs w:val="20"/>
        </w:rPr>
        <w:t>pomalení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zejména v oddíle potraviny a nealkoholické nápoje bylo téměř zcela vykompenzováno </w:t>
      </w:r>
      <w:r w:rsidRPr="00B6305F">
        <w:rPr>
          <w:b/>
          <w:bCs/>
        </w:rPr>
        <w:t>zrychlením</w:t>
      </w:r>
      <w:r>
        <w:t xml:space="preserve"> cenového růstu v oddíle bydlení. V oddíle potraviny a nealkoholické nápoje v prosinci vzrostly ceny masa o 4,3 % (v listopadu růst o 5,3 %), položek ve skupině mléko, sýry, vejce o 3,2 % (v listopadu růst o 5,2 %) a nealkoholických nápojů o 3,5 % (v listopadu růst o 5,1 </w:t>
      </w:r>
      <w:r w:rsidRPr="00DF1132">
        <w:t>%). Ceny másla v prosinci meziročně klesly o 29,2 % (v</w:t>
      </w:r>
      <w:r>
        <w:t> </w:t>
      </w:r>
      <w:r w:rsidRPr="00DF1132">
        <w:t>listopadu pokles o 17,7 %) a</w:t>
      </w:r>
      <w:r>
        <w:t> </w:t>
      </w:r>
      <w:r w:rsidRPr="00DF1132">
        <w:t>ceny brambor o 28,8 % (v</w:t>
      </w:r>
      <w:r>
        <w:t> </w:t>
      </w:r>
      <w:r w:rsidRPr="00DF1132">
        <w:t>listopadu pokles o 23,2 %). V oddíle bydlení zrychlil především růst cen nájemného z </w:t>
      </w:r>
      <w:r w:rsidRPr="00DF1132">
        <w:rPr>
          <w:rFonts w:cs="Arial"/>
          <w:szCs w:val="20"/>
        </w:rPr>
        <w:t>bytu</w:t>
      </w:r>
      <w:r w:rsidRPr="00DF1132">
        <w:rPr>
          <w:rStyle w:val="Znakapoznpodarou"/>
          <w:rFonts w:cs="Arial"/>
          <w:szCs w:val="20"/>
        </w:rPr>
        <w:footnoteReference w:id="2"/>
      </w:r>
      <w:r w:rsidRPr="00DF1132">
        <w:rPr>
          <w:rFonts w:cs="Arial"/>
          <w:szCs w:val="20"/>
          <w:vertAlign w:val="superscript"/>
        </w:rPr>
        <w:t>)</w:t>
      </w:r>
      <w:r w:rsidRPr="00DF1132">
        <w:rPr>
          <w:rFonts w:cs="Arial"/>
          <w:szCs w:val="20"/>
        </w:rPr>
        <w:t xml:space="preserve"> </w:t>
      </w:r>
      <w:r w:rsidRPr="00DF1132">
        <w:t>na</w:t>
      </w:r>
      <w:r>
        <w:t> </w:t>
      </w:r>
      <w:r w:rsidRPr="00DF1132">
        <w:t>6,4 % (v</w:t>
      </w:r>
      <w:r>
        <w:t> </w:t>
      </w:r>
      <w:r w:rsidRPr="00DF1132">
        <w:t>listopadu růst o 6,2 %). Ceny</w:t>
      </w:r>
      <w:r>
        <w:t xml:space="preserve"> zemního plynu v prosinci klesly o 6,7 % (v listopadu pokles o 8,5 %).</w:t>
      </w:r>
    </w:p>
    <w:p w14:paraId="6C8800AF" w14:textId="77777777" w:rsidR="00324DCF" w:rsidRDefault="00324DCF" w:rsidP="00324DCF">
      <w:pPr>
        <w:jc w:val="both"/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 </w:t>
      </w:r>
      <w:r>
        <w:rPr>
          <w:rFonts w:cs="Arial"/>
        </w:rPr>
        <w:t>prosinci</w:t>
      </w:r>
      <w:r w:rsidRPr="006E5A9C">
        <w:rPr>
          <w:rFonts w:cs="Arial"/>
        </w:rPr>
        <w:t xml:space="preserve"> 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</w:t>
      </w:r>
      <w:r w:rsidRPr="006E5A9C">
        <w:rPr>
          <w:rFonts w:cs="Arial"/>
          <w:szCs w:val="20"/>
        </w:rPr>
        <w:t xml:space="preserve">bydlení, kde kromě nákladů vlastnického bydlení </w:t>
      </w:r>
      <w:r>
        <w:rPr>
          <w:rFonts w:cs="Arial"/>
          <w:szCs w:val="20"/>
        </w:rPr>
        <w:t>a již výše zmíněného nájemného z bytu, vzrostly ceny</w:t>
      </w:r>
      <w:r w:rsidRPr="006E5A9C">
        <w:rPr>
          <w:rFonts w:cs="Arial"/>
          <w:szCs w:val="20"/>
        </w:rPr>
        <w:t xml:space="preserve"> vodného o 4,2 %, stočného o 3,7 % a tepla a teplé vody o </w:t>
      </w:r>
      <w:r>
        <w:rPr>
          <w:rFonts w:cs="Arial"/>
          <w:szCs w:val="20"/>
        </w:rPr>
        <w:t>1,6</w:t>
      </w:r>
      <w:r w:rsidRPr="006E5A9C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M</w:t>
      </w:r>
      <w:r w:rsidRPr="006E5A9C">
        <w:rPr>
          <w:rFonts w:cs="Arial"/>
          <w:szCs w:val="20"/>
        </w:rPr>
        <w:t xml:space="preserve">eziročně klesly </w:t>
      </w:r>
      <w:r>
        <w:rPr>
          <w:rFonts w:cs="Arial"/>
          <w:szCs w:val="20"/>
        </w:rPr>
        <w:t>c</w:t>
      </w:r>
      <w:r w:rsidRPr="006E5A9C">
        <w:rPr>
          <w:rFonts w:cs="Arial"/>
          <w:szCs w:val="20"/>
        </w:rPr>
        <w:t>eny elektřiny o </w:t>
      </w:r>
      <w:r>
        <w:rPr>
          <w:rFonts w:cs="Arial"/>
          <w:szCs w:val="20"/>
        </w:rPr>
        <w:t>5,1</w:t>
      </w:r>
      <w:r w:rsidRPr="006E5A9C">
        <w:rPr>
          <w:rFonts w:cs="Arial"/>
          <w:szCs w:val="20"/>
        </w:rPr>
        <w:t> %</w:t>
      </w:r>
      <w:r>
        <w:rPr>
          <w:rFonts w:cs="Arial"/>
          <w:szCs w:val="20"/>
        </w:rPr>
        <w:t>, tuhých paliv o 2,4 % a již zmíněného zemního plynu.</w:t>
      </w:r>
      <w:r>
        <w:rPr>
          <w:rFonts w:cs="Arial"/>
        </w:rPr>
        <w:t xml:space="preserve"> </w:t>
      </w:r>
      <w:r w:rsidRPr="006E5A9C">
        <w:rPr>
          <w:rFonts w:cs="Arial"/>
          <w:szCs w:val="20"/>
        </w:rPr>
        <w:t>Další v pořadí vlivu byly ceny</w:t>
      </w:r>
      <w:r>
        <w:rPr>
          <w:rFonts w:cs="Arial"/>
          <w:szCs w:val="20"/>
        </w:rPr>
        <w:t xml:space="preserve"> v oddíle alkoholické nápoje, tabák, kde byly vyšší ceny lihovin o 3,3 %, vína o 0,7 % a tabákových výrobků o 6,6 %. Ceny piva meziročně klesly o 0,8 %. </w:t>
      </w:r>
      <w:r w:rsidRPr="0038351F">
        <w:rPr>
          <w:rFonts w:cs="Arial"/>
          <w:szCs w:val="20"/>
        </w:rPr>
        <w:t xml:space="preserve">V oddíle stravování a ubytování </w:t>
      </w:r>
      <w:r>
        <w:rPr>
          <w:rFonts w:cs="Arial"/>
          <w:szCs w:val="20"/>
        </w:rPr>
        <w:t xml:space="preserve">vzrostly </w:t>
      </w:r>
      <w:r w:rsidRPr="0038351F">
        <w:rPr>
          <w:rFonts w:cs="Arial"/>
          <w:szCs w:val="20"/>
        </w:rPr>
        <w:t>ceny stravovacích služeb o 4,</w:t>
      </w:r>
      <w:r>
        <w:rPr>
          <w:rFonts w:cs="Arial"/>
          <w:szCs w:val="20"/>
        </w:rPr>
        <w:t>5</w:t>
      </w:r>
      <w:r w:rsidRPr="0038351F">
        <w:rPr>
          <w:rFonts w:cs="Arial"/>
          <w:szCs w:val="20"/>
        </w:rPr>
        <w:t> % a ubytovacích služeb o 6,</w:t>
      </w:r>
      <w:r>
        <w:rPr>
          <w:rFonts w:cs="Arial"/>
          <w:szCs w:val="20"/>
        </w:rPr>
        <w:t>6</w:t>
      </w:r>
      <w:r w:rsidRPr="0038351F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 xml:space="preserve">V oddíle </w:t>
      </w:r>
      <w:r w:rsidRPr="00296A47">
        <w:rPr>
          <w:rFonts w:cs="Arial"/>
        </w:rPr>
        <w:t>potraviny a nealkoholické nápoje</w:t>
      </w:r>
      <w:r w:rsidRPr="007616A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 kromě již dříve uvedeného</w:t>
      </w:r>
      <w:r>
        <w:rPr>
          <w:rFonts w:cs="Arial"/>
        </w:rPr>
        <w:t xml:space="preserve"> zvýšily </w:t>
      </w:r>
      <w:r w:rsidRPr="00296A47">
        <w:rPr>
          <w:rFonts w:cs="Arial"/>
        </w:rPr>
        <w:t>ceny</w:t>
      </w:r>
      <w:r>
        <w:rPr>
          <w:rFonts w:cs="Arial"/>
        </w:rPr>
        <w:t xml:space="preserve"> hovězího a telecího masa o 24,2 %, drůbeže o 11,4 % a </w:t>
      </w:r>
      <w:r w:rsidRPr="00296A47">
        <w:rPr>
          <w:rFonts w:cs="Arial"/>
        </w:rPr>
        <w:t xml:space="preserve">kávy </w:t>
      </w:r>
      <w:r>
        <w:rPr>
          <w:rFonts w:cs="Arial"/>
        </w:rPr>
        <w:t>o 17,4 %</w:t>
      </w:r>
      <w:r w:rsidRPr="00296A47">
        <w:rPr>
          <w:rFonts w:cs="Arial"/>
        </w:rPr>
        <w:t xml:space="preserve">. </w:t>
      </w:r>
      <w:r w:rsidRPr="0038351F">
        <w:rPr>
          <w:rFonts w:cs="Arial"/>
          <w:szCs w:val="20"/>
        </w:rPr>
        <w:t>Vývoj cen v oddíle rekreace a kultura byl ovlivněn především vyššími cenami rekreačních a kulturních služeb o </w:t>
      </w:r>
      <w:r>
        <w:rPr>
          <w:rFonts w:cs="Arial"/>
          <w:szCs w:val="20"/>
        </w:rPr>
        <w:t>7,0</w:t>
      </w:r>
      <w:r w:rsidRPr="0038351F">
        <w:rPr>
          <w:rFonts w:cs="Arial"/>
          <w:szCs w:val="20"/>
        </w:rPr>
        <w:t xml:space="preserve"> % a dovolených s komplexními službami </w:t>
      </w:r>
      <w:r w:rsidRPr="00D91348">
        <w:rPr>
          <w:rFonts w:cs="Arial"/>
          <w:szCs w:val="20"/>
        </w:rPr>
        <w:lastRenderedPageBreak/>
        <w:t>o </w:t>
      </w:r>
      <w:r>
        <w:rPr>
          <w:rFonts w:cs="Arial"/>
          <w:szCs w:val="20"/>
        </w:rPr>
        <w:t>2,8</w:t>
      </w:r>
      <w:r w:rsidRPr="00D91348">
        <w:rPr>
          <w:rFonts w:cs="Arial"/>
          <w:szCs w:val="20"/>
        </w:rPr>
        <w:t> %.</w:t>
      </w:r>
      <w:r w:rsidRPr="0038351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Naopak n</w:t>
      </w:r>
      <w:r w:rsidRPr="00163514">
        <w:t xml:space="preserve">a meziroční snižování </w:t>
      </w:r>
      <w:r>
        <w:t xml:space="preserve">celkové </w:t>
      </w:r>
      <w:r w:rsidRPr="00163514">
        <w:t>cenové hladiny v</w:t>
      </w:r>
      <w:r>
        <w:t> prosinci</w:t>
      </w:r>
      <w:r w:rsidRPr="00163514">
        <w:t xml:space="preserve"> </w:t>
      </w:r>
      <w:r>
        <w:t xml:space="preserve">opět </w:t>
      </w:r>
      <w:r w:rsidRPr="00163514">
        <w:t xml:space="preserve">působily ceny v oddíle </w:t>
      </w:r>
      <w:r>
        <w:t xml:space="preserve">odívání a obuv, kde byly nižší ceny oděvů o 2,0 % a obuvi o 4,0 %. V oddíle </w:t>
      </w:r>
      <w:r w:rsidRPr="00163514">
        <w:t>doprava</w:t>
      </w:r>
      <w:r>
        <w:t xml:space="preserve"> pokračoval pokles cen pohonných hmot a olejů, které byly meziročně nižší o 4,8 %.</w:t>
      </w:r>
    </w:p>
    <w:p w14:paraId="65DCC4C0" w14:textId="77777777" w:rsidR="00324DCF" w:rsidRPr="00163514" w:rsidRDefault="00324DCF" w:rsidP="00324DC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5,0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listopadu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4,8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6C7323">
        <w:rPr>
          <w:rFonts w:cs="Arial"/>
          <w:szCs w:val="20"/>
        </w:rPr>
        <w:t>101,7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5CA659D7" w14:textId="77777777" w:rsidR="00324DCF" w:rsidRDefault="00324DCF" w:rsidP="00324DCF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0,4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4,8</w:t>
      </w:r>
      <w:r w:rsidRPr="00F21728">
        <w:rPr>
          <w:rFonts w:cs="Arial"/>
          <w:szCs w:val="20"/>
        </w:rPr>
        <w:t> %.</w:t>
      </w:r>
    </w:p>
    <w:p w14:paraId="1EAD9936" w14:textId="2441173B" w:rsidR="00C36840" w:rsidRPr="00071A61" w:rsidRDefault="00324DCF" w:rsidP="00324DCF">
      <w:pPr>
        <w:jc w:val="both"/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prosinci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5,2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listopadu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55,6</w:t>
      </w:r>
      <w:r w:rsidRPr="00526E1C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45DBCF85" w14:textId="77777777" w:rsidR="00324DCF" w:rsidRDefault="00324DCF" w:rsidP="00324DCF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prosinci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B8096E">
        <w:rPr>
          <w:rFonts w:cs="Arial"/>
          <w:sz w:val="20"/>
          <w:szCs w:val="20"/>
        </w:rPr>
        <w:t>o 0,</w:t>
      </w:r>
      <w:r>
        <w:rPr>
          <w:rFonts w:cs="Arial"/>
          <w:sz w:val="20"/>
          <w:szCs w:val="20"/>
        </w:rPr>
        <w:t>3</w:t>
      </w:r>
      <w:r w:rsidRPr="00B8096E">
        <w:rPr>
          <w:rFonts w:cs="Arial"/>
          <w:sz w:val="20"/>
          <w:szCs w:val="20"/>
        </w:rPr>
        <w:t> %</w:t>
      </w:r>
      <w:r w:rsidRPr="009A4B58">
        <w:rPr>
          <w:rFonts w:cs="Arial"/>
          <w:sz w:val="20"/>
          <w:szCs w:val="20"/>
        </w:rPr>
        <w:t xml:space="preserve"> a </w:t>
      </w:r>
      <w:r w:rsidRPr="009A4B58">
        <w:rPr>
          <w:rFonts w:cs="Arial"/>
          <w:b/>
          <w:sz w:val="20"/>
          <w:szCs w:val="20"/>
        </w:rPr>
        <w:t>meziročně</w:t>
      </w:r>
      <w:r w:rsidRPr="009A4B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9A4B5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1,8</w:t>
      </w:r>
      <w:r w:rsidRPr="009A4B58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listopadu</w:t>
      </w:r>
      <w:r w:rsidRPr="009A4B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také </w:t>
      </w:r>
      <w:r w:rsidRPr="009A4B58">
        <w:rPr>
          <w:rFonts w:cs="Arial"/>
          <w:sz w:val="20"/>
          <w:szCs w:val="20"/>
        </w:rPr>
        <w:t>o </w:t>
      </w:r>
      <w:r>
        <w:rPr>
          <w:rFonts w:cs="Arial"/>
          <w:sz w:val="20"/>
          <w:szCs w:val="20"/>
        </w:rPr>
        <w:t>1,8</w:t>
      </w:r>
      <w:r w:rsidRPr="009A4B58">
        <w:rPr>
          <w:rFonts w:cs="Arial"/>
          <w:sz w:val="20"/>
          <w:szCs w:val="20"/>
        </w:rPr>
        <w:t xml:space="preserve"> %). </w:t>
      </w:r>
      <w:r w:rsidRPr="009A4B58">
        <w:rPr>
          <w:rFonts w:cs="Arial"/>
          <w:b/>
          <w:sz w:val="20"/>
          <w:szCs w:val="20"/>
        </w:rPr>
        <w:t>Podle bleskových odhadů</w:t>
      </w:r>
      <w:r w:rsidRPr="009A4B58">
        <w:rPr>
          <w:rFonts w:cs="Arial"/>
          <w:sz w:val="20"/>
          <w:szCs w:val="20"/>
        </w:rPr>
        <w:t xml:space="preserve"> </w:t>
      </w:r>
      <w:proofErr w:type="spellStart"/>
      <w:r w:rsidRPr="009A4B58">
        <w:rPr>
          <w:rFonts w:cs="Arial"/>
          <w:sz w:val="20"/>
          <w:szCs w:val="20"/>
        </w:rPr>
        <w:t>Eurostatu</w:t>
      </w:r>
      <w:proofErr w:type="spellEnd"/>
      <w:r w:rsidRPr="009A4B58">
        <w:rPr>
          <w:rFonts w:cs="Arial"/>
          <w:b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byl</w:t>
      </w:r>
      <w:r w:rsidRPr="006E3664">
        <w:rPr>
          <w:rFonts w:cs="Arial"/>
          <w:sz w:val="20"/>
          <w:szCs w:val="20"/>
        </w:rPr>
        <w:t xml:space="preserve">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prosinci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listopadu 2,1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 xml:space="preserve"> %.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prosinci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vzrostly na Slovensku a 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shodně o 4,1 %)</w:t>
      </w:r>
      <w:r>
        <w:rPr>
          <w:rFonts w:cs="Arial"/>
          <w:bCs/>
          <w:sz w:val="20"/>
          <w:szCs w:val="20"/>
        </w:rPr>
        <w:t xml:space="preserve"> a nejméně na Kypru (o 0,1 %).</w:t>
      </w:r>
    </w:p>
    <w:p w14:paraId="08CF0D44" w14:textId="68E29EDF" w:rsidR="001931C8" w:rsidRPr="00B3645D" w:rsidRDefault="00324DCF" w:rsidP="00324DCF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listopadu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říjnu.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listopadu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8,6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na Kypru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0,1</w:t>
      </w:r>
      <w:r w:rsidRPr="00AB7CEE">
        <w:rPr>
          <w:rFonts w:cs="Arial"/>
          <w:bCs/>
          <w:sz w:val="20"/>
          <w:szCs w:val="20"/>
        </w:rPr>
        <w:t> %).</w:t>
      </w:r>
    </w:p>
    <w:p w14:paraId="53A8B0E6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481B851E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</w:p>
    <w:p w14:paraId="156DD30A" w14:textId="62CE9BCD" w:rsidR="001931C8" w:rsidRDefault="001931C8" w:rsidP="001931C8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26AF7B6" w14:textId="77777777" w:rsidR="001931C8" w:rsidRPr="00081B41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0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1931C8" w:rsidRPr="00081B41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5C94" w14:textId="77777777" w:rsidR="00F07ABF" w:rsidRDefault="00F07ABF" w:rsidP="00E71A58">
      <w:r>
        <w:separator/>
      </w:r>
    </w:p>
  </w:endnote>
  <w:endnote w:type="continuationSeparator" w:id="0">
    <w:p w14:paraId="2ECC2C12" w14:textId="77777777" w:rsidR="00F07ABF" w:rsidRDefault="00F07AB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0B39C2C3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5073A2">
      <w:rPr>
        <w:szCs w:val="16"/>
      </w:rPr>
      <w:t>prosinec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5073A2">
      <w:rPr>
        <w:rStyle w:val="ZpatChar"/>
        <w:i/>
        <w:szCs w:val="16"/>
      </w:rPr>
      <w:t>Dec</w:t>
    </w:r>
    <w:r w:rsidR="00695897">
      <w:rPr>
        <w:rStyle w:val="ZpatChar"/>
        <w:i/>
        <w:szCs w:val="16"/>
      </w:rPr>
      <w:t>em</w:t>
    </w:r>
    <w:r w:rsidR="00972C37">
      <w:rPr>
        <w:rStyle w:val="ZpatChar"/>
        <w:i/>
        <w:szCs w:val="16"/>
      </w:rPr>
      <w:t>ber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4A23" w14:textId="77777777" w:rsidR="00F07ABF" w:rsidRDefault="00F07ABF" w:rsidP="00E71A58">
      <w:r>
        <w:separator/>
      </w:r>
    </w:p>
  </w:footnote>
  <w:footnote w:type="continuationSeparator" w:id="0">
    <w:p w14:paraId="45CA8F11" w14:textId="77777777" w:rsidR="00F07ABF" w:rsidRDefault="00F07ABF" w:rsidP="00E71A58">
      <w:r>
        <w:continuationSeparator/>
      </w:r>
    </w:p>
  </w:footnote>
  <w:footnote w:id="1">
    <w:p w14:paraId="7024EB74" w14:textId="77777777" w:rsidR="00324DCF" w:rsidRPr="00324DCF" w:rsidRDefault="00324DCF" w:rsidP="00324DCF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324DCF">
        <w:rPr>
          <w:rStyle w:val="Znakapoznpodarou"/>
          <w:rFonts w:ascii="Arial" w:hAnsi="Arial" w:cs="Arial"/>
          <w:iCs/>
          <w:lang w:val="cs-CZ"/>
        </w:rPr>
        <w:footnoteRef/>
      </w:r>
      <w:r w:rsidRPr="00324DCF">
        <w:rPr>
          <w:rFonts w:ascii="Arial" w:hAnsi="Arial" w:cs="Arial"/>
          <w:iCs/>
          <w:vertAlign w:val="superscript"/>
          <w:lang w:val="cs-CZ"/>
        </w:rPr>
        <w:t>)</w:t>
      </w:r>
      <w:r w:rsidRPr="00324DCF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24DCF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324DCF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5369A3BF" w14:textId="77777777" w:rsidR="00324DCF" w:rsidRPr="00743BAE" w:rsidRDefault="00324DCF" w:rsidP="00324DCF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324DCF">
        <w:rPr>
          <w:rStyle w:val="Znakapoznpodarou"/>
          <w:rFonts w:ascii="Arial" w:hAnsi="Arial" w:cs="Arial"/>
          <w:iCs/>
          <w:lang w:val="cs-CZ"/>
        </w:rPr>
        <w:footnoteRef/>
      </w:r>
      <w:r w:rsidRPr="00324DCF">
        <w:rPr>
          <w:rFonts w:ascii="Arial" w:hAnsi="Arial" w:cs="Arial"/>
          <w:iCs/>
          <w:vertAlign w:val="superscript"/>
          <w:lang w:val="cs-CZ"/>
        </w:rPr>
        <w:t>)</w:t>
      </w:r>
      <w:r w:rsidRPr="00324DCF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24DCF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50F7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4DCF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073A2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3ECD"/>
    <w:rsid w:val="006374F8"/>
    <w:rsid w:val="00640317"/>
    <w:rsid w:val="006404A7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90C2B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A1D6C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07ABF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zmeny-v-cenove-statistice-od-ledna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752</TotalTime>
  <Pages>2</Pages>
  <Words>756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316</cp:revision>
  <cp:lastPrinted>2017-01-18T13:33:00Z</cp:lastPrinted>
  <dcterms:created xsi:type="dcterms:W3CDTF">2017-02-09T16:27:00Z</dcterms:created>
  <dcterms:modified xsi:type="dcterms:W3CDTF">2026-01-12T13:18:00Z</dcterms:modified>
</cp:coreProperties>
</file>