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C9BA0" w14:textId="575BC3A2" w:rsidR="00182D6D" w:rsidRPr="006B4E78" w:rsidRDefault="0003664F" w:rsidP="0003664F">
      <w:pPr>
        <w:numPr>
          <w:ilvl w:val="0"/>
          <w:numId w:val="1"/>
        </w:numPr>
        <w:tabs>
          <w:tab w:val="clear" w:pos="720"/>
          <w:tab w:val="num" w:pos="284"/>
        </w:tabs>
        <w:spacing w:line="288" w:lineRule="auto"/>
        <w:ind w:hanging="720"/>
        <w:outlineLvl w:val="0"/>
        <w:rPr>
          <w:rFonts w:ascii="Arial" w:hAnsi="Arial" w:cs="Arial"/>
          <w:b/>
          <w:i/>
          <w:color w:val="0071BC"/>
          <w:sz w:val="32"/>
          <w:szCs w:val="32"/>
          <w:lang w:val="en-GB"/>
        </w:rPr>
      </w:pPr>
      <w:bookmarkStart w:id="0" w:name="_Toc499879038"/>
      <w:bookmarkStart w:id="1" w:name="_GoBack"/>
      <w:bookmarkEnd w:id="1"/>
      <w:r w:rsidRPr="006B4E78">
        <w:rPr>
          <w:rFonts w:ascii="Arial" w:hAnsi="Arial" w:cs="Arial"/>
          <w:b/>
          <w:i/>
          <w:color w:val="0071BC"/>
          <w:sz w:val="32"/>
          <w:szCs w:val="32"/>
          <w:lang w:val="en-GB"/>
        </w:rPr>
        <w:t xml:space="preserve">Methods of </w:t>
      </w:r>
      <w:r w:rsidR="002048F6">
        <w:rPr>
          <w:rFonts w:ascii="Arial" w:hAnsi="Arial" w:cs="Arial"/>
          <w:b/>
          <w:i/>
          <w:color w:val="0071BC"/>
          <w:sz w:val="32"/>
          <w:szCs w:val="32"/>
          <w:lang w:val="en-GB"/>
        </w:rPr>
        <w:t>EU</w:t>
      </w:r>
      <w:r w:rsidRPr="006B4E78">
        <w:rPr>
          <w:rFonts w:ascii="Arial" w:hAnsi="Arial" w:cs="Arial"/>
          <w:b/>
          <w:i/>
          <w:color w:val="0071BC"/>
          <w:sz w:val="32"/>
          <w:szCs w:val="32"/>
          <w:lang w:val="en-GB"/>
        </w:rPr>
        <w:t xml:space="preserve"> typology for agricultural holdings</w:t>
      </w:r>
      <w:bookmarkEnd w:id="0"/>
    </w:p>
    <w:p w14:paraId="338AF7CF" w14:textId="77777777" w:rsidR="00182D6D" w:rsidRPr="00CA56E3" w:rsidRDefault="00182D6D" w:rsidP="0003664F">
      <w:pPr>
        <w:spacing w:line="288" w:lineRule="auto"/>
        <w:ind w:left="360"/>
        <w:rPr>
          <w:rFonts w:ascii="Arial" w:hAnsi="Arial" w:cs="Arial"/>
          <w:b/>
          <w:i/>
          <w:sz w:val="20"/>
          <w:szCs w:val="20"/>
          <w:lang w:val="en-GB"/>
        </w:rPr>
      </w:pPr>
    </w:p>
    <w:p w14:paraId="31F76472" w14:textId="70EB8EE0" w:rsidR="00675A21" w:rsidRDefault="00675A21" w:rsidP="00675A21">
      <w:pPr>
        <w:spacing w:before="120" w:line="288" w:lineRule="auto"/>
        <w:ind w:firstLine="539"/>
        <w:jc w:val="both"/>
        <w:rPr>
          <w:rFonts w:ascii="Arial" w:hAnsi="Arial" w:cs="Arial"/>
          <w:i/>
          <w:sz w:val="20"/>
          <w:szCs w:val="20"/>
          <w:lang w:val="en-GB"/>
        </w:rPr>
      </w:pPr>
      <w:r w:rsidRPr="00675A21">
        <w:rPr>
          <w:rFonts w:ascii="Arial" w:hAnsi="Arial" w:cs="Arial"/>
          <w:i/>
          <w:sz w:val="20"/>
          <w:szCs w:val="20"/>
          <w:lang w:val="en-GB"/>
        </w:rPr>
        <w:t xml:space="preserve">The EU farm classification system </w:t>
      </w:r>
      <w:r>
        <w:rPr>
          <w:rFonts w:ascii="Arial" w:hAnsi="Arial" w:cs="Arial"/>
          <w:i/>
          <w:sz w:val="20"/>
          <w:szCs w:val="20"/>
          <w:lang w:val="en-GB"/>
        </w:rPr>
        <w:t>used for agricultural holdings is legally</w:t>
      </w:r>
      <w:r w:rsidRPr="00675A21">
        <w:rPr>
          <w:rFonts w:ascii="Arial" w:hAnsi="Arial" w:cs="Arial"/>
          <w:i/>
          <w:sz w:val="20"/>
          <w:szCs w:val="20"/>
          <w:lang w:val="en-GB"/>
        </w:rPr>
        <w:t xml:space="preserve"> defined by Commission Implementing Regulation (EU) No 2015/220 of 3 February 2015</w:t>
      </w:r>
      <w:r w:rsidR="006B0A56">
        <w:rPr>
          <w:rFonts w:ascii="Arial" w:hAnsi="Arial" w:cs="Arial"/>
          <w:i/>
          <w:sz w:val="20"/>
          <w:szCs w:val="20"/>
          <w:lang w:val="en-GB"/>
        </w:rPr>
        <w:t xml:space="preserve">, which lays </w:t>
      </w:r>
      <w:r w:rsidRPr="00675A21">
        <w:rPr>
          <w:rFonts w:ascii="Arial" w:hAnsi="Arial" w:cs="Arial"/>
          <w:i/>
          <w:sz w:val="20"/>
          <w:szCs w:val="20"/>
          <w:lang w:val="en-GB"/>
        </w:rPr>
        <w:t xml:space="preserve">down rules for the application of Council Regulation (EC) No 1217/2009 </w:t>
      </w:r>
      <w:r w:rsidR="006B0A56">
        <w:rPr>
          <w:rFonts w:ascii="Arial" w:hAnsi="Arial" w:cs="Arial"/>
          <w:i/>
          <w:sz w:val="20"/>
          <w:szCs w:val="20"/>
          <w:lang w:val="en-GB"/>
        </w:rPr>
        <w:t xml:space="preserve">on </w:t>
      </w:r>
      <w:r w:rsidRPr="00675A21">
        <w:rPr>
          <w:rFonts w:ascii="Arial" w:hAnsi="Arial" w:cs="Arial"/>
          <w:i/>
          <w:sz w:val="20"/>
          <w:szCs w:val="20"/>
          <w:lang w:val="en-GB"/>
        </w:rPr>
        <w:t>establishing an agricultural accountancy data network for the collection of data on the incomes and business operation</w:t>
      </w:r>
      <w:r w:rsidR="006B0A56">
        <w:rPr>
          <w:rFonts w:ascii="Arial" w:hAnsi="Arial" w:cs="Arial"/>
          <w:i/>
          <w:sz w:val="20"/>
          <w:szCs w:val="20"/>
          <w:lang w:val="en-GB"/>
        </w:rPr>
        <w:t>s</w:t>
      </w:r>
      <w:r w:rsidRPr="00675A21">
        <w:rPr>
          <w:rFonts w:ascii="Arial" w:hAnsi="Arial" w:cs="Arial"/>
          <w:i/>
          <w:sz w:val="20"/>
          <w:szCs w:val="20"/>
          <w:lang w:val="en-GB"/>
        </w:rPr>
        <w:t xml:space="preserve"> of agricultural holdings in the European Union. The EU farm typology has been used in its current form since the 2010 accounting year. The most significant change compared to the previous concept was the introduction of the Standard Output indicator ('SO') instead of the former Standard Gross Margin („SGM“). </w:t>
      </w:r>
      <w:r>
        <w:rPr>
          <w:rFonts w:ascii="Arial" w:hAnsi="Arial" w:cs="Arial"/>
          <w:i/>
          <w:sz w:val="20"/>
          <w:szCs w:val="20"/>
          <w:lang w:val="en-GB"/>
        </w:rPr>
        <w:t>A</w:t>
      </w:r>
      <w:r w:rsidRPr="00675A21">
        <w:rPr>
          <w:rFonts w:ascii="Arial" w:hAnsi="Arial" w:cs="Arial"/>
          <w:i/>
          <w:sz w:val="20"/>
          <w:szCs w:val="20"/>
          <w:lang w:val="en-GB"/>
        </w:rPr>
        <w:t xml:space="preserve"> three-level type of farming classification has been introduced, replacing the previous four-level system. The current system defines 14 economic size classes instead of the previous 10 size classes. The economic size classes are currently expressed in euro, while the economic size units previously used have been abolished. The last major change was the introduction of a new classification variable </w:t>
      </w:r>
      <w:r w:rsidR="006B0A56">
        <w:rPr>
          <w:rFonts w:ascii="Arial" w:hAnsi="Arial" w:cs="Arial"/>
          <w:i/>
          <w:sz w:val="20"/>
          <w:szCs w:val="20"/>
          <w:lang w:val="en-GB"/>
        </w:rPr>
        <w:t>that</w:t>
      </w:r>
      <w:r w:rsidRPr="00675A21">
        <w:rPr>
          <w:rFonts w:ascii="Arial" w:hAnsi="Arial" w:cs="Arial"/>
          <w:i/>
          <w:sz w:val="20"/>
          <w:szCs w:val="20"/>
          <w:lang w:val="en-GB"/>
        </w:rPr>
        <w:t xml:space="preserve"> expresses the share of other gainful activities carried out by agricultural holdings.</w:t>
      </w:r>
    </w:p>
    <w:p w14:paraId="6876DC10" w14:textId="6263EF43" w:rsidR="00675A21" w:rsidRDefault="00524656" w:rsidP="00675A21">
      <w:pPr>
        <w:spacing w:before="120" w:line="288" w:lineRule="auto"/>
        <w:ind w:firstLine="539"/>
        <w:jc w:val="both"/>
        <w:rPr>
          <w:rFonts w:ascii="Arial" w:hAnsi="Arial" w:cs="Arial"/>
          <w:i/>
          <w:sz w:val="20"/>
          <w:szCs w:val="20"/>
          <w:lang w:val="en-GB"/>
        </w:rPr>
      </w:pPr>
      <w:r w:rsidRPr="00524656">
        <w:rPr>
          <w:rFonts w:ascii="Arial" w:hAnsi="Arial" w:cs="Arial"/>
          <w:i/>
          <w:sz w:val="20"/>
          <w:szCs w:val="20"/>
          <w:lang w:val="en-GB"/>
        </w:rPr>
        <w:t xml:space="preserve">The </w:t>
      </w:r>
      <w:r w:rsidRPr="00524656">
        <w:rPr>
          <w:rFonts w:ascii="Arial" w:hAnsi="Arial" w:cs="Arial"/>
          <w:b/>
          <w:bCs/>
          <w:i/>
          <w:sz w:val="20"/>
          <w:szCs w:val="20"/>
          <w:lang w:val="en-GB"/>
        </w:rPr>
        <w:t>standard output</w:t>
      </w:r>
      <w:r w:rsidRPr="00524656">
        <w:rPr>
          <w:rFonts w:ascii="Arial" w:hAnsi="Arial" w:cs="Arial"/>
          <w:i/>
          <w:sz w:val="20"/>
          <w:szCs w:val="20"/>
          <w:lang w:val="en-GB"/>
        </w:rPr>
        <w:t xml:space="preserve"> is a basic variable </w:t>
      </w:r>
      <w:r w:rsidR="006B0A56">
        <w:rPr>
          <w:rFonts w:ascii="Arial" w:hAnsi="Arial" w:cs="Arial"/>
          <w:i/>
          <w:sz w:val="20"/>
          <w:szCs w:val="20"/>
          <w:lang w:val="en-GB"/>
        </w:rPr>
        <w:t>that</w:t>
      </w:r>
      <w:r w:rsidRPr="00524656">
        <w:rPr>
          <w:rFonts w:ascii="Arial" w:hAnsi="Arial" w:cs="Arial"/>
          <w:i/>
          <w:sz w:val="20"/>
          <w:szCs w:val="20"/>
          <w:lang w:val="en-GB"/>
        </w:rPr>
        <w:t xml:space="preserve"> allows agricultural holdings</w:t>
      </w:r>
      <w:r w:rsidR="006B0A56">
        <w:rPr>
          <w:rFonts w:ascii="Arial" w:hAnsi="Arial" w:cs="Arial"/>
          <w:i/>
          <w:sz w:val="20"/>
          <w:szCs w:val="20"/>
          <w:lang w:val="en-GB"/>
        </w:rPr>
        <w:t xml:space="preserve"> to be classified</w:t>
      </w:r>
      <w:r w:rsidRPr="00524656">
        <w:rPr>
          <w:rFonts w:ascii="Arial" w:hAnsi="Arial" w:cs="Arial"/>
          <w:i/>
          <w:sz w:val="20"/>
          <w:szCs w:val="20"/>
          <w:lang w:val="en-GB"/>
        </w:rPr>
        <w:t xml:space="preserve"> according to their type of farming and economic size. The standard output is defined as </w:t>
      </w:r>
      <w:r w:rsidR="006B0A56">
        <w:rPr>
          <w:rFonts w:ascii="Arial" w:hAnsi="Arial" w:cs="Arial"/>
          <w:i/>
          <w:sz w:val="20"/>
          <w:szCs w:val="20"/>
          <w:lang w:val="en-GB"/>
        </w:rPr>
        <w:t>the</w:t>
      </w:r>
      <w:r w:rsidRPr="00524656">
        <w:rPr>
          <w:rFonts w:ascii="Arial" w:hAnsi="Arial" w:cs="Arial"/>
          <w:i/>
          <w:sz w:val="20"/>
          <w:szCs w:val="20"/>
          <w:lang w:val="en-GB"/>
        </w:rPr>
        <w:t xml:space="preserve"> average monetary value of the gross production of the crop and livestock sector. The standard output coefficients are calculated for all economically significant crops and livestock categories in each Member State. The full list of these agricultural products is included in Regulation 2015/220. The value of standard output is determined as the quantity of production per unit multiplied by the agricultural producer price. Value added tax and direct payments are not included in the calculation. The unit of measurement of the standard output is the euro per hectare or per head of each category of animal. The only exceptions are poultry and bees, where the value of the standard output is calculated per 100 heads or </w:t>
      </w:r>
      <w:r w:rsidR="006B0A56">
        <w:rPr>
          <w:rFonts w:ascii="Arial" w:hAnsi="Arial" w:cs="Arial"/>
          <w:i/>
          <w:sz w:val="20"/>
          <w:szCs w:val="20"/>
          <w:lang w:val="en-GB"/>
        </w:rPr>
        <w:t xml:space="preserve">per </w:t>
      </w:r>
      <w:r w:rsidRPr="00524656">
        <w:rPr>
          <w:rFonts w:ascii="Arial" w:hAnsi="Arial" w:cs="Arial"/>
          <w:i/>
          <w:sz w:val="20"/>
          <w:szCs w:val="20"/>
          <w:lang w:val="en-GB"/>
        </w:rPr>
        <w:t>1 beehive. The total standard output value is the sum of the values of the main product and any secondary products, if applicable.</w:t>
      </w:r>
    </w:p>
    <w:p w14:paraId="05E4CB26" w14:textId="4C50B4A7" w:rsidR="006A374E" w:rsidRPr="00524656" w:rsidRDefault="006A374E" w:rsidP="006A374E">
      <w:pPr>
        <w:spacing w:before="120" w:line="288" w:lineRule="auto"/>
        <w:ind w:firstLine="539"/>
        <w:jc w:val="both"/>
        <w:rPr>
          <w:rFonts w:ascii="Arial" w:hAnsi="Arial" w:cs="Arial"/>
          <w:bCs/>
          <w:i/>
          <w:sz w:val="20"/>
          <w:szCs w:val="20"/>
          <w:lang w:val="en-GB"/>
        </w:rPr>
      </w:pPr>
      <w:r w:rsidRPr="00524656">
        <w:rPr>
          <w:rFonts w:ascii="Arial" w:hAnsi="Arial" w:cs="Arial"/>
          <w:bCs/>
          <w:i/>
          <w:sz w:val="20"/>
          <w:szCs w:val="20"/>
          <w:lang w:val="en-GB"/>
        </w:rPr>
        <w:t xml:space="preserve">The value of standard output corresponds to a production period of one calendar year. For agricultural products with a production period </w:t>
      </w:r>
      <w:r w:rsidR="006B0A56">
        <w:rPr>
          <w:rFonts w:ascii="Arial" w:hAnsi="Arial" w:cs="Arial"/>
          <w:bCs/>
          <w:i/>
          <w:sz w:val="20"/>
          <w:szCs w:val="20"/>
          <w:lang w:val="en-GB"/>
        </w:rPr>
        <w:t>shorter or longer</w:t>
      </w:r>
      <w:r w:rsidRPr="00524656">
        <w:rPr>
          <w:rFonts w:ascii="Arial" w:hAnsi="Arial" w:cs="Arial"/>
          <w:bCs/>
          <w:i/>
          <w:sz w:val="20"/>
          <w:szCs w:val="20"/>
          <w:lang w:val="en-GB"/>
        </w:rPr>
        <w:t xml:space="preserve"> than 12 months, the standard </w:t>
      </w:r>
      <w:r w:rsidR="0047446B" w:rsidRPr="00524656">
        <w:rPr>
          <w:rFonts w:ascii="Arial" w:hAnsi="Arial" w:cs="Arial"/>
          <w:bCs/>
          <w:i/>
          <w:sz w:val="20"/>
          <w:szCs w:val="20"/>
          <w:lang w:val="en-GB"/>
        </w:rPr>
        <w:t>output</w:t>
      </w:r>
      <w:r w:rsidRPr="00524656">
        <w:rPr>
          <w:rFonts w:ascii="Arial" w:hAnsi="Arial" w:cs="Arial"/>
          <w:bCs/>
          <w:i/>
          <w:sz w:val="20"/>
          <w:szCs w:val="20"/>
          <w:lang w:val="en-GB"/>
        </w:rPr>
        <w:t xml:space="preserve"> shall be recalculated to correspond to the production of one calendar year. The value of the standard </w:t>
      </w:r>
      <w:r w:rsidR="0047446B" w:rsidRPr="00524656">
        <w:rPr>
          <w:rFonts w:ascii="Arial" w:hAnsi="Arial" w:cs="Arial"/>
          <w:bCs/>
          <w:i/>
          <w:sz w:val="20"/>
          <w:szCs w:val="20"/>
          <w:lang w:val="en-GB"/>
        </w:rPr>
        <w:t>output</w:t>
      </w:r>
      <w:r w:rsidRPr="00524656">
        <w:rPr>
          <w:rFonts w:ascii="Arial" w:hAnsi="Arial" w:cs="Arial"/>
          <w:bCs/>
          <w:i/>
          <w:sz w:val="20"/>
          <w:szCs w:val="20"/>
          <w:lang w:val="en-GB"/>
        </w:rPr>
        <w:t xml:space="preserve"> coefficients is then calculated as the arithmetic average over the reference period of five consecutive calendar years.</w:t>
      </w:r>
    </w:p>
    <w:p w14:paraId="6EDDA0A8" w14:textId="04AE3735" w:rsidR="00524656" w:rsidRDefault="00524656" w:rsidP="00524656">
      <w:pPr>
        <w:spacing w:before="120" w:line="288" w:lineRule="auto"/>
        <w:ind w:firstLine="539"/>
        <w:jc w:val="both"/>
        <w:rPr>
          <w:rFonts w:ascii="Arial" w:hAnsi="Arial" w:cs="Arial"/>
          <w:i/>
          <w:sz w:val="20"/>
          <w:szCs w:val="20"/>
          <w:lang w:val="en-GB"/>
        </w:rPr>
      </w:pPr>
      <w:r w:rsidRPr="00524656">
        <w:rPr>
          <w:rFonts w:ascii="Arial" w:hAnsi="Arial" w:cs="Arial"/>
          <w:i/>
          <w:sz w:val="20"/>
          <w:szCs w:val="20"/>
          <w:lang w:val="en-GB"/>
        </w:rPr>
        <w:t xml:space="preserve">For the purposes of the Integrated Farm Statistics (IFS, formerly Farm Structural Survey - FSS) in year N, the reference period is year N-3, which covers five consecutive years (N-5 to N-1). For the classification of agricultural holdings in the Integrated Farm Survey 2023, the standard output coefficients 2020 for the period 2018 to 2022 were used. The Liaison Agency FADN CZ </w:t>
      </w:r>
      <w:r w:rsidR="006C6356" w:rsidRPr="00524656">
        <w:rPr>
          <w:rFonts w:ascii="Arial" w:hAnsi="Arial" w:cs="Arial"/>
          <w:i/>
          <w:sz w:val="20"/>
          <w:szCs w:val="20"/>
          <w:lang w:val="en-GB"/>
        </w:rPr>
        <w:t>at the Institute of Agricultural Economics and Information</w:t>
      </w:r>
      <w:r w:rsidR="006C6356">
        <w:rPr>
          <w:rFonts w:ascii="Arial" w:hAnsi="Arial" w:cs="Arial"/>
          <w:i/>
          <w:sz w:val="20"/>
          <w:szCs w:val="20"/>
          <w:lang w:val="en-GB"/>
        </w:rPr>
        <w:t xml:space="preserve"> is responsible for</w:t>
      </w:r>
      <w:r w:rsidRPr="00524656">
        <w:rPr>
          <w:rFonts w:ascii="Arial" w:hAnsi="Arial" w:cs="Arial"/>
          <w:i/>
          <w:sz w:val="20"/>
          <w:szCs w:val="20"/>
          <w:lang w:val="en-GB"/>
        </w:rPr>
        <w:t xml:space="preserve"> calculating the standard output coefficients for the Czech Republic. The coefficients are updated in the years when </w:t>
      </w:r>
      <w:r w:rsidR="00880070">
        <w:rPr>
          <w:rFonts w:ascii="Arial" w:hAnsi="Arial" w:cs="Arial"/>
          <w:i/>
          <w:sz w:val="20"/>
          <w:szCs w:val="20"/>
          <w:lang w:val="en-GB"/>
        </w:rPr>
        <w:t xml:space="preserve">the </w:t>
      </w:r>
      <w:r w:rsidRPr="00524656">
        <w:rPr>
          <w:rFonts w:ascii="Arial" w:hAnsi="Arial" w:cs="Arial"/>
          <w:i/>
          <w:sz w:val="20"/>
          <w:szCs w:val="20"/>
          <w:lang w:val="en-GB"/>
        </w:rPr>
        <w:t xml:space="preserve">Integrated Farm </w:t>
      </w:r>
      <w:r w:rsidR="006C6356">
        <w:rPr>
          <w:rFonts w:ascii="Arial" w:hAnsi="Arial" w:cs="Arial"/>
          <w:i/>
          <w:sz w:val="20"/>
          <w:szCs w:val="20"/>
          <w:lang w:val="en-GB"/>
        </w:rPr>
        <w:t>Statistics</w:t>
      </w:r>
      <w:r w:rsidRPr="00524656">
        <w:rPr>
          <w:rFonts w:ascii="Arial" w:hAnsi="Arial" w:cs="Arial"/>
          <w:i/>
          <w:sz w:val="20"/>
          <w:szCs w:val="20"/>
          <w:lang w:val="en-GB"/>
        </w:rPr>
        <w:t xml:space="preserve"> is carried out.</w:t>
      </w:r>
      <w:r w:rsidRPr="00F60241">
        <w:rPr>
          <w:rFonts w:ascii="Arial" w:hAnsi="Arial" w:cs="Arial"/>
          <w:i/>
          <w:sz w:val="20"/>
          <w:szCs w:val="20"/>
          <w:lang w:val="en-GB"/>
        </w:rPr>
        <w:t xml:space="preserve"> </w:t>
      </w:r>
    </w:p>
    <w:p w14:paraId="70955CD0" w14:textId="362FA268" w:rsidR="00524656" w:rsidRPr="00524656" w:rsidRDefault="00524656" w:rsidP="00524656">
      <w:pPr>
        <w:spacing w:before="120" w:line="288" w:lineRule="auto"/>
        <w:ind w:firstLine="539"/>
        <w:jc w:val="both"/>
        <w:rPr>
          <w:rFonts w:ascii="Arial" w:hAnsi="Arial" w:cs="Arial"/>
          <w:bCs/>
          <w:i/>
          <w:sz w:val="20"/>
          <w:szCs w:val="20"/>
        </w:rPr>
      </w:pPr>
      <w:r w:rsidRPr="00524656">
        <w:rPr>
          <w:rFonts w:ascii="Arial" w:hAnsi="Arial" w:cs="Arial"/>
          <w:b/>
          <w:i/>
          <w:sz w:val="20"/>
          <w:szCs w:val="20"/>
          <w:lang w:val="en-GB"/>
        </w:rPr>
        <w:t>The economic size of the holding</w:t>
      </w:r>
      <w:r w:rsidRPr="00524656">
        <w:rPr>
          <w:rFonts w:ascii="Arial" w:hAnsi="Arial" w:cs="Arial"/>
          <w:bCs/>
          <w:i/>
          <w:sz w:val="20"/>
          <w:szCs w:val="20"/>
          <w:lang w:val="en-GB"/>
        </w:rPr>
        <w:t xml:space="preserve"> is determined </w:t>
      </w:r>
      <w:r w:rsidR="00880070">
        <w:rPr>
          <w:rFonts w:ascii="Arial" w:hAnsi="Arial" w:cs="Arial"/>
          <w:bCs/>
          <w:i/>
          <w:sz w:val="20"/>
          <w:szCs w:val="20"/>
          <w:lang w:val="en-GB"/>
        </w:rPr>
        <w:t>by</w:t>
      </w:r>
      <w:r w:rsidRPr="00524656">
        <w:rPr>
          <w:rFonts w:ascii="Arial" w:hAnsi="Arial" w:cs="Arial"/>
          <w:bCs/>
          <w:i/>
          <w:sz w:val="20"/>
          <w:szCs w:val="20"/>
          <w:lang w:val="en-GB"/>
        </w:rPr>
        <w:t xml:space="preserve"> the total value of the standard output of the holding, which is equal to the sum of the values for the particular agricultural products. These values are calculated by multiplying </w:t>
      </w:r>
      <w:r w:rsidR="00880070">
        <w:rPr>
          <w:rFonts w:ascii="Arial" w:hAnsi="Arial" w:cs="Arial"/>
          <w:bCs/>
          <w:i/>
          <w:sz w:val="20"/>
          <w:szCs w:val="20"/>
          <w:lang w:val="en-GB"/>
        </w:rPr>
        <w:t xml:space="preserve">the </w:t>
      </w:r>
      <w:r w:rsidRPr="00524656">
        <w:rPr>
          <w:rFonts w:ascii="Arial" w:hAnsi="Arial" w:cs="Arial"/>
          <w:bCs/>
          <w:i/>
          <w:sz w:val="20"/>
          <w:szCs w:val="20"/>
          <w:lang w:val="en-GB"/>
        </w:rPr>
        <w:t>acreages of particular crops and the number of heads belonging to one holding by relevant standard output coefficients. There are fourteen economic size classes in total. The list of economic size classes</w:t>
      </w:r>
      <w:r w:rsidR="00880070">
        <w:rPr>
          <w:rFonts w:ascii="Arial" w:hAnsi="Arial" w:cs="Arial"/>
          <w:bCs/>
          <w:i/>
          <w:sz w:val="20"/>
          <w:szCs w:val="20"/>
          <w:lang w:val="en-GB"/>
        </w:rPr>
        <w:t>,</w:t>
      </w:r>
      <w:r w:rsidRPr="00524656">
        <w:rPr>
          <w:rFonts w:ascii="Arial" w:hAnsi="Arial" w:cs="Arial"/>
          <w:bCs/>
          <w:i/>
          <w:sz w:val="20"/>
          <w:szCs w:val="20"/>
          <w:lang w:val="en-GB"/>
        </w:rPr>
        <w:t xml:space="preserve"> including threshold levels of standard output</w:t>
      </w:r>
      <w:r w:rsidR="00880070">
        <w:rPr>
          <w:rFonts w:ascii="Arial" w:hAnsi="Arial" w:cs="Arial"/>
          <w:bCs/>
          <w:i/>
          <w:sz w:val="20"/>
          <w:szCs w:val="20"/>
          <w:lang w:val="en-GB"/>
        </w:rPr>
        <w:t>,</w:t>
      </w:r>
      <w:r w:rsidRPr="00524656">
        <w:rPr>
          <w:rFonts w:ascii="Arial" w:hAnsi="Arial" w:cs="Arial"/>
          <w:bCs/>
          <w:i/>
          <w:sz w:val="20"/>
          <w:szCs w:val="20"/>
          <w:lang w:val="en-GB"/>
        </w:rPr>
        <w:t xml:space="preserve"> is given in Table 1.</w:t>
      </w:r>
    </w:p>
    <w:p w14:paraId="7158A3EB" w14:textId="77777777" w:rsidR="00524656" w:rsidRPr="00CA56E3" w:rsidRDefault="00524656" w:rsidP="0003664F">
      <w:pPr>
        <w:spacing w:before="120" w:line="288" w:lineRule="auto"/>
        <w:ind w:firstLine="539"/>
        <w:jc w:val="both"/>
        <w:rPr>
          <w:rFonts w:ascii="Arial" w:hAnsi="Arial" w:cs="Arial"/>
          <w:i/>
          <w:sz w:val="20"/>
          <w:szCs w:val="20"/>
        </w:rPr>
      </w:pPr>
    </w:p>
    <w:p w14:paraId="767EEF89" w14:textId="77777777" w:rsidR="00965AD2" w:rsidRPr="00CA56E3" w:rsidRDefault="00965AD2" w:rsidP="0003664F">
      <w:pPr>
        <w:spacing w:line="288" w:lineRule="auto"/>
        <w:rPr>
          <w:rFonts w:ascii="Arial" w:hAnsi="Arial" w:cs="Arial"/>
          <w:i/>
          <w:sz w:val="20"/>
          <w:szCs w:val="20"/>
        </w:rPr>
      </w:pPr>
      <w:r w:rsidRPr="00CA56E3">
        <w:rPr>
          <w:rFonts w:ascii="Arial" w:hAnsi="Arial" w:cs="Arial"/>
          <w:i/>
          <w:sz w:val="20"/>
          <w:szCs w:val="20"/>
        </w:rPr>
        <w:br w:type="page"/>
      </w:r>
    </w:p>
    <w:p w14:paraId="7EB85FD7" w14:textId="77777777" w:rsidR="00182D6D" w:rsidRPr="00CA56E3" w:rsidRDefault="00182D6D" w:rsidP="0003664F">
      <w:pPr>
        <w:spacing w:before="120" w:line="288" w:lineRule="auto"/>
        <w:ind w:left="-180" w:firstLine="180"/>
        <w:jc w:val="both"/>
        <w:rPr>
          <w:rFonts w:ascii="Arial" w:hAnsi="Arial" w:cs="Arial"/>
          <w:b/>
          <w:i/>
          <w:sz w:val="20"/>
          <w:szCs w:val="20"/>
          <w:lang w:val="en-GB"/>
        </w:rPr>
      </w:pPr>
      <w:r w:rsidRPr="00CA56E3">
        <w:rPr>
          <w:rFonts w:ascii="Arial" w:hAnsi="Arial" w:cs="Arial"/>
          <w:b/>
          <w:i/>
          <w:sz w:val="20"/>
          <w:szCs w:val="20"/>
          <w:lang w:val="en-GB"/>
        </w:rPr>
        <w:lastRenderedPageBreak/>
        <w:t>Table 1: Economic size classes of the holding</w:t>
      </w:r>
    </w:p>
    <w:tbl>
      <w:tblPr>
        <w:tblW w:w="5040" w:type="pct"/>
        <w:tblLayout w:type="fixed"/>
        <w:tblCellMar>
          <w:left w:w="70" w:type="dxa"/>
          <w:right w:w="70" w:type="dxa"/>
        </w:tblCellMar>
        <w:tblLook w:val="0000" w:firstRow="0" w:lastRow="0" w:firstColumn="0" w:lastColumn="0" w:noHBand="0" w:noVBand="0"/>
      </w:tblPr>
      <w:tblGrid>
        <w:gridCol w:w="1062"/>
        <w:gridCol w:w="3734"/>
        <w:gridCol w:w="4873"/>
      </w:tblGrid>
      <w:tr w:rsidR="00182D6D" w:rsidRPr="00CA56E3" w14:paraId="09FE7151" w14:textId="77777777" w:rsidTr="00B8429E">
        <w:trPr>
          <w:trHeight w:val="944"/>
        </w:trPr>
        <w:tc>
          <w:tcPr>
            <w:tcW w:w="549" w:type="pct"/>
            <w:tcBorders>
              <w:top w:val="double" w:sz="6" w:space="0" w:color="auto"/>
              <w:left w:val="double" w:sz="6" w:space="0" w:color="auto"/>
              <w:bottom w:val="double" w:sz="6" w:space="0" w:color="auto"/>
              <w:right w:val="single" w:sz="8" w:space="0" w:color="auto"/>
            </w:tcBorders>
            <w:shd w:val="clear" w:color="auto" w:fill="auto"/>
            <w:vAlign w:val="center"/>
          </w:tcPr>
          <w:p w14:paraId="0241C2CE" w14:textId="77777777" w:rsidR="00182D6D" w:rsidRPr="00CA56E3" w:rsidRDefault="00182D6D" w:rsidP="0003664F">
            <w:pPr>
              <w:spacing w:line="288" w:lineRule="auto"/>
              <w:jc w:val="center"/>
              <w:rPr>
                <w:rFonts w:ascii="Arial" w:hAnsi="Arial" w:cs="Arial"/>
                <w:i/>
                <w:sz w:val="20"/>
                <w:szCs w:val="20"/>
                <w:lang w:val="en-GB"/>
              </w:rPr>
            </w:pPr>
            <w:r w:rsidRPr="00CA56E3">
              <w:rPr>
                <w:rFonts w:ascii="Arial" w:hAnsi="Arial" w:cs="Arial"/>
                <w:i/>
                <w:sz w:val="20"/>
                <w:szCs w:val="20"/>
                <w:lang w:val="en-GB"/>
              </w:rPr>
              <w:t>Economic size classes</w:t>
            </w:r>
          </w:p>
        </w:tc>
        <w:tc>
          <w:tcPr>
            <w:tcW w:w="1931" w:type="pct"/>
            <w:tcBorders>
              <w:top w:val="double" w:sz="6" w:space="0" w:color="auto"/>
              <w:left w:val="nil"/>
              <w:bottom w:val="double" w:sz="6" w:space="0" w:color="auto"/>
              <w:right w:val="double" w:sz="6" w:space="0" w:color="auto"/>
            </w:tcBorders>
            <w:shd w:val="clear" w:color="auto" w:fill="auto"/>
            <w:vAlign w:val="center"/>
          </w:tcPr>
          <w:p w14:paraId="2FDB0A84" w14:textId="77777777" w:rsidR="00182D6D" w:rsidRPr="00CA56E3" w:rsidRDefault="00182D6D" w:rsidP="0003664F">
            <w:pPr>
              <w:spacing w:line="288" w:lineRule="auto"/>
              <w:jc w:val="center"/>
              <w:rPr>
                <w:rFonts w:ascii="Arial" w:hAnsi="Arial" w:cs="Arial"/>
                <w:i/>
                <w:sz w:val="20"/>
                <w:szCs w:val="20"/>
                <w:lang w:val="en-GB"/>
              </w:rPr>
            </w:pPr>
            <w:r w:rsidRPr="00CA56E3">
              <w:rPr>
                <w:rFonts w:ascii="Arial" w:hAnsi="Arial" w:cs="Arial"/>
                <w:i/>
                <w:sz w:val="20"/>
                <w:szCs w:val="20"/>
                <w:lang w:val="en-GB"/>
              </w:rPr>
              <w:t>Total standard output limits in EUR</w:t>
            </w:r>
          </w:p>
        </w:tc>
        <w:tc>
          <w:tcPr>
            <w:tcW w:w="2520" w:type="pct"/>
            <w:tcBorders>
              <w:top w:val="double" w:sz="6" w:space="0" w:color="auto"/>
              <w:left w:val="nil"/>
              <w:bottom w:val="double" w:sz="6" w:space="0" w:color="auto"/>
              <w:right w:val="double" w:sz="6" w:space="0" w:color="auto"/>
            </w:tcBorders>
            <w:shd w:val="clear" w:color="auto" w:fill="auto"/>
            <w:vAlign w:val="center"/>
          </w:tcPr>
          <w:p w14:paraId="012F2DD8" w14:textId="39BA807C" w:rsidR="00182D6D" w:rsidRPr="00CA56E3" w:rsidRDefault="00182D6D" w:rsidP="0003664F">
            <w:pPr>
              <w:spacing w:line="288" w:lineRule="auto"/>
              <w:jc w:val="center"/>
              <w:rPr>
                <w:rFonts w:ascii="Arial" w:hAnsi="Arial" w:cs="Arial"/>
                <w:i/>
                <w:sz w:val="20"/>
                <w:szCs w:val="20"/>
                <w:vertAlign w:val="superscript"/>
                <w:lang w:val="en-GB"/>
              </w:rPr>
            </w:pPr>
            <w:r w:rsidRPr="00CA56E3">
              <w:rPr>
                <w:rFonts w:ascii="Arial" w:hAnsi="Arial" w:cs="Arial"/>
                <w:i/>
                <w:sz w:val="20"/>
                <w:szCs w:val="20"/>
                <w:lang w:val="en-GB"/>
              </w:rPr>
              <w:t>Total standard output limits in CZK</w:t>
            </w:r>
            <w:r w:rsidR="00364665" w:rsidRPr="00F60241">
              <w:rPr>
                <w:rFonts w:ascii="Arial" w:hAnsi="Arial" w:cs="Arial"/>
                <w:i/>
                <w:sz w:val="20"/>
                <w:szCs w:val="20"/>
                <w:vertAlign w:val="superscript"/>
                <w:lang w:val="en-GB"/>
              </w:rPr>
              <w:t>1)</w:t>
            </w:r>
          </w:p>
        </w:tc>
      </w:tr>
      <w:tr w:rsidR="00B8429E" w:rsidRPr="00F60241" w14:paraId="7FF10859"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014DEC99"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I</w:t>
            </w:r>
          </w:p>
        </w:tc>
        <w:tc>
          <w:tcPr>
            <w:tcW w:w="1931" w:type="pct"/>
            <w:tcBorders>
              <w:top w:val="nil"/>
              <w:left w:val="nil"/>
              <w:bottom w:val="single" w:sz="8" w:space="0" w:color="auto"/>
              <w:right w:val="double" w:sz="6" w:space="0" w:color="auto"/>
            </w:tcBorders>
            <w:shd w:val="clear" w:color="auto" w:fill="auto"/>
            <w:noWrap/>
            <w:vAlign w:val="center"/>
          </w:tcPr>
          <w:p w14:paraId="257A6317" w14:textId="63DAF2C4"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less than 2</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63383FB6" w14:textId="36E92655"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less</w:t>
            </w:r>
            <w:proofErr w:type="gramEnd"/>
            <w:r w:rsidRPr="00B8429E">
              <w:rPr>
                <w:rFonts w:ascii="Arial" w:hAnsi="Arial" w:cs="Arial"/>
                <w:i/>
                <w:sz w:val="20"/>
                <w:szCs w:val="20"/>
              </w:rPr>
              <w:t xml:space="preserve"> than 48 thous. CZK</w:t>
            </w:r>
          </w:p>
        </w:tc>
      </w:tr>
      <w:tr w:rsidR="00B8429E" w:rsidRPr="00F60241" w14:paraId="1731B212"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5CDA395D"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II</w:t>
            </w:r>
          </w:p>
        </w:tc>
        <w:tc>
          <w:tcPr>
            <w:tcW w:w="1931" w:type="pct"/>
            <w:tcBorders>
              <w:top w:val="nil"/>
              <w:left w:val="nil"/>
              <w:bottom w:val="single" w:sz="8" w:space="0" w:color="auto"/>
              <w:right w:val="double" w:sz="6" w:space="0" w:color="auto"/>
            </w:tcBorders>
            <w:shd w:val="clear" w:color="auto" w:fill="auto"/>
            <w:noWrap/>
            <w:vAlign w:val="center"/>
          </w:tcPr>
          <w:p w14:paraId="3AD78884" w14:textId="6DEBE5A7"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2</w:t>
            </w:r>
            <w:r>
              <w:rPr>
                <w:rFonts w:ascii="Arial" w:hAnsi="Arial" w:cs="Arial"/>
                <w:i/>
                <w:sz w:val="20"/>
                <w:szCs w:val="20"/>
                <w:lang w:val="en-GB"/>
              </w:rPr>
              <w:t>,</w:t>
            </w:r>
            <w:r w:rsidRPr="00F60241">
              <w:rPr>
                <w:rFonts w:ascii="Arial" w:hAnsi="Arial" w:cs="Arial"/>
                <w:i/>
                <w:sz w:val="20"/>
                <w:szCs w:val="20"/>
                <w:lang w:val="en-GB"/>
              </w:rPr>
              <w:t>000 to less than 4</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799D00B9" w14:textId="566A88CF"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48 thous. CZK to less than 96 thous. CZK</w:t>
            </w:r>
          </w:p>
        </w:tc>
      </w:tr>
      <w:tr w:rsidR="00B8429E" w:rsidRPr="00F60241" w14:paraId="44DFCA89"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68890F90"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III</w:t>
            </w:r>
          </w:p>
        </w:tc>
        <w:tc>
          <w:tcPr>
            <w:tcW w:w="1931" w:type="pct"/>
            <w:tcBorders>
              <w:top w:val="nil"/>
              <w:left w:val="nil"/>
              <w:bottom w:val="single" w:sz="8" w:space="0" w:color="auto"/>
              <w:right w:val="double" w:sz="6" w:space="0" w:color="auto"/>
            </w:tcBorders>
            <w:shd w:val="clear" w:color="auto" w:fill="auto"/>
            <w:noWrap/>
            <w:vAlign w:val="center"/>
          </w:tcPr>
          <w:p w14:paraId="6D26FBE6" w14:textId="18855120"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4</w:t>
            </w:r>
            <w:r>
              <w:rPr>
                <w:rFonts w:ascii="Arial" w:hAnsi="Arial" w:cs="Arial"/>
                <w:i/>
                <w:sz w:val="20"/>
                <w:szCs w:val="20"/>
                <w:lang w:val="en-GB"/>
              </w:rPr>
              <w:t>,</w:t>
            </w:r>
            <w:r w:rsidRPr="00F60241">
              <w:rPr>
                <w:rFonts w:ascii="Arial" w:hAnsi="Arial" w:cs="Arial"/>
                <w:i/>
                <w:sz w:val="20"/>
                <w:szCs w:val="20"/>
                <w:lang w:val="en-GB"/>
              </w:rPr>
              <w:t>000 to less than 8</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0B9A98AD" w14:textId="782779A4"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96 thous. CZK to less than 193 thous. CZK</w:t>
            </w:r>
          </w:p>
        </w:tc>
      </w:tr>
      <w:tr w:rsidR="00B8429E" w:rsidRPr="00F60241" w14:paraId="23628391"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5869D19E"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IV</w:t>
            </w:r>
          </w:p>
        </w:tc>
        <w:tc>
          <w:tcPr>
            <w:tcW w:w="1931" w:type="pct"/>
            <w:tcBorders>
              <w:top w:val="nil"/>
              <w:left w:val="nil"/>
              <w:bottom w:val="single" w:sz="8" w:space="0" w:color="auto"/>
              <w:right w:val="double" w:sz="6" w:space="0" w:color="auto"/>
            </w:tcBorders>
            <w:shd w:val="clear" w:color="auto" w:fill="auto"/>
            <w:noWrap/>
            <w:vAlign w:val="center"/>
          </w:tcPr>
          <w:p w14:paraId="6E9B9128" w14:textId="4AE1B789"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8</w:t>
            </w:r>
            <w:r>
              <w:rPr>
                <w:rFonts w:ascii="Arial" w:hAnsi="Arial" w:cs="Arial"/>
                <w:i/>
                <w:sz w:val="20"/>
                <w:szCs w:val="20"/>
                <w:lang w:val="en-GB"/>
              </w:rPr>
              <w:t>,</w:t>
            </w:r>
            <w:r w:rsidRPr="00F60241">
              <w:rPr>
                <w:rFonts w:ascii="Arial" w:hAnsi="Arial" w:cs="Arial"/>
                <w:i/>
                <w:sz w:val="20"/>
                <w:szCs w:val="20"/>
                <w:lang w:val="en-GB"/>
              </w:rPr>
              <w:t>000 to less than 15</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611CA7E9" w14:textId="4F1B6536"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193 thous. CZK to less than 362 thous. CZK</w:t>
            </w:r>
          </w:p>
        </w:tc>
      </w:tr>
      <w:tr w:rsidR="00B8429E" w:rsidRPr="00F60241" w14:paraId="5C6DADD2"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155E1710"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V</w:t>
            </w:r>
          </w:p>
        </w:tc>
        <w:tc>
          <w:tcPr>
            <w:tcW w:w="1931" w:type="pct"/>
            <w:tcBorders>
              <w:top w:val="nil"/>
              <w:left w:val="nil"/>
              <w:bottom w:val="single" w:sz="8" w:space="0" w:color="auto"/>
              <w:right w:val="double" w:sz="6" w:space="0" w:color="auto"/>
            </w:tcBorders>
            <w:shd w:val="clear" w:color="auto" w:fill="auto"/>
            <w:noWrap/>
            <w:vAlign w:val="center"/>
          </w:tcPr>
          <w:p w14:paraId="55A77BEE" w14:textId="1B5B8DE5"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15</w:t>
            </w:r>
            <w:r>
              <w:rPr>
                <w:rFonts w:ascii="Arial" w:hAnsi="Arial" w:cs="Arial"/>
                <w:i/>
                <w:sz w:val="20"/>
                <w:szCs w:val="20"/>
                <w:lang w:val="en-GB"/>
              </w:rPr>
              <w:t>,</w:t>
            </w:r>
            <w:r w:rsidRPr="00F60241">
              <w:rPr>
                <w:rFonts w:ascii="Arial" w:hAnsi="Arial" w:cs="Arial"/>
                <w:i/>
                <w:sz w:val="20"/>
                <w:szCs w:val="20"/>
                <w:lang w:val="en-GB"/>
              </w:rPr>
              <w:t>000 to less than 25</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154A3F5E" w14:textId="3FCC8614"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362 thous. CZK to less than 603 thous. CZK</w:t>
            </w:r>
          </w:p>
        </w:tc>
      </w:tr>
      <w:tr w:rsidR="00B8429E" w:rsidRPr="00F60241" w14:paraId="0462F31A"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76B245BA"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VI</w:t>
            </w:r>
          </w:p>
        </w:tc>
        <w:tc>
          <w:tcPr>
            <w:tcW w:w="1931" w:type="pct"/>
            <w:tcBorders>
              <w:top w:val="nil"/>
              <w:left w:val="nil"/>
              <w:bottom w:val="single" w:sz="8" w:space="0" w:color="auto"/>
              <w:right w:val="double" w:sz="6" w:space="0" w:color="auto"/>
            </w:tcBorders>
            <w:shd w:val="clear" w:color="auto" w:fill="auto"/>
            <w:noWrap/>
            <w:vAlign w:val="center"/>
          </w:tcPr>
          <w:p w14:paraId="3029D4C0" w14:textId="153C14EC"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25</w:t>
            </w:r>
            <w:r>
              <w:rPr>
                <w:rFonts w:ascii="Arial" w:hAnsi="Arial" w:cs="Arial"/>
                <w:i/>
                <w:sz w:val="20"/>
                <w:szCs w:val="20"/>
                <w:lang w:val="en-GB"/>
              </w:rPr>
              <w:t>,</w:t>
            </w:r>
            <w:r w:rsidRPr="00F60241">
              <w:rPr>
                <w:rFonts w:ascii="Arial" w:hAnsi="Arial" w:cs="Arial"/>
                <w:i/>
                <w:sz w:val="20"/>
                <w:szCs w:val="20"/>
                <w:lang w:val="en-GB"/>
              </w:rPr>
              <w:t>000 to less than 50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4FD39E0B" w14:textId="5C26F5FC"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603 thous. CZK to less than 1,205 thous. CZK</w:t>
            </w:r>
          </w:p>
        </w:tc>
      </w:tr>
      <w:tr w:rsidR="00B8429E" w:rsidRPr="00F60241" w14:paraId="4A7FF4B8"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6314DD86"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VII</w:t>
            </w:r>
          </w:p>
        </w:tc>
        <w:tc>
          <w:tcPr>
            <w:tcW w:w="1931" w:type="pct"/>
            <w:tcBorders>
              <w:top w:val="nil"/>
              <w:left w:val="nil"/>
              <w:bottom w:val="single" w:sz="8" w:space="0" w:color="auto"/>
              <w:right w:val="double" w:sz="6" w:space="0" w:color="auto"/>
            </w:tcBorders>
            <w:shd w:val="clear" w:color="auto" w:fill="auto"/>
            <w:noWrap/>
            <w:vAlign w:val="center"/>
          </w:tcPr>
          <w:p w14:paraId="3283368C" w14:textId="0C333C84"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50</w:t>
            </w:r>
            <w:r>
              <w:rPr>
                <w:rFonts w:ascii="Arial" w:hAnsi="Arial" w:cs="Arial"/>
                <w:i/>
                <w:sz w:val="20"/>
                <w:szCs w:val="20"/>
                <w:lang w:val="en-GB"/>
              </w:rPr>
              <w:t>,</w:t>
            </w:r>
            <w:r w:rsidRPr="00F60241">
              <w:rPr>
                <w:rFonts w:ascii="Arial" w:hAnsi="Arial" w:cs="Arial"/>
                <w:i/>
                <w:sz w:val="20"/>
                <w:szCs w:val="20"/>
                <w:lang w:val="en-GB"/>
              </w:rPr>
              <w:t>000 to less than 100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6ED05CAB" w14:textId="6BDEC41F"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1,205 thous. CZK to less than 2,410 thous. CZK</w:t>
            </w:r>
          </w:p>
        </w:tc>
      </w:tr>
      <w:tr w:rsidR="00B8429E" w:rsidRPr="00F60241" w14:paraId="4BCAC24D"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29DC2690"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VIII</w:t>
            </w:r>
          </w:p>
        </w:tc>
        <w:tc>
          <w:tcPr>
            <w:tcW w:w="1931" w:type="pct"/>
            <w:tcBorders>
              <w:top w:val="nil"/>
              <w:left w:val="nil"/>
              <w:bottom w:val="single" w:sz="8" w:space="0" w:color="auto"/>
              <w:right w:val="double" w:sz="6" w:space="0" w:color="auto"/>
            </w:tcBorders>
            <w:shd w:val="clear" w:color="auto" w:fill="auto"/>
            <w:noWrap/>
            <w:vAlign w:val="center"/>
          </w:tcPr>
          <w:p w14:paraId="7DC0357B" w14:textId="4F421272"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100</w:t>
            </w:r>
            <w:r>
              <w:rPr>
                <w:rFonts w:ascii="Arial" w:hAnsi="Arial" w:cs="Arial"/>
                <w:i/>
                <w:sz w:val="20"/>
                <w:szCs w:val="20"/>
                <w:lang w:val="en-GB"/>
              </w:rPr>
              <w:t>,</w:t>
            </w:r>
            <w:r w:rsidRPr="00F60241">
              <w:rPr>
                <w:rFonts w:ascii="Arial" w:hAnsi="Arial" w:cs="Arial"/>
                <w:i/>
                <w:sz w:val="20"/>
                <w:szCs w:val="20"/>
                <w:lang w:val="en-GB"/>
              </w:rPr>
              <w:t>000 to less than 250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51D0A159" w14:textId="70CA3CC5"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2,410 thous. CZK to less than 6,025 thous. CZK</w:t>
            </w:r>
          </w:p>
        </w:tc>
      </w:tr>
      <w:tr w:rsidR="00B8429E" w:rsidRPr="00F60241" w14:paraId="3525A1AE"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3C8CDE30"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IX</w:t>
            </w:r>
          </w:p>
        </w:tc>
        <w:tc>
          <w:tcPr>
            <w:tcW w:w="1931" w:type="pct"/>
            <w:tcBorders>
              <w:top w:val="nil"/>
              <w:left w:val="nil"/>
              <w:bottom w:val="single" w:sz="8" w:space="0" w:color="auto"/>
              <w:right w:val="double" w:sz="6" w:space="0" w:color="auto"/>
            </w:tcBorders>
            <w:shd w:val="clear" w:color="auto" w:fill="auto"/>
            <w:noWrap/>
            <w:vAlign w:val="center"/>
          </w:tcPr>
          <w:p w14:paraId="0334A597" w14:textId="10A83A30"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250</w:t>
            </w:r>
            <w:r>
              <w:rPr>
                <w:rFonts w:ascii="Arial" w:hAnsi="Arial" w:cs="Arial"/>
                <w:i/>
                <w:sz w:val="20"/>
                <w:szCs w:val="20"/>
                <w:lang w:val="en-GB"/>
              </w:rPr>
              <w:t>,</w:t>
            </w:r>
            <w:r w:rsidRPr="00F60241">
              <w:rPr>
                <w:rFonts w:ascii="Arial" w:hAnsi="Arial" w:cs="Arial"/>
                <w:i/>
                <w:sz w:val="20"/>
                <w:szCs w:val="20"/>
                <w:lang w:val="en-GB"/>
              </w:rPr>
              <w:t>000 to less than 500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15C156A4" w14:textId="67BB038E"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6,025 thous. CZK to less than 12,050 thous. CZK</w:t>
            </w:r>
          </w:p>
        </w:tc>
      </w:tr>
      <w:tr w:rsidR="00B8429E" w:rsidRPr="00F60241" w14:paraId="6DC9DE12" w14:textId="77777777" w:rsidTr="00B8429E">
        <w:trPr>
          <w:trHeight w:val="337"/>
        </w:trPr>
        <w:tc>
          <w:tcPr>
            <w:tcW w:w="549" w:type="pct"/>
            <w:tcBorders>
              <w:top w:val="nil"/>
              <w:left w:val="double" w:sz="6" w:space="0" w:color="auto"/>
              <w:bottom w:val="single" w:sz="8" w:space="0" w:color="auto"/>
              <w:right w:val="single" w:sz="8" w:space="0" w:color="auto"/>
            </w:tcBorders>
            <w:shd w:val="clear" w:color="auto" w:fill="auto"/>
            <w:noWrap/>
            <w:vAlign w:val="center"/>
          </w:tcPr>
          <w:p w14:paraId="7FB8615B"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X</w:t>
            </w:r>
          </w:p>
        </w:tc>
        <w:tc>
          <w:tcPr>
            <w:tcW w:w="1931" w:type="pct"/>
            <w:tcBorders>
              <w:top w:val="nil"/>
              <w:left w:val="nil"/>
              <w:bottom w:val="single" w:sz="8" w:space="0" w:color="auto"/>
              <w:right w:val="double" w:sz="6" w:space="0" w:color="auto"/>
            </w:tcBorders>
            <w:shd w:val="clear" w:color="auto" w:fill="auto"/>
            <w:noWrap/>
            <w:vAlign w:val="center"/>
          </w:tcPr>
          <w:p w14:paraId="5F7BD565" w14:textId="38F9E0BC"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500</w:t>
            </w:r>
            <w:r>
              <w:rPr>
                <w:rFonts w:ascii="Arial" w:hAnsi="Arial" w:cs="Arial"/>
                <w:i/>
                <w:sz w:val="20"/>
                <w:szCs w:val="20"/>
                <w:lang w:val="en-GB"/>
              </w:rPr>
              <w:t>,</w:t>
            </w:r>
            <w:r w:rsidRPr="00F60241">
              <w:rPr>
                <w:rFonts w:ascii="Arial" w:hAnsi="Arial" w:cs="Arial"/>
                <w:i/>
                <w:sz w:val="20"/>
                <w:szCs w:val="20"/>
                <w:lang w:val="en-GB"/>
              </w:rPr>
              <w:t>000 to less than 750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2CB66EEA" w14:textId="48D70F5D"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12,050 thous. CZK to less than 18,075 thous. CZK</w:t>
            </w:r>
          </w:p>
        </w:tc>
      </w:tr>
      <w:tr w:rsidR="00B8429E" w:rsidRPr="00F60241" w14:paraId="544657F7" w14:textId="77777777" w:rsidTr="00B8429E">
        <w:trPr>
          <w:trHeight w:val="330"/>
        </w:trPr>
        <w:tc>
          <w:tcPr>
            <w:tcW w:w="549" w:type="pct"/>
            <w:tcBorders>
              <w:top w:val="nil"/>
              <w:left w:val="double" w:sz="6" w:space="0" w:color="auto"/>
              <w:bottom w:val="single" w:sz="8" w:space="0" w:color="auto"/>
              <w:right w:val="single" w:sz="8" w:space="0" w:color="auto"/>
            </w:tcBorders>
            <w:shd w:val="clear" w:color="auto" w:fill="auto"/>
            <w:noWrap/>
            <w:vAlign w:val="center"/>
          </w:tcPr>
          <w:p w14:paraId="74595B49"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XI</w:t>
            </w:r>
          </w:p>
        </w:tc>
        <w:tc>
          <w:tcPr>
            <w:tcW w:w="1931" w:type="pct"/>
            <w:tcBorders>
              <w:top w:val="nil"/>
              <w:left w:val="nil"/>
              <w:bottom w:val="single" w:sz="8" w:space="0" w:color="auto"/>
              <w:right w:val="double" w:sz="6" w:space="0" w:color="auto"/>
            </w:tcBorders>
            <w:shd w:val="clear" w:color="auto" w:fill="auto"/>
            <w:noWrap/>
            <w:vAlign w:val="center"/>
          </w:tcPr>
          <w:p w14:paraId="230FFE60" w14:textId="5E01B142"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750</w:t>
            </w:r>
            <w:r>
              <w:rPr>
                <w:rFonts w:ascii="Arial" w:hAnsi="Arial" w:cs="Arial"/>
                <w:i/>
                <w:sz w:val="20"/>
                <w:szCs w:val="20"/>
                <w:lang w:val="en-GB"/>
              </w:rPr>
              <w:t>,</w:t>
            </w:r>
            <w:r w:rsidRPr="00F60241">
              <w:rPr>
                <w:rFonts w:ascii="Arial" w:hAnsi="Arial" w:cs="Arial"/>
                <w:i/>
                <w:sz w:val="20"/>
                <w:szCs w:val="20"/>
                <w:lang w:val="en-GB"/>
              </w:rPr>
              <w:t>000 to less than 1</w:t>
            </w:r>
            <w:r>
              <w:rPr>
                <w:rFonts w:ascii="Arial" w:hAnsi="Arial" w:cs="Arial"/>
                <w:i/>
                <w:sz w:val="20"/>
                <w:szCs w:val="20"/>
                <w:lang w:val="en-GB"/>
              </w:rPr>
              <w:t>,</w:t>
            </w:r>
            <w:r w:rsidRPr="00F60241">
              <w:rPr>
                <w:rFonts w:ascii="Arial" w:hAnsi="Arial" w:cs="Arial"/>
                <w:i/>
                <w:sz w:val="20"/>
                <w:szCs w:val="20"/>
                <w:lang w:val="en-GB"/>
              </w:rPr>
              <w:t>000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379E7048" w14:textId="145906AC"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18,075 thous. CZK to less than 24,100 thous. CZK</w:t>
            </w:r>
          </w:p>
        </w:tc>
      </w:tr>
      <w:tr w:rsidR="00B8429E" w:rsidRPr="00F60241" w14:paraId="00371171" w14:textId="77777777" w:rsidTr="00B8429E">
        <w:trPr>
          <w:trHeight w:val="330"/>
        </w:trPr>
        <w:tc>
          <w:tcPr>
            <w:tcW w:w="549" w:type="pct"/>
            <w:tcBorders>
              <w:top w:val="nil"/>
              <w:left w:val="double" w:sz="6" w:space="0" w:color="auto"/>
              <w:bottom w:val="single" w:sz="8" w:space="0" w:color="auto"/>
              <w:right w:val="single" w:sz="8" w:space="0" w:color="auto"/>
            </w:tcBorders>
            <w:shd w:val="clear" w:color="auto" w:fill="auto"/>
            <w:noWrap/>
            <w:vAlign w:val="center"/>
          </w:tcPr>
          <w:p w14:paraId="29A98875"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XII</w:t>
            </w:r>
          </w:p>
        </w:tc>
        <w:tc>
          <w:tcPr>
            <w:tcW w:w="1931" w:type="pct"/>
            <w:tcBorders>
              <w:top w:val="nil"/>
              <w:left w:val="nil"/>
              <w:bottom w:val="single" w:sz="8" w:space="0" w:color="auto"/>
              <w:right w:val="double" w:sz="6" w:space="0" w:color="auto"/>
            </w:tcBorders>
            <w:shd w:val="clear" w:color="auto" w:fill="auto"/>
            <w:noWrap/>
            <w:vAlign w:val="center"/>
          </w:tcPr>
          <w:p w14:paraId="67E4AF4B" w14:textId="599D7AF7"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1</w:t>
            </w:r>
            <w:r>
              <w:rPr>
                <w:rFonts w:ascii="Arial" w:hAnsi="Arial" w:cs="Arial"/>
                <w:i/>
                <w:sz w:val="20"/>
                <w:szCs w:val="20"/>
                <w:lang w:val="en-GB"/>
              </w:rPr>
              <w:t>,</w:t>
            </w:r>
            <w:r w:rsidRPr="00F60241">
              <w:rPr>
                <w:rFonts w:ascii="Arial" w:hAnsi="Arial" w:cs="Arial"/>
                <w:i/>
                <w:sz w:val="20"/>
                <w:szCs w:val="20"/>
                <w:lang w:val="en-GB"/>
              </w:rPr>
              <w:t>000</w:t>
            </w:r>
            <w:r>
              <w:rPr>
                <w:rFonts w:ascii="Arial" w:hAnsi="Arial" w:cs="Arial"/>
                <w:i/>
                <w:sz w:val="20"/>
                <w:szCs w:val="20"/>
                <w:lang w:val="en-GB"/>
              </w:rPr>
              <w:t>,</w:t>
            </w:r>
            <w:r w:rsidRPr="00F60241">
              <w:rPr>
                <w:rFonts w:ascii="Arial" w:hAnsi="Arial" w:cs="Arial"/>
                <w:i/>
                <w:sz w:val="20"/>
                <w:szCs w:val="20"/>
                <w:lang w:val="en-GB"/>
              </w:rPr>
              <w:t>000 to less than 1</w:t>
            </w:r>
            <w:r>
              <w:rPr>
                <w:rFonts w:ascii="Arial" w:hAnsi="Arial" w:cs="Arial"/>
                <w:i/>
                <w:sz w:val="20"/>
                <w:szCs w:val="20"/>
                <w:lang w:val="en-GB"/>
              </w:rPr>
              <w:t>,</w:t>
            </w:r>
            <w:r w:rsidRPr="00F60241">
              <w:rPr>
                <w:rFonts w:ascii="Arial" w:hAnsi="Arial" w:cs="Arial"/>
                <w:i/>
                <w:sz w:val="20"/>
                <w:szCs w:val="20"/>
                <w:lang w:val="en-GB"/>
              </w:rPr>
              <w:t>500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4B25B254" w14:textId="5D6F4347"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24,100 thous. CZK to less than 36,150 thous. CZK</w:t>
            </w:r>
          </w:p>
        </w:tc>
      </w:tr>
      <w:tr w:rsidR="00B8429E" w:rsidRPr="00F60241" w14:paraId="672F3A3F" w14:textId="77777777" w:rsidTr="00B8429E">
        <w:trPr>
          <w:trHeight w:val="330"/>
        </w:trPr>
        <w:tc>
          <w:tcPr>
            <w:tcW w:w="549" w:type="pct"/>
            <w:tcBorders>
              <w:top w:val="nil"/>
              <w:left w:val="double" w:sz="6" w:space="0" w:color="auto"/>
              <w:bottom w:val="single" w:sz="8" w:space="0" w:color="auto"/>
              <w:right w:val="single" w:sz="8" w:space="0" w:color="auto"/>
            </w:tcBorders>
            <w:shd w:val="clear" w:color="auto" w:fill="auto"/>
            <w:noWrap/>
            <w:vAlign w:val="center"/>
          </w:tcPr>
          <w:p w14:paraId="5BA4D61E" w14:textId="77777777" w:rsidR="00B8429E" w:rsidRPr="00F60241" w:rsidRDefault="00B8429E" w:rsidP="00B8429E">
            <w:pPr>
              <w:spacing w:line="288" w:lineRule="auto"/>
              <w:jc w:val="center"/>
              <w:rPr>
                <w:rFonts w:ascii="Arial" w:hAnsi="Arial" w:cs="Arial"/>
                <w:i/>
                <w:sz w:val="20"/>
                <w:szCs w:val="20"/>
                <w:lang w:val="en-GB"/>
              </w:rPr>
            </w:pPr>
            <w:r w:rsidRPr="00F60241">
              <w:rPr>
                <w:rFonts w:ascii="Arial" w:hAnsi="Arial" w:cs="Arial"/>
                <w:i/>
                <w:sz w:val="20"/>
                <w:szCs w:val="20"/>
                <w:lang w:val="en-GB"/>
              </w:rPr>
              <w:t>XIII</w:t>
            </w:r>
          </w:p>
        </w:tc>
        <w:tc>
          <w:tcPr>
            <w:tcW w:w="1931" w:type="pct"/>
            <w:tcBorders>
              <w:top w:val="nil"/>
              <w:left w:val="nil"/>
              <w:bottom w:val="single" w:sz="8" w:space="0" w:color="auto"/>
              <w:right w:val="double" w:sz="6" w:space="0" w:color="auto"/>
            </w:tcBorders>
            <w:shd w:val="clear" w:color="auto" w:fill="auto"/>
            <w:noWrap/>
            <w:vAlign w:val="center"/>
          </w:tcPr>
          <w:p w14:paraId="5DB73456" w14:textId="4E814616" w:rsidR="00B8429E" w:rsidRPr="00F60241" w:rsidRDefault="00B8429E" w:rsidP="00B8429E">
            <w:pPr>
              <w:spacing w:line="288" w:lineRule="auto"/>
              <w:rPr>
                <w:rFonts w:ascii="Arial" w:hAnsi="Arial" w:cs="Arial"/>
                <w:i/>
                <w:sz w:val="20"/>
                <w:szCs w:val="20"/>
                <w:lang w:val="en-GB"/>
              </w:rPr>
            </w:pPr>
            <w:r w:rsidRPr="00F60241">
              <w:rPr>
                <w:rFonts w:ascii="Arial" w:hAnsi="Arial" w:cs="Arial"/>
                <w:i/>
                <w:sz w:val="20"/>
                <w:szCs w:val="20"/>
                <w:lang w:val="en-GB"/>
              </w:rPr>
              <w:t>from 1</w:t>
            </w:r>
            <w:r>
              <w:rPr>
                <w:rFonts w:ascii="Arial" w:hAnsi="Arial" w:cs="Arial"/>
                <w:i/>
                <w:sz w:val="20"/>
                <w:szCs w:val="20"/>
                <w:lang w:val="en-GB"/>
              </w:rPr>
              <w:t>,</w:t>
            </w:r>
            <w:r w:rsidRPr="00F60241">
              <w:rPr>
                <w:rFonts w:ascii="Arial" w:hAnsi="Arial" w:cs="Arial"/>
                <w:i/>
                <w:sz w:val="20"/>
                <w:szCs w:val="20"/>
                <w:lang w:val="en-GB"/>
              </w:rPr>
              <w:t>500</w:t>
            </w:r>
            <w:r>
              <w:rPr>
                <w:rFonts w:ascii="Arial" w:hAnsi="Arial" w:cs="Arial"/>
                <w:i/>
                <w:sz w:val="20"/>
                <w:szCs w:val="20"/>
                <w:lang w:val="en-GB"/>
              </w:rPr>
              <w:t>,</w:t>
            </w:r>
            <w:r w:rsidRPr="00F60241">
              <w:rPr>
                <w:rFonts w:ascii="Arial" w:hAnsi="Arial" w:cs="Arial"/>
                <w:i/>
                <w:sz w:val="20"/>
                <w:szCs w:val="20"/>
                <w:lang w:val="en-GB"/>
              </w:rPr>
              <w:t>000 to less than 3</w:t>
            </w:r>
            <w:r>
              <w:rPr>
                <w:rFonts w:ascii="Arial" w:hAnsi="Arial" w:cs="Arial"/>
                <w:i/>
                <w:sz w:val="20"/>
                <w:szCs w:val="20"/>
                <w:lang w:val="en-GB"/>
              </w:rPr>
              <w:t>,</w:t>
            </w:r>
            <w:r w:rsidRPr="00F60241">
              <w:rPr>
                <w:rFonts w:ascii="Arial" w:hAnsi="Arial" w:cs="Arial"/>
                <w:i/>
                <w:sz w:val="20"/>
                <w:szCs w:val="20"/>
                <w:lang w:val="en-GB"/>
              </w:rPr>
              <w:t>000</w:t>
            </w:r>
            <w:r>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single" w:sz="8" w:space="0" w:color="auto"/>
              <w:right w:val="double" w:sz="6" w:space="0" w:color="auto"/>
            </w:tcBorders>
            <w:shd w:val="clear" w:color="auto" w:fill="auto"/>
            <w:noWrap/>
          </w:tcPr>
          <w:p w14:paraId="585F9DA2" w14:textId="6D86D717" w:rsidR="00B8429E" w:rsidRPr="00B8429E" w:rsidRDefault="00B8429E" w:rsidP="00B8429E">
            <w:pPr>
              <w:spacing w:line="288" w:lineRule="auto"/>
              <w:rPr>
                <w:rFonts w:ascii="Arial" w:hAnsi="Arial" w:cs="Arial"/>
                <w:i/>
                <w:sz w:val="20"/>
                <w:szCs w:val="20"/>
                <w:lang w:val="en-GB"/>
              </w:rPr>
            </w:pPr>
            <w:proofErr w:type="gramStart"/>
            <w:r w:rsidRPr="00B8429E">
              <w:rPr>
                <w:rFonts w:ascii="Arial" w:hAnsi="Arial" w:cs="Arial"/>
                <w:i/>
                <w:sz w:val="20"/>
                <w:szCs w:val="20"/>
              </w:rPr>
              <w:t>from</w:t>
            </w:r>
            <w:proofErr w:type="gramEnd"/>
            <w:r w:rsidRPr="00B8429E">
              <w:rPr>
                <w:rFonts w:ascii="Arial" w:hAnsi="Arial" w:cs="Arial"/>
                <w:i/>
                <w:sz w:val="20"/>
                <w:szCs w:val="20"/>
              </w:rPr>
              <w:t xml:space="preserve"> 36,150 thous. CZK to less than 72,300 thous. CZK</w:t>
            </w:r>
          </w:p>
        </w:tc>
      </w:tr>
      <w:tr w:rsidR="00F60241" w:rsidRPr="00F60241" w14:paraId="37157BD3" w14:textId="77777777" w:rsidTr="00B8429E">
        <w:trPr>
          <w:trHeight w:val="330"/>
        </w:trPr>
        <w:tc>
          <w:tcPr>
            <w:tcW w:w="549" w:type="pct"/>
            <w:tcBorders>
              <w:top w:val="nil"/>
              <w:left w:val="double" w:sz="6" w:space="0" w:color="auto"/>
              <w:bottom w:val="double" w:sz="6" w:space="0" w:color="auto"/>
              <w:right w:val="single" w:sz="8" w:space="0" w:color="auto"/>
            </w:tcBorders>
            <w:shd w:val="clear" w:color="auto" w:fill="auto"/>
            <w:noWrap/>
            <w:vAlign w:val="center"/>
          </w:tcPr>
          <w:p w14:paraId="19DA8065" w14:textId="77777777" w:rsidR="00182D6D" w:rsidRPr="00F60241" w:rsidRDefault="00182D6D" w:rsidP="0003664F">
            <w:pPr>
              <w:spacing w:line="288" w:lineRule="auto"/>
              <w:jc w:val="center"/>
              <w:rPr>
                <w:rFonts w:ascii="Arial" w:hAnsi="Arial" w:cs="Arial"/>
                <w:i/>
                <w:sz w:val="20"/>
                <w:szCs w:val="20"/>
                <w:lang w:val="en-GB"/>
              </w:rPr>
            </w:pPr>
            <w:r w:rsidRPr="00F60241">
              <w:rPr>
                <w:rFonts w:ascii="Arial" w:hAnsi="Arial" w:cs="Arial"/>
                <w:i/>
                <w:sz w:val="20"/>
                <w:szCs w:val="20"/>
                <w:lang w:val="en-GB"/>
              </w:rPr>
              <w:t>XIV</w:t>
            </w:r>
          </w:p>
        </w:tc>
        <w:tc>
          <w:tcPr>
            <w:tcW w:w="1931" w:type="pct"/>
            <w:tcBorders>
              <w:top w:val="nil"/>
              <w:left w:val="nil"/>
              <w:bottom w:val="double" w:sz="6" w:space="0" w:color="auto"/>
              <w:right w:val="double" w:sz="6" w:space="0" w:color="auto"/>
            </w:tcBorders>
            <w:shd w:val="clear" w:color="auto" w:fill="auto"/>
            <w:noWrap/>
            <w:vAlign w:val="center"/>
          </w:tcPr>
          <w:p w14:paraId="6E7C5FAE" w14:textId="15851075" w:rsidR="00182D6D" w:rsidRPr="00F60241" w:rsidRDefault="00182D6D" w:rsidP="0003664F">
            <w:pPr>
              <w:spacing w:line="288" w:lineRule="auto"/>
              <w:rPr>
                <w:rFonts w:ascii="Arial" w:hAnsi="Arial" w:cs="Arial"/>
                <w:i/>
                <w:sz w:val="20"/>
                <w:szCs w:val="20"/>
                <w:lang w:val="en-GB"/>
              </w:rPr>
            </w:pPr>
            <w:r w:rsidRPr="00F60241">
              <w:rPr>
                <w:rFonts w:ascii="Arial" w:hAnsi="Arial" w:cs="Arial"/>
                <w:i/>
                <w:sz w:val="20"/>
                <w:szCs w:val="20"/>
                <w:lang w:val="en-GB"/>
              </w:rPr>
              <w:t>equal to or greater than 3</w:t>
            </w:r>
            <w:r w:rsidR="00994FCF">
              <w:rPr>
                <w:rFonts w:ascii="Arial" w:hAnsi="Arial" w:cs="Arial"/>
                <w:i/>
                <w:sz w:val="20"/>
                <w:szCs w:val="20"/>
                <w:lang w:val="en-GB"/>
              </w:rPr>
              <w:t>,</w:t>
            </w:r>
            <w:r w:rsidRPr="00F60241">
              <w:rPr>
                <w:rFonts w:ascii="Arial" w:hAnsi="Arial" w:cs="Arial"/>
                <w:i/>
                <w:sz w:val="20"/>
                <w:szCs w:val="20"/>
                <w:lang w:val="en-GB"/>
              </w:rPr>
              <w:t>000</w:t>
            </w:r>
            <w:r w:rsidR="00994FCF">
              <w:rPr>
                <w:rFonts w:ascii="Arial" w:hAnsi="Arial" w:cs="Arial"/>
                <w:i/>
                <w:sz w:val="20"/>
                <w:szCs w:val="20"/>
                <w:lang w:val="en-GB"/>
              </w:rPr>
              <w:t>,</w:t>
            </w:r>
            <w:r w:rsidRPr="00F60241">
              <w:rPr>
                <w:rFonts w:ascii="Arial" w:hAnsi="Arial" w:cs="Arial"/>
                <w:i/>
                <w:sz w:val="20"/>
                <w:szCs w:val="20"/>
                <w:lang w:val="en-GB"/>
              </w:rPr>
              <w:t>000 EUR</w:t>
            </w:r>
          </w:p>
        </w:tc>
        <w:tc>
          <w:tcPr>
            <w:tcW w:w="2520" w:type="pct"/>
            <w:tcBorders>
              <w:top w:val="nil"/>
              <w:left w:val="nil"/>
              <w:bottom w:val="double" w:sz="6" w:space="0" w:color="auto"/>
              <w:right w:val="double" w:sz="6" w:space="0" w:color="auto"/>
            </w:tcBorders>
            <w:shd w:val="clear" w:color="auto" w:fill="auto"/>
            <w:noWrap/>
            <w:vAlign w:val="center"/>
          </w:tcPr>
          <w:p w14:paraId="346F90DF" w14:textId="5D98B29B" w:rsidR="00182D6D" w:rsidRPr="00F60241" w:rsidRDefault="00182D6D" w:rsidP="00B8429E">
            <w:pPr>
              <w:spacing w:line="288" w:lineRule="auto"/>
              <w:rPr>
                <w:rFonts w:ascii="Arial" w:hAnsi="Arial" w:cs="Arial"/>
                <w:i/>
                <w:sz w:val="20"/>
                <w:szCs w:val="20"/>
                <w:lang w:val="en-GB"/>
              </w:rPr>
            </w:pPr>
            <w:r w:rsidRPr="00F60241">
              <w:rPr>
                <w:rFonts w:ascii="Arial" w:hAnsi="Arial" w:cs="Arial"/>
                <w:i/>
                <w:sz w:val="20"/>
                <w:szCs w:val="20"/>
                <w:lang w:val="en-GB"/>
              </w:rPr>
              <w:t xml:space="preserve">equal to or greater than </w:t>
            </w:r>
            <w:r w:rsidR="00960C78" w:rsidRPr="00F60241">
              <w:rPr>
                <w:rFonts w:ascii="Arial" w:hAnsi="Arial" w:cs="Arial"/>
                <w:i/>
                <w:sz w:val="20"/>
                <w:szCs w:val="20"/>
                <w:lang w:val="en-GB"/>
              </w:rPr>
              <w:t>7</w:t>
            </w:r>
            <w:r w:rsidR="00BC47B2">
              <w:rPr>
                <w:rFonts w:ascii="Arial" w:hAnsi="Arial" w:cs="Arial"/>
                <w:i/>
                <w:sz w:val="20"/>
                <w:szCs w:val="20"/>
                <w:lang w:val="en-GB"/>
              </w:rPr>
              <w:t>2</w:t>
            </w:r>
            <w:r w:rsidR="00994FCF">
              <w:rPr>
                <w:rFonts w:ascii="Arial" w:hAnsi="Arial" w:cs="Arial"/>
                <w:i/>
                <w:sz w:val="20"/>
                <w:szCs w:val="20"/>
                <w:lang w:val="en-GB"/>
              </w:rPr>
              <w:t>,</w:t>
            </w:r>
            <w:r w:rsidR="00960C78" w:rsidRPr="00F60241">
              <w:rPr>
                <w:rFonts w:ascii="Arial" w:hAnsi="Arial" w:cs="Arial"/>
                <w:i/>
                <w:sz w:val="20"/>
                <w:szCs w:val="20"/>
                <w:lang w:val="en-GB"/>
              </w:rPr>
              <w:t>3</w:t>
            </w:r>
            <w:r w:rsidR="00BC47B2">
              <w:rPr>
                <w:rFonts w:ascii="Arial" w:hAnsi="Arial" w:cs="Arial"/>
                <w:i/>
                <w:sz w:val="20"/>
                <w:szCs w:val="20"/>
                <w:lang w:val="en-GB"/>
              </w:rPr>
              <w:t>00</w:t>
            </w:r>
            <w:r w:rsidR="00B8429E">
              <w:rPr>
                <w:rFonts w:ascii="Arial" w:hAnsi="Arial" w:cs="Arial"/>
                <w:i/>
                <w:sz w:val="20"/>
                <w:szCs w:val="20"/>
                <w:lang w:val="en-GB"/>
              </w:rPr>
              <w:t xml:space="preserve"> thous.</w:t>
            </w:r>
            <w:r w:rsidRPr="00F60241">
              <w:rPr>
                <w:rFonts w:ascii="Arial" w:hAnsi="Arial" w:cs="Arial"/>
                <w:i/>
                <w:sz w:val="20"/>
                <w:szCs w:val="20"/>
                <w:lang w:val="en-GB"/>
              </w:rPr>
              <w:t xml:space="preserve"> CZK </w:t>
            </w:r>
          </w:p>
        </w:tc>
      </w:tr>
    </w:tbl>
    <w:p w14:paraId="4E3C2C10" w14:textId="2CCA27C6" w:rsidR="00182D6D" w:rsidRPr="00F60241" w:rsidRDefault="00182D6D" w:rsidP="0003664F">
      <w:pPr>
        <w:spacing w:line="288" w:lineRule="auto"/>
        <w:jc w:val="both"/>
        <w:rPr>
          <w:rFonts w:ascii="Arial" w:hAnsi="Arial" w:cs="Arial"/>
          <w:i/>
          <w:sz w:val="20"/>
          <w:szCs w:val="20"/>
          <w:lang w:val="en-GB"/>
        </w:rPr>
      </w:pPr>
      <w:r w:rsidRPr="00F60241">
        <w:rPr>
          <w:rFonts w:ascii="Arial" w:hAnsi="Arial" w:cs="Arial"/>
          <w:i/>
          <w:sz w:val="20"/>
          <w:szCs w:val="20"/>
          <w:vertAlign w:val="superscript"/>
          <w:lang w:val="en-GB"/>
        </w:rPr>
        <w:t>1)</w:t>
      </w:r>
      <w:r w:rsidRPr="00F60241">
        <w:rPr>
          <w:rFonts w:ascii="Arial" w:hAnsi="Arial" w:cs="Arial"/>
          <w:i/>
          <w:sz w:val="20"/>
          <w:szCs w:val="20"/>
          <w:lang w:val="en-GB"/>
        </w:rPr>
        <w:t xml:space="preserve"> Recalculation based on mean exchange rate </w:t>
      </w:r>
      <w:r w:rsidR="006F0085">
        <w:rPr>
          <w:rFonts w:ascii="Arial" w:hAnsi="Arial" w:cs="Arial"/>
          <w:i/>
          <w:sz w:val="20"/>
          <w:szCs w:val="20"/>
          <w:lang w:val="en-GB"/>
        </w:rPr>
        <w:t xml:space="preserve">of the CNB </w:t>
      </w:r>
      <w:r w:rsidRPr="00F60241">
        <w:rPr>
          <w:rFonts w:ascii="Arial" w:hAnsi="Arial" w:cs="Arial"/>
          <w:i/>
          <w:sz w:val="20"/>
          <w:szCs w:val="20"/>
          <w:lang w:val="en-GB"/>
        </w:rPr>
        <w:t>for the year 20</w:t>
      </w:r>
      <w:r w:rsidR="00960C78" w:rsidRPr="00F60241">
        <w:rPr>
          <w:rFonts w:ascii="Arial" w:hAnsi="Arial" w:cs="Arial"/>
          <w:i/>
          <w:sz w:val="20"/>
          <w:szCs w:val="20"/>
          <w:lang w:val="en-GB"/>
        </w:rPr>
        <w:t>2</w:t>
      </w:r>
      <w:r w:rsidR="00BC47B2">
        <w:rPr>
          <w:rFonts w:ascii="Arial" w:hAnsi="Arial" w:cs="Arial"/>
          <w:i/>
          <w:sz w:val="20"/>
          <w:szCs w:val="20"/>
          <w:lang w:val="en-GB"/>
        </w:rPr>
        <w:t>3</w:t>
      </w:r>
      <w:r w:rsidRPr="00F60241">
        <w:rPr>
          <w:rFonts w:ascii="Arial" w:hAnsi="Arial" w:cs="Arial"/>
          <w:i/>
          <w:sz w:val="20"/>
          <w:szCs w:val="20"/>
          <w:lang w:val="en-GB"/>
        </w:rPr>
        <w:t>: 2</w:t>
      </w:r>
      <w:r w:rsidR="00BC47B2">
        <w:rPr>
          <w:rFonts w:ascii="Arial" w:hAnsi="Arial" w:cs="Arial"/>
          <w:i/>
          <w:sz w:val="20"/>
          <w:szCs w:val="20"/>
          <w:lang w:val="en-GB"/>
        </w:rPr>
        <w:t>4</w:t>
      </w:r>
      <w:r w:rsidRPr="00F60241">
        <w:rPr>
          <w:rFonts w:ascii="Arial" w:hAnsi="Arial" w:cs="Arial"/>
          <w:i/>
          <w:sz w:val="20"/>
          <w:szCs w:val="20"/>
          <w:lang w:val="en-GB"/>
        </w:rPr>
        <w:t>.</w:t>
      </w:r>
      <w:r w:rsidR="00BC47B2">
        <w:rPr>
          <w:rFonts w:ascii="Arial" w:hAnsi="Arial" w:cs="Arial"/>
          <w:i/>
          <w:sz w:val="20"/>
          <w:szCs w:val="20"/>
          <w:lang w:val="en-GB"/>
        </w:rPr>
        <w:t>100</w:t>
      </w:r>
      <w:r w:rsidR="00960C78" w:rsidRPr="00F60241">
        <w:rPr>
          <w:rFonts w:ascii="Arial" w:hAnsi="Arial" w:cs="Arial"/>
          <w:i/>
          <w:sz w:val="20"/>
          <w:szCs w:val="20"/>
          <w:lang w:val="en-GB"/>
        </w:rPr>
        <w:t xml:space="preserve"> </w:t>
      </w:r>
      <w:r w:rsidRPr="00F60241">
        <w:rPr>
          <w:rFonts w:ascii="Arial" w:hAnsi="Arial" w:cs="Arial"/>
          <w:i/>
          <w:sz w:val="20"/>
          <w:szCs w:val="20"/>
          <w:lang w:val="en-GB"/>
        </w:rPr>
        <w:t>CZK/EUR</w:t>
      </w:r>
      <w:r w:rsidR="00252028">
        <w:rPr>
          <w:rFonts w:ascii="Arial" w:hAnsi="Arial" w:cs="Arial"/>
          <w:i/>
          <w:sz w:val="20"/>
          <w:szCs w:val="20"/>
          <w:lang w:val="en-GB"/>
        </w:rPr>
        <w:t xml:space="preserve"> (www.kurzy.cz)</w:t>
      </w:r>
    </w:p>
    <w:p w14:paraId="68A365E8" w14:textId="237F4C8F" w:rsidR="00994FCF" w:rsidRDefault="00994FCF" w:rsidP="00994FCF">
      <w:pPr>
        <w:spacing w:before="240" w:line="288" w:lineRule="auto"/>
        <w:ind w:right="70" w:firstLine="539"/>
        <w:jc w:val="both"/>
        <w:rPr>
          <w:rFonts w:ascii="Arial" w:hAnsi="Arial" w:cs="Arial"/>
          <w:i/>
          <w:sz w:val="20"/>
          <w:szCs w:val="20"/>
          <w:lang w:val="en-GB"/>
        </w:rPr>
      </w:pPr>
      <w:r w:rsidRPr="00994FCF">
        <w:rPr>
          <w:rFonts w:ascii="Arial" w:hAnsi="Arial" w:cs="Arial"/>
          <w:i/>
          <w:sz w:val="20"/>
          <w:szCs w:val="20"/>
          <w:lang w:val="en-GB"/>
        </w:rPr>
        <w:t xml:space="preserve">The </w:t>
      </w:r>
      <w:r w:rsidRPr="006E33A6">
        <w:rPr>
          <w:rFonts w:ascii="Arial" w:hAnsi="Arial" w:cs="Arial"/>
          <w:b/>
          <w:bCs/>
          <w:i/>
          <w:sz w:val="20"/>
          <w:szCs w:val="20"/>
          <w:lang w:val="en-GB"/>
        </w:rPr>
        <w:t>type of farming of a holding</w:t>
      </w:r>
      <w:r w:rsidRPr="00994FCF">
        <w:rPr>
          <w:rFonts w:ascii="Arial" w:hAnsi="Arial" w:cs="Arial"/>
          <w:i/>
          <w:sz w:val="20"/>
          <w:szCs w:val="20"/>
          <w:lang w:val="en-GB"/>
        </w:rPr>
        <w:t xml:space="preserve"> is determined by the relative contribution of the standard output of the different production </w:t>
      </w:r>
      <w:r w:rsidR="00880070">
        <w:rPr>
          <w:rFonts w:ascii="Arial" w:hAnsi="Arial" w:cs="Arial"/>
          <w:i/>
          <w:sz w:val="20"/>
          <w:szCs w:val="20"/>
          <w:lang w:val="en-GB"/>
        </w:rPr>
        <w:t>sectors</w:t>
      </w:r>
      <w:r w:rsidRPr="00994FCF">
        <w:rPr>
          <w:rFonts w:ascii="Arial" w:hAnsi="Arial" w:cs="Arial"/>
          <w:i/>
          <w:sz w:val="20"/>
          <w:szCs w:val="20"/>
          <w:lang w:val="en-GB"/>
        </w:rPr>
        <w:t xml:space="preserve"> of this holding to the total standard output of th</w:t>
      </w:r>
      <w:r w:rsidR="00880070">
        <w:rPr>
          <w:rFonts w:ascii="Arial" w:hAnsi="Arial" w:cs="Arial"/>
          <w:i/>
          <w:sz w:val="20"/>
          <w:szCs w:val="20"/>
          <w:lang w:val="en-GB"/>
        </w:rPr>
        <w:t>e holding</w:t>
      </w:r>
      <w:r w:rsidRPr="00994FCF">
        <w:rPr>
          <w:rFonts w:ascii="Arial" w:hAnsi="Arial" w:cs="Arial"/>
          <w:i/>
          <w:sz w:val="20"/>
          <w:szCs w:val="20"/>
          <w:lang w:val="en-GB"/>
        </w:rPr>
        <w:t>. The classification into the relevant production groups follows well-defined algorithms set out in Regulation 2015/220. These algorithms specify the share of each crop and livestock production sector</w:t>
      </w:r>
      <w:r w:rsidR="00880070">
        <w:rPr>
          <w:rFonts w:ascii="Arial" w:hAnsi="Arial" w:cs="Arial"/>
          <w:i/>
          <w:sz w:val="20"/>
          <w:szCs w:val="20"/>
          <w:lang w:val="en-GB"/>
        </w:rPr>
        <w:t xml:space="preserve"> in</w:t>
      </w:r>
      <w:r w:rsidRPr="00994FCF">
        <w:rPr>
          <w:rFonts w:ascii="Arial" w:hAnsi="Arial" w:cs="Arial"/>
          <w:i/>
          <w:sz w:val="20"/>
          <w:szCs w:val="20"/>
          <w:lang w:val="en-GB"/>
        </w:rPr>
        <w:t xml:space="preserve"> the total value of standard output for each type of production activity. There is a three-level classification system of farming types. This syst</w:t>
      </w:r>
      <w:r w:rsidR="006E33A6">
        <w:rPr>
          <w:rFonts w:ascii="Arial" w:hAnsi="Arial" w:cs="Arial"/>
          <w:i/>
          <w:sz w:val="20"/>
          <w:szCs w:val="20"/>
          <w:lang w:val="en-GB"/>
        </w:rPr>
        <w:t>e</w:t>
      </w:r>
      <w:r w:rsidRPr="00994FCF">
        <w:rPr>
          <w:rFonts w:ascii="Arial" w:hAnsi="Arial" w:cs="Arial"/>
          <w:i/>
          <w:sz w:val="20"/>
          <w:szCs w:val="20"/>
          <w:lang w:val="en-GB"/>
        </w:rPr>
        <w:t xml:space="preserve">m consists </w:t>
      </w:r>
      <w:r w:rsidR="006E33A6">
        <w:rPr>
          <w:rFonts w:ascii="Arial" w:hAnsi="Arial" w:cs="Arial"/>
          <w:i/>
          <w:sz w:val="20"/>
          <w:szCs w:val="20"/>
          <w:lang w:val="en-GB"/>
        </w:rPr>
        <w:t xml:space="preserve">of </w:t>
      </w:r>
      <w:r w:rsidRPr="00994FCF">
        <w:rPr>
          <w:rFonts w:ascii="Arial" w:hAnsi="Arial" w:cs="Arial"/>
          <w:i/>
          <w:sz w:val="20"/>
          <w:szCs w:val="20"/>
          <w:lang w:val="en-GB"/>
        </w:rPr>
        <w:t>9</w:t>
      </w:r>
      <w:r w:rsidR="006E33A6">
        <w:rPr>
          <w:rFonts w:ascii="Arial" w:hAnsi="Arial" w:cs="Arial"/>
          <w:i/>
          <w:sz w:val="20"/>
          <w:szCs w:val="20"/>
          <w:lang w:val="en-GB"/>
        </w:rPr>
        <w:t> </w:t>
      </w:r>
      <w:r w:rsidRPr="00994FCF">
        <w:rPr>
          <w:rFonts w:ascii="Arial" w:hAnsi="Arial" w:cs="Arial"/>
          <w:i/>
          <w:sz w:val="20"/>
          <w:szCs w:val="20"/>
          <w:lang w:val="en-GB"/>
        </w:rPr>
        <w:t>general types, 22</w:t>
      </w:r>
      <w:r w:rsidR="006E33A6">
        <w:rPr>
          <w:rFonts w:ascii="Arial" w:hAnsi="Arial" w:cs="Arial"/>
          <w:i/>
          <w:sz w:val="20"/>
          <w:szCs w:val="20"/>
          <w:lang w:val="en-GB"/>
        </w:rPr>
        <w:t> </w:t>
      </w:r>
      <w:r w:rsidRPr="00994FCF">
        <w:rPr>
          <w:rFonts w:ascii="Arial" w:hAnsi="Arial" w:cs="Arial"/>
          <w:i/>
          <w:sz w:val="20"/>
          <w:szCs w:val="20"/>
          <w:lang w:val="en-GB"/>
        </w:rPr>
        <w:t>main types and 62</w:t>
      </w:r>
      <w:r w:rsidR="006E33A6">
        <w:rPr>
          <w:rFonts w:ascii="Arial" w:hAnsi="Arial" w:cs="Arial"/>
          <w:i/>
          <w:sz w:val="20"/>
          <w:szCs w:val="20"/>
          <w:lang w:val="en-GB"/>
        </w:rPr>
        <w:t> </w:t>
      </w:r>
      <w:r w:rsidRPr="00994FCF">
        <w:rPr>
          <w:rFonts w:ascii="Arial" w:hAnsi="Arial" w:cs="Arial"/>
          <w:i/>
          <w:sz w:val="20"/>
          <w:szCs w:val="20"/>
          <w:lang w:val="en-GB"/>
        </w:rPr>
        <w:t>particular types of farming. A list of particular types of farming and the share of particular sectors of crop and animal products are given in Annexes A1 and A2.</w:t>
      </w:r>
    </w:p>
    <w:p w14:paraId="7950AF4B" w14:textId="379DF0DC" w:rsidR="00D35F61" w:rsidRDefault="00D35F61" w:rsidP="00D35F61">
      <w:pPr>
        <w:spacing w:before="240" w:line="288" w:lineRule="auto"/>
        <w:ind w:firstLine="539"/>
        <w:jc w:val="both"/>
        <w:rPr>
          <w:rFonts w:ascii="Arial" w:hAnsi="Arial" w:cs="Arial"/>
          <w:i/>
          <w:sz w:val="20"/>
          <w:szCs w:val="20"/>
          <w:lang w:val="en-GB"/>
        </w:rPr>
      </w:pPr>
      <w:r w:rsidRPr="00CA56E3">
        <w:rPr>
          <w:rFonts w:ascii="Arial" w:hAnsi="Arial" w:cs="Arial"/>
          <w:i/>
          <w:sz w:val="20"/>
          <w:szCs w:val="20"/>
          <w:lang w:val="en-GB"/>
        </w:rPr>
        <w:t>The category</w:t>
      </w:r>
      <w:r w:rsidRPr="00CA56E3">
        <w:rPr>
          <w:rFonts w:ascii="Arial" w:hAnsi="Arial" w:cs="Arial"/>
          <w:b/>
          <w:i/>
          <w:sz w:val="20"/>
          <w:szCs w:val="20"/>
          <w:lang w:val="en-GB"/>
        </w:rPr>
        <w:t xml:space="preserve"> “Other gainful activities (OGA)”</w:t>
      </w:r>
      <w:r w:rsidRPr="00CA56E3">
        <w:rPr>
          <w:rFonts w:ascii="Arial" w:hAnsi="Arial" w:cs="Arial"/>
          <w:i/>
          <w:sz w:val="20"/>
          <w:szCs w:val="20"/>
          <w:lang w:val="en-GB"/>
        </w:rPr>
        <w:t xml:space="preserve"> is a classification variable, which expresses the share of </w:t>
      </w:r>
      <w:r w:rsidRPr="00D35F61">
        <w:rPr>
          <w:rFonts w:ascii="Arial" w:hAnsi="Arial" w:cs="Arial"/>
          <w:i/>
          <w:sz w:val="20"/>
          <w:szCs w:val="20"/>
          <w:lang w:val="en-GB"/>
        </w:rPr>
        <w:t xml:space="preserve">non-agricultural gainful activities </w:t>
      </w:r>
      <w:r w:rsidR="00DD714A">
        <w:rPr>
          <w:rFonts w:ascii="Arial" w:hAnsi="Arial" w:cs="Arial"/>
          <w:i/>
          <w:sz w:val="20"/>
          <w:szCs w:val="20"/>
          <w:lang w:val="en-GB"/>
        </w:rPr>
        <w:t xml:space="preserve">in </w:t>
      </w:r>
      <w:r w:rsidRPr="00D35F61">
        <w:rPr>
          <w:rFonts w:ascii="Arial" w:hAnsi="Arial" w:cs="Arial"/>
          <w:i/>
          <w:sz w:val="20"/>
          <w:szCs w:val="20"/>
          <w:lang w:val="en-GB"/>
        </w:rPr>
        <w:t>the total output of the holding</w:t>
      </w:r>
      <w:r w:rsidRPr="00CA56E3">
        <w:rPr>
          <w:rFonts w:ascii="Arial" w:hAnsi="Arial" w:cs="Arial"/>
          <w:i/>
          <w:sz w:val="20"/>
          <w:szCs w:val="20"/>
          <w:lang w:val="en-GB"/>
        </w:rPr>
        <w:t xml:space="preserve">. It includes activities </w:t>
      </w:r>
      <w:r w:rsidR="00DD714A">
        <w:rPr>
          <w:rFonts w:ascii="Arial" w:hAnsi="Arial" w:cs="Arial"/>
          <w:i/>
          <w:sz w:val="20"/>
          <w:szCs w:val="20"/>
          <w:lang w:val="en-GB"/>
        </w:rPr>
        <w:t>that</w:t>
      </w:r>
      <w:r w:rsidRPr="00D35F61">
        <w:rPr>
          <w:rFonts w:ascii="Arial" w:hAnsi="Arial" w:cs="Arial"/>
          <w:i/>
          <w:sz w:val="20"/>
          <w:szCs w:val="20"/>
          <w:lang w:val="en-GB"/>
        </w:rPr>
        <w:t xml:space="preserve"> use the resources (land, buildings, machinery) or products of the holding, e.g. processing of </w:t>
      </w:r>
      <w:r>
        <w:rPr>
          <w:rFonts w:ascii="Arial" w:hAnsi="Arial" w:cs="Arial"/>
          <w:i/>
          <w:sz w:val="20"/>
          <w:szCs w:val="20"/>
          <w:lang w:val="en-GB"/>
        </w:rPr>
        <w:t>farm</w:t>
      </w:r>
      <w:r w:rsidRPr="00D35F61">
        <w:rPr>
          <w:rFonts w:ascii="Arial" w:hAnsi="Arial" w:cs="Arial"/>
          <w:i/>
          <w:sz w:val="20"/>
          <w:szCs w:val="20"/>
          <w:lang w:val="en-GB"/>
        </w:rPr>
        <w:t xml:space="preserve"> products, contract work using farm equipment, forestry, etc.</w:t>
      </w:r>
      <w:r>
        <w:rPr>
          <w:rFonts w:ascii="Arial" w:hAnsi="Arial" w:cs="Arial"/>
          <w:i/>
          <w:sz w:val="20"/>
          <w:szCs w:val="20"/>
          <w:lang w:val="en-GB"/>
        </w:rPr>
        <w:t xml:space="preserve"> </w:t>
      </w:r>
      <w:r w:rsidRPr="00D35F61">
        <w:rPr>
          <w:rFonts w:ascii="Arial" w:hAnsi="Arial" w:cs="Arial"/>
          <w:i/>
          <w:sz w:val="20"/>
          <w:szCs w:val="20"/>
          <w:lang w:val="en-GB"/>
        </w:rPr>
        <w:t xml:space="preserve">The share of </w:t>
      </w:r>
      <w:r>
        <w:rPr>
          <w:rFonts w:ascii="Arial" w:hAnsi="Arial" w:cs="Arial"/>
          <w:i/>
          <w:sz w:val="20"/>
          <w:szCs w:val="20"/>
          <w:lang w:val="en-GB"/>
        </w:rPr>
        <w:t>OGA</w:t>
      </w:r>
      <w:r w:rsidRPr="00D35F61">
        <w:rPr>
          <w:rFonts w:ascii="Arial" w:hAnsi="Arial" w:cs="Arial"/>
          <w:i/>
          <w:sz w:val="20"/>
          <w:szCs w:val="20"/>
          <w:lang w:val="en-GB"/>
        </w:rPr>
        <w:t xml:space="preserve"> is generally defined by the following formula</w:t>
      </w:r>
      <w:r w:rsidRPr="00CA56E3">
        <w:rPr>
          <w:rFonts w:ascii="Arial" w:hAnsi="Arial" w:cs="Arial"/>
          <w:i/>
          <w:sz w:val="20"/>
          <w:szCs w:val="20"/>
          <w:lang w:val="en-GB"/>
        </w:rPr>
        <w:t>:</w:t>
      </w:r>
    </w:p>
    <w:p w14:paraId="4479BE1B" w14:textId="77777777" w:rsidR="00E96117" w:rsidRPr="00CA56E3" w:rsidRDefault="00E96117" w:rsidP="00E96117">
      <w:pPr>
        <w:spacing w:before="120" w:line="288" w:lineRule="auto"/>
        <w:ind w:left="-180" w:firstLine="180"/>
        <w:jc w:val="both"/>
        <w:rPr>
          <w:rFonts w:ascii="Arial" w:hAnsi="Arial" w:cs="Arial"/>
          <w:b/>
          <w:i/>
          <w:sz w:val="20"/>
          <w:szCs w:val="20"/>
          <w:lang w:val="en-GB"/>
        </w:rPr>
      </w:pPr>
    </w:p>
    <w:p w14:paraId="0D7EFB50" w14:textId="77777777" w:rsidR="00E96117" w:rsidRPr="00CA56E3" w:rsidRDefault="00E96117" w:rsidP="00E96117">
      <w:pPr>
        <w:spacing w:before="120" w:after="100" w:afterAutospacing="1" w:line="288" w:lineRule="auto"/>
        <w:ind w:left="-57" w:firstLine="567"/>
        <w:jc w:val="center"/>
        <w:rPr>
          <w:rFonts w:ascii="Arial" w:hAnsi="Arial" w:cs="Arial"/>
          <w:i/>
          <w:sz w:val="20"/>
          <w:szCs w:val="20"/>
          <w:lang w:val="en-GB"/>
        </w:rPr>
      </w:pPr>
      <w:bookmarkStart w:id="2" w:name="_Hlk189142431"/>
      <m:oMathPara>
        <m:oMath>
          <m:r>
            <w:rPr>
              <w:rFonts w:ascii="Cambria Math" w:hAnsi="Cambria Math" w:cs="Arial"/>
              <w:sz w:val="20"/>
              <w:szCs w:val="20"/>
              <w:lang w:val="cs-CZ"/>
            </w:rPr>
            <m:t>Ratio</m:t>
          </m:r>
          <m:r>
            <w:rPr>
              <w:rFonts w:ascii="Cambria Math" w:hAnsi="Arial" w:cs="Arial"/>
              <w:sz w:val="20"/>
              <w:szCs w:val="20"/>
              <w:lang w:val="cs-CZ"/>
            </w:rPr>
            <m:t xml:space="preserve">= </m:t>
          </m:r>
          <m:f>
            <m:fPr>
              <m:ctrlPr>
                <w:rPr>
                  <w:rFonts w:ascii="Cambria Math" w:hAnsi="Arial" w:cs="Arial"/>
                  <w:i/>
                  <w:sz w:val="20"/>
                  <w:szCs w:val="20"/>
                  <w:lang w:val="cs-CZ"/>
                </w:rPr>
              </m:ctrlPr>
            </m:fPr>
            <m:num>
              <m:r>
                <w:rPr>
                  <w:rFonts w:ascii="Cambria Math" w:hAnsi="Cambria Math" w:cs="Arial"/>
                  <w:sz w:val="20"/>
                  <w:szCs w:val="20"/>
                  <w:lang w:val="cs-CZ"/>
                </w:rPr>
                <m:t>Turnover</m:t>
              </m:r>
              <m:r>
                <w:rPr>
                  <w:rFonts w:ascii="Cambria Math" w:hAnsi="Arial" w:cs="Arial"/>
                  <w:sz w:val="20"/>
                  <w:szCs w:val="20"/>
                  <w:lang w:val="cs-CZ"/>
                </w:rPr>
                <m:t xml:space="preserve"> </m:t>
              </m:r>
              <m:r>
                <w:rPr>
                  <w:rFonts w:ascii="Cambria Math" w:hAnsi="Cambria Math" w:cs="Arial"/>
                  <w:sz w:val="20"/>
                  <w:szCs w:val="20"/>
                  <w:lang w:val="cs-CZ"/>
                </w:rPr>
                <m:t>of</m:t>
              </m:r>
              <m:r>
                <w:rPr>
                  <w:rFonts w:ascii="Cambria Math" w:hAnsi="Arial" w:cs="Arial"/>
                  <w:sz w:val="20"/>
                  <w:szCs w:val="20"/>
                  <w:lang w:val="cs-CZ"/>
                </w:rPr>
                <m:t xml:space="preserve"> </m:t>
              </m:r>
              <m:r>
                <w:rPr>
                  <w:rFonts w:ascii="Cambria Math" w:hAnsi="Cambria Math" w:cs="Arial"/>
                  <w:sz w:val="20"/>
                  <w:szCs w:val="20"/>
                  <w:lang w:val="cs-CZ"/>
                </w:rPr>
                <m:t>other</m:t>
              </m:r>
              <m:r>
                <w:rPr>
                  <w:rFonts w:ascii="Cambria Math" w:hAnsi="Arial" w:cs="Arial"/>
                  <w:sz w:val="20"/>
                  <w:szCs w:val="20"/>
                  <w:lang w:val="cs-CZ"/>
                </w:rPr>
                <m:t xml:space="preserve"> </m:t>
              </m:r>
              <m:r>
                <w:rPr>
                  <w:rFonts w:ascii="Cambria Math" w:hAnsi="Cambria Math" w:cs="Arial"/>
                  <w:sz w:val="20"/>
                  <w:szCs w:val="20"/>
                  <w:lang w:val="cs-CZ"/>
                </w:rPr>
                <m:t>gainful</m:t>
              </m:r>
              <m:r>
                <w:rPr>
                  <w:rFonts w:ascii="Cambria Math" w:hAnsi="Arial" w:cs="Arial"/>
                  <w:sz w:val="20"/>
                  <w:szCs w:val="20"/>
                  <w:lang w:val="cs-CZ"/>
                </w:rPr>
                <m:t xml:space="preserve"> </m:t>
              </m:r>
              <m:r>
                <w:rPr>
                  <w:rFonts w:ascii="Cambria Math" w:hAnsi="Cambria Math" w:cs="Arial"/>
                  <w:sz w:val="20"/>
                  <w:szCs w:val="20"/>
                  <w:lang w:val="cs-CZ"/>
                </w:rPr>
                <m:t>activities</m:t>
              </m:r>
              <m:r>
                <w:rPr>
                  <w:rFonts w:ascii="Cambria Math" w:hAnsi="Arial" w:cs="Arial"/>
                  <w:sz w:val="20"/>
                  <w:szCs w:val="20"/>
                  <w:lang w:val="cs-CZ"/>
                </w:rPr>
                <m:t xml:space="preserve"> </m:t>
              </m:r>
              <m:r>
                <w:rPr>
                  <w:rFonts w:ascii="Cambria Math" w:hAnsi="Cambria Math" w:cs="Arial"/>
                  <w:sz w:val="20"/>
                  <w:szCs w:val="20"/>
                  <w:lang w:val="cs-CZ"/>
                </w:rPr>
                <m:t>related</m:t>
              </m:r>
              <m:r>
                <w:rPr>
                  <w:rFonts w:ascii="Cambria Math" w:hAnsi="Arial" w:cs="Arial"/>
                  <w:sz w:val="20"/>
                  <w:szCs w:val="20"/>
                  <w:lang w:val="cs-CZ"/>
                </w:rPr>
                <m:t xml:space="preserve"> </m:t>
              </m:r>
              <m:r>
                <w:rPr>
                  <w:rFonts w:ascii="Cambria Math" w:hAnsi="Cambria Math" w:cs="Arial"/>
                  <w:sz w:val="20"/>
                  <w:szCs w:val="20"/>
                  <w:lang w:val="cs-CZ"/>
                </w:rPr>
                <m:t>to</m:t>
              </m:r>
              <m:r>
                <w:rPr>
                  <w:rFonts w:ascii="Cambria Math" w:hAnsi="Arial" w:cs="Arial"/>
                  <w:sz w:val="20"/>
                  <w:szCs w:val="20"/>
                  <w:lang w:val="cs-CZ"/>
                </w:rPr>
                <m:t xml:space="preserve"> </m:t>
              </m:r>
              <m:r>
                <w:rPr>
                  <w:rFonts w:ascii="Cambria Math" w:hAnsi="Cambria Math" w:cs="Arial"/>
                  <w:sz w:val="20"/>
                  <w:szCs w:val="20"/>
                  <w:lang w:val="cs-CZ"/>
                </w:rPr>
                <m:t>the</m:t>
              </m:r>
              <m:r>
                <w:rPr>
                  <w:rFonts w:ascii="Cambria Math" w:hAnsi="Arial" w:cs="Arial"/>
                  <w:sz w:val="20"/>
                  <w:szCs w:val="20"/>
                  <w:lang w:val="cs-CZ"/>
                </w:rPr>
                <m:t xml:space="preserve"> </m:t>
              </m:r>
              <m:r>
                <w:rPr>
                  <w:rFonts w:ascii="Cambria Math" w:hAnsi="Cambria Math" w:cs="Arial"/>
                  <w:sz w:val="20"/>
                  <w:szCs w:val="20"/>
                  <w:lang w:val="cs-CZ"/>
                </w:rPr>
                <m:t>holding</m:t>
              </m:r>
            </m:num>
            <m:den>
              <m:r>
                <w:rPr>
                  <w:rFonts w:ascii="Cambria Math" w:hAnsi="Cambria Math" w:cs="Arial"/>
                  <w:sz w:val="20"/>
                  <w:szCs w:val="20"/>
                  <w:lang w:val="cs-CZ"/>
                </w:rPr>
                <m:t>Total</m:t>
              </m:r>
              <m:r>
                <w:rPr>
                  <w:rFonts w:ascii="Cambria Math" w:hAnsi="Arial" w:cs="Arial"/>
                  <w:sz w:val="20"/>
                  <w:szCs w:val="20"/>
                  <w:lang w:val="cs-CZ"/>
                </w:rPr>
                <m:t xml:space="preserve"> </m:t>
              </m:r>
              <m:r>
                <w:rPr>
                  <w:rFonts w:ascii="Cambria Math" w:hAnsi="Cambria Math" w:cs="Arial"/>
                  <w:sz w:val="20"/>
                  <w:szCs w:val="20"/>
                  <w:lang w:val="cs-CZ"/>
                </w:rPr>
                <m:t>holding</m:t>
              </m:r>
              <m:r>
                <w:rPr>
                  <w:rFonts w:ascii="Cambria Math" w:hAnsi="Arial" w:cs="Arial"/>
                  <w:sz w:val="20"/>
                  <w:szCs w:val="20"/>
                  <w:lang w:val="cs-CZ"/>
                </w:rPr>
                <m:t xml:space="preserve"> </m:t>
              </m:r>
              <m:r>
                <w:rPr>
                  <w:rFonts w:ascii="Cambria Math" w:hAnsi="Cambria Math" w:cs="Arial"/>
                  <w:sz w:val="20"/>
                  <w:szCs w:val="20"/>
                  <w:lang w:val="cs-CZ"/>
                </w:rPr>
                <m:t>turnover</m:t>
              </m:r>
              <m:r>
                <w:rPr>
                  <w:rFonts w:ascii="Cambria Math" w:hAnsi="Arial" w:cs="Arial"/>
                  <w:sz w:val="20"/>
                  <w:szCs w:val="20"/>
                  <w:lang w:val="cs-CZ"/>
                </w:rPr>
                <m:t xml:space="preserve"> </m:t>
              </m:r>
              <m:d>
                <m:dPr>
                  <m:ctrlPr>
                    <w:rPr>
                      <w:rFonts w:ascii="Cambria Math" w:hAnsi="Arial" w:cs="Arial"/>
                      <w:i/>
                      <w:sz w:val="20"/>
                      <w:szCs w:val="20"/>
                      <w:lang w:val="cs-CZ"/>
                    </w:rPr>
                  </m:ctrlPr>
                </m:dPr>
                <m:e>
                  <m:r>
                    <w:rPr>
                      <w:rFonts w:ascii="Cambria Math" w:hAnsi="Cambria Math" w:cs="Arial"/>
                      <w:sz w:val="20"/>
                      <w:szCs w:val="20"/>
                      <w:lang w:val="cs-CZ"/>
                    </w:rPr>
                    <m:t>agricultural</m:t>
                  </m:r>
                  <m:r>
                    <w:rPr>
                      <w:rFonts w:ascii="Cambria Math" w:hAnsi="Arial" w:cs="Arial"/>
                      <w:sz w:val="20"/>
                      <w:szCs w:val="20"/>
                      <w:lang w:val="cs-CZ"/>
                    </w:rPr>
                    <m:t>+</m:t>
                  </m:r>
                  <m:r>
                    <w:rPr>
                      <w:rFonts w:ascii="Cambria Math" w:hAnsi="Cambria Math" w:cs="Arial"/>
                      <w:sz w:val="20"/>
                      <w:szCs w:val="20"/>
                      <w:lang w:val="cs-CZ"/>
                    </w:rPr>
                    <m:t>OGA</m:t>
                  </m:r>
                  <m:r>
                    <w:rPr>
                      <w:rFonts w:ascii="Cambria Math" w:hAnsi="Arial" w:cs="Arial"/>
                      <w:sz w:val="20"/>
                      <w:szCs w:val="20"/>
                      <w:lang w:val="cs-CZ"/>
                    </w:rPr>
                    <m:t xml:space="preserve"> </m:t>
                  </m:r>
                  <m:r>
                    <w:rPr>
                      <w:rFonts w:ascii="Cambria Math" w:hAnsi="Cambria Math" w:cs="Arial"/>
                      <w:sz w:val="20"/>
                      <w:szCs w:val="20"/>
                      <w:lang w:val="cs-CZ"/>
                    </w:rPr>
                    <m:t>directly</m:t>
                  </m:r>
                  <m:r>
                    <w:rPr>
                      <w:rFonts w:ascii="Cambria Math" w:hAnsi="Arial" w:cs="Arial"/>
                      <w:sz w:val="20"/>
                      <w:szCs w:val="20"/>
                      <w:lang w:val="cs-CZ"/>
                    </w:rPr>
                    <m:t xml:space="preserve"> </m:t>
                  </m:r>
                  <m:r>
                    <w:rPr>
                      <w:rFonts w:ascii="Cambria Math" w:hAnsi="Cambria Math" w:cs="Arial"/>
                      <w:sz w:val="20"/>
                      <w:szCs w:val="20"/>
                      <w:lang w:val="cs-CZ"/>
                    </w:rPr>
                    <m:t>related</m:t>
                  </m:r>
                  <m:r>
                    <w:rPr>
                      <w:rFonts w:ascii="Cambria Math" w:hAnsi="Arial" w:cs="Arial"/>
                      <w:sz w:val="20"/>
                      <w:szCs w:val="20"/>
                      <w:lang w:val="cs-CZ"/>
                    </w:rPr>
                    <m:t xml:space="preserve"> </m:t>
                  </m:r>
                  <m:r>
                    <w:rPr>
                      <w:rFonts w:ascii="Cambria Math" w:hAnsi="Cambria Math" w:cs="Arial"/>
                      <w:sz w:val="20"/>
                      <w:szCs w:val="20"/>
                      <w:lang w:val="cs-CZ"/>
                    </w:rPr>
                    <m:t>to</m:t>
                  </m:r>
                  <m:r>
                    <w:rPr>
                      <w:rFonts w:ascii="Cambria Math" w:hAnsi="Arial" w:cs="Arial"/>
                      <w:sz w:val="20"/>
                      <w:szCs w:val="20"/>
                      <w:lang w:val="cs-CZ"/>
                    </w:rPr>
                    <m:t xml:space="preserve"> </m:t>
                  </m:r>
                  <m:r>
                    <w:rPr>
                      <w:rFonts w:ascii="Cambria Math" w:hAnsi="Cambria Math" w:cs="Arial"/>
                      <w:sz w:val="20"/>
                      <w:szCs w:val="20"/>
                      <w:lang w:val="cs-CZ"/>
                    </w:rPr>
                    <m:t>the</m:t>
                  </m:r>
                  <m:r>
                    <w:rPr>
                      <w:rFonts w:ascii="Cambria Math" w:hAnsi="Arial" w:cs="Arial"/>
                      <w:sz w:val="20"/>
                      <w:szCs w:val="20"/>
                      <w:lang w:val="cs-CZ"/>
                    </w:rPr>
                    <m:t xml:space="preserve"> </m:t>
                  </m:r>
                  <m:r>
                    <w:rPr>
                      <w:rFonts w:ascii="Cambria Math" w:hAnsi="Cambria Math" w:cs="Arial"/>
                      <w:sz w:val="20"/>
                      <w:szCs w:val="20"/>
                      <w:lang w:val="cs-CZ"/>
                    </w:rPr>
                    <m:t>holding</m:t>
                  </m:r>
                </m:e>
              </m:d>
              <m:r>
                <w:rPr>
                  <w:rFonts w:ascii="Cambria Math" w:hAnsi="Arial" w:cs="Arial"/>
                  <w:sz w:val="20"/>
                  <w:szCs w:val="20"/>
                  <w:lang w:val="cs-CZ"/>
                </w:rPr>
                <m:t>+</m:t>
              </m:r>
              <m:r>
                <w:rPr>
                  <w:rFonts w:ascii="Cambria Math" w:hAnsi="Cambria Math" w:cs="Arial"/>
                  <w:sz w:val="20"/>
                  <w:szCs w:val="20"/>
                  <w:lang w:val="cs-CZ"/>
                </w:rPr>
                <m:t>direct</m:t>
              </m:r>
              <m:r>
                <w:rPr>
                  <w:rFonts w:ascii="Cambria Math" w:hAnsi="Arial" w:cs="Arial"/>
                  <w:sz w:val="20"/>
                  <w:szCs w:val="20"/>
                  <w:lang w:val="cs-CZ"/>
                </w:rPr>
                <m:t xml:space="preserve"> </m:t>
              </m:r>
              <m:r>
                <w:rPr>
                  <w:rFonts w:ascii="Cambria Math" w:hAnsi="Cambria Math" w:cs="Arial"/>
                  <w:sz w:val="20"/>
                  <w:szCs w:val="20"/>
                  <w:lang w:val="cs-CZ"/>
                </w:rPr>
                <m:t>payments</m:t>
              </m:r>
            </m:den>
          </m:f>
        </m:oMath>
      </m:oMathPara>
      <w:bookmarkEnd w:id="2"/>
    </w:p>
    <w:p w14:paraId="6528152F" w14:textId="77777777" w:rsidR="0015239A" w:rsidRPr="00CA56E3" w:rsidRDefault="0015239A" w:rsidP="00E96117">
      <w:pPr>
        <w:spacing w:line="288" w:lineRule="auto"/>
        <w:jc w:val="both"/>
        <w:rPr>
          <w:rFonts w:ascii="Arial" w:hAnsi="Arial" w:cs="Arial"/>
          <w:i/>
          <w:sz w:val="20"/>
          <w:szCs w:val="20"/>
          <w:lang w:val="en-GB"/>
        </w:rPr>
      </w:pPr>
    </w:p>
    <w:p w14:paraId="48F9570A" w14:textId="38737C94" w:rsidR="00D35F61" w:rsidRDefault="00D35F61" w:rsidP="00D35F61">
      <w:pPr>
        <w:spacing w:line="288" w:lineRule="auto"/>
        <w:jc w:val="both"/>
        <w:rPr>
          <w:rFonts w:ascii="Arial" w:hAnsi="Arial" w:cs="Arial"/>
          <w:i/>
          <w:sz w:val="20"/>
          <w:szCs w:val="20"/>
          <w:lang w:val="en-GB"/>
        </w:rPr>
      </w:pPr>
      <w:r w:rsidRPr="00D35F61">
        <w:rPr>
          <w:rFonts w:ascii="Arial" w:hAnsi="Arial" w:cs="Arial"/>
          <w:i/>
          <w:sz w:val="20"/>
          <w:szCs w:val="20"/>
          <w:lang w:val="en-GB"/>
        </w:rPr>
        <w:t>Agricultural holdings are classified according to the share of other gainful activities. The thresholds for the share of other gainful activities are defined in the following table.</w:t>
      </w:r>
    </w:p>
    <w:p w14:paraId="29B06B3B" w14:textId="77777777" w:rsidR="00E96117" w:rsidRDefault="00E96117" w:rsidP="00E96117">
      <w:pPr>
        <w:spacing w:line="288" w:lineRule="auto"/>
        <w:jc w:val="both"/>
        <w:rPr>
          <w:rFonts w:ascii="Arial" w:hAnsi="Arial" w:cs="Arial"/>
          <w:bCs/>
          <w:i/>
          <w:sz w:val="20"/>
          <w:szCs w:val="20"/>
          <w:lang w:val="en-GB"/>
        </w:rPr>
      </w:pPr>
    </w:p>
    <w:p w14:paraId="58960F54" w14:textId="77777777" w:rsidR="0015239A" w:rsidRDefault="0015239A" w:rsidP="00E96117">
      <w:pPr>
        <w:spacing w:line="288" w:lineRule="auto"/>
        <w:jc w:val="both"/>
        <w:rPr>
          <w:rFonts w:ascii="Arial" w:hAnsi="Arial" w:cs="Arial"/>
          <w:bCs/>
          <w:i/>
          <w:sz w:val="20"/>
          <w:szCs w:val="20"/>
          <w:lang w:val="en-GB"/>
        </w:rPr>
      </w:pPr>
    </w:p>
    <w:p w14:paraId="411F3444" w14:textId="77777777" w:rsidR="0015239A" w:rsidRDefault="0015239A" w:rsidP="00E96117">
      <w:pPr>
        <w:spacing w:line="288" w:lineRule="auto"/>
        <w:jc w:val="both"/>
        <w:rPr>
          <w:rFonts w:ascii="Arial" w:hAnsi="Arial" w:cs="Arial"/>
          <w:bCs/>
          <w:i/>
          <w:sz w:val="20"/>
          <w:szCs w:val="20"/>
          <w:lang w:val="en-GB"/>
        </w:rPr>
      </w:pPr>
    </w:p>
    <w:p w14:paraId="555316FE" w14:textId="77777777" w:rsidR="0015239A" w:rsidRDefault="0015239A" w:rsidP="00E96117">
      <w:pPr>
        <w:spacing w:line="288" w:lineRule="auto"/>
        <w:jc w:val="both"/>
        <w:rPr>
          <w:rFonts w:ascii="Arial" w:hAnsi="Arial" w:cs="Arial"/>
          <w:bCs/>
          <w:i/>
          <w:sz w:val="20"/>
          <w:szCs w:val="20"/>
          <w:lang w:val="en-GB"/>
        </w:rPr>
      </w:pPr>
    </w:p>
    <w:p w14:paraId="4EC0046D" w14:textId="77777777" w:rsidR="0015239A" w:rsidRPr="00E96117" w:rsidRDefault="0015239A" w:rsidP="00E96117">
      <w:pPr>
        <w:spacing w:line="288" w:lineRule="auto"/>
        <w:jc w:val="both"/>
        <w:rPr>
          <w:rFonts w:ascii="Arial" w:hAnsi="Arial" w:cs="Arial"/>
          <w:bCs/>
          <w:i/>
          <w:sz w:val="20"/>
          <w:szCs w:val="20"/>
          <w:lang w:val="en-GB"/>
        </w:rPr>
      </w:pPr>
    </w:p>
    <w:p w14:paraId="3B1E1E3B" w14:textId="381EE9FF" w:rsidR="00D35F61" w:rsidRDefault="00D35F61" w:rsidP="00D35F61">
      <w:pPr>
        <w:spacing w:line="288" w:lineRule="auto"/>
        <w:jc w:val="both"/>
        <w:rPr>
          <w:rFonts w:ascii="Arial" w:hAnsi="Arial" w:cs="Arial"/>
          <w:b/>
          <w:i/>
          <w:sz w:val="20"/>
          <w:szCs w:val="20"/>
          <w:lang w:val="en-GB"/>
        </w:rPr>
      </w:pPr>
      <w:r w:rsidRPr="00CA56E3">
        <w:rPr>
          <w:rFonts w:ascii="Arial" w:hAnsi="Arial" w:cs="Arial"/>
          <w:b/>
          <w:i/>
          <w:sz w:val="20"/>
          <w:szCs w:val="20"/>
          <w:lang w:val="en-GB"/>
        </w:rPr>
        <w:t xml:space="preserve">Table 2: </w:t>
      </w:r>
      <w:r w:rsidR="0040755E" w:rsidRPr="0040755E">
        <w:rPr>
          <w:rFonts w:ascii="Arial" w:hAnsi="Arial" w:cs="Arial"/>
          <w:b/>
          <w:i/>
          <w:sz w:val="20"/>
          <w:szCs w:val="20"/>
          <w:lang w:val="en-GB"/>
        </w:rPr>
        <w:t xml:space="preserve">Classes of significance of other gainful activities </w:t>
      </w:r>
      <w:r w:rsidR="00DD714A">
        <w:rPr>
          <w:rFonts w:ascii="Arial" w:hAnsi="Arial" w:cs="Arial"/>
          <w:b/>
          <w:i/>
          <w:sz w:val="20"/>
          <w:szCs w:val="20"/>
          <w:lang w:val="en-GB"/>
        </w:rPr>
        <w:t xml:space="preserve">related to </w:t>
      </w:r>
      <w:r w:rsidR="0040755E" w:rsidRPr="0040755E">
        <w:rPr>
          <w:rFonts w:ascii="Arial" w:hAnsi="Arial" w:cs="Arial"/>
          <w:b/>
          <w:i/>
          <w:sz w:val="20"/>
          <w:szCs w:val="20"/>
          <w:lang w:val="en-GB"/>
        </w:rPr>
        <w:t>the holding</w:t>
      </w:r>
    </w:p>
    <w:tbl>
      <w:tblPr>
        <w:tblW w:w="5000" w:type="pct"/>
        <w:tblCellMar>
          <w:left w:w="70" w:type="dxa"/>
          <w:right w:w="70" w:type="dxa"/>
        </w:tblCellMar>
        <w:tblLook w:val="0000" w:firstRow="0" w:lastRow="0" w:firstColumn="0" w:lastColumn="0" w:noHBand="0" w:noVBand="0"/>
      </w:tblPr>
      <w:tblGrid>
        <w:gridCol w:w="3248"/>
        <w:gridCol w:w="6360"/>
      </w:tblGrid>
      <w:tr w:rsidR="00E96117" w:rsidRPr="00CA56E3" w14:paraId="26499E91" w14:textId="77777777" w:rsidTr="00F61C34">
        <w:trPr>
          <w:trHeight w:val="270"/>
        </w:trPr>
        <w:tc>
          <w:tcPr>
            <w:tcW w:w="1690" w:type="pct"/>
            <w:tcBorders>
              <w:top w:val="double" w:sz="4" w:space="0" w:color="auto"/>
              <w:left w:val="double" w:sz="4" w:space="0" w:color="auto"/>
              <w:bottom w:val="double" w:sz="4" w:space="0" w:color="auto"/>
              <w:right w:val="single" w:sz="4" w:space="0" w:color="auto"/>
            </w:tcBorders>
            <w:shd w:val="clear" w:color="auto" w:fill="auto"/>
            <w:noWrap/>
            <w:vAlign w:val="bottom"/>
          </w:tcPr>
          <w:p w14:paraId="1A8FF9DA" w14:textId="77777777" w:rsidR="00E96117" w:rsidRPr="00CA56E3" w:rsidRDefault="00E96117" w:rsidP="00F61C34">
            <w:pPr>
              <w:spacing w:line="288" w:lineRule="auto"/>
              <w:jc w:val="center"/>
              <w:rPr>
                <w:rFonts w:ascii="Arial" w:hAnsi="Arial" w:cs="Arial"/>
                <w:i/>
                <w:sz w:val="20"/>
                <w:szCs w:val="20"/>
                <w:lang w:val="en-GB"/>
              </w:rPr>
            </w:pPr>
            <w:r w:rsidRPr="00CA56E3">
              <w:rPr>
                <w:rFonts w:ascii="Arial" w:hAnsi="Arial" w:cs="Arial"/>
                <w:i/>
                <w:sz w:val="20"/>
                <w:szCs w:val="20"/>
                <w:lang w:val="en-GB"/>
              </w:rPr>
              <w:t>Classes</w:t>
            </w:r>
          </w:p>
        </w:tc>
        <w:tc>
          <w:tcPr>
            <w:tcW w:w="3310" w:type="pct"/>
            <w:tcBorders>
              <w:top w:val="double" w:sz="4" w:space="0" w:color="auto"/>
              <w:left w:val="nil"/>
              <w:bottom w:val="double" w:sz="4" w:space="0" w:color="auto"/>
              <w:right w:val="double" w:sz="4" w:space="0" w:color="auto"/>
            </w:tcBorders>
            <w:shd w:val="clear" w:color="auto" w:fill="auto"/>
            <w:noWrap/>
            <w:vAlign w:val="bottom"/>
          </w:tcPr>
          <w:p w14:paraId="2070E68E" w14:textId="77777777" w:rsidR="00E96117" w:rsidRPr="00CA56E3" w:rsidRDefault="00E96117" w:rsidP="00F61C34">
            <w:pPr>
              <w:spacing w:line="288" w:lineRule="auto"/>
              <w:jc w:val="center"/>
              <w:rPr>
                <w:rFonts w:ascii="Arial" w:hAnsi="Arial" w:cs="Arial"/>
                <w:i/>
                <w:sz w:val="20"/>
                <w:szCs w:val="20"/>
                <w:lang w:val="en-GB"/>
              </w:rPr>
            </w:pPr>
            <w:r w:rsidRPr="00CA56E3">
              <w:rPr>
                <w:rFonts w:ascii="Arial" w:hAnsi="Arial" w:cs="Arial"/>
                <w:i/>
                <w:sz w:val="20"/>
                <w:szCs w:val="20"/>
                <w:lang w:val="en-GB"/>
              </w:rPr>
              <w:t>Limits of OGA share</w:t>
            </w:r>
          </w:p>
        </w:tc>
      </w:tr>
      <w:tr w:rsidR="00E96117" w:rsidRPr="00CA56E3" w14:paraId="736F531B" w14:textId="77777777" w:rsidTr="00F61C34">
        <w:trPr>
          <w:trHeight w:val="255"/>
        </w:trPr>
        <w:tc>
          <w:tcPr>
            <w:tcW w:w="1690" w:type="pct"/>
            <w:tcBorders>
              <w:top w:val="double" w:sz="4" w:space="0" w:color="auto"/>
              <w:left w:val="double" w:sz="4" w:space="0" w:color="auto"/>
              <w:bottom w:val="single" w:sz="4" w:space="0" w:color="auto"/>
              <w:right w:val="single" w:sz="4" w:space="0" w:color="auto"/>
            </w:tcBorders>
            <w:shd w:val="clear" w:color="auto" w:fill="auto"/>
            <w:noWrap/>
            <w:vAlign w:val="bottom"/>
          </w:tcPr>
          <w:p w14:paraId="7154F75D" w14:textId="77777777" w:rsidR="00E96117" w:rsidRPr="00CA56E3" w:rsidRDefault="00E96117" w:rsidP="00F61C34">
            <w:pPr>
              <w:spacing w:line="288" w:lineRule="auto"/>
              <w:jc w:val="center"/>
              <w:rPr>
                <w:rFonts w:ascii="Arial" w:hAnsi="Arial" w:cs="Arial"/>
                <w:i/>
                <w:sz w:val="20"/>
                <w:szCs w:val="20"/>
                <w:lang w:val="en-GB"/>
              </w:rPr>
            </w:pPr>
            <w:r w:rsidRPr="00CA56E3">
              <w:rPr>
                <w:rFonts w:ascii="Arial" w:hAnsi="Arial" w:cs="Arial"/>
                <w:i/>
                <w:sz w:val="20"/>
                <w:szCs w:val="20"/>
                <w:lang w:val="en-GB"/>
              </w:rPr>
              <w:t>I</w:t>
            </w:r>
          </w:p>
        </w:tc>
        <w:tc>
          <w:tcPr>
            <w:tcW w:w="3310" w:type="pct"/>
            <w:tcBorders>
              <w:top w:val="double" w:sz="4" w:space="0" w:color="auto"/>
              <w:left w:val="nil"/>
              <w:bottom w:val="single" w:sz="4" w:space="0" w:color="auto"/>
              <w:right w:val="double" w:sz="4" w:space="0" w:color="auto"/>
            </w:tcBorders>
            <w:shd w:val="clear" w:color="auto" w:fill="auto"/>
            <w:noWrap/>
            <w:vAlign w:val="bottom"/>
          </w:tcPr>
          <w:p w14:paraId="63A2B10E" w14:textId="77777777" w:rsidR="00E96117" w:rsidRPr="00CA56E3" w:rsidRDefault="00E96117" w:rsidP="00F61C34">
            <w:pPr>
              <w:spacing w:line="288" w:lineRule="auto"/>
              <w:rPr>
                <w:rFonts w:ascii="Arial" w:hAnsi="Arial" w:cs="Arial"/>
                <w:i/>
                <w:sz w:val="20"/>
                <w:szCs w:val="20"/>
                <w:lang w:val="en-GB"/>
              </w:rPr>
            </w:pPr>
            <w:r w:rsidRPr="00CA56E3">
              <w:rPr>
                <w:rFonts w:ascii="Arial" w:hAnsi="Arial" w:cs="Arial"/>
                <w:i/>
                <w:sz w:val="20"/>
                <w:szCs w:val="20"/>
                <w:lang w:val="en-GB"/>
              </w:rPr>
              <w:t>From 0% to 10% (marginal share)</w:t>
            </w:r>
          </w:p>
        </w:tc>
      </w:tr>
      <w:tr w:rsidR="00E96117" w:rsidRPr="00CA56E3" w14:paraId="19F796E2" w14:textId="77777777" w:rsidTr="00F61C34">
        <w:trPr>
          <w:trHeight w:val="255"/>
        </w:trPr>
        <w:tc>
          <w:tcPr>
            <w:tcW w:w="1690" w:type="pct"/>
            <w:tcBorders>
              <w:top w:val="nil"/>
              <w:left w:val="double" w:sz="4" w:space="0" w:color="auto"/>
              <w:bottom w:val="single" w:sz="4" w:space="0" w:color="auto"/>
              <w:right w:val="single" w:sz="4" w:space="0" w:color="auto"/>
            </w:tcBorders>
            <w:shd w:val="clear" w:color="auto" w:fill="auto"/>
            <w:noWrap/>
            <w:vAlign w:val="bottom"/>
          </w:tcPr>
          <w:p w14:paraId="10D417AA" w14:textId="77777777" w:rsidR="00E96117" w:rsidRPr="00CA56E3" w:rsidRDefault="00E96117" w:rsidP="00F61C34">
            <w:pPr>
              <w:spacing w:line="288" w:lineRule="auto"/>
              <w:jc w:val="center"/>
              <w:rPr>
                <w:rFonts w:ascii="Arial" w:hAnsi="Arial" w:cs="Arial"/>
                <w:i/>
                <w:sz w:val="20"/>
                <w:szCs w:val="20"/>
                <w:lang w:val="en-GB"/>
              </w:rPr>
            </w:pPr>
            <w:r w:rsidRPr="00CA56E3">
              <w:rPr>
                <w:rFonts w:ascii="Arial" w:hAnsi="Arial" w:cs="Arial"/>
                <w:i/>
                <w:sz w:val="20"/>
                <w:szCs w:val="20"/>
                <w:lang w:val="en-GB"/>
              </w:rPr>
              <w:t>II</w:t>
            </w:r>
          </w:p>
        </w:tc>
        <w:tc>
          <w:tcPr>
            <w:tcW w:w="3310" w:type="pct"/>
            <w:tcBorders>
              <w:top w:val="nil"/>
              <w:left w:val="nil"/>
              <w:bottom w:val="single" w:sz="4" w:space="0" w:color="auto"/>
              <w:right w:val="double" w:sz="4" w:space="0" w:color="auto"/>
            </w:tcBorders>
            <w:shd w:val="clear" w:color="auto" w:fill="auto"/>
            <w:noWrap/>
            <w:vAlign w:val="bottom"/>
          </w:tcPr>
          <w:p w14:paraId="339C9B1E" w14:textId="77777777" w:rsidR="00E96117" w:rsidRPr="00CA56E3" w:rsidRDefault="00E96117" w:rsidP="00F61C34">
            <w:pPr>
              <w:spacing w:line="288" w:lineRule="auto"/>
              <w:rPr>
                <w:rFonts w:ascii="Arial" w:hAnsi="Arial" w:cs="Arial"/>
                <w:i/>
                <w:sz w:val="20"/>
                <w:szCs w:val="20"/>
                <w:lang w:val="en-GB"/>
              </w:rPr>
            </w:pPr>
            <w:r w:rsidRPr="00CA56E3">
              <w:rPr>
                <w:rFonts w:ascii="Arial" w:hAnsi="Arial" w:cs="Arial"/>
                <w:i/>
                <w:sz w:val="20"/>
                <w:szCs w:val="20"/>
                <w:lang w:val="en-GB"/>
              </w:rPr>
              <w:t>From more than 10% to 50% (medium share)</w:t>
            </w:r>
          </w:p>
        </w:tc>
      </w:tr>
      <w:tr w:rsidR="00E96117" w:rsidRPr="00CA56E3" w14:paraId="09C3ACAC" w14:textId="77777777" w:rsidTr="00F61C34">
        <w:trPr>
          <w:trHeight w:val="270"/>
        </w:trPr>
        <w:tc>
          <w:tcPr>
            <w:tcW w:w="1690" w:type="pct"/>
            <w:tcBorders>
              <w:top w:val="nil"/>
              <w:left w:val="double" w:sz="4" w:space="0" w:color="auto"/>
              <w:bottom w:val="double" w:sz="4" w:space="0" w:color="auto"/>
              <w:right w:val="single" w:sz="4" w:space="0" w:color="auto"/>
            </w:tcBorders>
            <w:shd w:val="clear" w:color="auto" w:fill="auto"/>
            <w:noWrap/>
            <w:vAlign w:val="bottom"/>
          </w:tcPr>
          <w:p w14:paraId="4A640C6E" w14:textId="77777777" w:rsidR="00E96117" w:rsidRPr="00CA56E3" w:rsidRDefault="00E96117" w:rsidP="00F61C34">
            <w:pPr>
              <w:spacing w:line="288" w:lineRule="auto"/>
              <w:jc w:val="center"/>
              <w:rPr>
                <w:rFonts w:ascii="Arial" w:hAnsi="Arial" w:cs="Arial"/>
                <w:i/>
                <w:sz w:val="20"/>
                <w:szCs w:val="20"/>
                <w:lang w:val="en-GB"/>
              </w:rPr>
            </w:pPr>
            <w:r w:rsidRPr="00CA56E3">
              <w:rPr>
                <w:rFonts w:ascii="Arial" w:hAnsi="Arial" w:cs="Arial"/>
                <w:i/>
                <w:sz w:val="20"/>
                <w:szCs w:val="20"/>
                <w:lang w:val="en-GB"/>
              </w:rPr>
              <w:t>III</w:t>
            </w:r>
          </w:p>
        </w:tc>
        <w:tc>
          <w:tcPr>
            <w:tcW w:w="3310" w:type="pct"/>
            <w:tcBorders>
              <w:top w:val="nil"/>
              <w:left w:val="nil"/>
              <w:bottom w:val="double" w:sz="4" w:space="0" w:color="auto"/>
              <w:right w:val="double" w:sz="4" w:space="0" w:color="auto"/>
            </w:tcBorders>
            <w:shd w:val="clear" w:color="auto" w:fill="auto"/>
            <w:noWrap/>
            <w:vAlign w:val="bottom"/>
          </w:tcPr>
          <w:p w14:paraId="7B3DB7DE" w14:textId="77777777" w:rsidR="00E96117" w:rsidRPr="00CA56E3" w:rsidRDefault="00E96117" w:rsidP="00F61C34">
            <w:pPr>
              <w:spacing w:line="288" w:lineRule="auto"/>
              <w:rPr>
                <w:rFonts w:ascii="Arial" w:hAnsi="Arial" w:cs="Arial"/>
                <w:i/>
                <w:sz w:val="20"/>
                <w:szCs w:val="20"/>
                <w:lang w:val="en-GB"/>
              </w:rPr>
            </w:pPr>
            <w:r w:rsidRPr="00CA56E3">
              <w:rPr>
                <w:rFonts w:ascii="Arial" w:hAnsi="Arial" w:cs="Arial"/>
                <w:i/>
                <w:sz w:val="20"/>
                <w:szCs w:val="20"/>
                <w:lang w:val="en-GB"/>
              </w:rPr>
              <w:t>From more than 50% to less than 100% (significant share)</w:t>
            </w:r>
          </w:p>
        </w:tc>
      </w:tr>
    </w:tbl>
    <w:p w14:paraId="7CD7DC11" w14:textId="77777777" w:rsidR="00E96117" w:rsidRPr="00CA56E3" w:rsidRDefault="00E96117" w:rsidP="0040755E">
      <w:pPr>
        <w:spacing w:before="240" w:line="288" w:lineRule="auto"/>
        <w:ind w:right="70"/>
        <w:jc w:val="both"/>
        <w:rPr>
          <w:rFonts w:ascii="Arial" w:hAnsi="Arial" w:cs="Arial"/>
          <w:i/>
          <w:sz w:val="20"/>
          <w:szCs w:val="20"/>
          <w:lang w:val="en-GB"/>
        </w:rPr>
      </w:pPr>
    </w:p>
    <w:sectPr w:rsidR="00E96117" w:rsidRPr="00CA56E3" w:rsidSect="002548CE">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68B0" w14:textId="77777777" w:rsidR="00B135A7" w:rsidRDefault="00B135A7">
      <w:r>
        <w:separator/>
      </w:r>
    </w:p>
  </w:endnote>
  <w:endnote w:type="continuationSeparator" w:id="0">
    <w:p w14:paraId="6E98EA25" w14:textId="77777777" w:rsidR="00B135A7" w:rsidRDefault="00B1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DADD" w14:textId="590628F4" w:rsidR="002548CE" w:rsidRPr="002548CE" w:rsidRDefault="002548CE" w:rsidP="002548CE">
    <w:pPr>
      <w:tabs>
        <w:tab w:val="center" w:pos="4820"/>
        <w:tab w:val="right" w:pos="9639"/>
      </w:tabs>
      <w:rPr>
        <w:rFonts w:ascii="Arial" w:eastAsia="Calibri" w:hAnsi="Arial" w:cs="Arial"/>
        <w:noProof/>
        <w:sz w:val="16"/>
        <w:szCs w:val="16"/>
        <w:lang w:val="cs-CZ" w:eastAsia="en-US"/>
      </w:rPr>
    </w:pPr>
    <w:r w:rsidRPr="002548CE">
      <w:rPr>
        <w:rFonts w:ascii="Arial" w:eastAsia="Calibri" w:hAnsi="Arial" w:cs="Arial"/>
        <w:noProof/>
        <w:sz w:val="16"/>
        <w:szCs w:val="16"/>
        <w:lang w:val="cs-CZ"/>
      </w:rPr>
      <w:drawing>
        <wp:anchor distT="0" distB="0" distL="114300" distR="114300" simplePos="0" relativeHeight="251661312" behindDoc="0" locked="0" layoutInCell="1" allowOverlap="1" wp14:anchorId="64E117B1" wp14:editId="2A56BF1D">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8CE">
      <w:rPr>
        <w:rFonts w:ascii="Arial" w:eastAsia="Calibri" w:hAnsi="Arial" w:cs="Arial"/>
        <w:noProof/>
        <w:sz w:val="16"/>
        <w:szCs w:val="16"/>
        <w:lang w:val="cs-CZ" w:eastAsia="en-US"/>
      </w:rPr>
      <w:fldChar w:fldCharType="begin"/>
    </w:r>
    <w:r w:rsidRPr="002548CE">
      <w:rPr>
        <w:rFonts w:ascii="Arial" w:eastAsia="Calibri" w:hAnsi="Arial" w:cs="Arial"/>
        <w:noProof/>
        <w:sz w:val="16"/>
        <w:szCs w:val="16"/>
        <w:lang w:val="cs-CZ" w:eastAsia="en-US"/>
      </w:rPr>
      <w:instrText>PAGE   \* MERGEFORMAT</w:instrText>
    </w:r>
    <w:r w:rsidRPr="002548CE">
      <w:rPr>
        <w:rFonts w:ascii="Arial" w:eastAsia="Calibri" w:hAnsi="Arial" w:cs="Arial"/>
        <w:noProof/>
        <w:sz w:val="16"/>
        <w:szCs w:val="16"/>
        <w:lang w:val="cs-CZ" w:eastAsia="en-US"/>
      </w:rPr>
      <w:fldChar w:fldCharType="separate"/>
    </w:r>
    <w:r w:rsidR="00FF3B10">
      <w:rPr>
        <w:rFonts w:ascii="Arial" w:eastAsia="Calibri" w:hAnsi="Arial" w:cs="Arial"/>
        <w:noProof/>
        <w:sz w:val="16"/>
        <w:szCs w:val="16"/>
        <w:lang w:val="cs-CZ" w:eastAsia="en-US"/>
      </w:rPr>
      <w:t>2</w:t>
    </w:r>
    <w:r w:rsidRPr="002548CE">
      <w:rPr>
        <w:rFonts w:ascii="Arial" w:eastAsia="Calibri" w:hAnsi="Arial" w:cs="Arial"/>
        <w:noProof/>
        <w:sz w:val="16"/>
        <w:szCs w:val="16"/>
        <w:lang w:val="cs-CZ" w:eastAsia="en-US"/>
      </w:rPr>
      <w:fldChar w:fldCharType="end"/>
    </w:r>
    <w:r w:rsidRPr="002548CE">
      <w:rPr>
        <w:rFonts w:ascii="Arial" w:eastAsia="Calibri" w:hAnsi="Arial" w:cs="Arial"/>
        <w:noProof/>
        <w:sz w:val="16"/>
        <w:szCs w:val="16"/>
        <w:lang w:val="cs-CZ" w:eastAsia="en-US"/>
      </w:rPr>
      <w:ta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2465" w14:textId="1C4E1DD6" w:rsidR="002548CE" w:rsidRPr="00934162" w:rsidRDefault="002548CE" w:rsidP="002548CE">
    <w:pPr>
      <w:tabs>
        <w:tab w:val="center" w:pos="4820"/>
        <w:tab w:val="right" w:pos="9639"/>
      </w:tabs>
      <w:rPr>
        <w:rFonts w:ascii="Arial" w:eastAsia="Calibri" w:hAnsi="Arial" w:cs="Arial"/>
        <w:noProof/>
        <w:sz w:val="16"/>
        <w:szCs w:val="16"/>
        <w:lang w:val="cs-CZ" w:eastAsia="en-US"/>
      </w:rPr>
    </w:pPr>
    <w:r w:rsidRPr="00934162">
      <w:rPr>
        <w:rFonts w:ascii="Arial" w:eastAsia="Calibri" w:hAnsi="Arial" w:cs="Arial"/>
        <w:noProof/>
        <w:sz w:val="16"/>
        <w:szCs w:val="16"/>
        <w:lang w:val="cs-CZ"/>
      </w:rPr>
      <w:drawing>
        <wp:anchor distT="0" distB="0" distL="114300" distR="114300" simplePos="0" relativeHeight="251659264" behindDoc="0" locked="0" layoutInCell="1" allowOverlap="1" wp14:anchorId="380307EA" wp14:editId="675371F3">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162">
      <w:rPr>
        <w:rFonts w:ascii="Arial" w:eastAsia="Calibri" w:hAnsi="Arial" w:cs="Arial"/>
        <w:noProof/>
        <w:sz w:val="16"/>
        <w:szCs w:val="16"/>
        <w:lang w:val="cs-CZ" w:eastAsia="en-US"/>
      </w:rPr>
      <w:tab/>
      <w:t>2023</w:t>
    </w:r>
    <w:r w:rsidRPr="00934162">
      <w:rPr>
        <w:rFonts w:ascii="Arial" w:eastAsia="Calibri" w:hAnsi="Arial" w:cs="Arial"/>
        <w:noProof/>
        <w:sz w:val="16"/>
        <w:szCs w:val="16"/>
        <w:lang w:val="cs-CZ" w:eastAsia="en-US"/>
      </w:rPr>
      <w:tab/>
    </w:r>
    <w:r w:rsidRPr="00934162">
      <w:rPr>
        <w:rFonts w:ascii="Arial" w:eastAsia="Calibri" w:hAnsi="Arial" w:cs="Arial"/>
        <w:noProof/>
        <w:sz w:val="16"/>
        <w:szCs w:val="16"/>
        <w:lang w:val="cs-CZ" w:eastAsia="en-US"/>
      </w:rPr>
      <w:fldChar w:fldCharType="begin"/>
    </w:r>
    <w:r w:rsidRPr="00934162">
      <w:rPr>
        <w:rFonts w:ascii="Arial" w:eastAsia="Calibri" w:hAnsi="Arial" w:cs="Arial"/>
        <w:noProof/>
        <w:sz w:val="16"/>
        <w:szCs w:val="16"/>
        <w:lang w:val="cs-CZ" w:eastAsia="en-US"/>
      </w:rPr>
      <w:instrText>PAGE   \* MERGEFORMAT</w:instrText>
    </w:r>
    <w:r w:rsidRPr="00934162">
      <w:rPr>
        <w:rFonts w:ascii="Arial" w:eastAsia="Calibri" w:hAnsi="Arial" w:cs="Arial"/>
        <w:noProof/>
        <w:sz w:val="16"/>
        <w:szCs w:val="16"/>
        <w:lang w:val="cs-CZ" w:eastAsia="en-US"/>
      </w:rPr>
      <w:fldChar w:fldCharType="separate"/>
    </w:r>
    <w:r w:rsidR="00FF3B10">
      <w:rPr>
        <w:rFonts w:ascii="Arial" w:eastAsia="Calibri" w:hAnsi="Arial" w:cs="Arial"/>
        <w:noProof/>
        <w:sz w:val="16"/>
        <w:szCs w:val="16"/>
        <w:lang w:val="cs-CZ" w:eastAsia="en-US"/>
      </w:rPr>
      <w:t>3</w:t>
    </w:r>
    <w:r w:rsidRPr="00934162">
      <w:rPr>
        <w:rFonts w:ascii="Arial" w:eastAsia="Calibri" w:hAnsi="Arial" w:cs="Arial"/>
        <w:noProof/>
        <w:sz w:val="16"/>
        <w:szCs w:val="16"/>
        <w:lang w:val="cs-CZ"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54FA" w14:textId="77777777" w:rsidR="00223B4E" w:rsidRDefault="00223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C382" w14:textId="77777777" w:rsidR="00B135A7" w:rsidRDefault="00B135A7">
      <w:r>
        <w:separator/>
      </w:r>
    </w:p>
  </w:footnote>
  <w:footnote w:type="continuationSeparator" w:id="0">
    <w:p w14:paraId="5FA4101B" w14:textId="77777777" w:rsidR="00B135A7" w:rsidRDefault="00B1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EFE" w14:textId="77777777" w:rsidR="00223B4E" w:rsidRPr="00223B4E" w:rsidRDefault="00223B4E" w:rsidP="00223B4E">
    <w:pPr>
      <w:pStyle w:val="Zhlav"/>
      <w:rPr>
        <w:rFonts w:ascii="Arial" w:hAnsi="Arial" w:cs="Arial"/>
        <w:sz w:val="16"/>
        <w:szCs w:val="16"/>
      </w:rPr>
    </w:pPr>
    <w:proofErr w:type="spellStart"/>
    <w:r w:rsidRPr="00223B4E">
      <w:rPr>
        <w:rFonts w:ascii="Arial" w:hAnsi="Arial" w:cs="Arial"/>
        <w:sz w:val="16"/>
        <w:szCs w:val="16"/>
      </w:rPr>
      <w:t>Integrované</w:t>
    </w:r>
    <w:proofErr w:type="spellEnd"/>
    <w:r w:rsidRPr="00223B4E">
      <w:rPr>
        <w:rFonts w:ascii="Arial" w:hAnsi="Arial" w:cs="Arial"/>
        <w:sz w:val="16"/>
        <w:szCs w:val="16"/>
      </w:rPr>
      <w:t xml:space="preserve"> </w:t>
    </w:r>
    <w:proofErr w:type="spellStart"/>
    <w:r w:rsidRPr="00223B4E">
      <w:rPr>
        <w:rFonts w:ascii="Arial" w:hAnsi="Arial" w:cs="Arial"/>
        <w:sz w:val="16"/>
        <w:szCs w:val="16"/>
      </w:rPr>
      <w:t>šetření</w:t>
    </w:r>
    <w:proofErr w:type="spellEnd"/>
    <w:r w:rsidRPr="00223B4E">
      <w:rPr>
        <w:rFonts w:ascii="Arial" w:hAnsi="Arial" w:cs="Arial"/>
        <w:sz w:val="16"/>
        <w:szCs w:val="16"/>
      </w:rPr>
      <w:t xml:space="preserve"> v </w:t>
    </w:r>
    <w:proofErr w:type="spellStart"/>
    <w:r w:rsidRPr="00223B4E">
      <w:rPr>
        <w:rFonts w:ascii="Arial" w:hAnsi="Arial" w:cs="Arial"/>
        <w:sz w:val="16"/>
        <w:szCs w:val="16"/>
      </w:rPr>
      <w:t>zemědělství</w:t>
    </w:r>
    <w:proofErr w:type="spellEnd"/>
    <w:r w:rsidRPr="00223B4E">
      <w:rPr>
        <w:rFonts w:ascii="Arial" w:hAnsi="Arial" w:cs="Arial"/>
        <w:sz w:val="16"/>
        <w:szCs w:val="16"/>
      </w:rPr>
      <w:t xml:space="preserve"> – </w:t>
    </w:r>
    <w:proofErr w:type="spellStart"/>
    <w:r w:rsidRPr="00223B4E">
      <w:rPr>
        <w:rFonts w:ascii="Arial" w:hAnsi="Arial" w:cs="Arial"/>
        <w:sz w:val="16"/>
        <w:szCs w:val="16"/>
      </w:rPr>
      <w:t>analytické</w:t>
    </w:r>
    <w:proofErr w:type="spellEnd"/>
    <w:r w:rsidRPr="00223B4E">
      <w:rPr>
        <w:rFonts w:ascii="Arial" w:hAnsi="Arial" w:cs="Arial"/>
        <w:sz w:val="16"/>
        <w:szCs w:val="16"/>
      </w:rPr>
      <w:t xml:space="preserve"> </w:t>
    </w:r>
    <w:proofErr w:type="spellStart"/>
    <w:r w:rsidRPr="00223B4E">
      <w:rPr>
        <w:rFonts w:ascii="Arial" w:hAnsi="Arial" w:cs="Arial"/>
        <w:sz w:val="16"/>
        <w:szCs w:val="16"/>
      </w:rPr>
      <w:t>vyhodnocení</w:t>
    </w:r>
    <w:proofErr w:type="spellEnd"/>
  </w:p>
  <w:p w14:paraId="6629FCE6" w14:textId="167509D2" w:rsidR="00223B4E" w:rsidRDefault="00223B4E" w:rsidP="00223B4E">
    <w:pPr>
      <w:pStyle w:val="Zhlav"/>
    </w:pPr>
    <w:r w:rsidRPr="00223B4E">
      <w:rPr>
        <w:rFonts w:ascii="Arial" w:hAnsi="Arial" w:cs="Arial"/>
        <w:sz w:val="16"/>
        <w:szCs w:val="16"/>
      </w:rPr>
      <w:t>Integrated Farm Survey – analytical evaluation</w:t>
    </w:r>
    <w:r>
      <w:t xml:space="preserve"> </w:t>
    </w:r>
  </w:p>
  <w:p w14:paraId="2F2C5C3B" w14:textId="77777777" w:rsidR="00223B4E" w:rsidRDefault="00223B4E" w:rsidP="00223B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517B" w14:textId="2936FB9E" w:rsidR="00223B4E" w:rsidRPr="00223B4E" w:rsidRDefault="00223B4E" w:rsidP="00223B4E">
    <w:pPr>
      <w:pStyle w:val="Zhlav"/>
      <w:rPr>
        <w:rFonts w:ascii="Arial" w:eastAsia="Calibri" w:hAnsi="Arial"/>
        <w:sz w:val="16"/>
        <w:szCs w:val="22"/>
        <w:lang w:eastAsia="en-US"/>
      </w:rPr>
    </w:pPr>
    <w:proofErr w:type="spellStart"/>
    <w:r w:rsidRPr="00223B4E">
      <w:rPr>
        <w:rFonts w:ascii="Arial" w:eastAsia="Calibri" w:hAnsi="Arial"/>
        <w:sz w:val="16"/>
        <w:szCs w:val="22"/>
        <w:lang w:eastAsia="en-US"/>
      </w:rPr>
      <w:t>Integrované</w:t>
    </w:r>
    <w:proofErr w:type="spellEnd"/>
    <w:r w:rsidRPr="00223B4E">
      <w:rPr>
        <w:rFonts w:ascii="Arial" w:eastAsia="Calibri" w:hAnsi="Arial"/>
        <w:sz w:val="16"/>
        <w:szCs w:val="22"/>
        <w:lang w:eastAsia="en-US"/>
      </w:rPr>
      <w:t xml:space="preserve"> </w:t>
    </w:r>
    <w:proofErr w:type="spellStart"/>
    <w:r w:rsidRPr="00223B4E">
      <w:rPr>
        <w:rFonts w:ascii="Arial" w:eastAsia="Calibri" w:hAnsi="Arial"/>
        <w:sz w:val="16"/>
        <w:szCs w:val="22"/>
        <w:lang w:eastAsia="en-US"/>
      </w:rPr>
      <w:t>šetření</w:t>
    </w:r>
    <w:proofErr w:type="spellEnd"/>
    <w:r w:rsidRPr="00223B4E">
      <w:rPr>
        <w:rFonts w:ascii="Arial" w:eastAsia="Calibri" w:hAnsi="Arial"/>
        <w:sz w:val="16"/>
        <w:szCs w:val="22"/>
        <w:lang w:eastAsia="en-US"/>
      </w:rPr>
      <w:t xml:space="preserve"> v </w:t>
    </w:r>
    <w:proofErr w:type="spellStart"/>
    <w:r w:rsidRPr="00223B4E">
      <w:rPr>
        <w:rFonts w:ascii="Arial" w:eastAsia="Calibri" w:hAnsi="Arial"/>
        <w:sz w:val="16"/>
        <w:szCs w:val="22"/>
        <w:lang w:eastAsia="en-US"/>
      </w:rPr>
      <w:t>zemědělství</w:t>
    </w:r>
    <w:proofErr w:type="spellEnd"/>
    <w:r w:rsidRPr="00223B4E">
      <w:rPr>
        <w:rFonts w:ascii="Arial" w:eastAsia="Calibri" w:hAnsi="Arial"/>
        <w:sz w:val="16"/>
        <w:szCs w:val="22"/>
        <w:lang w:eastAsia="en-US"/>
      </w:rPr>
      <w:t xml:space="preserve"> – </w:t>
    </w:r>
    <w:proofErr w:type="spellStart"/>
    <w:r w:rsidRPr="00223B4E">
      <w:rPr>
        <w:rFonts w:ascii="Arial" w:eastAsia="Calibri" w:hAnsi="Arial"/>
        <w:sz w:val="16"/>
        <w:szCs w:val="22"/>
        <w:lang w:eastAsia="en-US"/>
      </w:rPr>
      <w:t>analytické</w:t>
    </w:r>
    <w:proofErr w:type="spellEnd"/>
    <w:r w:rsidRPr="00223B4E">
      <w:rPr>
        <w:rFonts w:ascii="Arial" w:eastAsia="Calibri" w:hAnsi="Arial"/>
        <w:sz w:val="16"/>
        <w:szCs w:val="22"/>
        <w:lang w:eastAsia="en-US"/>
      </w:rPr>
      <w:t xml:space="preserve"> </w:t>
    </w:r>
    <w:proofErr w:type="spellStart"/>
    <w:r w:rsidRPr="00223B4E">
      <w:rPr>
        <w:rFonts w:ascii="Arial" w:eastAsia="Calibri" w:hAnsi="Arial"/>
        <w:sz w:val="16"/>
        <w:szCs w:val="22"/>
        <w:lang w:eastAsia="en-US"/>
      </w:rPr>
      <w:t>vyhodnocení</w:t>
    </w:r>
    <w:proofErr w:type="spellEnd"/>
  </w:p>
  <w:p w14:paraId="7612D66A" w14:textId="77777777" w:rsidR="00223B4E" w:rsidRPr="00223B4E" w:rsidRDefault="00223B4E" w:rsidP="00223B4E">
    <w:pPr>
      <w:spacing w:after="240" w:line="288" w:lineRule="auto"/>
      <w:rPr>
        <w:rFonts w:ascii="Arial" w:eastAsia="Calibri" w:hAnsi="Arial"/>
        <w:i/>
        <w:sz w:val="16"/>
        <w:szCs w:val="22"/>
        <w:lang w:val="cs-CZ" w:eastAsia="en-US"/>
      </w:rPr>
    </w:pPr>
    <w:proofErr w:type="spellStart"/>
    <w:r w:rsidRPr="00223B4E">
      <w:rPr>
        <w:rFonts w:ascii="Arial" w:eastAsia="Calibri" w:hAnsi="Arial"/>
        <w:i/>
        <w:sz w:val="16"/>
        <w:szCs w:val="22"/>
        <w:lang w:val="cs-CZ" w:eastAsia="en-US"/>
      </w:rPr>
      <w:t>Integrated</w:t>
    </w:r>
    <w:proofErr w:type="spellEnd"/>
    <w:r w:rsidRPr="00223B4E">
      <w:rPr>
        <w:rFonts w:ascii="Arial" w:eastAsia="Calibri" w:hAnsi="Arial"/>
        <w:i/>
        <w:sz w:val="16"/>
        <w:szCs w:val="22"/>
        <w:lang w:val="cs-CZ" w:eastAsia="en-US"/>
      </w:rPr>
      <w:t xml:space="preserve"> </w:t>
    </w:r>
    <w:proofErr w:type="spellStart"/>
    <w:r w:rsidRPr="00223B4E">
      <w:rPr>
        <w:rFonts w:ascii="Arial" w:eastAsia="Calibri" w:hAnsi="Arial"/>
        <w:i/>
        <w:sz w:val="16"/>
        <w:szCs w:val="22"/>
        <w:lang w:val="cs-CZ" w:eastAsia="en-US"/>
      </w:rPr>
      <w:t>Farm</w:t>
    </w:r>
    <w:proofErr w:type="spellEnd"/>
    <w:r w:rsidRPr="00223B4E">
      <w:rPr>
        <w:rFonts w:ascii="Arial" w:eastAsia="Calibri" w:hAnsi="Arial"/>
        <w:i/>
        <w:sz w:val="16"/>
        <w:szCs w:val="22"/>
        <w:lang w:val="cs-CZ" w:eastAsia="en-US"/>
      </w:rPr>
      <w:t xml:space="preserve"> </w:t>
    </w:r>
    <w:proofErr w:type="spellStart"/>
    <w:r w:rsidRPr="00223B4E">
      <w:rPr>
        <w:rFonts w:ascii="Arial" w:eastAsia="Calibri" w:hAnsi="Arial"/>
        <w:i/>
        <w:sz w:val="16"/>
        <w:szCs w:val="22"/>
        <w:lang w:val="cs-CZ" w:eastAsia="en-US"/>
      </w:rPr>
      <w:t>Survey</w:t>
    </w:r>
    <w:proofErr w:type="spellEnd"/>
    <w:r w:rsidRPr="00223B4E">
      <w:rPr>
        <w:rFonts w:ascii="Arial" w:eastAsia="Calibri" w:hAnsi="Arial"/>
        <w:i/>
        <w:sz w:val="16"/>
        <w:szCs w:val="22"/>
        <w:lang w:val="cs-CZ" w:eastAsia="en-US"/>
      </w:rPr>
      <w:t xml:space="preserve"> – </w:t>
    </w:r>
    <w:proofErr w:type="spellStart"/>
    <w:r w:rsidRPr="00223B4E">
      <w:rPr>
        <w:rFonts w:ascii="Arial" w:eastAsia="Calibri" w:hAnsi="Arial"/>
        <w:i/>
        <w:sz w:val="16"/>
        <w:szCs w:val="22"/>
        <w:lang w:val="cs-CZ" w:eastAsia="en-US"/>
      </w:rPr>
      <w:t>analytical</w:t>
    </w:r>
    <w:proofErr w:type="spellEnd"/>
    <w:r w:rsidRPr="00223B4E">
      <w:rPr>
        <w:rFonts w:ascii="Arial" w:eastAsia="Calibri" w:hAnsi="Arial"/>
        <w:i/>
        <w:sz w:val="16"/>
        <w:szCs w:val="22"/>
        <w:lang w:val="cs-CZ" w:eastAsia="en-US"/>
      </w:rPr>
      <w:t xml:space="preserve"> </w:t>
    </w:r>
    <w:proofErr w:type="spellStart"/>
    <w:r w:rsidRPr="00223B4E">
      <w:rPr>
        <w:rFonts w:ascii="Arial" w:eastAsia="Calibri" w:hAnsi="Arial"/>
        <w:i/>
        <w:sz w:val="16"/>
        <w:szCs w:val="22"/>
        <w:lang w:val="cs-CZ" w:eastAsia="en-US"/>
      </w:rPr>
      <w:t>evaluation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7C62" w14:textId="77777777" w:rsidR="00223B4E" w:rsidRDefault="00223B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1" w15:restartNumberingAfterBreak="0">
    <w:nsid w:val="1A474484"/>
    <w:multiLevelType w:val="hybridMultilevel"/>
    <w:tmpl w:val="A30EBF2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C7575"/>
    <w:multiLevelType w:val="hybridMultilevel"/>
    <w:tmpl w:val="FD80BD1C"/>
    <w:lvl w:ilvl="0" w:tplc="1B561E9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21B416D"/>
    <w:multiLevelType w:val="hybridMultilevel"/>
    <w:tmpl w:val="61987278"/>
    <w:lvl w:ilvl="0" w:tplc="5970B0B2">
      <w:start w:val="1"/>
      <w:numFmt w:val="bullet"/>
      <w:pStyle w:val="Sodrkami2"/>
      <w:lvlText w:val="-"/>
      <w:lvlJc w:val="left"/>
      <w:pPr>
        <w:tabs>
          <w:tab w:val="num" w:pos="1260"/>
        </w:tabs>
        <w:ind w:left="126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45"/>
    <w:rsid w:val="00001415"/>
    <w:rsid w:val="00004453"/>
    <w:rsid w:val="00006D4A"/>
    <w:rsid w:val="000078F2"/>
    <w:rsid w:val="00011F50"/>
    <w:rsid w:val="000169A7"/>
    <w:rsid w:val="00016E26"/>
    <w:rsid w:val="00017333"/>
    <w:rsid w:val="00017B9F"/>
    <w:rsid w:val="00020530"/>
    <w:rsid w:val="00031B05"/>
    <w:rsid w:val="0003664F"/>
    <w:rsid w:val="00036A1B"/>
    <w:rsid w:val="00037474"/>
    <w:rsid w:val="00043DD8"/>
    <w:rsid w:val="00044275"/>
    <w:rsid w:val="00044285"/>
    <w:rsid w:val="00052634"/>
    <w:rsid w:val="00057EED"/>
    <w:rsid w:val="00062416"/>
    <w:rsid w:val="00063761"/>
    <w:rsid w:val="00066DF4"/>
    <w:rsid w:val="00067E18"/>
    <w:rsid w:val="000758AF"/>
    <w:rsid w:val="000871EB"/>
    <w:rsid w:val="00097126"/>
    <w:rsid w:val="000B2549"/>
    <w:rsid w:val="000B6A87"/>
    <w:rsid w:val="000C47EA"/>
    <w:rsid w:val="000D0BDC"/>
    <w:rsid w:val="000D310D"/>
    <w:rsid w:val="000E1999"/>
    <w:rsid w:val="000E2F59"/>
    <w:rsid w:val="000E5CB2"/>
    <w:rsid w:val="000F6B59"/>
    <w:rsid w:val="001000D4"/>
    <w:rsid w:val="00124C57"/>
    <w:rsid w:val="001251C0"/>
    <w:rsid w:val="00132296"/>
    <w:rsid w:val="001325A6"/>
    <w:rsid w:val="00133517"/>
    <w:rsid w:val="00134C1A"/>
    <w:rsid w:val="00142920"/>
    <w:rsid w:val="00143B57"/>
    <w:rsid w:val="0014492F"/>
    <w:rsid w:val="0015239A"/>
    <w:rsid w:val="00152C8D"/>
    <w:rsid w:val="00157197"/>
    <w:rsid w:val="0016278A"/>
    <w:rsid w:val="00172A62"/>
    <w:rsid w:val="00174563"/>
    <w:rsid w:val="00181E2F"/>
    <w:rsid w:val="00182D6D"/>
    <w:rsid w:val="00186490"/>
    <w:rsid w:val="00194AE4"/>
    <w:rsid w:val="001979DC"/>
    <w:rsid w:val="001A1D0B"/>
    <w:rsid w:val="001B3B51"/>
    <w:rsid w:val="001B70FE"/>
    <w:rsid w:val="001D43AC"/>
    <w:rsid w:val="001E2A1C"/>
    <w:rsid w:val="001E6F0E"/>
    <w:rsid w:val="001F3134"/>
    <w:rsid w:val="001F35CA"/>
    <w:rsid w:val="002048F6"/>
    <w:rsid w:val="00204CFF"/>
    <w:rsid w:val="00212068"/>
    <w:rsid w:val="00220231"/>
    <w:rsid w:val="00222D88"/>
    <w:rsid w:val="00223B4E"/>
    <w:rsid w:val="002255DC"/>
    <w:rsid w:val="00231177"/>
    <w:rsid w:val="002316CB"/>
    <w:rsid w:val="00237D3F"/>
    <w:rsid w:val="00244CD1"/>
    <w:rsid w:val="00246E84"/>
    <w:rsid w:val="00250179"/>
    <w:rsid w:val="00252028"/>
    <w:rsid w:val="002548CE"/>
    <w:rsid w:val="00271E0C"/>
    <w:rsid w:val="00272617"/>
    <w:rsid w:val="002734B9"/>
    <w:rsid w:val="00273717"/>
    <w:rsid w:val="0028589E"/>
    <w:rsid w:val="002A0131"/>
    <w:rsid w:val="002A2840"/>
    <w:rsid w:val="002A2E95"/>
    <w:rsid w:val="002A3EF8"/>
    <w:rsid w:val="002B2926"/>
    <w:rsid w:val="002B342F"/>
    <w:rsid w:val="002B45F7"/>
    <w:rsid w:val="002B796E"/>
    <w:rsid w:val="002C6644"/>
    <w:rsid w:val="002C669F"/>
    <w:rsid w:val="002D2C8B"/>
    <w:rsid w:val="002D4551"/>
    <w:rsid w:val="002E2B1E"/>
    <w:rsid w:val="002F01BD"/>
    <w:rsid w:val="002F26EF"/>
    <w:rsid w:val="002F4D6B"/>
    <w:rsid w:val="002F6BF6"/>
    <w:rsid w:val="00301003"/>
    <w:rsid w:val="00310CAD"/>
    <w:rsid w:val="00313AA1"/>
    <w:rsid w:val="00313E66"/>
    <w:rsid w:val="0032220A"/>
    <w:rsid w:val="0032478F"/>
    <w:rsid w:val="0032574B"/>
    <w:rsid w:val="003263DA"/>
    <w:rsid w:val="0032701E"/>
    <w:rsid w:val="003275E3"/>
    <w:rsid w:val="00327A1F"/>
    <w:rsid w:val="00330FFF"/>
    <w:rsid w:val="0033463C"/>
    <w:rsid w:val="00337278"/>
    <w:rsid w:val="003437A2"/>
    <w:rsid w:val="003452EC"/>
    <w:rsid w:val="00354059"/>
    <w:rsid w:val="00354D33"/>
    <w:rsid w:val="00356FD6"/>
    <w:rsid w:val="00360FD0"/>
    <w:rsid w:val="00364665"/>
    <w:rsid w:val="00365E79"/>
    <w:rsid w:val="003661FA"/>
    <w:rsid w:val="00371F9A"/>
    <w:rsid w:val="00375E39"/>
    <w:rsid w:val="00377064"/>
    <w:rsid w:val="003770B5"/>
    <w:rsid w:val="00386C7A"/>
    <w:rsid w:val="00386F0E"/>
    <w:rsid w:val="0039740A"/>
    <w:rsid w:val="003A00DB"/>
    <w:rsid w:val="003A27B9"/>
    <w:rsid w:val="003A28CE"/>
    <w:rsid w:val="003A2E26"/>
    <w:rsid w:val="003C49CD"/>
    <w:rsid w:val="003D3421"/>
    <w:rsid w:val="003D5943"/>
    <w:rsid w:val="003E254A"/>
    <w:rsid w:val="003E4E25"/>
    <w:rsid w:val="003E5637"/>
    <w:rsid w:val="003F096B"/>
    <w:rsid w:val="004024B5"/>
    <w:rsid w:val="00403AE0"/>
    <w:rsid w:val="00404ED5"/>
    <w:rsid w:val="0040667A"/>
    <w:rsid w:val="0040755E"/>
    <w:rsid w:val="00414989"/>
    <w:rsid w:val="004319C5"/>
    <w:rsid w:val="00437DBD"/>
    <w:rsid w:val="00440271"/>
    <w:rsid w:val="004469A0"/>
    <w:rsid w:val="0045321C"/>
    <w:rsid w:val="00457B9C"/>
    <w:rsid w:val="00464366"/>
    <w:rsid w:val="00464BD0"/>
    <w:rsid w:val="00466EE2"/>
    <w:rsid w:val="00470560"/>
    <w:rsid w:val="0047446B"/>
    <w:rsid w:val="0047591B"/>
    <w:rsid w:val="004765D6"/>
    <w:rsid w:val="0048454E"/>
    <w:rsid w:val="00485EC2"/>
    <w:rsid w:val="004A0C73"/>
    <w:rsid w:val="004A5396"/>
    <w:rsid w:val="004A6EFA"/>
    <w:rsid w:val="004B4D6A"/>
    <w:rsid w:val="004B5DEB"/>
    <w:rsid w:val="004B61C6"/>
    <w:rsid w:val="004C3D8D"/>
    <w:rsid w:val="004C4E05"/>
    <w:rsid w:val="004D3A51"/>
    <w:rsid w:val="004D4680"/>
    <w:rsid w:val="004D586D"/>
    <w:rsid w:val="004D58DA"/>
    <w:rsid w:val="004E748D"/>
    <w:rsid w:val="0050074B"/>
    <w:rsid w:val="00500EFF"/>
    <w:rsid w:val="00501CD5"/>
    <w:rsid w:val="005040A8"/>
    <w:rsid w:val="00524656"/>
    <w:rsid w:val="005315ED"/>
    <w:rsid w:val="0053227C"/>
    <w:rsid w:val="00541306"/>
    <w:rsid w:val="00550B7C"/>
    <w:rsid w:val="00551A9D"/>
    <w:rsid w:val="005528B5"/>
    <w:rsid w:val="00555F7A"/>
    <w:rsid w:val="005560A6"/>
    <w:rsid w:val="005632DD"/>
    <w:rsid w:val="00564295"/>
    <w:rsid w:val="005769F9"/>
    <w:rsid w:val="00580B08"/>
    <w:rsid w:val="00586874"/>
    <w:rsid w:val="00591D84"/>
    <w:rsid w:val="00593FBD"/>
    <w:rsid w:val="00597F4D"/>
    <w:rsid w:val="005A11F0"/>
    <w:rsid w:val="005B502F"/>
    <w:rsid w:val="005B59F8"/>
    <w:rsid w:val="005B65CF"/>
    <w:rsid w:val="005C53A9"/>
    <w:rsid w:val="005C65F2"/>
    <w:rsid w:val="005C6AE9"/>
    <w:rsid w:val="005C7F82"/>
    <w:rsid w:val="005D10F6"/>
    <w:rsid w:val="005E0AC8"/>
    <w:rsid w:val="005E2B86"/>
    <w:rsid w:val="005F7716"/>
    <w:rsid w:val="006047E1"/>
    <w:rsid w:val="00622829"/>
    <w:rsid w:val="006246A6"/>
    <w:rsid w:val="006563F0"/>
    <w:rsid w:val="00661A14"/>
    <w:rsid w:val="00663E77"/>
    <w:rsid w:val="006658EC"/>
    <w:rsid w:val="00674093"/>
    <w:rsid w:val="006746DF"/>
    <w:rsid w:val="00675A21"/>
    <w:rsid w:val="00683F54"/>
    <w:rsid w:val="00693723"/>
    <w:rsid w:val="006A021A"/>
    <w:rsid w:val="006A191C"/>
    <w:rsid w:val="006A374E"/>
    <w:rsid w:val="006A4CB0"/>
    <w:rsid w:val="006A69E9"/>
    <w:rsid w:val="006B0A56"/>
    <w:rsid w:val="006B3F36"/>
    <w:rsid w:val="006B49B1"/>
    <w:rsid w:val="006B4E78"/>
    <w:rsid w:val="006B70FB"/>
    <w:rsid w:val="006C6356"/>
    <w:rsid w:val="006D3D13"/>
    <w:rsid w:val="006D3E45"/>
    <w:rsid w:val="006E33A6"/>
    <w:rsid w:val="006F0085"/>
    <w:rsid w:val="006F1857"/>
    <w:rsid w:val="006F1BA5"/>
    <w:rsid w:val="006F4326"/>
    <w:rsid w:val="006F727A"/>
    <w:rsid w:val="0071095D"/>
    <w:rsid w:val="00712FB1"/>
    <w:rsid w:val="00714D7B"/>
    <w:rsid w:val="00714E5A"/>
    <w:rsid w:val="00716119"/>
    <w:rsid w:val="007165C0"/>
    <w:rsid w:val="00721BA3"/>
    <w:rsid w:val="00727991"/>
    <w:rsid w:val="00732CC8"/>
    <w:rsid w:val="00734E0F"/>
    <w:rsid w:val="00737202"/>
    <w:rsid w:val="00740DF4"/>
    <w:rsid w:val="00746008"/>
    <w:rsid w:val="0074782C"/>
    <w:rsid w:val="007509E2"/>
    <w:rsid w:val="00753CC1"/>
    <w:rsid w:val="00756248"/>
    <w:rsid w:val="00757D09"/>
    <w:rsid w:val="00762ACA"/>
    <w:rsid w:val="007658C4"/>
    <w:rsid w:val="00765F26"/>
    <w:rsid w:val="00767053"/>
    <w:rsid w:val="0077166C"/>
    <w:rsid w:val="00772607"/>
    <w:rsid w:val="00777D49"/>
    <w:rsid w:val="00782F5C"/>
    <w:rsid w:val="007875A3"/>
    <w:rsid w:val="007959F1"/>
    <w:rsid w:val="00797378"/>
    <w:rsid w:val="00797F74"/>
    <w:rsid w:val="007B4499"/>
    <w:rsid w:val="007C2567"/>
    <w:rsid w:val="007C26E7"/>
    <w:rsid w:val="007D3E4B"/>
    <w:rsid w:val="007E02AC"/>
    <w:rsid w:val="007E052A"/>
    <w:rsid w:val="007E30C7"/>
    <w:rsid w:val="007E6A0F"/>
    <w:rsid w:val="007F3616"/>
    <w:rsid w:val="007F7814"/>
    <w:rsid w:val="0081594B"/>
    <w:rsid w:val="00816A3B"/>
    <w:rsid w:val="00820756"/>
    <w:rsid w:val="008233C8"/>
    <w:rsid w:val="00823C07"/>
    <w:rsid w:val="00834E1F"/>
    <w:rsid w:val="008418BF"/>
    <w:rsid w:val="00842BF3"/>
    <w:rsid w:val="00865DB7"/>
    <w:rsid w:val="0086646F"/>
    <w:rsid w:val="00880070"/>
    <w:rsid w:val="008813E4"/>
    <w:rsid w:val="00881493"/>
    <w:rsid w:val="00893A2F"/>
    <w:rsid w:val="008A11B4"/>
    <w:rsid w:val="008B3710"/>
    <w:rsid w:val="008C3E3B"/>
    <w:rsid w:val="008D4B18"/>
    <w:rsid w:val="008E503F"/>
    <w:rsid w:val="008F6214"/>
    <w:rsid w:val="0090609A"/>
    <w:rsid w:val="009127D5"/>
    <w:rsid w:val="0092256D"/>
    <w:rsid w:val="00934162"/>
    <w:rsid w:val="009432DD"/>
    <w:rsid w:val="00951AA2"/>
    <w:rsid w:val="00956D52"/>
    <w:rsid w:val="009570E3"/>
    <w:rsid w:val="00960C78"/>
    <w:rsid w:val="00962F63"/>
    <w:rsid w:val="00965AD2"/>
    <w:rsid w:val="0097431C"/>
    <w:rsid w:val="0099072B"/>
    <w:rsid w:val="00994FCF"/>
    <w:rsid w:val="009A71F2"/>
    <w:rsid w:val="009B203E"/>
    <w:rsid w:val="009B3BD3"/>
    <w:rsid w:val="009B7DE5"/>
    <w:rsid w:val="009C2B92"/>
    <w:rsid w:val="009C70ED"/>
    <w:rsid w:val="009C79B2"/>
    <w:rsid w:val="009D0777"/>
    <w:rsid w:val="009F2C4F"/>
    <w:rsid w:val="009F60C0"/>
    <w:rsid w:val="009F7693"/>
    <w:rsid w:val="00A01732"/>
    <w:rsid w:val="00A13AEE"/>
    <w:rsid w:val="00A14996"/>
    <w:rsid w:val="00A205F1"/>
    <w:rsid w:val="00A372D1"/>
    <w:rsid w:val="00A40145"/>
    <w:rsid w:val="00A4414F"/>
    <w:rsid w:val="00A47654"/>
    <w:rsid w:val="00A50A1D"/>
    <w:rsid w:val="00A5437D"/>
    <w:rsid w:val="00A55DE3"/>
    <w:rsid w:val="00A57A25"/>
    <w:rsid w:val="00A60B3B"/>
    <w:rsid w:val="00A66403"/>
    <w:rsid w:val="00A7253C"/>
    <w:rsid w:val="00A840C3"/>
    <w:rsid w:val="00A90268"/>
    <w:rsid w:val="00A90C0C"/>
    <w:rsid w:val="00A9175A"/>
    <w:rsid w:val="00A92B9A"/>
    <w:rsid w:val="00A97468"/>
    <w:rsid w:val="00AA3568"/>
    <w:rsid w:val="00AB011A"/>
    <w:rsid w:val="00AB7F07"/>
    <w:rsid w:val="00AC0E11"/>
    <w:rsid w:val="00AC2BE6"/>
    <w:rsid w:val="00AD1D20"/>
    <w:rsid w:val="00AD1F47"/>
    <w:rsid w:val="00AE03BC"/>
    <w:rsid w:val="00AE0A14"/>
    <w:rsid w:val="00AE2321"/>
    <w:rsid w:val="00AE4F8A"/>
    <w:rsid w:val="00AE6A49"/>
    <w:rsid w:val="00AF05BD"/>
    <w:rsid w:val="00AF0901"/>
    <w:rsid w:val="00AF1922"/>
    <w:rsid w:val="00AF1D1A"/>
    <w:rsid w:val="00AF3621"/>
    <w:rsid w:val="00B020A9"/>
    <w:rsid w:val="00B056FC"/>
    <w:rsid w:val="00B05882"/>
    <w:rsid w:val="00B1124F"/>
    <w:rsid w:val="00B135A7"/>
    <w:rsid w:val="00B17E06"/>
    <w:rsid w:val="00B20A75"/>
    <w:rsid w:val="00B233E3"/>
    <w:rsid w:val="00B25E5A"/>
    <w:rsid w:val="00B31604"/>
    <w:rsid w:val="00B31E17"/>
    <w:rsid w:val="00B33E1E"/>
    <w:rsid w:val="00B37804"/>
    <w:rsid w:val="00B40FA8"/>
    <w:rsid w:val="00B44059"/>
    <w:rsid w:val="00B5210A"/>
    <w:rsid w:val="00B529F1"/>
    <w:rsid w:val="00B55002"/>
    <w:rsid w:val="00B616B1"/>
    <w:rsid w:val="00B62260"/>
    <w:rsid w:val="00B64E1E"/>
    <w:rsid w:val="00B64FAF"/>
    <w:rsid w:val="00B67059"/>
    <w:rsid w:val="00B73935"/>
    <w:rsid w:val="00B8075F"/>
    <w:rsid w:val="00B81449"/>
    <w:rsid w:val="00B8429E"/>
    <w:rsid w:val="00B8446B"/>
    <w:rsid w:val="00B873C6"/>
    <w:rsid w:val="00B93789"/>
    <w:rsid w:val="00B93807"/>
    <w:rsid w:val="00B939FE"/>
    <w:rsid w:val="00B96005"/>
    <w:rsid w:val="00BA1C75"/>
    <w:rsid w:val="00BA31B1"/>
    <w:rsid w:val="00BA4A36"/>
    <w:rsid w:val="00BC47B2"/>
    <w:rsid w:val="00BD3E23"/>
    <w:rsid w:val="00BE1C7D"/>
    <w:rsid w:val="00BE42BE"/>
    <w:rsid w:val="00BF2004"/>
    <w:rsid w:val="00BF6E03"/>
    <w:rsid w:val="00C05586"/>
    <w:rsid w:val="00C10AF0"/>
    <w:rsid w:val="00C14CE7"/>
    <w:rsid w:val="00C157D8"/>
    <w:rsid w:val="00C16723"/>
    <w:rsid w:val="00C22AD5"/>
    <w:rsid w:val="00C22DEA"/>
    <w:rsid w:val="00C30B5F"/>
    <w:rsid w:val="00C34545"/>
    <w:rsid w:val="00C439EC"/>
    <w:rsid w:val="00C453D5"/>
    <w:rsid w:val="00C46B32"/>
    <w:rsid w:val="00C62101"/>
    <w:rsid w:val="00C669A0"/>
    <w:rsid w:val="00C70E0A"/>
    <w:rsid w:val="00C72152"/>
    <w:rsid w:val="00C7263F"/>
    <w:rsid w:val="00C77EF7"/>
    <w:rsid w:val="00C804AE"/>
    <w:rsid w:val="00C914D5"/>
    <w:rsid w:val="00C94974"/>
    <w:rsid w:val="00CA341B"/>
    <w:rsid w:val="00CA42A4"/>
    <w:rsid w:val="00CA56E3"/>
    <w:rsid w:val="00CB2F12"/>
    <w:rsid w:val="00CC5C36"/>
    <w:rsid w:val="00CC6EE9"/>
    <w:rsid w:val="00CE0FB8"/>
    <w:rsid w:val="00CE52C1"/>
    <w:rsid w:val="00CF4136"/>
    <w:rsid w:val="00CF7977"/>
    <w:rsid w:val="00D0412F"/>
    <w:rsid w:val="00D06769"/>
    <w:rsid w:val="00D07AA2"/>
    <w:rsid w:val="00D21A9E"/>
    <w:rsid w:val="00D221EB"/>
    <w:rsid w:val="00D3345E"/>
    <w:rsid w:val="00D34B8B"/>
    <w:rsid w:val="00D35F61"/>
    <w:rsid w:val="00D420B5"/>
    <w:rsid w:val="00D6155F"/>
    <w:rsid w:val="00D623F0"/>
    <w:rsid w:val="00D665C4"/>
    <w:rsid w:val="00D66E39"/>
    <w:rsid w:val="00D747AF"/>
    <w:rsid w:val="00D83179"/>
    <w:rsid w:val="00D83336"/>
    <w:rsid w:val="00D8429D"/>
    <w:rsid w:val="00D852D5"/>
    <w:rsid w:val="00D91451"/>
    <w:rsid w:val="00D9377E"/>
    <w:rsid w:val="00D976A1"/>
    <w:rsid w:val="00DA245D"/>
    <w:rsid w:val="00DA4D46"/>
    <w:rsid w:val="00DC78ED"/>
    <w:rsid w:val="00DD5E6B"/>
    <w:rsid w:val="00DD714A"/>
    <w:rsid w:val="00DE7EAB"/>
    <w:rsid w:val="00DF43DB"/>
    <w:rsid w:val="00DF670D"/>
    <w:rsid w:val="00E06056"/>
    <w:rsid w:val="00E154C1"/>
    <w:rsid w:val="00E17ACD"/>
    <w:rsid w:val="00E24AF2"/>
    <w:rsid w:val="00E34FD8"/>
    <w:rsid w:val="00E41895"/>
    <w:rsid w:val="00E41C53"/>
    <w:rsid w:val="00E44491"/>
    <w:rsid w:val="00E45789"/>
    <w:rsid w:val="00E457B4"/>
    <w:rsid w:val="00E51E91"/>
    <w:rsid w:val="00E56B27"/>
    <w:rsid w:val="00E646D9"/>
    <w:rsid w:val="00E674C0"/>
    <w:rsid w:val="00E71600"/>
    <w:rsid w:val="00E72332"/>
    <w:rsid w:val="00E72722"/>
    <w:rsid w:val="00E72CDC"/>
    <w:rsid w:val="00E73374"/>
    <w:rsid w:val="00E76644"/>
    <w:rsid w:val="00E864F9"/>
    <w:rsid w:val="00E94B1F"/>
    <w:rsid w:val="00E96117"/>
    <w:rsid w:val="00EB0A90"/>
    <w:rsid w:val="00EC0A14"/>
    <w:rsid w:val="00EC4A56"/>
    <w:rsid w:val="00EC6594"/>
    <w:rsid w:val="00ED0E69"/>
    <w:rsid w:val="00ED182E"/>
    <w:rsid w:val="00ED45D9"/>
    <w:rsid w:val="00ED6E1A"/>
    <w:rsid w:val="00EE06BB"/>
    <w:rsid w:val="00EE4255"/>
    <w:rsid w:val="00EE472C"/>
    <w:rsid w:val="00EE52FD"/>
    <w:rsid w:val="00EF3D74"/>
    <w:rsid w:val="00EF483D"/>
    <w:rsid w:val="00EF6352"/>
    <w:rsid w:val="00F02572"/>
    <w:rsid w:val="00F05C2E"/>
    <w:rsid w:val="00F116F3"/>
    <w:rsid w:val="00F170B6"/>
    <w:rsid w:val="00F21D4B"/>
    <w:rsid w:val="00F251E1"/>
    <w:rsid w:val="00F33623"/>
    <w:rsid w:val="00F35B56"/>
    <w:rsid w:val="00F410AD"/>
    <w:rsid w:val="00F4460C"/>
    <w:rsid w:val="00F500D1"/>
    <w:rsid w:val="00F53D3D"/>
    <w:rsid w:val="00F60241"/>
    <w:rsid w:val="00F6030A"/>
    <w:rsid w:val="00F63DFC"/>
    <w:rsid w:val="00F72527"/>
    <w:rsid w:val="00F753C8"/>
    <w:rsid w:val="00F829D4"/>
    <w:rsid w:val="00F82DCE"/>
    <w:rsid w:val="00F97A4A"/>
    <w:rsid w:val="00FA1317"/>
    <w:rsid w:val="00FA1990"/>
    <w:rsid w:val="00FB45CD"/>
    <w:rsid w:val="00FC2A3E"/>
    <w:rsid w:val="00FD1F8B"/>
    <w:rsid w:val="00FE705D"/>
    <w:rsid w:val="00FE7AED"/>
    <w:rsid w:val="00FF3B10"/>
    <w:rsid w:val="00FF6678"/>
    <w:rsid w:val="00FF6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199D3"/>
  <w15:docId w15:val="{5D0C52D6-548C-482C-AFA4-5501F76A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F61"/>
    <w:rPr>
      <w:sz w:val="24"/>
      <w:szCs w:val="24"/>
      <w:lang w:val="en-US"/>
    </w:rPr>
  </w:style>
  <w:style w:type="paragraph" w:styleId="Nadpis1">
    <w:name w:val="heading 1"/>
    <w:basedOn w:val="Normln"/>
    <w:next w:val="Normln"/>
    <w:link w:val="Nadpis1Char"/>
    <w:qFormat/>
    <w:rsid w:val="00F753C8"/>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C804AE"/>
    <w:pPr>
      <w:keepNext/>
      <w:spacing w:before="240" w:after="60" w:line="360" w:lineRule="auto"/>
      <w:ind w:firstLine="567"/>
      <w:jc w:val="both"/>
      <w:outlineLvl w:val="2"/>
    </w:pPr>
    <w:rPr>
      <w:rFonts w:ascii="Arial" w:hAnsi="Arial" w:cs="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40145"/>
    <w:rPr>
      <w:sz w:val="20"/>
      <w:szCs w:val="20"/>
    </w:rPr>
  </w:style>
  <w:style w:type="character" w:styleId="Znakapoznpodarou">
    <w:name w:val="footnote reference"/>
    <w:semiHidden/>
    <w:rsid w:val="00A40145"/>
    <w:rPr>
      <w:vertAlign w:val="superscript"/>
    </w:rPr>
  </w:style>
  <w:style w:type="paragraph" w:styleId="Zpat">
    <w:name w:val="footer"/>
    <w:basedOn w:val="Normln"/>
    <w:rsid w:val="009F2C4F"/>
    <w:pPr>
      <w:tabs>
        <w:tab w:val="center" w:pos="4536"/>
        <w:tab w:val="right" w:pos="9072"/>
      </w:tabs>
    </w:pPr>
  </w:style>
  <w:style w:type="character" w:styleId="slostrnky">
    <w:name w:val="page number"/>
    <w:basedOn w:val="Standardnpsmoodstavce"/>
    <w:rsid w:val="009F2C4F"/>
  </w:style>
  <w:style w:type="paragraph" w:styleId="Normlnweb">
    <w:name w:val="Normal (Web)"/>
    <w:basedOn w:val="Normln"/>
    <w:rsid w:val="00C804AE"/>
    <w:pPr>
      <w:spacing w:before="120" w:line="360" w:lineRule="auto"/>
      <w:ind w:firstLine="567"/>
      <w:jc w:val="both"/>
    </w:pPr>
    <w:rPr>
      <w:lang w:val="cs-CZ"/>
    </w:rPr>
  </w:style>
  <w:style w:type="table" w:styleId="Mkatabulky">
    <w:name w:val="Table Grid"/>
    <w:basedOn w:val="Normlntabulka"/>
    <w:rsid w:val="00C14CE7"/>
    <w:pPr>
      <w:spacing w:before="120"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rkami2">
    <w:name w:val="S odrážkami 2"/>
    <w:basedOn w:val="Normln"/>
    <w:rsid w:val="0048454E"/>
    <w:pPr>
      <w:numPr>
        <w:numId w:val="2"/>
      </w:numPr>
      <w:spacing w:before="120" w:line="360" w:lineRule="auto"/>
      <w:jc w:val="both"/>
    </w:pPr>
    <w:rPr>
      <w:lang w:val="cs-CZ"/>
    </w:rPr>
  </w:style>
  <w:style w:type="paragraph" w:styleId="Zhlav">
    <w:name w:val="header"/>
    <w:basedOn w:val="Normln"/>
    <w:link w:val="ZhlavChar"/>
    <w:uiPriority w:val="99"/>
    <w:rsid w:val="00D976A1"/>
    <w:pPr>
      <w:tabs>
        <w:tab w:val="center" w:pos="4536"/>
        <w:tab w:val="right" w:pos="9072"/>
      </w:tabs>
    </w:pPr>
  </w:style>
  <w:style w:type="paragraph" w:styleId="Obsah1">
    <w:name w:val="toc 1"/>
    <w:basedOn w:val="Normln"/>
    <w:next w:val="Normln"/>
    <w:autoRedefine/>
    <w:uiPriority w:val="39"/>
    <w:rsid w:val="00DA245D"/>
    <w:pPr>
      <w:tabs>
        <w:tab w:val="left" w:pos="480"/>
        <w:tab w:val="right" w:leader="dot" w:pos="9060"/>
      </w:tabs>
      <w:spacing w:line="360" w:lineRule="auto"/>
    </w:pPr>
  </w:style>
  <w:style w:type="character" w:styleId="Hypertextovodkaz">
    <w:name w:val="Hyperlink"/>
    <w:uiPriority w:val="99"/>
    <w:rsid w:val="00B25E5A"/>
    <w:rPr>
      <w:color w:val="0000FF"/>
      <w:u w:val="single"/>
    </w:rPr>
  </w:style>
  <w:style w:type="character" w:customStyle="1" w:styleId="Nadpis1Char">
    <w:name w:val="Nadpis 1 Char"/>
    <w:link w:val="Nadpis1"/>
    <w:rsid w:val="00F753C8"/>
    <w:rPr>
      <w:rFonts w:ascii="Cambria" w:eastAsia="Times New Roman" w:hAnsi="Cambria" w:cs="Times New Roman"/>
      <w:b/>
      <w:bCs/>
      <w:kern w:val="32"/>
      <w:sz w:val="32"/>
      <w:szCs w:val="32"/>
      <w:lang w:val="en-US"/>
    </w:rPr>
  </w:style>
  <w:style w:type="paragraph" w:styleId="Textbubliny">
    <w:name w:val="Balloon Text"/>
    <w:basedOn w:val="Normln"/>
    <w:link w:val="TextbublinyChar"/>
    <w:rsid w:val="00017B9F"/>
    <w:rPr>
      <w:rFonts w:ascii="Tahoma" w:hAnsi="Tahoma" w:cs="Tahoma"/>
      <w:sz w:val="16"/>
      <w:szCs w:val="16"/>
    </w:rPr>
  </w:style>
  <w:style w:type="character" w:customStyle="1" w:styleId="TextbublinyChar">
    <w:name w:val="Text bubliny Char"/>
    <w:basedOn w:val="Standardnpsmoodstavce"/>
    <w:link w:val="Textbubliny"/>
    <w:rsid w:val="00017B9F"/>
    <w:rPr>
      <w:rFonts w:ascii="Tahoma" w:hAnsi="Tahoma" w:cs="Tahoma"/>
      <w:sz w:val="16"/>
      <w:szCs w:val="16"/>
      <w:lang w:val="en-US"/>
    </w:rPr>
  </w:style>
  <w:style w:type="character" w:styleId="Odkaznakoment">
    <w:name w:val="annotation reference"/>
    <w:basedOn w:val="Standardnpsmoodstavce"/>
    <w:semiHidden/>
    <w:unhideWhenUsed/>
    <w:rsid w:val="00E457B4"/>
    <w:rPr>
      <w:sz w:val="16"/>
      <w:szCs w:val="16"/>
    </w:rPr>
  </w:style>
  <w:style w:type="paragraph" w:styleId="Textkomente">
    <w:name w:val="annotation text"/>
    <w:basedOn w:val="Normln"/>
    <w:link w:val="TextkomenteChar"/>
    <w:unhideWhenUsed/>
    <w:rsid w:val="00E457B4"/>
    <w:rPr>
      <w:sz w:val="20"/>
      <w:szCs w:val="20"/>
    </w:rPr>
  </w:style>
  <w:style w:type="character" w:customStyle="1" w:styleId="TextkomenteChar">
    <w:name w:val="Text komentáře Char"/>
    <w:basedOn w:val="Standardnpsmoodstavce"/>
    <w:link w:val="Textkomente"/>
    <w:rsid w:val="00E457B4"/>
    <w:rPr>
      <w:lang w:val="en-US"/>
    </w:rPr>
  </w:style>
  <w:style w:type="paragraph" w:styleId="Pedmtkomente">
    <w:name w:val="annotation subject"/>
    <w:basedOn w:val="Textkomente"/>
    <w:next w:val="Textkomente"/>
    <w:link w:val="PedmtkomenteChar"/>
    <w:semiHidden/>
    <w:unhideWhenUsed/>
    <w:rsid w:val="00E457B4"/>
    <w:rPr>
      <w:b/>
      <w:bCs/>
    </w:rPr>
  </w:style>
  <w:style w:type="character" w:customStyle="1" w:styleId="PedmtkomenteChar">
    <w:name w:val="Předmět komentáře Char"/>
    <w:basedOn w:val="TextkomenteChar"/>
    <w:link w:val="Pedmtkomente"/>
    <w:semiHidden/>
    <w:rsid w:val="00E457B4"/>
    <w:rPr>
      <w:b/>
      <w:bCs/>
      <w:lang w:val="en-US"/>
    </w:rPr>
  </w:style>
  <w:style w:type="paragraph" w:styleId="Revize">
    <w:name w:val="Revision"/>
    <w:hidden/>
    <w:uiPriority w:val="99"/>
    <w:semiHidden/>
    <w:rsid w:val="005B59F8"/>
    <w:rPr>
      <w:sz w:val="24"/>
      <w:szCs w:val="24"/>
      <w:lang w:val="en-US"/>
    </w:rPr>
  </w:style>
  <w:style w:type="character" w:customStyle="1" w:styleId="ZhlavChar">
    <w:name w:val="Záhlaví Char"/>
    <w:basedOn w:val="Standardnpsmoodstavce"/>
    <w:link w:val="Zhlav"/>
    <w:uiPriority w:val="99"/>
    <w:rsid w:val="00223B4E"/>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1EA8-C33C-461E-A706-8EB43C53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1047</Words>
  <Characters>6178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7211</CharactersWithSpaces>
  <SharedDoc>false</SharedDoc>
  <HLinks>
    <vt:vector size="36" baseType="variant">
      <vt:variant>
        <vt:i4>1703986</vt:i4>
      </vt:variant>
      <vt:variant>
        <vt:i4>32</vt:i4>
      </vt:variant>
      <vt:variant>
        <vt:i4>0</vt:i4>
      </vt:variant>
      <vt:variant>
        <vt:i4>5</vt:i4>
      </vt:variant>
      <vt:variant>
        <vt:lpwstr/>
      </vt:variant>
      <vt:variant>
        <vt:lpwstr>_Toc403568306</vt:lpwstr>
      </vt:variant>
      <vt:variant>
        <vt:i4>1703986</vt:i4>
      </vt:variant>
      <vt:variant>
        <vt:i4>26</vt:i4>
      </vt:variant>
      <vt:variant>
        <vt:i4>0</vt:i4>
      </vt:variant>
      <vt:variant>
        <vt:i4>5</vt:i4>
      </vt:variant>
      <vt:variant>
        <vt:lpwstr/>
      </vt:variant>
      <vt:variant>
        <vt:lpwstr>_Toc403568305</vt:lpwstr>
      </vt:variant>
      <vt:variant>
        <vt:i4>1703986</vt:i4>
      </vt:variant>
      <vt:variant>
        <vt:i4>20</vt:i4>
      </vt:variant>
      <vt:variant>
        <vt:i4>0</vt:i4>
      </vt:variant>
      <vt:variant>
        <vt:i4>5</vt:i4>
      </vt:variant>
      <vt:variant>
        <vt:lpwstr/>
      </vt:variant>
      <vt:variant>
        <vt:lpwstr>_Toc403568304</vt:lpwstr>
      </vt:variant>
      <vt:variant>
        <vt:i4>1703986</vt:i4>
      </vt:variant>
      <vt:variant>
        <vt:i4>14</vt:i4>
      </vt:variant>
      <vt:variant>
        <vt:i4>0</vt:i4>
      </vt:variant>
      <vt:variant>
        <vt:i4>5</vt:i4>
      </vt:variant>
      <vt:variant>
        <vt:lpwstr/>
      </vt:variant>
      <vt:variant>
        <vt:lpwstr>_Toc403568303</vt:lpwstr>
      </vt:variant>
      <vt:variant>
        <vt:i4>1703986</vt:i4>
      </vt:variant>
      <vt:variant>
        <vt:i4>8</vt:i4>
      </vt:variant>
      <vt:variant>
        <vt:i4>0</vt:i4>
      </vt:variant>
      <vt:variant>
        <vt:i4>5</vt:i4>
      </vt:variant>
      <vt:variant>
        <vt:lpwstr/>
      </vt:variant>
      <vt:variant>
        <vt:lpwstr>_Toc403568302</vt:lpwstr>
      </vt:variant>
      <vt:variant>
        <vt:i4>1703986</vt:i4>
      </vt:variant>
      <vt:variant>
        <vt:i4>2</vt:i4>
      </vt:variant>
      <vt:variant>
        <vt:i4>0</vt:i4>
      </vt:variant>
      <vt:variant>
        <vt:i4>5</vt:i4>
      </vt:variant>
      <vt:variant>
        <vt:lpwstr/>
      </vt:variant>
      <vt:variant>
        <vt:lpwstr>_Toc403568301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EU typology for agricultural holdings</dc:title>
  <dc:creator>Mlezivová Iveta</dc:creator>
  <cp:lastModifiedBy>Olšovská Jelínková Lucie</cp:lastModifiedBy>
  <cp:revision>17</cp:revision>
  <cp:lastPrinted>2025-05-26T11:20:00Z</cp:lastPrinted>
  <dcterms:created xsi:type="dcterms:W3CDTF">2025-01-14T14:47:00Z</dcterms:created>
  <dcterms:modified xsi:type="dcterms:W3CDTF">2025-05-26T11:20:00Z</dcterms:modified>
</cp:coreProperties>
</file>