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3.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4.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1F88" w14:textId="10E75A8B" w:rsidR="000F6340" w:rsidRDefault="000F6340" w:rsidP="00274CB3">
      <w:pPr>
        <w:pStyle w:val="Nadpis1"/>
        <w:numPr>
          <w:ilvl w:val="0"/>
          <w:numId w:val="30"/>
        </w:numPr>
        <w:spacing w:after="0"/>
      </w:pPr>
      <w:bookmarkStart w:id="0" w:name="_Toc17873165"/>
      <w:bookmarkStart w:id="1" w:name="_GoBack"/>
      <w:bookmarkEnd w:id="1"/>
      <w:r>
        <w:t xml:space="preserve">Mzdy </w:t>
      </w:r>
      <w:r w:rsidR="00BC7833">
        <w:t>a </w:t>
      </w:r>
      <w:r>
        <w:t>jejich diferenciace</w:t>
      </w:r>
      <w:bookmarkEnd w:id="0"/>
    </w:p>
    <w:tbl>
      <w:tblPr>
        <w:tblW w:w="96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76"/>
        <w:gridCol w:w="277"/>
        <w:gridCol w:w="7391"/>
      </w:tblGrid>
      <w:tr w:rsidR="008B4CC2" w14:paraId="6EAA00DC" w14:textId="77777777" w:rsidTr="00A500A7">
        <w:trPr>
          <w:trHeight w:val="145"/>
        </w:trPr>
        <w:tc>
          <w:tcPr>
            <w:tcW w:w="1976" w:type="dxa"/>
            <w:tcBorders>
              <w:top w:val="nil"/>
              <w:left w:val="nil"/>
              <w:bottom w:val="nil"/>
              <w:right w:val="nil"/>
            </w:tcBorders>
          </w:tcPr>
          <w:p w14:paraId="58DB806B" w14:textId="77777777" w:rsidR="008B4CC2" w:rsidRDefault="008B4CC2" w:rsidP="00A500A7">
            <w:pPr>
              <w:pStyle w:val="Marginlie"/>
            </w:pPr>
            <w:r>
              <w:t xml:space="preserve">Mzdový růst loni stimulovaly jak tržní vlivy, tak </w:t>
            </w:r>
            <w:r w:rsidR="00BC7833">
              <w:t>i </w:t>
            </w:r>
            <w:r>
              <w:t>opatření státu.</w:t>
            </w:r>
          </w:p>
        </w:tc>
        <w:tc>
          <w:tcPr>
            <w:tcW w:w="277" w:type="dxa"/>
            <w:tcBorders>
              <w:top w:val="nil"/>
              <w:left w:val="nil"/>
              <w:bottom w:val="nil"/>
              <w:right w:val="nil"/>
            </w:tcBorders>
          </w:tcPr>
          <w:p w14:paraId="77DA64CE" w14:textId="77777777" w:rsidR="008B4CC2" w:rsidRPr="005E4483" w:rsidRDefault="008B4CC2" w:rsidP="00A500A7">
            <w:pPr>
              <w:pStyle w:val="Textpoznpodarou"/>
              <w:jc w:val="both"/>
              <w:rPr>
                <w:spacing w:val="-4"/>
              </w:rPr>
            </w:pPr>
          </w:p>
        </w:tc>
        <w:tc>
          <w:tcPr>
            <w:tcW w:w="7391" w:type="dxa"/>
            <w:tcBorders>
              <w:top w:val="nil"/>
              <w:left w:val="nil"/>
              <w:bottom w:val="nil"/>
              <w:right w:val="nil"/>
            </w:tcBorders>
          </w:tcPr>
          <w:p w14:paraId="105A2E2C" w14:textId="65497EB6" w:rsidR="008B4CC2" w:rsidRPr="008B4CC2" w:rsidRDefault="008B4CC2" w:rsidP="00A500A7">
            <w:pPr>
              <w:spacing w:after="220"/>
              <w:rPr>
                <w:spacing w:val="-2"/>
              </w:rPr>
            </w:pPr>
            <w:r w:rsidRPr="008B4CC2">
              <w:rPr>
                <w:rFonts w:cs="Arial"/>
                <w:color w:val="0D0D0D" w:themeColor="text1" w:themeTint="F2"/>
                <w:spacing w:val="-2"/>
              </w:rPr>
              <w:t xml:space="preserve">Dobré hospodářské výsledky podniků, pokračující pozitivní očekávání v klíčových odvětvích </w:t>
            </w:r>
            <w:r w:rsidR="00BC7833" w:rsidRPr="008B4CC2">
              <w:rPr>
                <w:rFonts w:cs="Arial"/>
                <w:color w:val="0D0D0D" w:themeColor="text1" w:themeTint="F2"/>
                <w:spacing w:val="-2"/>
              </w:rPr>
              <w:t>i</w:t>
            </w:r>
            <w:r w:rsidR="00BC7833">
              <w:rPr>
                <w:rFonts w:cs="Arial"/>
                <w:color w:val="0D0D0D" w:themeColor="text1" w:themeTint="F2"/>
                <w:spacing w:val="-2"/>
              </w:rPr>
              <w:t> </w:t>
            </w:r>
            <w:r w:rsidRPr="008B4CC2">
              <w:rPr>
                <w:rFonts w:cs="Arial"/>
                <w:color w:val="0D0D0D" w:themeColor="text1" w:themeTint="F2"/>
                <w:spacing w:val="-2"/>
              </w:rPr>
              <w:t xml:space="preserve">stupňující se obtíže při náboru nových </w:t>
            </w:r>
            <w:r w:rsidR="00BC7833" w:rsidRPr="008B4CC2">
              <w:rPr>
                <w:rFonts w:cs="Arial"/>
                <w:color w:val="0D0D0D" w:themeColor="text1" w:themeTint="F2"/>
                <w:spacing w:val="-2"/>
              </w:rPr>
              <w:t>a</w:t>
            </w:r>
            <w:r w:rsidR="00BC7833">
              <w:rPr>
                <w:rFonts w:cs="Arial"/>
                <w:color w:val="0D0D0D" w:themeColor="text1" w:themeTint="F2"/>
                <w:spacing w:val="-2"/>
              </w:rPr>
              <w:t> </w:t>
            </w:r>
            <w:r w:rsidRPr="008B4CC2">
              <w:rPr>
                <w:rFonts w:cs="Arial"/>
                <w:color w:val="0D0D0D" w:themeColor="text1" w:themeTint="F2"/>
                <w:spacing w:val="-2"/>
              </w:rPr>
              <w:t xml:space="preserve">udržení stávajících pracovníků vyústily loni </w:t>
            </w:r>
            <w:r w:rsidR="00BC7833" w:rsidRPr="008B4CC2">
              <w:rPr>
                <w:rFonts w:cs="Arial"/>
                <w:color w:val="0D0D0D" w:themeColor="text1" w:themeTint="F2"/>
                <w:spacing w:val="-2"/>
              </w:rPr>
              <w:t>v</w:t>
            </w:r>
            <w:r w:rsidR="00BC7833">
              <w:rPr>
                <w:rFonts w:cs="Arial"/>
                <w:color w:val="0D0D0D" w:themeColor="text1" w:themeTint="F2"/>
                <w:spacing w:val="-2"/>
              </w:rPr>
              <w:t> </w:t>
            </w:r>
            <w:r w:rsidR="000D17A1" w:rsidRPr="008B4CC2">
              <w:rPr>
                <w:rFonts w:cs="Arial"/>
                <w:color w:val="0D0D0D" w:themeColor="text1" w:themeTint="F2"/>
                <w:spacing w:val="-2"/>
              </w:rPr>
              <w:t>dynamick</w:t>
            </w:r>
            <w:r w:rsidR="000D17A1">
              <w:rPr>
                <w:rFonts w:cs="Arial"/>
                <w:color w:val="0D0D0D" w:themeColor="text1" w:themeTint="F2"/>
                <w:spacing w:val="-2"/>
              </w:rPr>
              <w:t>ý</w:t>
            </w:r>
            <w:r w:rsidR="000D17A1" w:rsidRPr="008B4CC2">
              <w:rPr>
                <w:rFonts w:cs="Arial"/>
                <w:color w:val="0D0D0D" w:themeColor="text1" w:themeTint="F2"/>
                <w:spacing w:val="-2"/>
              </w:rPr>
              <w:t xml:space="preserve"> </w:t>
            </w:r>
            <w:r w:rsidRPr="008B4CC2">
              <w:rPr>
                <w:rFonts w:cs="Arial"/>
                <w:color w:val="0D0D0D" w:themeColor="text1" w:themeTint="F2"/>
                <w:spacing w:val="-2"/>
              </w:rPr>
              <w:t xml:space="preserve">růst mezd. Tyto vlivy byly ještě </w:t>
            </w:r>
            <w:r w:rsidR="008E0EB6">
              <w:rPr>
                <w:rFonts w:cs="Arial"/>
                <w:color w:val="0D0D0D" w:themeColor="text1" w:themeTint="F2"/>
                <w:spacing w:val="-2"/>
              </w:rPr>
              <w:t xml:space="preserve">umocněny vyšší aktivitou státu, </w:t>
            </w:r>
            <w:r w:rsidR="00BC7833">
              <w:rPr>
                <w:rFonts w:cs="Arial"/>
                <w:color w:val="0D0D0D" w:themeColor="text1" w:themeTint="F2"/>
                <w:spacing w:val="-2"/>
              </w:rPr>
              <w:t>a </w:t>
            </w:r>
            <w:r w:rsidR="008E0EB6">
              <w:rPr>
                <w:rFonts w:cs="Arial"/>
                <w:color w:val="0D0D0D" w:themeColor="text1" w:themeTint="F2"/>
                <w:spacing w:val="-2"/>
              </w:rPr>
              <w:t>to</w:t>
            </w:r>
            <w:r w:rsidRPr="008B4CC2">
              <w:rPr>
                <w:rFonts w:cs="Arial"/>
                <w:color w:val="0D0D0D" w:themeColor="text1" w:themeTint="F2"/>
                <w:spacing w:val="-2"/>
              </w:rPr>
              <w:t xml:space="preserve"> jak v podobě navýšení mzdových prostředků (skrze státní rozpočet i nepřímo prostřednictvím územních rozpočtů), tak </w:t>
            </w:r>
            <w:r w:rsidR="00BC7833" w:rsidRPr="008B4CC2">
              <w:rPr>
                <w:rFonts w:cs="Arial"/>
                <w:color w:val="0D0D0D" w:themeColor="text1" w:themeTint="F2"/>
                <w:spacing w:val="-2"/>
              </w:rPr>
              <w:t>i</w:t>
            </w:r>
            <w:r w:rsidR="00BC7833">
              <w:rPr>
                <w:rFonts w:cs="Arial"/>
                <w:color w:val="0D0D0D" w:themeColor="text1" w:themeTint="F2"/>
                <w:spacing w:val="-2"/>
              </w:rPr>
              <w:t> </w:t>
            </w:r>
            <w:r w:rsidRPr="008B4CC2">
              <w:rPr>
                <w:rFonts w:cs="Arial"/>
                <w:color w:val="0D0D0D" w:themeColor="text1" w:themeTint="F2"/>
                <w:spacing w:val="-2"/>
              </w:rPr>
              <w:t>v pokračování navyšování minimální mzdy.</w:t>
            </w:r>
          </w:p>
        </w:tc>
      </w:tr>
    </w:tbl>
    <w:p w14:paraId="0AEFDE94" w14:textId="77777777" w:rsidR="00953F28" w:rsidRDefault="008B4CC2" w:rsidP="008E0EB6">
      <w:pPr>
        <w:pStyle w:val="Normalodrka"/>
        <w:numPr>
          <w:ilvl w:val="0"/>
          <w:numId w:val="0"/>
        </w:numPr>
        <w:spacing w:after="0"/>
        <w:rPr>
          <w:rFonts w:eastAsia="MS Gothic"/>
          <w:bCs/>
          <w:color w:val="71818C"/>
          <w:szCs w:val="20"/>
        </w:rPr>
      </w:pPr>
      <w:r>
        <w:rPr>
          <w:rFonts w:eastAsia="MS Gothic"/>
          <w:b/>
          <w:bCs/>
          <w:color w:val="71818C"/>
          <w:sz w:val="28"/>
          <w:szCs w:val="28"/>
        </w:rPr>
        <w:t xml:space="preserve">3.1. Průměrné mzdy podle odvětví </w:t>
      </w:r>
      <w:r w:rsidR="00BC7833">
        <w:rPr>
          <w:rFonts w:eastAsia="MS Gothic"/>
          <w:b/>
          <w:bCs/>
          <w:color w:val="71818C"/>
          <w:sz w:val="28"/>
          <w:szCs w:val="28"/>
        </w:rPr>
        <w:t>a </w:t>
      </w:r>
      <w:r>
        <w:rPr>
          <w:rFonts w:eastAsia="MS Gothic"/>
          <w:b/>
          <w:bCs/>
          <w:color w:val="71818C"/>
          <w:sz w:val="28"/>
          <w:szCs w:val="28"/>
        </w:rPr>
        <w:t>regionů</w:t>
      </w:r>
    </w:p>
    <w:tbl>
      <w:tblPr>
        <w:tblW w:w="96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76"/>
        <w:gridCol w:w="277"/>
        <w:gridCol w:w="7391"/>
      </w:tblGrid>
      <w:tr w:rsidR="008B4CC2" w14:paraId="616C8079" w14:textId="77777777" w:rsidTr="00A500A7">
        <w:trPr>
          <w:trHeight w:val="145"/>
        </w:trPr>
        <w:tc>
          <w:tcPr>
            <w:tcW w:w="1976" w:type="dxa"/>
            <w:tcBorders>
              <w:top w:val="nil"/>
              <w:left w:val="nil"/>
              <w:bottom w:val="nil"/>
              <w:right w:val="nil"/>
            </w:tcBorders>
          </w:tcPr>
          <w:p w14:paraId="2F3A818C" w14:textId="77777777" w:rsidR="008B4CC2" w:rsidRDefault="008B4CC2" w:rsidP="00A500A7">
            <w:pPr>
              <w:pStyle w:val="Marginlie"/>
            </w:pPr>
            <w:r>
              <w:t xml:space="preserve">Tempo růstu průměrných mezd sílilo již pátým rokem v řadě. Loni ale také nabývaly na významu faktory, které další strmý mzdový růst nepodporovaly. </w:t>
            </w:r>
          </w:p>
        </w:tc>
        <w:tc>
          <w:tcPr>
            <w:tcW w:w="277" w:type="dxa"/>
            <w:tcBorders>
              <w:top w:val="nil"/>
              <w:left w:val="nil"/>
              <w:bottom w:val="nil"/>
              <w:right w:val="nil"/>
            </w:tcBorders>
          </w:tcPr>
          <w:p w14:paraId="7288B105" w14:textId="77777777" w:rsidR="008B4CC2" w:rsidRPr="005E4483" w:rsidRDefault="008B4CC2" w:rsidP="00A500A7">
            <w:pPr>
              <w:pStyle w:val="Textpoznpodarou"/>
              <w:jc w:val="both"/>
              <w:rPr>
                <w:spacing w:val="-4"/>
              </w:rPr>
            </w:pPr>
          </w:p>
        </w:tc>
        <w:tc>
          <w:tcPr>
            <w:tcW w:w="7391" w:type="dxa"/>
            <w:tcBorders>
              <w:top w:val="nil"/>
              <w:left w:val="nil"/>
              <w:bottom w:val="nil"/>
              <w:right w:val="nil"/>
            </w:tcBorders>
          </w:tcPr>
          <w:p w14:paraId="00FC12DE" w14:textId="4F8EFD7C" w:rsidR="008B4CC2" w:rsidRPr="008B4CC2" w:rsidRDefault="00BC7833" w:rsidP="008B4CC2">
            <w:pPr>
              <w:spacing w:after="220"/>
              <w:rPr>
                <w:rFonts w:cs="Arial"/>
                <w:color w:val="0D0D0D" w:themeColor="text1" w:themeTint="F2"/>
                <w:spacing w:val="-2"/>
              </w:rPr>
            </w:pPr>
            <w:r w:rsidRPr="008B4CC2">
              <w:rPr>
                <w:spacing w:val="-2"/>
              </w:rPr>
              <w:t>V</w:t>
            </w:r>
            <w:r>
              <w:rPr>
                <w:spacing w:val="-2"/>
              </w:rPr>
              <w:t> </w:t>
            </w:r>
            <w:r w:rsidR="008B4CC2" w:rsidRPr="008B4CC2">
              <w:rPr>
                <w:spacing w:val="-2"/>
              </w:rPr>
              <w:t xml:space="preserve">roce 2018 </w:t>
            </w:r>
            <w:r w:rsidR="008B4CC2" w:rsidRPr="008B4CC2">
              <w:rPr>
                <w:rFonts w:cs="Arial"/>
                <w:spacing w:val="-2"/>
                <w:szCs w:val="20"/>
              </w:rPr>
              <w:t>vzrostla (</w:t>
            </w:r>
            <w:r w:rsidR="008B4CC2" w:rsidRPr="008B4CC2">
              <w:rPr>
                <w:rFonts w:cs="Arial"/>
                <w:color w:val="0D0D0D" w:themeColor="text1" w:themeTint="F2"/>
                <w:spacing w:val="-2"/>
              </w:rPr>
              <w:t xml:space="preserve">dle podnikových statistik) průměrná hrubá nominální mzda zaměstnance v ekonomice </w:t>
            </w:r>
            <w:r w:rsidRPr="008B4CC2">
              <w:rPr>
                <w:rFonts w:cs="Arial"/>
                <w:color w:val="0D0D0D" w:themeColor="text1" w:themeTint="F2"/>
                <w:spacing w:val="-2"/>
              </w:rPr>
              <w:t>o</w:t>
            </w:r>
            <w:r>
              <w:rPr>
                <w:rFonts w:cs="Arial"/>
                <w:color w:val="0D0D0D" w:themeColor="text1" w:themeTint="F2"/>
                <w:spacing w:val="-2"/>
              </w:rPr>
              <w:t> </w:t>
            </w:r>
            <w:r w:rsidR="008B4CC2" w:rsidRPr="008B4CC2">
              <w:rPr>
                <w:rFonts w:cs="Arial"/>
                <w:color w:val="0D0D0D" w:themeColor="text1" w:themeTint="F2"/>
                <w:spacing w:val="-2"/>
              </w:rPr>
              <w:t>7,5</w:t>
            </w:r>
            <w:r w:rsidR="006454CC">
              <w:rPr>
                <w:rFonts w:cs="Arial"/>
                <w:color w:val="0D0D0D" w:themeColor="text1" w:themeTint="F2"/>
                <w:spacing w:val="-2"/>
              </w:rPr>
              <w:t> %</w:t>
            </w:r>
            <w:r w:rsidR="008B4CC2" w:rsidRPr="008B4CC2">
              <w:rPr>
                <w:rStyle w:val="Znakapoznpodarou"/>
                <w:rFonts w:cs="Arial"/>
                <w:color w:val="0D0D0D" w:themeColor="text1" w:themeTint="F2"/>
                <w:spacing w:val="-2"/>
              </w:rPr>
              <w:footnoteReference w:id="1"/>
            </w:r>
            <w:r w:rsidR="008B4CC2" w:rsidRPr="008B4CC2">
              <w:rPr>
                <w:rFonts w:cs="Arial"/>
                <w:color w:val="0D0D0D" w:themeColor="text1" w:themeTint="F2"/>
                <w:spacing w:val="-2"/>
              </w:rPr>
              <w:t xml:space="preserve"> (</w:t>
            </w:r>
            <w:r w:rsidRPr="008B4CC2">
              <w:rPr>
                <w:rFonts w:cs="Arial"/>
                <w:color w:val="0D0D0D" w:themeColor="text1" w:themeTint="F2"/>
                <w:spacing w:val="-2"/>
              </w:rPr>
              <w:t>o</w:t>
            </w:r>
            <w:r>
              <w:rPr>
                <w:rFonts w:cs="Arial"/>
                <w:color w:val="0D0D0D" w:themeColor="text1" w:themeTint="F2"/>
                <w:spacing w:val="-2"/>
              </w:rPr>
              <w:t> </w:t>
            </w:r>
            <w:r w:rsidR="008B4CC2" w:rsidRPr="008B4CC2">
              <w:rPr>
                <w:rFonts w:cs="Arial"/>
                <w:color w:val="0D0D0D" w:themeColor="text1" w:themeTint="F2"/>
                <w:spacing w:val="-2"/>
              </w:rPr>
              <w:t>0,8</w:t>
            </w:r>
            <w:r w:rsidR="006454CC">
              <w:rPr>
                <w:rFonts w:cs="Arial"/>
                <w:color w:val="0D0D0D" w:themeColor="text1" w:themeTint="F2"/>
                <w:spacing w:val="-2"/>
              </w:rPr>
              <w:t> p. b.</w:t>
            </w:r>
            <w:r w:rsidR="008B4CC2" w:rsidRPr="008B4CC2">
              <w:rPr>
                <w:rFonts w:cs="Arial"/>
                <w:color w:val="0D0D0D" w:themeColor="text1" w:themeTint="F2"/>
                <w:spacing w:val="-2"/>
              </w:rPr>
              <w:t xml:space="preserve"> více než v předešlém roce). Ačkoliv celoroční tempo se navyšovalo již pátým rokem v řadě a blížilo se úrovni z vrcholu konjunktury minulé dekády, bylo možno vystopovat signály, že mzdová dynamika patrně již dosáhla v rámci současného hospodářského cyklu svého vrcholu</w:t>
            </w:r>
            <w:r w:rsidR="008B4CC2" w:rsidRPr="008B4CC2">
              <w:rPr>
                <w:rStyle w:val="Znakapoznpodarou"/>
                <w:rFonts w:cs="Arial"/>
                <w:color w:val="0D0D0D" w:themeColor="text1" w:themeTint="F2"/>
                <w:spacing w:val="-2"/>
              </w:rPr>
              <w:footnoteReference w:id="2"/>
            </w:r>
            <w:r w:rsidR="008B4CC2" w:rsidRPr="008B4CC2">
              <w:rPr>
                <w:rFonts w:cs="Arial"/>
                <w:color w:val="0D0D0D" w:themeColor="text1" w:themeTint="F2"/>
                <w:spacing w:val="-2"/>
              </w:rPr>
              <w:t xml:space="preserve">. To mohlo souviset </w:t>
            </w:r>
            <w:r w:rsidRPr="008B4CC2">
              <w:rPr>
                <w:rFonts w:cs="Arial"/>
                <w:color w:val="0D0D0D" w:themeColor="text1" w:themeTint="F2"/>
                <w:spacing w:val="-2"/>
              </w:rPr>
              <w:t>i</w:t>
            </w:r>
            <w:r>
              <w:rPr>
                <w:rFonts w:cs="Arial"/>
                <w:color w:val="0D0D0D" w:themeColor="text1" w:themeTint="F2"/>
                <w:spacing w:val="-2"/>
              </w:rPr>
              <w:t> </w:t>
            </w:r>
            <w:r w:rsidR="008B4CC2" w:rsidRPr="008B4CC2">
              <w:rPr>
                <w:rFonts w:cs="Arial"/>
                <w:color w:val="0D0D0D" w:themeColor="text1" w:themeTint="F2"/>
                <w:spacing w:val="-2"/>
              </w:rPr>
              <w:t>s výsledky konju</w:t>
            </w:r>
            <w:r w:rsidR="00AA1FBF">
              <w:rPr>
                <w:rFonts w:cs="Arial"/>
                <w:color w:val="0D0D0D" w:themeColor="text1" w:themeTint="F2"/>
                <w:spacing w:val="-2"/>
              </w:rPr>
              <w:t>n</w:t>
            </w:r>
            <w:r w:rsidR="008B4CC2" w:rsidRPr="008B4CC2">
              <w:rPr>
                <w:rFonts w:cs="Arial"/>
                <w:color w:val="0D0D0D" w:themeColor="text1" w:themeTint="F2"/>
                <w:spacing w:val="-2"/>
              </w:rPr>
              <w:t>kturálních průzkumů naznačujícími opatrnější výhled podniků</w:t>
            </w:r>
            <w:r w:rsidR="00AA1FBF">
              <w:rPr>
                <w:rFonts w:cs="Arial"/>
                <w:color w:val="0D0D0D" w:themeColor="text1" w:themeTint="F2"/>
                <w:spacing w:val="-2"/>
              </w:rPr>
              <w:t xml:space="preserve"> </w:t>
            </w:r>
            <w:r w:rsidR="00AA1FBF" w:rsidRPr="008B4CC2">
              <w:rPr>
                <w:rFonts w:cs="Arial"/>
                <w:color w:val="0D0D0D" w:themeColor="text1" w:themeTint="F2"/>
                <w:spacing w:val="-2"/>
              </w:rPr>
              <w:t xml:space="preserve">(hlavně </w:t>
            </w:r>
            <w:r w:rsidR="00AA1FBF">
              <w:rPr>
                <w:rFonts w:cs="Arial"/>
                <w:color w:val="0D0D0D" w:themeColor="text1" w:themeTint="F2"/>
                <w:spacing w:val="-2"/>
              </w:rPr>
              <w:t xml:space="preserve">těch </w:t>
            </w:r>
            <w:r w:rsidR="00AA1FBF" w:rsidRPr="008B4CC2">
              <w:rPr>
                <w:rFonts w:cs="Arial"/>
                <w:color w:val="0D0D0D" w:themeColor="text1" w:themeTint="F2"/>
                <w:spacing w:val="-2"/>
              </w:rPr>
              <w:t>exportně orientovaných)</w:t>
            </w:r>
            <w:r w:rsidR="008B4CC2" w:rsidRPr="008B4CC2">
              <w:rPr>
                <w:rFonts w:cs="Arial"/>
                <w:color w:val="0D0D0D" w:themeColor="text1" w:themeTint="F2"/>
                <w:spacing w:val="-2"/>
              </w:rPr>
              <w:t xml:space="preserve"> do roku 2019, poklesem míry</w:t>
            </w:r>
            <w:r w:rsidR="00AA1FBF">
              <w:rPr>
                <w:rFonts w:cs="Arial"/>
                <w:color w:val="0D0D0D" w:themeColor="text1" w:themeTint="F2"/>
                <w:spacing w:val="-2"/>
              </w:rPr>
              <w:t xml:space="preserve"> jejich</w:t>
            </w:r>
            <w:r w:rsidR="008B4CC2" w:rsidRPr="008B4CC2">
              <w:rPr>
                <w:rFonts w:cs="Arial"/>
                <w:color w:val="0D0D0D" w:themeColor="text1" w:themeTint="F2"/>
                <w:spacing w:val="-2"/>
              </w:rPr>
              <w:t xml:space="preserve"> ziskovosti i rozevíráním nůžek mezi dynamikou mzdových n</w:t>
            </w:r>
            <w:r w:rsidR="008B4CC2">
              <w:rPr>
                <w:rFonts w:cs="Arial"/>
                <w:color w:val="0D0D0D" w:themeColor="text1" w:themeTint="F2"/>
                <w:spacing w:val="-2"/>
              </w:rPr>
              <w:t xml:space="preserve">ákladů </w:t>
            </w:r>
            <w:r>
              <w:rPr>
                <w:rFonts w:cs="Arial"/>
                <w:color w:val="0D0D0D" w:themeColor="text1" w:themeTint="F2"/>
                <w:spacing w:val="-2"/>
              </w:rPr>
              <w:t>a </w:t>
            </w:r>
            <w:r w:rsidR="008B4CC2">
              <w:rPr>
                <w:rFonts w:cs="Arial"/>
                <w:color w:val="0D0D0D" w:themeColor="text1" w:themeTint="F2"/>
                <w:spacing w:val="-2"/>
              </w:rPr>
              <w:t>produktivitou práce (k</w:t>
            </w:r>
            <w:r w:rsidR="008B4CC2" w:rsidRPr="008B4CC2">
              <w:rPr>
                <w:rFonts w:cs="Arial"/>
                <w:color w:val="0D0D0D" w:themeColor="text1" w:themeTint="F2"/>
                <w:spacing w:val="-2"/>
              </w:rPr>
              <w:t xml:space="preserve"> němuž docházelo v posledních třech letech). Na </w:t>
            </w:r>
            <w:r w:rsidR="00AA1FBF">
              <w:rPr>
                <w:rFonts w:cs="Arial"/>
                <w:color w:val="0D0D0D" w:themeColor="text1" w:themeTint="F2"/>
                <w:spacing w:val="-2"/>
              </w:rPr>
              <w:t>druhé straně</w:t>
            </w:r>
            <w:r w:rsidR="008B4CC2" w:rsidRPr="008B4CC2">
              <w:rPr>
                <w:rFonts w:cs="Arial"/>
                <w:color w:val="0D0D0D" w:themeColor="text1" w:themeTint="F2"/>
                <w:spacing w:val="-2"/>
              </w:rPr>
              <w:t xml:space="preserve"> významnějšímu zvolnění mzdového růstu v podnikové sféře bránila stále silná poptávka po pracovnících, která při praktickém vyčerpání volných pracovních sil v tuzemsku nemohla být adekvátně uspokojena.</w:t>
            </w:r>
          </w:p>
        </w:tc>
      </w:tr>
      <w:tr w:rsidR="008B4CC2" w14:paraId="7C8831F9" w14:textId="77777777" w:rsidTr="00A500A7">
        <w:trPr>
          <w:trHeight w:val="145"/>
        </w:trPr>
        <w:tc>
          <w:tcPr>
            <w:tcW w:w="1976" w:type="dxa"/>
            <w:tcBorders>
              <w:top w:val="nil"/>
              <w:left w:val="nil"/>
              <w:bottom w:val="nil"/>
              <w:right w:val="nil"/>
            </w:tcBorders>
          </w:tcPr>
          <w:p w14:paraId="1A899A25" w14:textId="77777777" w:rsidR="008B4CC2" w:rsidRDefault="008B4CC2" w:rsidP="00A500A7">
            <w:pPr>
              <w:pStyle w:val="Marginlie"/>
            </w:pPr>
            <w:r>
              <w:t>Kupní síla mezd vzrostla nejvíce za posledních patnáct let.</w:t>
            </w:r>
          </w:p>
        </w:tc>
        <w:tc>
          <w:tcPr>
            <w:tcW w:w="277" w:type="dxa"/>
            <w:tcBorders>
              <w:top w:val="nil"/>
              <w:left w:val="nil"/>
              <w:bottom w:val="nil"/>
              <w:right w:val="nil"/>
            </w:tcBorders>
          </w:tcPr>
          <w:p w14:paraId="2BEB49DF" w14:textId="77777777" w:rsidR="008B4CC2" w:rsidRPr="005E4483" w:rsidRDefault="008B4CC2" w:rsidP="00A500A7">
            <w:pPr>
              <w:pStyle w:val="Textpoznpodarou"/>
              <w:jc w:val="both"/>
              <w:rPr>
                <w:spacing w:val="-4"/>
              </w:rPr>
            </w:pPr>
          </w:p>
        </w:tc>
        <w:tc>
          <w:tcPr>
            <w:tcW w:w="7391" w:type="dxa"/>
            <w:tcBorders>
              <w:top w:val="nil"/>
              <w:left w:val="nil"/>
              <w:bottom w:val="nil"/>
              <w:right w:val="nil"/>
            </w:tcBorders>
          </w:tcPr>
          <w:p w14:paraId="7C7DADF9" w14:textId="02AED569" w:rsidR="008B4CC2" w:rsidRPr="008B4CC2" w:rsidRDefault="008B4CC2" w:rsidP="00A500A7">
            <w:pPr>
              <w:spacing w:after="220"/>
              <w:rPr>
                <w:spacing w:val="-2"/>
              </w:rPr>
            </w:pPr>
            <w:r w:rsidRPr="008B4CC2">
              <w:rPr>
                <w:rFonts w:cs="Arial"/>
                <w:color w:val="0D0D0D" w:themeColor="text1" w:themeTint="F2"/>
                <w:spacing w:val="-2"/>
              </w:rPr>
              <w:t xml:space="preserve">Z přetrvávajícího napětí na pracovním trhu tak profitovali především zaměstnanci. Navzdory svižnému růstu spotřebitelských cen vzrostla loni kupní síla jejich průměrných výdělků </w:t>
            </w:r>
            <w:r w:rsidR="00BC7833" w:rsidRPr="008B4CC2">
              <w:rPr>
                <w:rFonts w:cs="Arial"/>
                <w:color w:val="0D0D0D" w:themeColor="text1" w:themeTint="F2"/>
                <w:spacing w:val="-2"/>
              </w:rPr>
              <w:t>o</w:t>
            </w:r>
            <w:r w:rsidR="00BC7833">
              <w:rPr>
                <w:rFonts w:cs="Arial"/>
                <w:color w:val="0D0D0D" w:themeColor="text1" w:themeTint="F2"/>
                <w:spacing w:val="-2"/>
              </w:rPr>
              <w:t> </w:t>
            </w:r>
            <w:r w:rsidRPr="008B4CC2">
              <w:rPr>
                <w:rFonts w:cs="Arial"/>
                <w:color w:val="0D0D0D" w:themeColor="text1" w:themeTint="F2"/>
                <w:spacing w:val="-2"/>
              </w:rPr>
              <w:t>5,3</w:t>
            </w:r>
            <w:r w:rsidR="006454CC">
              <w:rPr>
                <w:rFonts w:cs="Arial"/>
                <w:color w:val="0D0D0D" w:themeColor="text1" w:themeTint="F2"/>
                <w:spacing w:val="-2"/>
              </w:rPr>
              <w:t> %</w:t>
            </w:r>
            <w:r w:rsidR="0037734D">
              <w:rPr>
                <w:rFonts w:cs="Arial"/>
                <w:color w:val="0D0D0D" w:themeColor="text1" w:themeTint="F2"/>
                <w:spacing w:val="-2"/>
              </w:rPr>
              <w:t xml:space="preserve"> – </w:t>
            </w:r>
            <w:r w:rsidRPr="008B4CC2">
              <w:rPr>
                <w:rFonts w:cs="Arial"/>
                <w:color w:val="0D0D0D" w:themeColor="text1" w:themeTint="F2"/>
                <w:spacing w:val="-2"/>
              </w:rPr>
              <w:t>nejsilněji za posledních patnáct let. Významné posílení kupní síly pocítili zaměstnanci napříč všemi hlavními od</w:t>
            </w:r>
            <w:r>
              <w:rPr>
                <w:rFonts w:cs="Arial"/>
                <w:color w:val="0D0D0D" w:themeColor="text1" w:themeTint="F2"/>
                <w:spacing w:val="-2"/>
              </w:rPr>
              <w:t>větví</w:t>
            </w:r>
            <w:r w:rsidR="00AA1FBF">
              <w:rPr>
                <w:rFonts w:cs="Arial"/>
                <w:color w:val="0D0D0D" w:themeColor="text1" w:themeTint="F2"/>
                <w:spacing w:val="-2"/>
              </w:rPr>
              <w:t>mi</w:t>
            </w:r>
            <w:r>
              <w:rPr>
                <w:rFonts w:cs="Arial"/>
                <w:color w:val="0D0D0D" w:themeColor="text1" w:themeTint="F2"/>
                <w:spacing w:val="-2"/>
              </w:rPr>
              <w:t xml:space="preserve"> </w:t>
            </w:r>
            <w:r w:rsidR="00BC7833">
              <w:rPr>
                <w:rFonts w:cs="Arial"/>
                <w:color w:val="0D0D0D" w:themeColor="text1" w:themeTint="F2"/>
                <w:spacing w:val="-2"/>
              </w:rPr>
              <w:t>a </w:t>
            </w:r>
            <w:r>
              <w:rPr>
                <w:rFonts w:cs="Arial"/>
                <w:color w:val="0D0D0D" w:themeColor="text1" w:themeTint="F2"/>
                <w:spacing w:val="-2"/>
              </w:rPr>
              <w:t>také ve všech krajích Česka</w:t>
            </w:r>
            <w:r w:rsidRPr="008B4CC2">
              <w:rPr>
                <w:rFonts w:cs="Arial"/>
                <w:color w:val="0D0D0D" w:themeColor="text1" w:themeTint="F2"/>
                <w:spacing w:val="-2"/>
              </w:rPr>
              <w:t>.</w:t>
            </w:r>
          </w:p>
        </w:tc>
      </w:tr>
      <w:tr w:rsidR="008B4CC2" w14:paraId="4A7DBCED" w14:textId="77777777" w:rsidTr="00A500A7">
        <w:trPr>
          <w:trHeight w:val="145"/>
        </w:trPr>
        <w:tc>
          <w:tcPr>
            <w:tcW w:w="1976" w:type="dxa"/>
            <w:tcBorders>
              <w:top w:val="nil"/>
              <w:left w:val="nil"/>
              <w:bottom w:val="nil"/>
              <w:right w:val="nil"/>
            </w:tcBorders>
          </w:tcPr>
          <w:p w14:paraId="0FF21BDD" w14:textId="77777777" w:rsidR="008B4CC2" w:rsidRDefault="008B4CC2" w:rsidP="008B4CC2">
            <w:pPr>
              <w:pStyle w:val="Marginlie"/>
            </w:pPr>
            <w:r>
              <w:t>Rozdíly ve mzdové dynamice mezi odvětvími se loni mírně snížily. Nejvíce rostly výdělky v odvětvích s dominancí veřejného sektoru.</w:t>
            </w:r>
          </w:p>
        </w:tc>
        <w:tc>
          <w:tcPr>
            <w:tcW w:w="277" w:type="dxa"/>
            <w:tcBorders>
              <w:top w:val="nil"/>
              <w:left w:val="nil"/>
              <w:bottom w:val="nil"/>
              <w:right w:val="nil"/>
            </w:tcBorders>
          </w:tcPr>
          <w:p w14:paraId="5623B13E" w14:textId="77777777" w:rsidR="008B4CC2" w:rsidRPr="005E4483" w:rsidRDefault="008B4CC2" w:rsidP="008B4CC2">
            <w:pPr>
              <w:pStyle w:val="Textpoznpodarou"/>
              <w:jc w:val="both"/>
              <w:rPr>
                <w:spacing w:val="-4"/>
              </w:rPr>
            </w:pPr>
          </w:p>
        </w:tc>
        <w:tc>
          <w:tcPr>
            <w:tcW w:w="7391" w:type="dxa"/>
            <w:tcBorders>
              <w:top w:val="nil"/>
              <w:left w:val="nil"/>
              <w:bottom w:val="nil"/>
              <w:right w:val="nil"/>
            </w:tcBorders>
          </w:tcPr>
          <w:p w14:paraId="32538E10" w14:textId="4430C268" w:rsidR="008B4CC2" w:rsidRDefault="00BC7833" w:rsidP="008B4CC2">
            <w:pPr>
              <w:spacing w:after="220"/>
              <w:rPr>
                <w:rFonts w:cs="Arial"/>
                <w:color w:val="0D0D0D" w:themeColor="text1" w:themeTint="F2"/>
                <w:spacing w:val="-4"/>
              </w:rPr>
            </w:pPr>
            <w:r>
              <w:rPr>
                <w:rFonts w:cs="Arial"/>
                <w:color w:val="0D0D0D" w:themeColor="text1" w:themeTint="F2"/>
                <w:spacing w:val="-4"/>
              </w:rPr>
              <w:t>V </w:t>
            </w:r>
            <w:r w:rsidR="008B4CC2">
              <w:rPr>
                <w:rFonts w:cs="Arial"/>
                <w:color w:val="0D0D0D" w:themeColor="text1" w:themeTint="F2"/>
                <w:spacing w:val="-4"/>
              </w:rPr>
              <w:t>úhrnu za celý rok 2018 činila průměrná hrubá měsíční mzda po přepočtu na plný úvazek zaměstnance 31 868 korun. Rozdíly relativních mzdových temp mezi hlavními odvětvími (1</w:t>
            </w:r>
            <w:r w:rsidR="00D82A1E">
              <w:rPr>
                <w:rFonts w:cs="Arial"/>
                <w:color w:val="0D0D0D" w:themeColor="text1" w:themeTint="F2"/>
                <w:spacing w:val="-4"/>
              </w:rPr>
              <w:t>9 </w:t>
            </w:r>
            <w:r w:rsidR="008B4CC2">
              <w:rPr>
                <w:rFonts w:cs="Arial"/>
                <w:color w:val="0D0D0D" w:themeColor="text1" w:themeTint="F2"/>
                <w:spacing w:val="-4"/>
              </w:rPr>
              <w:t>odvětvových sekcí ekonomiky) se loni oproti letům 2015 až 2017 snížily. Tehdy se výrazně projevil vliv opakovaného navyšovaní hranice minimální mzdy (</w:t>
            </w:r>
            <w:r>
              <w:rPr>
                <w:rFonts w:cs="Arial"/>
                <w:color w:val="0D0D0D" w:themeColor="text1" w:themeTint="F2"/>
                <w:spacing w:val="-4"/>
              </w:rPr>
              <w:t>a </w:t>
            </w:r>
            <w:r w:rsidR="008B4CC2">
              <w:rPr>
                <w:rFonts w:cs="Arial"/>
                <w:color w:val="0D0D0D" w:themeColor="text1" w:themeTint="F2"/>
                <w:spacing w:val="-4"/>
              </w:rPr>
              <w:t>od ní odvozených pásem zaručené mzdy)</w:t>
            </w:r>
            <w:r w:rsidR="00AA1FBF">
              <w:rPr>
                <w:rFonts w:cs="Arial"/>
                <w:color w:val="0D0D0D" w:themeColor="text1" w:themeTint="F2"/>
                <w:spacing w:val="-4"/>
              </w:rPr>
              <w:t>,</w:t>
            </w:r>
            <w:r w:rsidR="008B4CC2">
              <w:rPr>
                <w:rFonts w:cs="Arial"/>
                <w:color w:val="0D0D0D" w:themeColor="text1" w:themeTint="F2"/>
                <w:spacing w:val="-4"/>
              </w:rPr>
              <w:t xml:space="preserve"> </w:t>
            </w:r>
            <w:r>
              <w:rPr>
                <w:rFonts w:cs="Arial"/>
                <w:color w:val="0D0D0D" w:themeColor="text1" w:themeTint="F2"/>
                <w:spacing w:val="-4"/>
              </w:rPr>
              <w:t>a </w:t>
            </w:r>
            <w:r w:rsidR="008B4CC2">
              <w:rPr>
                <w:rFonts w:cs="Arial"/>
                <w:color w:val="0D0D0D" w:themeColor="text1" w:themeTint="F2"/>
                <w:spacing w:val="-4"/>
              </w:rPr>
              <w:t xml:space="preserve">nejvíce tak rostly výdělky </w:t>
            </w:r>
            <w:r>
              <w:rPr>
                <w:rFonts w:cs="Arial"/>
                <w:color w:val="0D0D0D" w:themeColor="text1" w:themeTint="F2"/>
                <w:spacing w:val="-4"/>
              </w:rPr>
              <w:t>v </w:t>
            </w:r>
            <w:r w:rsidR="008B4CC2">
              <w:rPr>
                <w:rFonts w:cs="Arial"/>
                <w:color w:val="0D0D0D" w:themeColor="text1" w:themeTint="F2"/>
                <w:spacing w:val="-4"/>
              </w:rPr>
              <w:t>odvětvích s výrazně podprůměrnou mzdovou úrovní. Postupně byl ale tento faktor zastíněn rozpočtovou politikou státu, v níž se projevila preference mzdových výdajů v oblasti veřejných služeb. V roce 2018 se tak mezi čtyřmi odvětvími s nejsilnějšími mzdovými tempy nacházel</w:t>
            </w:r>
            <w:r w:rsidR="00AA1FBF">
              <w:rPr>
                <w:rFonts w:cs="Arial"/>
                <w:color w:val="0D0D0D" w:themeColor="text1" w:themeTint="F2"/>
                <w:spacing w:val="-4"/>
              </w:rPr>
              <w:t>a</w:t>
            </w:r>
            <w:r w:rsidR="008B4CC2">
              <w:rPr>
                <w:rFonts w:cs="Arial"/>
                <w:color w:val="0D0D0D" w:themeColor="text1" w:themeTint="F2"/>
                <w:spacing w:val="-4"/>
              </w:rPr>
              <w:t xml:space="preserve"> jen t</w:t>
            </w:r>
            <w:r w:rsidR="00AA1FBF">
              <w:rPr>
                <w:rFonts w:cs="Arial"/>
                <w:color w:val="0D0D0D" w:themeColor="text1" w:themeTint="F2"/>
                <w:spacing w:val="-4"/>
              </w:rPr>
              <w:t>a</w:t>
            </w:r>
            <w:r w:rsidR="008B4CC2">
              <w:rPr>
                <w:rFonts w:cs="Arial"/>
                <w:color w:val="0D0D0D" w:themeColor="text1" w:themeTint="F2"/>
                <w:spacing w:val="-4"/>
              </w:rPr>
              <w:t xml:space="preserve">, kde dominoval veřejný sektor. To platilo hlavně </w:t>
            </w:r>
            <w:r>
              <w:rPr>
                <w:rFonts w:cs="Arial"/>
                <w:color w:val="0D0D0D" w:themeColor="text1" w:themeTint="F2"/>
                <w:spacing w:val="-4"/>
              </w:rPr>
              <w:t>o </w:t>
            </w:r>
            <w:r w:rsidR="008B4CC2">
              <w:rPr>
                <w:rFonts w:cs="Arial"/>
                <w:color w:val="0D0D0D" w:themeColor="text1" w:themeTint="F2"/>
                <w:spacing w:val="-4"/>
              </w:rPr>
              <w:t>vzdělávání (+10,7</w:t>
            </w:r>
            <w:r w:rsidR="006454CC">
              <w:rPr>
                <w:rFonts w:cs="Arial"/>
                <w:color w:val="0D0D0D" w:themeColor="text1" w:themeTint="F2"/>
                <w:spacing w:val="-4"/>
              </w:rPr>
              <w:t> %</w:t>
            </w:r>
            <w:r w:rsidR="008B4CC2">
              <w:rPr>
                <w:rFonts w:cs="Arial"/>
                <w:color w:val="0D0D0D" w:themeColor="text1" w:themeTint="F2"/>
                <w:spacing w:val="-4"/>
              </w:rPr>
              <w:t xml:space="preserve">), v menší míře </w:t>
            </w:r>
            <w:r>
              <w:rPr>
                <w:rFonts w:cs="Arial"/>
                <w:color w:val="0D0D0D" w:themeColor="text1" w:themeTint="F2"/>
                <w:spacing w:val="-4"/>
              </w:rPr>
              <w:t>o </w:t>
            </w:r>
            <w:r w:rsidR="008B4CC2">
              <w:rPr>
                <w:rFonts w:cs="Arial"/>
                <w:color w:val="0D0D0D" w:themeColor="text1" w:themeTint="F2"/>
                <w:spacing w:val="-4"/>
              </w:rPr>
              <w:t>z</w:t>
            </w:r>
            <w:r w:rsidR="008B4CC2" w:rsidRPr="00FB162A">
              <w:rPr>
                <w:rFonts w:cs="Arial"/>
                <w:color w:val="0D0D0D" w:themeColor="text1" w:themeTint="F2"/>
                <w:spacing w:val="-4"/>
              </w:rPr>
              <w:t xml:space="preserve">dravotní </w:t>
            </w:r>
            <w:r w:rsidRPr="00FB162A">
              <w:rPr>
                <w:rFonts w:cs="Arial"/>
                <w:color w:val="0D0D0D" w:themeColor="text1" w:themeTint="F2"/>
                <w:spacing w:val="-4"/>
              </w:rPr>
              <w:t>a</w:t>
            </w:r>
            <w:r w:rsidR="008B4CC2">
              <w:rPr>
                <w:rFonts w:cs="Arial"/>
                <w:color w:val="0D0D0D" w:themeColor="text1" w:themeTint="F2"/>
                <w:spacing w:val="-4"/>
              </w:rPr>
              <w:t> sociální péči (+8,4</w:t>
            </w:r>
            <w:r w:rsidR="006454CC">
              <w:rPr>
                <w:rFonts w:cs="Arial"/>
                <w:color w:val="0D0D0D" w:themeColor="text1" w:themeTint="F2"/>
                <w:spacing w:val="-4"/>
              </w:rPr>
              <w:t> %</w:t>
            </w:r>
            <w:r w:rsidR="008B4CC2">
              <w:rPr>
                <w:rFonts w:cs="Arial"/>
                <w:color w:val="0D0D0D" w:themeColor="text1" w:themeTint="F2"/>
                <w:spacing w:val="-4"/>
              </w:rPr>
              <w:t xml:space="preserve">). Přestože mzdy pracovníků ve vzdělávání rostly nejvíce po roce 2003, úroveň výdělků zde ve srovnání </w:t>
            </w:r>
            <w:r>
              <w:rPr>
                <w:rFonts w:cs="Arial"/>
                <w:color w:val="0D0D0D" w:themeColor="text1" w:themeTint="F2"/>
                <w:spacing w:val="-4"/>
              </w:rPr>
              <w:t>s </w:t>
            </w:r>
            <w:r w:rsidR="008B4CC2">
              <w:rPr>
                <w:rFonts w:cs="Arial"/>
                <w:color w:val="0D0D0D" w:themeColor="text1" w:themeTint="F2"/>
                <w:spacing w:val="-4"/>
              </w:rPr>
              <w:t xml:space="preserve">celou ekonomikou nadále mírně zaostávala. Souvisí to </w:t>
            </w:r>
            <w:r>
              <w:rPr>
                <w:rFonts w:cs="Arial"/>
                <w:color w:val="0D0D0D" w:themeColor="text1" w:themeTint="F2"/>
                <w:spacing w:val="-4"/>
              </w:rPr>
              <w:t>i </w:t>
            </w:r>
            <w:r w:rsidR="008B4CC2">
              <w:rPr>
                <w:rFonts w:cs="Arial"/>
                <w:color w:val="0D0D0D" w:themeColor="text1" w:themeTint="F2"/>
                <w:spacing w:val="-4"/>
              </w:rPr>
              <w:t>se skutečností, že v letech 2014 až 2017 byl mzdový růst ve vzdělávání v rámci ostatních odvětví s dominancí veřejného sektoru vždy nejslabší.</w:t>
            </w:r>
          </w:p>
        </w:tc>
      </w:tr>
      <w:tr w:rsidR="008E0EB6" w14:paraId="37104D45" w14:textId="77777777" w:rsidTr="00A500A7">
        <w:trPr>
          <w:trHeight w:val="145"/>
        </w:trPr>
        <w:tc>
          <w:tcPr>
            <w:tcW w:w="1976" w:type="dxa"/>
            <w:tcBorders>
              <w:top w:val="nil"/>
              <w:left w:val="nil"/>
              <w:bottom w:val="nil"/>
              <w:right w:val="nil"/>
            </w:tcBorders>
          </w:tcPr>
          <w:p w14:paraId="54C5A404" w14:textId="77777777" w:rsidR="008E0EB6" w:rsidRDefault="008E0EB6" w:rsidP="008E0EB6">
            <w:pPr>
              <w:pStyle w:val="Marginlie"/>
            </w:pPr>
            <w:r>
              <w:t xml:space="preserve">Ve stavebnictví se tempo mzdového růstu zdvojnásobilo </w:t>
            </w:r>
            <w:r w:rsidR="00BC7833">
              <w:t>a </w:t>
            </w:r>
            <w:r>
              <w:t>mezi tržními odvětvími dosáhlo maxima.</w:t>
            </w:r>
          </w:p>
        </w:tc>
        <w:tc>
          <w:tcPr>
            <w:tcW w:w="277" w:type="dxa"/>
            <w:tcBorders>
              <w:top w:val="nil"/>
              <w:left w:val="nil"/>
              <w:bottom w:val="nil"/>
              <w:right w:val="nil"/>
            </w:tcBorders>
          </w:tcPr>
          <w:p w14:paraId="3D321814" w14:textId="77777777" w:rsidR="008E0EB6" w:rsidRPr="005E4483" w:rsidRDefault="008E0EB6" w:rsidP="008E0EB6">
            <w:pPr>
              <w:pStyle w:val="Textpoznpodarou"/>
              <w:jc w:val="both"/>
              <w:rPr>
                <w:spacing w:val="-4"/>
              </w:rPr>
            </w:pPr>
          </w:p>
        </w:tc>
        <w:tc>
          <w:tcPr>
            <w:tcW w:w="7391" w:type="dxa"/>
            <w:tcBorders>
              <w:top w:val="nil"/>
              <w:left w:val="nil"/>
              <w:bottom w:val="nil"/>
              <w:right w:val="nil"/>
            </w:tcBorders>
          </w:tcPr>
          <w:p w14:paraId="45D27CF3" w14:textId="3B9F5111" w:rsidR="008E0EB6" w:rsidRDefault="008E0EB6" w:rsidP="008E0EB6">
            <w:pPr>
              <w:spacing w:after="220"/>
              <w:rPr>
                <w:rFonts w:cs="Arial"/>
                <w:color w:val="0D0D0D" w:themeColor="text1" w:themeTint="F2"/>
                <w:spacing w:val="-4"/>
              </w:rPr>
            </w:pPr>
            <w:r>
              <w:rPr>
                <w:rFonts w:cs="Arial"/>
                <w:color w:val="0D0D0D" w:themeColor="text1" w:themeTint="F2"/>
                <w:spacing w:val="-4"/>
              </w:rPr>
              <w:t>Z tržních odvětví se loni nejvíce dařilo stavebnictví, kde se nedostatek pracovníků</w:t>
            </w:r>
            <w:r w:rsidR="0064464B">
              <w:rPr>
                <w:rFonts w:cs="Arial"/>
                <w:color w:val="0D0D0D" w:themeColor="text1" w:themeTint="F2"/>
                <w:spacing w:val="-4"/>
              </w:rPr>
              <w:t>,</w:t>
            </w:r>
            <w:r>
              <w:rPr>
                <w:rFonts w:cs="Arial"/>
                <w:color w:val="0D0D0D" w:themeColor="text1" w:themeTint="F2"/>
                <w:spacing w:val="-4"/>
              </w:rPr>
              <w:t xml:space="preserve"> umocněný souběžným svižným růstem zásoby práce</w:t>
            </w:r>
            <w:r w:rsidR="0064464B">
              <w:rPr>
                <w:rFonts w:cs="Arial"/>
                <w:color w:val="0D0D0D" w:themeColor="text1" w:themeTint="F2"/>
                <w:spacing w:val="-4"/>
              </w:rPr>
              <w:t>,</w:t>
            </w:r>
            <w:r>
              <w:rPr>
                <w:rFonts w:cs="Arial"/>
                <w:color w:val="0D0D0D" w:themeColor="text1" w:themeTint="F2"/>
                <w:spacing w:val="-4"/>
              </w:rPr>
              <w:t xml:space="preserve"> projevoval nejpalčivěji. Mzdové tempo se zde oproti roku 2017 téměř zdvojnásobilo (na +7,9</w:t>
            </w:r>
            <w:r w:rsidR="006454CC">
              <w:rPr>
                <w:rFonts w:cs="Arial"/>
                <w:color w:val="0D0D0D" w:themeColor="text1" w:themeTint="F2"/>
                <w:spacing w:val="-4"/>
              </w:rPr>
              <w:t> %</w:t>
            </w:r>
            <w:r>
              <w:rPr>
                <w:rFonts w:cs="Arial"/>
                <w:color w:val="0D0D0D" w:themeColor="text1" w:themeTint="F2"/>
                <w:spacing w:val="-4"/>
              </w:rPr>
              <w:t xml:space="preserve">). Ve zpracovatelském průmyslu výdělky vzrostly o 7,0 % </w:t>
            </w:r>
            <w:r w:rsidR="00BC7833">
              <w:rPr>
                <w:rFonts w:cs="Arial"/>
                <w:color w:val="0D0D0D" w:themeColor="text1" w:themeTint="F2"/>
                <w:spacing w:val="-4"/>
              </w:rPr>
              <w:t>a </w:t>
            </w:r>
            <w:r>
              <w:rPr>
                <w:rFonts w:cs="Arial"/>
                <w:color w:val="0D0D0D" w:themeColor="text1" w:themeTint="F2"/>
                <w:spacing w:val="-4"/>
              </w:rPr>
              <w:t xml:space="preserve">při skromném posílení zaměstnanosti zde poprvé </w:t>
            </w:r>
            <w:r>
              <w:rPr>
                <w:rFonts w:cs="Arial"/>
                <w:color w:val="0D0D0D" w:themeColor="text1" w:themeTint="F2"/>
                <w:spacing w:val="-4"/>
              </w:rPr>
              <w:lastRenderedPageBreak/>
              <w:t>od roku 2009</w:t>
            </w:r>
            <w:r w:rsidRPr="003607F1">
              <w:rPr>
                <w:rFonts w:cs="Arial"/>
                <w:color w:val="0D0D0D" w:themeColor="text1" w:themeTint="F2"/>
                <w:spacing w:val="-4"/>
              </w:rPr>
              <w:t xml:space="preserve"> objem vyplacených mezd za tempem v celé ekonomice</w:t>
            </w:r>
            <w:r>
              <w:rPr>
                <w:rFonts w:cs="Arial"/>
                <w:color w:val="0D0D0D" w:themeColor="text1" w:themeTint="F2"/>
                <w:spacing w:val="-4"/>
              </w:rPr>
              <w:t xml:space="preserve"> </w:t>
            </w:r>
            <w:r w:rsidRPr="003607F1">
              <w:rPr>
                <w:rFonts w:cs="Arial"/>
                <w:color w:val="0D0D0D" w:themeColor="text1" w:themeTint="F2"/>
                <w:spacing w:val="-4"/>
              </w:rPr>
              <w:t>zaostal.</w:t>
            </w:r>
            <w:r>
              <w:rPr>
                <w:rFonts w:cs="Arial"/>
                <w:color w:val="0D0D0D" w:themeColor="text1" w:themeTint="F2"/>
                <w:spacing w:val="-4"/>
              </w:rPr>
              <w:t xml:space="preserve"> Slabší tempo průměrných mezd měla loni </w:t>
            </w:r>
            <w:r w:rsidR="00BC7833">
              <w:rPr>
                <w:rFonts w:cs="Arial"/>
                <w:color w:val="0D0D0D" w:themeColor="text1" w:themeTint="F2"/>
                <w:spacing w:val="-4"/>
              </w:rPr>
              <w:t>i </w:t>
            </w:r>
            <w:r>
              <w:rPr>
                <w:rFonts w:cs="Arial"/>
                <w:color w:val="0D0D0D" w:themeColor="text1" w:themeTint="F2"/>
                <w:spacing w:val="-4"/>
              </w:rPr>
              <w:t>dvě odvětví s nejnižší úrovní výdělků</w:t>
            </w:r>
            <w:r w:rsidR="0037734D">
              <w:rPr>
                <w:rFonts w:cs="Arial"/>
                <w:color w:val="0D0D0D" w:themeColor="text1" w:themeTint="F2"/>
                <w:spacing w:val="-4"/>
              </w:rPr>
              <w:t xml:space="preserve"> – </w:t>
            </w:r>
            <w:r>
              <w:rPr>
                <w:rFonts w:cs="Arial"/>
                <w:color w:val="0D0D0D" w:themeColor="text1" w:themeTint="F2"/>
                <w:spacing w:val="-4"/>
              </w:rPr>
              <w:t xml:space="preserve">pohostinství, ubytování </w:t>
            </w:r>
            <w:r w:rsidR="00BC7833">
              <w:rPr>
                <w:rFonts w:cs="Arial"/>
                <w:color w:val="0D0D0D" w:themeColor="text1" w:themeTint="F2"/>
                <w:spacing w:val="-4"/>
              </w:rPr>
              <w:t>a </w:t>
            </w:r>
            <w:r>
              <w:rPr>
                <w:rFonts w:cs="Arial"/>
                <w:color w:val="0D0D0D" w:themeColor="text1" w:themeTint="F2"/>
                <w:spacing w:val="-4"/>
              </w:rPr>
              <w:t xml:space="preserve">stravování </w:t>
            </w:r>
            <w:r w:rsidR="00BC7833">
              <w:rPr>
                <w:rFonts w:cs="Arial"/>
                <w:color w:val="0D0D0D" w:themeColor="text1" w:themeTint="F2"/>
                <w:spacing w:val="-4"/>
              </w:rPr>
              <w:t>a </w:t>
            </w:r>
            <w:r>
              <w:rPr>
                <w:rFonts w:cs="Arial"/>
                <w:color w:val="0D0D0D" w:themeColor="text1" w:themeTint="F2"/>
                <w:spacing w:val="-4"/>
              </w:rPr>
              <w:t xml:space="preserve">také administrativní </w:t>
            </w:r>
            <w:r w:rsidR="00BC7833">
              <w:rPr>
                <w:rFonts w:cs="Arial"/>
                <w:color w:val="0D0D0D" w:themeColor="text1" w:themeTint="F2"/>
                <w:spacing w:val="-4"/>
              </w:rPr>
              <w:t>a </w:t>
            </w:r>
            <w:r>
              <w:rPr>
                <w:rFonts w:cs="Arial"/>
                <w:color w:val="0D0D0D" w:themeColor="text1" w:themeTint="F2"/>
                <w:spacing w:val="-4"/>
              </w:rPr>
              <w:t>podpůrné činnosti</w:t>
            </w:r>
            <w:r>
              <w:rPr>
                <w:rStyle w:val="Znakapoznpodarou"/>
                <w:rFonts w:cs="Arial"/>
                <w:color w:val="0D0D0D" w:themeColor="text1" w:themeTint="F2"/>
                <w:spacing w:val="-4"/>
              </w:rPr>
              <w:footnoteReference w:id="3"/>
            </w:r>
            <w:r>
              <w:rPr>
                <w:rFonts w:cs="Arial"/>
                <w:color w:val="0D0D0D" w:themeColor="text1" w:themeTint="F2"/>
                <w:spacing w:val="-4"/>
              </w:rPr>
              <w:t xml:space="preserve">. Relativně nejméně pak </w:t>
            </w:r>
            <w:r>
              <w:rPr>
                <w:rFonts w:cs="Arial"/>
                <w:color w:val="0D0D0D" w:themeColor="text1" w:themeTint="F2"/>
                <w:spacing w:val="-5"/>
              </w:rPr>
              <w:t xml:space="preserve">posílily mzdy </w:t>
            </w:r>
            <w:r w:rsidRPr="00FC5F1F">
              <w:rPr>
                <w:rFonts w:cs="Arial"/>
                <w:color w:val="0D0D0D" w:themeColor="text1" w:themeTint="F2"/>
                <w:spacing w:val="-5"/>
              </w:rPr>
              <w:t>v nejlépe placených odvětvích</w:t>
            </w:r>
            <w:r w:rsidR="0037734D">
              <w:rPr>
                <w:rFonts w:cs="Arial"/>
                <w:color w:val="0D0D0D" w:themeColor="text1" w:themeTint="F2"/>
                <w:spacing w:val="-5"/>
              </w:rPr>
              <w:t xml:space="preserve"> – </w:t>
            </w:r>
            <w:r w:rsidRPr="00FC5F1F">
              <w:rPr>
                <w:rFonts w:cs="Arial"/>
                <w:color w:val="0D0D0D" w:themeColor="text1" w:themeTint="F2"/>
                <w:spacing w:val="-5"/>
              </w:rPr>
              <w:t>v informačních a komunikačních</w:t>
            </w:r>
            <w:r>
              <w:rPr>
                <w:rFonts w:cs="Arial"/>
                <w:color w:val="0D0D0D" w:themeColor="text1" w:themeTint="F2"/>
                <w:spacing w:val="-4"/>
              </w:rPr>
              <w:t xml:space="preserve"> činnostech </w:t>
            </w:r>
            <w:r w:rsidR="00BC7833">
              <w:rPr>
                <w:rFonts w:cs="Arial"/>
                <w:color w:val="0D0D0D" w:themeColor="text1" w:themeTint="F2"/>
                <w:spacing w:val="-4"/>
              </w:rPr>
              <w:t>a </w:t>
            </w:r>
            <w:r>
              <w:rPr>
                <w:rFonts w:cs="Arial"/>
                <w:color w:val="0D0D0D" w:themeColor="text1" w:themeTint="F2"/>
                <w:spacing w:val="-4"/>
              </w:rPr>
              <w:t>ve finančnictví. Jejich růst za tempy v celé ekonomice zaostával již čtvrtým rokem v řadě</w:t>
            </w:r>
            <w:r>
              <w:rPr>
                <w:rStyle w:val="Znakapoznpodarou"/>
                <w:rFonts w:cs="Arial"/>
                <w:color w:val="0D0D0D" w:themeColor="text1" w:themeTint="F2"/>
                <w:spacing w:val="-4"/>
              </w:rPr>
              <w:footnoteReference w:id="4"/>
            </w:r>
            <w:r>
              <w:rPr>
                <w:rFonts w:cs="Arial"/>
                <w:color w:val="0D0D0D" w:themeColor="text1" w:themeTint="F2"/>
                <w:spacing w:val="-4"/>
              </w:rPr>
              <w:t xml:space="preserve">, </w:t>
            </w:r>
            <w:r w:rsidR="0064464B">
              <w:rPr>
                <w:rFonts w:cs="Arial"/>
                <w:color w:val="0D0D0D" w:themeColor="text1" w:themeTint="F2"/>
                <w:spacing w:val="-4"/>
              </w:rPr>
              <w:t>v absolutním vyjádření</w:t>
            </w:r>
            <w:r>
              <w:rPr>
                <w:rFonts w:cs="Arial"/>
                <w:color w:val="0D0D0D" w:themeColor="text1" w:themeTint="F2"/>
                <w:spacing w:val="-4"/>
              </w:rPr>
              <w:t xml:space="preserve"> si však tito zaměstnanci na hrubé mzdě loni polepšili nejvíce ze všech tržních odvětví (</w:t>
            </w:r>
            <w:r w:rsidR="00BC7833">
              <w:rPr>
                <w:rFonts w:cs="Arial"/>
                <w:color w:val="0D0D0D" w:themeColor="text1" w:themeTint="F2"/>
                <w:spacing w:val="-4"/>
              </w:rPr>
              <w:t>v </w:t>
            </w:r>
            <w:r>
              <w:rPr>
                <w:rFonts w:cs="Arial"/>
                <w:color w:val="0D0D0D" w:themeColor="text1" w:themeTint="F2"/>
                <w:spacing w:val="-4"/>
              </w:rPr>
              <w:t xml:space="preserve">průměru </w:t>
            </w:r>
            <w:r w:rsidR="00BC7833">
              <w:rPr>
                <w:rFonts w:cs="Arial"/>
                <w:color w:val="0D0D0D" w:themeColor="text1" w:themeTint="F2"/>
                <w:spacing w:val="-4"/>
              </w:rPr>
              <w:t>o </w:t>
            </w:r>
            <w:r>
              <w:rPr>
                <w:rFonts w:cs="Arial"/>
                <w:color w:val="0D0D0D" w:themeColor="text1" w:themeTint="F2"/>
                <w:spacing w:val="-4"/>
              </w:rPr>
              <w:t>2,7, resp.</w:t>
            </w:r>
            <w:r w:rsidR="0064464B">
              <w:rPr>
                <w:rFonts w:cs="Arial"/>
                <w:color w:val="0D0D0D" w:themeColor="text1" w:themeTint="F2"/>
                <w:spacing w:val="-4"/>
              </w:rPr>
              <w:t> </w:t>
            </w:r>
            <w:r>
              <w:rPr>
                <w:rFonts w:cs="Arial"/>
                <w:color w:val="0D0D0D" w:themeColor="text1" w:themeTint="F2"/>
                <w:spacing w:val="-4"/>
              </w:rPr>
              <w:t>2,</w:t>
            </w:r>
            <w:r w:rsidR="00D82A1E">
              <w:rPr>
                <w:rFonts w:cs="Arial"/>
                <w:color w:val="0D0D0D" w:themeColor="text1" w:themeTint="F2"/>
                <w:spacing w:val="-4"/>
              </w:rPr>
              <w:t>8 </w:t>
            </w:r>
            <w:r>
              <w:rPr>
                <w:rFonts w:cs="Arial"/>
                <w:color w:val="0D0D0D" w:themeColor="text1" w:themeTint="F2"/>
                <w:spacing w:val="-4"/>
              </w:rPr>
              <w:t>tis. korun).</w:t>
            </w:r>
          </w:p>
        </w:tc>
      </w:tr>
      <w:tr w:rsidR="008E0EB6" w14:paraId="0BC1D12C" w14:textId="77777777" w:rsidTr="00A500A7">
        <w:trPr>
          <w:trHeight w:val="145"/>
        </w:trPr>
        <w:tc>
          <w:tcPr>
            <w:tcW w:w="1976" w:type="dxa"/>
            <w:tcBorders>
              <w:top w:val="nil"/>
              <w:left w:val="nil"/>
              <w:bottom w:val="nil"/>
              <w:right w:val="nil"/>
            </w:tcBorders>
          </w:tcPr>
          <w:p w14:paraId="0771257D" w14:textId="77777777" w:rsidR="008E0EB6" w:rsidRDefault="008E0EB6" w:rsidP="008E0EB6">
            <w:pPr>
              <w:pStyle w:val="Marginlie"/>
            </w:pPr>
          </w:p>
        </w:tc>
        <w:tc>
          <w:tcPr>
            <w:tcW w:w="277" w:type="dxa"/>
            <w:tcBorders>
              <w:top w:val="nil"/>
              <w:left w:val="nil"/>
              <w:bottom w:val="nil"/>
              <w:right w:val="nil"/>
            </w:tcBorders>
          </w:tcPr>
          <w:p w14:paraId="1AB7E296" w14:textId="77777777" w:rsidR="008E0EB6" w:rsidRPr="005E4483" w:rsidRDefault="008E0EB6" w:rsidP="008E0EB6">
            <w:pPr>
              <w:pStyle w:val="Textpoznpodarou"/>
              <w:jc w:val="both"/>
              <w:rPr>
                <w:spacing w:val="-4"/>
              </w:rPr>
            </w:pPr>
          </w:p>
        </w:tc>
        <w:tc>
          <w:tcPr>
            <w:tcW w:w="7391" w:type="dxa"/>
            <w:tcBorders>
              <w:top w:val="nil"/>
              <w:left w:val="nil"/>
              <w:bottom w:val="nil"/>
              <w:right w:val="nil"/>
            </w:tcBorders>
          </w:tcPr>
          <w:p w14:paraId="1B7C547C" w14:textId="282534B8" w:rsidR="008E0EB6" w:rsidRDefault="008E0EB6" w:rsidP="008E0EB6">
            <w:pPr>
              <w:spacing w:after="0"/>
              <w:jc w:val="left"/>
              <w:rPr>
                <w:rFonts w:cs="Arial"/>
                <w:color w:val="0D0D0D" w:themeColor="text1" w:themeTint="F2"/>
                <w:spacing w:val="-4"/>
              </w:rPr>
            </w:pPr>
            <w:r>
              <w:rPr>
                <w:b/>
              </w:rPr>
              <w:t xml:space="preserve">Graf </w:t>
            </w:r>
            <w:r w:rsidR="00BA35F3">
              <w:rPr>
                <w:b/>
              </w:rPr>
              <w:t>č. </w:t>
            </w:r>
            <w:r w:rsidR="00306AD7">
              <w:rPr>
                <w:b/>
              </w:rPr>
              <w:t>2</w:t>
            </w:r>
            <w:r>
              <w:rPr>
                <w:b/>
              </w:rPr>
              <w:t>1</w:t>
            </w:r>
            <w:r w:rsidR="00A67D62">
              <w:rPr>
                <w:b/>
              </w:rPr>
              <w:t xml:space="preserve"> </w:t>
            </w:r>
            <w:r>
              <w:rPr>
                <w:b/>
              </w:rPr>
              <w:t xml:space="preserve"> Změna </w:t>
            </w:r>
            <w:r>
              <w:rPr>
                <w:b/>
                <w:spacing w:val="-3"/>
              </w:rPr>
              <w:t>průměrných</w:t>
            </w:r>
            <w:r w:rsidRPr="003D7E4E">
              <w:rPr>
                <w:b/>
                <w:spacing w:val="-3"/>
              </w:rPr>
              <w:t xml:space="preserve"> </w:t>
            </w:r>
            <w:r>
              <w:rPr>
                <w:b/>
                <w:spacing w:val="-3"/>
              </w:rPr>
              <w:t>reálných mezd</w:t>
            </w:r>
            <w:r w:rsidRPr="003D7E4E">
              <w:rPr>
                <w:b/>
                <w:spacing w:val="-3"/>
              </w:rPr>
              <w:t xml:space="preserve"> </w:t>
            </w:r>
            <w:r>
              <w:rPr>
                <w:b/>
                <w:spacing w:val="-3"/>
              </w:rPr>
              <w:t xml:space="preserve">v celé ekonomice </w:t>
            </w:r>
            <w:r w:rsidR="00BC7833">
              <w:rPr>
                <w:b/>
                <w:spacing w:val="-3"/>
              </w:rPr>
              <w:t>a </w:t>
            </w:r>
            <w:r>
              <w:rPr>
                <w:b/>
                <w:spacing w:val="-3"/>
              </w:rPr>
              <w:t xml:space="preserve">změna nominálních mezd ve vybraných odvětvích </w:t>
            </w:r>
            <w:r w:rsidRPr="000D13CF">
              <w:rPr>
                <w:spacing w:val="-3"/>
              </w:rPr>
              <w:t>(</w:t>
            </w:r>
            <w:r>
              <w:rPr>
                <w:spacing w:val="-3"/>
              </w:rPr>
              <w:t xml:space="preserve">meziročně </w:t>
            </w:r>
            <w:r w:rsidRPr="000D13CF">
              <w:rPr>
                <w:spacing w:val="-3"/>
              </w:rPr>
              <w:t>v</w:t>
            </w:r>
            <w:r w:rsidR="006454CC">
              <w:rPr>
                <w:spacing w:val="-3"/>
              </w:rPr>
              <w:t> %</w:t>
            </w:r>
            <w:r w:rsidRPr="000D13CF">
              <w:rPr>
                <w:spacing w:val="-3"/>
              </w:rPr>
              <w:t>)</w:t>
            </w:r>
          </w:p>
        </w:tc>
      </w:tr>
      <w:tr w:rsidR="008E0EB6" w14:paraId="318A5AFA" w14:textId="77777777" w:rsidTr="00A500A7">
        <w:tblPrEx>
          <w:tblCellMar>
            <w:left w:w="70" w:type="dxa"/>
            <w:right w:w="70" w:type="dxa"/>
          </w:tblCellMar>
        </w:tblPrEx>
        <w:trPr>
          <w:trHeight w:val="145"/>
        </w:trPr>
        <w:tc>
          <w:tcPr>
            <w:tcW w:w="1976" w:type="dxa"/>
            <w:tcBorders>
              <w:top w:val="nil"/>
              <w:left w:val="nil"/>
              <w:bottom w:val="nil"/>
              <w:right w:val="nil"/>
            </w:tcBorders>
          </w:tcPr>
          <w:p w14:paraId="25823A56" w14:textId="77777777" w:rsidR="008E0EB6" w:rsidRDefault="008E0EB6" w:rsidP="008E0EB6">
            <w:pPr>
              <w:pStyle w:val="Marginlie"/>
            </w:pPr>
          </w:p>
        </w:tc>
        <w:tc>
          <w:tcPr>
            <w:tcW w:w="277" w:type="dxa"/>
            <w:tcBorders>
              <w:top w:val="nil"/>
              <w:left w:val="nil"/>
              <w:bottom w:val="nil"/>
              <w:right w:val="nil"/>
            </w:tcBorders>
          </w:tcPr>
          <w:p w14:paraId="1004B54F" w14:textId="77777777" w:rsidR="008E0EB6" w:rsidRPr="005E4483" w:rsidRDefault="008E0EB6" w:rsidP="008E0EB6">
            <w:pPr>
              <w:pStyle w:val="Textpoznpodarou"/>
              <w:jc w:val="both"/>
              <w:rPr>
                <w:spacing w:val="-4"/>
              </w:rPr>
            </w:pPr>
          </w:p>
        </w:tc>
        <w:tc>
          <w:tcPr>
            <w:tcW w:w="7391" w:type="dxa"/>
            <w:tcBorders>
              <w:top w:val="nil"/>
              <w:left w:val="nil"/>
              <w:bottom w:val="nil"/>
              <w:right w:val="nil"/>
            </w:tcBorders>
          </w:tcPr>
          <w:p w14:paraId="1FAC56CB" w14:textId="77777777" w:rsidR="008E0EB6" w:rsidRDefault="008E0EB6" w:rsidP="008E0EB6">
            <w:pPr>
              <w:spacing w:after="0"/>
              <w:rPr>
                <w:rFonts w:cs="Arial"/>
                <w:color w:val="0D0D0D" w:themeColor="text1" w:themeTint="F2"/>
                <w:spacing w:val="-4"/>
              </w:rPr>
            </w:pPr>
            <w:r>
              <w:rPr>
                <w:noProof/>
              </w:rPr>
              <w:drawing>
                <wp:inline distT="0" distB="0" distL="0" distR="0" wp14:anchorId="0E8AD40A" wp14:editId="7EF54049">
                  <wp:extent cx="4604385" cy="3372485"/>
                  <wp:effectExtent l="0" t="0" r="5715" b="0"/>
                  <wp:docPr id="87" name="Graf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8E0EB6" w:rsidRPr="004E0BFC" w14:paraId="30AC4795" w14:textId="77777777" w:rsidTr="00A500A7">
        <w:trPr>
          <w:trHeight w:val="145"/>
        </w:trPr>
        <w:tc>
          <w:tcPr>
            <w:tcW w:w="1976" w:type="dxa"/>
            <w:tcBorders>
              <w:top w:val="nil"/>
              <w:left w:val="nil"/>
              <w:bottom w:val="nil"/>
              <w:right w:val="nil"/>
            </w:tcBorders>
          </w:tcPr>
          <w:p w14:paraId="23D0E943" w14:textId="77777777" w:rsidR="008E0EB6" w:rsidRDefault="008E0EB6" w:rsidP="008E0EB6">
            <w:pPr>
              <w:pStyle w:val="Marginlie"/>
            </w:pPr>
          </w:p>
        </w:tc>
        <w:tc>
          <w:tcPr>
            <w:tcW w:w="277" w:type="dxa"/>
            <w:tcBorders>
              <w:top w:val="nil"/>
              <w:left w:val="nil"/>
              <w:bottom w:val="nil"/>
              <w:right w:val="nil"/>
            </w:tcBorders>
          </w:tcPr>
          <w:p w14:paraId="20916AE9" w14:textId="77777777" w:rsidR="008E0EB6" w:rsidRPr="005E4483" w:rsidRDefault="008E0EB6" w:rsidP="008E0EB6">
            <w:pPr>
              <w:pStyle w:val="Textpoznpodarou"/>
              <w:jc w:val="both"/>
              <w:rPr>
                <w:spacing w:val="-4"/>
              </w:rPr>
            </w:pPr>
          </w:p>
        </w:tc>
        <w:tc>
          <w:tcPr>
            <w:tcW w:w="7391" w:type="dxa"/>
            <w:tcBorders>
              <w:top w:val="nil"/>
              <w:left w:val="nil"/>
              <w:bottom w:val="nil"/>
              <w:right w:val="nil"/>
            </w:tcBorders>
          </w:tcPr>
          <w:p w14:paraId="05BF2FA2" w14:textId="5DC506AB" w:rsidR="008E0EB6" w:rsidRDefault="008E0EB6" w:rsidP="008E0EB6">
            <w:pPr>
              <w:spacing w:after="0"/>
              <w:rPr>
                <w:rFonts w:cs="Arial"/>
                <w:sz w:val="14"/>
                <w:szCs w:val="14"/>
              </w:rPr>
            </w:pPr>
            <w:r>
              <w:rPr>
                <w:rFonts w:cs="Arial"/>
                <w:sz w:val="14"/>
                <w:szCs w:val="14"/>
              </w:rPr>
              <w:t>Pozn</w:t>
            </w:r>
            <w:r w:rsidR="0064464B">
              <w:rPr>
                <w:rFonts w:cs="Arial"/>
                <w:sz w:val="14"/>
                <w:szCs w:val="14"/>
              </w:rPr>
              <w:t>.</w:t>
            </w:r>
            <w:r>
              <w:rPr>
                <w:rFonts w:cs="Arial"/>
                <w:sz w:val="14"/>
                <w:szCs w:val="14"/>
              </w:rPr>
              <w:t xml:space="preserve">: </w:t>
            </w:r>
            <w:r w:rsidR="008E1F66">
              <w:rPr>
                <w:rFonts w:cs="Arial"/>
                <w:sz w:val="14"/>
                <w:szCs w:val="14"/>
              </w:rPr>
              <w:t>O</w:t>
            </w:r>
            <w:r>
              <w:rPr>
                <w:rFonts w:cs="Arial"/>
                <w:sz w:val="14"/>
                <w:szCs w:val="14"/>
              </w:rPr>
              <w:t xml:space="preserve">dvětví s dominancí veřejného sektoru zahrnuje: Veřejnou správu </w:t>
            </w:r>
            <w:r w:rsidR="00BC7833">
              <w:rPr>
                <w:rFonts w:cs="Arial"/>
                <w:sz w:val="14"/>
                <w:szCs w:val="14"/>
              </w:rPr>
              <w:t>a </w:t>
            </w:r>
            <w:r>
              <w:rPr>
                <w:rFonts w:cs="Arial"/>
                <w:sz w:val="14"/>
                <w:szCs w:val="14"/>
              </w:rPr>
              <w:t>obranu</w:t>
            </w:r>
            <w:r w:rsidRPr="004E0BFC">
              <w:rPr>
                <w:rFonts w:cs="Arial"/>
                <w:sz w:val="14"/>
                <w:szCs w:val="14"/>
              </w:rPr>
              <w:t>; povinné sociální zabezpečení</w:t>
            </w:r>
            <w:r>
              <w:rPr>
                <w:rFonts w:cs="Arial"/>
                <w:sz w:val="14"/>
                <w:szCs w:val="14"/>
              </w:rPr>
              <w:t xml:space="preserve"> (odvětvová sekce O)</w:t>
            </w:r>
            <w:r w:rsidR="008E1F66">
              <w:rPr>
                <w:rFonts w:cs="Arial"/>
                <w:sz w:val="14"/>
                <w:szCs w:val="14"/>
              </w:rPr>
              <w:t>;</w:t>
            </w:r>
            <w:r>
              <w:rPr>
                <w:rFonts w:cs="Arial"/>
                <w:sz w:val="14"/>
                <w:szCs w:val="14"/>
              </w:rPr>
              <w:t xml:space="preserve"> </w:t>
            </w:r>
            <w:r w:rsidRPr="004E0BFC">
              <w:rPr>
                <w:rFonts w:cs="Arial"/>
                <w:sz w:val="14"/>
                <w:szCs w:val="14"/>
              </w:rPr>
              <w:t>Vzdělávání</w:t>
            </w:r>
            <w:r>
              <w:rPr>
                <w:rFonts w:cs="Arial"/>
                <w:sz w:val="14"/>
                <w:szCs w:val="14"/>
              </w:rPr>
              <w:t xml:space="preserve"> (P)</w:t>
            </w:r>
            <w:r w:rsidR="008E1F66">
              <w:rPr>
                <w:rFonts w:cs="Arial"/>
                <w:sz w:val="14"/>
                <w:szCs w:val="14"/>
              </w:rPr>
              <w:t>;</w:t>
            </w:r>
            <w:r>
              <w:rPr>
                <w:rFonts w:cs="Arial"/>
                <w:sz w:val="14"/>
                <w:szCs w:val="14"/>
              </w:rPr>
              <w:t xml:space="preserve"> Zdravotní </w:t>
            </w:r>
            <w:r w:rsidR="00BC7833">
              <w:rPr>
                <w:rFonts w:cs="Arial"/>
                <w:sz w:val="14"/>
                <w:szCs w:val="14"/>
              </w:rPr>
              <w:t>a </w:t>
            </w:r>
            <w:r>
              <w:rPr>
                <w:rFonts w:cs="Arial"/>
                <w:sz w:val="14"/>
                <w:szCs w:val="14"/>
              </w:rPr>
              <w:t>sociální péči (Q)</w:t>
            </w:r>
            <w:r w:rsidR="008E1F66">
              <w:rPr>
                <w:rFonts w:cs="Arial"/>
                <w:sz w:val="14"/>
                <w:szCs w:val="14"/>
              </w:rPr>
              <w:t xml:space="preserve">; </w:t>
            </w:r>
            <w:r w:rsidRPr="004E0BFC">
              <w:rPr>
                <w:rFonts w:cs="Arial"/>
                <w:sz w:val="14"/>
                <w:szCs w:val="14"/>
              </w:rPr>
              <w:t xml:space="preserve">Kulturní, zábavní </w:t>
            </w:r>
            <w:r w:rsidR="00BC7833" w:rsidRPr="004E0BFC">
              <w:rPr>
                <w:rFonts w:cs="Arial"/>
                <w:sz w:val="14"/>
                <w:szCs w:val="14"/>
              </w:rPr>
              <w:t>a</w:t>
            </w:r>
            <w:r w:rsidR="00BC7833">
              <w:rPr>
                <w:rFonts w:cs="Arial"/>
                <w:sz w:val="14"/>
                <w:szCs w:val="14"/>
              </w:rPr>
              <w:t> </w:t>
            </w:r>
            <w:r w:rsidRPr="004E0BFC">
              <w:rPr>
                <w:rFonts w:cs="Arial"/>
                <w:sz w:val="14"/>
                <w:szCs w:val="14"/>
              </w:rPr>
              <w:t>rekreační činnosti</w:t>
            </w:r>
            <w:r>
              <w:rPr>
                <w:rFonts w:cs="Arial"/>
                <w:sz w:val="14"/>
                <w:szCs w:val="14"/>
              </w:rPr>
              <w:t xml:space="preserve"> (R).</w:t>
            </w:r>
          </w:p>
          <w:p w14:paraId="12931C2B" w14:textId="77777777" w:rsidR="008E0EB6" w:rsidRPr="004E0BFC" w:rsidRDefault="008E0EB6" w:rsidP="008E0EB6">
            <w:pPr>
              <w:spacing w:after="220"/>
              <w:rPr>
                <w:rFonts w:cs="Arial"/>
                <w:sz w:val="14"/>
                <w:szCs w:val="14"/>
              </w:rPr>
            </w:pPr>
            <w:r>
              <w:rPr>
                <w:rFonts w:cs="Arial"/>
                <w:sz w:val="14"/>
                <w:szCs w:val="14"/>
              </w:rPr>
              <w:t>Zdroj: ČSÚ (podniková statistika, údaje ze čtvrtletních šetření)</w:t>
            </w:r>
          </w:p>
        </w:tc>
      </w:tr>
      <w:tr w:rsidR="008E0EB6" w14:paraId="6F78BB3E" w14:textId="77777777" w:rsidTr="00A500A7">
        <w:trPr>
          <w:trHeight w:val="145"/>
        </w:trPr>
        <w:tc>
          <w:tcPr>
            <w:tcW w:w="1976" w:type="dxa"/>
            <w:tcBorders>
              <w:top w:val="nil"/>
              <w:left w:val="nil"/>
              <w:bottom w:val="nil"/>
              <w:right w:val="nil"/>
            </w:tcBorders>
          </w:tcPr>
          <w:p w14:paraId="5C42EE2D" w14:textId="77777777" w:rsidR="008E0EB6" w:rsidRDefault="008E0EB6" w:rsidP="008E0EB6">
            <w:pPr>
              <w:pStyle w:val="Marginlie"/>
            </w:pPr>
            <w:r>
              <w:t>Relativně nejvíce rostly loni mzdy v krajích s výrazněji podprůměrnou úrovní výdělků.</w:t>
            </w:r>
          </w:p>
        </w:tc>
        <w:tc>
          <w:tcPr>
            <w:tcW w:w="277" w:type="dxa"/>
            <w:tcBorders>
              <w:top w:val="nil"/>
              <w:left w:val="nil"/>
              <w:bottom w:val="nil"/>
              <w:right w:val="nil"/>
            </w:tcBorders>
          </w:tcPr>
          <w:p w14:paraId="0EB82664" w14:textId="77777777" w:rsidR="008E0EB6" w:rsidRPr="005E4483" w:rsidRDefault="008E0EB6" w:rsidP="008E0EB6">
            <w:pPr>
              <w:pStyle w:val="Textpoznpodarou"/>
              <w:jc w:val="both"/>
              <w:rPr>
                <w:spacing w:val="-4"/>
              </w:rPr>
            </w:pPr>
          </w:p>
        </w:tc>
        <w:tc>
          <w:tcPr>
            <w:tcW w:w="7391" w:type="dxa"/>
            <w:tcBorders>
              <w:top w:val="nil"/>
              <w:left w:val="nil"/>
              <w:bottom w:val="nil"/>
              <w:right w:val="nil"/>
            </w:tcBorders>
          </w:tcPr>
          <w:p w14:paraId="49A58F56" w14:textId="5C72A9B3" w:rsidR="008E0EB6" w:rsidRPr="00EF1C11" w:rsidRDefault="008E0EB6" w:rsidP="008E0EB6">
            <w:pPr>
              <w:spacing w:after="220"/>
              <w:rPr>
                <w:rFonts w:cs="Arial"/>
                <w:color w:val="0D0D0D" w:themeColor="text1" w:themeTint="F2"/>
                <w:spacing w:val="-3"/>
              </w:rPr>
            </w:pPr>
            <w:r w:rsidRPr="00EF1C11">
              <w:rPr>
                <w:rFonts w:cs="Arial"/>
                <w:color w:val="0D0D0D" w:themeColor="text1" w:themeTint="F2"/>
                <w:spacing w:val="-3"/>
              </w:rPr>
              <w:t>Mezi kraji rostly loni průměrné mzdy nejvíce na Olomoucku (+8,7</w:t>
            </w:r>
            <w:r w:rsidR="006454CC">
              <w:rPr>
                <w:rFonts w:cs="Arial"/>
                <w:color w:val="0D0D0D" w:themeColor="text1" w:themeTint="F2"/>
                <w:spacing w:val="-3"/>
              </w:rPr>
              <w:t> %</w:t>
            </w:r>
            <w:r w:rsidRPr="00EF1C11">
              <w:rPr>
                <w:rFonts w:cs="Arial"/>
                <w:color w:val="0D0D0D" w:themeColor="text1" w:themeTint="F2"/>
                <w:spacing w:val="-3"/>
              </w:rPr>
              <w:t xml:space="preserve">) </w:t>
            </w:r>
            <w:r w:rsidR="00BC7833" w:rsidRPr="00EF1C11">
              <w:rPr>
                <w:rFonts w:cs="Arial"/>
                <w:color w:val="0D0D0D" w:themeColor="text1" w:themeTint="F2"/>
                <w:spacing w:val="-3"/>
              </w:rPr>
              <w:t>a</w:t>
            </w:r>
            <w:r w:rsidR="00BC7833">
              <w:rPr>
                <w:rFonts w:cs="Arial"/>
                <w:color w:val="0D0D0D" w:themeColor="text1" w:themeTint="F2"/>
                <w:spacing w:val="-3"/>
              </w:rPr>
              <w:t> </w:t>
            </w:r>
            <w:r w:rsidRPr="00EF1C11">
              <w:rPr>
                <w:rFonts w:cs="Arial"/>
                <w:color w:val="0D0D0D" w:themeColor="text1" w:themeTint="F2"/>
                <w:spacing w:val="-3"/>
              </w:rPr>
              <w:t xml:space="preserve">Ústecku (+8,6 %). Šlo ale </w:t>
            </w:r>
            <w:r w:rsidR="00BC7833" w:rsidRPr="00EF1C11">
              <w:rPr>
                <w:rFonts w:cs="Arial"/>
                <w:color w:val="0D0D0D" w:themeColor="text1" w:themeTint="F2"/>
                <w:spacing w:val="-3"/>
              </w:rPr>
              <w:t>o</w:t>
            </w:r>
            <w:r w:rsidR="00BC7833">
              <w:rPr>
                <w:rFonts w:cs="Arial"/>
                <w:color w:val="0D0D0D" w:themeColor="text1" w:themeTint="F2"/>
                <w:spacing w:val="-3"/>
              </w:rPr>
              <w:t> </w:t>
            </w:r>
            <w:r w:rsidRPr="00EF1C11">
              <w:rPr>
                <w:rFonts w:cs="Arial"/>
                <w:color w:val="0D0D0D" w:themeColor="text1" w:themeTint="F2"/>
                <w:spacing w:val="-3"/>
              </w:rPr>
              <w:t>regiony, které z pohledu své mzdové úrovně patří v ČR dlouhodobě k nejslabším. Relativně nejméně si polepšili zaměstnanci pracující na</w:t>
            </w:r>
            <w:r w:rsidR="0064464B">
              <w:rPr>
                <w:rFonts w:cs="Arial"/>
                <w:color w:val="0D0D0D" w:themeColor="text1" w:themeTint="F2"/>
                <w:spacing w:val="-3"/>
              </w:rPr>
              <w:t xml:space="preserve"> </w:t>
            </w:r>
            <w:r w:rsidRPr="00EF1C11">
              <w:rPr>
                <w:rFonts w:cs="Arial"/>
                <w:color w:val="0D0D0D" w:themeColor="text1" w:themeTint="F2"/>
                <w:spacing w:val="-3"/>
              </w:rPr>
              <w:t>Plzeňsku</w:t>
            </w:r>
            <w:r>
              <w:rPr>
                <w:rFonts w:cs="Arial"/>
                <w:color w:val="0D0D0D" w:themeColor="text1" w:themeTint="F2"/>
                <w:spacing w:val="-3"/>
              </w:rPr>
              <w:t xml:space="preserve"> (+6,0</w:t>
            </w:r>
            <w:r w:rsidRPr="00EF1C11">
              <w:rPr>
                <w:rFonts w:cs="Arial"/>
                <w:color w:val="0D0D0D" w:themeColor="text1" w:themeTint="F2"/>
                <w:spacing w:val="-3"/>
              </w:rPr>
              <w:t> %), v roce 2017 ale patřil mzdový růst v tomto kraji k nejvyšším.</w:t>
            </w:r>
          </w:p>
        </w:tc>
      </w:tr>
      <w:tr w:rsidR="008E0EB6" w14:paraId="23D162BA" w14:textId="77777777" w:rsidTr="00A500A7">
        <w:trPr>
          <w:trHeight w:val="145"/>
        </w:trPr>
        <w:tc>
          <w:tcPr>
            <w:tcW w:w="1976" w:type="dxa"/>
            <w:tcBorders>
              <w:top w:val="nil"/>
              <w:left w:val="nil"/>
              <w:bottom w:val="nil"/>
              <w:right w:val="nil"/>
            </w:tcBorders>
          </w:tcPr>
          <w:p w14:paraId="05B43409" w14:textId="331E7E77" w:rsidR="008E0EB6" w:rsidRDefault="008E0EB6" w:rsidP="008E0EB6">
            <w:pPr>
              <w:pStyle w:val="Marginlie"/>
            </w:pPr>
            <w:r>
              <w:t>Karlovarský kraj zůstává dlouhod</w:t>
            </w:r>
            <w:r w:rsidR="0064464B">
              <w:t>o</w:t>
            </w:r>
            <w:r>
              <w:t>bě regionem s nejnižší</w:t>
            </w:r>
            <w:r w:rsidR="006454CC">
              <w:t xml:space="preserve"> </w:t>
            </w:r>
            <w:r>
              <w:t>průměrnou mzdou.</w:t>
            </w:r>
          </w:p>
          <w:p w14:paraId="6D3CF025" w14:textId="77777777" w:rsidR="008E0EB6" w:rsidRDefault="008E0EB6" w:rsidP="008E0EB6">
            <w:pPr>
              <w:pStyle w:val="Marginlie"/>
            </w:pPr>
          </w:p>
          <w:p w14:paraId="55D5A218" w14:textId="77777777" w:rsidR="008E0EB6" w:rsidRDefault="008E0EB6" w:rsidP="008E0EB6">
            <w:pPr>
              <w:pStyle w:val="Marginlie"/>
            </w:pPr>
          </w:p>
          <w:p w14:paraId="7FB846DC" w14:textId="77777777" w:rsidR="008E0EB6" w:rsidRDefault="008E0EB6" w:rsidP="008E0EB6">
            <w:pPr>
              <w:pStyle w:val="Marginlie"/>
            </w:pPr>
            <w:r>
              <w:t xml:space="preserve">Dlouhodobější oslabování pozice Prahy </w:t>
            </w:r>
            <w:r>
              <w:lastRenderedPageBreak/>
              <w:t>i Moravskoslezského kraje pokračovalo.</w:t>
            </w:r>
          </w:p>
        </w:tc>
        <w:tc>
          <w:tcPr>
            <w:tcW w:w="277" w:type="dxa"/>
            <w:tcBorders>
              <w:top w:val="nil"/>
              <w:left w:val="nil"/>
              <w:bottom w:val="nil"/>
              <w:right w:val="nil"/>
            </w:tcBorders>
          </w:tcPr>
          <w:p w14:paraId="5B836573" w14:textId="77777777" w:rsidR="008E0EB6" w:rsidRPr="005E4483" w:rsidRDefault="008E0EB6" w:rsidP="008E0EB6">
            <w:pPr>
              <w:pStyle w:val="Textpoznpodarou"/>
              <w:jc w:val="both"/>
              <w:rPr>
                <w:spacing w:val="-4"/>
              </w:rPr>
            </w:pPr>
          </w:p>
        </w:tc>
        <w:tc>
          <w:tcPr>
            <w:tcW w:w="7391" w:type="dxa"/>
            <w:tcBorders>
              <w:top w:val="nil"/>
              <w:left w:val="nil"/>
              <w:bottom w:val="nil"/>
              <w:right w:val="nil"/>
            </w:tcBorders>
          </w:tcPr>
          <w:p w14:paraId="5AD7CC9C" w14:textId="51C8256C" w:rsidR="008E0EB6" w:rsidRDefault="008E0EB6" w:rsidP="008E0EB6">
            <w:pPr>
              <w:spacing w:after="220"/>
              <w:rPr>
                <w:rFonts w:cs="Arial"/>
                <w:color w:val="0D0D0D" w:themeColor="text1" w:themeTint="F2"/>
                <w:spacing w:val="-4"/>
              </w:rPr>
            </w:pPr>
            <w:r>
              <w:rPr>
                <w:rFonts w:cs="Arial"/>
                <w:color w:val="0D0D0D" w:themeColor="text1" w:themeTint="F2"/>
                <w:spacing w:val="-4"/>
              </w:rPr>
              <w:t>Mezikrajské rozdíly ve výši mezd se loni dále snižovaly, po vyloučení Prahy pak setrvaly bez výraznějších změn. Regionem s nejnižší průměrnou mzdou zůstával Karlovarský kraj, za posledních patnáct let se téměř nezměnil ani jeho odstup (výše mzdy zůstává osminu pod úrovní celé</w:t>
            </w:r>
            <w:r w:rsidR="0064464B">
              <w:rPr>
                <w:rFonts w:cs="Arial"/>
                <w:color w:val="0D0D0D" w:themeColor="text1" w:themeTint="F2"/>
                <w:spacing w:val="-4"/>
              </w:rPr>
              <w:t> </w:t>
            </w:r>
            <w:r>
              <w:rPr>
                <w:rFonts w:cs="Arial"/>
                <w:color w:val="0D0D0D" w:themeColor="text1" w:themeTint="F2"/>
                <w:spacing w:val="-4"/>
              </w:rPr>
              <w:t>ČR</w:t>
            </w:r>
            <w:r w:rsidRPr="003E77E5">
              <w:rPr>
                <w:rStyle w:val="Znakapoznpodarou"/>
                <w:color w:val="0D0D0D" w:themeColor="text1" w:themeTint="F2"/>
                <w:spacing w:val="-4"/>
              </w:rPr>
              <w:footnoteReference w:id="5"/>
            </w:r>
            <w:r>
              <w:rPr>
                <w:rFonts w:cs="Arial"/>
                <w:color w:val="0D0D0D" w:themeColor="text1" w:themeTint="F2"/>
                <w:spacing w:val="-4"/>
              </w:rPr>
              <w:t>).</w:t>
            </w:r>
            <w:r w:rsidR="006454CC">
              <w:rPr>
                <w:rFonts w:cs="Arial"/>
                <w:color w:val="0D0D0D" w:themeColor="text1" w:themeTint="F2"/>
                <w:spacing w:val="-4"/>
              </w:rPr>
              <w:t xml:space="preserve"> </w:t>
            </w:r>
            <w:r>
              <w:rPr>
                <w:rFonts w:cs="Arial"/>
                <w:color w:val="0D0D0D" w:themeColor="text1" w:themeTint="F2"/>
                <w:spacing w:val="-4"/>
              </w:rPr>
              <w:t xml:space="preserve">Z dlouhodobějšího pohledu mírně oslabuje pozice Prahy </w:t>
            </w:r>
            <w:r w:rsidR="00BC7833">
              <w:rPr>
                <w:rFonts w:cs="Arial"/>
                <w:color w:val="0D0D0D" w:themeColor="text1" w:themeTint="F2"/>
                <w:spacing w:val="-4"/>
              </w:rPr>
              <w:t>a </w:t>
            </w:r>
            <w:r>
              <w:rPr>
                <w:rFonts w:cs="Arial"/>
                <w:color w:val="0D0D0D" w:themeColor="text1" w:themeTint="F2"/>
                <w:spacing w:val="-4"/>
              </w:rPr>
              <w:t>Moravskoslezského kraje. Slabší relativní růst pražských mezd byl zčásti „vykompenzován“ výraznějším posílením počtu zaměstnanců</w:t>
            </w:r>
            <w:r w:rsidRPr="003E77E5">
              <w:rPr>
                <w:rStyle w:val="Znakapoznpodarou"/>
                <w:color w:val="0D0D0D" w:themeColor="text1" w:themeTint="F2"/>
                <w:spacing w:val="-4"/>
              </w:rPr>
              <w:footnoteReference w:id="6"/>
            </w:r>
            <w:r>
              <w:rPr>
                <w:rFonts w:cs="Arial"/>
                <w:color w:val="0D0D0D" w:themeColor="text1" w:themeTint="F2"/>
                <w:spacing w:val="-4"/>
              </w:rPr>
              <w:t xml:space="preserve">, kterých zde za </w:t>
            </w:r>
            <w:r>
              <w:rPr>
                <w:rFonts w:cs="Arial"/>
                <w:color w:val="0D0D0D" w:themeColor="text1" w:themeTint="F2"/>
                <w:spacing w:val="-4"/>
              </w:rPr>
              <w:lastRenderedPageBreak/>
              <w:t xml:space="preserve">posledních pět let citelně přibylo </w:t>
            </w:r>
            <w:r w:rsidR="00BC7833">
              <w:rPr>
                <w:rFonts w:cs="Arial"/>
                <w:color w:val="0D0D0D" w:themeColor="text1" w:themeTint="F2"/>
                <w:spacing w:val="-4"/>
              </w:rPr>
              <w:t>i </w:t>
            </w:r>
            <w:r>
              <w:rPr>
                <w:rFonts w:cs="Arial"/>
                <w:color w:val="0D0D0D" w:themeColor="text1" w:themeTint="F2"/>
                <w:spacing w:val="-4"/>
              </w:rPr>
              <w:t>v odvětvích s nízkou mzdovou úrovní</w:t>
            </w:r>
            <w:r w:rsidRPr="003E77E5">
              <w:rPr>
                <w:rStyle w:val="Znakapoznpodarou"/>
                <w:color w:val="0D0D0D" w:themeColor="text1" w:themeTint="F2"/>
                <w:spacing w:val="-4"/>
              </w:rPr>
              <w:footnoteReference w:id="7"/>
            </w:r>
            <w:r>
              <w:rPr>
                <w:rFonts w:cs="Arial"/>
                <w:color w:val="0D0D0D" w:themeColor="text1" w:themeTint="F2"/>
                <w:spacing w:val="-4"/>
              </w:rPr>
              <w:t>. Zatímco zhoršení postavení metropole bylo výsledkem vývoje v poslední dekádě (</w:t>
            </w:r>
            <w:r w:rsidR="00BC7833">
              <w:rPr>
                <w:rFonts w:cs="Arial"/>
                <w:color w:val="0D0D0D" w:themeColor="text1" w:themeTint="F2"/>
                <w:spacing w:val="-4"/>
              </w:rPr>
              <w:t>v </w:t>
            </w:r>
            <w:r>
              <w:rPr>
                <w:rFonts w:cs="Arial"/>
                <w:color w:val="0D0D0D" w:themeColor="text1" w:themeTint="F2"/>
                <w:spacing w:val="-4"/>
              </w:rPr>
              <w:t xml:space="preserve">roce 2018 zde průměrné mzdy </w:t>
            </w:r>
            <w:r w:rsidR="0064464B">
              <w:rPr>
                <w:rFonts w:cs="Arial"/>
                <w:color w:val="0D0D0D" w:themeColor="text1" w:themeTint="F2"/>
                <w:spacing w:val="-4"/>
              </w:rPr>
              <w:t xml:space="preserve">převyšovaly </w:t>
            </w:r>
            <w:r>
              <w:rPr>
                <w:rFonts w:cs="Arial"/>
                <w:color w:val="0D0D0D" w:themeColor="text1" w:themeTint="F2"/>
                <w:spacing w:val="-4"/>
              </w:rPr>
              <w:t>úroveň</w:t>
            </w:r>
            <w:r w:rsidR="0064464B">
              <w:rPr>
                <w:rFonts w:cs="Arial"/>
                <w:color w:val="0D0D0D" w:themeColor="text1" w:themeTint="F2"/>
                <w:spacing w:val="-4"/>
              </w:rPr>
              <w:t> </w:t>
            </w:r>
            <w:r>
              <w:rPr>
                <w:rFonts w:cs="Arial"/>
                <w:color w:val="0D0D0D" w:themeColor="text1" w:themeTint="F2"/>
                <w:spacing w:val="-4"/>
              </w:rPr>
              <w:t xml:space="preserve">ČR </w:t>
            </w:r>
            <w:r w:rsidR="00BC7833">
              <w:rPr>
                <w:rFonts w:cs="Arial"/>
                <w:color w:val="0D0D0D" w:themeColor="text1" w:themeTint="F2"/>
                <w:spacing w:val="-4"/>
              </w:rPr>
              <w:t>o </w:t>
            </w:r>
            <w:r>
              <w:rPr>
                <w:rFonts w:cs="Arial"/>
                <w:color w:val="0D0D0D" w:themeColor="text1" w:themeTint="F2"/>
                <w:spacing w:val="-4"/>
              </w:rPr>
              <w:t xml:space="preserve">čtvrtinu, před deseti lety </w:t>
            </w:r>
            <w:r w:rsidR="00BC7833">
              <w:rPr>
                <w:rFonts w:cs="Arial"/>
                <w:color w:val="0D0D0D" w:themeColor="text1" w:themeTint="F2"/>
                <w:spacing w:val="-4"/>
              </w:rPr>
              <w:t>o </w:t>
            </w:r>
            <w:r>
              <w:rPr>
                <w:rFonts w:cs="Arial"/>
                <w:color w:val="0D0D0D" w:themeColor="text1" w:themeTint="F2"/>
                <w:spacing w:val="-4"/>
              </w:rPr>
              <w:t xml:space="preserve">třetinu), u Moravskoslezského kraje šlo </w:t>
            </w:r>
            <w:r w:rsidR="00BC7833">
              <w:rPr>
                <w:rFonts w:cs="Arial"/>
                <w:color w:val="0D0D0D" w:themeColor="text1" w:themeTint="F2"/>
                <w:spacing w:val="-4"/>
              </w:rPr>
              <w:t>o </w:t>
            </w:r>
            <w:r>
              <w:rPr>
                <w:rFonts w:cs="Arial"/>
                <w:color w:val="0D0D0D" w:themeColor="text1" w:themeTint="F2"/>
                <w:spacing w:val="-4"/>
              </w:rPr>
              <w:t>dlouhodobější pozvolný proces související s náročnou transformací odvětvové skladby místní ekonomiky.</w:t>
            </w:r>
          </w:p>
        </w:tc>
      </w:tr>
      <w:tr w:rsidR="008E0EB6" w14:paraId="6AD7DA08" w14:textId="77777777" w:rsidTr="00A500A7">
        <w:trPr>
          <w:trHeight w:val="145"/>
        </w:trPr>
        <w:tc>
          <w:tcPr>
            <w:tcW w:w="1976" w:type="dxa"/>
            <w:tcBorders>
              <w:top w:val="nil"/>
              <w:left w:val="nil"/>
              <w:bottom w:val="nil"/>
              <w:right w:val="nil"/>
            </w:tcBorders>
          </w:tcPr>
          <w:p w14:paraId="32C53C2F" w14:textId="77777777" w:rsidR="008E0EB6" w:rsidRDefault="008E0EB6" w:rsidP="008E0EB6">
            <w:pPr>
              <w:pStyle w:val="Marginlie"/>
            </w:pPr>
          </w:p>
        </w:tc>
        <w:tc>
          <w:tcPr>
            <w:tcW w:w="277" w:type="dxa"/>
            <w:tcBorders>
              <w:top w:val="nil"/>
              <w:left w:val="nil"/>
              <w:bottom w:val="nil"/>
              <w:right w:val="nil"/>
            </w:tcBorders>
          </w:tcPr>
          <w:p w14:paraId="53A29CE8" w14:textId="77777777" w:rsidR="008E0EB6" w:rsidRPr="005E4483" w:rsidRDefault="008E0EB6" w:rsidP="008E0EB6">
            <w:pPr>
              <w:pStyle w:val="Textpoznpodarou"/>
              <w:jc w:val="both"/>
              <w:rPr>
                <w:spacing w:val="-4"/>
              </w:rPr>
            </w:pPr>
          </w:p>
        </w:tc>
        <w:tc>
          <w:tcPr>
            <w:tcW w:w="7391" w:type="dxa"/>
            <w:tcBorders>
              <w:top w:val="nil"/>
              <w:left w:val="nil"/>
              <w:bottom w:val="nil"/>
              <w:right w:val="nil"/>
            </w:tcBorders>
          </w:tcPr>
          <w:p w14:paraId="2A53C5CC" w14:textId="79ACFB71" w:rsidR="008E0EB6" w:rsidRDefault="008E0EB6" w:rsidP="008E1F66">
            <w:pPr>
              <w:spacing w:after="0"/>
              <w:jc w:val="left"/>
              <w:rPr>
                <w:rFonts w:cs="Arial"/>
                <w:color w:val="0D0D0D" w:themeColor="text1" w:themeTint="F2"/>
                <w:spacing w:val="-4"/>
              </w:rPr>
            </w:pPr>
            <w:r w:rsidRPr="00EE6974">
              <w:rPr>
                <w:b/>
                <w:spacing w:val="-2"/>
              </w:rPr>
              <w:t xml:space="preserve">Graf </w:t>
            </w:r>
            <w:r w:rsidR="00BA35F3">
              <w:rPr>
                <w:b/>
                <w:spacing w:val="-2"/>
              </w:rPr>
              <w:t>č. </w:t>
            </w:r>
            <w:r w:rsidR="00306AD7">
              <w:rPr>
                <w:b/>
                <w:spacing w:val="-2"/>
              </w:rPr>
              <w:t>2</w:t>
            </w:r>
            <w:r w:rsidRPr="00EE6974">
              <w:rPr>
                <w:b/>
                <w:spacing w:val="-2"/>
              </w:rPr>
              <w:t>2</w:t>
            </w:r>
            <w:r w:rsidR="00A67D62">
              <w:rPr>
                <w:b/>
                <w:spacing w:val="-2"/>
              </w:rPr>
              <w:t xml:space="preserve"> </w:t>
            </w:r>
            <w:r w:rsidRPr="00EE6974">
              <w:rPr>
                <w:b/>
                <w:spacing w:val="-2"/>
              </w:rPr>
              <w:t xml:space="preserve"> Změna průměrných mezd ve vybraných krajích ČR </w:t>
            </w:r>
            <w:r w:rsidRPr="00EE6974">
              <w:rPr>
                <w:spacing w:val="-2"/>
              </w:rPr>
              <w:t>(meziročně v</w:t>
            </w:r>
            <w:r w:rsidR="006454CC">
              <w:rPr>
                <w:spacing w:val="-2"/>
              </w:rPr>
              <w:t> %</w:t>
            </w:r>
            <w:r w:rsidRPr="00EE6974">
              <w:rPr>
                <w:spacing w:val="-2"/>
              </w:rPr>
              <w:t>)</w:t>
            </w:r>
            <w:r w:rsidR="008E1F66">
              <w:rPr>
                <w:spacing w:val="-2"/>
              </w:rPr>
              <w:br/>
            </w:r>
            <w:r w:rsidR="00BC7833" w:rsidRPr="00EE6974">
              <w:rPr>
                <w:b/>
                <w:spacing w:val="-2"/>
              </w:rPr>
              <w:t>a</w:t>
            </w:r>
            <w:r w:rsidR="00BC7833">
              <w:rPr>
                <w:b/>
                <w:spacing w:val="-2"/>
              </w:rPr>
              <w:t> </w:t>
            </w:r>
            <w:r w:rsidRPr="00EE6974">
              <w:rPr>
                <w:b/>
                <w:spacing w:val="-2"/>
              </w:rPr>
              <w:t xml:space="preserve">úroveň mezd v Praze </w:t>
            </w:r>
            <w:r w:rsidR="00BC7833" w:rsidRPr="00EE6974">
              <w:rPr>
                <w:b/>
                <w:spacing w:val="-2"/>
              </w:rPr>
              <w:t>a</w:t>
            </w:r>
            <w:r w:rsidR="00BC7833">
              <w:rPr>
                <w:b/>
                <w:spacing w:val="-2"/>
              </w:rPr>
              <w:t> </w:t>
            </w:r>
            <w:r w:rsidRPr="00EE6974">
              <w:rPr>
                <w:b/>
                <w:spacing w:val="-2"/>
              </w:rPr>
              <w:t xml:space="preserve">Karlovarském kraji </w:t>
            </w:r>
            <w:r w:rsidRPr="00EE6974">
              <w:rPr>
                <w:spacing w:val="-2"/>
              </w:rPr>
              <w:t>(ČR</w:t>
            </w:r>
            <w:r w:rsidR="008E1F66">
              <w:rPr>
                <w:spacing w:val="-2"/>
              </w:rPr>
              <w:t xml:space="preserve"> </w:t>
            </w:r>
            <w:r w:rsidRPr="00EE6974">
              <w:rPr>
                <w:spacing w:val="-2"/>
              </w:rPr>
              <w:t>=</w:t>
            </w:r>
            <w:r w:rsidR="008E1F66">
              <w:rPr>
                <w:spacing w:val="-2"/>
              </w:rPr>
              <w:t xml:space="preserve"> </w:t>
            </w:r>
            <w:r w:rsidRPr="00EE6974">
              <w:rPr>
                <w:spacing w:val="-2"/>
              </w:rPr>
              <w:t>100, pravá osa)</w:t>
            </w:r>
          </w:p>
        </w:tc>
      </w:tr>
      <w:tr w:rsidR="008E0EB6" w14:paraId="108A6C15" w14:textId="77777777" w:rsidTr="00212D83">
        <w:tblPrEx>
          <w:tblCellMar>
            <w:left w:w="70" w:type="dxa"/>
            <w:right w:w="70" w:type="dxa"/>
          </w:tblCellMar>
        </w:tblPrEx>
        <w:trPr>
          <w:trHeight w:val="145"/>
        </w:trPr>
        <w:tc>
          <w:tcPr>
            <w:tcW w:w="1976" w:type="dxa"/>
            <w:tcBorders>
              <w:top w:val="nil"/>
              <w:left w:val="nil"/>
              <w:bottom w:val="nil"/>
              <w:right w:val="nil"/>
            </w:tcBorders>
          </w:tcPr>
          <w:p w14:paraId="75D44436" w14:textId="77777777" w:rsidR="008E0EB6" w:rsidRDefault="008E0EB6" w:rsidP="008E0EB6">
            <w:pPr>
              <w:pStyle w:val="Marginlie"/>
            </w:pPr>
          </w:p>
        </w:tc>
        <w:tc>
          <w:tcPr>
            <w:tcW w:w="277" w:type="dxa"/>
            <w:tcBorders>
              <w:top w:val="nil"/>
              <w:left w:val="nil"/>
              <w:bottom w:val="nil"/>
              <w:right w:val="nil"/>
            </w:tcBorders>
          </w:tcPr>
          <w:p w14:paraId="6B49CD9E" w14:textId="77777777" w:rsidR="008E0EB6" w:rsidRPr="005E4483" w:rsidRDefault="008E0EB6" w:rsidP="008E0EB6">
            <w:pPr>
              <w:pStyle w:val="Textpoznpodarou"/>
              <w:jc w:val="both"/>
              <w:rPr>
                <w:spacing w:val="-4"/>
              </w:rPr>
            </w:pPr>
          </w:p>
        </w:tc>
        <w:tc>
          <w:tcPr>
            <w:tcW w:w="7391" w:type="dxa"/>
            <w:tcBorders>
              <w:top w:val="nil"/>
              <w:left w:val="nil"/>
              <w:bottom w:val="nil"/>
              <w:right w:val="nil"/>
            </w:tcBorders>
          </w:tcPr>
          <w:p w14:paraId="096205F0" w14:textId="051A0632" w:rsidR="008E0EB6" w:rsidRDefault="00212D83" w:rsidP="008E0EB6">
            <w:pPr>
              <w:spacing w:after="0"/>
              <w:rPr>
                <w:rFonts w:cs="Arial"/>
                <w:color w:val="0D0D0D" w:themeColor="text1" w:themeTint="F2"/>
                <w:spacing w:val="-4"/>
              </w:rPr>
            </w:pPr>
            <w:r>
              <w:rPr>
                <w:noProof/>
              </w:rPr>
              <w:drawing>
                <wp:inline distT="0" distB="0" distL="0" distR="0" wp14:anchorId="526C6FE6" wp14:editId="76003495">
                  <wp:extent cx="4604385" cy="3347085"/>
                  <wp:effectExtent l="0" t="0" r="5715" b="5715"/>
                  <wp:docPr id="67" name="Graf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8E0EB6" w:rsidRPr="00711FC2" w14:paraId="30B5ADBD" w14:textId="77777777" w:rsidTr="00A500A7">
        <w:trPr>
          <w:trHeight w:val="145"/>
        </w:trPr>
        <w:tc>
          <w:tcPr>
            <w:tcW w:w="1976" w:type="dxa"/>
            <w:tcBorders>
              <w:top w:val="nil"/>
              <w:left w:val="nil"/>
              <w:bottom w:val="nil"/>
              <w:right w:val="nil"/>
            </w:tcBorders>
          </w:tcPr>
          <w:p w14:paraId="29611555" w14:textId="77777777" w:rsidR="008E0EB6" w:rsidRDefault="008E0EB6" w:rsidP="008E0EB6">
            <w:pPr>
              <w:pStyle w:val="Marginlie"/>
            </w:pPr>
          </w:p>
        </w:tc>
        <w:tc>
          <w:tcPr>
            <w:tcW w:w="277" w:type="dxa"/>
            <w:tcBorders>
              <w:top w:val="nil"/>
              <w:left w:val="nil"/>
              <w:bottom w:val="nil"/>
              <w:right w:val="nil"/>
            </w:tcBorders>
          </w:tcPr>
          <w:p w14:paraId="0C7C1E19" w14:textId="77777777" w:rsidR="008E0EB6" w:rsidRPr="005E4483" w:rsidRDefault="008E0EB6" w:rsidP="008E0EB6">
            <w:pPr>
              <w:pStyle w:val="Textpoznpodarou"/>
              <w:jc w:val="both"/>
              <w:rPr>
                <w:spacing w:val="-4"/>
              </w:rPr>
            </w:pPr>
          </w:p>
        </w:tc>
        <w:tc>
          <w:tcPr>
            <w:tcW w:w="7391" w:type="dxa"/>
            <w:tcBorders>
              <w:top w:val="nil"/>
              <w:left w:val="nil"/>
              <w:bottom w:val="nil"/>
              <w:right w:val="nil"/>
            </w:tcBorders>
          </w:tcPr>
          <w:p w14:paraId="109B4BC0" w14:textId="7C370E97" w:rsidR="008E0EB6" w:rsidRPr="00711FC2" w:rsidRDefault="008E0EB6" w:rsidP="008E0EB6">
            <w:r>
              <w:rPr>
                <w:rFonts w:cs="Arial"/>
                <w:sz w:val="14"/>
                <w:szCs w:val="14"/>
              </w:rPr>
              <w:t>Zdroj: ČSÚ (podniková statistika, údaje ze čtvrtletních šetření)</w:t>
            </w:r>
          </w:p>
        </w:tc>
      </w:tr>
      <w:tr w:rsidR="008E0EB6" w14:paraId="76194463" w14:textId="77777777" w:rsidTr="00A500A7">
        <w:trPr>
          <w:trHeight w:val="145"/>
        </w:trPr>
        <w:tc>
          <w:tcPr>
            <w:tcW w:w="1976" w:type="dxa"/>
            <w:tcBorders>
              <w:top w:val="nil"/>
              <w:left w:val="nil"/>
              <w:bottom w:val="nil"/>
              <w:right w:val="nil"/>
            </w:tcBorders>
          </w:tcPr>
          <w:p w14:paraId="44D6ECD9" w14:textId="77777777" w:rsidR="008E0EB6" w:rsidRDefault="008E0EB6" w:rsidP="008E0EB6">
            <w:pPr>
              <w:pStyle w:val="Marginlie"/>
            </w:pPr>
            <w:r>
              <w:t>Výše průměrných mezd ve Středočeském kraji se dále pohybovala těsně nad republikovým průměrem.</w:t>
            </w:r>
          </w:p>
        </w:tc>
        <w:tc>
          <w:tcPr>
            <w:tcW w:w="277" w:type="dxa"/>
            <w:tcBorders>
              <w:top w:val="nil"/>
              <w:left w:val="nil"/>
              <w:bottom w:val="nil"/>
              <w:right w:val="nil"/>
            </w:tcBorders>
          </w:tcPr>
          <w:p w14:paraId="04491BB9" w14:textId="77777777" w:rsidR="008E0EB6" w:rsidRPr="005E4483" w:rsidRDefault="008E0EB6" w:rsidP="008E0EB6">
            <w:pPr>
              <w:pStyle w:val="Textpoznpodarou"/>
              <w:jc w:val="both"/>
              <w:rPr>
                <w:spacing w:val="-4"/>
              </w:rPr>
            </w:pPr>
          </w:p>
        </w:tc>
        <w:tc>
          <w:tcPr>
            <w:tcW w:w="7391" w:type="dxa"/>
            <w:tcBorders>
              <w:top w:val="nil"/>
              <w:left w:val="nil"/>
              <w:bottom w:val="nil"/>
              <w:right w:val="nil"/>
            </w:tcBorders>
          </w:tcPr>
          <w:p w14:paraId="03B9485A" w14:textId="59876FA4" w:rsidR="008E0EB6" w:rsidRDefault="008E0EB6" w:rsidP="008E0EB6">
            <w:pPr>
              <w:spacing w:after="220"/>
              <w:rPr>
                <w:rFonts w:cs="Arial"/>
                <w:color w:val="0D0D0D" w:themeColor="text1" w:themeTint="F2"/>
                <w:spacing w:val="-4"/>
              </w:rPr>
            </w:pPr>
            <w:r>
              <w:rPr>
                <w:rFonts w:cs="Arial"/>
                <w:color w:val="0D0D0D" w:themeColor="text1" w:themeTint="F2"/>
                <w:spacing w:val="-4"/>
              </w:rPr>
              <w:t xml:space="preserve">Pokračovalo také posilování pozice Středočeského kraje, jenž se dorovnal republikové úrovni mezd v roce 2013 </w:t>
            </w:r>
            <w:r w:rsidR="00BC7833">
              <w:rPr>
                <w:rFonts w:cs="Arial"/>
                <w:color w:val="0D0D0D" w:themeColor="text1" w:themeTint="F2"/>
                <w:spacing w:val="-4"/>
              </w:rPr>
              <w:t>a </w:t>
            </w:r>
            <w:r>
              <w:rPr>
                <w:rFonts w:cs="Arial"/>
                <w:color w:val="0D0D0D" w:themeColor="text1" w:themeTint="F2"/>
                <w:spacing w:val="-4"/>
              </w:rPr>
              <w:t xml:space="preserve">v roce 2018 ji překonal </w:t>
            </w:r>
            <w:r w:rsidR="00BC7833">
              <w:rPr>
                <w:rFonts w:cs="Arial"/>
                <w:color w:val="0D0D0D" w:themeColor="text1" w:themeTint="F2"/>
                <w:spacing w:val="-4"/>
              </w:rPr>
              <w:t>o </w:t>
            </w:r>
            <w:r>
              <w:rPr>
                <w:rFonts w:cs="Arial"/>
                <w:color w:val="0D0D0D" w:themeColor="text1" w:themeTint="F2"/>
                <w:spacing w:val="-4"/>
              </w:rPr>
              <w:t>2</w:t>
            </w:r>
            <w:r w:rsidR="006454CC">
              <w:rPr>
                <w:rFonts w:cs="Arial"/>
                <w:color w:val="0D0D0D" w:themeColor="text1" w:themeTint="F2"/>
                <w:spacing w:val="-4"/>
              </w:rPr>
              <w:t> %</w:t>
            </w:r>
            <w:r>
              <w:rPr>
                <w:rFonts w:cs="Arial"/>
                <w:color w:val="0D0D0D" w:themeColor="text1" w:themeTint="F2"/>
                <w:spacing w:val="-4"/>
              </w:rPr>
              <w:t>. Projevil se zde nejen vliv sílících výdělků pracovníků automobilového průmyslu (</w:t>
            </w:r>
            <w:r w:rsidR="00BC7833">
              <w:rPr>
                <w:rFonts w:cs="Arial"/>
                <w:color w:val="0D0D0D" w:themeColor="text1" w:themeTint="F2"/>
                <w:spacing w:val="-4"/>
              </w:rPr>
              <w:t>a </w:t>
            </w:r>
            <w:r>
              <w:rPr>
                <w:rFonts w:cs="Arial"/>
                <w:color w:val="0D0D0D" w:themeColor="text1" w:themeTint="F2"/>
                <w:spacing w:val="-4"/>
              </w:rPr>
              <w:t xml:space="preserve">sním souvisejících oborů), ale </w:t>
            </w:r>
            <w:r w:rsidR="00BC7833">
              <w:rPr>
                <w:rFonts w:cs="Arial"/>
                <w:color w:val="0D0D0D" w:themeColor="text1" w:themeTint="F2"/>
                <w:spacing w:val="-4"/>
              </w:rPr>
              <w:t>i </w:t>
            </w:r>
            <w:r>
              <w:rPr>
                <w:rFonts w:cs="Arial"/>
                <w:color w:val="0D0D0D" w:themeColor="text1" w:themeTint="F2"/>
                <w:spacing w:val="-4"/>
              </w:rPr>
              <w:t xml:space="preserve">růst kvalifikovaných pracovních míst v těsném zázemí metropole (výzkumná či logistická centra). Od poslední recese si mírně polepšily </w:t>
            </w:r>
            <w:r w:rsidR="00BC7833">
              <w:rPr>
                <w:rFonts w:cs="Arial"/>
                <w:color w:val="0D0D0D" w:themeColor="text1" w:themeTint="F2"/>
                <w:spacing w:val="-4"/>
              </w:rPr>
              <w:t>i </w:t>
            </w:r>
            <w:r>
              <w:rPr>
                <w:rFonts w:cs="Arial"/>
                <w:color w:val="0D0D0D" w:themeColor="text1" w:themeTint="F2"/>
                <w:spacing w:val="-4"/>
              </w:rPr>
              <w:t xml:space="preserve">Plzeňský kraj, Vysočina či regiony východních Čech. Svižnější mzdový růst zde souvisel </w:t>
            </w:r>
            <w:r w:rsidR="00BC7833">
              <w:rPr>
                <w:rFonts w:cs="Arial"/>
                <w:color w:val="0D0D0D" w:themeColor="text1" w:themeTint="F2"/>
                <w:spacing w:val="-4"/>
              </w:rPr>
              <w:t>s </w:t>
            </w:r>
            <w:r>
              <w:rPr>
                <w:rFonts w:cs="Arial"/>
                <w:color w:val="0D0D0D" w:themeColor="text1" w:themeTint="F2"/>
                <w:spacing w:val="-4"/>
              </w:rPr>
              <w:t xml:space="preserve">nízkou nezaměstnaností, vysokým počtem neobsazených pracovních míst </w:t>
            </w:r>
            <w:r w:rsidR="00BC7833">
              <w:rPr>
                <w:rFonts w:cs="Arial"/>
                <w:color w:val="0D0D0D" w:themeColor="text1" w:themeTint="F2"/>
                <w:spacing w:val="-4"/>
              </w:rPr>
              <w:t>i </w:t>
            </w:r>
            <w:r w:rsidR="0064464B">
              <w:rPr>
                <w:rFonts w:cs="Arial"/>
                <w:color w:val="0D0D0D" w:themeColor="text1" w:themeTint="F2"/>
                <w:spacing w:val="-4"/>
              </w:rPr>
              <w:t>s </w:t>
            </w:r>
            <w:r>
              <w:rPr>
                <w:rFonts w:cs="Arial"/>
                <w:color w:val="0D0D0D" w:themeColor="text1" w:themeTint="F2"/>
                <w:spacing w:val="-4"/>
              </w:rPr>
              <w:t>rozvojem výrazně proexportních průmyslových oborů.</w:t>
            </w:r>
          </w:p>
        </w:tc>
      </w:tr>
    </w:tbl>
    <w:p w14:paraId="426183CC" w14:textId="77777777" w:rsidR="00AA4F0A" w:rsidRDefault="00306AD7" w:rsidP="00AA4F0A">
      <w:pPr>
        <w:pStyle w:val="Normalodrka"/>
        <w:numPr>
          <w:ilvl w:val="0"/>
          <w:numId w:val="0"/>
        </w:numPr>
        <w:spacing w:after="0"/>
        <w:rPr>
          <w:rFonts w:eastAsia="MS Gothic"/>
          <w:bCs/>
          <w:color w:val="71818C"/>
          <w:szCs w:val="20"/>
        </w:rPr>
      </w:pPr>
      <w:r>
        <w:rPr>
          <w:rFonts w:eastAsia="MS Gothic"/>
          <w:b/>
          <w:bCs/>
          <w:color w:val="71818C"/>
          <w:sz w:val="28"/>
          <w:szCs w:val="28"/>
        </w:rPr>
        <w:t xml:space="preserve">3.2. </w:t>
      </w:r>
      <w:r w:rsidR="00AA4F0A">
        <w:rPr>
          <w:rFonts w:eastAsia="MS Gothic"/>
          <w:b/>
          <w:bCs/>
          <w:color w:val="71818C"/>
          <w:sz w:val="28"/>
          <w:szCs w:val="28"/>
        </w:rPr>
        <w:t>Mzdová diferenciace</w:t>
      </w:r>
    </w:p>
    <w:tbl>
      <w:tblPr>
        <w:tblW w:w="96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76"/>
        <w:gridCol w:w="277"/>
        <w:gridCol w:w="7391"/>
      </w:tblGrid>
      <w:tr w:rsidR="00AA4F0A" w:rsidRPr="005A2E40" w14:paraId="469E86D8" w14:textId="77777777" w:rsidTr="00A500A7">
        <w:trPr>
          <w:trHeight w:val="429"/>
        </w:trPr>
        <w:tc>
          <w:tcPr>
            <w:tcW w:w="1976" w:type="dxa"/>
            <w:tcBorders>
              <w:top w:val="nil"/>
              <w:left w:val="nil"/>
              <w:bottom w:val="nil"/>
              <w:right w:val="nil"/>
            </w:tcBorders>
          </w:tcPr>
          <w:p w14:paraId="320A1070" w14:textId="7FA0E079" w:rsidR="00AA4F0A" w:rsidRPr="00106639" w:rsidRDefault="00AA4F0A" w:rsidP="00A500A7">
            <w:pPr>
              <w:pStyle w:val="Marginlie"/>
            </w:pPr>
            <w:r>
              <w:t>Trend snižování celkových mzdových rozdílů pokračoval.</w:t>
            </w:r>
          </w:p>
        </w:tc>
        <w:tc>
          <w:tcPr>
            <w:tcW w:w="277" w:type="dxa"/>
            <w:tcBorders>
              <w:top w:val="nil"/>
              <w:left w:val="nil"/>
              <w:bottom w:val="nil"/>
              <w:right w:val="nil"/>
            </w:tcBorders>
          </w:tcPr>
          <w:p w14:paraId="47255EAC"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7FADB8FC" w14:textId="12A29AA5" w:rsidR="00AA4F0A" w:rsidRPr="0086454A" w:rsidRDefault="00AA4F0A" w:rsidP="00A500A7">
            <w:pPr>
              <w:spacing w:after="220"/>
              <w:rPr>
                <w:rFonts w:cs="Arial"/>
                <w:color w:val="0D0D0D" w:themeColor="text1" w:themeTint="F2"/>
                <w:spacing w:val="-4"/>
              </w:rPr>
            </w:pPr>
            <w:r>
              <w:rPr>
                <w:rFonts w:cs="Arial"/>
                <w:color w:val="0D0D0D" w:themeColor="text1" w:themeTint="F2"/>
                <w:spacing w:val="-4"/>
              </w:rPr>
              <w:t xml:space="preserve">Detailnější </w:t>
            </w:r>
            <w:r w:rsidRPr="00D13306">
              <w:rPr>
                <w:rFonts w:cs="Arial"/>
                <w:color w:val="0D0D0D" w:themeColor="text1" w:themeTint="F2"/>
                <w:spacing w:val="-4"/>
              </w:rPr>
              <w:t xml:space="preserve">pohled na diferenciaci mezd umožňuje </w:t>
            </w:r>
            <w:r w:rsidRPr="003E77E5">
              <w:rPr>
                <w:rFonts w:cs="Arial"/>
                <w:color w:val="0D0D0D" w:themeColor="text1" w:themeTint="F2"/>
                <w:spacing w:val="-4"/>
              </w:rPr>
              <w:t>strukturální mzdová statistika</w:t>
            </w:r>
            <w:r w:rsidRPr="00D13306">
              <w:rPr>
                <w:rFonts w:cs="Arial"/>
                <w:vertAlign w:val="superscript"/>
              </w:rPr>
              <w:footnoteReference w:id="8"/>
            </w:r>
            <w:r>
              <w:rPr>
                <w:rFonts w:cs="Arial"/>
                <w:color w:val="0D0D0D" w:themeColor="text1" w:themeTint="F2"/>
                <w:spacing w:val="-4"/>
              </w:rPr>
              <w:t>. Údaje z posledních let naznačují, že prohlubování mzdové diferenciace, jež bylo typické pro dvě předchozí dekády, se zastavilo</w:t>
            </w:r>
            <w:r w:rsidRPr="00D13306">
              <w:rPr>
                <w:rFonts w:cs="Arial"/>
                <w:vertAlign w:val="superscript"/>
              </w:rPr>
              <w:footnoteReference w:id="9"/>
            </w:r>
            <w:r>
              <w:rPr>
                <w:rFonts w:cs="Arial"/>
                <w:color w:val="0D0D0D" w:themeColor="text1" w:themeTint="F2"/>
                <w:spacing w:val="-4"/>
              </w:rPr>
              <w:t xml:space="preserve">. To dokládá </w:t>
            </w:r>
            <w:r w:rsidR="00BC7833">
              <w:rPr>
                <w:rFonts w:cs="Arial"/>
                <w:color w:val="0D0D0D" w:themeColor="text1" w:themeTint="F2"/>
                <w:spacing w:val="-4"/>
              </w:rPr>
              <w:t>i </w:t>
            </w:r>
            <w:r>
              <w:rPr>
                <w:rFonts w:cs="Arial"/>
                <w:color w:val="0D0D0D" w:themeColor="text1" w:themeTint="F2"/>
                <w:spacing w:val="-4"/>
              </w:rPr>
              <w:t xml:space="preserve">hodnota variačního koeficientu mezd, která v současné dekádě klesala (vyjma let 2012 </w:t>
            </w:r>
            <w:r w:rsidR="00BC7833">
              <w:rPr>
                <w:rFonts w:cs="Arial"/>
                <w:color w:val="0D0D0D" w:themeColor="text1" w:themeTint="F2"/>
                <w:spacing w:val="-4"/>
              </w:rPr>
              <w:t>a </w:t>
            </w:r>
            <w:r>
              <w:rPr>
                <w:rFonts w:cs="Arial"/>
                <w:color w:val="0D0D0D" w:themeColor="text1" w:themeTint="F2"/>
                <w:spacing w:val="-4"/>
              </w:rPr>
              <w:t xml:space="preserve">2014). Zatímco v roce 2011 činila </w:t>
            </w:r>
            <w:r>
              <w:rPr>
                <w:rFonts w:cs="Arial"/>
                <w:color w:val="0D0D0D" w:themeColor="text1" w:themeTint="F2"/>
                <w:spacing w:val="-4"/>
              </w:rPr>
              <w:lastRenderedPageBreak/>
              <w:t>83,3</w:t>
            </w:r>
            <w:r w:rsidR="006454CC">
              <w:rPr>
                <w:rFonts w:cs="Arial"/>
                <w:color w:val="0D0D0D" w:themeColor="text1" w:themeTint="F2"/>
                <w:spacing w:val="-4"/>
              </w:rPr>
              <w:t> %</w:t>
            </w:r>
            <w:r>
              <w:rPr>
                <w:rFonts w:cs="Arial"/>
                <w:color w:val="0D0D0D" w:themeColor="text1" w:themeTint="F2"/>
                <w:spacing w:val="-4"/>
              </w:rPr>
              <w:t>, loni jen 72,9</w:t>
            </w:r>
            <w:r w:rsidR="006454CC">
              <w:rPr>
                <w:rFonts w:cs="Arial"/>
                <w:color w:val="0D0D0D" w:themeColor="text1" w:themeTint="F2"/>
                <w:spacing w:val="-4"/>
              </w:rPr>
              <w:t> %</w:t>
            </w:r>
            <w:r>
              <w:rPr>
                <w:rFonts w:cs="Arial"/>
                <w:color w:val="0D0D0D" w:themeColor="text1" w:themeTint="F2"/>
                <w:spacing w:val="-4"/>
              </w:rPr>
              <w:t xml:space="preserve">. </w:t>
            </w:r>
            <w:r w:rsidR="00993D73">
              <w:rPr>
                <w:rFonts w:cs="Arial"/>
                <w:color w:val="0D0D0D" w:themeColor="text1" w:themeTint="F2"/>
                <w:spacing w:val="-4"/>
              </w:rPr>
              <w:t>Z v</w:t>
            </w:r>
            <w:r>
              <w:rPr>
                <w:rFonts w:cs="Arial"/>
                <w:color w:val="0D0D0D" w:themeColor="text1" w:themeTint="F2"/>
                <w:spacing w:val="-4"/>
              </w:rPr>
              <w:t>íce než tří čtvrtin k tomu přispěli muži, přesto zůstaly mužské výdělky stále znatelně rozrůzněnější (78</w:t>
            </w:r>
            <w:r w:rsidR="006454CC">
              <w:rPr>
                <w:rFonts w:cs="Arial"/>
                <w:color w:val="0D0D0D" w:themeColor="text1" w:themeTint="F2"/>
                <w:spacing w:val="-4"/>
              </w:rPr>
              <w:t> %</w:t>
            </w:r>
            <w:r>
              <w:rPr>
                <w:rFonts w:cs="Arial"/>
                <w:color w:val="0D0D0D" w:themeColor="text1" w:themeTint="F2"/>
                <w:spacing w:val="-4"/>
              </w:rPr>
              <w:t>) než ženské (57</w:t>
            </w:r>
            <w:r w:rsidR="006454CC">
              <w:rPr>
                <w:rFonts w:cs="Arial"/>
                <w:color w:val="0D0D0D" w:themeColor="text1" w:themeTint="F2"/>
                <w:spacing w:val="-4"/>
              </w:rPr>
              <w:t> %</w:t>
            </w:r>
            <w:r>
              <w:rPr>
                <w:rFonts w:cs="Arial"/>
                <w:color w:val="0D0D0D" w:themeColor="text1" w:themeTint="F2"/>
                <w:spacing w:val="-4"/>
              </w:rPr>
              <w:t>). Tyto rozdíly jsou výsledkem zejména výraznějšího předstihu mužských výdělků v profesích s vysokými kvalifikačními nároky (manažeři, specialisté).</w:t>
            </w:r>
          </w:p>
        </w:tc>
      </w:tr>
      <w:tr w:rsidR="00AA4F0A" w:rsidRPr="005A2E40" w14:paraId="3730FE80" w14:textId="77777777" w:rsidTr="00A500A7">
        <w:trPr>
          <w:trHeight w:val="429"/>
        </w:trPr>
        <w:tc>
          <w:tcPr>
            <w:tcW w:w="1976" w:type="dxa"/>
            <w:tcBorders>
              <w:top w:val="nil"/>
              <w:left w:val="nil"/>
              <w:bottom w:val="nil"/>
              <w:right w:val="nil"/>
            </w:tcBorders>
          </w:tcPr>
          <w:p w14:paraId="4AA7EA81" w14:textId="79A6D82E" w:rsidR="00AA4F0A" w:rsidRPr="00106639" w:rsidRDefault="00993D73" w:rsidP="00A500A7">
            <w:pPr>
              <w:pStyle w:val="Marginlie"/>
            </w:pPr>
            <w:r>
              <w:lastRenderedPageBreak/>
              <w:t>Ke z</w:t>
            </w:r>
            <w:r w:rsidR="00AA4F0A">
              <w:t xml:space="preserve">lepšení pozice nízkopříjmových pracovníků pomohlo vedle posunu minimální mzdy </w:t>
            </w:r>
            <w:r w:rsidR="00BC7833">
              <w:t>i </w:t>
            </w:r>
            <w:r w:rsidR="00AA4F0A">
              <w:t>pevnější ukotvení hospodářského růstu.</w:t>
            </w:r>
          </w:p>
        </w:tc>
        <w:tc>
          <w:tcPr>
            <w:tcW w:w="277" w:type="dxa"/>
            <w:tcBorders>
              <w:top w:val="nil"/>
              <w:left w:val="nil"/>
              <w:bottom w:val="nil"/>
              <w:right w:val="nil"/>
            </w:tcBorders>
          </w:tcPr>
          <w:p w14:paraId="26DC2F21"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6808DDC7" w14:textId="4F10E073" w:rsidR="00AA4F0A" w:rsidRPr="00C80D51" w:rsidRDefault="00AA4F0A" w:rsidP="00A500A7">
            <w:pPr>
              <w:spacing w:after="220"/>
              <w:rPr>
                <w:rFonts w:cs="Arial"/>
                <w:color w:val="0D0D0D" w:themeColor="text1" w:themeTint="F2"/>
                <w:spacing w:val="-2"/>
              </w:rPr>
            </w:pPr>
            <w:r>
              <w:rPr>
                <w:rFonts w:cs="Arial"/>
                <w:color w:val="0D0D0D" w:themeColor="text1" w:themeTint="F2"/>
                <w:spacing w:val="-2"/>
              </w:rPr>
              <w:t>Za trendem oslabování mzdové diferenciace stálo primárně opakované navyšování hranice minimální mzdy</w:t>
            </w:r>
            <w:r w:rsidRPr="00D13306">
              <w:rPr>
                <w:rFonts w:cs="Arial"/>
                <w:vertAlign w:val="superscript"/>
              </w:rPr>
              <w:footnoteReference w:id="10"/>
            </w:r>
            <w:r>
              <w:rPr>
                <w:rFonts w:cs="Arial"/>
                <w:color w:val="0D0D0D" w:themeColor="text1" w:themeTint="F2"/>
                <w:spacing w:val="-2"/>
              </w:rPr>
              <w:t xml:space="preserve"> (</w:t>
            </w:r>
            <w:r w:rsidR="00BC7833">
              <w:rPr>
                <w:rFonts w:cs="Arial"/>
                <w:color w:val="0D0D0D" w:themeColor="text1" w:themeTint="F2"/>
                <w:spacing w:val="-2"/>
              </w:rPr>
              <w:t>s </w:t>
            </w:r>
            <w:r>
              <w:rPr>
                <w:rFonts w:cs="Arial"/>
                <w:color w:val="0D0D0D" w:themeColor="text1" w:themeTint="F2"/>
                <w:spacing w:val="-2"/>
              </w:rPr>
              <w:t xml:space="preserve">výraznějším sekundárním dopadem na pásma zaručené mzdy). </w:t>
            </w:r>
            <w:r w:rsidR="00BC7833">
              <w:rPr>
                <w:rFonts w:cs="Arial"/>
                <w:color w:val="0D0D0D" w:themeColor="text1" w:themeTint="F2"/>
                <w:spacing w:val="-2"/>
              </w:rPr>
              <w:t>V </w:t>
            </w:r>
            <w:r>
              <w:rPr>
                <w:rFonts w:cs="Arial"/>
                <w:color w:val="0D0D0D" w:themeColor="text1" w:themeTint="F2"/>
                <w:spacing w:val="-2"/>
              </w:rPr>
              <w:t xml:space="preserve">roce 2012, kdy tuzemskou ekonomiku svírala recese </w:t>
            </w:r>
            <w:r w:rsidR="00BC7833">
              <w:rPr>
                <w:rFonts w:cs="Arial"/>
                <w:color w:val="0D0D0D" w:themeColor="text1" w:themeTint="F2"/>
                <w:spacing w:val="-2"/>
              </w:rPr>
              <w:t>a </w:t>
            </w:r>
            <w:r>
              <w:rPr>
                <w:rFonts w:cs="Arial"/>
                <w:color w:val="0D0D0D" w:themeColor="text1" w:themeTint="F2"/>
                <w:spacing w:val="-2"/>
              </w:rPr>
              <w:t>výše minimální mzdy stále odpovídala úrovni z roku 2007, se mzdové rozdíly zvýšily (</w:t>
            </w:r>
            <w:r w:rsidR="00BC7833">
              <w:rPr>
                <w:rFonts w:cs="Arial"/>
                <w:color w:val="0D0D0D" w:themeColor="text1" w:themeTint="F2"/>
                <w:spacing w:val="-2"/>
              </w:rPr>
              <w:t>a </w:t>
            </w:r>
            <w:r>
              <w:rPr>
                <w:rFonts w:cs="Arial"/>
                <w:color w:val="0D0D0D" w:themeColor="text1" w:themeTint="F2"/>
                <w:spacing w:val="-2"/>
              </w:rPr>
              <w:t xml:space="preserve">průměrná mzda vzrostla meziročně více než mzdový medián). V následujících letech se situace obrátila. K výraznějšímu růstu výdělků nízkopříjmových pracovníků došlo ale až v roce 2016, kdy vedle efektu minimální mzdy přispívalo k lepšímu postavení těchto osob na pracovním trhu </w:t>
            </w:r>
            <w:r w:rsidR="00BC7833">
              <w:rPr>
                <w:rFonts w:cs="Arial"/>
                <w:color w:val="0D0D0D" w:themeColor="text1" w:themeTint="F2"/>
                <w:spacing w:val="-2"/>
              </w:rPr>
              <w:t>i </w:t>
            </w:r>
            <w:r>
              <w:rPr>
                <w:rFonts w:cs="Arial"/>
                <w:color w:val="0D0D0D" w:themeColor="text1" w:themeTint="F2"/>
                <w:spacing w:val="-2"/>
              </w:rPr>
              <w:t>citelnější snížení dlouhodobé nezaměstnanosti. V roce 2018 vzrostla hodnota 5% kvantilu (vymezujícího soubor 5</w:t>
            </w:r>
            <w:r w:rsidR="006454CC">
              <w:rPr>
                <w:rFonts w:cs="Arial"/>
                <w:color w:val="0D0D0D" w:themeColor="text1" w:themeTint="F2"/>
                <w:spacing w:val="-2"/>
              </w:rPr>
              <w:t> %</w:t>
            </w:r>
            <w:r>
              <w:rPr>
                <w:rFonts w:cs="Arial"/>
                <w:color w:val="0D0D0D" w:themeColor="text1" w:themeTint="F2"/>
                <w:spacing w:val="-2"/>
              </w:rPr>
              <w:t xml:space="preserve"> nejhůře placených zaměstnanců) o 12 % (dokonce ještě mírně vyšším tempem</w:t>
            </w:r>
            <w:r w:rsidR="00993D73">
              <w:rPr>
                <w:rFonts w:cs="Arial"/>
                <w:color w:val="0D0D0D" w:themeColor="text1" w:themeTint="F2"/>
                <w:spacing w:val="-2"/>
              </w:rPr>
              <w:t>,</w:t>
            </w:r>
            <w:r>
              <w:rPr>
                <w:rFonts w:cs="Arial"/>
                <w:color w:val="0D0D0D" w:themeColor="text1" w:themeTint="F2"/>
                <w:spacing w:val="-2"/>
              </w:rPr>
              <w:t xml:space="preserve"> nežli činil meziroční růst minimální mzdy). Naopak růst 95% kvantilu byl bezmála </w:t>
            </w:r>
            <w:r w:rsidR="00BC7833">
              <w:rPr>
                <w:rFonts w:cs="Arial"/>
                <w:color w:val="0D0D0D" w:themeColor="text1" w:themeTint="F2"/>
                <w:spacing w:val="-2"/>
              </w:rPr>
              <w:t>o </w:t>
            </w:r>
            <w:r>
              <w:rPr>
                <w:rFonts w:cs="Arial"/>
                <w:color w:val="0D0D0D" w:themeColor="text1" w:themeTint="F2"/>
                <w:spacing w:val="-2"/>
              </w:rPr>
              <w:t xml:space="preserve">polovinu nižší. Trend oslabování mzdové diferenciace se mezi lety 2011 </w:t>
            </w:r>
            <w:r w:rsidR="00BC7833">
              <w:rPr>
                <w:rFonts w:cs="Arial"/>
                <w:color w:val="0D0D0D" w:themeColor="text1" w:themeTint="F2"/>
                <w:spacing w:val="-2"/>
              </w:rPr>
              <w:t>a </w:t>
            </w:r>
            <w:r>
              <w:rPr>
                <w:rFonts w:cs="Arial"/>
                <w:color w:val="0D0D0D" w:themeColor="text1" w:themeTint="F2"/>
                <w:spacing w:val="-2"/>
              </w:rPr>
              <w:t xml:space="preserve">2018 projevil ve všech krajích, nejvíce v Karlovarském, Jihomoravském </w:t>
            </w:r>
            <w:r w:rsidR="00BC7833">
              <w:rPr>
                <w:rFonts w:cs="Arial"/>
                <w:color w:val="0D0D0D" w:themeColor="text1" w:themeTint="F2"/>
                <w:spacing w:val="-2"/>
              </w:rPr>
              <w:t>a </w:t>
            </w:r>
            <w:r>
              <w:rPr>
                <w:rFonts w:cs="Arial"/>
                <w:color w:val="0D0D0D" w:themeColor="text1" w:themeTint="F2"/>
                <w:spacing w:val="-2"/>
              </w:rPr>
              <w:t>v Praze, nejméně na Vysočině (kde se variační koeficient snížil z 59</w:t>
            </w:r>
            <w:r w:rsidR="006454CC">
              <w:rPr>
                <w:rFonts w:cs="Arial"/>
                <w:color w:val="0D0D0D" w:themeColor="text1" w:themeTint="F2"/>
                <w:spacing w:val="-2"/>
              </w:rPr>
              <w:t> %</w:t>
            </w:r>
            <w:r>
              <w:rPr>
                <w:rFonts w:cs="Arial"/>
                <w:color w:val="0D0D0D" w:themeColor="text1" w:themeTint="F2"/>
                <w:spacing w:val="-2"/>
              </w:rPr>
              <w:t xml:space="preserve"> na 57</w:t>
            </w:r>
            <w:r w:rsidR="006454CC">
              <w:rPr>
                <w:rFonts w:cs="Arial"/>
                <w:color w:val="0D0D0D" w:themeColor="text1" w:themeTint="F2"/>
                <w:spacing w:val="-2"/>
              </w:rPr>
              <w:t> %</w:t>
            </w:r>
            <w:r>
              <w:rPr>
                <w:rFonts w:cs="Arial"/>
                <w:color w:val="0D0D0D" w:themeColor="text1" w:themeTint="F2"/>
                <w:spacing w:val="-2"/>
              </w:rPr>
              <w:t>).</w:t>
            </w:r>
          </w:p>
        </w:tc>
      </w:tr>
      <w:tr w:rsidR="00AA4F0A" w:rsidRPr="005A2E40" w14:paraId="5F4B5C91" w14:textId="77777777" w:rsidTr="00A500A7">
        <w:trPr>
          <w:trHeight w:val="429"/>
        </w:trPr>
        <w:tc>
          <w:tcPr>
            <w:tcW w:w="1976" w:type="dxa"/>
            <w:tcBorders>
              <w:top w:val="nil"/>
              <w:left w:val="nil"/>
              <w:bottom w:val="nil"/>
              <w:right w:val="nil"/>
            </w:tcBorders>
          </w:tcPr>
          <w:p w14:paraId="6DA03ADB" w14:textId="77777777" w:rsidR="00AA4F0A" w:rsidRPr="00106639" w:rsidRDefault="00AA4F0A" w:rsidP="00A500A7">
            <w:pPr>
              <w:pStyle w:val="Marginlie"/>
            </w:pPr>
          </w:p>
        </w:tc>
        <w:tc>
          <w:tcPr>
            <w:tcW w:w="277" w:type="dxa"/>
            <w:tcBorders>
              <w:top w:val="nil"/>
              <w:left w:val="nil"/>
              <w:bottom w:val="nil"/>
              <w:right w:val="nil"/>
            </w:tcBorders>
          </w:tcPr>
          <w:p w14:paraId="36FED2E7"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68EDBEC2" w14:textId="557F6A87" w:rsidR="00AA4F0A" w:rsidRDefault="00AA4F0A" w:rsidP="00A500A7">
            <w:pPr>
              <w:spacing w:after="0"/>
              <w:rPr>
                <w:b/>
              </w:rPr>
            </w:pPr>
            <w:r>
              <w:rPr>
                <w:b/>
              </w:rPr>
              <w:t xml:space="preserve">Graf </w:t>
            </w:r>
            <w:r w:rsidR="00BA35F3">
              <w:rPr>
                <w:b/>
              </w:rPr>
              <w:t>č. </w:t>
            </w:r>
            <w:r w:rsidR="00306AD7">
              <w:rPr>
                <w:b/>
              </w:rPr>
              <w:t>2</w:t>
            </w:r>
            <w:r>
              <w:rPr>
                <w:b/>
              </w:rPr>
              <w:t>3</w:t>
            </w:r>
            <w:r w:rsidR="00A67D62">
              <w:rPr>
                <w:b/>
              </w:rPr>
              <w:t xml:space="preserve"> </w:t>
            </w:r>
            <w:r>
              <w:rPr>
                <w:b/>
              </w:rPr>
              <w:t xml:space="preserve"> Změny ve mzdové distribuci zaměstnanců </w:t>
            </w:r>
            <w:r w:rsidR="00BC7833">
              <w:rPr>
                <w:b/>
              </w:rPr>
              <w:t>v </w:t>
            </w:r>
            <w:r>
              <w:rPr>
                <w:b/>
              </w:rPr>
              <w:t>období 2012 až 2018</w:t>
            </w:r>
          </w:p>
          <w:p w14:paraId="03BC0653" w14:textId="77777777" w:rsidR="00AA4F0A" w:rsidRPr="00711FC2" w:rsidRDefault="00AA4F0A" w:rsidP="00A500A7">
            <w:pPr>
              <w:spacing w:after="0"/>
            </w:pPr>
            <w:r w:rsidRPr="007B5C7B">
              <w:t>(meziroční růst mezd v hlavních kvantilech, v</w:t>
            </w:r>
            <w:r w:rsidR="006454CC">
              <w:t> %</w:t>
            </w:r>
            <w:r>
              <w:t>, variační koeficient v</w:t>
            </w:r>
            <w:r w:rsidR="006454CC">
              <w:t> %</w:t>
            </w:r>
            <w:r>
              <w:t>)</w:t>
            </w:r>
          </w:p>
        </w:tc>
      </w:tr>
      <w:tr w:rsidR="00AA4F0A" w14:paraId="1F048E04" w14:textId="77777777" w:rsidTr="0086457A">
        <w:tblPrEx>
          <w:tblCellMar>
            <w:left w:w="70" w:type="dxa"/>
            <w:right w:w="70" w:type="dxa"/>
          </w:tblCellMar>
        </w:tblPrEx>
        <w:trPr>
          <w:trHeight w:val="429"/>
        </w:trPr>
        <w:tc>
          <w:tcPr>
            <w:tcW w:w="1976" w:type="dxa"/>
            <w:tcBorders>
              <w:top w:val="nil"/>
              <w:left w:val="nil"/>
              <w:bottom w:val="nil"/>
              <w:right w:val="nil"/>
            </w:tcBorders>
          </w:tcPr>
          <w:p w14:paraId="692B0C47" w14:textId="77777777" w:rsidR="00AA4F0A" w:rsidRPr="00106639" w:rsidRDefault="00AA4F0A" w:rsidP="00A500A7">
            <w:pPr>
              <w:pStyle w:val="Marginlie"/>
            </w:pPr>
          </w:p>
        </w:tc>
        <w:tc>
          <w:tcPr>
            <w:tcW w:w="277" w:type="dxa"/>
            <w:tcBorders>
              <w:top w:val="nil"/>
              <w:left w:val="nil"/>
              <w:bottom w:val="nil"/>
              <w:right w:val="nil"/>
            </w:tcBorders>
          </w:tcPr>
          <w:p w14:paraId="3382E552"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3FA45959" w14:textId="03798E10" w:rsidR="00AA4F0A" w:rsidRDefault="0086457A" w:rsidP="00A500A7">
            <w:pPr>
              <w:spacing w:after="0"/>
            </w:pPr>
            <w:r>
              <w:rPr>
                <w:noProof/>
              </w:rPr>
              <w:drawing>
                <wp:inline distT="0" distB="0" distL="0" distR="0" wp14:anchorId="694BA1F3" wp14:editId="6F625EED">
                  <wp:extent cx="4604385" cy="3372485"/>
                  <wp:effectExtent l="0" t="0" r="5715" b="0"/>
                  <wp:docPr id="69" name="Graf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A4F0A" w:rsidRPr="005A2E40" w14:paraId="2E3D012A" w14:textId="77777777" w:rsidTr="00A500A7">
        <w:trPr>
          <w:trHeight w:val="429"/>
        </w:trPr>
        <w:tc>
          <w:tcPr>
            <w:tcW w:w="1976" w:type="dxa"/>
            <w:tcBorders>
              <w:top w:val="nil"/>
              <w:left w:val="nil"/>
              <w:bottom w:val="nil"/>
              <w:right w:val="nil"/>
            </w:tcBorders>
          </w:tcPr>
          <w:p w14:paraId="0CC8EB66" w14:textId="77777777" w:rsidR="00AA4F0A" w:rsidRPr="00106639" w:rsidRDefault="00AA4F0A" w:rsidP="00A500A7">
            <w:pPr>
              <w:pStyle w:val="Marginlie"/>
            </w:pPr>
          </w:p>
        </w:tc>
        <w:tc>
          <w:tcPr>
            <w:tcW w:w="277" w:type="dxa"/>
            <w:tcBorders>
              <w:top w:val="nil"/>
              <w:left w:val="nil"/>
              <w:bottom w:val="nil"/>
              <w:right w:val="nil"/>
            </w:tcBorders>
          </w:tcPr>
          <w:p w14:paraId="12FB6786"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51BF2D63" w14:textId="14269337" w:rsidR="00AA4F0A" w:rsidRPr="00162F12" w:rsidRDefault="00AA4F0A" w:rsidP="00A500A7">
            <w:pPr>
              <w:spacing w:after="0"/>
              <w:rPr>
                <w:rFonts w:cs="Arial"/>
                <w:sz w:val="14"/>
                <w:szCs w:val="14"/>
              </w:rPr>
            </w:pPr>
            <w:r w:rsidRPr="00444E6D">
              <w:rPr>
                <w:rFonts w:cs="Arial"/>
                <w:sz w:val="14"/>
                <w:szCs w:val="14"/>
              </w:rPr>
              <w:t xml:space="preserve">Zdroj: </w:t>
            </w:r>
            <w:r>
              <w:rPr>
                <w:rFonts w:cs="Arial"/>
                <w:sz w:val="14"/>
                <w:szCs w:val="14"/>
              </w:rPr>
              <w:t xml:space="preserve">MPSV </w:t>
            </w:r>
            <w:r w:rsidR="00BC7833">
              <w:rPr>
                <w:rFonts w:cs="Arial"/>
                <w:sz w:val="14"/>
                <w:szCs w:val="14"/>
              </w:rPr>
              <w:t>a </w:t>
            </w:r>
            <w:r>
              <w:rPr>
                <w:rFonts w:cs="Arial"/>
                <w:sz w:val="14"/>
                <w:szCs w:val="14"/>
              </w:rPr>
              <w:t>ČSÚ (Strukturální mzdová statistika)</w:t>
            </w:r>
          </w:p>
        </w:tc>
      </w:tr>
      <w:tr w:rsidR="00AA4F0A" w14:paraId="1B60711D" w14:textId="77777777" w:rsidTr="00A500A7">
        <w:trPr>
          <w:trHeight w:val="145"/>
        </w:trPr>
        <w:tc>
          <w:tcPr>
            <w:tcW w:w="1976" w:type="dxa"/>
            <w:tcBorders>
              <w:top w:val="nil"/>
              <w:left w:val="nil"/>
              <w:bottom w:val="nil"/>
              <w:right w:val="nil"/>
            </w:tcBorders>
          </w:tcPr>
          <w:p w14:paraId="756265B2" w14:textId="5B022C61" w:rsidR="00AA4F0A" w:rsidRPr="00106639" w:rsidRDefault="00AA4F0A" w:rsidP="00A500A7">
            <w:pPr>
              <w:pStyle w:val="Marginlie"/>
            </w:pPr>
            <w:r>
              <w:t xml:space="preserve">Nedostatek volné pracovní síly na trhu vedl podniky stále častěji </w:t>
            </w:r>
            <w:r w:rsidR="00BC7833">
              <w:t>k </w:t>
            </w:r>
            <w:r>
              <w:t>„přetahování“ zaměstnanců od ostatních firem</w:t>
            </w:r>
            <w:r w:rsidR="00DD3A2C">
              <w:t>,</w:t>
            </w:r>
            <w:r>
              <w:t>…</w:t>
            </w:r>
          </w:p>
        </w:tc>
        <w:tc>
          <w:tcPr>
            <w:tcW w:w="277" w:type="dxa"/>
            <w:tcBorders>
              <w:top w:val="nil"/>
              <w:left w:val="nil"/>
              <w:bottom w:val="nil"/>
              <w:right w:val="nil"/>
            </w:tcBorders>
          </w:tcPr>
          <w:p w14:paraId="5AE45BC4"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05A16305" w14:textId="35DAFA30" w:rsidR="00AA4F0A" w:rsidRPr="00FC612C" w:rsidRDefault="00AA4F0A" w:rsidP="00A500A7">
            <w:pPr>
              <w:spacing w:after="220"/>
              <w:rPr>
                <w:rFonts w:cs="Arial"/>
                <w:color w:val="0D0D0D" w:themeColor="text1" w:themeTint="F2"/>
                <w:spacing w:val="-2"/>
              </w:rPr>
            </w:pPr>
            <w:r w:rsidRPr="00FC612C">
              <w:rPr>
                <w:rFonts w:cs="Arial"/>
                <w:color w:val="0D0D0D" w:themeColor="text1" w:themeTint="F2"/>
                <w:spacing w:val="-2"/>
              </w:rPr>
              <w:t>Rostoucí napětí na pracovním trhu plynoucí z nerovnováhy mezi</w:t>
            </w:r>
            <w:r>
              <w:rPr>
                <w:rFonts w:cs="Arial"/>
                <w:color w:val="0D0D0D" w:themeColor="text1" w:themeTint="F2"/>
                <w:spacing w:val="-2"/>
              </w:rPr>
              <w:t xml:space="preserve"> nabídkou a</w:t>
            </w:r>
            <w:r w:rsidRPr="00FC612C">
              <w:rPr>
                <w:rFonts w:cs="Arial"/>
                <w:color w:val="0D0D0D" w:themeColor="text1" w:themeTint="F2"/>
                <w:spacing w:val="-2"/>
              </w:rPr>
              <w:t> poptávkou vedl</w:t>
            </w:r>
            <w:r w:rsidR="00DD3A2C">
              <w:rPr>
                <w:rFonts w:cs="Arial"/>
                <w:color w:val="0D0D0D" w:themeColor="text1" w:themeTint="F2"/>
                <w:spacing w:val="-2"/>
              </w:rPr>
              <w:t>o</w:t>
            </w:r>
            <w:r w:rsidRPr="00FC612C">
              <w:rPr>
                <w:rFonts w:cs="Arial"/>
                <w:color w:val="0D0D0D" w:themeColor="text1" w:themeTint="F2"/>
                <w:spacing w:val="-2"/>
              </w:rPr>
              <w:t xml:space="preserve"> k tomu, že zaměstnavatelé pociťovali stále větší obtíže při hledání nových pracovníků </w:t>
            </w:r>
            <w:r w:rsidR="00BC7833" w:rsidRPr="00FC612C">
              <w:rPr>
                <w:rFonts w:cs="Arial"/>
                <w:color w:val="0D0D0D" w:themeColor="text1" w:themeTint="F2"/>
                <w:spacing w:val="-2"/>
              </w:rPr>
              <w:t>i</w:t>
            </w:r>
            <w:r w:rsidR="00BC7833">
              <w:rPr>
                <w:rFonts w:cs="Arial"/>
                <w:color w:val="0D0D0D" w:themeColor="text1" w:themeTint="F2"/>
                <w:spacing w:val="-2"/>
              </w:rPr>
              <w:t> </w:t>
            </w:r>
            <w:r w:rsidRPr="00FC612C">
              <w:rPr>
                <w:rFonts w:cs="Arial"/>
                <w:color w:val="0D0D0D" w:themeColor="text1" w:themeTint="F2"/>
                <w:spacing w:val="-2"/>
              </w:rPr>
              <w:t xml:space="preserve">udržení těch stávajících. Vzhledem k výraznému omezení četnosti volné pracovní síly na tuzemském trhu </w:t>
            </w:r>
            <w:r w:rsidR="00BC7833" w:rsidRPr="00FC612C">
              <w:rPr>
                <w:rFonts w:cs="Arial"/>
                <w:color w:val="0D0D0D" w:themeColor="text1" w:themeTint="F2"/>
                <w:spacing w:val="-2"/>
              </w:rPr>
              <w:t>i</w:t>
            </w:r>
            <w:r w:rsidR="00BC7833">
              <w:rPr>
                <w:rFonts w:cs="Arial"/>
                <w:color w:val="0D0D0D" w:themeColor="text1" w:themeTint="F2"/>
                <w:spacing w:val="-2"/>
              </w:rPr>
              <w:t> </w:t>
            </w:r>
            <w:r w:rsidRPr="00FC612C">
              <w:rPr>
                <w:rFonts w:cs="Arial"/>
                <w:color w:val="0D0D0D" w:themeColor="text1" w:themeTint="F2"/>
                <w:spacing w:val="-2"/>
              </w:rPr>
              <w:t xml:space="preserve">časové </w:t>
            </w:r>
            <w:r w:rsidR="00BC7833" w:rsidRPr="00FC612C">
              <w:rPr>
                <w:rFonts w:cs="Arial"/>
                <w:color w:val="0D0D0D" w:themeColor="text1" w:themeTint="F2"/>
                <w:spacing w:val="-2"/>
              </w:rPr>
              <w:t>a</w:t>
            </w:r>
            <w:r w:rsidR="00BC7833">
              <w:rPr>
                <w:rFonts w:cs="Arial"/>
                <w:color w:val="0D0D0D" w:themeColor="text1" w:themeTint="F2"/>
                <w:spacing w:val="-2"/>
              </w:rPr>
              <w:t> </w:t>
            </w:r>
            <w:r w:rsidRPr="00FC612C">
              <w:rPr>
                <w:rFonts w:cs="Arial"/>
                <w:color w:val="0D0D0D" w:themeColor="text1" w:themeTint="F2"/>
                <w:spacing w:val="-2"/>
              </w:rPr>
              <w:t>administrativní náročnosti při najím</w:t>
            </w:r>
            <w:r w:rsidR="00DD3A2C">
              <w:rPr>
                <w:rFonts w:cs="Arial"/>
                <w:color w:val="0D0D0D" w:themeColor="text1" w:themeTint="F2"/>
                <w:spacing w:val="-2"/>
              </w:rPr>
              <w:t>á</w:t>
            </w:r>
            <w:r w:rsidRPr="00FC612C">
              <w:rPr>
                <w:rFonts w:cs="Arial"/>
                <w:color w:val="0D0D0D" w:themeColor="text1" w:themeTint="F2"/>
                <w:spacing w:val="-2"/>
              </w:rPr>
              <w:t>ní zahraničních pracovníků (zejména ze států mimo</w:t>
            </w:r>
            <w:r w:rsidR="00DD3A2C">
              <w:rPr>
                <w:rFonts w:cs="Arial"/>
                <w:color w:val="0D0D0D" w:themeColor="text1" w:themeTint="F2"/>
                <w:spacing w:val="-2"/>
              </w:rPr>
              <w:t> </w:t>
            </w:r>
            <w:r w:rsidRPr="00FC612C">
              <w:rPr>
                <w:rFonts w:cs="Arial"/>
                <w:color w:val="0D0D0D" w:themeColor="text1" w:themeTint="F2"/>
                <w:spacing w:val="-2"/>
              </w:rPr>
              <w:t xml:space="preserve">EU) se </w:t>
            </w:r>
            <w:r w:rsidR="00DD3A2C">
              <w:rPr>
                <w:rFonts w:cs="Arial"/>
                <w:color w:val="0D0D0D" w:themeColor="text1" w:themeTint="F2"/>
                <w:spacing w:val="-2"/>
              </w:rPr>
              <w:t xml:space="preserve">podniky </w:t>
            </w:r>
            <w:r w:rsidRPr="00FC612C">
              <w:rPr>
                <w:rFonts w:cs="Arial"/>
                <w:color w:val="0D0D0D" w:themeColor="text1" w:themeTint="F2"/>
                <w:spacing w:val="-2"/>
              </w:rPr>
              <w:t xml:space="preserve">musely více zaměřit také na stávající pracovníky. Nové zaměstnance lákaly jednorázovými náborovými příspěvky, vyššími nástupními výdělky, ale </w:t>
            </w:r>
            <w:r w:rsidR="00BC7833" w:rsidRPr="00FC612C">
              <w:rPr>
                <w:rFonts w:cs="Arial"/>
                <w:color w:val="0D0D0D" w:themeColor="text1" w:themeTint="F2"/>
                <w:spacing w:val="-2"/>
              </w:rPr>
              <w:t>i</w:t>
            </w:r>
            <w:r w:rsidR="00BC7833">
              <w:rPr>
                <w:rFonts w:cs="Arial"/>
                <w:color w:val="0D0D0D" w:themeColor="text1" w:themeTint="F2"/>
                <w:spacing w:val="-2"/>
              </w:rPr>
              <w:t> </w:t>
            </w:r>
            <w:r w:rsidRPr="00FC612C">
              <w:rPr>
                <w:rFonts w:cs="Arial"/>
                <w:color w:val="0D0D0D" w:themeColor="text1" w:themeTint="F2"/>
                <w:spacing w:val="-2"/>
              </w:rPr>
              <w:t xml:space="preserve">patrně širší škálou nabízených nemzdových benefitů. </w:t>
            </w:r>
            <w:r w:rsidR="00BC7833" w:rsidRPr="00FC612C">
              <w:rPr>
                <w:rFonts w:cs="Arial"/>
                <w:color w:val="0D0D0D" w:themeColor="text1" w:themeTint="F2"/>
                <w:spacing w:val="-2"/>
              </w:rPr>
              <w:t>K</w:t>
            </w:r>
            <w:r w:rsidR="00BC7833">
              <w:rPr>
                <w:rFonts w:cs="Arial"/>
                <w:color w:val="0D0D0D" w:themeColor="text1" w:themeTint="F2"/>
                <w:spacing w:val="-2"/>
              </w:rPr>
              <w:t> </w:t>
            </w:r>
            <w:r>
              <w:rPr>
                <w:rFonts w:cs="Arial"/>
                <w:color w:val="0D0D0D" w:themeColor="text1" w:themeTint="F2"/>
                <w:spacing w:val="-2"/>
              </w:rPr>
              <w:t>„</w:t>
            </w:r>
            <w:r w:rsidRPr="00FC612C">
              <w:rPr>
                <w:rFonts w:cs="Arial"/>
                <w:color w:val="0D0D0D" w:themeColor="text1" w:themeTint="F2"/>
                <w:spacing w:val="-2"/>
              </w:rPr>
              <w:t>přetahování</w:t>
            </w:r>
            <w:r>
              <w:rPr>
                <w:rFonts w:cs="Arial"/>
                <w:color w:val="0D0D0D" w:themeColor="text1" w:themeTint="F2"/>
                <w:spacing w:val="-2"/>
              </w:rPr>
              <w:t>“</w:t>
            </w:r>
            <w:r w:rsidRPr="00FC612C">
              <w:rPr>
                <w:rFonts w:cs="Arial"/>
                <w:color w:val="0D0D0D" w:themeColor="text1" w:themeTint="F2"/>
                <w:spacing w:val="-2"/>
              </w:rPr>
              <w:t xml:space="preserve"> zaměstnanců</w:t>
            </w:r>
            <w:r>
              <w:rPr>
                <w:rFonts w:cs="Arial"/>
                <w:color w:val="0D0D0D" w:themeColor="text1" w:themeTint="F2"/>
                <w:spacing w:val="-2"/>
              </w:rPr>
              <w:t xml:space="preserve"> docházelo jak </w:t>
            </w:r>
            <w:r>
              <w:rPr>
                <w:rFonts w:cs="Arial"/>
                <w:color w:val="0D0D0D" w:themeColor="text1" w:themeTint="F2"/>
                <w:spacing w:val="-2"/>
              </w:rPr>
              <w:lastRenderedPageBreak/>
              <w:t>u</w:t>
            </w:r>
            <w:r w:rsidRPr="00FC612C">
              <w:rPr>
                <w:rFonts w:cs="Arial"/>
                <w:color w:val="0D0D0D" w:themeColor="text1" w:themeTint="F2"/>
                <w:spacing w:val="-2"/>
              </w:rPr>
              <w:t> kvalifikovaných činností (např.</w:t>
            </w:r>
            <w:r w:rsidR="00DD3A2C">
              <w:rPr>
                <w:rFonts w:cs="Arial"/>
                <w:color w:val="0D0D0D" w:themeColor="text1" w:themeTint="F2"/>
                <w:spacing w:val="-2"/>
              </w:rPr>
              <w:t> </w:t>
            </w:r>
            <w:r w:rsidRPr="00FC612C">
              <w:rPr>
                <w:rFonts w:cs="Arial"/>
                <w:color w:val="0D0D0D" w:themeColor="text1" w:themeTint="F2"/>
                <w:spacing w:val="-2"/>
              </w:rPr>
              <w:t xml:space="preserve">specialistů v oblasti IT), tak </w:t>
            </w:r>
            <w:r w:rsidR="00BC7833" w:rsidRPr="00FC612C">
              <w:rPr>
                <w:rFonts w:cs="Arial"/>
                <w:color w:val="0D0D0D" w:themeColor="text1" w:themeTint="F2"/>
                <w:spacing w:val="-2"/>
              </w:rPr>
              <w:t>u</w:t>
            </w:r>
            <w:r w:rsidR="00BC7833">
              <w:rPr>
                <w:rFonts w:cs="Arial"/>
                <w:color w:val="0D0D0D" w:themeColor="text1" w:themeTint="F2"/>
                <w:spacing w:val="-2"/>
              </w:rPr>
              <w:t> </w:t>
            </w:r>
            <w:r w:rsidR="00DD3A2C">
              <w:rPr>
                <w:rFonts w:cs="Arial"/>
                <w:color w:val="0D0D0D" w:themeColor="text1" w:themeTint="F2"/>
                <w:spacing w:val="-2"/>
              </w:rPr>
              <w:t xml:space="preserve">prací </w:t>
            </w:r>
            <w:r w:rsidRPr="00FC612C">
              <w:rPr>
                <w:rFonts w:cs="Arial"/>
                <w:color w:val="0D0D0D" w:themeColor="text1" w:themeTint="F2"/>
                <w:spacing w:val="-2"/>
              </w:rPr>
              <w:t>převážně rutinních (v obchodu).</w:t>
            </w:r>
          </w:p>
        </w:tc>
      </w:tr>
      <w:tr w:rsidR="00AA4F0A" w14:paraId="16DBD196" w14:textId="77777777" w:rsidTr="00A500A7">
        <w:trPr>
          <w:trHeight w:val="145"/>
        </w:trPr>
        <w:tc>
          <w:tcPr>
            <w:tcW w:w="1976" w:type="dxa"/>
            <w:tcBorders>
              <w:top w:val="nil"/>
              <w:left w:val="nil"/>
              <w:bottom w:val="nil"/>
              <w:right w:val="nil"/>
            </w:tcBorders>
          </w:tcPr>
          <w:p w14:paraId="5DE02526" w14:textId="69526383" w:rsidR="00AA4F0A" w:rsidRDefault="00AA4F0A" w:rsidP="00A500A7">
            <w:pPr>
              <w:pStyle w:val="Marginlie"/>
            </w:pPr>
            <w:r>
              <w:lastRenderedPageBreak/>
              <w:t>…</w:t>
            </w:r>
            <w:r w:rsidR="00DD3A2C">
              <w:t> </w:t>
            </w:r>
            <w:r>
              <w:t>což se postupně promítlo ve zlepšeném finančním postavení služebně nejmladších zaměstnanců.</w:t>
            </w:r>
          </w:p>
        </w:tc>
        <w:tc>
          <w:tcPr>
            <w:tcW w:w="277" w:type="dxa"/>
            <w:tcBorders>
              <w:top w:val="nil"/>
              <w:left w:val="nil"/>
              <w:bottom w:val="nil"/>
              <w:right w:val="nil"/>
            </w:tcBorders>
          </w:tcPr>
          <w:p w14:paraId="7AFE04CF"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7E0B6983" w14:textId="1828810F" w:rsidR="00AA4F0A" w:rsidRPr="00FC612C" w:rsidRDefault="00AA4F0A" w:rsidP="00A500A7">
            <w:pPr>
              <w:spacing w:after="220"/>
              <w:rPr>
                <w:rFonts w:cs="Arial"/>
                <w:color w:val="0D0D0D" w:themeColor="text1" w:themeTint="F2"/>
                <w:spacing w:val="-2"/>
              </w:rPr>
            </w:pPr>
            <w:r>
              <w:rPr>
                <w:rFonts w:cs="Arial"/>
                <w:color w:val="0D0D0D" w:themeColor="text1" w:themeTint="F2"/>
                <w:spacing w:val="-2"/>
              </w:rPr>
              <w:t>Tato tendence se postupně promítla</w:t>
            </w:r>
            <w:r w:rsidRPr="00FC612C">
              <w:rPr>
                <w:rFonts w:cs="Arial"/>
                <w:color w:val="0D0D0D" w:themeColor="text1" w:themeTint="F2"/>
                <w:spacing w:val="-2"/>
              </w:rPr>
              <w:t xml:space="preserve"> ve zlepšeném finančním postavení čerstvých zaměstnanců. Zatímco ještě v roce 2014 činila mediánová</w:t>
            </w:r>
            <w:r>
              <w:rPr>
                <w:rFonts w:cs="Arial"/>
                <w:color w:val="0D0D0D" w:themeColor="text1" w:themeTint="F2"/>
                <w:spacing w:val="-2"/>
              </w:rPr>
              <w:t xml:space="preserve"> mzda zaměstnanců pracujících u</w:t>
            </w:r>
            <w:r w:rsidRPr="00FC612C">
              <w:rPr>
                <w:rFonts w:cs="Arial"/>
                <w:color w:val="0D0D0D" w:themeColor="text1" w:themeTint="F2"/>
                <w:spacing w:val="-2"/>
              </w:rPr>
              <w:t> stávajícího zaměstnavatele méně než rok 78</w:t>
            </w:r>
            <w:r w:rsidR="006454CC">
              <w:rPr>
                <w:rFonts w:cs="Arial"/>
                <w:color w:val="0D0D0D" w:themeColor="text1" w:themeTint="F2"/>
                <w:spacing w:val="-2"/>
              </w:rPr>
              <w:t> %</w:t>
            </w:r>
            <w:r w:rsidRPr="00FC612C">
              <w:rPr>
                <w:rFonts w:cs="Arial"/>
                <w:color w:val="0D0D0D" w:themeColor="text1" w:themeTint="F2"/>
                <w:spacing w:val="-2"/>
              </w:rPr>
              <w:t xml:space="preserve"> úrovně mz</w:t>
            </w:r>
            <w:r>
              <w:rPr>
                <w:rFonts w:cs="Arial"/>
                <w:color w:val="0D0D0D" w:themeColor="text1" w:themeTint="F2"/>
                <w:spacing w:val="-2"/>
              </w:rPr>
              <w:t>dy v celé ekonomice, v roce 2018</w:t>
            </w:r>
            <w:r w:rsidRPr="00FC612C">
              <w:rPr>
                <w:rFonts w:cs="Arial"/>
                <w:color w:val="0D0D0D" w:themeColor="text1" w:themeTint="F2"/>
                <w:spacing w:val="-2"/>
              </w:rPr>
              <w:t xml:space="preserve"> již 83 %. Podobn</w:t>
            </w:r>
            <w:r w:rsidR="00DD3A2C">
              <w:rPr>
                <w:rFonts w:cs="Arial"/>
                <w:color w:val="0D0D0D" w:themeColor="text1" w:themeTint="F2"/>
                <w:spacing w:val="-2"/>
              </w:rPr>
              <w:t>é</w:t>
            </w:r>
            <w:r w:rsidRPr="00FC612C">
              <w:rPr>
                <w:rFonts w:cs="Arial"/>
                <w:color w:val="0D0D0D" w:themeColor="text1" w:themeTint="F2"/>
                <w:spacing w:val="-2"/>
              </w:rPr>
              <w:t xml:space="preserve"> tendence vykazovali </w:t>
            </w:r>
            <w:r w:rsidR="00BC7833" w:rsidRPr="00FC612C">
              <w:rPr>
                <w:rFonts w:cs="Arial"/>
                <w:color w:val="0D0D0D" w:themeColor="text1" w:themeTint="F2"/>
                <w:spacing w:val="-2"/>
              </w:rPr>
              <w:t>i</w:t>
            </w:r>
            <w:r w:rsidR="00BC7833">
              <w:rPr>
                <w:rFonts w:cs="Arial"/>
                <w:color w:val="0D0D0D" w:themeColor="text1" w:themeTint="F2"/>
                <w:spacing w:val="-2"/>
              </w:rPr>
              <w:t> </w:t>
            </w:r>
            <w:r w:rsidRPr="00FC612C">
              <w:rPr>
                <w:rFonts w:cs="Arial"/>
                <w:color w:val="0D0D0D" w:themeColor="text1" w:themeTint="F2"/>
                <w:spacing w:val="-2"/>
              </w:rPr>
              <w:t xml:space="preserve">pracovníci s délkou zaměstnání </w:t>
            </w:r>
            <w:r w:rsidR="00BC7833" w:rsidRPr="00FC612C">
              <w:rPr>
                <w:rFonts w:cs="Arial"/>
                <w:color w:val="0D0D0D" w:themeColor="text1" w:themeTint="F2"/>
                <w:spacing w:val="-2"/>
              </w:rPr>
              <w:t>1</w:t>
            </w:r>
            <w:r w:rsidR="00BC7833">
              <w:rPr>
                <w:rFonts w:cs="Arial"/>
                <w:color w:val="0D0D0D" w:themeColor="text1" w:themeTint="F2"/>
                <w:spacing w:val="-2"/>
              </w:rPr>
              <w:t> </w:t>
            </w:r>
            <w:r w:rsidRPr="00FC612C">
              <w:rPr>
                <w:rFonts w:cs="Arial"/>
                <w:color w:val="0D0D0D" w:themeColor="text1" w:themeTint="F2"/>
                <w:spacing w:val="-2"/>
              </w:rPr>
              <w:t xml:space="preserve">až </w:t>
            </w:r>
            <w:r w:rsidR="00D82A1E" w:rsidRPr="00FC612C">
              <w:rPr>
                <w:rFonts w:cs="Arial"/>
                <w:color w:val="0D0D0D" w:themeColor="text1" w:themeTint="F2"/>
                <w:spacing w:val="-2"/>
              </w:rPr>
              <w:t>3</w:t>
            </w:r>
            <w:r w:rsidR="00D82A1E">
              <w:rPr>
                <w:rFonts w:cs="Arial"/>
                <w:color w:val="0D0D0D" w:themeColor="text1" w:themeTint="F2"/>
                <w:spacing w:val="-2"/>
              </w:rPr>
              <w:t> </w:t>
            </w:r>
            <w:r w:rsidRPr="00FC612C">
              <w:rPr>
                <w:rFonts w:cs="Arial"/>
                <w:color w:val="0D0D0D" w:themeColor="text1" w:themeTint="F2"/>
                <w:spacing w:val="-2"/>
              </w:rPr>
              <w:t>roky, v jejichž skladbě mzdy lze v čase pozorovat rostou</w:t>
            </w:r>
            <w:r>
              <w:rPr>
                <w:rFonts w:cs="Arial"/>
                <w:color w:val="0D0D0D" w:themeColor="text1" w:themeTint="F2"/>
                <w:spacing w:val="-2"/>
              </w:rPr>
              <w:t>cí podíl motivačních složek.</w:t>
            </w:r>
            <w:r w:rsidRPr="00FC612C">
              <w:rPr>
                <w:rFonts w:cs="Arial"/>
                <w:color w:val="0D0D0D" w:themeColor="text1" w:themeTint="F2"/>
                <w:spacing w:val="-2"/>
              </w:rPr>
              <w:t xml:space="preserve"> Nepatrně se naopak zhoršilo relativní postavení osob, jejichž pracovní poměr trval pět až osm let (zatímco v letech 2012 až 2017 se </w:t>
            </w:r>
            <w:r w:rsidR="0004062C" w:rsidRPr="00FC612C">
              <w:rPr>
                <w:rFonts w:cs="Arial"/>
                <w:color w:val="0D0D0D" w:themeColor="text1" w:themeTint="F2"/>
                <w:spacing w:val="-2"/>
              </w:rPr>
              <w:t>dostal</w:t>
            </w:r>
            <w:r w:rsidR="0004062C">
              <w:rPr>
                <w:rFonts w:cs="Arial"/>
                <w:color w:val="0D0D0D" w:themeColor="text1" w:themeTint="F2"/>
                <w:spacing w:val="-2"/>
              </w:rPr>
              <w:t>y</w:t>
            </w:r>
            <w:r w:rsidR="0004062C" w:rsidRPr="00FC612C">
              <w:rPr>
                <w:rFonts w:cs="Arial"/>
                <w:color w:val="0D0D0D" w:themeColor="text1" w:themeTint="F2"/>
                <w:spacing w:val="-2"/>
              </w:rPr>
              <w:t xml:space="preserve"> </w:t>
            </w:r>
            <w:r w:rsidRPr="00FC612C">
              <w:rPr>
                <w:rFonts w:cs="Arial"/>
                <w:color w:val="0D0D0D" w:themeColor="text1" w:themeTint="F2"/>
                <w:spacing w:val="-2"/>
              </w:rPr>
              <w:t xml:space="preserve">nad úroveň mzdového mediánu celé ekonomiky osoby po sedmém až osmém roku trvání pracovního poměru, v roce 2018 to bylo až po devátém roce). </w:t>
            </w:r>
            <w:r w:rsidR="00BC7833" w:rsidRPr="00FC612C">
              <w:rPr>
                <w:rFonts w:cs="Arial"/>
                <w:color w:val="0D0D0D" w:themeColor="text1" w:themeTint="F2"/>
                <w:spacing w:val="-2"/>
              </w:rPr>
              <w:t>I</w:t>
            </w:r>
            <w:r w:rsidR="00BC7833">
              <w:rPr>
                <w:rFonts w:cs="Arial"/>
                <w:color w:val="0D0D0D" w:themeColor="text1" w:themeTint="F2"/>
                <w:spacing w:val="-2"/>
              </w:rPr>
              <w:t> </w:t>
            </w:r>
            <w:r w:rsidRPr="00FC612C">
              <w:rPr>
                <w:rFonts w:cs="Arial"/>
                <w:color w:val="0D0D0D" w:themeColor="text1" w:themeTint="F2"/>
                <w:spacing w:val="-2"/>
              </w:rPr>
              <w:t xml:space="preserve">díky vyššímu podílu příplatků, odměn či náhrad mzdy není překvapivé, že nejlépe byly odměňovány osoby, jejichž pracovní poměr trval déle než dvacet let. Jejich postavení oproti všem zaměstnancům se mezi roky 2012 </w:t>
            </w:r>
            <w:r w:rsidR="00BC7833" w:rsidRPr="00FC612C">
              <w:rPr>
                <w:rFonts w:cs="Arial"/>
                <w:color w:val="0D0D0D" w:themeColor="text1" w:themeTint="F2"/>
                <w:spacing w:val="-2"/>
              </w:rPr>
              <w:t>a</w:t>
            </w:r>
            <w:r w:rsidR="00BC7833">
              <w:rPr>
                <w:rFonts w:cs="Arial"/>
                <w:color w:val="0D0D0D" w:themeColor="text1" w:themeTint="F2"/>
                <w:spacing w:val="-2"/>
              </w:rPr>
              <w:t> </w:t>
            </w:r>
            <w:r w:rsidRPr="00FC612C">
              <w:rPr>
                <w:rFonts w:cs="Arial"/>
                <w:color w:val="0D0D0D" w:themeColor="text1" w:themeTint="F2"/>
                <w:spacing w:val="-2"/>
              </w:rPr>
              <w:t xml:space="preserve">2018 téměř nezměnilo (jejich medián mzdy byl skoro </w:t>
            </w:r>
            <w:r w:rsidR="00BC7833" w:rsidRPr="00FC612C">
              <w:rPr>
                <w:rFonts w:cs="Arial"/>
                <w:color w:val="0D0D0D" w:themeColor="text1" w:themeTint="F2"/>
                <w:spacing w:val="-2"/>
              </w:rPr>
              <w:t>o</w:t>
            </w:r>
            <w:r w:rsidR="00BC7833">
              <w:rPr>
                <w:rFonts w:cs="Arial"/>
                <w:color w:val="0D0D0D" w:themeColor="text1" w:themeTint="F2"/>
                <w:spacing w:val="-2"/>
              </w:rPr>
              <w:t> </w:t>
            </w:r>
            <w:r w:rsidRPr="00FC612C">
              <w:rPr>
                <w:rFonts w:cs="Arial"/>
                <w:color w:val="0D0D0D" w:themeColor="text1" w:themeTint="F2"/>
                <w:spacing w:val="-2"/>
              </w:rPr>
              <w:t>čtvrtin</w:t>
            </w:r>
            <w:r>
              <w:rPr>
                <w:rFonts w:cs="Arial"/>
                <w:color w:val="0D0D0D" w:themeColor="text1" w:themeTint="F2"/>
                <w:spacing w:val="-2"/>
              </w:rPr>
              <w:t>u vyšší). V</w:t>
            </w:r>
            <w:r w:rsidRPr="00FC612C">
              <w:rPr>
                <w:rFonts w:cs="Arial"/>
                <w:color w:val="0D0D0D" w:themeColor="text1" w:themeTint="F2"/>
                <w:spacing w:val="-2"/>
              </w:rPr>
              <w:t xml:space="preserve"> této skupině </w:t>
            </w:r>
            <w:r>
              <w:rPr>
                <w:rFonts w:cs="Arial"/>
                <w:color w:val="0D0D0D" w:themeColor="text1" w:themeTint="F2"/>
                <w:spacing w:val="-2"/>
              </w:rPr>
              <w:t>patrn</w:t>
            </w:r>
            <w:r w:rsidRPr="00FC612C">
              <w:rPr>
                <w:rFonts w:cs="Arial"/>
                <w:color w:val="0D0D0D" w:themeColor="text1" w:themeTint="F2"/>
                <w:spacing w:val="-2"/>
              </w:rPr>
              <w:t>ě převažují zaměstnanci placení přímo z veřejných rozpočtů</w:t>
            </w:r>
            <w:r>
              <w:rPr>
                <w:rFonts w:cs="Arial"/>
                <w:color w:val="0D0D0D" w:themeColor="text1" w:themeTint="F2"/>
                <w:spacing w:val="-2"/>
              </w:rPr>
              <w:t xml:space="preserve"> (např.</w:t>
            </w:r>
            <w:r w:rsidR="00DD3A2C">
              <w:rPr>
                <w:rFonts w:cs="Arial"/>
                <w:color w:val="0D0D0D" w:themeColor="text1" w:themeTint="F2"/>
                <w:spacing w:val="-2"/>
              </w:rPr>
              <w:t> </w:t>
            </w:r>
            <w:r>
              <w:rPr>
                <w:rFonts w:cs="Arial"/>
                <w:color w:val="0D0D0D" w:themeColor="text1" w:themeTint="F2"/>
                <w:spacing w:val="-2"/>
              </w:rPr>
              <w:t>osoby ve vzdělávání či zdravotnictví)</w:t>
            </w:r>
            <w:r w:rsidRPr="00FC612C">
              <w:rPr>
                <w:rFonts w:cs="Arial"/>
                <w:color w:val="0D0D0D" w:themeColor="text1" w:themeTint="F2"/>
                <w:spacing w:val="-2"/>
              </w:rPr>
              <w:t>.</w:t>
            </w:r>
          </w:p>
        </w:tc>
      </w:tr>
      <w:tr w:rsidR="00AA4F0A" w14:paraId="3B62BCC4" w14:textId="77777777" w:rsidTr="00A500A7">
        <w:trPr>
          <w:trHeight w:val="145"/>
        </w:trPr>
        <w:tc>
          <w:tcPr>
            <w:tcW w:w="1976" w:type="dxa"/>
            <w:tcBorders>
              <w:top w:val="nil"/>
              <w:left w:val="nil"/>
              <w:bottom w:val="nil"/>
              <w:right w:val="nil"/>
            </w:tcBorders>
          </w:tcPr>
          <w:p w14:paraId="0A0418E0" w14:textId="77777777" w:rsidR="00AA4F0A" w:rsidRDefault="00AA4F0A" w:rsidP="00A500A7">
            <w:pPr>
              <w:pStyle w:val="Marginlie"/>
            </w:pPr>
          </w:p>
        </w:tc>
        <w:tc>
          <w:tcPr>
            <w:tcW w:w="277" w:type="dxa"/>
            <w:tcBorders>
              <w:top w:val="nil"/>
              <w:left w:val="nil"/>
              <w:bottom w:val="nil"/>
              <w:right w:val="nil"/>
            </w:tcBorders>
          </w:tcPr>
          <w:p w14:paraId="5A3AF163"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224B3CA8" w14:textId="4384C647" w:rsidR="00AA4F0A" w:rsidRPr="00306AD7" w:rsidRDefault="00AA4F0A" w:rsidP="00A500A7">
            <w:pPr>
              <w:spacing w:after="0"/>
              <w:jc w:val="left"/>
              <w:rPr>
                <w:rFonts w:cs="Arial"/>
                <w:color w:val="0D0D0D" w:themeColor="text1" w:themeTint="F2"/>
                <w:spacing w:val="-2"/>
              </w:rPr>
            </w:pPr>
            <w:r w:rsidRPr="00306AD7">
              <w:rPr>
                <w:b/>
                <w:spacing w:val="-2"/>
              </w:rPr>
              <w:t xml:space="preserve">Graf </w:t>
            </w:r>
            <w:r w:rsidR="00BA35F3">
              <w:rPr>
                <w:b/>
                <w:spacing w:val="-2"/>
              </w:rPr>
              <w:t>č. </w:t>
            </w:r>
            <w:r w:rsidR="00306AD7" w:rsidRPr="00306AD7">
              <w:rPr>
                <w:b/>
                <w:spacing w:val="-2"/>
              </w:rPr>
              <w:t>2</w:t>
            </w:r>
            <w:r w:rsidRPr="00306AD7">
              <w:rPr>
                <w:b/>
                <w:spacing w:val="-2"/>
              </w:rPr>
              <w:t>4</w:t>
            </w:r>
            <w:r w:rsidR="00A67D62">
              <w:rPr>
                <w:b/>
                <w:spacing w:val="-2"/>
              </w:rPr>
              <w:t xml:space="preserve"> </w:t>
            </w:r>
            <w:r w:rsidRPr="00306AD7">
              <w:rPr>
                <w:b/>
                <w:spacing w:val="-2"/>
              </w:rPr>
              <w:t xml:space="preserve"> Medián mzdy zaměstnance </w:t>
            </w:r>
            <w:r w:rsidRPr="00306AD7">
              <w:rPr>
                <w:spacing w:val="-2"/>
              </w:rPr>
              <w:t>(úhrn</w:t>
            </w:r>
            <w:r w:rsidR="00DD3A2C">
              <w:rPr>
                <w:spacing w:val="-2"/>
              </w:rPr>
              <w:t xml:space="preserve"> </w:t>
            </w:r>
            <w:r w:rsidRPr="00306AD7">
              <w:rPr>
                <w:spacing w:val="-2"/>
              </w:rPr>
              <w:t>=</w:t>
            </w:r>
            <w:r w:rsidR="00DD3A2C">
              <w:rPr>
                <w:spacing w:val="-2"/>
              </w:rPr>
              <w:t xml:space="preserve"> </w:t>
            </w:r>
            <w:r w:rsidRPr="00306AD7">
              <w:rPr>
                <w:spacing w:val="-2"/>
              </w:rPr>
              <w:t>100)</w:t>
            </w:r>
            <w:r w:rsidRPr="00306AD7">
              <w:rPr>
                <w:b/>
                <w:spacing w:val="-2"/>
              </w:rPr>
              <w:t xml:space="preserve"> </w:t>
            </w:r>
            <w:r w:rsidR="00BC7833" w:rsidRPr="00306AD7">
              <w:rPr>
                <w:b/>
                <w:spacing w:val="-2"/>
              </w:rPr>
              <w:t>a</w:t>
            </w:r>
            <w:r w:rsidR="00BC7833">
              <w:rPr>
                <w:b/>
                <w:spacing w:val="-2"/>
              </w:rPr>
              <w:t> </w:t>
            </w:r>
            <w:r w:rsidRPr="00306AD7">
              <w:rPr>
                <w:b/>
                <w:spacing w:val="-2"/>
              </w:rPr>
              <w:t xml:space="preserve">podíl základní složky mzdy na hrubém výdělku </w:t>
            </w:r>
            <w:r w:rsidRPr="00306AD7">
              <w:rPr>
                <w:spacing w:val="-2"/>
              </w:rPr>
              <w:t>(v</w:t>
            </w:r>
            <w:r w:rsidR="006454CC">
              <w:rPr>
                <w:spacing w:val="-2"/>
              </w:rPr>
              <w:t> %</w:t>
            </w:r>
            <w:r w:rsidRPr="00306AD7">
              <w:rPr>
                <w:spacing w:val="-2"/>
              </w:rPr>
              <w:t xml:space="preserve">) </w:t>
            </w:r>
            <w:r w:rsidRPr="00306AD7">
              <w:rPr>
                <w:b/>
                <w:spacing w:val="-2"/>
              </w:rPr>
              <w:t xml:space="preserve">dle doby zaměstnání </w:t>
            </w:r>
            <w:r w:rsidR="00BC7833" w:rsidRPr="00306AD7">
              <w:rPr>
                <w:b/>
                <w:spacing w:val="-2"/>
              </w:rPr>
              <w:t>u</w:t>
            </w:r>
            <w:r w:rsidR="00BC7833">
              <w:rPr>
                <w:b/>
                <w:spacing w:val="-2"/>
              </w:rPr>
              <w:t> </w:t>
            </w:r>
            <w:r w:rsidRPr="00306AD7">
              <w:rPr>
                <w:b/>
                <w:spacing w:val="-2"/>
              </w:rPr>
              <w:t>stávajícího zaměstnavatele</w:t>
            </w:r>
          </w:p>
        </w:tc>
      </w:tr>
      <w:tr w:rsidR="00AA4F0A" w14:paraId="6EE201E6" w14:textId="77777777" w:rsidTr="00E9274D">
        <w:tblPrEx>
          <w:tblCellMar>
            <w:left w:w="70" w:type="dxa"/>
            <w:right w:w="70" w:type="dxa"/>
          </w:tblCellMar>
        </w:tblPrEx>
        <w:trPr>
          <w:trHeight w:val="145"/>
        </w:trPr>
        <w:tc>
          <w:tcPr>
            <w:tcW w:w="1976" w:type="dxa"/>
            <w:tcBorders>
              <w:top w:val="nil"/>
              <w:left w:val="nil"/>
              <w:bottom w:val="nil"/>
              <w:right w:val="nil"/>
            </w:tcBorders>
          </w:tcPr>
          <w:p w14:paraId="55F08CD5" w14:textId="77777777" w:rsidR="00AA4F0A" w:rsidRDefault="00AA4F0A" w:rsidP="00A500A7">
            <w:pPr>
              <w:pStyle w:val="Marginlie"/>
            </w:pPr>
          </w:p>
        </w:tc>
        <w:tc>
          <w:tcPr>
            <w:tcW w:w="277" w:type="dxa"/>
            <w:tcBorders>
              <w:top w:val="nil"/>
              <w:left w:val="nil"/>
              <w:bottom w:val="nil"/>
              <w:right w:val="nil"/>
            </w:tcBorders>
          </w:tcPr>
          <w:p w14:paraId="0857BB39"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28B62624" w14:textId="6927F681" w:rsidR="00AA4F0A" w:rsidRDefault="00E9274D" w:rsidP="00A500A7">
            <w:pPr>
              <w:spacing w:after="0" w:line="240" w:lineRule="auto"/>
              <w:rPr>
                <w:rFonts w:cs="Arial"/>
                <w:color w:val="0D0D0D" w:themeColor="text1" w:themeTint="F2"/>
                <w:spacing w:val="-4"/>
              </w:rPr>
            </w:pPr>
            <w:r>
              <w:rPr>
                <w:noProof/>
              </w:rPr>
              <w:drawing>
                <wp:inline distT="0" distB="0" distL="0" distR="0" wp14:anchorId="3D28AD5F" wp14:editId="5C8FEEAD">
                  <wp:extent cx="4604385" cy="3433445"/>
                  <wp:effectExtent l="0" t="0" r="5715" b="0"/>
                  <wp:docPr id="70" name="Graf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A4F0A" w14:paraId="54E10612" w14:textId="77777777" w:rsidTr="00A500A7">
        <w:trPr>
          <w:trHeight w:val="145"/>
        </w:trPr>
        <w:tc>
          <w:tcPr>
            <w:tcW w:w="1976" w:type="dxa"/>
            <w:tcBorders>
              <w:top w:val="nil"/>
              <w:left w:val="nil"/>
              <w:bottom w:val="nil"/>
              <w:right w:val="nil"/>
            </w:tcBorders>
          </w:tcPr>
          <w:p w14:paraId="6F6FD80D" w14:textId="77777777" w:rsidR="00AA4F0A" w:rsidRDefault="00AA4F0A" w:rsidP="00A500A7">
            <w:pPr>
              <w:pStyle w:val="Marginlie"/>
            </w:pPr>
          </w:p>
        </w:tc>
        <w:tc>
          <w:tcPr>
            <w:tcW w:w="277" w:type="dxa"/>
            <w:tcBorders>
              <w:top w:val="nil"/>
              <w:left w:val="nil"/>
              <w:bottom w:val="nil"/>
              <w:right w:val="nil"/>
            </w:tcBorders>
          </w:tcPr>
          <w:p w14:paraId="30C06289"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5F90E654" w14:textId="77777777" w:rsidR="00AA4F0A" w:rsidRDefault="00AA4F0A" w:rsidP="00A500A7">
            <w:pPr>
              <w:rPr>
                <w:rFonts w:cs="Arial"/>
                <w:color w:val="0D0D0D" w:themeColor="text1" w:themeTint="F2"/>
                <w:spacing w:val="-4"/>
              </w:rPr>
            </w:pPr>
            <w:r w:rsidRPr="00444E6D">
              <w:rPr>
                <w:rFonts w:cs="Arial"/>
                <w:sz w:val="14"/>
                <w:szCs w:val="14"/>
              </w:rPr>
              <w:t xml:space="preserve">Zdroj: </w:t>
            </w:r>
            <w:r>
              <w:rPr>
                <w:rFonts w:cs="Arial"/>
                <w:sz w:val="14"/>
                <w:szCs w:val="14"/>
              </w:rPr>
              <w:t xml:space="preserve">MPSV </w:t>
            </w:r>
            <w:r w:rsidR="00BC7833">
              <w:rPr>
                <w:rFonts w:cs="Arial"/>
                <w:sz w:val="14"/>
                <w:szCs w:val="14"/>
              </w:rPr>
              <w:t>a </w:t>
            </w:r>
            <w:r>
              <w:rPr>
                <w:rFonts w:cs="Arial"/>
                <w:sz w:val="14"/>
                <w:szCs w:val="14"/>
              </w:rPr>
              <w:t>ČSÚ (Strukturální mzdová statistika)</w:t>
            </w:r>
          </w:p>
        </w:tc>
      </w:tr>
      <w:tr w:rsidR="00AA4F0A" w14:paraId="1DF13B00" w14:textId="77777777" w:rsidTr="00A500A7">
        <w:trPr>
          <w:trHeight w:val="145"/>
        </w:trPr>
        <w:tc>
          <w:tcPr>
            <w:tcW w:w="1976" w:type="dxa"/>
            <w:tcBorders>
              <w:top w:val="nil"/>
              <w:left w:val="nil"/>
              <w:bottom w:val="nil"/>
              <w:right w:val="nil"/>
            </w:tcBorders>
          </w:tcPr>
          <w:p w14:paraId="57B2CD69" w14:textId="77777777" w:rsidR="00AA4F0A" w:rsidRPr="000B3163" w:rsidRDefault="00AA4F0A" w:rsidP="00A500A7">
            <w:pPr>
              <w:pStyle w:val="Marginlie"/>
              <w:rPr>
                <w:spacing w:val="0"/>
              </w:rPr>
            </w:pPr>
            <w:r w:rsidRPr="000B3163">
              <w:rPr>
                <w:spacing w:val="0"/>
              </w:rPr>
              <w:t xml:space="preserve">Průměrné </w:t>
            </w:r>
            <w:r w:rsidR="00BC7833" w:rsidRPr="000B3163">
              <w:rPr>
                <w:spacing w:val="0"/>
              </w:rPr>
              <w:t>i</w:t>
            </w:r>
            <w:r w:rsidR="00BC7833">
              <w:rPr>
                <w:spacing w:val="0"/>
              </w:rPr>
              <w:t> </w:t>
            </w:r>
            <w:r w:rsidRPr="000B3163">
              <w:rPr>
                <w:spacing w:val="0"/>
              </w:rPr>
              <w:t>mediánové výdělky žen po 3</w:t>
            </w:r>
            <w:r w:rsidR="00BC7833" w:rsidRPr="000B3163">
              <w:rPr>
                <w:spacing w:val="0"/>
              </w:rPr>
              <w:t>0</w:t>
            </w:r>
            <w:r w:rsidR="00BC7833">
              <w:rPr>
                <w:spacing w:val="0"/>
              </w:rPr>
              <w:t>. </w:t>
            </w:r>
            <w:r w:rsidRPr="000B3163">
              <w:rPr>
                <w:spacing w:val="0"/>
              </w:rPr>
              <w:t>roku věku fakticky stagnovaly. U mužů ale dále rostly a </w:t>
            </w:r>
            <w:r>
              <w:rPr>
                <w:spacing w:val="0"/>
              </w:rPr>
              <w:t>vrcholily až ve skupině 40</w:t>
            </w:r>
            <w:r w:rsidRPr="000B3163">
              <w:rPr>
                <w:spacing w:val="0"/>
              </w:rPr>
              <w:t> </w:t>
            </w:r>
            <w:r>
              <w:rPr>
                <w:spacing w:val="0"/>
              </w:rPr>
              <w:t>až</w:t>
            </w:r>
            <w:r w:rsidRPr="000B3163">
              <w:rPr>
                <w:spacing w:val="0"/>
              </w:rPr>
              <w:t> 4</w:t>
            </w:r>
            <w:r w:rsidR="00D82A1E" w:rsidRPr="000B3163">
              <w:rPr>
                <w:spacing w:val="0"/>
              </w:rPr>
              <w:t>4</w:t>
            </w:r>
            <w:r w:rsidR="00D82A1E">
              <w:rPr>
                <w:spacing w:val="0"/>
              </w:rPr>
              <w:t> </w:t>
            </w:r>
            <w:r w:rsidRPr="000B3163">
              <w:rPr>
                <w:spacing w:val="0"/>
              </w:rPr>
              <w:t>let.</w:t>
            </w:r>
          </w:p>
        </w:tc>
        <w:tc>
          <w:tcPr>
            <w:tcW w:w="277" w:type="dxa"/>
            <w:tcBorders>
              <w:top w:val="nil"/>
              <w:left w:val="nil"/>
              <w:bottom w:val="nil"/>
              <w:right w:val="nil"/>
            </w:tcBorders>
          </w:tcPr>
          <w:p w14:paraId="017F0C11"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01FE9044" w14:textId="3C6E6DCE" w:rsidR="00AA4F0A" w:rsidRDefault="00AA4F0A" w:rsidP="00A500A7">
            <w:pPr>
              <w:spacing w:after="220"/>
              <w:rPr>
                <w:rFonts w:cs="Arial"/>
                <w:color w:val="0D0D0D" w:themeColor="text1" w:themeTint="F2"/>
                <w:spacing w:val="-4"/>
              </w:rPr>
            </w:pPr>
            <w:r>
              <w:rPr>
                <w:rFonts w:cs="Arial"/>
                <w:color w:val="0D0D0D" w:themeColor="text1" w:themeTint="F2"/>
                <w:spacing w:val="-4"/>
              </w:rPr>
              <w:t>Nejvyššího mzdového mediánu dosahují dlouhodobě pracovníci ve věku 30 až 3</w:t>
            </w:r>
            <w:r w:rsidR="00D82A1E">
              <w:rPr>
                <w:rFonts w:cs="Arial"/>
                <w:color w:val="0D0D0D" w:themeColor="text1" w:themeTint="F2"/>
                <w:spacing w:val="-4"/>
              </w:rPr>
              <w:t>4 </w:t>
            </w:r>
            <w:r>
              <w:rPr>
                <w:rFonts w:cs="Arial"/>
                <w:color w:val="0D0D0D" w:themeColor="text1" w:themeTint="F2"/>
                <w:spacing w:val="-4"/>
              </w:rPr>
              <w:t>let. V roce 2018 jejich výdělek (30,</w:t>
            </w:r>
            <w:r w:rsidR="00D82A1E">
              <w:rPr>
                <w:rFonts w:cs="Arial"/>
                <w:color w:val="0D0D0D" w:themeColor="text1" w:themeTint="F2"/>
                <w:spacing w:val="-4"/>
              </w:rPr>
              <w:t>7 </w:t>
            </w:r>
            <w:r>
              <w:rPr>
                <w:rFonts w:cs="Arial"/>
                <w:color w:val="0D0D0D" w:themeColor="text1" w:themeTint="F2"/>
                <w:spacing w:val="-4"/>
              </w:rPr>
              <w:t xml:space="preserve">tis. korun měsíčně hrubého) převýšil úroveň všech zaměstnanců </w:t>
            </w:r>
            <w:r w:rsidR="00BC7833">
              <w:rPr>
                <w:rFonts w:cs="Arial"/>
                <w:color w:val="0D0D0D" w:themeColor="text1" w:themeTint="F2"/>
                <w:spacing w:val="-4"/>
              </w:rPr>
              <w:t>o </w:t>
            </w:r>
            <w:r>
              <w:rPr>
                <w:rFonts w:cs="Arial"/>
                <w:color w:val="0D0D0D" w:themeColor="text1" w:themeTint="F2"/>
                <w:spacing w:val="-4"/>
              </w:rPr>
              <w:t>5</w:t>
            </w:r>
            <w:r w:rsidR="006454CC">
              <w:rPr>
                <w:rFonts w:cs="Arial"/>
                <w:color w:val="0D0D0D" w:themeColor="text1" w:themeTint="F2"/>
                <w:spacing w:val="-4"/>
              </w:rPr>
              <w:t> %</w:t>
            </w:r>
            <w:r>
              <w:rPr>
                <w:rFonts w:cs="Arial"/>
                <w:color w:val="0D0D0D" w:themeColor="text1" w:themeTint="F2"/>
                <w:spacing w:val="-4"/>
              </w:rPr>
              <w:t xml:space="preserve"> </w:t>
            </w:r>
            <w:r w:rsidR="00BC7833">
              <w:rPr>
                <w:rFonts w:cs="Arial"/>
                <w:color w:val="0D0D0D" w:themeColor="text1" w:themeTint="F2"/>
                <w:spacing w:val="-4"/>
              </w:rPr>
              <w:t>a </w:t>
            </w:r>
            <w:r>
              <w:rPr>
                <w:rFonts w:cs="Arial"/>
                <w:color w:val="0D0D0D" w:themeColor="text1" w:themeTint="F2"/>
                <w:spacing w:val="-4"/>
              </w:rPr>
              <w:t>těch nejhůře placených</w:t>
            </w:r>
            <w:r w:rsidR="0037734D">
              <w:rPr>
                <w:rFonts w:cs="Arial"/>
                <w:color w:val="0D0D0D" w:themeColor="text1" w:themeTint="F2"/>
                <w:spacing w:val="-4"/>
              </w:rPr>
              <w:t xml:space="preserve"> – </w:t>
            </w:r>
            <w:r>
              <w:rPr>
                <w:rFonts w:cs="Arial"/>
                <w:color w:val="0D0D0D" w:themeColor="text1" w:themeTint="F2"/>
                <w:spacing w:val="-4"/>
              </w:rPr>
              <w:t>v nepočetné skupině do 1</w:t>
            </w:r>
            <w:r w:rsidR="00D82A1E">
              <w:rPr>
                <w:rFonts w:cs="Arial"/>
                <w:color w:val="0D0D0D" w:themeColor="text1" w:themeTint="F2"/>
                <w:spacing w:val="-4"/>
              </w:rPr>
              <w:t>9 </w:t>
            </w:r>
            <w:r>
              <w:rPr>
                <w:rFonts w:cs="Arial"/>
                <w:color w:val="0D0D0D" w:themeColor="text1" w:themeTint="F2"/>
                <w:spacing w:val="-4"/>
              </w:rPr>
              <w:t>let</w:t>
            </w:r>
            <w:r w:rsidR="0037734D">
              <w:rPr>
                <w:rFonts w:cs="Arial"/>
                <w:color w:val="0D0D0D" w:themeColor="text1" w:themeTint="F2"/>
                <w:spacing w:val="-4"/>
              </w:rPr>
              <w:t xml:space="preserve"> – </w:t>
            </w:r>
            <w:r w:rsidR="00BC7833">
              <w:rPr>
                <w:rFonts w:cs="Arial"/>
                <w:color w:val="0D0D0D" w:themeColor="text1" w:themeTint="F2"/>
                <w:spacing w:val="-4"/>
              </w:rPr>
              <w:t>o </w:t>
            </w:r>
            <w:r>
              <w:rPr>
                <w:rFonts w:cs="Arial"/>
                <w:color w:val="0D0D0D" w:themeColor="text1" w:themeTint="F2"/>
                <w:spacing w:val="-4"/>
              </w:rPr>
              <w:t xml:space="preserve">42 %. Křivka průběhu mezd mužů </w:t>
            </w:r>
            <w:r w:rsidR="00BC7833">
              <w:rPr>
                <w:rFonts w:cs="Arial"/>
                <w:color w:val="0D0D0D" w:themeColor="text1" w:themeTint="F2"/>
                <w:spacing w:val="-4"/>
              </w:rPr>
              <w:t>a </w:t>
            </w:r>
            <w:r>
              <w:rPr>
                <w:rFonts w:cs="Arial"/>
                <w:color w:val="0D0D0D" w:themeColor="text1" w:themeTint="F2"/>
                <w:spacing w:val="-4"/>
              </w:rPr>
              <w:t xml:space="preserve">žen se odlišuje. Po prudkém růstu výdělků mezi 20. </w:t>
            </w:r>
            <w:r w:rsidR="00BC7833">
              <w:rPr>
                <w:rFonts w:cs="Arial"/>
                <w:color w:val="0D0D0D" w:themeColor="text1" w:themeTint="F2"/>
                <w:spacing w:val="-4"/>
              </w:rPr>
              <w:t>a </w:t>
            </w:r>
            <w:r>
              <w:rPr>
                <w:rFonts w:cs="Arial"/>
                <w:color w:val="0D0D0D" w:themeColor="text1" w:themeTint="F2"/>
                <w:spacing w:val="-4"/>
              </w:rPr>
              <w:t>3</w:t>
            </w:r>
            <w:r w:rsidR="00BC7833">
              <w:rPr>
                <w:rFonts w:cs="Arial"/>
                <w:color w:val="0D0D0D" w:themeColor="text1" w:themeTint="F2"/>
                <w:spacing w:val="-4"/>
              </w:rPr>
              <w:t>0. </w:t>
            </w:r>
            <w:r>
              <w:rPr>
                <w:rFonts w:cs="Arial"/>
                <w:color w:val="0D0D0D" w:themeColor="text1" w:themeTint="F2"/>
                <w:spacing w:val="-4"/>
              </w:rPr>
              <w:t>rokem věku (společn</w:t>
            </w:r>
            <w:r w:rsidR="00083234">
              <w:rPr>
                <w:rFonts w:cs="Arial"/>
                <w:color w:val="0D0D0D" w:themeColor="text1" w:themeTint="F2"/>
                <w:spacing w:val="-4"/>
              </w:rPr>
              <w:t>é</w:t>
            </w:r>
            <w:r>
              <w:rPr>
                <w:rFonts w:cs="Arial"/>
                <w:color w:val="0D0D0D" w:themeColor="text1" w:themeTint="F2"/>
                <w:spacing w:val="-4"/>
              </w:rPr>
              <w:t xml:space="preserve">m pro obě pohlaví) dosahuje mzda </w:t>
            </w:r>
            <w:r w:rsidR="00BC7833">
              <w:rPr>
                <w:rFonts w:cs="Arial"/>
                <w:color w:val="0D0D0D" w:themeColor="text1" w:themeTint="F2"/>
                <w:spacing w:val="-4"/>
              </w:rPr>
              <w:t>u </w:t>
            </w:r>
            <w:r>
              <w:rPr>
                <w:rFonts w:cs="Arial"/>
                <w:color w:val="0D0D0D" w:themeColor="text1" w:themeTint="F2"/>
                <w:spacing w:val="-4"/>
              </w:rPr>
              <w:t>žen lokálního maxima ve skupině 30</w:t>
            </w:r>
            <w:r w:rsidR="00D82A1E">
              <w:rPr>
                <w:rFonts w:cs="Arial"/>
                <w:color w:val="0D0D0D" w:themeColor="text1" w:themeTint="F2"/>
                <w:spacing w:val="-4"/>
              </w:rPr>
              <w:t>–</w:t>
            </w:r>
            <w:r>
              <w:rPr>
                <w:rFonts w:cs="Arial"/>
                <w:color w:val="0D0D0D" w:themeColor="text1" w:themeTint="F2"/>
                <w:spacing w:val="-4"/>
              </w:rPr>
              <w:t xml:space="preserve">34letých, </w:t>
            </w:r>
            <w:r w:rsidR="00BC7833">
              <w:rPr>
                <w:rFonts w:cs="Arial"/>
                <w:color w:val="0D0D0D" w:themeColor="text1" w:themeTint="F2"/>
                <w:spacing w:val="-4"/>
              </w:rPr>
              <w:t>u </w:t>
            </w:r>
            <w:r>
              <w:rPr>
                <w:rFonts w:cs="Arial"/>
                <w:color w:val="0D0D0D" w:themeColor="text1" w:themeTint="F2"/>
                <w:spacing w:val="-4"/>
              </w:rPr>
              <w:t xml:space="preserve">mužů ale až </w:t>
            </w:r>
            <w:r w:rsidR="00BC7833">
              <w:rPr>
                <w:rFonts w:cs="Arial"/>
                <w:color w:val="0D0D0D" w:themeColor="text1" w:themeTint="F2"/>
                <w:spacing w:val="-4"/>
              </w:rPr>
              <w:t>o </w:t>
            </w:r>
            <w:r>
              <w:rPr>
                <w:rFonts w:cs="Arial"/>
                <w:color w:val="0D0D0D" w:themeColor="text1" w:themeTint="F2"/>
                <w:spacing w:val="-4"/>
              </w:rPr>
              <w:t>dese</w:t>
            </w:r>
            <w:r w:rsidR="00DD2B66">
              <w:rPr>
                <w:rFonts w:cs="Arial"/>
                <w:color w:val="0D0D0D" w:themeColor="text1" w:themeTint="F2"/>
                <w:spacing w:val="-4"/>
              </w:rPr>
              <w:t>t</w:t>
            </w:r>
            <w:r>
              <w:rPr>
                <w:rFonts w:cs="Arial"/>
                <w:color w:val="0D0D0D" w:themeColor="text1" w:themeTint="F2"/>
                <w:spacing w:val="-4"/>
              </w:rPr>
              <w:t xml:space="preserve"> let později. Výdělky žen mezi 30. </w:t>
            </w:r>
            <w:r w:rsidR="00BC7833">
              <w:rPr>
                <w:rFonts w:cs="Arial"/>
                <w:color w:val="0D0D0D" w:themeColor="text1" w:themeTint="F2"/>
                <w:spacing w:val="-4"/>
              </w:rPr>
              <w:t>a </w:t>
            </w:r>
            <w:r>
              <w:rPr>
                <w:rFonts w:cs="Arial"/>
                <w:color w:val="0D0D0D" w:themeColor="text1" w:themeTint="F2"/>
                <w:spacing w:val="-4"/>
              </w:rPr>
              <w:t>6</w:t>
            </w:r>
            <w:r w:rsidR="00BC7833">
              <w:rPr>
                <w:rFonts w:cs="Arial"/>
                <w:color w:val="0D0D0D" w:themeColor="text1" w:themeTint="F2"/>
                <w:spacing w:val="-4"/>
              </w:rPr>
              <w:t>0. </w:t>
            </w:r>
            <w:r>
              <w:rPr>
                <w:rFonts w:cs="Arial"/>
                <w:color w:val="0D0D0D" w:themeColor="text1" w:themeTint="F2"/>
                <w:spacing w:val="-4"/>
              </w:rPr>
              <w:t xml:space="preserve">rokem věku stagnovaly. Většina žen v této skupině musí obvykle skloubit pracovní kariéru s péčí </w:t>
            </w:r>
            <w:r w:rsidR="00BC7833">
              <w:rPr>
                <w:rFonts w:cs="Arial"/>
                <w:color w:val="0D0D0D" w:themeColor="text1" w:themeTint="F2"/>
                <w:spacing w:val="-4"/>
              </w:rPr>
              <w:t>o </w:t>
            </w:r>
            <w:r>
              <w:rPr>
                <w:rFonts w:cs="Arial"/>
                <w:color w:val="0D0D0D" w:themeColor="text1" w:themeTint="F2"/>
                <w:spacing w:val="-4"/>
              </w:rPr>
              <w:t xml:space="preserve">závislé děti </w:t>
            </w:r>
            <w:r w:rsidR="00BC7833">
              <w:rPr>
                <w:rFonts w:cs="Arial"/>
                <w:color w:val="0D0D0D" w:themeColor="text1" w:themeTint="F2"/>
                <w:spacing w:val="-4"/>
              </w:rPr>
              <w:t>i </w:t>
            </w:r>
            <w:r>
              <w:rPr>
                <w:rFonts w:cs="Arial"/>
                <w:color w:val="0D0D0D" w:themeColor="text1" w:themeTint="F2"/>
                <w:spacing w:val="-4"/>
              </w:rPr>
              <w:t>běžný</w:t>
            </w:r>
            <w:r w:rsidR="00083234">
              <w:rPr>
                <w:rFonts w:cs="Arial"/>
                <w:color w:val="0D0D0D" w:themeColor="text1" w:themeTint="F2"/>
                <w:spacing w:val="-4"/>
              </w:rPr>
              <w:t>m</w:t>
            </w:r>
            <w:r>
              <w:rPr>
                <w:rFonts w:cs="Arial"/>
                <w:color w:val="0D0D0D" w:themeColor="text1" w:themeTint="F2"/>
                <w:spacing w:val="-4"/>
              </w:rPr>
              <w:t xml:space="preserve"> chod</w:t>
            </w:r>
            <w:r w:rsidR="00083234">
              <w:rPr>
                <w:rFonts w:cs="Arial"/>
                <w:color w:val="0D0D0D" w:themeColor="text1" w:themeTint="F2"/>
                <w:spacing w:val="-4"/>
              </w:rPr>
              <w:t>em</w:t>
            </w:r>
            <w:r>
              <w:rPr>
                <w:rFonts w:cs="Arial"/>
                <w:color w:val="0D0D0D" w:themeColor="text1" w:themeTint="F2"/>
                <w:spacing w:val="-4"/>
              </w:rPr>
              <w:t xml:space="preserve"> domácnosti. Změna postavení pracujících žen nastává až ve skupině 60</w:t>
            </w:r>
            <w:r w:rsidR="00083234">
              <w:rPr>
                <w:rFonts w:cs="Arial"/>
                <w:color w:val="0D0D0D" w:themeColor="text1" w:themeTint="F2"/>
                <w:spacing w:val="-4"/>
              </w:rPr>
              <w:t>–</w:t>
            </w:r>
            <w:r>
              <w:rPr>
                <w:rFonts w:cs="Arial"/>
                <w:color w:val="0D0D0D" w:themeColor="text1" w:themeTint="F2"/>
                <w:spacing w:val="-4"/>
              </w:rPr>
              <w:t>64letých, kdy se mediánová mzda žen téměř dorovná úrovni mužů (</w:t>
            </w:r>
            <w:r w:rsidR="00BC7833">
              <w:rPr>
                <w:rFonts w:cs="Arial"/>
                <w:color w:val="0D0D0D" w:themeColor="text1" w:themeTint="F2"/>
                <w:spacing w:val="-4"/>
              </w:rPr>
              <w:t>v </w:t>
            </w:r>
            <w:r>
              <w:rPr>
                <w:rFonts w:cs="Arial"/>
                <w:color w:val="0D0D0D" w:themeColor="text1" w:themeTint="F2"/>
                <w:spacing w:val="-4"/>
              </w:rPr>
              <w:t>roce 2016: 29,</w:t>
            </w:r>
            <w:r w:rsidR="00D82A1E">
              <w:rPr>
                <w:rFonts w:cs="Arial"/>
                <w:color w:val="0D0D0D" w:themeColor="text1" w:themeTint="F2"/>
                <w:spacing w:val="-4"/>
              </w:rPr>
              <w:t>8 </w:t>
            </w:r>
            <w:r>
              <w:rPr>
                <w:rFonts w:cs="Arial"/>
                <w:color w:val="0D0D0D" w:themeColor="text1" w:themeTint="F2"/>
                <w:spacing w:val="-4"/>
              </w:rPr>
              <w:t>tis. vs. 30,</w:t>
            </w:r>
            <w:r w:rsidR="00D82A1E">
              <w:rPr>
                <w:rFonts w:cs="Arial"/>
                <w:color w:val="0D0D0D" w:themeColor="text1" w:themeTint="F2"/>
                <w:spacing w:val="-4"/>
              </w:rPr>
              <w:t>0 </w:t>
            </w:r>
            <w:r>
              <w:rPr>
                <w:rFonts w:cs="Arial"/>
                <w:color w:val="0D0D0D" w:themeColor="text1" w:themeTint="F2"/>
                <w:spacing w:val="-4"/>
              </w:rPr>
              <w:t>tis. korun). Za tímto posunem ale stojí proměna kvalifikační i vzdělanostní skladby zaměstnaných, neboť výrazná většina žen s podprůměrnou mzdou využije možnost odejít kolem 6</w:t>
            </w:r>
            <w:r w:rsidR="00BC7833">
              <w:rPr>
                <w:rFonts w:cs="Arial"/>
                <w:color w:val="0D0D0D" w:themeColor="text1" w:themeTint="F2"/>
                <w:spacing w:val="-4"/>
              </w:rPr>
              <w:t>0. </w:t>
            </w:r>
            <w:r>
              <w:rPr>
                <w:rFonts w:cs="Arial"/>
                <w:color w:val="0D0D0D" w:themeColor="text1" w:themeTint="F2"/>
                <w:spacing w:val="-4"/>
              </w:rPr>
              <w:t>roku do řádného, popř</w:t>
            </w:r>
            <w:r w:rsidR="00083234">
              <w:rPr>
                <w:rFonts w:cs="Arial"/>
                <w:color w:val="0D0D0D" w:themeColor="text1" w:themeTint="F2"/>
                <w:spacing w:val="-4"/>
              </w:rPr>
              <w:t>ípadě</w:t>
            </w:r>
            <w:r>
              <w:rPr>
                <w:rFonts w:cs="Arial"/>
                <w:color w:val="0D0D0D" w:themeColor="text1" w:themeTint="F2"/>
                <w:spacing w:val="-4"/>
              </w:rPr>
              <w:t xml:space="preserve"> </w:t>
            </w:r>
            <w:r>
              <w:rPr>
                <w:rFonts w:cs="Arial"/>
                <w:color w:val="0D0D0D" w:themeColor="text1" w:themeTint="F2"/>
                <w:spacing w:val="-4"/>
              </w:rPr>
              <w:lastRenderedPageBreak/>
              <w:t>předčasného důchodu. Po 6</w:t>
            </w:r>
            <w:r w:rsidR="00D82A1E">
              <w:rPr>
                <w:rFonts w:cs="Arial"/>
                <w:color w:val="0D0D0D" w:themeColor="text1" w:themeTint="F2"/>
                <w:spacing w:val="-4"/>
              </w:rPr>
              <w:t>5. </w:t>
            </w:r>
            <w:r>
              <w:rPr>
                <w:rFonts w:cs="Arial"/>
                <w:color w:val="0D0D0D" w:themeColor="text1" w:themeTint="F2"/>
                <w:spacing w:val="-4"/>
              </w:rPr>
              <w:t>ro</w:t>
            </w:r>
            <w:r w:rsidR="00DD2B66">
              <w:rPr>
                <w:rFonts w:cs="Arial"/>
                <w:color w:val="0D0D0D" w:themeColor="text1" w:themeTint="F2"/>
                <w:spacing w:val="-4"/>
              </w:rPr>
              <w:t>ce</w:t>
            </w:r>
            <w:r>
              <w:rPr>
                <w:rFonts w:cs="Arial"/>
                <w:color w:val="0D0D0D" w:themeColor="text1" w:themeTint="F2"/>
                <w:spacing w:val="-4"/>
              </w:rPr>
              <w:t xml:space="preserve"> dochází k obdobnému posunu ve skladbě pracujících </w:t>
            </w:r>
            <w:r w:rsidR="00BC7833">
              <w:rPr>
                <w:rFonts w:cs="Arial"/>
                <w:color w:val="0D0D0D" w:themeColor="text1" w:themeTint="F2"/>
                <w:spacing w:val="-4"/>
              </w:rPr>
              <w:t>u </w:t>
            </w:r>
            <w:r>
              <w:rPr>
                <w:rFonts w:cs="Arial"/>
                <w:color w:val="0D0D0D" w:themeColor="text1" w:themeTint="F2"/>
                <w:spacing w:val="-4"/>
              </w:rPr>
              <w:t xml:space="preserve">mužů </w:t>
            </w:r>
            <w:r w:rsidR="00BC7833">
              <w:rPr>
                <w:rFonts w:cs="Arial"/>
                <w:color w:val="0D0D0D" w:themeColor="text1" w:themeTint="F2"/>
                <w:spacing w:val="-4"/>
              </w:rPr>
              <w:t>a </w:t>
            </w:r>
            <w:r>
              <w:rPr>
                <w:rFonts w:cs="Arial"/>
                <w:color w:val="0D0D0D" w:themeColor="text1" w:themeTint="F2"/>
                <w:spacing w:val="-4"/>
              </w:rPr>
              <w:t>rozdíly mezi úrovní výdělků žen a mužů se opět prohlubují.</w:t>
            </w:r>
          </w:p>
        </w:tc>
      </w:tr>
      <w:tr w:rsidR="00AA4F0A" w14:paraId="61FD839B" w14:textId="77777777" w:rsidTr="00A500A7">
        <w:trPr>
          <w:trHeight w:val="145"/>
        </w:trPr>
        <w:tc>
          <w:tcPr>
            <w:tcW w:w="1976" w:type="dxa"/>
            <w:tcBorders>
              <w:top w:val="nil"/>
              <w:left w:val="nil"/>
              <w:bottom w:val="nil"/>
              <w:right w:val="nil"/>
            </w:tcBorders>
          </w:tcPr>
          <w:p w14:paraId="4A713A1D" w14:textId="1DCFC192" w:rsidR="00AA4F0A" w:rsidRDefault="00AA4F0A" w:rsidP="00A500A7">
            <w:pPr>
              <w:pStyle w:val="Marginlie"/>
            </w:pPr>
            <w:r>
              <w:lastRenderedPageBreak/>
              <w:t>Rozdíl mezi výš</w:t>
            </w:r>
            <w:r w:rsidR="00083234">
              <w:t>í</w:t>
            </w:r>
            <w:r>
              <w:t xml:space="preserve"> mužských </w:t>
            </w:r>
            <w:r w:rsidR="00BC7833">
              <w:t>a </w:t>
            </w:r>
            <w:r>
              <w:t xml:space="preserve">ženských výdělků se po roce 2015 mírně snížil. Stál za tím příznivý vývoj ve </w:t>
            </w:r>
            <w:r w:rsidR="00083234">
              <w:t xml:space="preserve">věkové </w:t>
            </w:r>
            <w:r>
              <w:t>skupině 35</w:t>
            </w:r>
            <w:r w:rsidR="00D82A1E">
              <w:t>–</w:t>
            </w:r>
            <w:r>
              <w:t>4</w:t>
            </w:r>
            <w:r w:rsidR="00D82A1E">
              <w:t>4 </w:t>
            </w:r>
            <w:r>
              <w:t xml:space="preserve">let </w:t>
            </w:r>
            <w:r w:rsidR="00BC7833">
              <w:t>a </w:t>
            </w:r>
            <w:r>
              <w:t>také v seniorském věku.</w:t>
            </w:r>
          </w:p>
        </w:tc>
        <w:tc>
          <w:tcPr>
            <w:tcW w:w="277" w:type="dxa"/>
            <w:tcBorders>
              <w:top w:val="nil"/>
              <w:left w:val="nil"/>
              <w:bottom w:val="nil"/>
              <w:right w:val="nil"/>
            </w:tcBorders>
          </w:tcPr>
          <w:p w14:paraId="74CF442F"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4E77B8E8" w14:textId="06AEB173" w:rsidR="00AA4F0A" w:rsidRPr="00610895" w:rsidRDefault="00AA4F0A" w:rsidP="00A500A7">
            <w:pPr>
              <w:spacing w:after="220"/>
              <w:rPr>
                <w:rFonts w:cs="Arial"/>
                <w:color w:val="0D0D0D" w:themeColor="text1" w:themeTint="F2"/>
                <w:spacing w:val="-4"/>
              </w:rPr>
            </w:pPr>
            <w:r>
              <w:rPr>
                <w:rFonts w:cs="Arial"/>
                <w:color w:val="0D0D0D" w:themeColor="text1" w:themeTint="F2"/>
                <w:spacing w:val="-4"/>
              </w:rPr>
              <w:t xml:space="preserve">Největší rozdíly </w:t>
            </w:r>
            <w:r w:rsidR="00083234">
              <w:rPr>
                <w:rFonts w:cs="Arial"/>
                <w:color w:val="0D0D0D" w:themeColor="text1" w:themeTint="F2"/>
                <w:spacing w:val="-4"/>
              </w:rPr>
              <w:t xml:space="preserve">ve </w:t>
            </w:r>
            <w:r>
              <w:rPr>
                <w:rFonts w:cs="Arial"/>
                <w:color w:val="0D0D0D" w:themeColor="text1" w:themeTint="F2"/>
                <w:spacing w:val="-4"/>
              </w:rPr>
              <w:t>výš</w:t>
            </w:r>
            <w:r w:rsidR="00083234">
              <w:rPr>
                <w:rFonts w:cs="Arial"/>
                <w:color w:val="0D0D0D" w:themeColor="text1" w:themeTint="F2"/>
                <w:spacing w:val="-4"/>
              </w:rPr>
              <w:t>i</w:t>
            </w:r>
            <w:r>
              <w:rPr>
                <w:rFonts w:cs="Arial"/>
                <w:color w:val="0D0D0D" w:themeColor="text1" w:themeTint="F2"/>
                <w:spacing w:val="-4"/>
              </w:rPr>
              <w:t xml:space="preserve"> výdělků mezi pohlavími se dlouhodobě projevují ve věku kolem 4</w:t>
            </w:r>
            <w:r w:rsidR="00D82A1E">
              <w:rPr>
                <w:rFonts w:cs="Arial"/>
                <w:color w:val="0D0D0D" w:themeColor="text1" w:themeTint="F2"/>
                <w:spacing w:val="-4"/>
              </w:rPr>
              <w:t>0 </w:t>
            </w:r>
            <w:r>
              <w:rPr>
                <w:rFonts w:cs="Arial"/>
                <w:color w:val="0D0D0D" w:themeColor="text1" w:themeTint="F2"/>
                <w:spacing w:val="-4"/>
              </w:rPr>
              <w:t>let. Ve skupině 40 až 4</w:t>
            </w:r>
            <w:r w:rsidR="00D82A1E">
              <w:rPr>
                <w:rFonts w:cs="Arial"/>
                <w:color w:val="0D0D0D" w:themeColor="text1" w:themeTint="F2"/>
                <w:spacing w:val="-4"/>
              </w:rPr>
              <w:t>4 </w:t>
            </w:r>
            <w:r>
              <w:rPr>
                <w:rFonts w:cs="Arial"/>
                <w:color w:val="0D0D0D" w:themeColor="text1" w:themeTint="F2"/>
                <w:spacing w:val="-4"/>
              </w:rPr>
              <w:t>let činil loni medián mezd žen 79,5</w:t>
            </w:r>
            <w:r w:rsidR="006454CC">
              <w:rPr>
                <w:rFonts w:cs="Arial"/>
                <w:color w:val="0D0D0D" w:themeColor="text1" w:themeTint="F2"/>
                <w:spacing w:val="-4"/>
              </w:rPr>
              <w:t> %</w:t>
            </w:r>
            <w:r>
              <w:rPr>
                <w:rFonts w:cs="Arial"/>
                <w:color w:val="0D0D0D" w:themeColor="text1" w:themeTint="F2"/>
                <w:spacing w:val="-4"/>
              </w:rPr>
              <w:t xml:space="preserve"> úrovně mužů. V případě průměrné mzdy byl rozdíl s ohledem na vysokou mzdovou variabilitu mužských mezd v tomto věku vyšší, ženy dosahovaly jen 72,7</w:t>
            </w:r>
            <w:r w:rsidR="006454CC">
              <w:rPr>
                <w:rFonts w:cs="Arial"/>
                <w:color w:val="0D0D0D" w:themeColor="text1" w:themeTint="F2"/>
                <w:spacing w:val="-4"/>
              </w:rPr>
              <w:t> %</w:t>
            </w:r>
            <w:r>
              <w:rPr>
                <w:rFonts w:cs="Arial"/>
                <w:color w:val="0D0D0D" w:themeColor="text1" w:themeTint="F2"/>
                <w:spacing w:val="-4"/>
              </w:rPr>
              <w:t xml:space="preserve">. Celkové diference mezi pohlavími zůstávají v čase poměrně stabilní. Mezi roky 2015 </w:t>
            </w:r>
            <w:r w:rsidR="00BC7833">
              <w:rPr>
                <w:rFonts w:cs="Arial"/>
                <w:color w:val="0D0D0D" w:themeColor="text1" w:themeTint="F2"/>
                <w:spacing w:val="-4"/>
              </w:rPr>
              <w:t>a </w:t>
            </w:r>
            <w:r>
              <w:rPr>
                <w:rFonts w:cs="Arial"/>
                <w:color w:val="0D0D0D" w:themeColor="text1" w:themeTint="F2"/>
                <w:spacing w:val="-4"/>
              </w:rPr>
              <w:t>2018 lze ale vystopovat náznaky mírného sbližování</w:t>
            </w:r>
            <w:r w:rsidR="0037734D">
              <w:rPr>
                <w:rFonts w:cs="Arial"/>
                <w:color w:val="0D0D0D" w:themeColor="text1" w:themeTint="F2"/>
                <w:spacing w:val="-4"/>
              </w:rPr>
              <w:t xml:space="preserve"> – </w:t>
            </w:r>
            <w:r>
              <w:rPr>
                <w:rFonts w:cs="Arial"/>
                <w:color w:val="0D0D0D" w:themeColor="text1" w:themeTint="F2"/>
                <w:spacing w:val="-4"/>
              </w:rPr>
              <w:t>svižnější</w:t>
            </w:r>
            <w:r w:rsidR="00203390">
              <w:rPr>
                <w:rFonts w:cs="Arial"/>
                <w:color w:val="0D0D0D" w:themeColor="text1" w:themeTint="F2"/>
                <w:spacing w:val="-4"/>
              </w:rPr>
              <w:t>ho</w:t>
            </w:r>
            <w:r>
              <w:rPr>
                <w:rFonts w:cs="Arial"/>
                <w:color w:val="0D0D0D" w:themeColor="text1" w:themeTint="F2"/>
                <w:spacing w:val="-4"/>
              </w:rPr>
              <w:t xml:space="preserve"> na úrovni průměrných mezd (</w:t>
            </w:r>
            <w:r w:rsidR="00BC7833">
              <w:rPr>
                <w:rFonts w:cs="Arial"/>
                <w:color w:val="0D0D0D" w:themeColor="text1" w:themeTint="F2"/>
                <w:spacing w:val="-4"/>
              </w:rPr>
              <w:t>o </w:t>
            </w:r>
            <w:r>
              <w:rPr>
                <w:rFonts w:cs="Arial"/>
                <w:color w:val="0D0D0D" w:themeColor="text1" w:themeTint="F2"/>
                <w:spacing w:val="-4"/>
              </w:rPr>
              <w:t>2,0</w:t>
            </w:r>
            <w:r w:rsidR="006454CC">
              <w:rPr>
                <w:rFonts w:cs="Arial"/>
                <w:color w:val="0D0D0D" w:themeColor="text1" w:themeTint="F2"/>
                <w:spacing w:val="-4"/>
              </w:rPr>
              <w:t> p. b.</w:t>
            </w:r>
            <w:r>
              <w:rPr>
                <w:rFonts w:cs="Arial"/>
                <w:color w:val="0D0D0D" w:themeColor="text1" w:themeTint="F2"/>
                <w:spacing w:val="-4"/>
              </w:rPr>
              <w:t>) než mediánových (1,3</w:t>
            </w:r>
            <w:r w:rsidR="006454CC">
              <w:rPr>
                <w:rFonts w:cs="Arial"/>
                <w:color w:val="0D0D0D" w:themeColor="text1" w:themeTint="F2"/>
                <w:spacing w:val="-4"/>
              </w:rPr>
              <w:t> p. b.</w:t>
            </w:r>
            <w:r>
              <w:rPr>
                <w:rFonts w:cs="Arial"/>
                <w:color w:val="0D0D0D" w:themeColor="text1" w:themeTint="F2"/>
                <w:spacing w:val="-4"/>
              </w:rPr>
              <w:t xml:space="preserve">). K tomuto pozitivnímu vývoji přispěly konvergenční tendence </w:t>
            </w:r>
            <w:r w:rsidR="00BC7833">
              <w:rPr>
                <w:rFonts w:cs="Arial"/>
                <w:color w:val="0D0D0D" w:themeColor="text1" w:themeTint="F2"/>
                <w:spacing w:val="-4"/>
              </w:rPr>
              <w:t>u </w:t>
            </w:r>
            <w:r>
              <w:rPr>
                <w:rFonts w:cs="Arial"/>
                <w:color w:val="0D0D0D" w:themeColor="text1" w:themeTint="F2"/>
                <w:spacing w:val="-4"/>
              </w:rPr>
              <w:t>výdělků ve věku 35 až 4</w:t>
            </w:r>
            <w:r w:rsidR="00D82A1E">
              <w:rPr>
                <w:rFonts w:cs="Arial"/>
                <w:color w:val="0D0D0D" w:themeColor="text1" w:themeTint="F2"/>
                <w:spacing w:val="-4"/>
              </w:rPr>
              <w:t>4 </w:t>
            </w:r>
            <w:r>
              <w:rPr>
                <w:rFonts w:cs="Arial"/>
                <w:color w:val="0D0D0D" w:themeColor="text1" w:themeTint="F2"/>
                <w:spacing w:val="-4"/>
              </w:rPr>
              <w:t xml:space="preserve">let </w:t>
            </w:r>
            <w:r w:rsidR="00BC7833">
              <w:rPr>
                <w:rFonts w:cs="Arial"/>
                <w:color w:val="0D0D0D" w:themeColor="text1" w:themeTint="F2"/>
                <w:spacing w:val="-4"/>
              </w:rPr>
              <w:t>a </w:t>
            </w:r>
            <w:r>
              <w:rPr>
                <w:rFonts w:cs="Arial"/>
                <w:color w:val="0D0D0D" w:themeColor="text1" w:themeTint="F2"/>
                <w:spacing w:val="-4"/>
              </w:rPr>
              <w:t>také po 60</w:t>
            </w:r>
            <w:r w:rsidR="00D82A1E">
              <w:rPr>
                <w:rFonts w:cs="Arial"/>
                <w:color w:val="0D0D0D" w:themeColor="text1" w:themeTint="F2"/>
                <w:spacing w:val="-4"/>
              </w:rPr>
              <w:t>. </w:t>
            </w:r>
            <w:r>
              <w:rPr>
                <w:rFonts w:cs="Arial"/>
                <w:color w:val="0D0D0D" w:themeColor="text1" w:themeTint="F2"/>
                <w:spacing w:val="-4"/>
              </w:rPr>
              <w:t xml:space="preserve">roce. </w:t>
            </w:r>
            <w:r w:rsidR="00BC7833">
              <w:rPr>
                <w:rFonts w:cs="Arial"/>
                <w:color w:val="0D0D0D" w:themeColor="text1" w:themeTint="F2"/>
                <w:spacing w:val="-4"/>
              </w:rPr>
              <w:t>I </w:t>
            </w:r>
            <w:r>
              <w:rPr>
                <w:rFonts w:cs="Arial"/>
                <w:color w:val="0D0D0D" w:themeColor="text1" w:themeTint="F2"/>
                <w:spacing w:val="-4"/>
              </w:rPr>
              <w:t>přes tuto mírnou korekci zůstává ČR nadále ve skupině států</w:t>
            </w:r>
            <w:r w:rsidR="00203390">
              <w:rPr>
                <w:rFonts w:cs="Arial"/>
                <w:color w:val="0D0D0D" w:themeColor="text1" w:themeTint="F2"/>
                <w:spacing w:val="-4"/>
              </w:rPr>
              <w:t> </w:t>
            </w:r>
            <w:r>
              <w:rPr>
                <w:rFonts w:cs="Arial"/>
                <w:color w:val="0D0D0D" w:themeColor="text1" w:themeTint="F2"/>
                <w:spacing w:val="-4"/>
              </w:rPr>
              <w:t xml:space="preserve">EU s nejvyššími rozdíly v průměrné výši výdělků mužů </w:t>
            </w:r>
            <w:r w:rsidR="00BC7833">
              <w:rPr>
                <w:rFonts w:cs="Arial"/>
                <w:color w:val="0D0D0D" w:themeColor="text1" w:themeTint="F2"/>
                <w:spacing w:val="-4"/>
              </w:rPr>
              <w:t>a </w:t>
            </w:r>
            <w:r w:rsidR="003279BA">
              <w:rPr>
                <w:rFonts w:cs="Arial"/>
                <w:color w:val="0D0D0D" w:themeColor="text1" w:themeTint="F2"/>
                <w:spacing w:val="-4"/>
              </w:rPr>
              <w:t>žen.</w:t>
            </w:r>
          </w:p>
        </w:tc>
      </w:tr>
      <w:tr w:rsidR="00AA4F0A" w:rsidRPr="005A2E40" w14:paraId="7F3FA56C" w14:textId="77777777" w:rsidTr="00A500A7">
        <w:trPr>
          <w:trHeight w:val="429"/>
        </w:trPr>
        <w:tc>
          <w:tcPr>
            <w:tcW w:w="1976" w:type="dxa"/>
            <w:tcBorders>
              <w:top w:val="nil"/>
              <w:left w:val="nil"/>
              <w:bottom w:val="nil"/>
              <w:right w:val="nil"/>
            </w:tcBorders>
          </w:tcPr>
          <w:p w14:paraId="55AEBDA7" w14:textId="77777777" w:rsidR="00AA4F0A" w:rsidRPr="00106639" w:rsidRDefault="00AA4F0A" w:rsidP="00A500A7">
            <w:pPr>
              <w:pStyle w:val="Marginlie"/>
            </w:pPr>
          </w:p>
        </w:tc>
        <w:tc>
          <w:tcPr>
            <w:tcW w:w="277" w:type="dxa"/>
            <w:tcBorders>
              <w:top w:val="nil"/>
              <w:left w:val="nil"/>
              <w:bottom w:val="nil"/>
              <w:right w:val="nil"/>
            </w:tcBorders>
          </w:tcPr>
          <w:p w14:paraId="2BAEA289"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659E26B4" w14:textId="414DE295" w:rsidR="00AA4F0A" w:rsidRPr="00257FB1" w:rsidRDefault="00AA4F0A" w:rsidP="00A500A7">
            <w:pPr>
              <w:spacing w:after="0"/>
              <w:rPr>
                <w:spacing w:val="-5"/>
              </w:rPr>
            </w:pPr>
            <w:r w:rsidRPr="00257FB1">
              <w:rPr>
                <w:b/>
                <w:spacing w:val="-5"/>
              </w:rPr>
              <w:t xml:space="preserve">Graf </w:t>
            </w:r>
            <w:r w:rsidR="00BA35F3">
              <w:rPr>
                <w:b/>
                <w:spacing w:val="-5"/>
              </w:rPr>
              <w:t>č. </w:t>
            </w:r>
            <w:r w:rsidR="00306AD7">
              <w:rPr>
                <w:b/>
                <w:spacing w:val="-5"/>
              </w:rPr>
              <w:t>2</w:t>
            </w:r>
            <w:r w:rsidRPr="00257FB1">
              <w:rPr>
                <w:b/>
                <w:spacing w:val="-5"/>
              </w:rPr>
              <w:t xml:space="preserve">5  Průměr </w:t>
            </w:r>
            <w:r w:rsidR="00BC7833" w:rsidRPr="00257FB1">
              <w:rPr>
                <w:b/>
                <w:spacing w:val="-5"/>
              </w:rPr>
              <w:t>a</w:t>
            </w:r>
            <w:r w:rsidR="00BC7833">
              <w:rPr>
                <w:b/>
                <w:spacing w:val="-5"/>
              </w:rPr>
              <w:t> </w:t>
            </w:r>
            <w:r w:rsidRPr="00257FB1">
              <w:rPr>
                <w:b/>
                <w:spacing w:val="-5"/>
              </w:rPr>
              <w:t xml:space="preserve">medián hr. měs. mezd dle věku </w:t>
            </w:r>
            <w:r w:rsidR="006F0603">
              <w:rPr>
                <w:b/>
                <w:spacing w:val="-5"/>
              </w:rPr>
              <w:t>a </w:t>
            </w:r>
            <w:r w:rsidRPr="00257FB1">
              <w:rPr>
                <w:b/>
                <w:spacing w:val="-5"/>
              </w:rPr>
              <w:t xml:space="preserve">pohlaví v roce 2018 </w:t>
            </w:r>
            <w:r w:rsidRPr="00257FB1">
              <w:rPr>
                <w:spacing w:val="-5"/>
              </w:rPr>
              <w:t>(</w:t>
            </w:r>
            <w:r w:rsidR="00BC7833" w:rsidRPr="00257FB1">
              <w:rPr>
                <w:spacing w:val="-5"/>
              </w:rPr>
              <w:t>v</w:t>
            </w:r>
            <w:r w:rsidR="00BC7833">
              <w:rPr>
                <w:spacing w:val="-5"/>
              </w:rPr>
              <w:t> </w:t>
            </w:r>
            <w:r w:rsidRPr="00257FB1">
              <w:rPr>
                <w:spacing w:val="-5"/>
              </w:rPr>
              <w:t xml:space="preserve">korunách) </w:t>
            </w:r>
            <w:r w:rsidR="00BC7833" w:rsidRPr="00257FB1">
              <w:rPr>
                <w:b/>
                <w:spacing w:val="-5"/>
              </w:rPr>
              <w:t>a</w:t>
            </w:r>
            <w:r w:rsidR="00BC7833">
              <w:rPr>
                <w:b/>
                <w:spacing w:val="-5"/>
              </w:rPr>
              <w:t> </w:t>
            </w:r>
            <w:r w:rsidRPr="00257FB1">
              <w:rPr>
                <w:b/>
                <w:spacing w:val="-5"/>
              </w:rPr>
              <w:t xml:space="preserve">poměr </w:t>
            </w:r>
            <w:r w:rsidR="006F0603" w:rsidRPr="00257FB1">
              <w:rPr>
                <w:b/>
                <w:spacing w:val="-5"/>
              </w:rPr>
              <w:t>medián</w:t>
            </w:r>
            <w:r w:rsidR="006F0603">
              <w:rPr>
                <w:b/>
                <w:spacing w:val="-5"/>
              </w:rPr>
              <w:t>.</w:t>
            </w:r>
            <w:r w:rsidR="006F0603" w:rsidRPr="00257FB1">
              <w:rPr>
                <w:b/>
                <w:spacing w:val="-5"/>
              </w:rPr>
              <w:t xml:space="preserve"> </w:t>
            </w:r>
            <w:r w:rsidRPr="00257FB1">
              <w:rPr>
                <w:b/>
                <w:spacing w:val="-5"/>
              </w:rPr>
              <w:t xml:space="preserve">mzdy žen </w:t>
            </w:r>
            <w:r w:rsidR="006F0603">
              <w:rPr>
                <w:b/>
                <w:spacing w:val="-5"/>
              </w:rPr>
              <w:t>a </w:t>
            </w:r>
            <w:r w:rsidRPr="00257FB1">
              <w:rPr>
                <w:b/>
                <w:spacing w:val="-5"/>
              </w:rPr>
              <w:t xml:space="preserve">mužů 2012, 2015 </w:t>
            </w:r>
            <w:r w:rsidR="00BC7833" w:rsidRPr="00257FB1">
              <w:rPr>
                <w:b/>
                <w:spacing w:val="-5"/>
              </w:rPr>
              <w:t>a</w:t>
            </w:r>
            <w:r w:rsidR="00BC7833">
              <w:rPr>
                <w:b/>
                <w:spacing w:val="-5"/>
              </w:rPr>
              <w:t> </w:t>
            </w:r>
            <w:r w:rsidRPr="00257FB1">
              <w:rPr>
                <w:b/>
                <w:spacing w:val="-5"/>
              </w:rPr>
              <w:t>2018</w:t>
            </w:r>
            <w:r w:rsidRPr="00257FB1">
              <w:rPr>
                <w:spacing w:val="-5"/>
              </w:rPr>
              <w:t xml:space="preserve"> (v</w:t>
            </w:r>
            <w:r w:rsidR="006454CC">
              <w:rPr>
                <w:spacing w:val="-5"/>
              </w:rPr>
              <w:t> %</w:t>
            </w:r>
            <w:r w:rsidRPr="00257FB1">
              <w:rPr>
                <w:spacing w:val="-5"/>
              </w:rPr>
              <w:t>, pravá osa)</w:t>
            </w:r>
          </w:p>
        </w:tc>
      </w:tr>
      <w:tr w:rsidR="00AA4F0A" w14:paraId="39C19D50" w14:textId="77777777" w:rsidTr="00E9274D">
        <w:tblPrEx>
          <w:tblCellMar>
            <w:left w:w="70" w:type="dxa"/>
            <w:right w:w="70" w:type="dxa"/>
          </w:tblCellMar>
        </w:tblPrEx>
        <w:trPr>
          <w:trHeight w:val="429"/>
        </w:trPr>
        <w:tc>
          <w:tcPr>
            <w:tcW w:w="1976" w:type="dxa"/>
            <w:tcBorders>
              <w:top w:val="nil"/>
              <w:left w:val="nil"/>
              <w:bottom w:val="nil"/>
              <w:right w:val="nil"/>
            </w:tcBorders>
          </w:tcPr>
          <w:p w14:paraId="47BA1EDD" w14:textId="77777777" w:rsidR="00AA4F0A" w:rsidRPr="00106639" w:rsidRDefault="00AA4F0A" w:rsidP="00A500A7">
            <w:pPr>
              <w:pStyle w:val="Marginlie"/>
            </w:pPr>
          </w:p>
        </w:tc>
        <w:tc>
          <w:tcPr>
            <w:tcW w:w="277" w:type="dxa"/>
            <w:tcBorders>
              <w:top w:val="nil"/>
              <w:left w:val="nil"/>
              <w:bottom w:val="nil"/>
              <w:right w:val="nil"/>
            </w:tcBorders>
          </w:tcPr>
          <w:p w14:paraId="4A3EDD3A"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68B9C4D9" w14:textId="783F1CAB" w:rsidR="00AA4F0A" w:rsidRDefault="00E9274D" w:rsidP="00A500A7">
            <w:pPr>
              <w:spacing w:after="0"/>
            </w:pPr>
            <w:r>
              <w:rPr>
                <w:noProof/>
              </w:rPr>
              <w:drawing>
                <wp:inline distT="0" distB="0" distL="0" distR="0" wp14:anchorId="283BCB80" wp14:editId="19F50D9C">
                  <wp:extent cx="4604385" cy="3385185"/>
                  <wp:effectExtent l="0" t="0" r="5715" b="5715"/>
                  <wp:docPr id="71" name="Graf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AA4F0A" w:rsidRPr="005A2E40" w14:paraId="2217B785" w14:textId="77777777" w:rsidTr="00A500A7">
        <w:trPr>
          <w:trHeight w:val="429"/>
        </w:trPr>
        <w:tc>
          <w:tcPr>
            <w:tcW w:w="1976" w:type="dxa"/>
            <w:tcBorders>
              <w:top w:val="nil"/>
              <w:left w:val="nil"/>
              <w:bottom w:val="nil"/>
              <w:right w:val="nil"/>
            </w:tcBorders>
          </w:tcPr>
          <w:p w14:paraId="53BCCFCB" w14:textId="77777777" w:rsidR="00AA4F0A" w:rsidRPr="00106639" w:rsidRDefault="00AA4F0A" w:rsidP="00A500A7">
            <w:pPr>
              <w:pStyle w:val="Marginlie"/>
            </w:pPr>
          </w:p>
        </w:tc>
        <w:tc>
          <w:tcPr>
            <w:tcW w:w="277" w:type="dxa"/>
            <w:tcBorders>
              <w:top w:val="nil"/>
              <w:left w:val="nil"/>
              <w:bottom w:val="nil"/>
              <w:right w:val="nil"/>
            </w:tcBorders>
          </w:tcPr>
          <w:p w14:paraId="0D7C6E66"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79A3F5C0" w14:textId="77777777" w:rsidR="00AA4F0A" w:rsidRPr="00711FC2" w:rsidRDefault="00AA4F0A" w:rsidP="00A500A7">
            <w:pPr>
              <w:spacing w:after="0"/>
            </w:pPr>
            <w:r w:rsidRPr="00444E6D">
              <w:rPr>
                <w:rFonts w:cs="Arial"/>
                <w:sz w:val="14"/>
                <w:szCs w:val="14"/>
              </w:rPr>
              <w:t xml:space="preserve">Zdroj: </w:t>
            </w:r>
            <w:r>
              <w:rPr>
                <w:rFonts w:cs="Arial"/>
                <w:sz w:val="14"/>
                <w:szCs w:val="14"/>
              </w:rPr>
              <w:t xml:space="preserve">MPSV </w:t>
            </w:r>
            <w:r w:rsidR="00BC7833">
              <w:rPr>
                <w:rFonts w:cs="Arial"/>
                <w:sz w:val="14"/>
                <w:szCs w:val="14"/>
              </w:rPr>
              <w:t>a </w:t>
            </w:r>
            <w:r>
              <w:rPr>
                <w:rFonts w:cs="Arial"/>
                <w:sz w:val="14"/>
                <w:szCs w:val="14"/>
              </w:rPr>
              <w:t>ČSÚ (Strukturální mzdová statistika)</w:t>
            </w:r>
          </w:p>
        </w:tc>
      </w:tr>
      <w:tr w:rsidR="00AA4F0A" w14:paraId="6D290117" w14:textId="77777777" w:rsidTr="00A500A7">
        <w:trPr>
          <w:trHeight w:val="145"/>
        </w:trPr>
        <w:tc>
          <w:tcPr>
            <w:tcW w:w="1976" w:type="dxa"/>
            <w:tcBorders>
              <w:top w:val="nil"/>
              <w:left w:val="nil"/>
              <w:bottom w:val="nil"/>
              <w:right w:val="nil"/>
            </w:tcBorders>
          </w:tcPr>
          <w:p w14:paraId="02E82B08" w14:textId="77777777" w:rsidR="00AA4F0A" w:rsidRDefault="00AA4F0A" w:rsidP="00A500A7">
            <w:pPr>
              <w:pStyle w:val="Marginlie"/>
            </w:pPr>
            <w:r>
              <w:t xml:space="preserve">Ve směru sbližování úrovně mužských </w:t>
            </w:r>
            <w:r w:rsidR="00BC7833">
              <w:t>a </w:t>
            </w:r>
            <w:r>
              <w:t xml:space="preserve">ženských výdělků působila </w:t>
            </w:r>
            <w:r w:rsidR="00BC7833">
              <w:t>i </w:t>
            </w:r>
            <w:r>
              <w:t>rostoucí vzdělanostní úroveň žen.</w:t>
            </w:r>
          </w:p>
        </w:tc>
        <w:tc>
          <w:tcPr>
            <w:tcW w:w="277" w:type="dxa"/>
            <w:tcBorders>
              <w:top w:val="nil"/>
              <w:left w:val="nil"/>
              <w:bottom w:val="nil"/>
              <w:right w:val="nil"/>
            </w:tcBorders>
          </w:tcPr>
          <w:p w14:paraId="1FC790D9"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460C9E7D" w14:textId="1CE47E68" w:rsidR="00AA4F0A" w:rsidRPr="00257FB1" w:rsidRDefault="00AA4F0A" w:rsidP="00A500A7">
            <w:pPr>
              <w:spacing w:after="220"/>
              <w:rPr>
                <w:spacing w:val="-3"/>
              </w:rPr>
            </w:pPr>
            <w:r w:rsidRPr="00257FB1">
              <w:rPr>
                <w:spacing w:val="-3"/>
              </w:rPr>
              <w:t xml:space="preserve">Za mírným sbližováním výše mužských </w:t>
            </w:r>
            <w:r w:rsidR="00BC7833" w:rsidRPr="00257FB1">
              <w:rPr>
                <w:spacing w:val="-3"/>
              </w:rPr>
              <w:t>a</w:t>
            </w:r>
            <w:r w:rsidR="00BC7833">
              <w:rPr>
                <w:spacing w:val="-3"/>
              </w:rPr>
              <w:t> </w:t>
            </w:r>
            <w:r w:rsidRPr="00257FB1">
              <w:rPr>
                <w:spacing w:val="-3"/>
              </w:rPr>
              <w:t>ženských výdělků stojí také rostoucí vzdělanostní úroveň pracujících žen (zejména v mladších věkových skupinách), neboť výše vzdělání je jednou z klíčových determinant úrovně mezd. V roce 2018 dosahoval medián hrubé měsíční mzdy vysokoškoláků (na magisterském či doktorském stupni) 40,</w:t>
            </w:r>
            <w:r w:rsidR="00D82A1E" w:rsidRPr="00257FB1">
              <w:rPr>
                <w:spacing w:val="-3"/>
              </w:rPr>
              <w:t>8</w:t>
            </w:r>
            <w:r w:rsidR="00D82A1E">
              <w:rPr>
                <w:spacing w:val="-3"/>
              </w:rPr>
              <w:t> </w:t>
            </w:r>
            <w:r w:rsidRPr="00257FB1">
              <w:rPr>
                <w:spacing w:val="-3"/>
              </w:rPr>
              <w:t xml:space="preserve">tis. korun </w:t>
            </w:r>
            <w:r w:rsidR="00BC7833" w:rsidRPr="00257FB1">
              <w:rPr>
                <w:spacing w:val="-3"/>
              </w:rPr>
              <w:t>a</w:t>
            </w:r>
            <w:r w:rsidR="00BC7833">
              <w:rPr>
                <w:spacing w:val="-3"/>
              </w:rPr>
              <w:t> </w:t>
            </w:r>
            <w:r w:rsidRPr="00257FB1">
              <w:rPr>
                <w:spacing w:val="-3"/>
              </w:rPr>
              <w:t>úroveň všech zaměstnanců převyšoval o 40 %. Výdělky pracovníků na nižším stupni terciárního vzdělávání</w:t>
            </w:r>
            <w:r w:rsidRPr="00257FB1">
              <w:rPr>
                <w:rFonts w:cs="Arial"/>
                <w:spacing w:val="-3"/>
                <w:vertAlign w:val="superscript"/>
              </w:rPr>
              <w:footnoteReference w:id="11"/>
            </w:r>
            <w:r w:rsidRPr="00257FB1">
              <w:rPr>
                <w:spacing w:val="-3"/>
              </w:rPr>
              <w:t xml:space="preserve"> byly oproti celé ekonomice vyšší </w:t>
            </w:r>
            <w:r w:rsidR="00BC7833" w:rsidRPr="00257FB1">
              <w:rPr>
                <w:spacing w:val="-3"/>
              </w:rPr>
              <w:t>o</w:t>
            </w:r>
            <w:r w:rsidR="00BC7833">
              <w:rPr>
                <w:spacing w:val="-3"/>
              </w:rPr>
              <w:t> </w:t>
            </w:r>
            <w:r w:rsidRPr="00257FB1">
              <w:rPr>
                <w:spacing w:val="-3"/>
              </w:rPr>
              <w:t xml:space="preserve">šestinu, naopak </w:t>
            </w:r>
            <w:r w:rsidR="00BC7833" w:rsidRPr="00257FB1">
              <w:rPr>
                <w:spacing w:val="-3"/>
              </w:rPr>
              <w:t>u</w:t>
            </w:r>
            <w:r w:rsidR="00BC7833">
              <w:rPr>
                <w:spacing w:val="-3"/>
              </w:rPr>
              <w:t> </w:t>
            </w:r>
            <w:r w:rsidRPr="00257FB1">
              <w:rPr>
                <w:spacing w:val="-3"/>
              </w:rPr>
              <w:t>osob se středním vzděláním bez maturity činily jen 85</w:t>
            </w:r>
            <w:r w:rsidR="006454CC">
              <w:rPr>
                <w:spacing w:val="-3"/>
              </w:rPr>
              <w:t> %</w:t>
            </w:r>
            <w:r w:rsidRPr="00257FB1">
              <w:rPr>
                <w:spacing w:val="-3"/>
              </w:rPr>
              <w:t xml:space="preserve"> této úrovně </w:t>
            </w:r>
            <w:r w:rsidR="00BC7833" w:rsidRPr="00257FB1">
              <w:rPr>
                <w:spacing w:val="-3"/>
              </w:rPr>
              <w:t>a</w:t>
            </w:r>
            <w:r w:rsidR="00BC7833">
              <w:rPr>
                <w:spacing w:val="-3"/>
              </w:rPr>
              <w:t> </w:t>
            </w:r>
            <w:r w:rsidR="00BC7833" w:rsidRPr="00257FB1">
              <w:rPr>
                <w:spacing w:val="-3"/>
              </w:rPr>
              <w:t>u</w:t>
            </w:r>
            <w:r w:rsidR="00BC7833">
              <w:rPr>
                <w:spacing w:val="-3"/>
              </w:rPr>
              <w:t> </w:t>
            </w:r>
            <w:r w:rsidRPr="00257FB1">
              <w:rPr>
                <w:spacing w:val="-3"/>
              </w:rPr>
              <w:t>lidí s maximálně základním vzděláním 74 %.</w:t>
            </w:r>
          </w:p>
        </w:tc>
      </w:tr>
      <w:tr w:rsidR="00AA4F0A" w14:paraId="48E1CCBB" w14:textId="77777777" w:rsidTr="00A500A7">
        <w:trPr>
          <w:trHeight w:val="145"/>
        </w:trPr>
        <w:tc>
          <w:tcPr>
            <w:tcW w:w="1976" w:type="dxa"/>
            <w:tcBorders>
              <w:top w:val="nil"/>
              <w:left w:val="nil"/>
              <w:bottom w:val="nil"/>
              <w:right w:val="nil"/>
            </w:tcBorders>
          </w:tcPr>
          <w:p w14:paraId="591BCDD5" w14:textId="77777777" w:rsidR="00AA4F0A" w:rsidRDefault="00AA4F0A" w:rsidP="00A500A7">
            <w:pPr>
              <w:pStyle w:val="Marginlie"/>
            </w:pPr>
            <w:r>
              <w:t>Relativní rozdíly výdělků dle výše dosaženého vzdělání se nadále mírně snižovaly. Tempo růstu mzdy vysokoškoláků bylo v posledních šesti letech podprůměrné.</w:t>
            </w:r>
          </w:p>
        </w:tc>
        <w:tc>
          <w:tcPr>
            <w:tcW w:w="277" w:type="dxa"/>
            <w:tcBorders>
              <w:top w:val="nil"/>
              <w:left w:val="nil"/>
              <w:bottom w:val="nil"/>
              <w:right w:val="nil"/>
            </w:tcBorders>
          </w:tcPr>
          <w:p w14:paraId="1AB45599"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134493AB" w14:textId="15F22C63" w:rsidR="00AA4F0A" w:rsidRPr="00257FB1" w:rsidRDefault="00AA4F0A" w:rsidP="006F14C9">
            <w:pPr>
              <w:spacing w:after="220"/>
              <w:rPr>
                <w:spacing w:val="-3"/>
              </w:rPr>
            </w:pPr>
            <w:r w:rsidRPr="00257FB1">
              <w:rPr>
                <w:spacing w:val="-3"/>
              </w:rPr>
              <w:t>Ve srovnání s rokem 2011 došlo loni k největšímu pozitivnímu posunu u pracovníků s nejnižší úrovní vzdělání</w:t>
            </w:r>
            <w:r>
              <w:rPr>
                <w:spacing w:val="-3"/>
              </w:rPr>
              <w:t xml:space="preserve"> (ze 71</w:t>
            </w:r>
            <w:r w:rsidR="006454CC">
              <w:rPr>
                <w:spacing w:val="-3"/>
              </w:rPr>
              <w:t> %</w:t>
            </w:r>
            <w:r>
              <w:rPr>
                <w:spacing w:val="-3"/>
              </w:rPr>
              <w:t xml:space="preserve"> na 74</w:t>
            </w:r>
            <w:r w:rsidR="006454CC">
              <w:rPr>
                <w:spacing w:val="-3"/>
              </w:rPr>
              <w:t> %</w:t>
            </w:r>
            <w:r>
              <w:rPr>
                <w:spacing w:val="-3"/>
              </w:rPr>
              <w:t>). R</w:t>
            </w:r>
            <w:r w:rsidRPr="00257FB1">
              <w:rPr>
                <w:spacing w:val="-3"/>
              </w:rPr>
              <w:t>elativně nejvíce si naopak pohoršili vysokoškoláci (–10</w:t>
            </w:r>
            <w:r w:rsidR="00D82A1E">
              <w:rPr>
                <w:spacing w:val="-3"/>
              </w:rPr>
              <w:t> </w:t>
            </w:r>
            <w:r w:rsidRPr="00257FB1">
              <w:rPr>
                <w:spacing w:val="-3"/>
              </w:rPr>
              <w:t>p.</w:t>
            </w:r>
            <w:r w:rsidR="00D82A1E">
              <w:rPr>
                <w:spacing w:val="-3"/>
              </w:rPr>
              <w:t> </w:t>
            </w:r>
            <w:r w:rsidRPr="00257FB1">
              <w:rPr>
                <w:spacing w:val="-3"/>
              </w:rPr>
              <w:t>b</w:t>
            </w:r>
            <w:r w:rsidR="00D82A1E">
              <w:rPr>
                <w:spacing w:val="-3"/>
              </w:rPr>
              <w:t>.</w:t>
            </w:r>
            <w:r w:rsidRPr="00257FB1">
              <w:rPr>
                <w:spacing w:val="-3"/>
              </w:rPr>
              <w:t xml:space="preserve">). Slabší postavení měli </w:t>
            </w:r>
            <w:r w:rsidR="00BC7833" w:rsidRPr="00257FB1">
              <w:rPr>
                <w:spacing w:val="-3"/>
              </w:rPr>
              <w:t>i</w:t>
            </w:r>
            <w:r w:rsidR="00BC7833">
              <w:rPr>
                <w:spacing w:val="-3"/>
              </w:rPr>
              <w:t> </w:t>
            </w:r>
            <w:r w:rsidRPr="00257FB1">
              <w:rPr>
                <w:spacing w:val="-3"/>
              </w:rPr>
              <w:t xml:space="preserve">pracující </w:t>
            </w:r>
            <w:r>
              <w:rPr>
                <w:spacing w:val="-3"/>
              </w:rPr>
              <w:t xml:space="preserve">ve </w:t>
            </w:r>
            <w:r w:rsidRPr="00257FB1">
              <w:rPr>
                <w:spacing w:val="-3"/>
              </w:rPr>
              <w:t>váhově nejvýznamnější skupině</w:t>
            </w:r>
            <w:r w:rsidR="0037734D">
              <w:rPr>
                <w:spacing w:val="-3"/>
              </w:rPr>
              <w:t xml:space="preserve"> – </w:t>
            </w:r>
            <w:r w:rsidRPr="00257FB1">
              <w:rPr>
                <w:spacing w:val="-3"/>
              </w:rPr>
              <w:t xml:space="preserve">se středním vzděláním s maturitou (pokles </w:t>
            </w:r>
            <w:r w:rsidR="00BC7833" w:rsidRPr="00257FB1">
              <w:rPr>
                <w:spacing w:val="-3"/>
              </w:rPr>
              <w:t>o</w:t>
            </w:r>
            <w:r w:rsidR="00BC7833">
              <w:rPr>
                <w:spacing w:val="-3"/>
              </w:rPr>
              <w:t> </w:t>
            </w:r>
            <w:r w:rsidRPr="00257FB1">
              <w:rPr>
                <w:spacing w:val="-3"/>
              </w:rPr>
              <w:t>4</w:t>
            </w:r>
            <w:r w:rsidR="006454CC">
              <w:rPr>
                <w:spacing w:val="-3"/>
              </w:rPr>
              <w:t> p. b.</w:t>
            </w:r>
            <w:r w:rsidRPr="00257FB1">
              <w:rPr>
                <w:spacing w:val="-3"/>
              </w:rPr>
              <w:t xml:space="preserve"> na 102</w:t>
            </w:r>
            <w:r w:rsidR="006454CC">
              <w:rPr>
                <w:spacing w:val="-3"/>
              </w:rPr>
              <w:t> %</w:t>
            </w:r>
            <w:r w:rsidRPr="00257FB1">
              <w:rPr>
                <w:spacing w:val="-3"/>
              </w:rPr>
              <w:t xml:space="preserve">). K lepší pozici pracovníků se základním vzděláním přispěl především vývoj v letech 2016 a 2017, kdy </w:t>
            </w:r>
            <w:r w:rsidRPr="00257FB1">
              <w:rPr>
                <w:spacing w:val="-3"/>
              </w:rPr>
              <w:lastRenderedPageBreak/>
              <w:t xml:space="preserve">se navýšení minimální mzdy společně s citelným poklesem míry nezaměstnanosti v této skupině osob promítly </w:t>
            </w:r>
            <w:r w:rsidR="00BC7833" w:rsidRPr="00257FB1">
              <w:rPr>
                <w:spacing w:val="-3"/>
              </w:rPr>
              <w:t>v</w:t>
            </w:r>
            <w:r w:rsidR="00BC7833">
              <w:rPr>
                <w:spacing w:val="-3"/>
              </w:rPr>
              <w:t> </w:t>
            </w:r>
            <w:r w:rsidRPr="00257FB1">
              <w:rPr>
                <w:spacing w:val="-3"/>
              </w:rPr>
              <w:t>9% meziročních</w:t>
            </w:r>
            <w:r>
              <w:rPr>
                <w:spacing w:val="-3"/>
              </w:rPr>
              <w:t xml:space="preserve"> růstech mediánu mezd. Naopak u</w:t>
            </w:r>
            <w:r w:rsidRPr="00257FB1">
              <w:rPr>
                <w:spacing w:val="-3"/>
              </w:rPr>
              <w:t xml:space="preserve"> vysokoškoláků byla mzdová tempa po celé období podprůměrná (vyjma roku 2013). V rámci této skupiny </w:t>
            </w:r>
            <w:r>
              <w:rPr>
                <w:spacing w:val="-3"/>
              </w:rPr>
              <w:t>držely mírně lepší pozici</w:t>
            </w:r>
            <w:r w:rsidRPr="00257FB1">
              <w:rPr>
                <w:spacing w:val="-3"/>
              </w:rPr>
              <w:t xml:space="preserve"> ženy, jejichž mzdová dynamika byla v posledních šesti letech vyšší než mužů. </w:t>
            </w:r>
            <w:r w:rsidR="00BC7833" w:rsidRPr="00257FB1">
              <w:rPr>
                <w:spacing w:val="-3"/>
              </w:rPr>
              <w:t>I</w:t>
            </w:r>
            <w:r w:rsidR="00BC7833">
              <w:rPr>
                <w:spacing w:val="-3"/>
              </w:rPr>
              <w:t> </w:t>
            </w:r>
            <w:r w:rsidRPr="00257FB1">
              <w:rPr>
                <w:spacing w:val="-3"/>
              </w:rPr>
              <w:t xml:space="preserve">to přispělo k tomu, že variabilita výdělků všech vysokoškoláků poklesla v současné dekádě ze všech vzdělanostních skupin nejvíce. Její dosažená úroveň byla ale oproti zaměstnancům bez maturity </w:t>
            </w:r>
            <w:r>
              <w:rPr>
                <w:spacing w:val="-3"/>
              </w:rPr>
              <w:t xml:space="preserve">nadále </w:t>
            </w:r>
            <w:r w:rsidRPr="00257FB1">
              <w:rPr>
                <w:spacing w:val="-3"/>
              </w:rPr>
              <w:t xml:space="preserve">více </w:t>
            </w:r>
            <w:r w:rsidR="00FC5F49">
              <w:rPr>
                <w:spacing w:val="-3"/>
              </w:rPr>
              <w:t>než</w:t>
            </w:r>
            <w:r w:rsidRPr="00257FB1">
              <w:rPr>
                <w:spacing w:val="-3"/>
              </w:rPr>
              <w:t xml:space="preserve"> dvojnásobná</w:t>
            </w:r>
            <w:r w:rsidRPr="00257FB1">
              <w:rPr>
                <w:rFonts w:cs="Arial"/>
                <w:spacing w:val="-3"/>
                <w:vertAlign w:val="superscript"/>
              </w:rPr>
              <w:footnoteReference w:id="12"/>
            </w:r>
            <w:r w:rsidRPr="00257FB1">
              <w:rPr>
                <w:spacing w:val="-3"/>
              </w:rPr>
              <w:t>. Více než 11</w:t>
            </w:r>
            <w:r w:rsidR="00D82A1E" w:rsidRPr="00257FB1">
              <w:rPr>
                <w:spacing w:val="-3"/>
              </w:rPr>
              <w:t>4</w:t>
            </w:r>
            <w:r w:rsidR="00D82A1E">
              <w:rPr>
                <w:spacing w:val="-3"/>
              </w:rPr>
              <w:t> </w:t>
            </w:r>
            <w:r w:rsidRPr="00257FB1">
              <w:rPr>
                <w:spacing w:val="-3"/>
              </w:rPr>
              <w:t>tis. korun pobíra</w:t>
            </w:r>
            <w:r>
              <w:rPr>
                <w:spacing w:val="-3"/>
              </w:rPr>
              <w:t>lo loni na hrubé měsíční mzdě 5</w:t>
            </w:r>
            <w:r w:rsidRPr="00257FB1">
              <w:rPr>
                <w:spacing w:val="-3"/>
              </w:rPr>
              <w:t> % vysokoškoláků, čtvrtina pak více než 59 tis. korun (tuto hranic</w:t>
            </w:r>
            <w:r w:rsidR="00D83229">
              <w:rPr>
                <w:spacing w:val="-3"/>
              </w:rPr>
              <w:t>i</w:t>
            </w:r>
            <w:r w:rsidRPr="00257FB1">
              <w:rPr>
                <w:spacing w:val="-3"/>
              </w:rPr>
              <w:t xml:space="preserve"> překonal jen každý dvacátý zaměstnanec </w:t>
            </w:r>
            <w:r>
              <w:rPr>
                <w:spacing w:val="-3"/>
              </w:rPr>
              <w:t xml:space="preserve">se středním vzděláním </w:t>
            </w:r>
            <w:r w:rsidRPr="00257FB1">
              <w:rPr>
                <w:spacing w:val="-3"/>
              </w:rPr>
              <w:t>s maturi</w:t>
            </w:r>
            <w:r>
              <w:rPr>
                <w:spacing w:val="-3"/>
              </w:rPr>
              <w:t xml:space="preserve">tou). Na </w:t>
            </w:r>
            <w:r w:rsidR="00D83229">
              <w:rPr>
                <w:spacing w:val="-3"/>
              </w:rPr>
              <w:t>druhé straně</w:t>
            </w:r>
            <w:r>
              <w:rPr>
                <w:spacing w:val="-3"/>
              </w:rPr>
              <w:t xml:space="preserve"> téměř 30</w:t>
            </w:r>
            <w:r w:rsidRPr="00257FB1">
              <w:rPr>
                <w:spacing w:val="-3"/>
              </w:rPr>
              <w:t xml:space="preserve"> % vysokoškoláků nedosáhlo na úroveň průměrné mzdy v celé ekonomice </w:t>
            </w:r>
            <w:r w:rsidR="00BC7833" w:rsidRPr="00257FB1">
              <w:rPr>
                <w:spacing w:val="-3"/>
              </w:rPr>
              <w:t>a</w:t>
            </w:r>
            <w:r w:rsidR="00BC7833">
              <w:rPr>
                <w:spacing w:val="-3"/>
              </w:rPr>
              <w:t> </w:t>
            </w:r>
            <w:r w:rsidRPr="00257FB1">
              <w:rPr>
                <w:spacing w:val="-3"/>
              </w:rPr>
              <w:t>desetina pobírala méně než 22,</w:t>
            </w:r>
            <w:r w:rsidR="00D82A1E" w:rsidRPr="00257FB1">
              <w:rPr>
                <w:spacing w:val="-3"/>
              </w:rPr>
              <w:t>9</w:t>
            </w:r>
            <w:r w:rsidR="00D82A1E">
              <w:rPr>
                <w:spacing w:val="-3"/>
              </w:rPr>
              <w:t> </w:t>
            </w:r>
            <w:r w:rsidRPr="00257FB1">
              <w:rPr>
                <w:spacing w:val="-3"/>
              </w:rPr>
              <w:t>tis. korun.</w:t>
            </w:r>
          </w:p>
        </w:tc>
      </w:tr>
      <w:tr w:rsidR="00AA4F0A" w14:paraId="2E5CCBE8" w14:textId="77777777" w:rsidTr="00A500A7">
        <w:trPr>
          <w:trHeight w:val="145"/>
        </w:trPr>
        <w:tc>
          <w:tcPr>
            <w:tcW w:w="1976" w:type="dxa"/>
            <w:tcBorders>
              <w:top w:val="nil"/>
              <w:left w:val="nil"/>
              <w:bottom w:val="nil"/>
              <w:right w:val="nil"/>
            </w:tcBorders>
          </w:tcPr>
          <w:p w14:paraId="1977F1F6" w14:textId="77777777" w:rsidR="00AA4F0A" w:rsidRDefault="00AA4F0A" w:rsidP="00A500A7">
            <w:pPr>
              <w:pStyle w:val="Marginlie"/>
            </w:pPr>
          </w:p>
        </w:tc>
        <w:tc>
          <w:tcPr>
            <w:tcW w:w="277" w:type="dxa"/>
            <w:tcBorders>
              <w:top w:val="nil"/>
              <w:left w:val="nil"/>
              <w:bottom w:val="nil"/>
              <w:right w:val="nil"/>
            </w:tcBorders>
          </w:tcPr>
          <w:p w14:paraId="298A1D8B"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329C39A9" w14:textId="13F9125D" w:rsidR="00AA4F0A" w:rsidRDefault="00AA4F0A" w:rsidP="00A500A7">
            <w:pPr>
              <w:spacing w:after="0"/>
              <w:jc w:val="left"/>
            </w:pPr>
            <w:r>
              <w:rPr>
                <w:b/>
                <w:spacing w:val="-4"/>
              </w:rPr>
              <w:t xml:space="preserve">Graf </w:t>
            </w:r>
            <w:r w:rsidR="00BA35F3">
              <w:rPr>
                <w:b/>
                <w:spacing w:val="-4"/>
              </w:rPr>
              <w:t>č. </w:t>
            </w:r>
            <w:r w:rsidR="00306AD7">
              <w:rPr>
                <w:b/>
                <w:spacing w:val="-4"/>
              </w:rPr>
              <w:t>2</w:t>
            </w:r>
            <w:r>
              <w:rPr>
                <w:b/>
                <w:spacing w:val="-4"/>
              </w:rPr>
              <w:t>6</w:t>
            </w:r>
            <w:r w:rsidRPr="006B4396">
              <w:rPr>
                <w:b/>
                <w:spacing w:val="-4"/>
              </w:rPr>
              <w:t xml:space="preserve">  </w:t>
            </w:r>
            <w:r>
              <w:rPr>
                <w:b/>
              </w:rPr>
              <w:t xml:space="preserve">Změna mediánu mzdy zaměstnance dle pohlaví </w:t>
            </w:r>
            <w:r w:rsidR="00BC7833">
              <w:rPr>
                <w:b/>
              </w:rPr>
              <w:t>a </w:t>
            </w:r>
            <w:r>
              <w:rPr>
                <w:b/>
              </w:rPr>
              <w:t>stupně vzdělání</w:t>
            </w:r>
            <w:r w:rsidRPr="00F32D37">
              <w:t xml:space="preserve"> </w:t>
            </w:r>
            <w:r>
              <w:t xml:space="preserve">(meziročně, </w:t>
            </w:r>
            <w:r w:rsidRPr="00F32D37">
              <w:t>v</w:t>
            </w:r>
            <w:r w:rsidR="006454CC">
              <w:t> %</w:t>
            </w:r>
            <w:r w:rsidRPr="00F32D37">
              <w:t>)</w:t>
            </w:r>
          </w:p>
        </w:tc>
      </w:tr>
      <w:tr w:rsidR="00AA4F0A" w14:paraId="277471B9" w14:textId="77777777" w:rsidTr="00E9274D">
        <w:tblPrEx>
          <w:tblCellMar>
            <w:left w:w="70" w:type="dxa"/>
            <w:right w:w="70" w:type="dxa"/>
          </w:tblCellMar>
        </w:tblPrEx>
        <w:trPr>
          <w:trHeight w:val="145"/>
        </w:trPr>
        <w:tc>
          <w:tcPr>
            <w:tcW w:w="1976" w:type="dxa"/>
            <w:tcBorders>
              <w:top w:val="nil"/>
              <w:left w:val="nil"/>
              <w:bottom w:val="nil"/>
              <w:right w:val="nil"/>
            </w:tcBorders>
          </w:tcPr>
          <w:p w14:paraId="39075002" w14:textId="77777777" w:rsidR="00AA4F0A" w:rsidRDefault="00AA4F0A" w:rsidP="00A500A7">
            <w:pPr>
              <w:pStyle w:val="Marginlie"/>
            </w:pPr>
          </w:p>
        </w:tc>
        <w:tc>
          <w:tcPr>
            <w:tcW w:w="277" w:type="dxa"/>
            <w:tcBorders>
              <w:top w:val="nil"/>
              <w:left w:val="nil"/>
              <w:bottom w:val="nil"/>
              <w:right w:val="nil"/>
            </w:tcBorders>
          </w:tcPr>
          <w:p w14:paraId="68953690"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3F5B2A59" w14:textId="1F2619C3" w:rsidR="00AA4F0A" w:rsidRDefault="00E9274D" w:rsidP="00A500A7">
            <w:pPr>
              <w:spacing w:after="0"/>
            </w:pPr>
            <w:r>
              <w:rPr>
                <w:noProof/>
              </w:rPr>
              <w:drawing>
                <wp:inline distT="0" distB="0" distL="0" distR="0" wp14:anchorId="13B71134" wp14:editId="20581C84">
                  <wp:extent cx="4604385" cy="3394075"/>
                  <wp:effectExtent l="0" t="0" r="5715" b="0"/>
                  <wp:docPr id="72" name="Graf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AA4F0A" w14:paraId="04102C69" w14:textId="77777777" w:rsidTr="00A500A7">
        <w:trPr>
          <w:trHeight w:val="145"/>
        </w:trPr>
        <w:tc>
          <w:tcPr>
            <w:tcW w:w="1976" w:type="dxa"/>
            <w:tcBorders>
              <w:top w:val="nil"/>
              <w:left w:val="nil"/>
              <w:bottom w:val="nil"/>
              <w:right w:val="nil"/>
            </w:tcBorders>
          </w:tcPr>
          <w:p w14:paraId="393B946F" w14:textId="77777777" w:rsidR="00AA4F0A" w:rsidRDefault="00AA4F0A" w:rsidP="00A500A7">
            <w:pPr>
              <w:pStyle w:val="Marginlie"/>
            </w:pPr>
          </w:p>
        </w:tc>
        <w:tc>
          <w:tcPr>
            <w:tcW w:w="277" w:type="dxa"/>
            <w:tcBorders>
              <w:top w:val="nil"/>
              <w:left w:val="nil"/>
              <w:bottom w:val="nil"/>
              <w:right w:val="nil"/>
            </w:tcBorders>
          </w:tcPr>
          <w:p w14:paraId="3DBA3214"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2B1FF53F" w14:textId="77777777" w:rsidR="00AA4F0A" w:rsidRPr="00711FC2" w:rsidRDefault="00AA4F0A" w:rsidP="00A500A7">
            <w:pPr>
              <w:spacing w:after="220"/>
            </w:pPr>
            <w:r w:rsidRPr="00444E6D">
              <w:rPr>
                <w:rFonts w:cs="Arial"/>
                <w:sz w:val="14"/>
                <w:szCs w:val="14"/>
              </w:rPr>
              <w:t xml:space="preserve">Zdroj: </w:t>
            </w:r>
            <w:r>
              <w:rPr>
                <w:rFonts w:cs="Arial"/>
                <w:sz w:val="14"/>
                <w:szCs w:val="14"/>
              </w:rPr>
              <w:t xml:space="preserve">MPSV </w:t>
            </w:r>
            <w:r w:rsidR="00BC7833">
              <w:rPr>
                <w:rFonts w:cs="Arial"/>
                <w:sz w:val="14"/>
                <w:szCs w:val="14"/>
              </w:rPr>
              <w:t>a </w:t>
            </w:r>
            <w:r>
              <w:rPr>
                <w:rFonts w:cs="Arial"/>
                <w:sz w:val="14"/>
                <w:szCs w:val="14"/>
              </w:rPr>
              <w:t>ČSÚ (Strukturální mzdová statistika)</w:t>
            </w:r>
          </w:p>
        </w:tc>
      </w:tr>
      <w:tr w:rsidR="00AA4F0A" w14:paraId="71BD2F2D" w14:textId="77777777" w:rsidTr="00A500A7">
        <w:trPr>
          <w:trHeight w:val="145"/>
        </w:trPr>
        <w:tc>
          <w:tcPr>
            <w:tcW w:w="1976" w:type="dxa"/>
            <w:tcBorders>
              <w:top w:val="nil"/>
              <w:left w:val="nil"/>
              <w:bottom w:val="nil"/>
              <w:right w:val="nil"/>
            </w:tcBorders>
          </w:tcPr>
          <w:p w14:paraId="7B84664C" w14:textId="77777777" w:rsidR="00AA4F0A" w:rsidRDefault="00AA4F0A" w:rsidP="00A500A7">
            <w:pPr>
              <w:pStyle w:val="Marginlie"/>
            </w:pPr>
            <w:r>
              <w:t xml:space="preserve">Relativně nejrychleji rostly výdělky zaměstnancům ozbrojených složek. Více jak </w:t>
            </w:r>
            <w:r w:rsidR="00BC7833">
              <w:t>o </w:t>
            </w:r>
            <w:r>
              <w:t>desetinu posílily již třetím rokem v řadě.</w:t>
            </w:r>
          </w:p>
        </w:tc>
        <w:tc>
          <w:tcPr>
            <w:tcW w:w="277" w:type="dxa"/>
            <w:tcBorders>
              <w:top w:val="nil"/>
              <w:left w:val="nil"/>
              <w:bottom w:val="nil"/>
              <w:right w:val="nil"/>
            </w:tcBorders>
          </w:tcPr>
          <w:p w14:paraId="21556D9E"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655B118D" w14:textId="3585F10A" w:rsidR="00AA4F0A" w:rsidRDefault="00BC7833" w:rsidP="00A500A7">
            <w:pPr>
              <w:spacing w:after="220"/>
            </w:pPr>
            <w:r>
              <w:t>Z </w:t>
            </w:r>
            <w:r w:rsidR="00AA4F0A">
              <w:t>deseti hlavních tříd klasifikace zaměstnání vzrostly loni mediánové mzdy nejvíce pracovníkům v ozbrojených silách (+13,2</w:t>
            </w:r>
            <w:r w:rsidR="006454CC">
              <w:t> %</w:t>
            </w:r>
            <w:r w:rsidR="00AA4F0A">
              <w:t>)</w:t>
            </w:r>
            <w:r w:rsidR="00AA4F0A" w:rsidRPr="00D13306">
              <w:rPr>
                <w:rFonts w:cs="Arial"/>
                <w:vertAlign w:val="superscript"/>
              </w:rPr>
              <w:footnoteReference w:id="13"/>
            </w:r>
            <w:r w:rsidR="00AA4F0A">
              <w:t xml:space="preserve">. Protože se tak stalo za poslední čtyři roky již potřetí, není překvapivé, že tento vývoj se výrazně odrazil </w:t>
            </w:r>
            <w:r>
              <w:t>i </w:t>
            </w:r>
            <w:r w:rsidR="00AA4F0A">
              <w:t>v celkovém postavení této nepočetné skupiny zaměstnanců. Medián jejich hrubé měsíční mzdy přesáhl loni 3</w:t>
            </w:r>
            <w:r w:rsidR="00D82A1E">
              <w:t>8 </w:t>
            </w:r>
            <w:r w:rsidR="00AA4F0A">
              <w:t xml:space="preserve">tis. korun </w:t>
            </w:r>
            <w:r>
              <w:t>a </w:t>
            </w:r>
            <w:r w:rsidR="00AA4F0A">
              <w:t xml:space="preserve">převýšil úroveň v celé ekonomice </w:t>
            </w:r>
            <w:r>
              <w:t>o </w:t>
            </w:r>
            <w:r w:rsidR="00AA4F0A">
              <w:t>31</w:t>
            </w:r>
            <w:r w:rsidR="006454CC">
              <w:t> %</w:t>
            </w:r>
            <w:r w:rsidR="00AA4F0A">
              <w:t>, v roce 2012 však jen o 7 %. Dlouhodobým specifikem pracovníků ozbrojených složek je vyšší mzdová úroveň žen než mužů</w:t>
            </w:r>
            <w:r w:rsidR="00AA4F0A" w:rsidRPr="00D13306">
              <w:rPr>
                <w:rFonts w:cs="Arial"/>
                <w:vertAlign w:val="superscript"/>
              </w:rPr>
              <w:footnoteReference w:id="14"/>
            </w:r>
            <w:r w:rsidR="00AA4F0A">
              <w:t xml:space="preserve">, jež patrně odráží odlišnou vzdělanostní </w:t>
            </w:r>
            <w:r>
              <w:t>i </w:t>
            </w:r>
            <w:r w:rsidR="00AA4F0A">
              <w:t>věkovou skladbu a též velmi nízkou absolutní četnost žen.</w:t>
            </w:r>
          </w:p>
        </w:tc>
      </w:tr>
      <w:tr w:rsidR="00AA4F0A" w14:paraId="04D6E0B6" w14:textId="77777777" w:rsidTr="00A500A7">
        <w:trPr>
          <w:trHeight w:val="145"/>
        </w:trPr>
        <w:tc>
          <w:tcPr>
            <w:tcW w:w="1976" w:type="dxa"/>
            <w:tcBorders>
              <w:top w:val="nil"/>
              <w:left w:val="nil"/>
              <w:bottom w:val="nil"/>
              <w:right w:val="nil"/>
            </w:tcBorders>
          </w:tcPr>
          <w:p w14:paraId="01C7D334" w14:textId="77777777" w:rsidR="00AA4F0A" w:rsidRDefault="00AA4F0A" w:rsidP="00A500A7">
            <w:pPr>
              <w:pStyle w:val="Marginlie"/>
            </w:pPr>
            <w:r>
              <w:lastRenderedPageBreak/>
              <w:t xml:space="preserve">Svižnému růstu výdělků pracovníků ve službách a prodeji pomohly vyšší veřejné výdaje </w:t>
            </w:r>
            <w:r w:rsidR="00BC7833">
              <w:t>i </w:t>
            </w:r>
            <w:r>
              <w:t>růst minimální mzdy.</w:t>
            </w:r>
          </w:p>
        </w:tc>
        <w:tc>
          <w:tcPr>
            <w:tcW w:w="277" w:type="dxa"/>
            <w:tcBorders>
              <w:top w:val="nil"/>
              <w:left w:val="nil"/>
              <w:bottom w:val="nil"/>
              <w:right w:val="nil"/>
            </w:tcBorders>
          </w:tcPr>
          <w:p w14:paraId="69FE1D1F"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54B0270C" w14:textId="64824CCE" w:rsidR="00AA4F0A" w:rsidRPr="00257FB1" w:rsidRDefault="00AA4F0A" w:rsidP="00A500A7">
            <w:pPr>
              <w:spacing w:after="220"/>
              <w:rPr>
                <w:spacing w:val="-2"/>
              </w:rPr>
            </w:pPr>
            <w:r w:rsidRPr="00257FB1">
              <w:rPr>
                <w:spacing w:val="-2"/>
              </w:rPr>
              <w:t xml:space="preserve">Medián mezd ve třídě pracovníci ve službách </w:t>
            </w:r>
            <w:r w:rsidR="00BC7833" w:rsidRPr="00257FB1">
              <w:rPr>
                <w:spacing w:val="-2"/>
              </w:rPr>
              <w:t>a</w:t>
            </w:r>
            <w:r w:rsidR="00BC7833">
              <w:rPr>
                <w:spacing w:val="-2"/>
              </w:rPr>
              <w:t> </w:t>
            </w:r>
            <w:r w:rsidRPr="00257FB1">
              <w:rPr>
                <w:spacing w:val="-2"/>
              </w:rPr>
              <w:t xml:space="preserve">prodeji se navýšil dvouciferným tempem již druhým rokem v řadě. Stál za tím hlavně silný růst </w:t>
            </w:r>
            <w:r w:rsidR="00BC7833" w:rsidRPr="00257FB1">
              <w:rPr>
                <w:spacing w:val="-2"/>
              </w:rPr>
              <w:t>v</w:t>
            </w:r>
            <w:r w:rsidR="00BC7833">
              <w:rPr>
                <w:spacing w:val="-2"/>
              </w:rPr>
              <w:t> </w:t>
            </w:r>
            <w:r w:rsidRPr="00257FB1">
              <w:rPr>
                <w:spacing w:val="-2"/>
              </w:rPr>
              <w:t xml:space="preserve">zaměstnáních placených z drtivé většiny z veřejných rozpočtů (vězeňská správa, hasiči, řadoví policisté, pracovníci osobní péče ve zdravotní </w:t>
            </w:r>
            <w:r w:rsidR="00BC7833" w:rsidRPr="00257FB1">
              <w:rPr>
                <w:spacing w:val="-2"/>
              </w:rPr>
              <w:t>i</w:t>
            </w:r>
            <w:r w:rsidR="00BC7833">
              <w:rPr>
                <w:spacing w:val="-2"/>
              </w:rPr>
              <w:t> </w:t>
            </w:r>
            <w:r w:rsidRPr="00257FB1">
              <w:rPr>
                <w:spacing w:val="-2"/>
              </w:rPr>
              <w:t xml:space="preserve">sociální oblasti). Svižně ale posílily i mzdy </w:t>
            </w:r>
            <w:r w:rsidR="00BC7833" w:rsidRPr="00257FB1">
              <w:rPr>
                <w:spacing w:val="-2"/>
              </w:rPr>
              <w:t>v</w:t>
            </w:r>
            <w:r w:rsidR="00BC7833">
              <w:rPr>
                <w:spacing w:val="-2"/>
              </w:rPr>
              <w:t> </w:t>
            </w:r>
            <w:r w:rsidRPr="00257FB1">
              <w:rPr>
                <w:spacing w:val="-2"/>
              </w:rPr>
              <w:t xml:space="preserve">„tržní sféře“, kde se projevil vliv navýšení minimální mzdy, převis poptávky po pracovnících nad její nabídkou </w:t>
            </w:r>
            <w:r w:rsidR="00BC7833" w:rsidRPr="00257FB1">
              <w:rPr>
                <w:spacing w:val="-2"/>
              </w:rPr>
              <w:t>a</w:t>
            </w:r>
            <w:r w:rsidR="00BC7833">
              <w:rPr>
                <w:spacing w:val="-2"/>
              </w:rPr>
              <w:t> </w:t>
            </w:r>
            <w:r w:rsidRPr="00257FB1">
              <w:rPr>
                <w:spacing w:val="-2"/>
              </w:rPr>
              <w:t xml:space="preserve">patrně </w:t>
            </w:r>
            <w:r w:rsidR="00BC7833" w:rsidRPr="00257FB1">
              <w:rPr>
                <w:spacing w:val="-2"/>
              </w:rPr>
              <w:t>i</w:t>
            </w:r>
            <w:r w:rsidR="00BC7833">
              <w:rPr>
                <w:spacing w:val="-2"/>
              </w:rPr>
              <w:t> </w:t>
            </w:r>
            <w:r w:rsidRPr="00257FB1">
              <w:rPr>
                <w:spacing w:val="-2"/>
              </w:rPr>
              <w:t xml:space="preserve">větší fluktuace zaměstnanců (kuchaři, číšníci, servírky, prodavači, pracovníci ostrahy </w:t>
            </w:r>
            <w:r w:rsidR="00BC7833" w:rsidRPr="00257FB1">
              <w:rPr>
                <w:spacing w:val="-2"/>
              </w:rPr>
              <w:t>a</w:t>
            </w:r>
            <w:r w:rsidR="00BC7833">
              <w:rPr>
                <w:spacing w:val="-2"/>
              </w:rPr>
              <w:t> </w:t>
            </w:r>
            <w:r w:rsidRPr="00257FB1">
              <w:rPr>
                <w:spacing w:val="-2"/>
              </w:rPr>
              <w:t>bezpečnostních agentur). Navzdory tomuto posílení zůstala mzdová úroveň v celé této třídě zaměstnání výrazně podprůměrná, medián mzdy dosahoval loni jen 71</w:t>
            </w:r>
            <w:r w:rsidR="006454CC">
              <w:rPr>
                <w:spacing w:val="-2"/>
              </w:rPr>
              <w:t> %</w:t>
            </w:r>
            <w:r w:rsidRPr="00257FB1">
              <w:rPr>
                <w:spacing w:val="-2"/>
              </w:rPr>
              <w:t xml:space="preserve"> výše celé ekonomiky. Mírně le</w:t>
            </w:r>
            <w:r>
              <w:rPr>
                <w:spacing w:val="-2"/>
              </w:rPr>
              <w:t>pší pozici měly ženy (77</w:t>
            </w:r>
            <w:r w:rsidR="006454CC">
              <w:rPr>
                <w:spacing w:val="-2"/>
              </w:rPr>
              <w:t> %</w:t>
            </w:r>
            <w:r>
              <w:rPr>
                <w:spacing w:val="-2"/>
              </w:rPr>
              <w:t xml:space="preserve">), </w:t>
            </w:r>
            <w:r w:rsidR="00BC7833">
              <w:rPr>
                <w:spacing w:val="-2"/>
              </w:rPr>
              <w:t>u </w:t>
            </w:r>
            <w:r>
              <w:rPr>
                <w:spacing w:val="-2"/>
              </w:rPr>
              <w:t>nichž</w:t>
            </w:r>
            <w:r w:rsidRPr="00257FB1">
              <w:rPr>
                <w:spacing w:val="-2"/>
              </w:rPr>
              <w:t xml:space="preserve"> došlo </w:t>
            </w:r>
            <w:r w:rsidR="00BC7833" w:rsidRPr="00257FB1">
              <w:rPr>
                <w:spacing w:val="-2"/>
              </w:rPr>
              <w:t>i</w:t>
            </w:r>
            <w:r w:rsidR="00BC7833">
              <w:rPr>
                <w:spacing w:val="-2"/>
              </w:rPr>
              <w:t> </w:t>
            </w:r>
            <w:r w:rsidR="005329A1">
              <w:rPr>
                <w:spacing w:val="-2"/>
              </w:rPr>
              <w:t>k </w:t>
            </w:r>
            <w:r w:rsidRPr="00257FB1">
              <w:rPr>
                <w:spacing w:val="-2"/>
              </w:rPr>
              <w:t xml:space="preserve">většímu posunu (od roku 2011 </w:t>
            </w:r>
            <w:r w:rsidR="00BC7833" w:rsidRPr="00257FB1">
              <w:rPr>
                <w:spacing w:val="-2"/>
              </w:rPr>
              <w:t>o</w:t>
            </w:r>
            <w:r w:rsidR="00BC7833">
              <w:rPr>
                <w:spacing w:val="-2"/>
              </w:rPr>
              <w:t> </w:t>
            </w:r>
            <w:r w:rsidRPr="00257FB1">
              <w:rPr>
                <w:spacing w:val="-2"/>
              </w:rPr>
              <w:t>6</w:t>
            </w:r>
            <w:r w:rsidR="006454CC">
              <w:rPr>
                <w:spacing w:val="-2"/>
              </w:rPr>
              <w:t> p. b.</w:t>
            </w:r>
            <w:r w:rsidRPr="00257FB1">
              <w:rPr>
                <w:spacing w:val="-2"/>
              </w:rPr>
              <w:t>).</w:t>
            </w:r>
          </w:p>
        </w:tc>
      </w:tr>
      <w:tr w:rsidR="00AA4F0A" w14:paraId="65CEC3CA" w14:textId="77777777" w:rsidTr="00A500A7">
        <w:trPr>
          <w:trHeight w:val="145"/>
        </w:trPr>
        <w:tc>
          <w:tcPr>
            <w:tcW w:w="1976" w:type="dxa"/>
            <w:tcBorders>
              <w:top w:val="nil"/>
              <w:left w:val="nil"/>
              <w:bottom w:val="nil"/>
              <w:right w:val="nil"/>
            </w:tcBorders>
          </w:tcPr>
          <w:p w14:paraId="4277686E" w14:textId="61D11D3C" w:rsidR="00AA4F0A" w:rsidRDefault="00AA4F0A" w:rsidP="00A500A7">
            <w:pPr>
              <w:pStyle w:val="Marginlie"/>
            </w:pPr>
            <w:r>
              <w:t xml:space="preserve">Výdělky specialistů táhly loni hlavně vyšší veřejné výdaje na vzdělávání. </w:t>
            </w:r>
            <w:r w:rsidR="00BC7833">
              <w:t>I </w:t>
            </w:r>
            <w:r>
              <w:t xml:space="preserve">tak zůstala průměrná mzda učitelů a lektorů skoro </w:t>
            </w:r>
            <w:r w:rsidR="00BC7833">
              <w:t>o </w:t>
            </w:r>
            <w:r>
              <w:t xml:space="preserve">polovinu nižší než </w:t>
            </w:r>
            <w:r w:rsidR="00BC7833">
              <w:t>u </w:t>
            </w:r>
            <w:r>
              <w:t>pracovníků ICT.</w:t>
            </w:r>
          </w:p>
        </w:tc>
        <w:tc>
          <w:tcPr>
            <w:tcW w:w="277" w:type="dxa"/>
            <w:tcBorders>
              <w:top w:val="nil"/>
              <w:left w:val="nil"/>
              <w:bottom w:val="nil"/>
              <w:right w:val="nil"/>
            </w:tcBorders>
          </w:tcPr>
          <w:p w14:paraId="79EE1448"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3D8D0392" w14:textId="4CF80683" w:rsidR="00AA4F0A" w:rsidRPr="00257FB1" w:rsidRDefault="00AA4F0A" w:rsidP="00A500A7">
            <w:pPr>
              <w:spacing w:after="220"/>
              <w:rPr>
                <w:spacing w:val="-2"/>
              </w:rPr>
            </w:pPr>
            <w:r w:rsidRPr="00257FB1">
              <w:rPr>
                <w:spacing w:val="-2"/>
              </w:rPr>
              <w:t>Mzd</w:t>
            </w:r>
            <w:r>
              <w:rPr>
                <w:spacing w:val="-2"/>
              </w:rPr>
              <w:t>ový medián ve třídě specialisté</w:t>
            </w:r>
            <w:r w:rsidRPr="00257FB1">
              <w:rPr>
                <w:spacing w:val="-2"/>
              </w:rPr>
              <w:t xml:space="preserve"> se v roce 2018, na rozdíl od předešlých čtyř let, navýšil nadprůměrně (+9,0</w:t>
            </w:r>
            <w:r w:rsidR="006454CC">
              <w:rPr>
                <w:spacing w:val="-2"/>
              </w:rPr>
              <w:t> %</w:t>
            </w:r>
            <w:r w:rsidRPr="00257FB1">
              <w:rPr>
                <w:spacing w:val="-2"/>
              </w:rPr>
              <w:t xml:space="preserve">). Výrazně se zde projevil růst veřejných výdajů v oblasti vzdělávání. </w:t>
            </w:r>
            <w:r w:rsidR="00BC7833" w:rsidRPr="00257FB1">
              <w:rPr>
                <w:spacing w:val="-2"/>
              </w:rPr>
              <w:t>I</w:t>
            </w:r>
            <w:r w:rsidR="00BC7833">
              <w:rPr>
                <w:spacing w:val="-2"/>
              </w:rPr>
              <w:t> </w:t>
            </w:r>
            <w:r w:rsidRPr="00257FB1">
              <w:rPr>
                <w:spacing w:val="-2"/>
              </w:rPr>
              <w:t>tak ale platy specialistů v této oblasti (zejm</w:t>
            </w:r>
            <w:r w:rsidR="005329A1">
              <w:rPr>
                <w:spacing w:val="-2"/>
              </w:rPr>
              <w:t>éna</w:t>
            </w:r>
            <w:r w:rsidRPr="00257FB1">
              <w:rPr>
                <w:spacing w:val="-2"/>
              </w:rPr>
              <w:t xml:space="preserve"> učitelů </w:t>
            </w:r>
            <w:r w:rsidR="00BC7833" w:rsidRPr="00257FB1">
              <w:rPr>
                <w:spacing w:val="-2"/>
              </w:rPr>
              <w:t>a</w:t>
            </w:r>
            <w:r w:rsidR="00BC7833">
              <w:rPr>
                <w:spacing w:val="-2"/>
              </w:rPr>
              <w:t> </w:t>
            </w:r>
            <w:r w:rsidRPr="00257FB1">
              <w:rPr>
                <w:spacing w:val="-2"/>
              </w:rPr>
              <w:t xml:space="preserve">lektorů) převyšovaly </w:t>
            </w:r>
            <w:r w:rsidR="005F21D8">
              <w:rPr>
                <w:spacing w:val="-2"/>
              </w:rPr>
              <w:t xml:space="preserve">jen mírně </w:t>
            </w:r>
            <w:r w:rsidRPr="00257FB1">
              <w:rPr>
                <w:spacing w:val="-2"/>
              </w:rPr>
              <w:t>úr</w:t>
            </w:r>
            <w:r>
              <w:rPr>
                <w:spacing w:val="-2"/>
              </w:rPr>
              <w:t xml:space="preserve">oveň </w:t>
            </w:r>
            <w:r w:rsidR="005F21D8">
              <w:rPr>
                <w:spacing w:val="-2"/>
              </w:rPr>
              <w:t>všech zaměstnanců v národním hospodářství</w:t>
            </w:r>
            <w:r w:rsidRPr="00257FB1">
              <w:rPr>
                <w:spacing w:val="-2"/>
              </w:rPr>
              <w:t>. Nejvyšší průměrnou hrubou měsíční</w:t>
            </w:r>
            <w:r>
              <w:rPr>
                <w:spacing w:val="-2"/>
              </w:rPr>
              <w:t xml:space="preserve"> </w:t>
            </w:r>
            <w:r w:rsidR="005329A1">
              <w:rPr>
                <w:spacing w:val="-2"/>
              </w:rPr>
              <w:t xml:space="preserve">mzdu </w:t>
            </w:r>
            <w:r>
              <w:rPr>
                <w:spacing w:val="-2"/>
              </w:rPr>
              <w:t>tradičně pobírali</w:t>
            </w:r>
            <w:r w:rsidRPr="00257FB1">
              <w:rPr>
                <w:spacing w:val="-2"/>
              </w:rPr>
              <w:t xml:space="preserve"> specialisté v oblasti ICT (loni 6</w:t>
            </w:r>
            <w:r w:rsidR="00D82A1E" w:rsidRPr="00257FB1">
              <w:rPr>
                <w:spacing w:val="-2"/>
              </w:rPr>
              <w:t>1</w:t>
            </w:r>
            <w:r w:rsidR="00D82A1E">
              <w:rPr>
                <w:spacing w:val="-2"/>
              </w:rPr>
              <w:t> </w:t>
            </w:r>
            <w:r w:rsidRPr="00257FB1">
              <w:rPr>
                <w:spacing w:val="-2"/>
              </w:rPr>
              <w:t xml:space="preserve">tis. korun). Medián mezd v celé třídě specialistů se dlouhodobě pohybuje </w:t>
            </w:r>
            <w:r w:rsidR="00BC7833" w:rsidRPr="00257FB1">
              <w:rPr>
                <w:spacing w:val="-2"/>
              </w:rPr>
              <w:t>o</w:t>
            </w:r>
            <w:r w:rsidR="00BC7833">
              <w:rPr>
                <w:spacing w:val="-2"/>
              </w:rPr>
              <w:t> </w:t>
            </w:r>
            <w:r>
              <w:rPr>
                <w:spacing w:val="-2"/>
              </w:rPr>
              <w:t xml:space="preserve">více než </w:t>
            </w:r>
            <w:r w:rsidRPr="00257FB1">
              <w:rPr>
                <w:spacing w:val="-2"/>
              </w:rPr>
              <w:t>třeti</w:t>
            </w:r>
            <w:r w:rsidR="006F14C9">
              <w:rPr>
                <w:spacing w:val="-2"/>
              </w:rPr>
              <w:t>nu nad úrovní celé ekonomiky. V </w:t>
            </w:r>
            <w:r w:rsidRPr="00257FB1">
              <w:rPr>
                <w:spacing w:val="-2"/>
              </w:rPr>
              <w:t>rámci skupiny žen dosáhlo loni toto převýšení 35</w:t>
            </w:r>
            <w:r w:rsidR="006454CC">
              <w:rPr>
                <w:spacing w:val="-2"/>
              </w:rPr>
              <w:t> %</w:t>
            </w:r>
            <w:r w:rsidRPr="00257FB1">
              <w:rPr>
                <w:spacing w:val="-2"/>
              </w:rPr>
              <w:t xml:space="preserve">, </w:t>
            </w:r>
            <w:r w:rsidR="00BC7833" w:rsidRPr="00257FB1">
              <w:rPr>
                <w:spacing w:val="-2"/>
              </w:rPr>
              <w:t>u</w:t>
            </w:r>
            <w:r w:rsidR="00BC7833">
              <w:rPr>
                <w:spacing w:val="-2"/>
              </w:rPr>
              <w:t> </w:t>
            </w:r>
            <w:r w:rsidRPr="00257FB1">
              <w:rPr>
                <w:spacing w:val="-2"/>
              </w:rPr>
              <w:t>mužů 45</w:t>
            </w:r>
            <w:r w:rsidR="006454CC">
              <w:rPr>
                <w:spacing w:val="-2"/>
              </w:rPr>
              <w:t> %</w:t>
            </w:r>
            <w:r w:rsidRPr="00257FB1">
              <w:rPr>
                <w:spacing w:val="-2"/>
              </w:rPr>
              <w:t>.</w:t>
            </w:r>
          </w:p>
        </w:tc>
      </w:tr>
      <w:tr w:rsidR="00AA4F0A" w14:paraId="5B210504" w14:textId="77777777" w:rsidTr="00A500A7">
        <w:trPr>
          <w:trHeight w:val="145"/>
        </w:trPr>
        <w:tc>
          <w:tcPr>
            <w:tcW w:w="1976" w:type="dxa"/>
            <w:tcBorders>
              <w:top w:val="nil"/>
              <w:left w:val="nil"/>
              <w:bottom w:val="nil"/>
              <w:right w:val="nil"/>
            </w:tcBorders>
          </w:tcPr>
          <w:p w14:paraId="483A0EB9" w14:textId="77777777" w:rsidR="00AA4F0A" w:rsidRDefault="00AA4F0A" w:rsidP="00A500A7">
            <w:pPr>
              <w:pStyle w:val="Marginlie"/>
            </w:pPr>
            <w:r>
              <w:t>,</w:t>
            </w:r>
          </w:p>
        </w:tc>
        <w:tc>
          <w:tcPr>
            <w:tcW w:w="277" w:type="dxa"/>
            <w:tcBorders>
              <w:top w:val="nil"/>
              <w:left w:val="nil"/>
              <w:bottom w:val="nil"/>
              <w:right w:val="nil"/>
            </w:tcBorders>
          </w:tcPr>
          <w:p w14:paraId="7653B016"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039736E1" w14:textId="77777777" w:rsidR="00AA4F0A" w:rsidRDefault="00AA4F0A" w:rsidP="00A500A7">
            <w:pPr>
              <w:spacing w:after="0"/>
              <w:jc w:val="left"/>
            </w:pPr>
            <w:r>
              <w:rPr>
                <w:b/>
              </w:rPr>
              <w:t xml:space="preserve">Graf </w:t>
            </w:r>
            <w:r w:rsidR="00BA35F3">
              <w:rPr>
                <w:b/>
              </w:rPr>
              <w:t>č. </w:t>
            </w:r>
            <w:r w:rsidR="00306AD7">
              <w:rPr>
                <w:b/>
              </w:rPr>
              <w:t>2</w:t>
            </w:r>
            <w:r>
              <w:rPr>
                <w:b/>
              </w:rPr>
              <w:t>7</w:t>
            </w:r>
            <w:r w:rsidRPr="003601A5">
              <w:rPr>
                <w:b/>
              </w:rPr>
              <w:t xml:space="preserve">  </w:t>
            </w:r>
            <w:r>
              <w:rPr>
                <w:b/>
              </w:rPr>
              <w:t xml:space="preserve">Změna mediánu mzdy zaměstnance </w:t>
            </w:r>
            <w:r w:rsidRPr="00FF37E5">
              <w:rPr>
                <w:b/>
                <w:spacing w:val="-2"/>
              </w:rPr>
              <w:t xml:space="preserve">dle hlavních </w:t>
            </w:r>
            <w:r>
              <w:rPr>
                <w:b/>
                <w:spacing w:val="-2"/>
              </w:rPr>
              <w:t xml:space="preserve">kvalifikačních </w:t>
            </w:r>
            <w:r w:rsidRPr="00FF37E5">
              <w:rPr>
                <w:b/>
                <w:spacing w:val="-2"/>
              </w:rPr>
              <w:t>tříd</w:t>
            </w:r>
            <w:r>
              <w:rPr>
                <w:b/>
                <w:spacing w:val="-2"/>
              </w:rPr>
              <w:t>*</w:t>
            </w:r>
            <w:r w:rsidRPr="00FF37E5">
              <w:rPr>
                <w:b/>
                <w:spacing w:val="-2"/>
              </w:rPr>
              <w:t xml:space="preserve"> </w:t>
            </w:r>
            <w:r>
              <w:rPr>
                <w:b/>
                <w:spacing w:val="-2"/>
              </w:rPr>
              <w:t xml:space="preserve">celkem </w:t>
            </w:r>
            <w:r w:rsidR="00BC7833">
              <w:rPr>
                <w:b/>
                <w:spacing w:val="-2"/>
              </w:rPr>
              <w:t>a </w:t>
            </w:r>
            <w:r>
              <w:rPr>
                <w:b/>
                <w:spacing w:val="-2"/>
              </w:rPr>
              <w:t xml:space="preserve">za ženy </w:t>
            </w:r>
            <w:r>
              <w:rPr>
                <w:spacing w:val="-2"/>
              </w:rPr>
              <w:t>(meziročně, v</w:t>
            </w:r>
            <w:r w:rsidR="006454CC">
              <w:rPr>
                <w:spacing w:val="-2"/>
              </w:rPr>
              <w:t> %</w:t>
            </w:r>
            <w:r w:rsidRPr="00FF37E5">
              <w:rPr>
                <w:spacing w:val="-2"/>
              </w:rPr>
              <w:t>)</w:t>
            </w:r>
          </w:p>
        </w:tc>
      </w:tr>
      <w:tr w:rsidR="00AA4F0A" w14:paraId="4832D8F0" w14:textId="77777777" w:rsidTr="003601D9">
        <w:tblPrEx>
          <w:tblCellMar>
            <w:left w:w="70" w:type="dxa"/>
            <w:right w:w="70" w:type="dxa"/>
          </w:tblCellMar>
        </w:tblPrEx>
        <w:trPr>
          <w:trHeight w:val="145"/>
        </w:trPr>
        <w:tc>
          <w:tcPr>
            <w:tcW w:w="1976" w:type="dxa"/>
            <w:tcBorders>
              <w:top w:val="nil"/>
              <w:left w:val="nil"/>
              <w:bottom w:val="nil"/>
              <w:right w:val="nil"/>
            </w:tcBorders>
          </w:tcPr>
          <w:p w14:paraId="1CCA5BE6" w14:textId="77777777" w:rsidR="00AA4F0A" w:rsidRDefault="00AA4F0A" w:rsidP="00A500A7">
            <w:pPr>
              <w:pStyle w:val="Marginlie"/>
            </w:pPr>
          </w:p>
        </w:tc>
        <w:tc>
          <w:tcPr>
            <w:tcW w:w="277" w:type="dxa"/>
            <w:tcBorders>
              <w:top w:val="nil"/>
              <w:left w:val="nil"/>
              <w:bottom w:val="nil"/>
              <w:right w:val="nil"/>
            </w:tcBorders>
          </w:tcPr>
          <w:p w14:paraId="1A343A2F"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60A8D651" w14:textId="5C0267C1" w:rsidR="00AA4F0A" w:rsidRDefault="003601D9" w:rsidP="00A500A7">
            <w:pPr>
              <w:spacing w:after="0"/>
            </w:pPr>
            <w:r>
              <w:rPr>
                <w:noProof/>
              </w:rPr>
              <w:drawing>
                <wp:inline distT="0" distB="0" distL="0" distR="0" wp14:anchorId="6353469B" wp14:editId="36DC7017">
                  <wp:extent cx="4604385" cy="3514725"/>
                  <wp:effectExtent l="0" t="0" r="5715" b="0"/>
                  <wp:docPr id="73" name="Graf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AA4F0A" w14:paraId="0040C1EA" w14:textId="77777777" w:rsidTr="00A500A7">
        <w:trPr>
          <w:trHeight w:val="145"/>
        </w:trPr>
        <w:tc>
          <w:tcPr>
            <w:tcW w:w="1976" w:type="dxa"/>
            <w:tcBorders>
              <w:top w:val="nil"/>
              <w:left w:val="nil"/>
              <w:bottom w:val="nil"/>
              <w:right w:val="nil"/>
            </w:tcBorders>
          </w:tcPr>
          <w:p w14:paraId="61B93E29" w14:textId="77777777" w:rsidR="00AA4F0A" w:rsidRDefault="00AA4F0A" w:rsidP="00A500A7">
            <w:pPr>
              <w:pStyle w:val="Marginlie"/>
            </w:pPr>
          </w:p>
        </w:tc>
        <w:tc>
          <w:tcPr>
            <w:tcW w:w="277" w:type="dxa"/>
            <w:tcBorders>
              <w:top w:val="nil"/>
              <w:left w:val="nil"/>
              <w:bottom w:val="nil"/>
              <w:right w:val="nil"/>
            </w:tcBorders>
          </w:tcPr>
          <w:p w14:paraId="1A9295F8" w14:textId="77777777" w:rsidR="00AA4F0A" w:rsidRPr="005E4483" w:rsidRDefault="00AA4F0A" w:rsidP="00A500A7">
            <w:pPr>
              <w:pStyle w:val="Textpoznpodarou"/>
              <w:jc w:val="both"/>
              <w:rPr>
                <w:spacing w:val="-4"/>
              </w:rPr>
            </w:pPr>
          </w:p>
        </w:tc>
        <w:tc>
          <w:tcPr>
            <w:tcW w:w="7391" w:type="dxa"/>
            <w:tcBorders>
              <w:top w:val="nil"/>
              <w:left w:val="nil"/>
              <w:bottom w:val="nil"/>
              <w:right w:val="nil"/>
            </w:tcBorders>
          </w:tcPr>
          <w:p w14:paraId="0490143A" w14:textId="77777777" w:rsidR="00AA4F0A" w:rsidRDefault="00AA4F0A" w:rsidP="00A500A7">
            <w:pPr>
              <w:spacing w:after="0"/>
              <w:rPr>
                <w:rFonts w:cs="Arial"/>
                <w:sz w:val="14"/>
                <w:szCs w:val="14"/>
              </w:rPr>
            </w:pPr>
            <w:r>
              <w:rPr>
                <w:rFonts w:cs="Arial"/>
                <w:sz w:val="14"/>
                <w:szCs w:val="14"/>
              </w:rPr>
              <w:t>*Podle klasifikace zaměstnání CZ-ISCO</w:t>
            </w:r>
          </w:p>
          <w:p w14:paraId="2664B356" w14:textId="77777777" w:rsidR="00AA4F0A" w:rsidRDefault="00AA4F0A" w:rsidP="00A500A7">
            <w:pPr>
              <w:spacing w:after="220"/>
            </w:pPr>
            <w:r w:rsidRPr="00444E6D">
              <w:rPr>
                <w:rFonts w:cs="Arial"/>
                <w:sz w:val="14"/>
                <w:szCs w:val="14"/>
              </w:rPr>
              <w:t xml:space="preserve">Zdroj: </w:t>
            </w:r>
            <w:r>
              <w:rPr>
                <w:rFonts w:cs="Arial"/>
                <w:sz w:val="14"/>
                <w:szCs w:val="14"/>
              </w:rPr>
              <w:t xml:space="preserve">MPSV </w:t>
            </w:r>
            <w:r w:rsidR="00BC7833">
              <w:rPr>
                <w:rFonts w:cs="Arial"/>
                <w:sz w:val="14"/>
                <w:szCs w:val="14"/>
              </w:rPr>
              <w:t>a </w:t>
            </w:r>
            <w:r>
              <w:rPr>
                <w:rFonts w:cs="Arial"/>
                <w:sz w:val="14"/>
                <w:szCs w:val="14"/>
              </w:rPr>
              <w:t>ČSÚ (Strukturální mzdová statistika)</w:t>
            </w:r>
          </w:p>
        </w:tc>
      </w:tr>
      <w:tr w:rsidR="006F14C9" w14:paraId="2B285850" w14:textId="77777777" w:rsidTr="00A500A7">
        <w:trPr>
          <w:trHeight w:val="145"/>
        </w:trPr>
        <w:tc>
          <w:tcPr>
            <w:tcW w:w="1976" w:type="dxa"/>
            <w:tcBorders>
              <w:top w:val="nil"/>
              <w:left w:val="nil"/>
              <w:bottom w:val="nil"/>
              <w:right w:val="nil"/>
            </w:tcBorders>
          </w:tcPr>
          <w:p w14:paraId="4F5BCF0D" w14:textId="56294696" w:rsidR="006F14C9" w:rsidRDefault="006F14C9" w:rsidP="006F14C9">
            <w:pPr>
              <w:pStyle w:val="Marginlie"/>
            </w:pPr>
            <w:r>
              <w:t xml:space="preserve">Tempo růstu mezd ve třídě zákonodárců </w:t>
            </w:r>
            <w:r w:rsidR="00BC7833">
              <w:t>a </w:t>
            </w:r>
            <w:r>
              <w:t xml:space="preserve">řídících pracovníků bylo v posledních pěti letech spíše podprůměrné. Pokračoval </w:t>
            </w:r>
            <w:r w:rsidR="00B77AF4">
              <w:t xml:space="preserve">zde </w:t>
            </w:r>
            <w:r w:rsidR="00BC7833">
              <w:t>i </w:t>
            </w:r>
            <w:r>
              <w:t>pokles stavu zaměstnanců.</w:t>
            </w:r>
          </w:p>
        </w:tc>
        <w:tc>
          <w:tcPr>
            <w:tcW w:w="277" w:type="dxa"/>
            <w:tcBorders>
              <w:top w:val="nil"/>
              <w:left w:val="nil"/>
              <w:bottom w:val="nil"/>
              <w:right w:val="nil"/>
            </w:tcBorders>
          </w:tcPr>
          <w:p w14:paraId="1023038A"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2A4B7085" w14:textId="621EAF1F" w:rsidR="006F14C9" w:rsidRPr="00257FB1" w:rsidRDefault="006F14C9" w:rsidP="006F14C9">
            <w:pPr>
              <w:spacing w:after="220"/>
              <w:rPr>
                <w:spacing w:val="-2"/>
              </w:rPr>
            </w:pPr>
            <w:r w:rsidRPr="00257FB1">
              <w:rPr>
                <w:spacing w:val="-2"/>
              </w:rPr>
              <w:t xml:space="preserve">Medián mezd zákonodárců </w:t>
            </w:r>
            <w:r w:rsidR="00BC7833" w:rsidRPr="00257FB1">
              <w:rPr>
                <w:spacing w:val="-2"/>
              </w:rPr>
              <w:t>a</w:t>
            </w:r>
            <w:r w:rsidR="00BC7833">
              <w:rPr>
                <w:spacing w:val="-2"/>
              </w:rPr>
              <w:t> </w:t>
            </w:r>
            <w:r w:rsidRPr="00257FB1">
              <w:rPr>
                <w:spacing w:val="-2"/>
              </w:rPr>
              <w:t xml:space="preserve">řídících pracovníků loni vzrostl </w:t>
            </w:r>
            <w:r w:rsidR="00BC7833" w:rsidRPr="00257FB1">
              <w:rPr>
                <w:spacing w:val="-2"/>
              </w:rPr>
              <w:t>o</w:t>
            </w:r>
            <w:r w:rsidR="00BC7833">
              <w:rPr>
                <w:spacing w:val="-2"/>
              </w:rPr>
              <w:t> </w:t>
            </w:r>
            <w:r w:rsidRPr="00257FB1">
              <w:rPr>
                <w:spacing w:val="-2"/>
              </w:rPr>
              <w:t>6,1</w:t>
            </w:r>
            <w:r w:rsidR="006454CC">
              <w:rPr>
                <w:spacing w:val="-2"/>
              </w:rPr>
              <w:t> %</w:t>
            </w:r>
            <w:r w:rsidRPr="00257FB1">
              <w:rPr>
                <w:spacing w:val="-2"/>
              </w:rPr>
              <w:t xml:space="preserve"> (průměrná mzda </w:t>
            </w:r>
            <w:r w:rsidR="00BC7833" w:rsidRPr="00257FB1">
              <w:rPr>
                <w:spacing w:val="-2"/>
              </w:rPr>
              <w:t>o</w:t>
            </w:r>
            <w:r w:rsidR="00BC7833">
              <w:rPr>
                <w:spacing w:val="-2"/>
              </w:rPr>
              <w:t> </w:t>
            </w:r>
            <w:r w:rsidRPr="00257FB1">
              <w:rPr>
                <w:spacing w:val="-2"/>
              </w:rPr>
              <w:t>5,3</w:t>
            </w:r>
            <w:r w:rsidR="006454CC">
              <w:rPr>
                <w:spacing w:val="-2"/>
              </w:rPr>
              <w:t> %</w:t>
            </w:r>
            <w:r w:rsidRPr="00257FB1">
              <w:rPr>
                <w:spacing w:val="-2"/>
              </w:rPr>
              <w:t xml:space="preserve">), což znamenalo mírný pokles tempa oproti roku 2017. To byl zároveň jediný rok od konce poslední recese, kdy mzdový medián v této třídě dosahoval vyššího meziročního tempa než v celé ekonomice. Relativně slabší dynamika výdělků může souviset se zpomalením hospodářského růstu, neboť vyšší podíl mezd zde tvoří příplatky, bonusy či mimořádné odměny (mnohdy vázané na hospodářské výsledky </w:t>
            </w:r>
            <w:r w:rsidR="00AA6B9B" w:rsidRPr="00257FB1">
              <w:rPr>
                <w:spacing w:val="-2"/>
              </w:rPr>
              <w:t>podnik</w:t>
            </w:r>
            <w:r w:rsidR="00AA6B9B">
              <w:rPr>
                <w:spacing w:val="-2"/>
              </w:rPr>
              <w:t>ů</w:t>
            </w:r>
            <w:r w:rsidRPr="00257FB1">
              <w:rPr>
                <w:spacing w:val="-2"/>
              </w:rPr>
              <w:t xml:space="preserve">). Působila </w:t>
            </w:r>
            <w:r w:rsidR="00BC7833" w:rsidRPr="00257FB1">
              <w:rPr>
                <w:spacing w:val="-2"/>
              </w:rPr>
              <w:t>i</w:t>
            </w:r>
            <w:r w:rsidR="00BC7833">
              <w:rPr>
                <w:spacing w:val="-2"/>
              </w:rPr>
              <w:t> </w:t>
            </w:r>
            <w:r w:rsidRPr="00257FB1">
              <w:rPr>
                <w:spacing w:val="-2"/>
              </w:rPr>
              <w:t xml:space="preserve">klesající míra zisku podniků po roce 2015, jež zintenzivnila </w:t>
            </w:r>
            <w:r w:rsidRPr="00257FB1">
              <w:rPr>
                <w:spacing w:val="-2"/>
              </w:rPr>
              <w:lastRenderedPageBreak/>
              <w:t xml:space="preserve">restrukturalizační </w:t>
            </w:r>
            <w:r w:rsidR="00BC7833" w:rsidRPr="00257FB1">
              <w:rPr>
                <w:spacing w:val="-2"/>
              </w:rPr>
              <w:t>a</w:t>
            </w:r>
            <w:r w:rsidR="00BC7833">
              <w:rPr>
                <w:spacing w:val="-2"/>
              </w:rPr>
              <w:t> </w:t>
            </w:r>
            <w:r w:rsidRPr="00257FB1">
              <w:rPr>
                <w:spacing w:val="-2"/>
              </w:rPr>
              <w:t xml:space="preserve">inovační procesy, </w:t>
            </w:r>
            <w:r w:rsidR="00BC7833" w:rsidRPr="00257FB1">
              <w:rPr>
                <w:spacing w:val="-2"/>
              </w:rPr>
              <w:t>a</w:t>
            </w:r>
            <w:r w:rsidR="00BC7833">
              <w:rPr>
                <w:spacing w:val="-2"/>
              </w:rPr>
              <w:t> </w:t>
            </w:r>
            <w:r w:rsidRPr="00257FB1">
              <w:rPr>
                <w:spacing w:val="-2"/>
              </w:rPr>
              <w:t>to včetně těch v oblasti řízení</w:t>
            </w:r>
            <w:r w:rsidRPr="00257FB1">
              <w:rPr>
                <w:rFonts w:cs="Arial"/>
                <w:spacing w:val="-2"/>
                <w:vertAlign w:val="superscript"/>
              </w:rPr>
              <w:footnoteReference w:id="15"/>
            </w:r>
            <w:r w:rsidRPr="00257FB1">
              <w:rPr>
                <w:spacing w:val="-2"/>
              </w:rPr>
              <w:t xml:space="preserve">. Výdělky zákonodárců </w:t>
            </w:r>
            <w:r w:rsidR="00BC7833" w:rsidRPr="00257FB1">
              <w:rPr>
                <w:spacing w:val="-2"/>
              </w:rPr>
              <w:t>a</w:t>
            </w:r>
            <w:r w:rsidR="00BC7833">
              <w:rPr>
                <w:spacing w:val="-2"/>
              </w:rPr>
              <w:t> </w:t>
            </w:r>
            <w:r w:rsidRPr="00257FB1">
              <w:rPr>
                <w:spacing w:val="-2"/>
              </w:rPr>
              <w:t xml:space="preserve">řídících pracovníků patří nejen k nejvyšším (medián mezd překonal loni úroveň celé ekonomiky </w:t>
            </w:r>
            <w:r w:rsidR="00BC7833" w:rsidRPr="00257FB1">
              <w:rPr>
                <w:spacing w:val="-2"/>
              </w:rPr>
              <w:t>o</w:t>
            </w:r>
            <w:r w:rsidR="00BC7833">
              <w:rPr>
                <w:spacing w:val="-2"/>
              </w:rPr>
              <w:t> </w:t>
            </w:r>
            <w:r w:rsidRPr="00257FB1">
              <w:rPr>
                <w:spacing w:val="-2"/>
              </w:rPr>
              <w:t>77</w:t>
            </w:r>
            <w:r w:rsidR="006454CC">
              <w:rPr>
                <w:spacing w:val="-2"/>
              </w:rPr>
              <w:t> %</w:t>
            </w:r>
            <w:r w:rsidRPr="00257FB1">
              <w:rPr>
                <w:spacing w:val="-2"/>
              </w:rPr>
              <w:t xml:space="preserve">, v roce 2011 </w:t>
            </w:r>
            <w:r w:rsidR="00BC7833" w:rsidRPr="00257FB1">
              <w:rPr>
                <w:spacing w:val="-2"/>
              </w:rPr>
              <w:t>o</w:t>
            </w:r>
            <w:r w:rsidR="00BC7833">
              <w:rPr>
                <w:spacing w:val="-2"/>
              </w:rPr>
              <w:t> </w:t>
            </w:r>
            <w:r w:rsidRPr="00257FB1">
              <w:rPr>
                <w:spacing w:val="-2"/>
              </w:rPr>
              <w:t>83</w:t>
            </w:r>
            <w:r w:rsidR="006454CC">
              <w:rPr>
                <w:spacing w:val="-2"/>
              </w:rPr>
              <w:t> %</w:t>
            </w:r>
            <w:r w:rsidRPr="00257FB1">
              <w:rPr>
                <w:spacing w:val="-2"/>
              </w:rPr>
              <w:t>), ale také k nejvariabilnějším (</w:t>
            </w:r>
            <w:r>
              <w:rPr>
                <w:spacing w:val="-2"/>
              </w:rPr>
              <w:t xml:space="preserve">jejich </w:t>
            </w:r>
            <w:r w:rsidRPr="00257FB1">
              <w:rPr>
                <w:spacing w:val="-2"/>
              </w:rPr>
              <w:t xml:space="preserve">variační koeficient byl třikrát vyšší než </w:t>
            </w:r>
            <w:r w:rsidR="00BC7833" w:rsidRPr="00257FB1">
              <w:rPr>
                <w:spacing w:val="-2"/>
              </w:rPr>
              <w:t>u</w:t>
            </w:r>
            <w:r w:rsidR="00BC7833">
              <w:rPr>
                <w:spacing w:val="-2"/>
              </w:rPr>
              <w:t> </w:t>
            </w:r>
            <w:r w:rsidRPr="00257FB1">
              <w:rPr>
                <w:spacing w:val="-2"/>
              </w:rPr>
              <w:t>(ne)kvalifikovaných manuálních činností). Desetina zaměstnanců pobírala hrubou měsíční mzdu nad 12</w:t>
            </w:r>
            <w:r w:rsidR="00D82A1E" w:rsidRPr="00257FB1">
              <w:rPr>
                <w:spacing w:val="-2"/>
              </w:rPr>
              <w:t>7</w:t>
            </w:r>
            <w:r w:rsidR="00D82A1E">
              <w:rPr>
                <w:spacing w:val="-2"/>
              </w:rPr>
              <w:t> </w:t>
            </w:r>
            <w:r w:rsidRPr="00257FB1">
              <w:rPr>
                <w:spacing w:val="-2"/>
              </w:rPr>
              <w:t xml:space="preserve">tis. korun, téměř čtvrtina ale také mzdu nepřevyšující průměr </w:t>
            </w:r>
            <w:r w:rsidR="00BC7833" w:rsidRPr="00257FB1">
              <w:rPr>
                <w:spacing w:val="-2"/>
              </w:rPr>
              <w:t>v</w:t>
            </w:r>
            <w:r w:rsidR="00BC7833">
              <w:rPr>
                <w:spacing w:val="-2"/>
              </w:rPr>
              <w:t> </w:t>
            </w:r>
            <w:r w:rsidRPr="00257FB1">
              <w:rPr>
                <w:spacing w:val="-2"/>
              </w:rPr>
              <w:t>celé ekonomice</w:t>
            </w:r>
            <w:r w:rsidRPr="00257FB1">
              <w:rPr>
                <w:rFonts w:cs="Arial"/>
                <w:spacing w:val="-2"/>
                <w:vertAlign w:val="superscript"/>
              </w:rPr>
              <w:footnoteReference w:id="16"/>
            </w:r>
            <w:r w:rsidRPr="00257FB1">
              <w:rPr>
                <w:spacing w:val="-2"/>
              </w:rPr>
              <w:t>.</w:t>
            </w:r>
          </w:p>
        </w:tc>
      </w:tr>
      <w:tr w:rsidR="006F14C9" w14:paraId="7CB0F39A" w14:textId="77777777" w:rsidTr="00A500A7">
        <w:trPr>
          <w:trHeight w:val="145"/>
        </w:trPr>
        <w:tc>
          <w:tcPr>
            <w:tcW w:w="1976" w:type="dxa"/>
            <w:tcBorders>
              <w:top w:val="nil"/>
              <w:left w:val="nil"/>
              <w:bottom w:val="nil"/>
              <w:right w:val="nil"/>
            </w:tcBorders>
          </w:tcPr>
          <w:p w14:paraId="45D0BF2B" w14:textId="3F922965" w:rsidR="006F14C9" w:rsidRDefault="006F14C9" w:rsidP="006F14C9">
            <w:pPr>
              <w:pStyle w:val="Marginlie"/>
            </w:pPr>
            <w:r>
              <w:lastRenderedPageBreak/>
              <w:t xml:space="preserve">Výše mediánu mezd technických </w:t>
            </w:r>
            <w:r w:rsidR="00BC7833">
              <w:t>a </w:t>
            </w:r>
            <w:r>
              <w:t xml:space="preserve">odborných pracovníků zůstává dlouhodobě </w:t>
            </w:r>
            <w:r w:rsidR="00BC7833">
              <w:t>o </w:t>
            </w:r>
            <w:r>
              <w:t>šestinu nad úrovní celé ekonomiky.</w:t>
            </w:r>
          </w:p>
        </w:tc>
        <w:tc>
          <w:tcPr>
            <w:tcW w:w="277" w:type="dxa"/>
            <w:tcBorders>
              <w:top w:val="nil"/>
              <w:left w:val="nil"/>
              <w:bottom w:val="nil"/>
              <w:right w:val="nil"/>
            </w:tcBorders>
          </w:tcPr>
          <w:p w14:paraId="7442A0BF"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3B1DAE35" w14:textId="6B189D7C" w:rsidR="006F14C9" w:rsidRPr="00E316A0" w:rsidRDefault="006F14C9" w:rsidP="006F14C9">
            <w:pPr>
              <w:spacing w:after="220"/>
              <w:rPr>
                <w:spacing w:val="-4"/>
              </w:rPr>
            </w:pPr>
            <w:r w:rsidRPr="00E316A0">
              <w:rPr>
                <w:spacing w:val="-4"/>
              </w:rPr>
              <w:t>Tempo růstu mezd v početně nejvýznamnější třídě klasifikace zaměstnání</w:t>
            </w:r>
            <w:r w:rsidR="0037734D">
              <w:rPr>
                <w:spacing w:val="-4"/>
              </w:rPr>
              <w:t xml:space="preserve"> – </w:t>
            </w:r>
            <w:r w:rsidRPr="00E316A0">
              <w:rPr>
                <w:spacing w:val="-4"/>
              </w:rPr>
              <w:t>techni</w:t>
            </w:r>
            <w:r w:rsidR="00F9647C">
              <w:rPr>
                <w:spacing w:val="-4"/>
              </w:rPr>
              <w:t>čtí</w:t>
            </w:r>
            <w:r w:rsidRPr="00E316A0">
              <w:rPr>
                <w:spacing w:val="-4"/>
              </w:rPr>
              <w:t xml:space="preserve"> </w:t>
            </w:r>
            <w:r w:rsidR="00BC7833" w:rsidRPr="00E316A0">
              <w:rPr>
                <w:spacing w:val="-4"/>
              </w:rPr>
              <w:t>a</w:t>
            </w:r>
            <w:r w:rsidR="00BC7833">
              <w:rPr>
                <w:spacing w:val="-4"/>
              </w:rPr>
              <w:t> </w:t>
            </w:r>
            <w:r w:rsidRPr="00E316A0">
              <w:rPr>
                <w:spacing w:val="-4"/>
              </w:rPr>
              <w:t>odborn</w:t>
            </w:r>
            <w:r w:rsidR="00F9647C">
              <w:rPr>
                <w:spacing w:val="-4"/>
              </w:rPr>
              <w:t>í</w:t>
            </w:r>
            <w:r w:rsidRPr="00E316A0">
              <w:rPr>
                <w:spacing w:val="-4"/>
              </w:rPr>
              <w:t xml:space="preserve"> pracovní</w:t>
            </w:r>
            <w:r w:rsidR="00F9647C">
              <w:rPr>
                <w:spacing w:val="-4"/>
              </w:rPr>
              <w:t>ci</w:t>
            </w:r>
            <w:r w:rsidR="0037734D">
              <w:rPr>
                <w:spacing w:val="-4"/>
              </w:rPr>
              <w:t xml:space="preserve"> – </w:t>
            </w:r>
            <w:r w:rsidRPr="00E316A0">
              <w:rPr>
                <w:spacing w:val="-4"/>
              </w:rPr>
              <w:t>se v poslední dekádě výrazně neodchylovalo o</w:t>
            </w:r>
            <w:r>
              <w:rPr>
                <w:spacing w:val="-4"/>
              </w:rPr>
              <w:t>d</w:t>
            </w:r>
            <w:r w:rsidRPr="00E316A0">
              <w:rPr>
                <w:spacing w:val="-4"/>
              </w:rPr>
              <w:t xml:space="preserve"> dynamiky v celé ekonomice. V rámci této třídy se loni výdělky zvýšily nejvíce pracovníků</w:t>
            </w:r>
            <w:r>
              <w:rPr>
                <w:spacing w:val="-4"/>
              </w:rPr>
              <w:t>m</w:t>
            </w:r>
            <w:r w:rsidRPr="00E316A0">
              <w:rPr>
                <w:spacing w:val="-4"/>
              </w:rPr>
              <w:t xml:space="preserve"> v oblasti zdravotnictví (</w:t>
            </w:r>
            <w:r w:rsidR="00BC7833" w:rsidRPr="00E316A0">
              <w:rPr>
                <w:spacing w:val="-4"/>
              </w:rPr>
              <w:t>o</w:t>
            </w:r>
            <w:r w:rsidR="00BC7833">
              <w:rPr>
                <w:spacing w:val="-4"/>
              </w:rPr>
              <w:t> </w:t>
            </w:r>
            <w:r w:rsidRPr="00E316A0">
              <w:rPr>
                <w:spacing w:val="-4"/>
              </w:rPr>
              <w:t xml:space="preserve">desetinu, šlo zejména </w:t>
            </w:r>
            <w:r w:rsidR="00BC7833" w:rsidRPr="00E316A0">
              <w:rPr>
                <w:spacing w:val="-4"/>
              </w:rPr>
              <w:t>o</w:t>
            </w:r>
            <w:r w:rsidR="00BC7833">
              <w:rPr>
                <w:spacing w:val="-4"/>
              </w:rPr>
              <w:t> </w:t>
            </w:r>
            <w:r w:rsidRPr="00E316A0">
              <w:rPr>
                <w:spacing w:val="-4"/>
              </w:rPr>
              <w:t xml:space="preserve">všeobecné sestry bez specializace) </w:t>
            </w:r>
            <w:r w:rsidR="00BC7833" w:rsidRPr="00E316A0">
              <w:rPr>
                <w:spacing w:val="-4"/>
              </w:rPr>
              <w:t>a</w:t>
            </w:r>
            <w:r w:rsidR="00BC7833">
              <w:rPr>
                <w:spacing w:val="-4"/>
              </w:rPr>
              <w:t> </w:t>
            </w:r>
            <w:r w:rsidRPr="00E316A0">
              <w:rPr>
                <w:spacing w:val="-4"/>
              </w:rPr>
              <w:t xml:space="preserve">odborným pracovníkům </w:t>
            </w:r>
            <w:r w:rsidR="00BC7833" w:rsidRPr="00E316A0">
              <w:rPr>
                <w:spacing w:val="-4"/>
              </w:rPr>
              <w:t>v</w:t>
            </w:r>
            <w:r w:rsidR="00BC7833">
              <w:rPr>
                <w:spacing w:val="-4"/>
              </w:rPr>
              <w:t> </w:t>
            </w:r>
            <w:r w:rsidRPr="00E316A0">
              <w:rPr>
                <w:spacing w:val="-4"/>
              </w:rPr>
              <w:t>oblasti sociální práce. Výše mzdového mediánu v celé třídě setrvává v poslední dekádě stabilně necelou šestinu nad úrovní celé ekonomiky (bez rozdílu mezi pohlavími). Mírně nadpoloviční většin</w:t>
            </w:r>
            <w:r>
              <w:rPr>
                <w:spacing w:val="-4"/>
              </w:rPr>
              <w:t>a zaměstnanců měla střední vzdělání</w:t>
            </w:r>
            <w:r w:rsidRPr="00E316A0">
              <w:rPr>
                <w:spacing w:val="-4"/>
              </w:rPr>
              <w:t xml:space="preserve"> s maturitou, necelá třetina </w:t>
            </w:r>
            <w:r>
              <w:rPr>
                <w:spacing w:val="-4"/>
              </w:rPr>
              <w:t>pak vzdělání</w:t>
            </w:r>
            <w:r w:rsidRPr="00E316A0">
              <w:rPr>
                <w:spacing w:val="-4"/>
              </w:rPr>
              <w:t xml:space="preserve"> na terciárním stupni.</w:t>
            </w:r>
          </w:p>
        </w:tc>
      </w:tr>
      <w:tr w:rsidR="006F14C9" w14:paraId="46BC40A7" w14:textId="77777777" w:rsidTr="00A500A7">
        <w:trPr>
          <w:trHeight w:val="145"/>
        </w:trPr>
        <w:tc>
          <w:tcPr>
            <w:tcW w:w="1976" w:type="dxa"/>
            <w:tcBorders>
              <w:top w:val="nil"/>
              <w:left w:val="nil"/>
              <w:bottom w:val="nil"/>
              <w:right w:val="nil"/>
            </w:tcBorders>
          </w:tcPr>
          <w:p w14:paraId="2B7E5EAC" w14:textId="77777777" w:rsidR="006F14C9" w:rsidRDefault="006F14C9" w:rsidP="006F14C9">
            <w:pPr>
              <w:pStyle w:val="Marginlie"/>
            </w:pPr>
            <w:r>
              <w:t xml:space="preserve">Dynamika </w:t>
            </w:r>
            <w:r w:rsidR="00BC7833">
              <w:t>i </w:t>
            </w:r>
            <w:r>
              <w:t>úroveň úřednických výdělků zůstává dlouhodobě podprůměrná.</w:t>
            </w:r>
          </w:p>
        </w:tc>
        <w:tc>
          <w:tcPr>
            <w:tcW w:w="277" w:type="dxa"/>
            <w:tcBorders>
              <w:top w:val="nil"/>
              <w:left w:val="nil"/>
              <w:bottom w:val="nil"/>
              <w:right w:val="nil"/>
            </w:tcBorders>
          </w:tcPr>
          <w:p w14:paraId="2A02AC8D"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43A25C50" w14:textId="77777777" w:rsidR="006F14C9" w:rsidRPr="00E12C96" w:rsidRDefault="006F14C9" w:rsidP="006F14C9">
            <w:pPr>
              <w:spacing w:after="220"/>
              <w:rPr>
                <w:spacing w:val="-4"/>
              </w:rPr>
            </w:pPr>
            <w:r w:rsidRPr="00E12C96">
              <w:rPr>
                <w:spacing w:val="-4"/>
              </w:rPr>
              <w:t>Dynamika mzdové</w:t>
            </w:r>
            <w:r>
              <w:rPr>
                <w:spacing w:val="-4"/>
              </w:rPr>
              <w:t>ho</w:t>
            </w:r>
            <w:r w:rsidRPr="00E12C96">
              <w:rPr>
                <w:spacing w:val="-4"/>
              </w:rPr>
              <w:t xml:space="preserve"> růstu ve třídě úředníků</w:t>
            </w:r>
            <w:r w:rsidRPr="00E12C96">
              <w:rPr>
                <w:rFonts w:cs="Arial"/>
                <w:spacing w:val="-4"/>
                <w:vertAlign w:val="superscript"/>
              </w:rPr>
              <w:footnoteReference w:id="17"/>
            </w:r>
            <w:r w:rsidRPr="00E12C96">
              <w:rPr>
                <w:spacing w:val="-4"/>
              </w:rPr>
              <w:t xml:space="preserve"> v posledních sedmi letech vždy za tem</w:t>
            </w:r>
            <w:r>
              <w:rPr>
                <w:spacing w:val="-4"/>
              </w:rPr>
              <w:t>py v celé ekonomice zaostala (po většinu</w:t>
            </w:r>
            <w:r w:rsidRPr="00E12C96">
              <w:rPr>
                <w:spacing w:val="-4"/>
              </w:rPr>
              <w:t xml:space="preserve"> tohoto období byla dokonce v rámci hlavních tříd zaměstnání nejslabší). Výdělky úředníků</w:t>
            </w:r>
            <w:r>
              <w:rPr>
                <w:spacing w:val="-4"/>
              </w:rPr>
              <w:t>, jež</w:t>
            </w:r>
            <w:r w:rsidRPr="00E12C96">
              <w:rPr>
                <w:spacing w:val="-4"/>
              </w:rPr>
              <w:t xml:space="preserve"> se vyznačují relativně nízkou variabilitou,  zaostávaly za úrovní v národním hospodářstv</w:t>
            </w:r>
            <w:r>
              <w:rPr>
                <w:spacing w:val="-4"/>
              </w:rPr>
              <w:t>í o 12</w:t>
            </w:r>
            <w:r w:rsidR="006454CC">
              <w:rPr>
                <w:spacing w:val="-4"/>
              </w:rPr>
              <w:t> %</w:t>
            </w:r>
            <w:r>
              <w:rPr>
                <w:spacing w:val="-4"/>
              </w:rPr>
              <w:t xml:space="preserve">, v roce 2011 </w:t>
            </w:r>
            <w:r w:rsidR="00BC7833">
              <w:rPr>
                <w:spacing w:val="-4"/>
              </w:rPr>
              <w:t>o </w:t>
            </w:r>
            <w:r w:rsidRPr="00E12C96">
              <w:rPr>
                <w:spacing w:val="-4"/>
              </w:rPr>
              <w:t>6</w:t>
            </w:r>
            <w:r w:rsidR="006454CC">
              <w:rPr>
                <w:spacing w:val="-4"/>
              </w:rPr>
              <w:t> %</w:t>
            </w:r>
            <w:r w:rsidRPr="00E12C96">
              <w:rPr>
                <w:spacing w:val="-4"/>
              </w:rPr>
              <w:t>. Více než tři čtvrtiny úředníků tvoří dlouhodobě ženy.</w:t>
            </w:r>
            <w:r>
              <w:rPr>
                <w:spacing w:val="-4"/>
              </w:rPr>
              <w:t xml:space="preserve"> Byť</w:t>
            </w:r>
            <w:r w:rsidRPr="00E12C96">
              <w:rPr>
                <w:spacing w:val="-4"/>
              </w:rPr>
              <w:t xml:space="preserve"> většina zaměstn</w:t>
            </w:r>
            <w:r>
              <w:rPr>
                <w:spacing w:val="-4"/>
              </w:rPr>
              <w:t>ání této třídy zahrnuje vysoký</w:t>
            </w:r>
            <w:r w:rsidRPr="00E12C96">
              <w:rPr>
                <w:spacing w:val="-4"/>
              </w:rPr>
              <w:t xml:space="preserve"> podíl rutinních činnost</w:t>
            </w:r>
            <w:r>
              <w:rPr>
                <w:spacing w:val="-4"/>
              </w:rPr>
              <w:t>í, počet zaměstnaných</w:t>
            </w:r>
            <w:r w:rsidRPr="00E12C96">
              <w:rPr>
                <w:spacing w:val="-4"/>
              </w:rPr>
              <w:t xml:space="preserve"> </w:t>
            </w:r>
            <w:r>
              <w:rPr>
                <w:spacing w:val="-4"/>
              </w:rPr>
              <w:t xml:space="preserve">zde </w:t>
            </w:r>
            <w:r w:rsidRPr="00E12C96">
              <w:rPr>
                <w:spacing w:val="-4"/>
              </w:rPr>
              <w:t>dlouhodobě mírně roste</w:t>
            </w:r>
            <w:r w:rsidRPr="00E12C96">
              <w:rPr>
                <w:rFonts w:cs="Arial"/>
                <w:spacing w:val="-4"/>
                <w:vertAlign w:val="superscript"/>
              </w:rPr>
              <w:footnoteReference w:id="18"/>
            </w:r>
            <w:r w:rsidRPr="00E12C96">
              <w:rPr>
                <w:spacing w:val="-4"/>
              </w:rPr>
              <w:t>.</w:t>
            </w:r>
          </w:p>
        </w:tc>
      </w:tr>
      <w:tr w:rsidR="006F14C9" w14:paraId="5078A138" w14:textId="77777777" w:rsidTr="00A500A7">
        <w:trPr>
          <w:trHeight w:val="145"/>
        </w:trPr>
        <w:tc>
          <w:tcPr>
            <w:tcW w:w="1976" w:type="dxa"/>
            <w:tcBorders>
              <w:top w:val="nil"/>
              <w:left w:val="nil"/>
              <w:bottom w:val="nil"/>
              <w:right w:val="nil"/>
            </w:tcBorders>
          </w:tcPr>
          <w:p w14:paraId="3F092D78" w14:textId="1B4C2359" w:rsidR="006F14C9" w:rsidRDefault="006F14C9" w:rsidP="006F14C9">
            <w:pPr>
              <w:pStyle w:val="Marginlie"/>
            </w:pPr>
            <w:r>
              <w:t>Nejslabší tempo mzdového růstu měli loni kvalifikovaní pracovníci v primárním sektoru.</w:t>
            </w:r>
          </w:p>
        </w:tc>
        <w:tc>
          <w:tcPr>
            <w:tcW w:w="277" w:type="dxa"/>
            <w:tcBorders>
              <w:top w:val="nil"/>
              <w:left w:val="nil"/>
              <w:bottom w:val="nil"/>
              <w:right w:val="nil"/>
            </w:tcBorders>
          </w:tcPr>
          <w:p w14:paraId="5E223686"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61929C07" w14:textId="52F4D650" w:rsidR="006F14C9" w:rsidRPr="00E316A0" w:rsidRDefault="006F14C9" w:rsidP="006F14C9">
            <w:pPr>
              <w:spacing w:after="220"/>
              <w:rPr>
                <w:spacing w:val="-4"/>
              </w:rPr>
            </w:pPr>
            <w:r>
              <w:rPr>
                <w:spacing w:val="-4"/>
              </w:rPr>
              <w:t xml:space="preserve">Nepočetná </w:t>
            </w:r>
            <w:r w:rsidR="00BC7833">
              <w:rPr>
                <w:spacing w:val="-4"/>
              </w:rPr>
              <w:t>a </w:t>
            </w:r>
            <w:r>
              <w:rPr>
                <w:spacing w:val="-4"/>
              </w:rPr>
              <w:t xml:space="preserve">dlouhodobě velikostně stagnující skupina kvalifikovaných pracovníků v zemědělství, lesnictví </w:t>
            </w:r>
            <w:r w:rsidR="00BC7833">
              <w:rPr>
                <w:spacing w:val="-4"/>
              </w:rPr>
              <w:t>a </w:t>
            </w:r>
            <w:r>
              <w:rPr>
                <w:spacing w:val="-4"/>
              </w:rPr>
              <w:t>rybářství představovala jedinou zaměstnaneckou třídu, v níž nebyl od konce poslední recese patrný trend sílící dynamiky mezd. Jejich meziroční tempo bylo v posledních čtyřech letech podprůměrné</w:t>
            </w:r>
            <w:r w:rsidR="00061F73">
              <w:rPr>
                <w:spacing w:val="-4"/>
              </w:rPr>
              <w:t>,</w:t>
            </w:r>
            <w:r>
              <w:rPr>
                <w:spacing w:val="-4"/>
              </w:rPr>
              <w:t xml:space="preserve"> </w:t>
            </w:r>
            <w:r w:rsidR="00BC7833">
              <w:rPr>
                <w:spacing w:val="-4"/>
              </w:rPr>
              <w:t>a </w:t>
            </w:r>
            <w:r>
              <w:rPr>
                <w:spacing w:val="-4"/>
              </w:rPr>
              <w:t>loni dokonce nejslabší ze všech hlavních tříd zaměstnání (+4,4</w:t>
            </w:r>
            <w:r w:rsidR="006454CC">
              <w:rPr>
                <w:spacing w:val="-4"/>
              </w:rPr>
              <w:t> %</w:t>
            </w:r>
            <w:r>
              <w:rPr>
                <w:spacing w:val="-4"/>
              </w:rPr>
              <w:t xml:space="preserve">). Výše mzdového mediánu se nacházela téměř čtvrtinu pod úrovní celé ekonomiky </w:t>
            </w:r>
            <w:r w:rsidR="00BC7833">
              <w:rPr>
                <w:spacing w:val="-4"/>
              </w:rPr>
              <w:t>a </w:t>
            </w:r>
            <w:r>
              <w:rPr>
                <w:spacing w:val="-4"/>
              </w:rPr>
              <w:t>odpovídala nižší kvalifikační skladbě zaměstnanců (výrazná převaha vyučených bez maturity).</w:t>
            </w:r>
          </w:p>
        </w:tc>
      </w:tr>
      <w:tr w:rsidR="006F14C9" w14:paraId="234FD1EB" w14:textId="77777777" w:rsidTr="00A500A7">
        <w:trPr>
          <w:trHeight w:val="145"/>
        </w:trPr>
        <w:tc>
          <w:tcPr>
            <w:tcW w:w="1976" w:type="dxa"/>
            <w:tcBorders>
              <w:top w:val="nil"/>
              <w:left w:val="nil"/>
              <w:bottom w:val="nil"/>
              <w:right w:val="nil"/>
            </w:tcBorders>
          </w:tcPr>
          <w:p w14:paraId="3ECDB1AB" w14:textId="15CE91C2" w:rsidR="006F14C9" w:rsidRDefault="006F14C9" w:rsidP="006F14C9">
            <w:pPr>
              <w:pStyle w:val="Marginlie"/>
            </w:pPr>
            <w:r>
              <w:t>Medián mezd v ostatních třídách kvalifikovaných manuálních pracovníků zůstává dlouhodobě těsně pod úrovní celé ekonomiky.</w:t>
            </w:r>
          </w:p>
        </w:tc>
        <w:tc>
          <w:tcPr>
            <w:tcW w:w="277" w:type="dxa"/>
            <w:tcBorders>
              <w:top w:val="nil"/>
              <w:left w:val="nil"/>
              <w:bottom w:val="nil"/>
              <w:right w:val="nil"/>
            </w:tcBorders>
          </w:tcPr>
          <w:p w14:paraId="7425BC2B"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66B0AFA9" w14:textId="4EF739EE" w:rsidR="006F14C9" w:rsidRPr="00CD2028" w:rsidRDefault="006F14C9" w:rsidP="006F14C9">
            <w:pPr>
              <w:spacing w:after="220"/>
              <w:rPr>
                <w:spacing w:val="-4"/>
              </w:rPr>
            </w:pPr>
            <w:r>
              <w:rPr>
                <w:spacing w:val="-4"/>
              </w:rPr>
              <w:t>Dvě zbývající třídy zahrnující převážně kvalifikované manuální činnosti (</w:t>
            </w:r>
            <w:r w:rsidR="008A4C18">
              <w:rPr>
                <w:spacing w:val="-4"/>
              </w:rPr>
              <w:t xml:space="preserve">řemeslníci </w:t>
            </w:r>
            <w:r>
              <w:rPr>
                <w:spacing w:val="-4"/>
              </w:rPr>
              <w:t>a opraváři</w:t>
            </w:r>
            <w:r w:rsidRPr="001B219E">
              <w:rPr>
                <w:spacing w:val="-4"/>
              </w:rPr>
              <w:t xml:space="preserve">; </w:t>
            </w:r>
            <w:r w:rsidR="008A4C18">
              <w:rPr>
                <w:spacing w:val="-4"/>
              </w:rPr>
              <w:t xml:space="preserve">obsluha </w:t>
            </w:r>
            <w:r>
              <w:rPr>
                <w:spacing w:val="-4"/>
              </w:rPr>
              <w:t xml:space="preserve">strojů </w:t>
            </w:r>
            <w:r w:rsidR="00BC7833">
              <w:rPr>
                <w:spacing w:val="-4"/>
              </w:rPr>
              <w:t>a </w:t>
            </w:r>
            <w:r>
              <w:rPr>
                <w:spacing w:val="-4"/>
              </w:rPr>
              <w:t xml:space="preserve">zařízení) vykazují značné podobnosti z hlediska úrovně mezd, jejich dynamiky, nízké celkové variability </w:t>
            </w:r>
            <w:r w:rsidR="00BC7833">
              <w:rPr>
                <w:spacing w:val="-4"/>
              </w:rPr>
              <w:t>a </w:t>
            </w:r>
            <w:r>
              <w:rPr>
                <w:spacing w:val="-4"/>
              </w:rPr>
              <w:t xml:space="preserve">také početnosti </w:t>
            </w:r>
            <w:r w:rsidR="00BC7833">
              <w:rPr>
                <w:spacing w:val="-4"/>
              </w:rPr>
              <w:t>i </w:t>
            </w:r>
            <w:r>
              <w:rPr>
                <w:spacing w:val="-4"/>
              </w:rPr>
              <w:t>vzdělanostní skladby zaměstnanců</w:t>
            </w:r>
            <w:r w:rsidRPr="00E12C96">
              <w:rPr>
                <w:rFonts w:cs="Arial"/>
                <w:spacing w:val="-4"/>
                <w:vertAlign w:val="superscript"/>
              </w:rPr>
              <w:footnoteReference w:id="19"/>
            </w:r>
            <w:r>
              <w:rPr>
                <w:spacing w:val="-4"/>
              </w:rPr>
              <w:t xml:space="preserve">. Medián mezd zde v letech 2017 </w:t>
            </w:r>
            <w:r w:rsidR="003557D2">
              <w:rPr>
                <w:spacing w:val="-4"/>
              </w:rPr>
              <w:t>a</w:t>
            </w:r>
            <w:r w:rsidR="00BC7833">
              <w:rPr>
                <w:spacing w:val="-4"/>
              </w:rPr>
              <w:t> </w:t>
            </w:r>
            <w:r>
              <w:rPr>
                <w:spacing w:val="-4"/>
              </w:rPr>
              <w:t>2018 rostl tempy okolo 8</w:t>
            </w:r>
            <w:r w:rsidR="006454CC">
              <w:rPr>
                <w:spacing w:val="-4"/>
              </w:rPr>
              <w:t> %</w:t>
            </w:r>
            <w:r>
              <w:rPr>
                <w:spacing w:val="-4"/>
              </w:rPr>
              <w:t>. Na úrovni zaměstnaneckých skupin se nejvíce dařilo m</w:t>
            </w:r>
            <w:r w:rsidRPr="007F4C54">
              <w:rPr>
                <w:spacing w:val="-4"/>
              </w:rPr>
              <w:t>ontážní</w:t>
            </w:r>
            <w:r>
              <w:rPr>
                <w:spacing w:val="-4"/>
              </w:rPr>
              <w:t>m dělníkům</w:t>
            </w:r>
            <w:r w:rsidRPr="007F4C54">
              <w:rPr>
                <w:spacing w:val="-4"/>
              </w:rPr>
              <w:t xml:space="preserve"> výrobků </w:t>
            </w:r>
            <w:r w:rsidR="00BC7833" w:rsidRPr="007F4C54">
              <w:rPr>
                <w:spacing w:val="-4"/>
              </w:rPr>
              <w:t>a</w:t>
            </w:r>
            <w:r w:rsidR="00BC7833">
              <w:rPr>
                <w:spacing w:val="-4"/>
              </w:rPr>
              <w:t> </w:t>
            </w:r>
            <w:r w:rsidRPr="007F4C54">
              <w:rPr>
                <w:spacing w:val="-4"/>
              </w:rPr>
              <w:t>zařízení</w:t>
            </w:r>
            <w:r>
              <w:rPr>
                <w:spacing w:val="-4"/>
              </w:rPr>
              <w:t xml:space="preserve"> a také zpracovatelům</w:t>
            </w:r>
            <w:r w:rsidRPr="007F4C54">
              <w:rPr>
                <w:spacing w:val="-4"/>
              </w:rPr>
              <w:t xml:space="preserve"> potravin,</w:t>
            </w:r>
            <w:r>
              <w:rPr>
                <w:spacing w:val="-4"/>
              </w:rPr>
              <w:t xml:space="preserve"> dřeva </w:t>
            </w:r>
            <w:r w:rsidR="00BC7833">
              <w:rPr>
                <w:spacing w:val="-4"/>
              </w:rPr>
              <w:t>a </w:t>
            </w:r>
            <w:r w:rsidRPr="007F4C54">
              <w:rPr>
                <w:spacing w:val="-4"/>
              </w:rPr>
              <w:t>textilu</w:t>
            </w:r>
            <w:r>
              <w:rPr>
                <w:spacing w:val="-4"/>
              </w:rPr>
              <w:t>. Výše mezd se v roce 2018 nacházela mírně přes 5</w:t>
            </w:r>
            <w:r w:rsidR="006454CC">
              <w:rPr>
                <w:spacing w:val="-4"/>
              </w:rPr>
              <w:t> %</w:t>
            </w:r>
            <w:r>
              <w:rPr>
                <w:spacing w:val="-4"/>
              </w:rPr>
              <w:t xml:space="preserve"> pod úrovní národního hospodářství, za poslední dekádu se tento </w:t>
            </w:r>
            <w:r w:rsidR="003A69A0">
              <w:rPr>
                <w:spacing w:val="-4"/>
              </w:rPr>
              <w:t>od</w:t>
            </w:r>
            <w:r>
              <w:rPr>
                <w:spacing w:val="-4"/>
              </w:rPr>
              <w:t>stup prakticky nezměnil.</w:t>
            </w:r>
          </w:p>
        </w:tc>
      </w:tr>
      <w:tr w:rsidR="006F14C9" w14:paraId="6C8EEEC3" w14:textId="77777777" w:rsidTr="00A500A7">
        <w:trPr>
          <w:trHeight w:val="145"/>
        </w:trPr>
        <w:tc>
          <w:tcPr>
            <w:tcW w:w="1976" w:type="dxa"/>
            <w:tcBorders>
              <w:top w:val="nil"/>
              <w:left w:val="nil"/>
              <w:bottom w:val="nil"/>
              <w:right w:val="nil"/>
            </w:tcBorders>
          </w:tcPr>
          <w:p w14:paraId="4834F0F3" w14:textId="2EAA06C3" w:rsidR="006F14C9" w:rsidRPr="009448CC" w:rsidRDefault="006F14C9" w:rsidP="006F14C9">
            <w:pPr>
              <w:pStyle w:val="Marginlie"/>
              <w:rPr>
                <w:spacing w:val="-10"/>
              </w:rPr>
            </w:pPr>
            <w:r w:rsidRPr="009603E2">
              <w:lastRenderedPageBreak/>
              <w:t xml:space="preserve">Loňské tempo růstu mezd pomocných a nekvalifikovaných pracovníků bylo nejslabší </w:t>
            </w:r>
            <w:r w:rsidR="003557D2">
              <w:br/>
            </w:r>
            <w:r w:rsidRPr="009603E2">
              <w:t>za poslední tři roky. K</w:t>
            </w:r>
            <w:r w:rsidR="003A69A0">
              <w:t>ro</w:t>
            </w:r>
            <w:r w:rsidRPr="009603E2">
              <w:t xml:space="preserve">mě efektu minimální mzdy se projevoval </w:t>
            </w:r>
            <w:r w:rsidR="00BC7833" w:rsidRPr="009603E2">
              <w:t>i</w:t>
            </w:r>
            <w:r w:rsidR="00BC7833">
              <w:t> </w:t>
            </w:r>
            <w:r w:rsidRPr="009603E2">
              <w:t>efekt přílivu levné pracovní síly ze zahraničí</w:t>
            </w:r>
            <w:r w:rsidRPr="009448CC">
              <w:rPr>
                <w:spacing w:val="-10"/>
              </w:rPr>
              <w:t>.</w:t>
            </w:r>
          </w:p>
        </w:tc>
        <w:tc>
          <w:tcPr>
            <w:tcW w:w="277" w:type="dxa"/>
            <w:tcBorders>
              <w:top w:val="nil"/>
              <w:left w:val="nil"/>
              <w:bottom w:val="nil"/>
              <w:right w:val="nil"/>
            </w:tcBorders>
          </w:tcPr>
          <w:p w14:paraId="320C662E"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20B8CCA1" w14:textId="3E07D38C" w:rsidR="006F14C9" w:rsidRPr="00CD2028" w:rsidRDefault="006F14C9" w:rsidP="006F14C9">
            <w:pPr>
              <w:spacing w:after="220"/>
              <w:rPr>
                <w:spacing w:val="-4"/>
              </w:rPr>
            </w:pPr>
            <w:r>
              <w:rPr>
                <w:spacing w:val="-4"/>
              </w:rPr>
              <w:t xml:space="preserve">Medián mzdy ve třídě pomocných </w:t>
            </w:r>
            <w:r w:rsidR="00BC7833">
              <w:rPr>
                <w:spacing w:val="-4"/>
              </w:rPr>
              <w:t>a </w:t>
            </w:r>
            <w:r>
              <w:rPr>
                <w:spacing w:val="-4"/>
              </w:rPr>
              <w:t>nekvalifikovaných pracovníků vzrostl v roce 2018 o 6,6</w:t>
            </w:r>
            <w:r w:rsidR="006454CC">
              <w:rPr>
                <w:spacing w:val="-4"/>
              </w:rPr>
              <w:t> %</w:t>
            </w:r>
            <w:r>
              <w:rPr>
                <w:spacing w:val="-4"/>
              </w:rPr>
              <w:t xml:space="preserve">, nejslabším tempem za poslední tři roky. V letech 2016 </w:t>
            </w:r>
            <w:r w:rsidR="003A69A0">
              <w:rPr>
                <w:spacing w:val="-4"/>
              </w:rPr>
              <w:t>a</w:t>
            </w:r>
            <w:r w:rsidR="00BC7833">
              <w:rPr>
                <w:spacing w:val="-4"/>
              </w:rPr>
              <w:t> </w:t>
            </w:r>
            <w:r>
              <w:rPr>
                <w:spacing w:val="-4"/>
              </w:rPr>
              <w:t xml:space="preserve">2017 se do svižného tempa růstu výdělků promítalo navyšování minimální mzdy. Tento vliv působil </w:t>
            </w:r>
            <w:r w:rsidR="00BC7833">
              <w:rPr>
                <w:spacing w:val="-4"/>
              </w:rPr>
              <w:t>i </w:t>
            </w:r>
            <w:r>
              <w:rPr>
                <w:spacing w:val="-4"/>
              </w:rPr>
              <w:t xml:space="preserve">loni, ve vykázané výši mezd se patrně projevil méně. Jednou z příčin může být zpomalení hospodářského růstu, které na trhu práce mezi prvními obvykle pocítí nejméně kvalifikovaní zaměstnanci. Nicméně poptávka po nich zůstala </w:t>
            </w:r>
            <w:r w:rsidR="00BC7833">
              <w:rPr>
                <w:spacing w:val="-4"/>
              </w:rPr>
              <w:t>i </w:t>
            </w:r>
            <w:r>
              <w:rPr>
                <w:spacing w:val="-4"/>
              </w:rPr>
              <w:t xml:space="preserve">loni </w:t>
            </w:r>
            <w:r w:rsidR="00BC7833">
              <w:rPr>
                <w:spacing w:val="-4"/>
              </w:rPr>
              <w:t>v </w:t>
            </w:r>
            <w:r>
              <w:rPr>
                <w:spacing w:val="-4"/>
              </w:rPr>
              <w:t xml:space="preserve">tuzemské ekonomice silná </w:t>
            </w:r>
            <w:r w:rsidR="00BC7833">
              <w:rPr>
                <w:spacing w:val="-4"/>
              </w:rPr>
              <w:t>a </w:t>
            </w:r>
            <w:r>
              <w:rPr>
                <w:spacing w:val="-4"/>
              </w:rPr>
              <w:t xml:space="preserve">počet těchto pracovníků vykazoval již šest let mírně rostoucí trend, zejména </w:t>
            </w:r>
            <w:r w:rsidR="00BC7833">
              <w:rPr>
                <w:spacing w:val="-4"/>
              </w:rPr>
              <w:t>u </w:t>
            </w:r>
            <w:r>
              <w:rPr>
                <w:spacing w:val="-4"/>
              </w:rPr>
              <w:t>žen. Proti silnějšímu růstu mezd v této třídě zřejmě působila sílící pracovní migrace (zejména ze zemí mimo</w:t>
            </w:r>
            <w:r w:rsidR="003A69A0">
              <w:rPr>
                <w:spacing w:val="-4"/>
              </w:rPr>
              <w:t> </w:t>
            </w:r>
            <w:r>
              <w:rPr>
                <w:spacing w:val="-4"/>
              </w:rPr>
              <w:t>EU)</w:t>
            </w:r>
            <w:r w:rsidRPr="00E12C96">
              <w:rPr>
                <w:rFonts w:cs="Arial"/>
                <w:spacing w:val="-4"/>
                <w:vertAlign w:val="superscript"/>
              </w:rPr>
              <w:t xml:space="preserve"> </w:t>
            </w:r>
            <w:r w:rsidRPr="00E12C96">
              <w:rPr>
                <w:rFonts w:cs="Arial"/>
                <w:spacing w:val="-4"/>
                <w:vertAlign w:val="superscript"/>
              </w:rPr>
              <w:footnoteReference w:id="20"/>
            </w:r>
            <w:r>
              <w:rPr>
                <w:spacing w:val="-4"/>
              </w:rPr>
              <w:t>. Mzdový medián odrážel zpravidla velmi nízkou vzdělanostní úroveň v této třídě</w:t>
            </w:r>
            <w:r w:rsidRPr="00E12C96">
              <w:rPr>
                <w:rFonts w:cs="Arial"/>
                <w:spacing w:val="-4"/>
                <w:vertAlign w:val="superscript"/>
              </w:rPr>
              <w:footnoteReference w:id="21"/>
            </w:r>
            <w:r>
              <w:rPr>
                <w:spacing w:val="-4"/>
              </w:rPr>
              <w:t xml:space="preserve"> </w:t>
            </w:r>
            <w:r w:rsidR="00BC7833">
              <w:rPr>
                <w:spacing w:val="-4"/>
              </w:rPr>
              <w:t>a </w:t>
            </w:r>
            <w:r>
              <w:rPr>
                <w:spacing w:val="-4"/>
              </w:rPr>
              <w:t>dosahoval jen 61</w:t>
            </w:r>
            <w:r w:rsidR="006454CC">
              <w:rPr>
                <w:spacing w:val="-4"/>
              </w:rPr>
              <w:t> %</w:t>
            </w:r>
            <w:r>
              <w:rPr>
                <w:spacing w:val="-4"/>
              </w:rPr>
              <w:t xml:space="preserve"> výše celé ekonomiky. Za poslední dekádu se tento odstup nezměnil. Hrubou měsíční mzdu nižší než 1</w:t>
            </w:r>
            <w:r w:rsidR="00D82A1E">
              <w:rPr>
                <w:spacing w:val="-4"/>
              </w:rPr>
              <w:t>5 </w:t>
            </w:r>
            <w:r>
              <w:rPr>
                <w:spacing w:val="-4"/>
              </w:rPr>
              <w:t>tis. korun pobíralo v této třídě v roce 2018 okolo 30</w:t>
            </w:r>
            <w:r w:rsidR="006454CC">
              <w:rPr>
                <w:spacing w:val="-4"/>
              </w:rPr>
              <w:t> %</w:t>
            </w:r>
            <w:r>
              <w:rPr>
                <w:spacing w:val="-4"/>
              </w:rPr>
              <w:t xml:space="preserve"> zaměstnanců </w:t>
            </w:r>
            <w:r w:rsidR="00BC7833">
              <w:rPr>
                <w:spacing w:val="-4"/>
              </w:rPr>
              <w:t>a </w:t>
            </w:r>
            <w:r>
              <w:rPr>
                <w:spacing w:val="-4"/>
              </w:rPr>
              <w:t>jen necelých 5</w:t>
            </w:r>
            <w:r w:rsidR="006454CC">
              <w:rPr>
                <w:spacing w:val="-4"/>
              </w:rPr>
              <w:t> %</w:t>
            </w:r>
            <w:r>
              <w:rPr>
                <w:spacing w:val="-4"/>
              </w:rPr>
              <w:t xml:space="preserve"> bylo odměněno mzdou převyšující průměr v celé ekonomice </w:t>
            </w:r>
            <w:r w:rsidRPr="000A0030">
              <w:rPr>
                <w:spacing w:val="-4"/>
              </w:rPr>
              <w:t xml:space="preserve">Na úrovni zaměstnaneckých skupin dosahovali nejnižších průměrných výdělků uklízeči </w:t>
            </w:r>
            <w:r w:rsidR="00BC7833" w:rsidRPr="000A0030">
              <w:rPr>
                <w:spacing w:val="-4"/>
              </w:rPr>
              <w:t>a</w:t>
            </w:r>
            <w:r w:rsidR="00BC7833">
              <w:rPr>
                <w:spacing w:val="-4"/>
              </w:rPr>
              <w:t> </w:t>
            </w:r>
            <w:r w:rsidRPr="000A0030">
              <w:rPr>
                <w:spacing w:val="-4"/>
              </w:rPr>
              <w:t>pomocníci (16,</w:t>
            </w:r>
            <w:r w:rsidR="00D82A1E" w:rsidRPr="000A0030">
              <w:rPr>
                <w:spacing w:val="-4"/>
              </w:rPr>
              <w:t>3</w:t>
            </w:r>
            <w:r w:rsidR="00D82A1E">
              <w:rPr>
                <w:spacing w:val="-4"/>
              </w:rPr>
              <w:t> </w:t>
            </w:r>
            <w:r w:rsidRPr="000A0030">
              <w:rPr>
                <w:spacing w:val="-4"/>
              </w:rPr>
              <w:t xml:space="preserve">tis. korun), </w:t>
            </w:r>
            <w:r>
              <w:rPr>
                <w:spacing w:val="-4"/>
              </w:rPr>
              <w:t xml:space="preserve">naopak </w:t>
            </w:r>
            <w:r w:rsidR="003A69A0">
              <w:rPr>
                <w:spacing w:val="-4"/>
              </w:rPr>
              <w:t>nejvyšších</w:t>
            </w:r>
            <w:r w:rsidR="003A69A0" w:rsidRPr="000A0030">
              <w:rPr>
                <w:spacing w:val="-4"/>
              </w:rPr>
              <w:t xml:space="preserve"> </w:t>
            </w:r>
            <w:r w:rsidRPr="000A0030">
              <w:rPr>
                <w:spacing w:val="-4"/>
              </w:rPr>
              <w:t xml:space="preserve">pomocní pracovníci v oblasti těžby, stavebnictví, výroby </w:t>
            </w:r>
            <w:r w:rsidR="00BC7833" w:rsidRPr="000A0030">
              <w:rPr>
                <w:spacing w:val="-4"/>
              </w:rPr>
              <w:t>a</w:t>
            </w:r>
            <w:r w:rsidR="00BC7833">
              <w:rPr>
                <w:spacing w:val="-4"/>
              </w:rPr>
              <w:t> </w:t>
            </w:r>
            <w:r w:rsidRPr="000A0030">
              <w:rPr>
                <w:spacing w:val="-4"/>
              </w:rPr>
              <w:t>dopravy (22,6</w:t>
            </w:r>
            <w:r>
              <w:rPr>
                <w:spacing w:val="-4"/>
              </w:rPr>
              <w:t> </w:t>
            </w:r>
            <w:r w:rsidRPr="000A0030">
              <w:rPr>
                <w:spacing w:val="-4"/>
              </w:rPr>
              <w:t>tis. korun).</w:t>
            </w:r>
          </w:p>
        </w:tc>
      </w:tr>
      <w:tr w:rsidR="006F14C9" w14:paraId="5871F63A" w14:textId="77777777" w:rsidTr="00A500A7">
        <w:trPr>
          <w:trHeight w:val="145"/>
        </w:trPr>
        <w:tc>
          <w:tcPr>
            <w:tcW w:w="1976" w:type="dxa"/>
            <w:tcBorders>
              <w:top w:val="nil"/>
              <w:left w:val="nil"/>
              <w:bottom w:val="nil"/>
              <w:right w:val="nil"/>
            </w:tcBorders>
          </w:tcPr>
          <w:p w14:paraId="426AAA79" w14:textId="77777777" w:rsidR="006F14C9" w:rsidRDefault="006F14C9" w:rsidP="006F14C9">
            <w:pPr>
              <w:pStyle w:val="Marginlie"/>
            </w:pPr>
          </w:p>
        </w:tc>
        <w:tc>
          <w:tcPr>
            <w:tcW w:w="277" w:type="dxa"/>
            <w:tcBorders>
              <w:top w:val="nil"/>
              <w:left w:val="nil"/>
              <w:bottom w:val="nil"/>
              <w:right w:val="nil"/>
            </w:tcBorders>
          </w:tcPr>
          <w:p w14:paraId="111AB2B6"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48469FEC" w14:textId="1167DCB7" w:rsidR="006F14C9" w:rsidRPr="00CD2028" w:rsidRDefault="006F14C9" w:rsidP="006F14C9">
            <w:pPr>
              <w:spacing w:after="0"/>
              <w:rPr>
                <w:spacing w:val="-4"/>
              </w:rPr>
            </w:pPr>
            <w:r>
              <w:rPr>
                <w:b/>
              </w:rPr>
              <w:t xml:space="preserve">Graf </w:t>
            </w:r>
            <w:r w:rsidR="00BA35F3">
              <w:rPr>
                <w:b/>
              </w:rPr>
              <w:t>č. </w:t>
            </w:r>
            <w:r w:rsidR="00306AD7">
              <w:rPr>
                <w:b/>
              </w:rPr>
              <w:t>2</w:t>
            </w:r>
            <w:r>
              <w:rPr>
                <w:b/>
              </w:rPr>
              <w:t>8</w:t>
            </w:r>
            <w:r w:rsidRPr="003601A5">
              <w:rPr>
                <w:b/>
              </w:rPr>
              <w:t xml:space="preserve">  </w:t>
            </w:r>
            <w:r>
              <w:rPr>
                <w:b/>
              </w:rPr>
              <w:t xml:space="preserve">Poměr průměrných mezd žen </w:t>
            </w:r>
            <w:r w:rsidR="00BC7833">
              <w:rPr>
                <w:b/>
              </w:rPr>
              <w:t>a </w:t>
            </w:r>
            <w:r>
              <w:rPr>
                <w:b/>
              </w:rPr>
              <w:t xml:space="preserve">mužů dle vybraných stupňů vzdělání v rámci hlavních kvalifikačních tříd </w:t>
            </w:r>
            <w:r w:rsidRPr="004A3E80">
              <w:t>(mzdy mužů</w:t>
            </w:r>
            <w:r>
              <w:t xml:space="preserve"> v rámci dané skupiny</w:t>
            </w:r>
            <w:r w:rsidR="00AF7180">
              <w:t xml:space="preserve"> </w:t>
            </w:r>
            <w:r w:rsidRPr="004A3E80">
              <w:t>=</w:t>
            </w:r>
            <w:r w:rsidR="00AF7180">
              <w:t xml:space="preserve"> </w:t>
            </w:r>
            <w:r w:rsidRPr="004A3E80">
              <w:t>100)</w:t>
            </w:r>
          </w:p>
        </w:tc>
      </w:tr>
      <w:tr w:rsidR="006F14C9" w14:paraId="14A23A50" w14:textId="77777777" w:rsidTr="001435B3">
        <w:tblPrEx>
          <w:tblCellMar>
            <w:left w:w="70" w:type="dxa"/>
            <w:right w:w="70" w:type="dxa"/>
          </w:tblCellMar>
        </w:tblPrEx>
        <w:trPr>
          <w:trHeight w:val="145"/>
        </w:trPr>
        <w:tc>
          <w:tcPr>
            <w:tcW w:w="1976" w:type="dxa"/>
            <w:tcBorders>
              <w:top w:val="nil"/>
              <w:left w:val="nil"/>
              <w:bottom w:val="nil"/>
              <w:right w:val="nil"/>
            </w:tcBorders>
          </w:tcPr>
          <w:p w14:paraId="26FFF294" w14:textId="77777777" w:rsidR="006F14C9" w:rsidRDefault="006F14C9" w:rsidP="006F14C9">
            <w:pPr>
              <w:pStyle w:val="Marginlie"/>
            </w:pPr>
          </w:p>
        </w:tc>
        <w:tc>
          <w:tcPr>
            <w:tcW w:w="277" w:type="dxa"/>
            <w:tcBorders>
              <w:top w:val="nil"/>
              <w:left w:val="nil"/>
              <w:bottom w:val="nil"/>
              <w:right w:val="nil"/>
            </w:tcBorders>
          </w:tcPr>
          <w:p w14:paraId="4409D3A2"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4808CCB6" w14:textId="1A0E895D" w:rsidR="006F14C9" w:rsidRPr="00CD2028" w:rsidRDefault="001435B3" w:rsidP="006F14C9">
            <w:pPr>
              <w:spacing w:after="0"/>
              <w:rPr>
                <w:spacing w:val="-4"/>
              </w:rPr>
            </w:pPr>
            <w:r>
              <w:rPr>
                <w:noProof/>
              </w:rPr>
              <w:drawing>
                <wp:inline distT="0" distB="0" distL="0" distR="0" wp14:anchorId="3AB87F1D" wp14:editId="15E1B7FA">
                  <wp:extent cx="4604385" cy="3348355"/>
                  <wp:effectExtent l="0" t="0" r="5715" b="4445"/>
                  <wp:docPr id="74" name="Graf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6F14C9" w14:paraId="5851A2E1" w14:textId="77777777" w:rsidTr="00A500A7">
        <w:trPr>
          <w:trHeight w:val="145"/>
        </w:trPr>
        <w:tc>
          <w:tcPr>
            <w:tcW w:w="1976" w:type="dxa"/>
            <w:tcBorders>
              <w:top w:val="nil"/>
              <w:left w:val="nil"/>
              <w:bottom w:val="nil"/>
              <w:right w:val="nil"/>
            </w:tcBorders>
          </w:tcPr>
          <w:p w14:paraId="2EA3BA86" w14:textId="77777777" w:rsidR="006F14C9" w:rsidRDefault="006F14C9" w:rsidP="006F14C9">
            <w:pPr>
              <w:pStyle w:val="Marginlie"/>
            </w:pPr>
          </w:p>
        </w:tc>
        <w:tc>
          <w:tcPr>
            <w:tcW w:w="277" w:type="dxa"/>
            <w:tcBorders>
              <w:top w:val="nil"/>
              <w:left w:val="nil"/>
              <w:bottom w:val="nil"/>
              <w:right w:val="nil"/>
            </w:tcBorders>
          </w:tcPr>
          <w:p w14:paraId="5A3767A4"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1A8FEAED" w14:textId="01F3BA72" w:rsidR="006F14C9" w:rsidRDefault="006F14C9" w:rsidP="006F14C9">
            <w:pPr>
              <w:spacing w:after="0"/>
              <w:rPr>
                <w:rFonts w:cs="Arial"/>
                <w:sz w:val="14"/>
                <w:szCs w:val="14"/>
              </w:rPr>
            </w:pPr>
            <w:r>
              <w:rPr>
                <w:rFonts w:cs="Arial"/>
                <w:sz w:val="14"/>
                <w:szCs w:val="14"/>
              </w:rPr>
              <w:t>Pozn</w:t>
            </w:r>
            <w:r w:rsidR="00AF7180">
              <w:rPr>
                <w:rFonts w:cs="Arial"/>
                <w:sz w:val="14"/>
                <w:szCs w:val="14"/>
              </w:rPr>
              <w:t>.</w:t>
            </w:r>
            <w:r>
              <w:rPr>
                <w:rFonts w:cs="Arial"/>
                <w:sz w:val="14"/>
                <w:szCs w:val="14"/>
              </w:rPr>
              <w:t>: třída</w:t>
            </w:r>
            <w:r w:rsidR="00AF7180">
              <w:rPr>
                <w:rFonts w:cs="Arial"/>
                <w:sz w:val="14"/>
                <w:szCs w:val="14"/>
              </w:rPr>
              <w:t> </w:t>
            </w:r>
            <w:r w:rsidR="00BC7833">
              <w:rPr>
                <w:rFonts w:cs="Arial"/>
                <w:sz w:val="14"/>
                <w:szCs w:val="14"/>
              </w:rPr>
              <w:t>6</w:t>
            </w:r>
            <w:r w:rsidR="00AF7180">
              <w:rPr>
                <w:rFonts w:cs="Arial"/>
                <w:sz w:val="14"/>
                <w:szCs w:val="14"/>
              </w:rPr>
              <w:t xml:space="preserve"> </w:t>
            </w:r>
            <w:r>
              <w:rPr>
                <w:rFonts w:cs="Arial"/>
                <w:sz w:val="14"/>
                <w:szCs w:val="14"/>
              </w:rPr>
              <w:t>–</w:t>
            </w:r>
            <w:r w:rsidR="00AF7180">
              <w:rPr>
                <w:rFonts w:cs="Arial"/>
                <w:sz w:val="14"/>
                <w:szCs w:val="14"/>
              </w:rPr>
              <w:t> </w:t>
            </w:r>
            <w:r w:rsidRPr="00E42E3B">
              <w:rPr>
                <w:rFonts w:cs="Arial"/>
                <w:sz w:val="14"/>
                <w:szCs w:val="14"/>
              </w:rPr>
              <w:t xml:space="preserve">Kvalifikovaní pracovníci </w:t>
            </w:r>
            <w:r w:rsidR="00BC7833" w:rsidRPr="00E42E3B">
              <w:rPr>
                <w:rFonts w:cs="Arial"/>
                <w:sz w:val="14"/>
                <w:szCs w:val="14"/>
              </w:rPr>
              <w:t>v</w:t>
            </w:r>
            <w:r w:rsidR="00BC7833">
              <w:rPr>
                <w:rFonts w:cs="Arial"/>
                <w:sz w:val="14"/>
                <w:szCs w:val="14"/>
              </w:rPr>
              <w:t> </w:t>
            </w:r>
            <w:r w:rsidRPr="00E42E3B">
              <w:rPr>
                <w:rFonts w:cs="Arial"/>
                <w:sz w:val="14"/>
                <w:szCs w:val="14"/>
              </w:rPr>
              <w:t xml:space="preserve">zemědělství, lesnictví </w:t>
            </w:r>
            <w:r w:rsidR="00BC7833" w:rsidRPr="00E42E3B">
              <w:rPr>
                <w:rFonts w:cs="Arial"/>
                <w:sz w:val="14"/>
                <w:szCs w:val="14"/>
              </w:rPr>
              <w:t>a</w:t>
            </w:r>
            <w:r w:rsidR="00BC7833">
              <w:rPr>
                <w:rFonts w:cs="Arial"/>
                <w:sz w:val="14"/>
                <w:szCs w:val="14"/>
              </w:rPr>
              <w:t> </w:t>
            </w:r>
            <w:r w:rsidRPr="00E42E3B">
              <w:rPr>
                <w:rFonts w:cs="Arial"/>
                <w:sz w:val="14"/>
                <w:szCs w:val="14"/>
              </w:rPr>
              <w:t>rybářství</w:t>
            </w:r>
            <w:r w:rsidR="00AF7180">
              <w:rPr>
                <w:rFonts w:cs="Arial"/>
                <w:sz w:val="14"/>
                <w:szCs w:val="14"/>
              </w:rPr>
              <w:t>;</w:t>
            </w:r>
            <w:r>
              <w:rPr>
                <w:rFonts w:cs="Arial"/>
                <w:sz w:val="14"/>
                <w:szCs w:val="14"/>
              </w:rPr>
              <w:t xml:space="preserve"> třída</w:t>
            </w:r>
            <w:r w:rsidR="00AF7180">
              <w:rPr>
                <w:rFonts w:cs="Arial"/>
                <w:sz w:val="14"/>
                <w:szCs w:val="14"/>
              </w:rPr>
              <w:t> </w:t>
            </w:r>
            <w:r w:rsidR="00BC7833">
              <w:rPr>
                <w:rFonts w:cs="Arial"/>
                <w:sz w:val="14"/>
                <w:szCs w:val="14"/>
              </w:rPr>
              <w:t>0</w:t>
            </w:r>
            <w:r w:rsidR="00AF7180">
              <w:rPr>
                <w:rFonts w:cs="Arial"/>
                <w:sz w:val="14"/>
                <w:szCs w:val="14"/>
              </w:rPr>
              <w:t xml:space="preserve"> </w:t>
            </w:r>
            <w:r>
              <w:rPr>
                <w:rFonts w:cs="Arial"/>
                <w:sz w:val="14"/>
                <w:szCs w:val="14"/>
              </w:rPr>
              <w:t>–</w:t>
            </w:r>
            <w:r w:rsidR="00AF7180">
              <w:rPr>
                <w:rFonts w:cs="Arial"/>
                <w:sz w:val="14"/>
                <w:szCs w:val="14"/>
              </w:rPr>
              <w:t> </w:t>
            </w:r>
            <w:r w:rsidRPr="00E42E3B">
              <w:rPr>
                <w:rFonts w:cs="Arial"/>
                <w:sz w:val="14"/>
                <w:szCs w:val="14"/>
              </w:rPr>
              <w:t xml:space="preserve">Zaměstnanci </w:t>
            </w:r>
            <w:r w:rsidR="00BC7833" w:rsidRPr="00E42E3B">
              <w:rPr>
                <w:rFonts w:cs="Arial"/>
                <w:sz w:val="14"/>
                <w:szCs w:val="14"/>
              </w:rPr>
              <w:t>v</w:t>
            </w:r>
            <w:r w:rsidR="00BC7833">
              <w:rPr>
                <w:rFonts w:cs="Arial"/>
                <w:sz w:val="14"/>
                <w:szCs w:val="14"/>
              </w:rPr>
              <w:t> </w:t>
            </w:r>
            <w:r w:rsidRPr="00E42E3B">
              <w:rPr>
                <w:rFonts w:cs="Arial"/>
                <w:sz w:val="14"/>
                <w:szCs w:val="14"/>
              </w:rPr>
              <w:t>ozbrojených silách</w:t>
            </w:r>
            <w:r>
              <w:rPr>
                <w:rFonts w:cs="Arial"/>
                <w:sz w:val="14"/>
                <w:szCs w:val="14"/>
              </w:rPr>
              <w:t>.</w:t>
            </w:r>
          </w:p>
          <w:p w14:paraId="1E34529A" w14:textId="77777777" w:rsidR="006F14C9" w:rsidRPr="00CD2028" w:rsidRDefault="006F14C9" w:rsidP="006F14C9">
            <w:pPr>
              <w:spacing w:after="220"/>
              <w:rPr>
                <w:spacing w:val="-2"/>
              </w:rPr>
            </w:pPr>
            <w:r w:rsidRPr="00444E6D">
              <w:rPr>
                <w:rFonts w:cs="Arial"/>
                <w:sz w:val="14"/>
                <w:szCs w:val="14"/>
              </w:rPr>
              <w:t xml:space="preserve">Zdroj: </w:t>
            </w:r>
            <w:r>
              <w:rPr>
                <w:rFonts w:cs="Arial"/>
                <w:sz w:val="14"/>
                <w:szCs w:val="14"/>
              </w:rPr>
              <w:t xml:space="preserve">MPSV </w:t>
            </w:r>
            <w:r w:rsidR="00BC7833">
              <w:rPr>
                <w:rFonts w:cs="Arial"/>
                <w:sz w:val="14"/>
                <w:szCs w:val="14"/>
              </w:rPr>
              <w:t>a </w:t>
            </w:r>
            <w:r>
              <w:rPr>
                <w:rFonts w:cs="Arial"/>
                <w:sz w:val="14"/>
                <w:szCs w:val="14"/>
              </w:rPr>
              <w:t>ČSÚ (Strukturální mzdová statistika)</w:t>
            </w:r>
          </w:p>
        </w:tc>
      </w:tr>
      <w:tr w:rsidR="006F14C9" w:rsidRPr="005A2E40" w14:paraId="3CFD7691" w14:textId="77777777" w:rsidTr="00A500A7">
        <w:trPr>
          <w:trHeight w:val="429"/>
        </w:trPr>
        <w:tc>
          <w:tcPr>
            <w:tcW w:w="1976" w:type="dxa"/>
            <w:tcBorders>
              <w:top w:val="nil"/>
              <w:left w:val="nil"/>
              <w:bottom w:val="nil"/>
              <w:right w:val="nil"/>
            </w:tcBorders>
          </w:tcPr>
          <w:p w14:paraId="4EE26FC6" w14:textId="77777777" w:rsidR="006F14C9" w:rsidRDefault="006F14C9" w:rsidP="006F14C9">
            <w:pPr>
              <w:pStyle w:val="Marginlie"/>
            </w:pPr>
            <w:r>
              <w:t xml:space="preserve">Nejnižší absolutní </w:t>
            </w:r>
            <w:r w:rsidR="00BC7833">
              <w:t>i </w:t>
            </w:r>
            <w:r>
              <w:t>relativní odstup mediánových mezd od mužů měly ženy ve třídě pracovníci ve službách a prodeji.</w:t>
            </w:r>
          </w:p>
          <w:p w14:paraId="5FE6D732" w14:textId="77777777" w:rsidR="006F14C9" w:rsidRDefault="006F14C9" w:rsidP="006F14C9">
            <w:pPr>
              <w:pStyle w:val="Marginlie"/>
            </w:pPr>
          </w:p>
          <w:p w14:paraId="35DA71F4" w14:textId="77777777" w:rsidR="006F14C9" w:rsidRDefault="006F14C9" w:rsidP="006F14C9">
            <w:pPr>
              <w:pStyle w:val="Marginlie"/>
            </w:pPr>
          </w:p>
          <w:p w14:paraId="185280D9" w14:textId="77777777" w:rsidR="006F14C9" w:rsidRDefault="006F14C9" w:rsidP="006F14C9">
            <w:pPr>
              <w:pStyle w:val="Marginlie"/>
            </w:pPr>
          </w:p>
          <w:p w14:paraId="3025CB31" w14:textId="77777777" w:rsidR="006F14C9" w:rsidRDefault="006F14C9" w:rsidP="006F14C9">
            <w:pPr>
              <w:pStyle w:val="Marginlie"/>
            </w:pPr>
          </w:p>
          <w:p w14:paraId="34F0DFC8" w14:textId="77777777" w:rsidR="006F14C9" w:rsidRDefault="006F14C9" w:rsidP="006F14C9">
            <w:pPr>
              <w:pStyle w:val="Marginlie"/>
            </w:pPr>
          </w:p>
          <w:p w14:paraId="17C5D25A" w14:textId="77777777" w:rsidR="006F14C9" w:rsidRPr="00106639" w:rsidRDefault="006F14C9" w:rsidP="006F14C9">
            <w:pPr>
              <w:pStyle w:val="Marginlie"/>
            </w:pPr>
            <w:r>
              <w:lastRenderedPageBreak/>
              <w:t>Konvergence výše výdělků mezi pohlavími probíhá pomalu, viditelnější byla u méně kvalifikovaných činností.</w:t>
            </w:r>
          </w:p>
        </w:tc>
        <w:tc>
          <w:tcPr>
            <w:tcW w:w="277" w:type="dxa"/>
            <w:tcBorders>
              <w:top w:val="nil"/>
              <w:left w:val="nil"/>
              <w:bottom w:val="nil"/>
              <w:right w:val="nil"/>
            </w:tcBorders>
          </w:tcPr>
          <w:p w14:paraId="1B23803E"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3BFB912E" w14:textId="6D771D9B" w:rsidR="006F14C9" w:rsidRPr="003D7E4E" w:rsidRDefault="006F14C9" w:rsidP="006F14C9">
            <w:pPr>
              <w:spacing w:after="220"/>
              <w:rPr>
                <w:spacing w:val="-3"/>
              </w:rPr>
            </w:pPr>
            <w:r w:rsidRPr="00633083">
              <w:rPr>
                <w:spacing w:val="-4"/>
              </w:rPr>
              <w:t>Medián mezd žen činil v roce 2018 necelých 85</w:t>
            </w:r>
            <w:r w:rsidR="006454CC">
              <w:rPr>
                <w:spacing w:val="-4"/>
              </w:rPr>
              <w:t> %</w:t>
            </w:r>
            <w:r w:rsidRPr="00633083">
              <w:rPr>
                <w:spacing w:val="-4"/>
              </w:rPr>
              <w:t xml:space="preserve"> úrovně mužů, v absolutním vyjádření se jednalo </w:t>
            </w:r>
            <w:r w:rsidR="00BC7833" w:rsidRPr="00633083">
              <w:rPr>
                <w:spacing w:val="-4"/>
              </w:rPr>
              <w:t>o</w:t>
            </w:r>
            <w:r w:rsidR="00BC7833">
              <w:rPr>
                <w:spacing w:val="-4"/>
              </w:rPr>
              <w:t> </w:t>
            </w:r>
            <w:r w:rsidR="00D82A1E" w:rsidRPr="00633083">
              <w:rPr>
                <w:spacing w:val="-4"/>
              </w:rPr>
              <w:t>4</w:t>
            </w:r>
            <w:r w:rsidR="00D82A1E">
              <w:rPr>
                <w:spacing w:val="-4"/>
              </w:rPr>
              <w:t> </w:t>
            </w:r>
            <w:r w:rsidRPr="00633083">
              <w:rPr>
                <w:spacing w:val="-4"/>
              </w:rPr>
              <w:t>75</w:t>
            </w:r>
            <w:r w:rsidR="00D82A1E" w:rsidRPr="00633083">
              <w:rPr>
                <w:spacing w:val="-4"/>
              </w:rPr>
              <w:t>5</w:t>
            </w:r>
            <w:r w:rsidR="00D82A1E">
              <w:rPr>
                <w:spacing w:val="-4"/>
              </w:rPr>
              <w:t> </w:t>
            </w:r>
            <w:r w:rsidRPr="00633083">
              <w:rPr>
                <w:spacing w:val="-4"/>
              </w:rPr>
              <w:t>korun</w:t>
            </w:r>
            <w:r>
              <w:rPr>
                <w:spacing w:val="-4"/>
              </w:rPr>
              <w:t xml:space="preserve"> (na hrubé měsíční mzdě). V rámci hlavních tříd zaměstnání existují </w:t>
            </w:r>
            <w:r w:rsidR="008329A1">
              <w:rPr>
                <w:spacing w:val="-4"/>
              </w:rPr>
              <w:t xml:space="preserve">ve </w:t>
            </w:r>
            <w:r>
              <w:rPr>
                <w:spacing w:val="-4"/>
              </w:rPr>
              <w:t>výš</w:t>
            </w:r>
            <w:r w:rsidR="008329A1">
              <w:rPr>
                <w:spacing w:val="-4"/>
              </w:rPr>
              <w:t>i</w:t>
            </w:r>
            <w:r>
              <w:rPr>
                <w:spacing w:val="-4"/>
              </w:rPr>
              <w:t xml:space="preserve"> výdělků mezi pohlavími významnější rozdíly. Zatímco u</w:t>
            </w:r>
            <w:r w:rsidRPr="00633083">
              <w:rPr>
                <w:spacing w:val="-4"/>
              </w:rPr>
              <w:t> </w:t>
            </w:r>
            <w:r>
              <w:rPr>
                <w:spacing w:val="-4"/>
              </w:rPr>
              <w:t xml:space="preserve">pracovníků ve službách </w:t>
            </w:r>
            <w:r w:rsidR="00BC7833">
              <w:rPr>
                <w:spacing w:val="-4"/>
              </w:rPr>
              <w:t>a </w:t>
            </w:r>
            <w:r>
              <w:rPr>
                <w:spacing w:val="-4"/>
              </w:rPr>
              <w:t xml:space="preserve">prodeji (kde skoro dvě třetiny zaměstnanců tvoří ženy) dosahoval rozdíl necelých tisíc korun, v kategorii zákonodárců </w:t>
            </w:r>
            <w:r w:rsidR="00BC7833">
              <w:rPr>
                <w:spacing w:val="-4"/>
              </w:rPr>
              <w:t>a </w:t>
            </w:r>
            <w:r>
              <w:rPr>
                <w:spacing w:val="-4"/>
              </w:rPr>
              <w:t xml:space="preserve">vedoucích </w:t>
            </w:r>
            <w:r w:rsidR="00BC7833">
              <w:rPr>
                <w:spacing w:val="-4"/>
              </w:rPr>
              <w:t>a </w:t>
            </w:r>
            <w:r>
              <w:rPr>
                <w:spacing w:val="-4"/>
              </w:rPr>
              <w:t>řídí</w:t>
            </w:r>
            <w:r w:rsidR="005127B1">
              <w:rPr>
                <w:spacing w:val="-4"/>
              </w:rPr>
              <w:t>cí</w:t>
            </w:r>
            <w:r>
              <w:rPr>
                <w:spacing w:val="-4"/>
              </w:rPr>
              <w:t>ch pracovníků (kde v podobném poměru převládají muži) byl více než desetinásobný. V procentním vyjádření byl ale odstup ženských výdělků od mužských nejvyšší u pomocných a nekvalifikovaných pracovníků (22</w:t>
            </w:r>
            <w:r w:rsidR="006454CC">
              <w:rPr>
                <w:spacing w:val="-4"/>
              </w:rPr>
              <w:t> %</w:t>
            </w:r>
            <w:r>
              <w:rPr>
                <w:spacing w:val="-4"/>
              </w:rPr>
              <w:t xml:space="preserve">). Mezi roky 2011 </w:t>
            </w:r>
            <w:r w:rsidR="00BC7833">
              <w:rPr>
                <w:spacing w:val="-4"/>
              </w:rPr>
              <w:t>a </w:t>
            </w:r>
            <w:r>
              <w:rPr>
                <w:spacing w:val="-4"/>
              </w:rPr>
              <w:t>2018 se tento odstup v celé ekonomice snížil z</w:t>
            </w:r>
            <w:r w:rsidR="008329A1">
              <w:rPr>
                <w:spacing w:val="-4"/>
              </w:rPr>
              <w:t xml:space="preserve">e </w:t>
            </w:r>
            <w:r>
              <w:rPr>
                <w:spacing w:val="-4"/>
              </w:rPr>
              <w:t>16</w:t>
            </w:r>
            <w:r w:rsidR="006454CC">
              <w:rPr>
                <w:spacing w:val="-4"/>
              </w:rPr>
              <w:t> %</w:t>
            </w:r>
            <w:r>
              <w:rPr>
                <w:spacing w:val="-4"/>
              </w:rPr>
              <w:t xml:space="preserve"> na 15</w:t>
            </w:r>
            <w:r w:rsidR="006454CC">
              <w:rPr>
                <w:spacing w:val="-4"/>
              </w:rPr>
              <w:t> %</w:t>
            </w:r>
            <w:r>
              <w:rPr>
                <w:spacing w:val="-4"/>
              </w:rPr>
              <w:t xml:space="preserve">, </w:t>
            </w:r>
            <w:r w:rsidR="00BC7833">
              <w:rPr>
                <w:spacing w:val="-4"/>
              </w:rPr>
              <w:t>a </w:t>
            </w:r>
            <w:r>
              <w:rPr>
                <w:spacing w:val="-4"/>
              </w:rPr>
              <w:t xml:space="preserve">to výhradně zásluhou konvergenčního vývoje </w:t>
            </w:r>
            <w:r>
              <w:rPr>
                <w:spacing w:val="-4"/>
              </w:rPr>
              <w:lastRenderedPageBreak/>
              <w:t xml:space="preserve">v posledních třech letech. Na úrovni jednotlivých tříd byla za posledních sedm let konvergence patrná spíše </w:t>
            </w:r>
            <w:r w:rsidR="00BC7833">
              <w:rPr>
                <w:spacing w:val="-4"/>
              </w:rPr>
              <w:t>u </w:t>
            </w:r>
            <w:r>
              <w:rPr>
                <w:spacing w:val="-4"/>
              </w:rPr>
              <w:t xml:space="preserve">méně kvalifikovaných činností. U montérů </w:t>
            </w:r>
            <w:r w:rsidR="00BC7833">
              <w:rPr>
                <w:spacing w:val="-4"/>
              </w:rPr>
              <w:t>a </w:t>
            </w:r>
            <w:r>
              <w:rPr>
                <w:spacing w:val="-4"/>
              </w:rPr>
              <w:t xml:space="preserve">obsluhy strojů </w:t>
            </w:r>
            <w:r w:rsidR="00BC7833">
              <w:rPr>
                <w:spacing w:val="-4"/>
              </w:rPr>
              <w:t>a </w:t>
            </w:r>
            <w:r>
              <w:rPr>
                <w:spacing w:val="-4"/>
              </w:rPr>
              <w:t>zařízení se odstup snížil z 22</w:t>
            </w:r>
            <w:r w:rsidR="006454CC">
              <w:rPr>
                <w:spacing w:val="-4"/>
              </w:rPr>
              <w:t> %</w:t>
            </w:r>
            <w:r>
              <w:rPr>
                <w:spacing w:val="-4"/>
              </w:rPr>
              <w:t xml:space="preserve"> na 15</w:t>
            </w:r>
            <w:r w:rsidR="006454CC">
              <w:rPr>
                <w:spacing w:val="-4"/>
              </w:rPr>
              <w:t> %</w:t>
            </w:r>
            <w:r>
              <w:rPr>
                <w:spacing w:val="-4"/>
              </w:rPr>
              <w:t xml:space="preserve">, </w:t>
            </w:r>
            <w:r w:rsidR="00BC7833">
              <w:rPr>
                <w:spacing w:val="-4"/>
              </w:rPr>
              <w:t>u </w:t>
            </w:r>
            <w:r>
              <w:rPr>
                <w:spacing w:val="-4"/>
              </w:rPr>
              <w:t>řemeslníků a opravářů z 27</w:t>
            </w:r>
            <w:r w:rsidR="006454CC">
              <w:rPr>
                <w:spacing w:val="-4"/>
              </w:rPr>
              <w:t> %</w:t>
            </w:r>
            <w:r>
              <w:rPr>
                <w:spacing w:val="-4"/>
              </w:rPr>
              <w:t xml:space="preserve"> na 21</w:t>
            </w:r>
            <w:r w:rsidR="006454CC">
              <w:rPr>
                <w:spacing w:val="-4"/>
              </w:rPr>
              <w:t> %</w:t>
            </w:r>
            <w:r>
              <w:rPr>
                <w:spacing w:val="-4"/>
              </w:rPr>
              <w:t xml:space="preserve"> a u pracovníků</w:t>
            </w:r>
            <w:r w:rsidRPr="008F3DF1">
              <w:rPr>
                <w:spacing w:val="-4"/>
              </w:rPr>
              <w:t xml:space="preserve"> ve službách </w:t>
            </w:r>
            <w:r w:rsidR="00BC7833" w:rsidRPr="008F3DF1">
              <w:rPr>
                <w:spacing w:val="-4"/>
              </w:rPr>
              <w:t>a</w:t>
            </w:r>
            <w:r w:rsidR="00BC7833">
              <w:rPr>
                <w:spacing w:val="-4"/>
              </w:rPr>
              <w:t> </w:t>
            </w:r>
            <w:r w:rsidRPr="008F3DF1">
              <w:rPr>
                <w:spacing w:val="-4"/>
              </w:rPr>
              <w:t>prodeji</w:t>
            </w:r>
            <w:r>
              <w:rPr>
                <w:spacing w:val="-4"/>
              </w:rPr>
              <w:t xml:space="preserve"> z 10</w:t>
            </w:r>
            <w:r w:rsidR="006454CC">
              <w:rPr>
                <w:spacing w:val="-4"/>
              </w:rPr>
              <w:t> %</w:t>
            </w:r>
            <w:r>
              <w:rPr>
                <w:spacing w:val="-4"/>
              </w:rPr>
              <w:t xml:space="preserve"> na 5</w:t>
            </w:r>
            <w:r w:rsidR="006454CC">
              <w:rPr>
                <w:spacing w:val="-4"/>
              </w:rPr>
              <w:t> %</w:t>
            </w:r>
            <w:r>
              <w:rPr>
                <w:spacing w:val="-4"/>
              </w:rPr>
              <w:t xml:space="preserve">. Naopak ve třídě zákonodárci, vedoucí </w:t>
            </w:r>
            <w:r w:rsidR="00BC7833">
              <w:rPr>
                <w:spacing w:val="-4"/>
              </w:rPr>
              <w:t>a </w:t>
            </w:r>
            <w:r>
              <w:rPr>
                <w:spacing w:val="-4"/>
              </w:rPr>
              <w:t>řídící pracovníci se odstup nezměnil (19</w:t>
            </w:r>
            <w:r w:rsidR="006454CC">
              <w:rPr>
                <w:spacing w:val="-4"/>
              </w:rPr>
              <w:t> %</w:t>
            </w:r>
            <w:r>
              <w:rPr>
                <w:spacing w:val="-4"/>
              </w:rPr>
              <w:t>)</w:t>
            </w:r>
            <w:r w:rsidR="008329A1">
              <w:rPr>
                <w:spacing w:val="-4"/>
              </w:rPr>
              <w:t>,</w:t>
            </w:r>
            <w:r>
              <w:rPr>
                <w:spacing w:val="-4"/>
              </w:rPr>
              <w:t xml:space="preserve"> a </w:t>
            </w:r>
            <w:r w:rsidR="00BC7833">
              <w:rPr>
                <w:spacing w:val="-4"/>
              </w:rPr>
              <w:t>u </w:t>
            </w:r>
            <w:r>
              <w:rPr>
                <w:spacing w:val="-4"/>
              </w:rPr>
              <w:t>úředníků dokonce mírně vzrostl (ze 17 % na 19</w:t>
            </w:r>
            <w:r w:rsidR="006454CC">
              <w:rPr>
                <w:spacing w:val="-4"/>
              </w:rPr>
              <w:t> %</w:t>
            </w:r>
            <w:r>
              <w:rPr>
                <w:spacing w:val="-4"/>
              </w:rPr>
              <w:t>). Specifickou pozici mají ženy pracující v ozbrojených složkách. Medián jejich mezd převyšoval loni úroveň mužů o 11</w:t>
            </w:r>
            <w:r w:rsidR="006454CC">
              <w:rPr>
                <w:spacing w:val="-4"/>
              </w:rPr>
              <w:t> %</w:t>
            </w:r>
            <w:r>
              <w:rPr>
                <w:spacing w:val="-4"/>
              </w:rPr>
              <w:t>, v roce 2011 pak o 3 %</w:t>
            </w:r>
            <w:r w:rsidRPr="00E12C96">
              <w:rPr>
                <w:rFonts w:cs="Arial"/>
                <w:spacing w:val="-4"/>
                <w:vertAlign w:val="superscript"/>
              </w:rPr>
              <w:footnoteReference w:id="22"/>
            </w:r>
            <w:r>
              <w:rPr>
                <w:spacing w:val="-4"/>
              </w:rPr>
              <w:t>.</w:t>
            </w:r>
          </w:p>
        </w:tc>
      </w:tr>
      <w:tr w:rsidR="006F14C9" w:rsidRPr="005A2E40" w14:paraId="1FFA830E" w14:textId="77777777" w:rsidTr="00A500A7">
        <w:trPr>
          <w:trHeight w:val="429"/>
        </w:trPr>
        <w:tc>
          <w:tcPr>
            <w:tcW w:w="1976" w:type="dxa"/>
            <w:tcBorders>
              <w:top w:val="nil"/>
              <w:left w:val="nil"/>
              <w:bottom w:val="nil"/>
              <w:right w:val="nil"/>
            </w:tcBorders>
          </w:tcPr>
          <w:p w14:paraId="62BA5EE2" w14:textId="77777777" w:rsidR="006F14C9" w:rsidRPr="00106639" w:rsidRDefault="006F14C9" w:rsidP="006F14C9">
            <w:pPr>
              <w:pStyle w:val="Marginlie"/>
            </w:pPr>
            <w:r>
              <w:rPr>
                <w:spacing w:val="-4"/>
              </w:rPr>
              <w:lastRenderedPageBreak/>
              <w:t>S klesajícím stupněm vzdělání se relativní rozdíly ve výdělcích mezi pohlavími spíše snižovaly.</w:t>
            </w:r>
          </w:p>
        </w:tc>
        <w:tc>
          <w:tcPr>
            <w:tcW w:w="277" w:type="dxa"/>
            <w:tcBorders>
              <w:top w:val="nil"/>
              <w:left w:val="nil"/>
              <w:bottom w:val="nil"/>
              <w:right w:val="nil"/>
            </w:tcBorders>
          </w:tcPr>
          <w:p w14:paraId="22D6E583"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292F8B2A" w14:textId="5993EFB3" w:rsidR="006F14C9" w:rsidRPr="003D7E4E" w:rsidRDefault="006F14C9" w:rsidP="006F14C9">
            <w:pPr>
              <w:spacing w:after="220"/>
              <w:rPr>
                <w:spacing w:val="-3"/>
              </w:rPr>
            </w:pPr>
            <w:r>
              <w:rPr>
                <w:spacing w:val="-3"/>
              </w:rPr>
              <w:t xml:space="preserve">Uvedené tendence jsou s drobnými odchylkami patrné </w:t>
            </w:r>
            <w:r w:rsidR="00BC7833">
              <w:rPr>
                <w:spacing w:val="-3"/>
              </w:rPr>
              <w:t>i </w:t>
            </w:r>
            <w:r>
              <w:rPr>
                <w:spacing w:val="-3"/>
              </w:rPr>
              <w:t>na mzdách vyjádřených v průměrech. Odstup žen od mužů loni činil 20</w:t>
            </w:r>
            <w:r w:rsidR="006454CC">
              <w:rPr>
                <w:spacing w:val="-3"/>
              </w:rPr>
              <w:t> %</w:t>
            </w:r>
            <w:r>
              <w:rPr>
                <w:spacing w:val="-3"/>
              </w:rPr>
              <w:t xml:space="preserve"> (resp.</w:t>
            </w:r>
            <w:r w:rsidR="008329A1">
              <w:rPr>
                <w:spacing w:val="-3"/>
              </w:rPr>
              <w:t> </w:t>
            </w:r>
            <w:r w:rsidR="00D82A1E">
              <w:rPr>
                <w:spacing w:val="-3"/>
              </w:rPr>
              <w:t>7 </w:t>
            </w:r>
            <w:r>
              <w:rPr>
                <w:spacing w:val="-3"/>
              </w:rPr>
              <w:t>38</w:t>
            </w:r>
            <w:r w:rsidR="00D82A1E">
              <w:rPr>
                <w:spacing w:val="-3"/>
              </w:rPr>
              <w:t>1 </w:t>
            </w:r>
            <w:r>
              <w:rPr>
                <w:spacing w:val="-3"/>
              </w:rPr>
              <w:t xml:space="preserve">korun </w:t>
            </w:r>
            <w:r>
              <w:rPr>
                <w:spacing w:val="-4"/>
              </w:rPr>
              <w:t>na hrubé měsíční mzdě</w:t>
            </w:r>
            <w:r>
              <w:rPr>
                <w:spacing w:val="-3"/>
              </w:rPr>
              <w:t xml:space="preserve">). </w:t>
            </w:r>
            <w:r w:rsidR="00BC7833">
              <w:rPr>
                <w:spacing w:val="-3"/>
              </w:rPr>
              <w:t>U </w:t>
            </w:r>
            <w:r>
              <w:rPr>
                <w:spacing w:val="-3"/>
              </w:rPr>
              <w:t xml:space="preserve">řídících pracovníků </w:t>
            </w:r>
            <w:r w:rsidR="00BC7833">
              <w:rPr>
                <w:spacing w:val="-3"/>
              </w:rPr>
              <w:t>a </w:t>
            </w:r>
            <w:r>
              <w:rPr>
                <w:spacing w:val="-3"/>
              </w:rPr>
              <w:t>specialistů činil 26</w:t>
            </w:r>
            <w:r w:rsidR="006454CC">
              <w:rPr>
                <w:spacing w:val="-3"/>
              </w:rPr>
              <w:t> %</w:t>
            </w:r>
            <w:r>
              <w:rPr>
                <w:spacing w:val="-3"/>
              </w:rPr>
              <w:t xml:space="preserve">, více než dvojnásobek než </w:t>
            </w:r>
            <w:r>
              <w:rPr>
                <w:spacing w:val="-4"/>
              </w:rPr>
              <w:t>u</w:t>
            </w:r>
            <w:r w:rsidRPr="00633083">
              <w:rPr>
                <w:spacing w:val="-4"/>
              </w:rPr>
              <w:t> </w:t>
            </w:r>
            <w:r>
              <w:rPr>
                <w:spacing w:val="-4"/>
              </w:rPr>
              <w:t xml:space="preserve">pracovníků ve službách </w:t>
            </w:r>
            <w:r w:rsidR="00BC7833">
              <w:rPr>
                <w:spacing w:val="-4"/>
              </w:rPr>
              <w:t>a </w:t>
            </w:r>
            <w:r>
              <w:rPr>
                <w:spacing w:val="-4"/>
              </w:rPr>
              <w:t xml:space="preserve">prodeji. V této třídě zaměstnanosti se také nejvíce projevoval vliv dosaženého vzdělání. S klesajícím stupněm vzdělání se rozdíly ve výdělcích mezi pohlavími snižovaly. </w:t>
            </w:r>
            <w:r w:rsidR="00BC7833">
              <w:rPr>
                <w:spacing w:val="-4"/>
              </w:rPr>
              <w:t>U </w:t>
            </w:r>
            <w:r>
              <w:rPr>
                <w:spacing w:val="-4"/>
              </w:rPr>
              <w:t>osob s nižším než maturitním vzděláním (tvořících zde mírně nadpoloviční podíl zaměstnanců) byly loni průměrné mzdy mužů a</w:t>
            </w:r>
            <w:r>
              <w:rPr>
                <w:spacing w:val="-3"/>
              </w:rPr>
              <w:t> </w:t>
            </w:r>
            <w:r>
              <w:rPr>
                <w:spacing w:val="-4"/>
              </w:rPr>
              <w:t xml:space="preserve">žen prakticky totožné. </w:t>
            </w:r>
          </w:p>
        </w:tc>
      </w:tr>
      <w:tr w:rsidR="006F14C9" w:rsidRPr="005A2E40" w14:paraId="10875476" w14:textId="77777777" w:rsidTr="00A500A7">
        <w:trPr>
          <w:trHeight w:val="429"/>
        </w:trPr>
        <w:tc>
          <w:tcPr>
            <w:tcW w:w="1976" w:type="dxa"/>
            <w:tcBorders>
              <w:top w:val="nil"/>
              <w:left w:val="nil"/>
              <w:bottom w:val="nil"/>
              <w:right w:val="nil"/>
            </w:tcBorders>
          </w:tcPr>
          <w:p w14:paraId="68827DC9" w14:textId="77777777" w:rsidR="006F14C9" w:rsidRPr="001C7003" w:rsidRDefault="006F14C9" w:rsidP="006F14C9">
            <w:pPr>
              <w:pStyle w:val="Marginlie"/>
            </w:pPr>
          </w:p>
        </w:tc>
        <w:tc>
          <w:tcPr>
            <w:tcW w:w="277" w:type="dxa"/>
            <w:tcBorders>
              <w:top w:val="nil"/>
              <w:left w:val="nil"/>
              <w:bottom w:val="nil"/>
              <w:right w:val="nil"/>
            </w:tcBorders>
          </w:tcPr>
          <w:p w14:paraId="71206FB8" w14:textId="77777777" w:rsidR="006F14C9" w:rsidRPr="001C7003" w:rsidRDefault="006F14C9" w:rsidP="006F14C9">
            <w:pPr>
              <w:pStyle w:val="Textpoznpodarou"/>
              <w:jc w:val="both"/>
              <w:rPr>
                <w:spacing w:val="-4"/>
              </w:rPr>
            </w:pPr>
          </w:p>
        </w:tc>
        <w:tc>
          <w:tcPr>
            <w:tcW w:w="7391" w:type="dxa"/>
            <w:tcBorders>
              <w:top w:val="nil"/>
              <w:left w:val="nil"/>
              <w:bottom w:val="nil"/>
              <w:right w:val="nil"/>
            </w:tcBorders>
          </w:tcPr>
          <w:p w14:paraId="046ACEAC" w14:textId="77777777" w:rsidR="006F14C9" w:rsidRPr="001C7003" w:rsidRDefault="006F14C9" w:rsidP="006F14C9">
            <w:pPr>
              <w:spacing w:after="0"/>
              <w:jc w:val="left"/>
              <w:rPr>
                <w:spacing w:val="-3"/>
              </w:rPr>
            </w:pPr>
            <w:r w:rsidRPr="003D7E4E">
              <w:rPr>
                <w:b/>
                <w:spacing w:val="-3"/>
              </w:rPr>
              <w:t xml:space="preserve">Graf </w:t>
            </w:r>
            <w:r w:rsidR="00BA35F3">
              <w:rPr>
                <w:b/>
                <w:spacing w:val="-3"/>
              </w:rPr>
              <w:t>č. </w:t>
            </w:r>
            <w:r w:rsidR="00306AD7">
              <w:rPr>
                <w:b/>
                <w:spacing w:val="-3"/>
              </w:rPr>
              <w:t>2</w:t>
            </w:r>
            <w:r>
              <w:rPr>
                <w:b/>
                <w:spacing w:val="-3"/>
              </w:rPr>
              <w:t>9</w:t>
            </w:r>
            <w:r w:rsidRPr="003D7E4E">
              <w:rPr>
                <w:b/>
                <w:spacing w:val="-3"/>
              </w:rPr>
              <w:t xml:space="preserve">  Průměrné hr. měsíční mzdy v odvětvích dle hlavních tříd zaměstnání* v roce 2018 </w:t>
            </w:r>
            <w:r w:rsidRPr="003D7E4E">
              <w:rPr>
                <w:spacing w:val="-3"/>
              </w:rPr>
              <w:t xml:space="preserve">(v korunách) </w:t>
            </w:r>
            <w:r w:rsidR="00BC7833" w:rsidRPr="003D7E4E">
              <w:rPr>
                <w:b/>
                <w:spacing w:val="-3"/>
              </w:rPr>
              <w:t>a</w:t>
            </w:r>
            <w:r w:rsidR="00BC7833">
              <w:rPr>
                <w:b/>
                <w:spacing w:val="-3"/>
              </w:rPr>
              <w:t> </w:t>
            </w:r>
            <w:r w:rsidRPr="003D7E4E">
              <w:rPr>
                <w:b/>
                <w:spacing w:val="-3"/>
              </w:rPr>
              <w:t xml:space="preserve">poměr mezd zaměstnanců s vysokoškolským vzděláním </w:t>
            </w:r>
            <w:r w:rsidR="00BC7833" w:rsidRPr="003D7E4E">
              <w:rPr>
                <w:b/>
                <w:spacing w:val="-3"/>
              </w:rPr>
              <w:t>a</w:t>
            </w:r>
            <w:r w:rsidR="00BC7833">
              <w:rPr>
                <w:b/>
                <w:spacing w:val="-3"/>
              </w:rPr>
              <w:t> </w:t>
            </w:r>
            <w:r w:rsidRPr="003D7E4E">
              <w:rPr>
                <w:b/>
                <w:spacing w:val="-3"/>
              </w:rPr>
              <w:t xml:space="preserve">se středním vzděláním bez maturity v letech 2012 </w:t>
            </w:r>
            <w:r w:rsidR="00BC7833" w:rsidRPr="003D7E4E">
              <w:rPr>
                <w:b/>
                <w:spacing w:val="-3"/>
              </w:rPr>
              <w:t>a</w:t>
            </w:r>
            <w:r w:rsidR="00BC7833">
              <w:rPr>
                <w:b/>
                <w:spacing w:val="-3"/>
              </w:rPr>
              <w:t> </w:t>
            </w:r>
            <w:r w:rsidRPr="003D7E4E">
              <w:rPr>
                <w:b/>
                <w:spacing w:val="-3"/>
              </w:rPr>
              <w:t>2018</w:t>
            </w:r>
            <w:r w:rsidRPr="003D7E4E">
              <w:rPr>
                <w:spacing w:val="-3"/>
              </w:rPr>
              <w:t xml:space="preserve"> (pravá osa)</w:t>
            </w:r>
          </w:p>
        </w:tc>
      </w:tr>
      <w:tr w:rsidR="006F14C9" w14:paraId="276B0AAD" w14:textId="77777777" w:rsidTr="001435B3">
        <w:tblPrEx>
          <w:tblCellMar>
            <w:left w:w="70" w:type="dxa"/>
            <w:right w:w="70" w:type="dxa"/>
          </w:tblCellMar>
        </w:tblPrEx>
        <w:trPr>
          <w:trHeight w:val="429"/>
        </w:trPr>
        <w:tc>
          <w:tcPr>
            <w:tcW w:w="1976" w:type="dxa"/>
            <w:tcBorders>
              <w:top w:val="nil"/>
              <w:left w:val="nil"/>
              <w:bottom w:val="nil"/>
              <w:right w:val="nil"/>
            </w:tcBorders>
          </w:tcPr>
          <w:p w14:paraId="32BFDA48" w14:textId="77777777" w:rsidR="006F14C9" w:rsidRPr="00106639" w:rsidRDefault="006F14C9" w:rsidP="006F14C9">
            <w:pPr>
              <w:pStyle w:val="Marginlie"/>
            </w:pPr>
          </w:p>
        </w:tc>
        <w:tc>
          <w:tcPr>
            <w:tcW w:w="277" w:type="dxa"/>
            <w:tcBorders>
              <w:top w:val="nil"/>
              <w:left w:val="nil"/>
              <w:bottom w:val="nil"/>
              <w:right w:val="nil"/>
            </w:tcBorders>
          </w:tcPr>
          <w:p w14:paraId="0525C477"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14EEC793" w14:textId="442C67A1" w:rsidR="006F14C9" w:rsidRDefault="001435B3" w:rsidP="006F14C9">
            <w:pPr>
              <w:spacing w:after="0" w:line="240" w:lineRule="auto"/>
            </w:pPr>
            <w:r>
              <w:rPr>
                <w:noProof/>
              </w:rPr>
              <w:drawing>
                <wp:inline distT="0" distB="0" distL="0" distR="0" wp14:anchorId="76905464" wp14:editId="26F90476">
                  <wp:extent cx="4604385" cy="3380740"/>
                  <wp:effectExtent l="0" t="0" r="5715" b="0"/>
                  <wp:docPr id="75" name="Graf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6F14C9" w:rsidRPr="005A2E40" w14:paraId="192554FA" w14:textId="77777777" w:rsidTr="00A500A7">
        <w:trPr>
          <w:trHeight w:val="429"/>
        </w:trPr>
        <w:tc>
          <w:tcPr>
            <w:tcW w:w="1976" w:type="dxa"/>
            <w:tcBorders>
              <w:top w:val="nil"/>
              <w:left w:val="nil"/>
              <w:bottom w:val="nil"/>
              <w:right w:val="nil"/>
            </w:tcBorders>
          </w:tcPr>
          <w:p w14:paraId="50855222" w14:textId="77777777" w:rsidR="006F14C9" w:rsidRPr="00106639" w:rsidRDefault="006F14C9" w:rsidP="006F14C9">
            <w:pPr>
              <w:pStyle w:val="Marginlie"/>
            </w:pPr>
          </w:p>
        </w:tc>
        <w:tc>
          <w:tcPr>
            <w:tcW w:w="277" w:type="dxa"/>
            <w:tcBorders>
              <w:top w:val="nil"/>
              <w:left w:val="nil"/>
              <w:bottom w:val="nil"/>
              <w:right w:val="nil"/>
            </w:tcBorders>
          </w:tcPr>
          <w:p w14:paraId="25ACC08A"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6F632DF8" w14:textId="22FD4F72" w:rsidR="006F14C9" w:rsidRDefault="006F14C9" w:rsidP="006F14C9">
            <w:pPr>
              <w:spacing w:after="0"/>
              <w:jc w:val="left"/>
              <w:rPr>
                <w:rFonts w:cs="Arial"/>
                <w:sz w:val="14"/>
                <w:szCs w:val="14"/>
              </w:rPr>
            </w:pPr>
            <w:r>
              <w:rPr>
                <w:rFonts w:cs="Arial"/>
                <w:sz w:val="14"/>
                <w:szCs w:val="14"/>
              </w:rPr>
              <w:t xml:space="preserve">* Popis vybraných tříd: </w:t>
            </w:r>
            <w:r w:rsidR="00BC7833">
              <w:rPr>
                <w:rFonts w:cs="Arial"/>
                <w:sz w:val="14"/>
                <w:szCs w:val="14"/>
              </w:rPr>
              <w:t>2 </w:t>
            </w:r>
            <w:r>
              <w:rPr>
                <w:rFonts w:cs="Arial"/>
                <w:sz w:val="14"/>
                <w:szCs w:val="14"/>
              </w:rPr>
              <w:t>–</w:t>
            </w:r>
            <w:r w:rsidR="002C4CD2">
              <w:rPr>
                <w:rFonts w:cs="Arial"/>
                <w:sz w:val="14"/>
                <w:szCs w:val="14"/>
              </w:rPr>
              <w:t> </w:t>
            </w:r>
            <w:r>
              <w:rPr>
                <w:rFonts w:cs="Arial"/>
                <w:sz w:val="14"/>
                <w:szCs w:val="14"/>
              </w:rPr>
              <w:t xml:space="preserve">Specialisté, </w:t>
            </w:r>
            <w:r w:rsidR="00BC7833">
              <w:rPr>
                <w:rFonts w:cs="Arial"/>
                <w:sz w:val="14"/>
                <w:szCs w:val="14"/>
              </w:rPr>
              <w:t>3 </w:t>
            </w:r>
            <w:r>
              <w:rPr>
                <w:rFonts w:cs="Arial"/>
                <w:sz w:val="14"/>
                <w:szCs w:val="14"/>
              </w:rPr>
              <w:t>–</w:t>
            </w:r>
            <w:r w:rsidR="002C4CD2">
              <w:rPr>
                <w:rFonts w:cs="Arial"/>
                <w:sz w:val="14"/>
                <w:szCs w:val="14"/>
              </w:rPr>
              <w:t> </w:t>
            </w:r>
            <w:r>
              <w:rPr>
                <w:rFonts w:cs="Arial"/>
                <w:sz w:val="14"/>
                <w:szCs w:val="14"/>
              </w:rPr>
              <w:t xml:space="preserve">Techničtí </w:t>
            </w:r>
            <w:r w:rsidR="00BC7833" w:rsidRPr="003D7E4E">
              <w:rPr>
                <w:rFonts w:cs="Arial"/>
                <w:sz w:val="14"/>
                <w:szCs w:val="14"/>
              </w:rPr>
              <w:t>a</w:t>
            </w:r>
            <w:r w:rsidR="00BC7833">
              <w:rPr>
                <w:rFonts w:cs="Arial"/>
                <w:sz w:val="14"/>
                <w:szCs w:val="14"/>
              </w:rPr>
              <w:t> </w:t>
            </w:r>
            <w:r w:rsidRPr="003D7E4E">
              <w:rPr>
                <w:rFonts w:cs="Arial"/>
                <w:sz w:val="14"/>
                <w:szCs w:val="14"/>
              </w:rPr>
              <w:t>odborní pracovníci</w:t>
            </w:r>
            <w:r>
              <w:rPr>
                <w:rFonts w:cs="Arial"/>
                <w:sz w:val="14"/>
                <w:szCs w:val="14"/>
              </w:rPr>
              <w:t xml:space="preserve">, </w:t>
            </w:r>
            <w:r w:rsidR="00BC7833">
              <w:rPr>
                <w:rFonts w:cs="Arial"/>
                <w:sz w:val="14"/>
                <w:szCs w:val="14"/>
              </w:rPr>
              <w:t>4 </w:t>
            </w:r>
            <w:r>
              <w:rPr>
                <w:rFonts w:cs="Arial"/>
                <w:sz w:val="14"/>
                <w:szCs w:val="14"/>
              </w:rPr>
              <w:t>–</w:t>
            </w:r>
            <w:r w:rsidR="002C4CD2">
              <w:rPr>
                <w:rFonts w:cs="Arial"/>
                <w:sz w:val="14"/>
                <w:szCs w:val="14"/>
              </w:rPr>
              <w:t> </w:t>
            </w:r>
            <w:r>
              <w:rPr>
                <w:rFonts w:cs="Arial"/>
                <w:sz w:val="14"/>
                <w:szCs w:val="14"/>
              </w:rPr>
              <w:t>Úředníci,</w:t>
            </w:r>
            <w:r w:rsidR="006454CC">
              <w:rPr>
                <w:rFonts w:cs="Arial"/>
                <w:sz w:val="14"/>
                <w:szCs w:val="14"/>
              </w:rPr>
              <w:t xml:space="preserve"> </w:t>
            </w:r>
            <w:r w:rsidR="00BC7833">
              <w:rPr>
                <w:rFonts w:cs="Arial"/>
                <w:sz w:val="14"/>
                <w:szCs w:val="14"/>
              </w:rPr>
              <w:t>5 </w:t>
            </w:r>
            <w:r>
              <w:rPr>
                <w:rFonts w:cs="Arial"/>
                <w:sz w:val="14"/>
                <w:szCs w:val="14"/>
              </w:rPr>
              <w:t>–</w:t>
            </w:r>
            <w:r w:rsidR="002C4CD2">
              <w:rPr>
                <w:rFonts w:cs="Arial"/>
                <w:sz w:val="14"/>
                <w:szCs w:val="14"/>
              </w:rPr>
              <w:t> </w:t>
            </w:r>
            <w:r>
              <w:rPr>
                <w:rFonts w:cs="Arial"/>
                <w:sz w:val="14"/>
                <w:szCs w:val="14"/>
              </w:rPr>
              <w:t>Pracovníci ve službách a</w:t>
            </w:r>
            <w:r w:rsidRPr="003D7E4E">
              <w:rPr>
                <w:rFonts w:cs="Arial"/>
                <w:sz w:val="14"/>
                <w:szCs w:val="14"/>
              </w:rPr>
              <w:t> prodeji</w:t>
            </w:r>
            <w:r>
              <w:rPr>
                <w:rFonts w:cs="Arial"/>
                <w:sz w:val="14"/>
                <w:szCs w:val="14"/>
              </w:rPr>
              <w:t xml:space="preserve">, </w:t>
            </w:r>
            <w:r w:rsidR="00BC7833">
              <w:rPr>
                <w:rFonts w:cs="Arial"/>
                <w:sz w:val="14"/>
                <w:szCs w:val="14"/>
              </w:rPr>
              <w:t>7 </w:t>
            </w:r>
            <w:r>
              <w:rPr>
                <w:rFonts w:cs="Arial"/>
                <w:sz w:val="14"/>
                <w:szCs w:val="14"/>
              </w:rPr>
              <w:t>–</w:t>
            </w:r>
            <w:r w:rsidR="002C4CD2">
              <w:rPr>
                <w:rFonts w:cs="Arial"/>
                <w:sz w:val="14"/>
                <w:szCs w:val="14"/>
              </w:rPr>
              <w:t> </w:t>
            </w:r>
            <w:r>
              <w:rPr>
                <w:rFonts w:cs="Arial"/>
                <w:sz w:val="14"/>
                <w:szCs w:val="14"/>
              </w:rPr>
              <w:t xml:space="preserve">Řemeslníci </w:t>
            </w:r>
            <w:r w:rsidR="00BC7833">
              <w:rPr>
                <w:rFonts w:cs="Arial"/>
                <w:sz w:val="14"/>
                <w:szCs w:val="14"/>
              </w:rPr>
              <w:t>a </w:t>
            </w:r>
            <w:r>
              <w:rPr>
                <w:rFonts w:cs="Arial"/>
                <w:sz w:val="14"/>
                <w:szCs w:val="14"/>
              </w:rPr>
              <w:t xml:space="preserve">opraváři, </w:t>
            </w:r>
            <w:r w:rsidR="00BC7833">
              <w:rPr>
                <w:rFonts w:cs="Arial"/>
                <w:sz w:val="14"/>
                <w:szCs w:val="14"/>
              </w:rPr>
              <w:t>8 </w:t>
            </w:r>
            <w:r>
              <w:rPr>
                <w:rFonts w:cs="Arial"/>
                <w:sz w:val="14"/>
                <w:szCs w:val="14"/>
              </w:rPr>
              <w:t>–</w:t>
            </w:r>
            <w:r w:rsidR="002C4CD2">
              <w:rPr>
                <w:rFonts w:cs="Arial"/>
                <w:sz w:val="14"/>
                <w:szCs w:val="14"/>
              </w:rPr>
              <w:t> </w:t>
            </w:r>
            <w:r w:rsidRPr="003D7E4E">
              <w:rPr>
                <w:rFonts w:cs="Arial"/>
                <w:sz w:val="14"/>
                <w:szCs w:val="14"/>
              </w:rPr>
              <w:t xml:space="preserve">Obsluha strojů </w:t>
            </w:r>
            <w:r w:rsidR="00BC7833" w:rsidRPr="003D7E4E">
              <w:rPr>
                <w:rFonts w:cs="Arial"/>
                <w:sz w:val="14"/>
                <w:szCs w:val="14"/>
              </w:rPr>
              <w:t>a</w:t>
            </w:r>
            <w:r w:rsidR="00BC7833">
              <w:rPr>
                <w:rFonts w:cs="Arial"/>
                <w:sz w:val="14"/>
                <w:szCs w:val="14"/>
              </w:rPr>
              <w:t> </w:t>
            </w:r>
            <w:r w:rsidRPr="003D7E4E">
              <w:rPr>
                <w:rFonts w:cs="Arial"/>
                <w:sz w:val="14"/>
                <w:szCs w:val="14"/>
              </w:rPr>
              <w:t>zařízení, montéři</w:t>
            </w:r>
            <w:r>
              <w:rPr>
                <w:rFonts w:cs="Arial"/>
                <w:sz w:val="14"/>
                <w:szCs w:val="14"/>
              </w:rPr>
              <w:t xml:space="preserve">, </w:t>
            </w:r>
            <w:r w:rsidR="00BC7833">
              <w:rPr>
                <w:rFonts w:cs="Arial"/>
                <w:sz w:val="14"/>
                <w:szCs w:val="14"/>
              </w:rPr>
              <w:t>9 </w:t>
            </w:r>
            <w:r>
              <w:rPr>
                <w:rFonts w:cs="Arial"/>
                <w:sz w:val="14"/>
                <w:szCs w:val="14"/>
              </w:rPr>
              <w:t>–</w:t>
            </w:r>
            <w:r w:rsidR="002C4CD2">
              <w:rPr>
                <w:rFonts w:cs="Arial"/>
                <w:sz w:val="14"/>
                <w:szCs w:val="14"/>
              </w:rPr>
              <w:t> </w:t>
            </w:r>
            <w:r w:rsidRPr="003D7E4E">
              <w:rPr>
                <w:rFonts w:cs="Arial"/>
                <w:sz w:val="14"/>
                <w:szCs w:val="14"/>
              </w:rPr>
              <w:t xml:space="preserve">Pomocní </w:t>
            </w:r>
            <w:r w:rsidR="00BC7833" w:rsidRPr="003D7E4E">
              <w:rPr>
                <w:rFonts w:cs="Arial"/>
                <w:sz w:val="14"/>
                <w:szCs w:val="14"/>
              </w:rPr>
              <w:t>a</w:t>
            </w:r>
            <w:r w:rsidR="00BC7833">
              <w:rPr>
                <w:rFonts w:cs="Arial"/>
                <w:sz w:val="14"/>
                <w:szCs w:val="14"/>
              </w:rPr>
              <w:t> </w:t>
            </w:r>
            <w:r w:rsidRPr="003D7E4E">
              <w:rPr>
                <w:rFonts w:cs="Arial"/>
                <w:sz w:val="14"/>
                <w:szCs w:val="14"/>
              </w:rPr>
              <w:t>nekvalifikovaní pracovníci</w:t>
            </w:r>
            <w:r>
              <w:rPr>
                <w:rFonts w:cs="Arial"/>
                <w:sz w:val="14"/>
                <w:szCs w:val="14"/>
              </w:rPr>
              <w:t>.</w:t>
            </w:r>
          </w:p>
          <w:p w14:paraId="4AE77A01" w14:textId="7A66AB70" w:rsidR="006F14C9" w:rsidRDefault="006F14C9" w:rsidP="006F14C9">
            <w:pPr>
              <w:spacing w:after="0"/>
              <w:jc w:val="left"/>
              <w:rPr>
                <w:rFonts w:cs="Arial"/>
                <w:sz w:val="14"/>
                <w:szCs w:val="14"/>
              </w:rPr>
            </w:pPr>
            <w:r>
              <w:rPr>
                <w:rFonts w:cs="Arial"/>
                <w:sz w:val="14"/>
                <w:szCs w:val="14"/>
              </w:rPr>
              <w:t>Z</w:t>
            </w:r>
            <w:r w:rsidRPr="003D7E4E">
              <w:rPr>
                <w:rFonts w:cs="Arial"/>
                <w:sz w:val="14"/>
                <w:szCs w:val="14"/>
              </w:rPr>
              <w:t xml:space="preserve"> důvodu </w:t>
            </w:r>
            <w:r>
              <w:rPr>
                <w:rFonts w:cs="Arial"/>
                <w:sz w:val="14"/>
                <w:szCs w:val="14"/>
              </w:rPr>
              <w:t>snížené vypovídací schopnosti</w:t>
            </w:r>
            <w:r w:rsidRPr="003D7E4E">
              <w:rPr>
                <w:rFonts w:cs="Arial"/>
                <w:sz w:val="14"/>
                <w:szCs w:val="14"/>
              </w:rPr>
              <w:t xml:space="preserve"> nejsou uvedeny </w:t>
            </w:r>
            <w:r>
              <w:rPr>
                <w:rFonts w:cs="Arial"/>
                <w:sz w:val="14"/>
                <w:szCs w:val="14"/>
              </w:rPr>
              <w:t xml:space="preserve">třídy Zákonodárci </w:t>
            </w:r>
            <w:r w:rsidR="00BC7833">
              <w:rPr>
                <w:rFonts w:cs="Arial"/>
                <w:sz w:val="14"/>
                <w:szCs w:val="14"/>
              </w:rPr>
              <w:t>a </w:t>
            </w:r>
            <w:r>
              <w:rPr>
                <w:rFonts w:cs="Arial"/>
                <w:sz w:val="14"/>
                <w:szCs w:val="14"/>
              </w:rPr>
              <w:t xml:space="preserve">řídící pracovníci </w:t>
            </w:r>
            <w:r w:rsidR="00BC7833">
              <w:rPr>
                <w:rFonts w:cs="Arial"/>
                <w:sz w:val="14"/>
                <w:szCs w:val="14"/>
              </w:rPr>
              <w:t>a </w:t>
            </w:r>
            <w:r w:rsidRPr="003D7E4E">
              <w:rPr>
                <w:rFonts w:cs="Arial"/>
                <w:sz w:val="14"/>
                <w:szCs w:val="14"/>
              </w:rPr>
              <w:t xml:space="preserve">Kvalifikovaní pracovníci </w:t>
            </w:r>
            <w:r w:rsidR="00BC7833" w:rsidRPr="003D7E4E">
              <w:rPr>
                <w:rFonts w:cs="Arial"/>
                <w:sz w:val="14"/>
                <w:szCs w:val="14"/>
              </w:rPr>
              <w:t>v</w:t>
            </w:r>
            <w:r w:rsidR="00BC7833">
              <w:rPr>
                <w:rFonts w:cs="Arial"/>
                <w:sz w:val="14"/>
                <w:szCs w:val="14"/>
              </w:rPr>
              <w:t> </w:t>
            </w:r>
            <w:r w:rsidRPr="003D7E4E">
              <w:rPr>
                <w:rFonts w:cs="Arial"/>
                <w:sz w:val="14"/>
                <w:szCs w:val="14"/>
              </w:rPr>
              <w:t xml:space="preserve">zemědělství, lesnictví </w:t>
            </w:r>
            <w:r w:rsidR="00BC7833" w:rsidRPr="003D7E4E">
              <w:rPr>
                <w:rFonts w:cs="Arial"/>
                <w:sz w:val="14"/>
                <w:szCs w:val="14"/>
              </w:rPr>
              <w:t>a</w:t>
            </w:r>
            <w:r w:rsidR="00BC7833">
              <w:rPr>
                <w:rFonts w:cs="Arial"/>
                <w:sz w:val="14"/>
                <w:szCs w:val="14"/>
              </w:rPr>
              <w:t> </w:t>
            </w:r>
            <w:r w:rsidRPr="003D7E4E">
              <w:rPr>
                <w:rFonts w:cs="Arial"/>
                <w:sz w:val="14"/>
                <w:szCs w:val="14"/>
              </w:rPr>
              <w:t>rybářství</w:t>
            </w:r>
            <w:r>
              <w:rPr>
                <w:rFonts w:cs="Arial"/>
                <w:sz w:val="14"/>
                <w:szCs w:val="14"/>
              </w:rPr>
              <w:t>. Obdobně chyb</w:t>
            </w:r>
            <w:r w:rsidR="002C4CD2">
              <w:rPr>
                <w:rFonts w:cs="Arial"/>
                <w:sz w:val="14"/>
                <w:szCs w:val="14"/>
              </w:rPr>
              <w:t>ěj</w:t>
            </w:r>
            <w:r>
              <w:rPr>
                <w:rFonts w:cs="Arial"/>
                <w:sz w:val="14"/>
                <w:szCs w:val="14"/>
              </w:rPr>
              <w:t xml:space="preserve">í také </w:t>
            </w:r>
            <w:r w:rsidR="00BC7833">
              <w:rPr>
                <w:rFonts w:cs="Arial"/>
                <w:sz w:val="14"/>
                <w:szCs w:val="14"/>
              </w:rPr>
              <w:t>u </w:t>
            </w:r>
            <w:r>
              <w:rPr>
                <w:rFonts w:cs="Arial"/>
                <w:sz w:val="14"/>
                <w:szCs w:val="14"/>
              </w:rPr>
              <w:t xml:space="preserve">odvětví </w:t>
            </w:r>
            <w:r w:rsidR="002C4CD2">
              <w:rPr>
                <w:rFonts w:cs="Arial"/>
                <w:sz w:val="14"/>
                <w:szCs w:val="14"/>
              </w:rPr>
              <w:t>s </w:t>
            </w:r>
            <w:r>
              <w:rPr>
                <w:rFonts w:cs="Arial"/>
                <w:sz w:val="14"/>
                <w:szCs w:val="14"/>
              </w:rPr>
              <w:t>výrazně pod/nadprůměrnou mzdovou úrovní údaje za nejvyšší/nejnižší kvalifikační třídy.</w:t>
            </w:r>
          </w:p>
          <w:p w14:paraId="2D405C65" w14:textId="77777777" w:rsidR="006F14C9" w:rsidRPr="00711FC2" w:rsidRDefault="006F14C9" w:rsidP="006F14C9">
            <w:pPr>
              <w:spacing w:after="200"/>
              <w:jc w:val="left"/>
            </w:pPr>
            <w:r w:rsidRPr="00444E6D">
              <w:rPr>
                <w:rFonts w:cs="Arial"/>
                <w:sz w:val="14"/>
                <w:szCs w:val="14"/>
              </w:rPr>
              <w:t xml:space="preserve">Zdroj: </w:t>
            </w:r>
            <w:r>
              <w:rPr>
                <w:rFonts w:cs="Arial"/>
                <w:sz w:val="14"/>
                <w:szCs w:val="14"/>
              </w:rPr>
              <w:t xml:space="preserve">MPSV </w:t>
            </w:r>
            <w:r w:rsidR="00BC7833">
              <w:rPr>
                <w:rFonts w:cs="Arial"/>
                <w:sz w:val="14"/>
                <w:szCs w:val="14"/>
              </w:rPr>
              <w:t>a </w:t>
            </w:r>
            <w:r>
              <w:rPr>
                <w:rFonts w:cs="Arial"/>
                <w:sz w:val="14"/>
                <w:szCs w:val="14"/>
              </w:rPr>
              <w:t>ČSÚ (Strukturální mzdová statistika)</w:t>
            </w:r>
          </w:p>
        </w:tc>
      </w:tr>
      <w:tr w:rsidR="006F14C9" w14:paraId="07F1CA6D" w14:textId="77777777" w:rsidTr="00A500A7">
        <w:trPr>
          <w:trHeight w:val="145"/>
        </w:trPr>
        <w:tc>
          <w:tcPr>
            <w:tcW w:w="1976" w:type="dxa"/>
            <w:tcBorders>
              <w:top w:val="nil"/>
              <w:left w:val="nil"/>
              <w:bottom w:val="nil"/>
              <w:right w:val="nil"/>
            </w:tcBorders>
          </w:tcPr>
          <w:p w14:paraId="4839BCD5" w14:textId="7EB093DF" w:rsidR="006F14C9" w:rsidRDefault="006F14C9" w:rsidP="006F14C9">
            <w:pPr>
              <w:pStyle w:val="Marginlie"/>
            </w:pPr>
            <w:r>
              <w:t xml:space="preserve">Průměrné mzdy pomocných </w:t>
            </w:r>
            <w:r w:rsidR="00BC7833">
              <w:t>a </w:t>
            </w:r>
            <w:r>
              <w:t xml:space="preserve">nekvalifikovaných pracovníků byly nejvyšší v těžbě </w:t>
            </w:r>
            <w:r w:rsidR="00BC7833">
              <w:t>a </w:t>
            </w:r>
            <w:r>
              <w:t>dobývání</w:t>
            </w:r>
            <w:r w:rsidR="0037734D">
              <w:t xml:space="preserve"> – </w:t>
            </w:r>
            <w:r w:rsidR="00BC7833">
              <w:t>o </w:t>
            </w:r>
            <w:r>
              <w:t>dvě třetiny nad úrovní těchto pracovníků pracujících v oblasti nemovitostí.</w:t>
            </w:r>
          </w:p>
        </w:tc>
        <w:tc>
          <w:tcPr>
            <w:tcW w:w="277" w:type="dxa"/>
            <w:tcBorders>
              <w:top w:val="nil"/>
              <w:left w:val="nil"/>
              <w:bottom w:val="nil"/>
              <w:right w:val="nil"/>
            </w:tcBorders>
          </w:tcPr>
          <w:p w14:paraId="6A0E1231"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38DCC156" w14:textId="4FCBEAE3" w:rsidR="006F14C9" w:rsidRPr="00CD2028" w:rsidRDefault="00BC7833" w:rsidP="006F14C9">
            <w:pPr>
              <w:spacing w:after="220"/>
              <w:rPr>
                <w:spacing w:val="-2"/>
              </w:rPr>
            </w:pPr>
            <w:r>
              <w:rPr>
                <w:spacing w:val="-2"/>
              </w:rPr>
              <w:t>V </w:t>
            </w:r>
            <w:r w:rsidR="006F14C9">
              <w:rPr>
                <w:spacing w:val="-2"/>
              </w:rPr>
              <w:t>roce 2018 dosahovali ve všech devatenácti hlavních odvětvích nejvyšší průměrné mzdy zaměstnanci s nejvyšší kvalifikační úrovní</w:t>
            </w:r>
            <w:r w:rsidR="00D30575">
              <w:rPr>
                <w:spacing w:val="-2"/>
              </w:rPr>
              <w:t>,</w:t>
            </w:r>
            <w:r w:rsidR="0037734D">
              <w:rPr>
                <w:spacing w:val="-2"/>
              </w:rPr>
              <w:t xml:space="preserve"> </w:t>
            </w:r>
            <w:r w:rsidR="00D30575">
              <w:rPr>
                <w:spacing w:val="-2"/>
              </w:rPr>
              <w:t xml:space="preserve">a to </w:t>
            </w:r>
            <w:r w:rsidR="006F14C9">
              <w:rPr>
                <w:spacing w:val="-2"/>
              </w:rPr>
              <w:t xml:space="preserve">v pořadí vedoucí </w:t>
            </w:r>
            <w:r>
              <w:rPr>
                <w:spacing w:val="-2"/>
              </w:rPr>
              <w:t>a </w:t>
            </w:r>
            <w:r w:rsidR="006F14C9">
              <w:rPr>
                <w:spacing w:val="-2"/>
              </w:rPr>
              <w:t xml:space="preserve">řídící pracovníci, specialisté </w:t>
            </w:r>
            <w:r>
              <w:rPr>
                <w:spacing w:val="-2"/>
              </w:rPr>
              <w:t>a </w:t>
            </w:r>
            <w:r w:rsidR="006F14C9">
              <w:rPr>
                <w:spacing w:val="-2"/>
              </w:rPr>
              <w:t xml:space="preserve">techničtí </w:t>
            </w:r>
            <w:r>
              <w:rPr>
                <w:spacing w:val="-2"/>
              </w:rPr>
              <w:t>a </w:t>
            </w:r>
            <w:r w:rsidR="006F14C9">
              <w:rPr>
                <w:spacing w:val="-2"/>
              </w:rPr>
              <w:t xml:space="preserve">odborní pracovníci. Naopak výdělky pomocných a nekvalifikovaných pracovníků nebyly v porovnání s ostatními třídami v rámci odvětví vždy nejslabší. V manuálně náročnějších odvětvích (ve zpracovatelském průmyslu, stavebnictví </w:t>
            </w:r>
            <w:r>
              <w:rPr>
                <w:spacing w:val="-2"/>
              </w:rPr>
              <w:t>a </w:t>
            </w:r>
            <w:r w:rsidR="006F14C9">
              <w:rPr>
                <w:spacing w:val="-2"/>
              </w:rPr>
              <w:t xml:space="preserve">zemědělství, lesnictví </w:t>
            </w:r>
            <w:r>
              <w:rPr>
                <w:spacing w:val="-2"/>
              </w:rPr>
              <w:t>a </w:t>
            </w:r>
            <w:r w:rsidR="006F14C9">
              <w:rPr>
                <w:spacing w:val="-2"/>
              </w:rPr>
              <w:t xml:space="preserve">rybářství) </w:t>
            </w:r>
            <w:r w:rsidR="00D30575">
              <w:rPr>
                <w:spacing w:val="-2"/>
              </w:rPr>
              <w:t xml:space="preserve">dostávaly </w:t>
            </w:r>
            <w:r w:rsidR="006F14C9">
              <w:rPr>
                <w:spacing w:val="-2"/>
              </w:rPr>
              <w:t xml:space="preserve">nejnižší mzdy osoby zařazené do třídy pracovníci ve službách </w:t>
            </w:r>
            <w:r>
              <w:rPr>
                <w:spacing w:val="-2"/>
              </w:rPr>
              <w:t>a </w:t>
            </w:r>
            <w:r w:rsidR="006F14C9">
              <w:rPr>
                <w:spacing w:val="-2"/>
              </w:rPr>
              <w:t xml:space="preserve">prodeji. Nejméně kvalifikovaní pracovníci </w:t>
            </w:r>
            <w:r w:rsidR="006F14C9">
              <w:rPr>
                <w:spacing w:val="-2"/>
              </w:rPr>
              <w:lastRenderedPageBreak/>
              <w:t xml:space="preserve">mají dlouhodobě nejlepší postavení v odvětví těžby </w:t>
            </w:r>
            <w:r>
              <w:rPr>
                <w:spacing w:val="-2"/>
              </w:rPr>
              <w:t>a </w:t>
            </w:r>
            <w:r w:rsidR="006F14C9">
              <w:rPr>
                <w:spacing w:val="-2"/>
              </w:rPr>
              <w:t>dobývání</w:t>
            </w:r>
            <w:r w:rsidR="0037734D">
              <w:rPr>
                <w:spacing w:val="-2"/>
              </w:rPr>
              <w:t xml:space="preserve"> – </w:t>
            </w:r>
            <w:r w:rsidR="006F14C9">
              <w:rPr>
                <w:spacing w:val="-2"/>
              </w:rPr>
              <w:t xml:space="preserve">v roce 2018 si zde vydělali v průměru </w:t>
            </w:r>
            <w:r>
              <w:rPr>
                <w:spacing w:val="-2"/>
              </w:rPr>
              <w:t>o </w:t>
            </w:r>
            <w:r w:rsidR="006F14C9">
              <w:rPr>
                <w:spacing w:val="-2"/>
              </w:rPr>
              <w:t>dvě třetiny více než osoby ve stejné třídě ve vzdělávání či v činnostech v oblasti nemovitostí.</w:t>
            </w:r>
          </w:p>
        </w:tc>
      </w:tr>
      <w:tr w:rsidR="006F14C9" w14:paraId="401A4269" w14:textId="77777777" w:rsidTr="00A500A7">
        <w:trPr>
          <w:trHeight w:val="145"/>
        </w:trPr>
        <w:tc>
          <w:tcPr>
            <w:tcW w:w="1976" w:type="dxa"/>
            <w:tcBorders>
              <w:top w:val="nil"/>
              <w:left w:val="nil"/>
              <w:bottom w:val="nil"/>
              <w:right w:val="nil"/>
            </w:tcBorders>
          </w:tcPr>
          <w:p w14:paraId="61EF6454" w14:textId="74C50C80" w:rsidR="006F14C9" w:rsidRDefault="006F14C9" w:rsidP="006F14C9">
            <w:pPr>
              <w:pStyle w:val="Marginlie"/>
            </w:pPr>
            <w:r>
              <w:lastRenderedPageBreak/>
              <w:t>Výdělky vedoucích a řídících pracovníků ve finančnictví převyšovaly jejich úroveň v administrativních a podpůrných činnostech téměř trojnásobně.</w:t>
            </w:r>
          </w:p>
          <w:p w14:paraId="37E8D537" w14:textId="77777777" w:rsidR="006F14C9" w:rsidRDefault="006F14C9" w:rsidP="006F14C9">
            <w:pPr>
              <w:pStyle w:val="Marginlie"/>
            </w:pPr>
          </w:p>
          <w:p w14:paraId="7A486BA1" w14:textId="77777777" w:rsidR="006F14C9" w:rsidRDefault="006F14C9" w:rsidP="006F14C9">
            <w:pPr>
              <w:pStyle w:val="Marginlie"/>
            </w:pPr>
          </w:p>
          <w:p w14:paraId="4755F8B9" w14:textId="77777777" w:rsidR="006F14C9" w:rsidRDefault="006F14C9" w:rsidP="006F14C9">
            <w:pPr>
              <w:pStyle w:val="Marginlie"/>
            </w:pPr>
          </w:p>
          <w:p w14:paraId="4833A726" w14:textId="77777777" w:rsidR="006F14C9" w:rsidRDefault="006F14C9" w:rsidP="006F14C9">
            <w:pPr>
              <w:pStyle w:val="Marginlie"/>
            </w:pPr>
          </w:p>
          <w:p w14:paraId="00A043C3" w14:textId="77777777" w:rsidR="006F14C9" w:rsidRDefault="006F14C9" w:rsidP="006F14C9">
            <w:pPr>
              <w:pStyle w:val="Marginlie"/>
            </w:pPr>
          </w:p>
          <w:p w14:paraId="1F5432FC" w14:textId="77777777" w:rsidR="006F14C9" w:rsidRDefault="006F14C9" w:rsidP="006F14C9">
            <w:pPr>
              <w:pStyle w:val="Marginlie"/>
            </w:pPr>
          </w:p>
          <w:p w14:paraId="7C34A84A" w14:textId="201A8036" w:rsidR="006F14C9" w:rsidRDefault="006F14C9" w:rsidP="006F14C9">
            <w:pPr>
              <w:pStyle w:val="Marginlie"/>
            </w:pPr>
            <w:r>
              <w:t xml:space="preserve">Specialisté ve zdravotní a sociální péči měli </w:t>
            </w:r>
            <w:r w:rsidR="00BC7833">
              <w:t>o </w:t>
            </w:r>
            <w:r>
              <w:t xml:space="preserve">více než třetinu vyšší průměrné výdělky než ti </w:t>
            </w:r>
            <w:r w:rsidR="00D30575">
              <w:t>z </w:t>
            </w:r>
            <w:r>
              <w:t>oblasti kultury či vzdělávání.</w:t>
            </w:r>
          </w:p>
        </w:tc>
        <w:tc>
          <w:tcPr>
            <w:tcW w:w="277" w:type="dxa"/>
            <w:tcBorders>
              <w:top w:val="nil"/>
              <w:left w:val="nil"/>
              <w:bottom w:val="nil"/>
              <w:right w:val="nil"/>
            </w:tcBorders>
          </w:tcPr>
          <w:p w14:paraId="0B2913D0"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41E9C43D" w14:textId="5CFEE267" w:rsidR="006F14C9" w:rsidRPr="00CD2028" w:rsidRDefault="006F14C9" w:rsidP="006F14C9">
            <w:pPr>
              <w:spacing w:after="220"/>
              <w:rPr>
                <w:spacing w:val="-2"/>
              </w:rPr>
            </w:pPr>
            <w:r>
              <w:rPr>
                <w:spacing w:val="-2"/>
              </w:rPr>
              <w:t>Není překvapivé, že na opačném spektru kvalifikace dosáhl</w:t>
            </w:r>
            <w:r w:rsidR="009D3F3E">
              <w:rPr>
                <w:spacing w:val="-2"/>
              </w:rPr>
              <w:t>i</w:t>
            </w:r>
            <w:r>
              <w:rPr>
                <w:spacing w:val="-2"/>
              </w:rPr>
              <w:t xml:space="preserve"> loni na nejvyšší průměrné mzdy zaměstnanci </w:t>
            </w:r>
            <w:r w:rsidR="00BC7833">
              <w:rPr>
                <w:spacing w:val="-2"/>
              </w:rPr>
              <w:t>v </w:t>
            </w:r>
            <w:r>
              <w:rPr>
                <w:spacing w:val="-2"/>
              </w:rPr>
              <w:t>p</w:t>
            </w:r>
            <w:r w:rsidRPr="002A2E73">
              <w:rPr>
                <w:spacing w:val="-2"/>
              </w:rPr>
              <w:t xml:space="preserve">eněžnictví </w:t>
            </w:r>
            <w:r w:rsidR="00BC7833" w:rsidRPr="002A2E73">
              <w:rPr>
                <w:spacing w:val="-2"/>
              </w:rPr>
              <w:t>a</w:t>
            </w:r>
            <w:r w:rsidR="00BC7833">
              <w:rPr>
                <w:spacing w:val="-2"/>
              </w:rPr>
              <w:t> </w:t>
            </w:r>
            <w:r w:rsidRPr="002A2E73">
              <w:rPr>
                <w:spacing w:val="-2"/>
              </w:rPr>
              <w:t>pojišťovnictví</w:t>
            </w:r>
            <w:r>
              <w:rPr>
                <w:spacing w:val="-2"/>
              </w:rPr>
              <w:t xml:space="preserve"> (13</w:t>
            </w:r>
            <w:r w:rsidR="00D82A1E">
              <w:rPr>
                <w:spacing w:val="-2"/>
              </w:rPr>
              <w:t>1 </w:t>
            </w:r>
            <w:r>
              <w:rPr>
                <w:spacing w:val="-2"/>
              </w:rPr>
              <w:t xml:space="preserve">tis. korun hrubého měsíčně) </w:t>
            </w:r>
            <w:r w:rsidR="00BC7833">
              <w:rPr>
                <w:spacing w:val="-2"/>
              </w:rPr>
              <w:t>a v </w:t>
            </w:r>
            <w:r>
              <w:rPr>
                <w:spacing w:val="-2"/>
              </w:rPr>
              <w:t>i</w:t>
            </w:r>
            <w:r w:rsidRPr="002A2E73">
              <w:rPr>
                <w:spacing w:val="-2"/>
              </w:rPr>
              <w:t>nformační</w:t>
            </w:r>
            <w:r>
              <w:rPr>
                <w:spacing w:val="-2"/>
              </w:rPr>
              <w:t>ch</w:t>
            </w:r>
            <w:r w:rsidRPr="002A2E73">
              <w:rPr>
                <w:spacing w:val="-2"/>
              </w:rPr>
              <w:t xml:space="preserve"> </w:t>
            </w:r>
            <w:r w:rsidR="00BC7833" w:rsidRPr="002A2E73">
              <w:rPr>
                <w:spacing w:val="-2"/>
              </w:rPr>
              <w:t>a</w:t>
            </w:r>
            <w:r w:rsidR="00BC7833">
              <w:rPr>
                <w:spacing w:val="-2"/>
              </w:rPr>
              <w:t> </w:t>
            </w:r>
            <w:r w:rsidRPr="002A2E73">
              <w:rPr>
                <w:spacing w:val="-2"/>
              </w:rPr>
              <w:t>komunikační</w:t>
            </w:r>
            <w:r>
              <w:rPr>
                <w:spacing w:val="-2"/>
              </w:rPr>
              <w:t>ch činnostech (10</w:t>
            </w:r>
            <w:r w:rsidR="00D82A1E">
              <w:rPr>
                <w:spacing w:val="-2"/>
              </w:rPr>
              <w:t>7 </w:t>
            </w:r>
            <w:r>
              <w:rPr>
                <w:spacing w:val="-2"/>
              </w:rPr>
              <w:t>tis.). Mimo terciární sféru pak šlo o pracovníky energetiky</w:t>
            </w:r>
            <w:r w:rsidRPr="00E12C96">
              <w:rPr>
                <w:rFonts w:cs="Arial"/>
                <w:spacing w:val="-4"/>
                <w:vertAlign w:val="superscript"/>
              </w:rPr>
              <w:footnoteReference w:id="23"/>
            </w:r>
            <w:r>
              <w:rPr>
                <w:spacing w:val="-2"/>
              </w:rPr>
              <w:t xml:space="preserve"> (9</w:t>
            </w:r>
            <w:r w:rsidR="00D82A1E">
              <w:rPr>
                <w:spacing w:val="-2"/>
              </w:rPr>
              <w:t>9 </w:t>
            </w:r>
            <w:r>
              <w:rPr>
                <w:spacing w:val="-2"/>
              </w:rPr>
              <w:t xml:space="preserve">tis.). Jde zároveň </w:t>
            </w:r>
            <w:r w:rsidR="00BC7833">
              <w:rPr>
                <w:spacing w:val="-2"/>
              </w:rPr>
              <w:t>o </w:t>
            </w:r>
            <w:r>
              <w:rPr>
                <w:spacing w:val="-2"/>
              </w:rPr>
              <w:t xml:space="preserve">odvětví s celkově nejvyšší mzdovou úrovní </w:t>
            </w:r>
            <w:r w:rsidR="00BC7833">
              <w:rPr>
                <w:spacing w:val="-2"/>
              </w:rPr>
              <w:t>a </w:t>
            </w:r>
            <w:r>
              <w:rPr>
                <w:spacing w:val="-2"/>
              </w:rPr>
              <w:t xml:space="preserve">také s vysokou mzdovou variabilitou. Manažerské výdělky ve finančnictví přitom převyšovaly úroveň mezd vedoucích </w:t>
            </w:r>
            <w:r w:rsidR="00BC7833">
              <w:rPr>
                <w:spacing w:val="-2"/>
              </w:rPr>
              <w:t>a </w:t>
            </w:r>
            <w:r>
              <w:rPr>
                <w:spacing w:val="-2"/>
              </w:rPr>
              <w:t xml:space="preserve">řídících pracovníků v administrativních </w:t>
            </w:r>
            <w:r w:rsidR="00BC7833">
              <w:rPr>
                <w:spacing w:val="-2"/>
              </w:rPr>
              <w:t>a </w:t>
            </w:r>
            <w:r>
              <w:rPr>
                <w:spacing w:val="-2"/>
              </w:rPr>
              <w:t>podpůrných činnostech téměř trojnásobně. Velké odvětvové rozdíly panovaly rovněž ve třídě specialist</w:t>
            </w:r>
            <w:r w:rsidR="00D30575">
              <w:rPr>
                <w:spacing w:val="-2"/>
              </w:rPr>
              <w:t>ů</w:t>
            </w:r>
            <w:r>
              <w:rPr>
                <w:spacing w:val="-2"/>
              </w:rPr>
              <w:t>. Jejich průměrné výdělky v energetice byly dvakrát vyšší (6</w:t>
            </w:r>
            <w:r w:rsidR="00D82A1E">
              <w:rPr>
                <w:spacing w:val="-2"/>
              </w:rPr>
              <w:t>4 </w:t>
            </w:r>
            <w:r>
              <w:rPr>
                <w:spacing w:val="-2"/>
              </w:rPr>
              <w:t>tis. korun) než v ostatních činnostech služeb</w:t>
            </w:r>
            <w:r w:rsidRPr="00E12C96">
              <w:rPr>
                <w:rFonts w:cs="Arial"/>
                <w:spacing w:val="-4"/>
                <w:vertAlign w:val="superscript"/>
              </w:rPr>
              <w:footnoteReference w:id="24"/>
            </w:r>
            <w:r>
              <w:rPr>
                <w:spacing w:val="-2"/>
              </w:rPr>
              <w:t xml:space="preserve">. </w:t>
            </w:r>
            <w:r w:rsidR="00D30575">
              <w:rPr>
                <w:spacing w:val="-2"/>
              </w:rPr>
              <w:t xml:space="preserve">Relativně </w:t>
            </w:r>
            <w:r>
              <w:rPr>
                <w:spacing w:val="-2"/>
              </w:rPr>
              <w:t>velmi podprůměrné byly též výdělky specialistů ve vzdělávání (3</w:t>
            </w:r>
            <w:r w:rsidR="00D82A1E">
              <w:rPr>
                <w:spacing w:val="-2"/>
              </w:rPr>
              <w:t>7 </w:t>
            </w:r>
            <w:r>
              <w:rPr>
                <w:spacing w:val="-2"/>
              </w:rPr>
              <w:t>tis.), ti přitom v tomto odvětví tvoří více než nadpoloviční část všech zaměstnanců. O mnoho lépe na tom nebyl</w:t>
            </w:r>
            <w:r w:rsidR="00D30575">
              <w:rPr>
                <w:spacing w:val="-2"/>
              </w:rPr>
              <w:t>i</w:t>
            </w:r>
            <w:r>
              <w:rPr>
                <w:spacing w:val="-2"/>
              </w:rPr>
              <w:t xml:space="preserve"> ani specialisté </w:t>
            </w:r>
            <w:r w:rsidR="00BC7833">
              <w:rPr>
                <w:spacing w:val="-2"/>
              </w:rPr>
              <w:t>v </w:t>
            </w:r>
            <w:r>
              <w:rPr>
                <w:spacing w:val="-2"/>
              </w:rPr>
              <w:t>k</w:t>
            </w:r>
            <w:r w:rsidRPr="006A3038">
              <w:rPr>
                <w:spacing w:val="-2"/>
              </w:rPr>
              <w:t>ulturní</w:t>
            </w:r>
            <w:r>
              <w:rPr>
                <w:spacing w:val="-2"/>
              </w:rPr>
              <w:t>ch</w:t>
            </w:r>
            <w:r w:rsidRPr="006A3038">
              <w:rPr>
                <w:spacing w:val="-2"/>
              </w:rPr>
              <w:t>, zábavní</w:t>
            </w:r>
            <w:r>
              <w:rPr>
                <w:spacing w:val="-2"/>
              </w:rPr>
              <w:t>ch</w:t>
            </w:r>
            <w:r w:rsidRPr="006A3038">
              <w:rPr>
                <w:spacing w:val="-2"/>
              </w:rPr>
              <w:t xml:space="preserve"> </w:t>
            </w:r>
            <w:r w:rsidR="00BC7833" w:rsidRPr="006A3038">
              <w:rPr>
                <w:spacing w:val="-2"/>
              </w:rPr>
              <w:t>a</w:t>
            </w:r>
            <w:r w:rsidR="00BC7833">
              <w:rPr>
                <w:spacing w:val="-2"/>
              </w:rPr>
              <w:t> </w:t>
            </w:r>
            <w:r w:rsidRPr="006A3038">
              <w:rPr>
                <w:spacing w:val="-2"/>
              </w:rPr>
              <w:t>rekreační</w:t>
            </w:r>
            <w:r>
              <w:rPr>
                <w:spacing w:val="-2"/>
              </w:rPr>
              <w:t xml:space="preserve">ch činnostech. Pracovníci v této třídě dosahují v rámci odvětví s dominancí veřejného sektoru dlouhodobě nejlepšího postavení ve zdravotní </w:t>
            </w:r>
            <w:r w:rsidR="00BC7833">
              <w:rPr>
                <w:spacing w:val="-2"/>
              </w:rPr>
              <w:t>a </w:t>
            </w:r>
            <w:r>
              <w:rPr>
                <w:spacing w:val="-2"/>
              </w:rPr>
              <w:t>sociální péči (loni 5</w:t>
            </w:r>
            <w:r w:rsidR="00D82A1E">
              <w:rPr>
                <w:spacing w:val="-2"/>
              </w:rPr>
              <w:t>0 </w:t>
            </w:r>
            <w:r>
              <w:rPr>
                <w:spacing w:val="-2"/>
              </w:rPr>
              <w:t xml:space="preserve">tis. korun). V tomto odvětví jsou také patrné citelné diference výdělků mezi vysokoškoláky </w:t>
            </w:r>
            <w:r w:rsidR="00BC7833">
              <w:rPr>
                <w:spacing w:val="-2"/>
              </w:rPr>
              <w:t>a </w:t>
            </w:r>
            <w:r>
              <w:rPr>
                <w:spacing w:val="-2"/>
              </w:rPr>
              <w:t>pracovníky se středním vzděláním bez maturity, které se ale v poslední dekádě mírně snížily.</w:t>
            </w:r>
          </w:p>
        </w:tc>
      </w:tr>
      <w:tr w:rsidR="006F14C9" w:rsidRPr="005A2E40" w14:paraId="5DCF7B83" w14:textId="77777777" w:rsidTr="00A500A7">
        <w:trPr>
          <w:trHeight w:val="429"/>
        </w:trPr>
        <w:tc>
          <w:tcPr>
            <w:tcW w:w="1976" w:type="dxa"/>
            <w:tcBorders>
              <w:top w:val="nil"/>
              <w:left w:val="nil"/>
              <w:bottom w:val="nil"/>
              <w:right w:val="nil"/>
            </w:tcBorders>
          </w:tcPr>
          <w:p w14:paraId="4A727F59" w14:textId="77777777" w:rsidR="006F14C9" w:rsidRPr="00106639" w:rsidRDefault="006F14C9" w:rsidP="006F14C9">
            <w:pPr>
              <w:pStyle w:val="Marginlie"/>
            </w:pPr>
          </w:p>
        </w:tc>
        <w:tc>
          <w:tcPr>
            <w:tcW w:w="277" w:type="dxa"/>
            <w:tcBorders>
              <w:top w:val="nil"/>
              <w:left w:val="nil"/>
              <w:bottom w:val="nil"/>
              <w:right w:val="nil"/>
            </w:tcBorders>
          </w:tcPr>
          <w:p w14:paraId="258C64EE"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1608D202" w14:textId="77777777" w:rsidR="006F14C9" w:rsidRPr="00711FC2" w:rsidRDefault="006F14C9" w:rsidP="006F14C9">
            <w:pPr>
              <w:spacing w:after="0"/>
            </w:pPr>
            <w:r>
              <w:rPr>
                <w:b/>
              </w:rPr>
              <w:t xml:space="preserve">Graf </w:t>
            </w:r>
            <w:r w:rsidR="00BA35F3">
              <w:rPr>
                <w:b/>
              </w:rPr>
              <w:t>č. </w:t>
            </w:r>
            <w:r w:rsidR="00306AD7">
              <w:rPr>
                <w:b/>
              </w:rPr>
              <w:t>3</w:t>
            </w:r>
            <w:r>
              <w:rPr>
                <w:b/>
              </w:rPr>
              <w:t>0</w:t>
            </w:r>
            <w:r w:rsidRPr="003601A5">
              <w:rPr>
                <w:b/>
              </w:rPr>
              <w:t xml:space="preserve">  </w:t>
            </w:r>
            <w:r>
              <w:rPr>
                <w:b/>
              </w:rPr>
              <w:t>P</w:t>
            </w:r>
            <w:r w:rsidRPr="003601A5">
              <w:rPr>
                <w:b/>
              </w:rPr>
              <w:t>r</w:t>
            </w:r>
            <w:r>
              <w:rPr>
                <w:b/>
              </w:rPr>
              <w:t>ů</w:t>
            </w:r>
            <w:r w:rsidRPr="003601A5">
              <w:rPr>
                <w:b/>
              </w:rPr>
              <w:t>měrné mzdy v krajích dle hlavních tříd zaměstnání</w:t>
            </w:r>
            <w:r w:rsidRPr="00711FC2">
              <w:t xml:space="preserve"> </w:t>
            </w:r>
          </w:p>
          <w:p w14:paraId="6B6D5E81" w14:textId="140A8B0B" w:rsidR="006F14C9" w:rsidRPr="00711FC2" w:rsidRDefault="006F14C9" w:rsidP="006F14C9">
            <w:pPr>
              <w:spacing w:after="0"/>
            </w:pPr>
            <w:r w:rsidRPr="00711FC2">
              <w:t>(</w:t>
            </w:r>
            <w:r>
              <w:t>m</w:t>
            </w:r>
            <w:r w:rsidRPr="0059472E">
              <w:t xml:space="preserve">zda </w:t>
            </w:r>
            <w:r w:rsidR="00BC7833" w:rsidRPr="0059472E">
              <w:t>v</w:t>
            </w:r>
            <w:r w:rsidR="00BC7833">
              <w:t> </w:t>
            </w:r>
            <w:r w:rsidRPr="0059472E">
              <w:t xml:space="preserve">dané třídě zaměstnání </w:t>
            </w:r>
            <w:r w:rsidR="00BC7833" w:rsidRPr="0059472E">
              <w:t>v</w:t>
            </w:r>
            <w:r w:rsidR="00BC7833">
              <w:t> </w:t>
            </w:r>
            <w:r w:rsidRPr="0059472E">
              <w:t>ČR = 100, srovnání let 2012</w:t>
            </w:r>
            <w:r>
              <w:t xml:space="preserve">, 2015 </w:t>
            </w:r>
            <w:r w:rsidR="00BC7833">
              <w:t>a </w:t>
            </w:r>
            <w:r>
              <w:t>2018</w:t>
            </w:r>
            <w:r w:rsidR="007E2E62">
              <w:t>)</w:t>
            </w:r>
          </w:p>
        </w:tc>
      </w:tr>
      <w:tr w:rsidR="006F14C9" w14:paraId="5EECFAFE" w14:textId="77777777" w:rsidTr="00A500A7">
        <w:tblPrEx>
          <w:tblCellMar>
            <w:left w:w="70" w:type="dxa"/>
            <w:right w:w="70" w:type="dxa"/>
          </w:tblCellMar>
        </w:tblPrEx>
        <w:trPr>
          <w:trHeight w:val="429"/>
        </w:trPr>
        <w:tc>
          <w:tcPr>
            <w:tcW w:w="1976" w:type="dxa"/>
            <w:tcBorders>
              <w:top w:val="nil"/>
              <w:left w:val="nil"/>
              <w:bottom w:val="nil"/>
              <w:right w:val="nil"/>
            </w:tcBorders>
          </w:tcPr>
          <w:p w14:paraId="7BC24C25" w14:textId="77777777" w:rsidR="006F14C9" w:rsidRPr="00106639" w:rsidRDefault="006F14C9" w:rsidP="006F14C9">
            <w:pPr>
              <w:pStyle w:val="Marginlie"/>
            </w:pPr>
          </w:p>
        </w:tc>
        <w:tc>
          <w:tcPr>
            <w:tcW w:w="277" w:type="dxa"/>
            <w:tcBorders>
              <w:top w:val="nil"/>
              <w:left w:val="nil"/>
              <w:bottom w:val="nil"/>
              <w:right w:val="nil"/>
            </w:tcBorders>
          </w:tcPr>
          <w:p w14:paraId="67F0156F"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0073360B" w14:textId="77777777" w:rsidR="006F14C9" w:rsidRDefault="006F14C9" w:rsidP="006F14C9">
            <w:pPr>
              <w:spacing w:after="0"/>
            </w:pPr>
            <w:r>
              <w:rPr>
                <w:noProof/>
              </w:rPr>
              <w:drawing>
                <wp:inline distT="0" distB="0" distL="0" distR="0" wp14:anchorId="62768BD3" wp14:editId="78DEF850">
                  <wp:extent cx="4604385" cy="3386455"/>
                  <wp:effectExtent l="0" t="0" r="5715" b="4445"/>
                  <wp:docPr id="96" name="Graf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F14C9" w:rsidRPr="005A2E40" w14:paraId="06D681C8" w14:textId="77777777" w:rsidTr="00A500A7">
        <w:trPr>
          <w:trHeight w:val="429"/>
        </w:trPr>
        <w:tc>
          <w:tcPr>
            <w:tcW w:w="1976" w:type="dxa"/>
            <w:tcBorders>
              <w:top w:val="nil"/>
              <w:left w:val="nil"/>
              <w:bottom w:val="nil"/>
              <w:right w:val="nil"/>
            </w:tcBorders>
          </w:tcPr>
          <w:p w14:paraId="4465C88D" w14:textId="77777777" w:rsidR="006F14C9" w:rsidRPr="00106639" w:rsidRDefault="006F14C9" w:rsidP="006F14C9">
            <w:pPr>
              <w:pStyle w:val="Marginlie"/>
            </w:pPr>
          </w:p>
        </w:tc>
        <w:tc>
          <w:tcPr>
            <w:tcW w:w="277" w:type="dxa"/>
            <w:tcBorders>
              <w:top w:val="nil"/>
              <w:left w:val="nil"/>
              <w:bottom w:val="nil"/>
              <w:right w:val="nil"/>
            </w:tcBorders>
          </w:tcPr>
          <w:p w14:paraId="0FCBAC35"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139A1EB6" w14:textId="2B0752CD" w:rsidR="006F14C9" w:rsidRDefault="006F14C9" w:rsidP="006F14C9">
            <w:pPr>
              <w:spacing w:after="0"/>
              <w:rPr>
                <w:rFonts w:cs="Arial"/>
                <w:sz w:val="14"/>
                <w:szCs w:val="14"/>
              </w:rPr>
            </w:pPr>
            <w:r>
              <w:rPr>
                <w:rFonts w:cs="Arial"/>
                <w:sz w:val="14"/>
                <w:szCs w:val="14"/>
              </w:rPr>
              <w:t xml:space="preserve">Poznámka: Vzhledem k nízké spolehlivosti údajů v regionálním členění nejsou uvedeny třídy </w:t>
            </w:r>
            <w:r w:rsidR="008A4C18">
              <w:rPr>
                <w:rFonts w:cs="Arial"/>
                <w:sz w:val="14"/>
                <w:szCs w:val="14"/>
              </w:rPr>
              <w:t xml:space="preserve">kvalifikovaní </w:t>
            </w:r>
            <w:r>
              <w:rPr>
                <w:rFonts w:cs="Arial"/>
                <w:sz w:val="14"/>
                <w:szCs w:val="14"/>
              </w:rPr>
              <w:t xml:space="preserve">pracovníci v zemědělství, lesnictví </w:t>
            </w:r>
            <w:r w:rsidR="00BC7833">
              <w:rPr>
                <w:rFonts w:cs="Arial"/>
                <w:sz w:val="14"/>
                <w:szCs w:val="14"/>
              </w:rPr>
              <w:t>a </w:t>
            </w:r>
            <w:r>
              <w:rPr>
                <w:rFonts w:cs="Arial"/>
                <w:sz w:val="14"/>
                <w:szCs w:val="14"/>
              </w:rPr>
              <w:t xml:space="preserve">rybářství </w:t>
            </w:r>
            <w:r w:rsidR="00BC7833">
              <w:rPr>
                <w:rFonts w:cs="Arial"/>
                <w:sz w:val="14"/>
                <w:szCs w:val="14"/>
              </w:rPr>
              <w:t>a </w:t>
            </w:r>
            <w:r w:rsidR="008A4C18">
              <w:rPr>
                <w:rFonts w:cs="Arial"/>
                <w:sz w:val="14"/>
                <w:szCs w:val="14"/>
              </w:rPr>
              <w:t>z</w:t>
            </w:r>
            <w:r>
              <w:rPr>
                <w:rFonts w:cs="Arial"/>
                <w:sz w:val="14"/>
                <w:szCs w:val="14"/>
              </w:rPr>
              <w:t>aměstnanci v ozbrojených složkách.</w:t>
            </w:r>
          </w:p>
          <w:p w14:paraId="1A98DB1A" w14:textId="77777777" w:rsidR="006F14C9" w:rsidRDefault="006F14C9" w:rsidP="006F14C9">
            <w:pPr>
              <w:spacing w:after="0"/>
              <w:rPr>
                <w:rFonts w:cs="Arial"/>
                <w:sz w:val="14"/>
                <w:szCs w:val="14"/>
              </w:rPr>
            </w:pPr>
            <w:r>
              <w:rPr>
                <w:rFonts w:cs="Arial"/>
                <w:sz w:val="14"/>
                <w:szCs w:val="14"/>
              </w:rPr>
              <w:t xml:space="preserve">Zkratky krajů </w:t>
            </w:r>
            <w:r w:rsidR="00BC7833">
              <w:rPr>
                <w:rFonts w:cs="Arial"/>
                <w:sz w:val="14"/>
                <w:szCs w:val="14"/>
              </w:rPr>
              <w:t>u </w:t>
            </w:r>
            <w:r>
              <w:rPr>
                <w:rFonts w:cs="Arial"/>
                <w:sz w:val="14"/>
                <w:szCs w:val="14"/>
              </w:rPr>
              <w:t xml:space="preserve">rozpětí mimopražských regionů označují kraj s nejvyšší </w:t>
            </w:r>
            <w:r w:rsidR="00BC7833">
              <w:rPr>
                <w:rFonts w:cs="Arial"/>
                <w:sz w:val="14"/>
                <w:szCs w:val="14"/>
              </w:rPr>
              <w:t>a </w:t>
            </w:r>
            <w:r>
              <w:rPr>
                <w:rFonts w:cs="Arial"/>
                <w:sz w:val="14"/>
                <w:szCs w:val="14"/>
              </w:rPr>
              <w:t>nejnižší hodnotou.</w:t>
            </w:r>
          </w:p>
          <w:p w14:paraId="751A23A6" w14:textId="77777777" w:rsidR="006F14C9" w:rsidRPr="00711FC2" w:rsidRDefault="006F14C9" w:rsidP="006F14C9">
            <w:pPr>
              <w:spacing w:after="200"/>
            </w:pPr>
            <w:r w:rsidRPr="00444E6D">
              <w:rPr>
                <w:rFonts w:cs="Arial"/>
                <w:sz w:val="14"/>
                <w:szCs w:val="14"/>
              </w:rPr>
              <w:t xml:space="preserve">Zdroj: </w:t>
            </w:r>
            <w:r>
              <w:rPr>
                <w:rFonts w:cs="Arial"/>
                <w:sz w:val="14"/>
                <w:szCs w:val="14"/>
              </w:rPr>
              <w:t xml:space="preserve">MPSV </w:t>
            </w:r>
            <w:r w:rsidR="00BC7833">
              <w:rPr>
                <w:rFonts w:cs="Arial"/>
                <w:sz w:val="14"/>
                <w:szCs w:val="14"/>
              </w:rPr>
              <w:t>a </w:t>
            </w:r>
            <w:r>
              <w:rPr>
                <w:rFonts w:cs="Arial"/>
                <w:sz w:val="14"/>
                <w:szCs w:val="14"/>
              </w:rPr>
              <w:t>ČSÚ (Strukturální mzdová statistika)</w:t>
            </w:r>
          </w:p>
        </w:tc>
      </w:tr>
      <w:tr w:rsidR="006F14C9" w14:paraId="019D134A" w14:textId="77777777" w:rsidTr="00A500A7">
        <w:trPr>
          <w:trHeight w:val="145"/>
        </w:trPr>
        <w:tc>
          <w:tcPr>
            <w:tcW w:w="1976" w:type="dxa"/>
            <w:tcBorders>
              <w:top w:val="nil"/>
              <w:left w:val="nil"/>
              <w:bottom w:val="nil"/>
              <w:right w:val="nil"/>
            </w:tcBorders>
          </w:tcPr>
          <w:p w14:paraId="6E3D8D7A" w14:textId="77777777" w:rsidR="006F14C9" w:rsidRDefault="006F14C9" w:rsidP="006F14C9">
            <w:pPr>
              <w:pStyle w:val="Marginlie"/>
            </w:pPr>
            <w:r>
              <w:t xml:space="preserve">Dominance Prahy nad ostatními regiony ve výši průměrných výdělků klesá </w:t>
            </w:r>
            <w:r>
              <w:lastRenderedPageBreak/>
              <w:t>spolu s nižší kvalifikační úrovní zaměstnání.</w:t>
            </w:r>
          </w:p>
          <w:p w14:paraId="4A696786" w14:textId="77777777" w:rsidR="006F14C9" w:rsidRDefault="006F14C9" w:rsidP="006F14C9">
            <w:pPr>
              <w:pStyle w:val="Marginlie"/>
            </w:pPr>
          </w:p>
          <w:p w14:paraId="48B5503A" w14:textId="77777777" w:rsidR="006F14C9" w:rsidRDefault="006F14C9" w:rsidP="006F14C9">
            <w:pPr>
              <w:pStyle w:val="Marginlie"/>
            </w:pPr>
          </w:p>
          <w:p w14:paraId="6ED3A506" w14:textId="77777777" w:rsidR="006F14C9" w:rsidRDefault="006F14C9" w:rsidP="006F14C9">
            <w:pPr>
              <w:pStyle w:val="Marginlie"/>
            </w:pPr>
          </w:p>
          <w:p w14:paraId="486EBCDB" w14:textId="77777777" w:rsidR="006F14C9" w:rsidRDefault="006F14C9" w:rsidP="006F14C9">
            <w:pPr>
              <w:pStyle w:val="Marginlie"/>
            </w:pPr>
          </w:p>
          <w:p w14:paraId="5B500A21" w14:textId="5C8338BF" w:rsidR="006F14C9" w:rsidRDefault="006F14C9" w:rsidP="006F14C9">
            <w:pPr>
              <w:pStyle w:val="Marginlie"/>
            </w:pPr>
            <w:r>
              <w:t xml:space="preserve">Disparity mezi mimopražskými kraji se zvyšovaly zejména ve třídě zákonodárců </w:t>
            </w:r>
            <w:r w:rsidR="00BC7833">
              <w:t>a </w:t>
            </w:r>
            <w:r>
              <w:t xml:space="preserve">vedoucích </w:t>
            </w:r>
            <w:r w:rsidR="00D30575">
              <w:t>a</w:t>
            </w:r>
            <w:r>
              <w:t> řídících pracovníků.</w:t>
            </w:r>
          </w:p>
        </w:tc>
        <w:tc>
          <w:tcPr>
            <w:tcW w:w="277" w:type="dxa"/>
            <w:tcBorders>
              <w:top w:val="nil"/>
              <w:left w:val="nil"/>
              <w:bottom w:val="nil"/>
              <w:right w:val="nil"/>
            </w:tcBorders>
          </w:tcPr>
          <w:p w14:paraId="28A17566" w14:textId="77777777" w:rsidR="006F14C9" w:rsidRPr="005E4483" w:rsidRDefault="006F14C9" w:rsidP="006F14C9">
            <w:pPr>
              <w:pStyle w:val="Textpoznpodarou"/>
              <w:jc w:val="both"/>
              <w:rPr>
                <w:spacing w:val="-4"/>
              </w:rPr>
            </w:pPr>
          </w:p>
        </w:tc>
        <w:tc>
          <w:tcPr>
            <w:tcW w:w="7391" w:type="dxa"/>
            <w:tcBorders>
              <w:top w:val="nil"/>
              <w:left w:val="nil"/>
              <w:bottom w:val="nil"/>
              <w:right w:val="nil"/>
            </w:tcBorders>
          </w:tcPr>
          <w:p w14:paraId="552182A0" w14:textId="53005EB5" w:rsidR="006F14C9" w:rsidRDefault="00BC7833" w:rsidP="006F14C9">
            <w:pPr>
              <w:spacing w:after="0"/>
              <w:rPr>
                <w:rFonts w:cs="Arial"/>
                <w:color w:val="0D0D0D" w:themeColor="text1" w:themeTint="F2"/>
                <w:spacing w:val="-4"/>
              </w:rPr>
            </w:pPr>
            <w:r>
              <w:rPr>
                <w:rFonts w:cs="Arial"/>
                <w:color w:val="0D0D0D" w:themeColor="text1" w:themeTint="F2"/>
                <w:spacing w:val="-4"/>
              </w:rPr>
              <w:t>V </w:t>
            </w:r>
            <w:r w:rsidR="006F14C9">
              <w:rPr>
                <w:rFonts w:cs="Arial"/>
                <w:color w:val="0D0D0D" w:themeColor="text1" w:themeTint="F2"/>
                <w:spacing w:val="-4"/>
              </w:rPr>
              <w:t xml:space="preserve">oblasti regionálních disparit sledujeme v poslední dekádě postupné oslabování relativní převahy Prahy nad ostatními kraji. To je zjevně patrné zejména </w:t>
            </w:r>
            <w:r>
              <w:rPr>
                <w:rFonts w:cs="Arial"/>
                <w:color w:val="0D0D0D" w:themeColor="text1" w:themeTint="F2"/>
                <w:spacing w:val="-4"/>
              </w:rPr>
              <w:t>u </w:t>
            </w:r>
            <w:r w:rsidR="006F14C9">
              <w:rPr>
                <w:rFonts w:cs="Arial"/>
                <w:color w:val="0D0D0D" w:themeColor="text1" w:themeTint="F2"/>
                <w:spacing w:val="-4"/>
              </w:rPr>
              <w:t xml:space="preserve">průměrných </w:t>
            </w:r>
            <w:r w:rsidR="006F14C9">
              <w:rPr>
                <w:rFonts w:cs="Arial"/>
                <w:color w:val="0D0D0D" w:themeColor="text1" w:themeTint="F2"/>
                <w:spacing w:val="-4"/>
              </w:rPr>
              <w:lastRenderedPageBreak/>
              <w:t xml:space="preserve">mezd řídících pracovníků </w:t>
            </w:r>
            <w:r w:rsidR="002D4854">
              <w:rPr>
                <w:rFonts w:cs="Arial"/>
                <w:color w:val="0D0D0D" w:themeColor="text1" w:themeTint="F2"/>
                <w:spacing w:val="-4"/>
              </w:rPr>
              <w:t>a </w:t>
            </w:r>
            <w:r w:rsidR="006F14C9">
              <w:rPr>
                <w:rFonts w:cs="Arial"/>
                <w:color w:val="0D0D0D" w:themeColor="text1" w:themeTint="F2"/>
                <w:spacing w:val="-4"/>
              </w:rPr>
              <w:t xml:space="preserve">specialistů, ale </w:t>
            </w:r>
            <w:r w:rsidR="002D4854">
              <w:rPr>
                <w:rFonts w:cs="Arial"/>
                <w:color w:val="0D0D0D" w:themeColor="text1" w:themeTint="F2"/>
                <w:spacing w:val="-4"/>
              </w:rPr>
              <w:t>i </w:t>
            </w:r>
            <w:r>
              <w:rPr>
                <w:rFonts w:cs="Arial"/>
                <w:color w:val="0D0D0D" w:themeColor="text1" w:themeTint="F2"/>
                <w:spacing w:val="-4"/>
              </w:rPr>
              <w:t>u </w:t>
            </w:r>
            <w:r w:rsidR="006F14C9">
              <w:rPr>
                <w:rFonts w:cs="Arial"/>
                <w:color w:val="0D0D0D" w:themeColor="text1" w:themeTint="F2"/>
                <w:spacing w:val="-4"/>
              </w:rPr>
              <w:t xml:space="preserve">pomocných </w:t>
            </w:r>
            <w:r>
              <w:rPr>
                <w:rFonts w:cs="Arial"/>
                <w:color w:val="0D0D0D" w:themeColor="text1" w:themeTint="F2"/>
                <w:spacing w:val="-4"/>
              </w:rPr>
              <w:t>a </w:t>
            </w:r>
            <w:r w:rsidR="006F14C9">
              <w:rPr>
                <w:rFonts w:cs="Arial"/>
                <w:color w:val="0D0D0D" w:themeColor="text1" w:themeTint="F2"/>
                <w:spacing w:val="-4"/>
              </w:rPr>
              <w:t xml:space="preserve">nekvalifikovaných pracovníků. Na druhé straně se objevují </w:t>
            </w:r>
            <w:r>
              <w:rPr>
                <w:rFonts w:cs="Arial"/>
                <w:color w:val="0D0D0D" w:themeColor="text1" w:themeTint="F2"/>
                <w:spacing w:val="-4"/>
              </w:rPr>
              <w:t>i </w:t>
            </w:r>
            <w:r w:rsidR="006F14C9">
              <w:rPr>
                <w:rFonts w:cs="Arial"/>
                <w:color w:val="0D0D0D" w:themeColor="text1" w:themeTint="F2"/>
                <w:spacing w:val="-4"/>
              </w:rPr>
              <w:t xml:space="preserve">náznaky mírného rozevírání nůžek mezi mimopražskými regiony, hlavně </w:t>
            </w:r>
            <w:r>
              <w:rPr>
                <w:rFonts w:cs="Arial"/>
                <w:color w:val="0D0D0D" w:themeColor="text1" w:themeTint="F2"/>
                <w:spacing w:val="-4"/>
              </w:rPr>
              <w:t>u </w:t>
            </w:r>
            <w:r w:rsidR="006F14C9">
              <w:rPr>
                <w:rFonts w:cs="Arial"/>
                <w:color w:val="0D0D0D" w:themeColor="text1" w:themeTint="F2"/>
                <w:spacing w:val="-4"/>
              </w:rPr>
              <w:t>pracovníků v krajních třídách kvalifikačního spektra (tj.</w:t>
            </w:r>
            <w:r w:rsidR="002D4854">
              <w:rPr>
                <w:rFonts w:cs="Arial"/>
                <w:color w:val="0D0D0D" w:themeColor="text1" w:themeTint="F2"/>
                <w:spacing w:val="-4"/>
              </w:rPr>
              <w:t> u </w:t>
            </w:r>
            <w:r w:rsidR="006F14C9">
              <w:rPr>
                <w:rFonts w:cs="Arial"/>
                <w:color w:val="0D0D0D" w:themeColor="text1" w:themeTint="F2"/>
                <w:spacing w:val="-4"/>
              </w:rPr>
              <w:t xml:space="preserve">manažerských </w:t>
            </w:r>
            <w:r>
              <w:rPr>
                <w:rFonts w:cs="Arial"/>
                <w:color w:val="0D0D0D" w:themeColor="text1" w:themeTint="F2"/>
                <w:spacing w:val="-4"/>
              </w:rPr>
              <w:t>i </w:t>
            </w:r>
            <w:r w:rsidR="006F14C9">
              <w:rPr>
                <w:rFonts w:cs="Arial"/>
                <w:color w:val="0D0D0D" w:themeColor="text1" w:themeTint="F2"/>
                <w:spacing w:val="-4"/>
              </w:rPr>
              <w:t xml:space="preserve">nekvalifikovaných pozic), v menší míře </w:t>
            </w:r>
            <w:r>
              <w:rPr>
                <w:rFonts w:cs="Arial"/>
                <w:color w:val="0D0D0D" w:themeColor="text1" w:themeTint="F2"/>
                <w:spacing w:val="-4"/>
              </w:rPr>
              <w:t>i u </w:t>
            </w:r>
            <w:r w:rsidR="006F14C9">
              <w:rPr>
                <w:rFonts w:cs="Arial"/>
                <w:color w:val="0D0D0D" w:themeColor="text1" w:themeTint="F2"/>
                <w:spacing w:val="-4"/>
              </w:rPr>
              <w:t xml:space="preserve">úředníků. Na jejich čele se napříč kvalifikačními třídami objevuje nejčastěji Středočeský kraj, na straně minim pak především </w:t>
            </w:r>
            <w:r w:rsidR="002D4854">
              <w:rPr>
                <w:rFonts w:cs="Arial"/>
                <w:color w:val="0D0D0D" w:themeColor="text1" w:themeTint="F2"/>
                <w:spacing w:val="-4"/>
              </w:rPr>
              <w:t xml:space="preserve">kraje </w:t>
            </w:r>
            <w:r w:rsidR="006F14C9">
              <w:rPr>
                <w:rFonts w:cs="Arial"/>
                <w:color w:val="0D0D0D" w:themeColor="text1" w:themeTint="F2"/>
                <w:spacing w:val="-4"/>
              </w:rPr>
              <w:t xml:space="preserve">Karlovarský, Olomoucký </w:t>
            </w:r>
            <w:r>
              <w:rPr>
                <w:rFonts w:cs="Arial"/>
                <w:color w:val="0D0D0D" w:themeColor="text1" w:themeTint="F2"/>
                <w:spacing w:val="-4"/>
              </w:rPr>
              <w:t>a </w:t>
            </w:r>
            <w:r w:rsidR="006F14C9">
              <w:rPr>
                <w:rFonts w:cs="Arial"/>
                <w:color w:val="0D0D0D" w:themeColor="text1" w:themeTint="F2"/>
                <w:spacing w:val="-4"/>
              </w:rPr>
              <w:t xml:space="preserve">Moravskoslezský. Zvláštní bylo postavení Jihočeského kraje, který vévodil mimopražským regionům ve třídě pracovníků ve službách </w:t>
            </w:r>
            <w:r>
              <w:rPr>
                <w:rFonts w:cs="Arial"/>
                <w:color w:val="0D0D0D" w:themeColor="text1" w:themeTint="F2"/>
                <w:spacing w:val="-4"/>
              </w:rPr>
              <w:t>a </w:t>
            </w:r>
            <w:r w:rsidR="006F14C9">
              <w:rPr>
                <w:rFonts w:cs="Arial"/>
                <w:color w:val="0D0D0D" w:themeColor="text1" w:themeTint="F2"/>
                <w:spacing w:val="-4"/>
              </w:rPr>
              <w:t>prodeji (což patrně souviselo s rozvinutým cestovní</w:t>
            </w:r>
            <w:r w:rsidR="002D4854">
              <w:rPr>
                <w:rFonts w:cs="Arial"/>
                <w:color w:val="0D0D0D" w:themeColor="text1" w:themeTint="F2"/>
                <w:spacing w:val="-4"/>
              </w:rPr>
              <w:t>m</w:t>
            </w:r>
            <w:r w:rsidR="006F14C9">
              <w:rPr>
                <w:rFonts w:cs="Arial"/>
                <w:color w:val="0D0D0D" w:themeColor="text1" w:themeTint="F2"/>
                <w:spacing w:val="-4"/>
              </w:rPr>
              <w:t xml:space="preserve"> ruchem, jak dokládá i nadprůměrné postavení Karlovarského kraje). Naopak </w:t>
            </w:r>
            <w:r>
              <w:rPr>
                <w:rFonts w:cs="Arial"/>
                <w:color w:val="0D0D0D" w:themeColor="text1" w:themeTint="F2"/>
                <w:spacing w:val="-4"/>
              </w:rPr>
              <w:t>u </w:t>
            </w:r>
            <w:r w:rsidR="006F14C9">
              <w:rPr>
                <w:rFonts w:cs="Arial"/>
                <w:color w:val="0D0D0D" w:themeColor="text1" w:themeTint="F2"/>
                <w:spacing w:val="-4"/>
              </w:rPr>
              <w:t xml:space="preserve">specialistů měl tento kraj nejslabší pozici, výdělky zde </w:t>
            </w:r>
            <w:r>
              <w:rPr>
                <w:rFonts w:cs="Arial"/>
                <w:color w:val="0D0D0D" w:themeColor="text1" w:themeTint="F2"/>
                <w:spacing w:val="-4"/>
              </w:rPr>
              <w:t>o </w:t>
            </w:r>
            <w:r w:rsidR="006F14C9">
              <w:rPr>
                <w:rFonts w:cs="Arial"/>
                <w:color w:val="0D0D0D" w:themeColor="text1" w:themeTint="F2"/>
                <w:spacing w:val="-4"/>
              </w:rPr>
              <w:t>desetinu zaostávaly za Jihomoravským krajem (kde se projevoval vliv silně rozvinutého vysokého školství v kombinaci s vyšší koncentrací významných správních funkcí jako důsledek pozice druhého největšího centra Česka). Poměrně výraznými relativními regionálními rozdíly se překvapivě vyznačovaly výdělky pomocných a nekvalifikovaných pracovníků. V poslední dekádě zde nejvyššími průměrnými mzdami dominovaly kraje se silným zastoupením průmyslu (Středočeský, Plzeňský, Liberecký). Naopak pozice Prahy zde citelně oslabovala, loni byla dokonce poprvé na nejhorším místě mezi kraji (18,</w:t>
            </w:r>
            <w:r w:rsidR="00D82A1E">
              <w:rPr>
                <w:rFonts w:cs="Arial"/>
                <w:color w:val="0D0D0D" w:themeColor="text1" w:themeTint="F2"/>
                <w:spacing w:val="-4"/>
              </w:rPr>
              <w:t>5 </w:t>
            </w:r>
            <w:r w:rsidR="006F14C9">
              <w:rPr>
                <w:rFonts w:cs="Arial"/>
                <w:color w:val="0D0D0D" w:themeColor="text1" w:themeTint="F2"/>
                <w:spacing w:val="-4"/>
              </w:rPr>
              <w:t xml:space="preserve">tis. hrubého měsíčně) </w:t>
            </w:r>
            <w:r>
              <w:rPr>
                <w:rFonts w:cs="Arial"/>
                <w:color w:val="0D0D0D" w:themeColor="text1" w:themeTint="F2"/>
                <w:spacing w:val="-4"/>
              </w:rPr>
              <w:t>a </w:t>
            </w:r>
            <w:r w:rsidR="006F14C9">
              <w:rPr>
                <w:rFonts w:cs="Arial"/>
                <w:color w:val="0D0D0D" w:themeColor="text1" w:themeTint="F2"/>
                <w:spacing w:val="-4"/>
              </w:rPr>
              <w:t>na nejlépe postavený kraj Plzeňský zde zaměstnanci v průměru ztráceli bezmála čtyři tisíce korun.</w:t>
            </w:r>
          </w:p>
        </w:tc>
      </w:tr>
    </w:tbl>
    <w:p w14:paraId="11E6C353" w14:textId="78E37987" w:rsidR="008B4CC2" w:rsidRPr="008B4CC2" w:rsidRDefault="008B4CC2" w:rsidP="000F6340">
      <w:pPr>
        <w:pStyle w:val="Normalodrka"/>
        <w:numPr>
          <w:ilvl w:val="0"/>
          <w:numId w:val="0"/>
        </w:numPr>
        <w:spacing w:after="160"/>
        <w:rPr>
          <w:rFonts w:eastAsia="MS Gothic"/>
          <w:bCs/>
          <w:color w:val="71818C"/>
          <w:szCs w:val="20"/>
        </w:rPr>
      </w:pPr>
    </w:p>
    <w:sectPr w:rsidR="008B4CC2" w:rsidRPr="008B4CC2" w:rsidSect="006F5416">
      <w:headerReference w:type="even" r:id="rId18"/>
      <w:headerReference w:type="default" r:id="rId19"/>
      <w:footerReference w:type="even" r:id="rId20"/>
      <w:footerReference w:type="default" r:id="rId21"/>
      <w:footnotePr>
        <w:pos w:val="beneathText"/>
      </w:footnotePr>
      <w:pgSz w:w="11906" w:h="16838" w:code="9"/>
      <w:pgMar w:top="1134" w:right="1134" w:bottom="1418" w:left="1134" w:header="680" w:footer="68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A571AD" w16cid:durableId="2112BAA4"/>
  <w16cid:commentId w16cid:paraId="797DF3BF" w16cid:durableId="2112C741"/>
  <w16cid:commentId w16cid:paraId="5D9BFD76" w16cid:durableId="2112CAF1"/>
  <w16cid:commentId w16cid:paraId="4D2643BC" w16cid:durableId="2112D015"/>
  <w16cid:commentId w16cid:paraId="64EAC988" w16cid:durableId="21137880"/>
  <w16cid:commentId w16cid:paraId="5446B628" w16cid:durableId="211389B5"/>
  <w16cid:commentId w16cid:paraId="368D907F" w16cid:durableId="2113CB61"/>
  <w16cid:commentId w16cid:paraId="2E75A395" w16cid:durableId="21138B79"/>
  <w16cid:commentId w16cid:paraId="4E2854D6" w16cid:durableId="21138CCC"/>
  <w16cid:commentId w16cid:paraId="6D7E8A28" w16cid:durableId="2113CA35"/>
  <w16cid:commentId w16cid:paraId="322B2F7D" w16cid:durableId="2113CBFB"/>
  <w16cid:commentId w16cid:paraId="149A838A" w16cid:durableId="2113DEC4"/>
  <w16cid:commentId w16cid:paraId="12349168" w16cid:durableId="2113E013"/>
  <w16cid:commentId w16cid:paraId="27C8990F" w16cid:durableId="2113DC11"/>
  <w16cid:commentId w16cid:paraId="04071B5F" w16cid:durableId="2113E16E"/>
  <w16cid:commentId w16cid:paraId="447DAD33" w16cid:durableId="2114CE72"/>
  <w16cid:commentId w16cid:paraId="6ECA3228" w16cid:durableId="2114DDC4"/>
  <w16cid:commentId w16cid:paraId="77FF6D81" w16cid:durableId="2114DFBA"/>
  <w16cid:commentId w16cid:paraId="0890F7F0" w16cid:durableId="2114DB9F"/>
  <w16cid:commentId w16cid:paraId="60A4E397" w16cid:durableId="21141192"/>
  <w16cid:commentId w16cid:paraId="4F3D94F7" w16cid:durableId="21152395"/>
  <w16cid:commentId w16cid:paraId="635721EC" w16cid:durableId="21152AA2"/>
  <w16cid:commentId w16cid:paraId="6ED35DA1" w16cid:durableId="2115337B"/>
  <w16cid:commentId w16cid:paraId="2E561FF0" w16cid:durableId="21175359"/>
  <w16cid:commentId w16cid:paraId="0833B399" w16cid:durableId="211776E6"/>
  <w16cid:commentId w16cid:paraId="7FB202E3" w16cid:durableId="21177A5E"/>
  <w16cid:commentId w16cid:paraId="77C610BB" w16cid:durableId="211785A9"/>
  <w16cid:commentId w16cid:paraId="5945CE27" w16cid:durableId="2117B660"/>
  <w16cid:commentId w16cid:paraId="65B5C048" w16cid:durableId="2117C193"/>
  <w16cid:commentId w16cid:paraId="64DEABC3" w16cid:durableId="2117CCC1"/>
  <w16cid:commentId w16cid:paraId="290BB16F" w16cid:durableId="2117BCE5"/>
  <w16cid:commentId w16cid:paraId="6737B076" w16cid:durableId="2117DCF9"/>
  <w16cid:commentId w16cid:paraId="26EA541D" w16cid:durableId="21180946"/>
  <w16cid:commentId w16cid:paraId="3E19951C" w16cid:durableId="21180DF8"/>
  <w16cid:commentId w16cid:paraId="1468C132" w16cid:durableId="21189FD4"/>
  <w16cid:commentId w16cid:paraId="554224F1" w16cid:durableId="2118A096"/>
  <w16cid:commentId w16cid:paraId="60D37C55" w16cid:durableId="2118B1E6"/>
  <w16cid:commentId w16cid:paraId="588B042A" w16cid:durableId="2118A2F3"/>
  <w16cid:commentId w16cid:paraId="5DE0CF6E" w16cid:durableId="2118B48C"/>
  <w16cid:commentId w16cid:paraId="581472C4" w16cid:durableId="2118A3E1"/>
  <w16cid:commentId w16cid:paraId="18133820" w16cid:durableId="2118A6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669D3" w14:textId="77777777" w:rsidR="00C453CA" w:rsidRDefault="00C453CA" w:rsidP="00E71A58">
      <w:r>
        <w:separator/>
      </w:r>
    </w:p>
  </w:endnote>
  <w:endnote w:type="continuationSeparator" w:id="0">
    <w:p w14:paraId="08513697" w14:textId="77777777" w:rsidR="00C453CA" w:rsidRDefault="00C453C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00000003" w:usb1="00000000" w:usb2="00000000" w:usb3="00000000" w:csb0="00000001"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84EF" w14:textId="5D8A1D14" w:rsidR="004E684C" w:rsidRPr="00932443" w:rsidRDefault="004E684C" w:rsidP="00A418BC">
    <w:pPr>
      <w:pStyle w:val="Zpat"/>
      <w:rPr>
        <w:szCs w:val="16"/>
      </w:rPr>
    </w:pPr>
    <w:r>
      <w:rPr>
        <w:szCs w:val="16"/>
        <w:lang w:eastAsia="cs-CZ"/>
      </w:rPr>
      <w:drawing>
        <wp:anchor distT="0" distB="0" distL="114300" distR="114300" simplePos="0" relativeHeight="251658240" behindDoc="0" locked="0" layoutInCell="1" allowOverlap="1" wp14:anchorId="6E37B55D" wp14:editId="6A3597CF">
          <wp:simplePos x="0" y="0"/>
          <wp:positionH relativeFrom="column">
            <wp:align>right</wp:align>
          </wp:positionH>
          <wp:positionV relativeFrom="paragraph">
            <wp:posOffset>-64770</wp:posOffset>
          </wp:positionV>
          <wp:extent cx="428625" cy="201295"/>
          <wp:effectExtent l="0" t="0" r="3175" b="1905"/>
          <wp:wrapNone/>
          <wp:docPr id="113"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anchor>
      </w:drawing>
    </w:r>
    <w:r w:rsidRPr="00932443">
      <w:rPr>
        <w:szCs w:val="16"/>
      </w:rPr>
      <w:fldChar w:fldCharType="begin"/>
    </w:r>
    <w:r w:rsidRPr="00932443">
      <w:rPr>
        <w:szCs w:val="16"/>
      </w:rPr>
      <w:instrText>PAGE   \* MERGEFORMAT</w:instrText>
    </w:r>
    <w:r w:rsidRPr="00932443">
      <w:rPr>
        <w:szCs w:val="16"/>
      </w:rPr>
      <w:fldChar w:fldCharType="separate"/>
    </w:r>
    <w:r w:rsidR="00274CB3">
      <w:rPr>
        <w:szCs w:val="16"/>
      </w:rPr>
      <w:t>6</w:t>
    </w:r>
    <w:r w:rsidRPr="00932443">
      <w:rPr>
        <w:szCs w:val="16"/>
      </w:rPr>
      <w:fldChar w:fldCharType="end"/>
    </w:r>
    <w:r w:rsidRPr="00932443">
      <w:rPr>
        <w:szCs w:val="16"/>
      </w:rPr>
      <w:tab/>
    </w:r>
    <w:r>
      <w:rPr>
        <w:szCs w:val="16"/>
      </w:rPr>
      <w:t>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6E2E" w14:textId="1443A98B" w:rsidR="004E684C" w:rsidRPr="00932443" w:rsidRDefault="004E684C" w:rsidP="00A418BC">
    <w:pPr>
      <w:pStyle w:val="Zpat"/>
      <w:rPr>
        <w:szCs w:val="16"/>
      </w:rPr>
    </w:pPr>
    <w:r>
      <w:rPr>
        <w:szCs w:val="16"/>
        <w:lang w:eastAsia="cs-CZ"/>
      </w:rPr>
      <w:drawing>
        <wp:anchor distT="0" distB="0" distL="114300" distR="114300" simplePos="0" relativeHeight="251657216" behindDoc="0" locked="0" layoutInCell="1" allowOverlap="1" wp14:anchorId="250DD71D" wp14:editId="1F023121">
          <wp:simplePos x="0" y="0"/>
          <wp:positionH relativeFrom="column">
            <wp:align>left</wp:align>
          </wp:positionH>
          <wp:positionV relativeFrom="paragraph">
            <wp:posOffset>-122555</wp:posOffset>
          </wp:positionV>
          <wp:extent cx="510540" cy="272415"/>
          <wp:effectExtent l="0" t="0" r="0" b="6985"/>
          <wp:wrapNone/>
          <wp:docPr id="114"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anchor>
      </w:drawing>
    </w:r>
    <w:r w:rsidRPr="00932443">
      <w:rPr>
        <w:szCs w:val="16"/>
      </w:rPr>
      <w:tab/>
    </w:r>
    <w:r>
      <w:rPr>
        <w:rStyle w:val="ZpatChar"/>
        <w:szCs w:val="16"/>
      </w:rPr>
      <w:t>2019</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74CB3">
      <w:rPr>
        <w:rStyle w:val="ZpatChar"/>
        <w:szCs w:val="16"/>
      </w:rPr>
      <w:t>1</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8FFEF" w14:textId="77777777" w:rsidR="00C453CA" w:rsidRDefault="00C453CA" w:rsidP="0084727E">
      <w:pPr>
        <w:spacing w:after="0"/>
      </w:pPr>
      <w:r>
        <w:separator/>
      </w:r>
    </w:p>
  </w:footnote>
  <w:footnote w:type="continuationSeparator" w:id="0">
    <w:p w14:paraId="58A9F286" w14:textId="77777777" w:rsidR="00C453CA" w:rsidRDefault="00C453CA" w:rsidP="00E71A58">
      <w:r>
        <w:continuationSeparator/>
      </w:r>
    </w:p>
  </w:footnote>
  <w:footnote w:id="1">
    <w:p w14:paraId="7E194BC5" w14:textId="40E739C8" w:rsidR="004E684C" w:rsidRPr="00E93575" w:rsidRDefault="004E684C" w:rsidP="008B4CC2">
      <w:pPr>
        <w:pStyle w:val="Textpoznpodarou"/>
        <w:rPr>
          <w:spacing w:val="-4"/>
          <w:sz w:val="16"/>
          <w:szCs w:val="16"/>
        </w:rPr>
      </w:pPr>
      <w:r w:rsidRPr="00E93575">
        <w:rPr>
          <w:rStyle w:val="Znakapoznpodarou"/>
          <w:spacing w:val="-4"/>
          <w:sz w:val="16"/>
          <w:szCs w:val="16"/>
        </w:rPr>
        <w:footnoteRef/>
      </w:r>
      <w:r w:rsidRPr="00E93575">
        <w:rPr>
          <w:spacing w:val="-4"/>
          <w:sz w:val="16"/>
          <w:szCs w:val="16"/>
        </w:rPr>
        <w:t xml:space="preserve"> Nen</w:t>
      </w:r>
      <w:r>
        <w:rPr>
          <w:spacing w:val="-4"/>
          <w:sz w:val="16"/>
          <w:szCs w:val="16"/>
        </w:rPr>
        <w:t xml:space="preserve">í-li uvedeno jinak, pocházejí následující údaje </w:t>
      </w:r>
      <w:r w:rsidRPr="00E93575">
        <w:rPr>
          <w:spacing w:val="-4"/>
          <w:sz w:val="16"/>
          <w:szCs w:val="16"/>
        </w:rPr>
        <w:t>o</w:t>
      </w:r>
      <w:r>
        <w:rPr>
          <w:spacing w:val="-4"/>
          <w:sz w:val="16"/>
          <w:szCs w:val="16"/>
        </w:rPr>
        <w:t> </w:t>
      </w:r>
      <w:r w:rsidRPr="00E93575">
        <w:rPr>
          <w:spacing w:val="-4"/>
          <w:sz w:val="16"/>
          <w:szCs w:val="16"/>
        </w:rPr>
        <w:t>mzdách v této kapitole z</w:t>
      </w:r>
      <w:r>
        <w:rPr>
          <w:spacing w:val="-4"/>
          <w:sz w:val="16"/>
          <w:szCs w:val="16"/>
        </w:rPr>
        <w:t> </w:t>
      </w:r>
      <w:r>
        <w:rPr>
          <w:iCs/>
          <w:color w:val="0D0D0D" w:themeColor="text1" w:themeTint="F2"/>
          <w:spacing w:val="-4"/>
          <w:sz w:val="16"/>
          <w:szCs w:val="16"/>
        </w:rPr>
        <w:t>pravidelných čtvrtletních šetření ČSÚ v podnicích. Průměrná mzda je vyjádřena k přepočtenému stavu zaměstnanců (tj. jsou zohledněny rozdíly v délce úvazků).</w:t>
      </w:r>
    </w:p>
  </w:footnote>
  <w:footnote w:id="2">
    <w:p w14:paraId="2B7CB08A" w14:textId="41E60633" w:rsidR="004E684C" w:rsidRPr="00E93575" w:rsidRDefault="004E684C" w:rsidP="008B4CC2">
      <w:pPr>
        <w:pStyle w:val="Textpoznpodarou"/>
        <w:rPr>
          <w:spacing w:val="-4"/>
          <w:sz w:val="16"/>
          <w:szCs w:val="16"/>
        </w:rPr>
      </w:pPr>
      <w:r w:rsidRPr="00E93575">
        <w:rPr>
          <w:rStyle w:val="Znakapoznpodarou"/>
          <w:spacing w:val="-4"/>
          <w:sz w:val="16"/>
          <w:szCs w:val="16"/>
        </w:rPr>
        <w:footnoteRef/>
      </w:r>
      <w:r>
        <w:rPr>
          <w:spacing w:val="-4"/>
          <w:sz w:val="16"/>
          <w:szCs w:val="16"/>
        </w:rPr>
        <w:t xml:space="preserve"> Zatímco v prvních třech čtvrtletích roku 2018 se mezikvartální růst průměrných mezd pohyboval v rozpětí 2,0 až 2,2 %, na sklonku roku činil jen 1,5 %. Ve 4. čtvrtletí oslabilo i meziroční tempo – na 6,5 %, v předchozí části roku činilo v průměru 7,9 %. Zčásti to bylo způsobeno specifickou situací v odvětví vzdělávání (vysoká srovnávací základna vlivem svižného navýšení platů na konci roku 2017 a současně posunutím plánovaného loňského navýšení platů pedagogů až na počátek roku 2019). Meziroční tempo ale mírně zvolnilo i v některých významných tržních odvětvích ekonomiky (např. v obchodu či ve zpracovatelském průmyslu), kde není mzdový vývoj krátkodobě narušen nepravidelnými zásahy státu.</w:t>
      </w:r>
    </w:p>
  </w:footnote>
  <w:footnote w:id="3">
    <w:p w14:paraId="698D6E3B" w14:textId="77777777" w:rsidR="004E684C" w:rsidRPr="00E93575" w:rsidRDefault="004E684C" w:rsidP="008B4CC2">
      <w:pPr>
        <w:pStyle w:val="Textpoznpodarou"/>
        <w:rPr>
          <w:spacing w:val="-4"/>
          <w:sz w:val="16"/>
          <w:szCs w:val="16"/>
        </w:rPr>
      </w:pPr>
      <w:r w:rsidRPr="00E93575">
        <w:rPr>
          <w:rStyle w:val="Znakapoznpodarou"/>
          <w:spacing w:val="-4"/>
          <w:sz w:val="16"/>
          <w:szCs w:val="16"/>
        </w:rPr>
        <w:footnoteRef/>
      </w:r>
      <w:r>
        <w:rPr>
          <w:spacing w:val="-4"/>
          <w:sz w:val="16"/>
          <w:szCs w:val="16"/>
        </w:rPr>
        <w:t xml:space="preserve"> V těchto odvětvích zároveň v posledních letech rychleji rostl podíl zkrácených pracovních úvazků.</w:t>
      </w:r>
    </w:p>
  </w:footnote>
  <w:footnote w:id="4">
    <w:p w14:paraId="71CAADF0" w14:textId="25DAF899" w:rsidR="004E684C" w:rsidRPr="00D9678D" w:rsidRDefault="004E684C" w:rsidP="008B4CC2">
      <w:pPr>
        <w:pStyle w:val="Textpoznpodarou"/>
        <w:rPr>
          <w:sz w:val="16"/>
          <w:szCs w:val="16"/>
          <w:highlight w:val="yellow"/>
        </w:rPr>
      </w:pPr>
      <w:r w:rsidRPr="00E93575">
        <w:rPr>
          <w:rStyle w:val="Znakapoznpodarou"/>
          <w:spacing w:val="-4"/>
          <w:sz w:val="16"/>
          <w:szCs w:val="16"/>
        </w:rPr>
        <w:footnoteRef/>
      </w:r>
      <w:r>
        <w:rPr>
          <w:spacing w:val="-4"/>
          <w:sz w:val="16"/>
          <w:szCs w:val="16"/>
        </w:rPr>
        <w:t xml:space="preserve"> Tato skutečnost je částečně kompenzována tradičně vyšší rolí zaměstnaneckých benefitů, tj. různých </w:t>
      </w:r>
      <w:r>
        <w:rPr>
          <w:sz w:val="16"/>
          <w:szCs w:val="16"/>
        </w:rPr>
        <w:t xml:space="preserve">sociálních požitků, ale i dalších nepřímých nákladů práce, z nichž zaměstnanci profitují (náklady na školení, ošatné, </w:t>
      </w:r>
      <w:r w:rsidRPr="0010367D">
        <w:rPr>
          <w:sz w:val="16"/>
          <w:szCs w:val="16"/>
        </w:rPr>
        <w:t>nadstandardní programy sociálního zabezpečení</w:t>
      </w:r>
      <w:r>
        <w:rPr>
          <w:sz w:val="16"/>
          <w:szCs w:val="16"/>
        </w:rPr>
        <w:t xml:space="preserve"> či odstupné). Jejich poměr (vztažený k přímým nákladům práce – tedy mzdám a platům, vč. náhrad za neodpracovanou dobu) dosáhl v roce 2017 v </w:t>
      </w:r>
      <w:r w:rsidRPr="00D9678D">
        <w:rPr>
          <w:sz w:val="16"/>
          <w:szCs w:val="16"/>
        </w:rPr>
        <w:t>peněžnictví a</w:t>
      </w:r>
      <w:r>
        <w:rPr>
          <w:sz w:val="16"/>
          <w:szCs w:val="16"/>
        </w:rPr>
        <w:t> </w:t>
      </w:r>
      <w:r w:rsidRPr="00D9678D">
        <w:rPr>
          <w:sz w:val="16"/>
          <w:szCs w:val="16"/>
        </w:rPr>
        <w:t>pojišťovnictví 6,4</w:t>
      </w:r>
      <w:r>
        <w:rPr>
          <w:sz w:val="16"/>
          <w:szCs w:val="16"/>
        </w:rPr>
        <w:t> %</w:t>
      </w:r>
      <w:r w:rsidRPr="00D9678D">
        <w:rPr>
          <w:sz w:val="16"/>
          <w:szCs w:val="16"/>
        </w:rPr>
        <w:t xml:space="preserve"> a</w:t>
      </w:r>
      <w:r>
        <w:rPr>
          <w:sz w:val="16"/>
          <w:szCs w:val="16"/>
        </w:rPr>
        <w:t> </w:t>
      </w:r>
      <w:r w:rsidRPr="00D9678D">
        <w:rPr>
          <w:sz w:val="16"/>
          <w:szCs w:val="16"/>
        </w:rPr>
        <w:t>patřil k</w:t>
      </w:r>
      <w:r>
        <w:rPr>
          <w:sz w:val="16"/>
          <w:szCs w:val="16"/>
        </w:rPr>
        <w:t> </w:t>
      </w:r>
      <w:r w:rsidRPr="00D9678D">
        <w:rPr>
          <w:sz w:val="16"/>
          <w:szCs w:val="16"/>
        </w:rPr>
        <w:t>nejvyšším mezi hlavními odvětvími (po odvětví energetiky a</w:t>
      </w:r>
      <w:r>
        <w:rPr>
          <w:sz w:val="16"/>
          <w:szCs w:val="16"/>
        </w:rPr>
        <w:t> </w:t>
      </w:r>
      <w:r w:rsidRPr="00D9678D">
        <w:rPr>
          <w:sz w:val="16"/>
          <w:szCs w:val="16"/>
        </w:rPr>
        <w:t>těžby, kde se pohyboval okolo 10</w:t>
      </w:r>
      <w:r>
        <w:rPr>
          <w:sz w:val="16"/>
          <w:szCs w:val="16"/>
        </w:rPr>
        <w:t> %</w:t>
      </w:r>
      <w:r w:rsidRPr="00D9678D">
        <w:rPr>
          <w:sz w:val="16"/>
          <w:szCs w:val="16"/>
        </w:rPr>
        <w:t>).</w:t>
      </w:r>
    </w:p>
  </w:footnote>
  <w:footnote w:id="5">
    <w:p w14:paraId="077FCE98" w14:textId="307A261B" w:rsidR="004E684C" w:rsidRPr="008E2BD6" w:rsidRDefault="004E684C" w:rsidP="008E0EB6">
      <w:pPr>
        <w:pStyle w:val="Normlnweb"/>
        <w:spacing w:before="120" w:beforeAutospacing="0" w:after="0" w:afterAutospacing="0"/>
        <w:jc w:val="both"/>
        <w:rPr>
          <w:rFonts w:ascii="Arial" w:hAnsi="Arial" w:cs="Arial"/>
          <w:spacing w:val="-2"/>
          <w:sz w:val="16"/>
          <w:szCs w:val="16"/>
        </w:rPr>
      </w:pPr>
      <w:r w:rsidRPr="008E2BD6">
        <w:rPr>
          <w:rStyle w:val="Znakapoznpodarou"/>
          <w:rFonts w:ascii="Arial" w:hAnsi="Arial" w:cs="Arial"/>
          <w:spacing w:val="-2"/>
          <w:sz w:val="16"/>
          <w:szCs w:val="16"/>
        </w:rPr>
        <w:footnoteRef/>
      </w:r>
      <w:r w:rsidRPr="008E2BD6">
        <w:rPr>
          <w:rFonts w:ascii="Arial" w:hAnsi="Arial" w:cs="Arial"/>
          <w:spacing w:val="-2"/>
          <w:sz w:val="16"/>
          <w:szCs w:val="16"/>
        </w:rPr>
        <w:t xml:space="preserve"> </w:t>
      </w:r>
      <w:r w:rsidRPr="008E2BD6">
        <w:rPr>
          <w:rFonts w:ascii="Arial" w:hAnsi="Arial" w:cs="Arial"/>
          <w:color w:val="0D0D0D" w:themeColor="text1" w:themeTint="F2"/>
          <w:spacing w:val="-2"/>
          <w:sz w:val="16"/>
          <w:szCs w:val="16"/>
        </w:rPr>
        <w:t xml:space="preserve">Uvedené postavení vyplývá z oficiálně deklarovaných mezd </w:t>
      </w:r>
      <w:r>
        <w:rPr>
          <w:rFonts w:ascii="Arial" w:hAnsi="Arial" w:cs="Arial"/>
          <w:color w:val="0D0D0D" w:themeColor="text1" w:themeTint="F2"/>
          <w:spacing w:val="-2"/>
          <w:sz w:val="16"/>
          <w:szCs w:val="16"/>
        </w:rPr>
        <w:t xml:space="preserve">za </w:t>
      </w:r>
      <w:r w:rsidRPr="008E2BD6">
        <w:rPr>
          <w:rFonts w:ascii="Arial" w:hAnsi="Arial" w:cs="Arial"/>
          <w:color w:val="0D0D0D" w:themeColor="text1" w:themeTint="F2"/>
          <w:spacing w:val="-2"/>
          <w:sz w:val="16"/>
          <w:szCs w:val="16"/>
        </w:rPr>
        <w:t>osob</w:t>
      </w:r>
      <w:r>
        <w:rPr>
          <w:rFonts w:ascii="Arial" w:hAnsi="Arial" w:cs="Arial"/>
          <w:color w:val="0D0D0D" w:themeColor="text1" w:themeTint="F2"/>
          <w:spacing w:val="-2"/>
          <w:sz w:val="16"/>
          <w:szCs w:val="16"/>
        </w:rPr>
        <w:t>y pracující</w:t>
      </w:r>
      <w:r w:rsidRPr="008E2BD6">
        <w:rPr>
          <w:rFonts w:ascii="Arial" w:hAnsi="Arial" w:cs="Arial"/>
          <w:color w:val="0D0D0D" w:themeColor="text1" w:themeTint="F2"/>
          <w:spacing w:val="-2"/>
          <w:sz w:val="16"/>
          <w:szCs w:val="16"/>
        </w:rPr>
        <w:t xml:space="preserve"> v tomto kraji. Příjmová pozice domácností žijících v Karlovarském kraji je oproti tomu příznivější, mj.</w:t>
      </w:r>
      <w:r>
        <w:rPr>
          <w:rFonts w:ascii="Arial" w:hAnsi="Arial" w:cs="Arial"/>
          <w:color w:val="0D0D0D" w:themeColor="text1" w:themeTint="F2"/>
          <w:spacing w:val="-2"/>
          <w:sz w:val="16"/>
          <w:szCs w:val="16"/>
        </w:rPr>
        <w:t> </w:t>
      </w:r>
      <w:r w:rsidRPr="008E2BD6">
        <w:rPr>
          <w:rFonts w:ascii="Arial" w:hAnsi="Arial" w:cs="Arial"/>
          <w:color w:val="0D0D0D" w:themeColor="text1" w:themeTint="F2"/>
          <w:spacing w:val="-2"/>
          <w:sz w:val="16"/>
          <w:szCs w:val="16"/>
        </w:rPr>
        <w:t>možnostmi zaměstnání mimo kraj (zejména v Německu) či vlivem šedé ekonomiky.</w:t>
      </w:r>
    </w:p>
  </w:footnote>
  <w:footnote w:id="6">
    <w:p w14:paraId="4D25612E" w14:textId="606EAA94" w:rsidR="004E684C" w:rsidRPr="00960B76" w:rsidRDefault="004E684C" w:rsidP="008E0EB6">
      <w:pPr>
        <w:pStyle w:val="Normlnweb"/>
        <w:spacing w:before="0" w:beforeAutospacing="0" w:after="0" w:afterAutospacing="0"/>
        <w:jc w:val="both"/>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color w:val="0D0D0D" w:themeColor="text1" w:themeTint="F2"/>
          <w:spacing w:val="-2"/>
          <w:sz w:val="16"/>
          <w:szCs w:val="16"/>
        </w:rPr>
        <w:t>Např. v roce 2018 zde vzrostl jejich počet meziročně o 4,4 %, nejvíce ze všech krajů (tempo v celé ČR činilo jen 1,3 %). Nadprůměrný růst zaměstnanosti je zároveň dlouhodobě typický a souvisí s vysokou atraktivitou metropole pro pracovníky z tuzemska i zahraničí.</w:t>
      </w:r>
    </w:p>
  </w:footnote>
  <w:footnote w:id="7">
    <w:p w14:paraId="2E0DF1E3" w14:textId="370E12B9" w:rsidR="004E684C" w:rsidRPr="00960B76" w:rsidRDefault="004E684C" w:rsidP="008E0EB6">
      <w:pPr>
        <w:pStyle w:val="Normlnweb"/>
        <w:spacing w:before="0" w:beforeAutospacing="0" w:after="0" w:afterAutospacing="0"/>
        <w:jc w:val="both"/>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sidRPr="00257FB1">
        <w:rPr>
          <w:rFonts w:ascii="Arial" w:hAnsi="Arial" w:cs="Arial"/>
          <w:color w:val="0D0D0D" w:themeColor="text1" w:themeTint="F2"/>
          <w:spacing w:val="-4"/>
          <w:sz w:val="16"/>
          <w:szCs w:val="16"/>
        </w:rPr>
        <w:t>Šlo především o</w:t>
      </w:r>
      <w:r>
        <w:rPr>
          <w:rFonts w:ascii="Arial" w:hAnsi="Arial" w:cs="Arial"/>
          <w:color w:val="0D0D0D" w:themeColor="text1" w:themeTint="F2"/>
          <w:spacing w:val="-4"/>
          <w:sz w:val="16"/>
          <w:szCs w:val="16"/>
        </w:rPr>
        <w:t> </w:t>
      </w:r>
      <w:r w:rsidRPr="00257FB1">
        <w:rPr>
          <w:rFonts w:ascii="Arial" w:hAnsi="Arial" w:cs="Arial"/>
          <w:color w:val="0D0D0D" w:themeColor="text1" w:themeTint="F2"/>
          <w:spacing w:val="-4"/>
          <w:sz w:val="16"/>
          <w:szCs w:val="16"/>
        </w:rPr>
        <w:t>administrativní a</w:t>
      </w:r>
      <w:r>
        <w:rPr>
          <w:rFonts w:ascii="Arial" w:hAnsi="Arial" w:cs="Arial"/>
          <w:color w:val="0D0D0D" w:themeColor="text1" w:themeTint="F2"/>
          <w:spacing w:val="-4"/>
          <w:sz w:val="16"/>
          <w:szCs w:val="16"/>
        </w:rPr>
        <w:t> </w:t>
      </w:r>
      <w:r w:rsidRPr="00257FB1">
        <w:rPr>
          <w:rFonts w:ascii="Arial" w:hAnsi="Arial" w:cs="Arial"/>
          <w:color w:val="0D0D0D" w:themeColor="text1" w:themeTint="F2"/>
          <w:spacing w:val="-4"/>
          <w:sz w:val="16"/>
          <w:szCs w:val="16"/>
        </w:rPr>
        <w:t>podpůrné činnosti, kam jsou v</w:t>
      </w:r>
      <w:r>
        <w:rPr>
          <w:rFonts w:ascii="Arial" w:hAnsi="Arial" w:cs="Arial"/>
          <w:color w:val="0D0D0D" w:themeColor="text1" w:themeTint="F2"/>
          <w:spacing w:val="-4"/>
          <w:sz w:val="16"/>
          <w:szCs w:val="16"/>
        </w:rPr>
        <w:t> </w:t>
      </w:r>
      <w:r w:rsidRPr="00257FB1">
        <w:rPr>
          <w:rFonts w:ascii="Arial" w:hAnsi="Arial" w:cs="Arial"/>
          <w:color w:val="0D0D0D" w:themeColor="text1" w:themeTint="F2"/>
          <w:spacing w:val="-4"/>
          <w:sz w:val="16"/>
          <w:szCs w:val="16"/>
        </w:rPr>
        <w:t>podnikovém výkaznictví řazeni i</w:t>
      </w:r>
      <w:r>
        <w:rPr>
          <w:rFonts w:ascii="Arial" w:hAnsi="Arial" w:cs="Arial"/>
          <w:color w:val="0D0D0D" w:themeColor="text1" w:themeTint="F2"/>
          <w:spacing w:val="-4"/>
          <w:sz w:val="16"/>
          <w:szCs w:val="16"/>
        </w:rPr>
        <w:t> </w:t>
      </w:r>
      <w:r w:rsidRPr="00257FB1">
        <w:rPr>
          <w:rFonts w:ascii="Arial" w:hAnsi="Arial" w:cs="Arial"/>
          <w:color w:val="0D0D0D" w:themeColor="text1" w:themeTint="F2"/>
          <w:spacing w:val="-4"/>
          <w:sz w:val="16"/>
          <w:szCs w:val="16"/>
        </w:rPr>
        <w:t>agenturní pracovníci</w:t>
      </w:r>
      <w:r>
        <w:rPr>
          <w:rFonts w:ascii="Arial" w:hAnsi="Arial" w:cs="Arial"/>
          <w:color w:val="0D0D0D" w:themeColor="text1" w:themeTint="F2"/>
          <w:spacing w:val="-4"/>
          <w:sz w:val="16"/>
          <w:szCs w:val="16"/>
        </w:rPr>
        <w:t>,</w:t>
      </w:r>
      <w:r w:rsidRPr="00257FB1">
        <w:rPr>
          <w:rFonts w:ascii="Arial" w:hAnsi="Arial" w:cs="Arial"/>
          <w:color w:val="0D0D0D" w:themeColor="text1" w:themeTint="F2"/>
          <w:spacing w:val="-4"/>
          <w:sz w:val="16"/>
          <w:szCs w:val="16"/>
        </w:rPr>
        <w:t xml:space="preserve"> a</w:t>
      </w:r>
      <w:r>
        <w:rPr>
          <w:rFonts w:ascii="Arial" w:hAnsi="Arial" w:cs="Arial"/>
          <w:color w:val="0D0D0D" w:themeColor="text1" w:themeTint="F2"/>
          <w:spacing w:val="-4"/>
          <w:sz w:val="16"/>
          <w:szCs w:val="16"/>
        </w:rPr>
        <w:t> </w:t>
      </w:r>
      <w:r w:rsidRPr="00257FB1">
        <w:rPr>
          <w:rFonts w:ascii="Arial" w:hAnsi="Arial" w:cs="Arial"/>
          <w:color w:val="0D0D0D" w:themeColor="text1" w:themeTint="F2"/>
          <w:spacing w:val="-4"/>
          <w:sz w:val="16"/>
          <w:szCs w:val="16"/>
        </w:rPr>
        <w:t>aktivity spojené s cestovním ruchem. Průměrné mzdy v těchto odvětví</w:t>
      </w:r>
      <w:r>
        <w:rPr>
          <w:rFonts w:ascii="Arial" w:hAnsi="Arial" w:cs="Arial"/>
          <w:color w:val="0D0D0D" w:themeColor="text1" w:themeTint="F2"/>
          <w:spacing w:val="-4"/>
          <w:sz w:val="16"/>
          <w:szCs w:val="16"/>
        </w:rPr>
        <w:t>ch</w:t>
      </w:r>
      <w:r w:rsidRPr="00257FB1">
        <w:rPr>
          <w:rFonts w:ascii="Arial" w:hAnsi="Arial" w:cs="Arial"/>
          <w:color w:val="0D0D0D" w:themeColor="text1" w:themeTint="F2"/>
          <w:spacing w:val="-4"/>
          <w:sz w:val="16"/>
          <w:szCs w:val="16"/>
        </w:rPr>
        <w:t xml:space="preserve"> se v poslední dekádě </w:t>
      </w:r>
      <w:r>
        <w:rPr>
          <w:rFonts w:ascii="Arial" w:hAnsi="Arial" w:cs="Arial"/>
          <w:color w:val="0D0D0D" w:themeColor="text1" w:themeTint="F2"/>
          <w:spacing w:val="-4"/>
          <w:sz w:val="16"/>
          <w:szCs w:val="16"/>
        </w:rPr>
        <w:t>v </w:t>
      </w:r>
      <w:r w:rsidRPr="00257FB1">
        <w:rPr>
          <w:rFonts w:ascii="Arial" w:hAnsi="Arial" w:cs="Arial"/>
          <w:color w:val="0D0D0D" w:themeColor="text1" w:themeTint="F2"/>
          <w:spacing w:val="-4"/>
          <w:sz w:val="16"/>
          <w:szCs w:val="16"/>
        </w:rPr>
        <w:t xml:space="preserve">Praze navíc zvyšovaly relativně </w:t>
      </w:r>
      <w:r>
        <w:rPr>
          <w:rFonts w:ascii="Arial" w:hAnsi="Arial" w:cs="Arial"/>
          <w:color w:val="0D0D0D" w:themeColor="text1" w:themeTint="F2"/>
          <w:spacing w:val="-4"/>
          <w:sz w:val="16"/>
          <w:szCs w:val="16"/>
        </w:rPr>
        <w:t>pomalejším</w:t>
      </w:r>
      <w:r w:rsidRPr="00257FB1">
        <w:rPr>
          <w:rFonts w:ascii="Arial" w:hAnsi="Arial" w:cs="Arial"/>
          <w:color w:val="0D0D0D" w:themeColor="text1" w:themeTint="F2"/>
          <w:spacing w:val="-4"/>
          <w:sz w:val="16"/>
          <w:szCs w:val="16"/>
        </w:rPr>
        <w:t xml:space="preserve"> tempem než v</w:t>
      </w:r>
      <w:r>
        <w:rPr>
          <w:rFonts w:ascii="Arial" w:hAnsi="Arial" w:cs="Arial"/>
          <w:color w:val="0D0D0D" w:themeColor="text1" w:themeTint="F2"/>
          <w:spacing w:val="-4"/>
          <w:sz w:val="16"/>
          <w:szCs w:val="16"/>
        </w:rPr>
        <w:t> </w:t>
      </w:r>
      <w:r w:rsidRPr="00257FB1">
        <w:rPr>
          <w:rFonts w:ascii="Arial" w:hAnsi="Arial" w:cs="Arial"/>
          <w:color w:val="0D0D0D" w:themeColor="text1" w:themeTint="F2"/>
          <w:spacing w:val="-4"/>
          <w:sz w:val="16"/>
          <w:szCs w:val="16"/>
        </w:rPr>
        <w:t>celé</w:t>
      </w:r>
      <w:r>
        <w:rPr>
          <w:rFonts w:ascii="Arial" w:hAnsi="Arial" w:cs="Arial"/>
          <w:color w:val="0D0D0D" w:themeColor="text1" w:themeTint="F2"/>
          <w:spacing w:val="-4"/>
          <w:sz w:val="16"/>
          <w:szCs w:val="16"/>
        </w:rPr>
        <w:t> </w:t>
      </w:r>
      <w:r w:rsidRPr="00257FB1">
        <w:rPr>
          <w:rFonts w:ascii="Arial" w:hAnsi="Arial" w:cs="Arial"/>
          <w:color w:val="0D0D0D" w:themeColor="text1" w:themeTint="F2"/>
          <w:spacing w:val="-4"/>
          <w:sz w:val="16"/>
          <w:szCs w:val="16"/>
        </w:rPr>
        <w:t>ČR.</w:t>
      </w:r>
    </w:p>
  </w:footnote>
  <w:footnote w:id="8">
    <w:p w14:paraId="68055293" w14:textId="2B1D41F4"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color w:val="0D0D0D" w:themeColor="text1" w:themeTint="F2"/>
          <w:spacing w:val="-2"/>
          <w:sz w:val="16"/>
          <w:szCs w:val="16"/>
        </w:rPr>
        <w:t>Ta vychází z </w:t>
      </w:r>
      <w:r>
        <w:rPr>
          <w:rFonts w:ascii="Arial" w:hAnsi="Arial" w:cs="Arial"/>
          <w:sz w:val="16"/>
          <w:szCs w:val="16"/>
        </w:rPr>
        <w:t>údajů</w:t>
      </w:r>
      <w:r w:rsidRPr="003B03BB">
        <w:rPr>
          <w:rFonts w:ascii="Arial" w:hAnsi="Arial" w:cs="Arial"/>
          <w:sz w:val="16"/>
          <w:szCs w:val="16"/>
        </w:rPr>
        <w:t xml:space="preserve"> o</w:t>
      </w:r>
      <w:r>
        <w:rPr>
          <w:rFonts w:ascii="Arial" w:hAnsi="Arial" w:cs="Arial"/>
          <w:sz w:val="16"/>
          <w:szCs w:val="16"/>
        </w:rPr>
        <w:t> výdělcích (doplněných dalšími sociodemografickými charakteristikami) jednotlivých zaměstnanců</w:t>
      </w:r>
      <w:r w:rsidRPr="003B03BB">
        <w:rPr>
          <w:rFonts w:ascii="Arial" w:hAnsi="Arial" w:cs="Arial"/>
          <w:sz w:val="16"/>
          <w:szCs w:val="16"/>
        </w:rPr>
        <w:t xml:space="preserve">. </w:t>
      </w:r>
      <w:r>
        <w:rPr>
          <w:rFonts w:ascii="Arial" w:hAnsi="Arial" w:cs="Arial"/>
          <w:sz w:val="16"/>
          <w:szCs w:val="16"/>
        </w:rPr>
        <w:t>Průměrná mzda ze strukturálního šetření</w:t>
      </w:r>
      <w:r w:rsidRPr="003B03BB">
        <w:rPr>
          <w:rFonts w:ascii="Arial" w:hAnsi="Arial" w:cs="Arial"/>
          <w:sz w:val="16"/>
          <w:szCs w:val="16"/>
        </w:rPr>
        <w:t xml:space="preserve"> je vypočtena poměřením s placenou dobou zaměstnance (nezahrnuje se neplacená nepřítomnos</w:t>
      </w:r>
      <w:r>
        <w:rPr>
          <w:rFonts w:ascii="Arial" w:hAnsi="Arial" w:cs="Arial"/>
          <w:sz w:val="16"/>
          <w:szCs w:val="16"/>
        </w:rPr>
        <w:t>t v práci, např. pro nemoc), nezapočítávají</w:t>
      </w:r>
      <w:r w:rsidRPr="003B03BB">
        <w:rPr>
          <w:rFonts w:ascii="Arial" w:hAnsi="Arial" w:cs="Arial"/>
          <w:sz w:val="16"/>
          <w:szCs w:val="16"/>
        </w:rPr>
        <w:t xml:space="preserve"> se ale zaměstnanci s týdenním úvazkem kratším než 30 hodin</w:t>
      </w:r>
      <w:r>
        <w:rPr>
          <w:rFonts w:ascii="Arial" w:hAnsi="Arial" w:cs="Arial"/>
          <w:sz w:val="16"/>
          <w:szCs w:val="16"/>
        </w:rPr>
        <w:t>. Oproti tomu v podnikových zjišťováních</w:t>
      </w:r>
      <w:r w:rsidRPr="003B03BB">
        <w:rPr>
          <w:rFonts w:ascii="Arial" w:hAnsi="Arial" w:cs="Arial"/>
          <w:sz w:val="16"/>
          <w:szCs w:val="16"/>
        </w:rPr>
        <w:t xml:space="preserve"> je </w:t>
      </w:r>
      <w:r>
        <w:rPr>
          <w:rFonts w:ascii="Arial" w:hAnsi="Arial" w:cs="Arial"/>
          <w:sz w:val="16"/>
          <w:szCs w:val="16"/>
        </w:rPr>
        <w:t xml:space="preserve">mzda </w:t>
      </w:r>
      <w:r w:rsidRPr="003B03BB">
        <w:rPr>
          <w:rFonts w:ascii="Arial" w:hAnsi="Arial" w:cs="Arial"/>
          <w:sz w:val="16"/>
          <w:szCs w:val="16"/>
        </w:rPr>
        <w:t xml:space="preserve">vypočtena poměřením s evidenčním počtem zaměstnanců </w:t>
      </w:r>
      <w:r>
        <w:rPr>
          <w:rFonts w:ascii="Arial" w:hAnsi="Arial" w:cs="Arial"/>
          <w:sz w:val="16"/>
          <w:szCs w:val="16"/>
        </w:rPr>
        <w:t xml:space="preserve">za celý ekonomický subjekt </w:t>
      </w:r>
      <w:r w:rsidRPr="003B03BB">
        <w:rPr>
          <w:rFonts w:ascii="Arial" w:hAnsi="Arial" w:cs="Arial"/>
          <w:sz w:val="16"/>
          <w:szCs w:val="16"/>
        </w:rPr>
        <w:t>(zaměstnanci s krátkodobou neplacenou nepřítomností jsou zahrnuti) bez ohledu na délku jejich týdenního úvazku.</w:t>
      </w:r>
    </w:p>
  </w:footnote>
  <w:footnote w:id="9">
    <w:p w14:paraId="2F3DCBB0" w14:textId="31F102BF" w:rsidR="004E684C" w:rsidRPr="00327A33" w:rsidRDefault="004E684C" w:rsidP="00AA4F0A">
      <w:pPr>
        <w:pStyle w:val="Normlnweb"/>
        <w:spacing w:before="0" w:beforeAutospacing="0" w:after="0" w:afterAutospacing="0"/>
        <w:rPr>
          <w:rFonts w:ascii="Arial" w:hAnsi="Arial" w:cs="Arial"/>
          <w:i/>
          <w:sz w:val="20"/>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sz w:val="16"/>
          <w:szCs w:val="16"/>
        </w:rPr>
        <w:t>Přímé srovnání v dlouhodobější časové řadě však není z důvodu významnějších metodických změn ve výše uvedeném šetření možné. Poslední podstatnou změnu přinesl rok 2011, od něhož</w:t>
      </w:r>
      <w:r w:rsidRPr="00327A33">
        <w:rPr>
          <w:rFonts w:ascii="Arial" w:hAnsi="Arial" w:cs="Arial"/>
          <w:sz w:val="16"/>
          <w:szCs w:val="16"/>
        </w:rPr>
        <w:t xml:space="preserve"> výsledky výběrově pokrývají celou zaměstnaneckou populaci v ČR (nově </w:t>
      </w:r>
      <w:r>
        <w:rPr>
          <w:rFonts w:ascii="Arial" w:hAnsi="Arial" w:cs="Arial"/>
          <w:sz w:val="16"/>
          <w:szCs w:val="16"/>
        </w:rPr>
        <w:t xml:space="preserve">byli </w:t>
      </w:r>
      <w:r w:rsidRPr="00327A33">
        <w:rPr>
          <w:rFonts w:ascii="Arial" w:hAnsi="Arial" w:cs="Arial"/>
          <w:sz w:val="16"/>
          <w:szCs w:val="16"/>
        </w:rPr>
        <w:t>zahrnuti dříve nesledovaní zaměstnanci z podniků s méně než 10</w:t>
      </w:r>
      <w:r>
        <w:rPr>
          <w:rFonts w:ascii="Arial" w:hAnsi="Arial" w:cs="Arial"/>
          <w:sz w:val="16"/>
          <w:szCs w:val="16"/>
        </w:rPr>
        <w:t> </w:t>
      </w:r>
      <w:r w:rsidRPr="00327A33">
        <w:rPr>
          <w:rFonts w:ascii="Arial" w:hAnsi="Arial" w:cs="Arial"/>
          <w:sz w:val="16"/>
          <w:szCs w:val="16"/>
        </w:rPr>
        <w:t>zaměstnanci a</w:t>
      </w:r>
      <w:r>
        <w:rPr>
          <w:rFonts w:ascii="Arial" w:hAnsi="Arial" w:cs="Arial"/>
          <w:sz w:val="16"/>
          <w:szCs w:val="16"/>
        </w:rPr>
        <w:t> </w:t>
      </w:r>
      <w:r w:rsidRPr="00327A33">
        <w:rPr>
          <w:rFonts w:ascii="Arial" w:hAnsi="Arial" w:cs="Arial"/>
          <w:sz w:val="16"/>
          <w:szCs w:val="16"/>
        </w:rPr>
        <w:t>také zamě</w:t>
      </w:r>
      <w:r>
        <w:rPr>
          <w:rFonts w:ascii="Arial" w:hAnsi="Arial" w:cs="Arial"/>
          <w:sz w:val="16"/>
          <w:szCs w:val="16"/>
        </w:rPr>
        <w:t>stnanci neziskových institucí a </w:t>
      </w:r>
      <w:r w:rsidRPr="00327A33">
        <w:rPr>
          <w:rFonts w:ascii="Arial" w:hAnsi="Arial" w:cs="Arial"/>
          <w:sz w:val="16"/>
          <w:szCs w:val="16"/>
        </w:rPr>
        <w:t>podnikatelů</w:t>
      </w:r>
      <w:r>
        <w:rPr>
          <w:rFonts w:ascii="Arial" w:hAnsi="Arial" w:cs="Arial"/>
          <w:sz w:val="16"/>
          <w:szCs w:val="16"/>
        </w:rPr>
        <w:t xml:space="preserve"> – </w:t>
      </w:r>
      <w:r w:rsidRPr="00327A33">
        <w:rPr>
          <w:rFonts w:ascii="Arial" w:hAnsi="Arial" w:cs="Arial"/>
          <w:sz w:val="16"/>
          <w:szCs w:val="16"/>
        </w:rPr>
        <w:t>fyzických osob).</w:t>
      </w:r>
    </w:p>
  </w:footnote>
  <w:footnote w:id="10">
    <w:p w14:paraId="70BBE332" w14:textId="63FA0709" w:rsidR="004E684C" w:rsidRPr="00327A33" w:rsidRDefault="004E684C" w:rsidP="00AA4F0A">
      <w:pPr>
        <w:pStyle w:val="Normlnweb"/>
        <w:spacing w:before="0" w:beforeAutospacing="0" w:after="0" w:afterAutospacing="0"/>
        <w:rPr>
          <w:rFonts w:ascii="Arial" w:hAnsi="Arial" w:cs="Arial"/>
          <w:i/>
          <w:sz w:val="20"/>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sz w:val="16"/>
          <w:szCs w:val="16"/>
        </w:rPr>
        <w:t>Hranice minimální mzdy se v současné dekádě navýšila již šestkrát. K první změně došlo v srpnu 2013 (z 8 000 na 8 500 korun za měsíc), dosud poslední vstoupila v platnost od 1. ledna 2019 (z 12 200 korun na 13 350 korun).</w:t>
      </w:r>
    </w:p>
  </w:footnote>
  <w:footnote w:id="11">
    <w:p w14:paraId="7307E135" w14:textId="77777777" w:rsidR="004E684C" w:rsidRPr="00981E50" w:rsidRDefault="004E684C" w:rsidP="00AA4F0A">
      <w:pPr>
        <w:pStyle w:val="Normlnweb"/>
        <w:spacing w:before="0" w:beforeAutospacing="0" w:after="0" w:afterAutospacing="0"/>
        <w:rPr>
          <w:rFonts w:ascii="Arial" w:hAnsi="Arial" w:cs="Arial"/>
          <w:spacing w:val="-2"/>
          <w:sz w:val="16"/>
          <w:szCs w:val="16"/>
        </w:rPr>
      </w:pPr>
      <w:r w:rsidRPr="00981E50">
        <w:rPr>
          <w:rStyle w:val="Znakapoznpodarou"/>
          <w:rFonts w:ascii="Arial" w:hAnsi="Arial" w:cs="Arial"/>
          <w:spacing w:val="-2"/>
          <w:sz w:val="16"/>
          <w:szCs w:val="16"/>
        </w:rPr>
        <w:footnoteRef/>
      </w:r>
      <w:r w:rsidRPr="00981E50">
        <w:rPr>
          <w:rFonts w:ascii="Arial" w:hAnsi="Arial" w:cs="Arial"/>
          <w:spacing w:val="-2"/>
          <w:sz w:val="16"/>
          <w:szCs w:val="16"/>
        </w:rPr>
        <w:t xml:space="preserve"> </w:t>
      </w:r>
      <w:r w:rsidRPr="00981E50">
        <w:rPr>
          <w:rFonts w:ascii="Arial" w:hAnsi="Arial" w:cs="Arial"/>
          <w:color w:val="0D0D0D" w:themeColor="text1" w:themeTint="F2"/>
          <w:spacing w:val="-2"/>
          <w:sz w:val="16"/>
          <w:szCs w:val="16"/>
        </w:rPr>
        <w:t>Zahrnuje zaměstnance s vyšším odborným vzděláním a</w:t>
      </w:r>
      <w:r>
        <w:rPr>
          <w:rFonts w:ascii="Arial" w:hAnsi="Arial" w:cs="Arial"/>
          <w:color w:val="0D0D0D" w:themeColor="text1" w:themeTint="F2"/>
          <w:spacing w:val="-2"/>
          <w:sz w:val="16"/>
          <w:szCs w:val="16"/>
        </w:rPr>
        <w:t> </w:t>
      </w:r>
      <w:r w:rsidRPr="00981E50">
        <w:rPr>
          <w:rFonts w:ascii="Arial" w:hAnsi="Arial" w:cs="Arial"/>
          <w:color w:val="0D0D0D" w:themeColor="text1" w:themeTint="F2"/>
          <w:spacing w:val="-2"/>
          <w:sz w:val="16"/>
          <w:szCs w:val="16"/>
        </w:rPr>
        <w:t>dále s</w:t>
      </w:r>
      <w:r>
        <w:rPr>
          <w:rFonts w:ascii="Arial" w:hAnsi="Arial" w:cs="Arial"/>
          <w:color w:val="0D0D0D" w:themeColor="text1" w:themeTint="F2"/>
          <w:spacing w:val="-2"/>
          <w:sz w:val="16"/>
          <w:szCs w:val="16"/>
        </w:rPr>
        <w:t> </w:t>
      </w:r>
      <w:r w:rsidRPr="00981E50">
        <w:rPr>
          <w:rFonts w:ascii="Arial" w:hAnsi="Arial" w:cs="Arial"/>
          <w:color w:val="0D0D0D" w:themeColor="text1" w:themeTint="F2"/>
          <w:spacing w:val="-2"/>
          <w:sz w:val="16"/>
          <w:szCs w:val="16"/>
        </w:rPr>
        <w:t>vysokoškolským vzděláním bakalářského stupně.</w:t>
      </w:r>
    </w:p>
  </w:footnote>
  <w:footnote w:id="12">
    <w:p w14:paraId="1057ABC3" w14:textId="04D2146E" w:rsidR="004E684C" w:rsidRPr="00981E50" w:rsidRDefault="004E684C" w:rsidP="00AA4F0A">
      <w:pPr>
        <w:pStyle w:val="Normlnweb"/>
        <w:spacing w:before="0" w:beforeAutospacing="0" w:after="0" w:afterAutospacing="0"/>
        <w:rPr>
          <w:rFonts w:ascii="Arial" w:hAnsi="Arial" w:cs="Arial"/>
          <w:spacing w:val="-4"/>
          <w:sz w:val="16"/>
          <w:szCs w:val="16"/>
        </w:rPr>
      </w:pPr>
      <w:r w:rsidRPr="00981E50">
        <w:rPr>
          <w:rStyle w:val="Znakapoznpodarou"/>
          <w:rFonts w:ascii="Arial" w:hAnsi="Arial" w:cs="Arial"/>
          <w:spacing w:val="-4"/>
          <w:sz w:val="16"/>
          <w:szCs w:val="16"/>
        </w:rPr>
        <w:footnoteRef/>
      </w:r>
      <w:r w:rsidRPr="00981E50">
        <w:rPr>
          <w:rFonts w:ascii="Arial" w:hAnsi="Arial" w:cs="Arial"/>
          <w:spacing w:val="-4"/>
          <w:sz w:val="16"/>
          <w:szCs w:val="16"/>
        </w:rPr>
        <w:t xml:space="preserve"> </w:t>
      </w:r>
      <w:r w:rsidRPr="00981E50">
        <w:rPr>
          <w:rFonts w:ascii="Arial" w:hAnsi="Arial" w:cs="Arial"/>
          <w:color w:val="0D0D0D" w:themeColor="text1" w:themeTint="F2"/>
          <w:spacing w:val="-4"/>
          <w:sz w:val="16"/>
          <w:szCs w:val="16"/>
        </w:rPr>
        <w:t>Variační koeficient mezd vysokoškoláků klesl mezi roky 2011 a</w:t>
      </w:r>
      <w:r>
        <w:rPr>
          <w:rFonts w:ascii="Arial" w:hAnsi="Arial" w:cs="Arial"/>
          <w:color w:val="0D0D0D" w:themeColor="text1" w:themeTint="F2"/>
          <w:spacing w:val="-4"/>
          <w:sz w:val="16"/>
          <w:szCs w:val="16"/>
        </w:rPr>
        <w:t> </w:t>
      </w:r>
      <w:r w:rsidRPr="00981E50">
        <w:rPr>
          <w:rFonts w:ascii="Arial" w:hAnsi="Arial" w:cs="Arial"/>
          <w:color w:val="0D0D0D" w:themeColor="text1" w:themeTint="F2"/>
          <w:spacing w:val="-4"/>
          <w:sz w:val="16"/>
          <w:szCs w:val="16"/>
        </w:rPr>
        <w:t>2018 z 94</w:t>
      </w:r>
      <w:r>
        <w:rPr>
          <w:rFonts w:ascii="Arial" w:hAnsi="Arial" w:cs="Arial"/>
          <w:color w:val="0D0D0D" w:themeColor="text1" w:themeTint="F2"/>
          <w:spacing w:val="-4"/>
          <w:sz w:val="16"/>
          <w:szCs w:val="16"/>
        </w:rPr>
        <w:t> %</w:t>
      </w:r>
      <w:r w:rsidRPr="00981E50">
        <w:rPr>
          <w:rFonts w:ascii="Arial" w:hAnsi="Arial" w:cs="Arial"/>
          <w:color w:val="0D0D0D" w:themeColor="text1" w:themeTint="F2"/>
          <w:spacing w:val="-4"/>
          <w:sz w:val="16"/>
          <w:szCs w:val="16"/>
        </w:rPr>
        <w:t xml:space="preserve"> na 82</w:t>
      </w:r>
      <w:r>
        <w:rPr>
          <w:rFonts w:ascii="Arial" w:hAnsi="Arial" w:cs="Arial"/>
          <w:color w:val="0D0D0D" w:themeColor="text1" w:themeTint="F2"/>
          <w:spacing w:val="-4"/>
          <w:sz w:val="16"/>
          <w:szCs w:val="16"/>
        </w:rPr>
        <w:t> %</w:t>
      </w:r>
      <w:r w:rsidRPr="00981E50">
        <w:rPr>
          <w:rFonts w:ascii="Arial" w:hAnsi="Arial" w:cs="Arial"/>
          <w:color w:val="0D0D0D" w:themeColor="text1" w:themeTint="F2"/>
          <w:spacing w:val="-4"/>
          <w:sz w:val="16"/>
          <w:szCs w:val="16"/>
        </w:rPr>
        <w:t>. Ten u</w:t>
      </w:r>
      <w:r>
        <w:rPr>
          <w:rFonts w:ascii="Arial" w:hAnsi="Arial" w:cs="Arial"/>
          <w:color w:val="0D0D0D" w:themeColor="text1" w:themeTint="F2"/>
          <w:spacing w:val="-4"/>
          <w:sz w:val="16"/>
          <w:szCs w:val="16"/>
        </w:rPr>
        <w:t> </w:t>
      </w:r>
      <w:r w:rsidRPr="00981E50">
        <w:rPr>
          <w:rFonts w:ascii="Arial" w:hAnsi="Arial" w:cs="Arial"/>
          <w:color w:val="0D0D0D" w:themeColor="text1" w:themeTint="F2"/>
          <w:spacing w:val="-4"/>
          <w:sz w:val="16"/>
          <w:szCs w:val="16"/>
        </w:rPr>
        <w:t>osob se základním i</w:t>
      </w:r>
      <w:r>
        <w:rPr>
          <w:rFonts w:ascii="Arial" w:hAnsi="Arial" w:cs="Arial"/>
          <w:color w:val="0D0D0D" w:themeColor="text1" w:themeTint="F2"/>
          <w:spacing w:val="-4"/>
          <w:sz w:val="16"/>
          <w:szCs w:val="16"/>
        </w:rPr>
        <w:t> </w:t>
      </w:r>
      <w:r w:rsidRPr="00981E50">
        <w:rPr>
          <w:rFonts w:ascii="Arial" w:hAnsi="Arial" w:cs="Arial"/>
          <w:color w:val="0D0D0D" w:themeColor="text1" w:themeTint="F2"/>
          <w:spacing w:val="-4"/>
          <w:sz w:val="16"/>
          <w:szCs w:val="16"/>
        </w:rPr>
        <w:t>středním vzděláním bez maturity loni dosahoval těsně pod 40</w:t>
      </w:r>
      <w:r>
        <w:rPr>
          <w:rFonts w:ascii="Arial" w:hAnsi="Arial" w:cs="Arial"/>
          <w:color w:val="0D0D0D" w:themeColor="text1" w:themeTint="F2"/>
          <w:spacing w:val="-4"/>
          <w:sz w:val="16"/>
          <w:szCs w:val="16"/>
        </w:rPr>
        <w:t> %</w:t>
      </w:r>
      <w:r w:rsidRPr="00981E50">
        <w:rPr>
          <w:rFonts w:ascii="Arial" w:hAnsi="Arial" w:cs="Arial"/>
          <w:color w:val="0D0D0D" w:themeColor="text1" w:themeTint="F2"/>
          <w:spacing w:val="-4"/>
          <w:sz w:val="16"/>
          <w:szCs w:val="16"/>
        </w:rPr>
        <w:t>. Vysoká variabilita mezd vysokoškoláků je odrazem nadprůměrn</w:t>
      </w:r>
      <w:r>
        <w:rPr>
          <w:rFonts w:ascii="Arial" w:hAnsi="Arial" w:cs="Arial"/>
          <w:color w:val="0D0D0D" w:themeColor="text1" w:themeTint="F2"/>
          <w:spacing w:val="-4"/>
          <w:sz w:val="16"/>
          <w:szCs w:val="16"/>
        </w:rPr>
        <w:t>ého zastoupení pozic manažerů a</w:t>
      </w:r>
      <w:r w:rsidRPr="00981E50">
        <w:rPr>
          <w:rFonts w:ascii="Arial" w:hAnsi="Arial" w:cs="Arial"/>
          <w:color w:val="0D0D0D" w:themeColor="text1" w:themeTint="F2"/>
          <w:spacing w:val="-2"/>
          <w:sz w:val="16"/>
          <w:szCs w:val="16"/>
        </w:rPr>
        <w:t> </w:t>
      </w:r>
      <w:r w:rsidRPr="00981E50">
        <w:rPr>
          <w:rFonts w:ascii="Arial" w:hAnsi="Arial" w:cs="Arial"/>
          <w:color w:val="0D0D0D" w:themeColor="text1" w:themeTint="F2"/>
          <w:spacing w:val="-4"/>
          <w:sz w:val="16"/>
          <w:szCs w:val="16"/>
        </w:rPr>
        <w:t>specialistů. V kvalifikační třídě zákonodárců a</w:t>
      </w:r>
      <w:r>
        <w:rPr>
          <w:rFonts w:ascii="Arial" w:hAnsi="Arial" w:cs="Arial"/>
          <w:color w:val="0D0D0D" w:themeColor="text1" w:themeTint="F2"/>
          <w:spacing w:val="-4"/>
          <w:sz w:val="16"/>
          <w:szCs w:val="16"/>
        </w:rPr>
        <w:t> </w:t>
      </w:r>
      <w:r w:rsidRPr="00981E50">
        <w:rPr>
          <w:rFonts w:ascii="Arial" w:hAnsi="Arial" w:cs="Arial"/>
          <w:color w:val="0D0D0D" w:themeColor="text1" w:themeTint="F2"/>
          <w:spacing w:val="-4"/>
          <w:sz w:val="16"/>
          <w:szCs w:val="16"/>
        </w:rPr>
        <w:t>řídících pracovníků tvořili vysokoškoláci polovinu všech pracovníků, u</w:t>
      </w:r>
      <w:r>
        <w:rPr>
          <w:rFonts w:ascii="Arial" w:hAnsi="Arial" w:cs="Arial"/>
          <w:color w:val="0D0D0D" w:themeColor="text1" w:themeTint="F2"/>
          <w:spacing w:val="-4"/>
          <w:sz w:val="16"/>
          <w:szCs w:val="16"/>
        </w:rPr>
        <w:t> </w:t>
      </w:r>
      <w:r w:rsidRPr="00981E50">
        <w:rPr>
          <w:rFonts w:ascii="Arial" w:hAnsi="Arial" w:cs="Arial"/>
          <w:color w:val="0D0D0D" w:themeColor="text1" w:themeTint="F2"/>
          <w:spacing w:val="-4"/>
          <w:sz w:val="16"/>
          <w:szCs w:val="16"/>
        </w:rPr>
        <w:t>specialistů dokonce 60</w:t>
      </w:r>
      <w:r>
        <w:rPr>
          <w:rFonts w:ascii="Arial" w:hAnsi="Arial" w:cs="Arial"/>
          <w:color w:val="0D0D0D" w:themeColor="text1" w:themeTint="F2"/>
          <w:spacing w:val="-4"/>
          <w:sz w:val="16"/>
          <w:szCs w:val="16"/>
        </w:rPr>
        <w:t> %</w:t>
      </w:r>
      <w:r w:rsidRPr="00981E50">
        <w:rPr>
          <w:rFonts w:ascii="Arial" w:hAnsi="Arial" w:cs="Arial"/>
          <w:color w:val="0D0D0D" w:themeColor="text1" w:themeTint="F2"/>
          <w:spacing w:val="-4"/>
          <w:sz w:val="16"/>
          <w:szCs w:val="16"/>
        </w:rPr>
        <w:t>.</w:t>
      </w:r>
    </w:p>
  </w:footnote>
  <w:footnote w:id="13">
    <w:p w14:paraId="0E6514E9" w14:textId="19D58EFB"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color w:val="0D0D0D" w:themeColor="text1" w:themeTint="F2"/>
          <w:spacing w:val="-2"/>
          <w:sz w:val="16"/>
          <w:szCs w:val="16"/>
        </w:rPr>
        <w:t>Tato kategorie zahrnuje pouze příslušníky armády. Nejsou v ní naopak obsaženi policisté, hasiči či příslušníci vězeňské služby. Tito zaměstnanci náležejí v rámci platné klasifikace zaměstnání (CZ ISCO) do podskupiny Pracovníci</w:t>
      </w:r>
      <w:r w:rsidRPr="00644249">
        <w:rPr>
          <w:rFonts w:ascii="Arial" w:hAnsi="Arial" w:cs="Arial"/>
          <w:color w:val="0D0D0D" w:themeColor="text1" w:themeTint="F2"/>
          <w:spacing w:val="-2"/>
          <w:sz w:val="16"/>
          <w:szCs w:val="16"/>
        </w:rPr>
        <w:t xml:space="preserve"> v</w:t>
      </w:r>
      <w:r>
        <w:rPr>
          <w:rFonts w:ascii="Arial" w:hAnsi="Arial" w:cs="Arial"/>
          <w:color w:val="0D0D0D" w:themeColor="text1" w:themeTint="F2"/>
          <w:spacing w:val="-2"/>
          <w:sz w:val="16"/>
          <w:szCs w:val="16"/>
        </w:rPr>
        <w:t> </w:t>
      </w:r>
      <w:r w:rsidRPr="00644249">
        <w:rPr>
          <w:rFonts w:ascii="Arial" w:hAnsi="Arial" w:cs="Arial"/>
          <w:color w:val="0D0D0D" w:themeColor="text1" w:themeTint="F2"/>
          <w:spacing w:val="-2"/>
          <w:sz w:val="16"/>
          <w:szCs w:val="16"/>
        </w:rPr>
        <w:t>oblasti ochrany a</w:t>
      </w:r>
      <w:r>
        <w:rPr>
          <w:rFonts w:ascii="Arial" w:hAnsi="Arial" w:cs="Arial"/>
          <w:color w:val="0D0D0D" w:themeColor="text1" w:themeTint="F2"/>
          <w:spacing w:val="-2"/>
          <w:sz w:val="16"/>
          <w:szCs w:val="16"/>
        </w:rPr>
        <w:t> </w:t>
      </w:r>
      <w:r w:rsidRPr="00644249">
        <w:rPr>
          <w:rFonts w:ascii="Arial" w:hAnsi="Arial" w:cs="Arial"/>
          <w:color w:val="0D0D0D" w:themeColor="text1" w:themeTint="F2"/>
          <w:spacing w:val="-2"/>
          <w:sz w:val="16"/>
          <w:szCs w:val="16"/>
        </w:rPr>
        <w:t>ostrahy</w:t>
      </w:r>
      <w:r>
        <w:rPr>
          <w:rFonts w:ascii="Arial" w:hAnsi="Arial" w:cs="Arial"/>
          <w:color w:val="0D0D0D" w:themeColor="text1" w:themeTint="F2"/>
          <w:spacing w:val="-2"/>
          <w:sz w:val="16"/>
          <w:szCs w:val="16"/>
        </w:rPr>
        <w:t xml:space="preserve"> a dále do hlavní třídy P</w:t>
      </w:r>
      <w:r w:rsidRPr="00644249">
        <w:rPr>
          <w:rFonts w:ascii="Arial" w:hAnsi="Arial" w:cs="Arial"/>
          <w:color w:val="0D0D0D" w:themeColor="text1" w:themeTint="F2"/>
          <w:spacing w:val="-2"/>
          <w:sz w:val="16"/>
          <w:szCs w:val="16"/>
        </w:rPr>
        <w:t>racovníci ve službách a</w:t>
      </w:r>
      <w:r>
        <w:rPr>
          <w:rFonts w:ascii="Arial" w:hAnsi="Arial" w:cs="Arial"/>
          <w:color w:val="0D0D0D" w:themeColor="text1" w:themeTint="F2"/>
          <w:spacing w:val="-2"/>
          <w:sz w:val="16"/>
          <w:szCs w:val="16"/>
        </w:rPr>
        <w:t> </w:t>
      </w:r>
      <w:r w:rsidRPr="00644249">
        <w:rPr>
          <w:rFonts w:ascii="Arial" w:hAnsi="Arial" w:cs="Arial"/>
          <w:color w:val="0D0D0D" w:themeColor="text1" w:themeTint="F2"/>
          <w:spacing w:val="-2"/>
          <w:sz w:val="16"/>
          <w:szCs w:val="16"/>
        </w:rPr>
        <w:t>prodeji</w:t>
      </w:r>
      <w:r>
        <w:rPr>
          <w:rFonts w:ascii="Arial" w:hAnsi="Arial" w:cs="Arial"/>
          <w:color w:val="0D0D0D" w:themeColor="text1" w:themeTint="F2"/>
          <w:spacing w:val="-2"/>
          <w:sz w:val="16"/>
          <w:szCs w:val="16"/>
        </w:rPr>
        <w:t>.</w:t>
      </w:r>
    </w:p>
  </w:footnote>
  <w:footnote w:id="14">
    <w:p w14:paraId="56DFE38B" w14:textId="77777777"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color w:val="0D0D0D" w:themeColor="text1" w:themeTint="F2"/>
          <w:spacing w:val="-2"/>
          <w:sz w:val="16"/>
          <w:szCs w:val="16"/>
        </w:rPr>
        <w:t>Ta se projevuje více u mediánových výdělků (převis u žen o 10,7 % v roce 2018) než u průměrných (o 5,7 %). To odráží skutečnost, že v nejvyšších manažerských pozicích zde (podobně jako v ostatních třídách zaměstnání) výrazně převažují muži.</w:t>
      </w:r>
    </w:p>
  </w:footnote>
  <w:footnote w:id="15">
    <w:p w14:paraId="66292E79" w14:textId="77777777"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sidRPr="00516B3D">
        <w:rPr>
          <w:rFonts w:ascii="Arial" w:hAnsi="Arial" w:cs="Arial"/>
          <w:color w:val="0D0D0D" w:themeColor="text1" w:themeTint="F2"/>
          <w:spacing w:val="-2"/>
          <w:sz w:val="16"/>
          <w:szCs w:val="16"/>
        </w:rPr>
        <w:t>Dle údajů VŠPS se počet zaměstnaných ve třídě záko</w:t>
      </w:r>
      <w:r>
        <w:rPr>
          <w:rFonts w:ascii="Arial" w:hAnsi="Arial" w:cs="Arial"/>
          <w:color w:val="0D0D0D" w:themeColor="text1" w:themeTint="F2"/>
          <w:spacing w:val="-2"/>
          <w:sz w:val="16"/>
          <w:szCs w:val="16"/>
        </w:rPr>
        <w:t>nodárců a řídících pracovníků</w:t>
      </w:r>
      <w:r w:rsidRPr="00516B3D">
        <w:rPr>
          <w:rFonts w:ascii="Arial" w:hAnsi="Arial" w:cs="Arial"/>
          <w:color w:val="0D0D0D" w:themeColor="text1" w:themeTint="F2"/>
          <w:spacing w:val="-2"/>
          <w:sz w:val="16"/>
          <w:szCs w:val="16"/>
        </w:rPr>
        <w:t xml:space="preserve"> od té doby snižuje, samotných zaměstnanců zde za poslední tři roky ubylo o</w:t>
      </w:r>
      <w:r>
        <w:rPr>
          <w:rFonts w:ascii="Arial" w:hAnsi="Arial" w:cs="Arial"/>
          <w:color w:val="0D0D0D" w:themeColor="text1" w:themeTint="F2"/>
          <w:spacing w:val="-2"/>
          <w:sz w:val="16"/>
          <w:szCs w:val="16"/>
        </w:rPr>
        <w:t> </w:t>
      </w:r>
      <w:r w:rsidRPr="00516B3D">
        <w:rPr>
          <w:rFonts w:ascii="Arial" w:hAnsi="Arial" w:cs="Arial"/>
          <w:color w:val="0D0D0D" w:themeColor="text1" w:themeTint="F2"/>
          <w:spacing w:val="-2"/>
          <w:sz w:val="16"/>
          <w:szCs w:val="16"/>
        </w:rPr>
        <w:t>osminu.</w:t>
      </w:r>
    </w:p>
  </w:footnote>
  <w:footnote w:id="16">
    <w:p w14:paraId="54E8D623" w14:textId="76DC4AE4"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sidRPr="00E23D73">
        <w:rPr>
          <w:rFonts w:ascii="Arial" w:hAnsi="Arial" w:cs="Arial"/>
          <w:color w:val="0D0D0D" w:themeColor="text1" w:themeTint="F2"/>
          <w:spacing w:val="-2"/>
          <w:sz w:val="16"/>
          <w:szCs w:val="16"/>
        </w:rPr>
        <w:t>Jednalo se z velké části o</w:t>
      </w:r>
      <w:r>
        <w:rPr>
          <w:rFonts w:ascii="Arial" w:hAnsi="Arial" w:cs="Arial"/>
          <w:color w:val="0D0D0D" w:themeColor="text1" w:themeTint="F2"/>
          <w:spacing w:val="-2"/>
          <w:sz w:val="16"/>
          <w:szCs w:val="16"/>
        </w:rPr>
        <w:t xml:space="preserve"> některé </w:t>
      </w:r>
      <w:r w:rsidRPr="00E23D73">
        <w:rPr>
          <w:rFonts w:ascii="Arial" w:hAnsi="Arial" w:cs="Arial"/>
          <w:color w:val="0D0D0D" w:themeColor="text1" w:themeTint="F2"/>
          <w:spacing w:val="-2"/>
          <w:sz w:val="16"/>
          <w:szCs w:val="16"/>
        </w:rPr>
        <w:t>řídící pracovníky v</w:t>
      </w:r>
      <w:r>
        <w:rPr>
          <w:rFonts w:ascii="Arial" w:hAnsi="Arial" w:cs="Arial"/>
          <w:color w:val="0D0D0D" w:themeColor="text1" w:themeTint="F2"/>
          <w:spacing w:val="-2"/>
          <w:sz w:val="16"/>
          <w:szCs w:val="16"/>
        </w:rPr>
        <w:t> </w:t>
      </w:r>
      <w:r w:rsidRPr="00E23D73">
        <w:rPr>
          <w:rFonts w:ascii="Arial" w:hAnsi="Arial" w:cs="Arial"/>
          <w:color w:val="0D0D0D" w:themeColor="text1" w:themeTint="F2"/>
          <w:spacing w:val="-2"/>
          <w:sz w:val="16"/>
          <w:szCs w:val="16"/>
        </w:rPr>
        <w:t>oblasti ubytovacích a</w:t>
      </w:r>
      <w:r>
        <w:rPr>
          <w:rFonts w:ascii="Arial" w:hAnsi="Arial" w:cs="Arial"/>
          <w:color w:val="0D0D0D" w:themeColor="text1" w:themeTint="F2"/>
          <w:spacing w:val="-2"/>
          <w:sz w:val="16"/>
          <w:szCs w:val="16"/>
        </w:rPr>
        <w:t> </w:t>
      </w:r>
      <w:r w:rsidRPr="00E23D73">
        <w:rPr>
          <w:rFonts w:ascii="Arial" w:hAnsi="Arial" w:cs="Arial"/>
          <w:color w:val="0D0D0D" w:themeColor="text1" w:themeTint="F2"/>
          <w:spacing w:val="-2"/>
          <w:sz w:val="16"/>
          <w:szCs w:val="16"/>
        </w:rPr>
        <w:t>stravovacích služeb, obchodu a</w:t>
      </w:r>
      <w:r>
        <w:rPr>
          <w:rFonts w:ascii="Arial" w:hAnsi="Arial" w:cs="Arial"/>
          <w:color w:val="0D0D0D" w:themeColor="text1" w:themeTint="F2"/>
          <w:spacing w:val="-2"/>
          <w:sz w:val="16"/>
          <w:szCs w:val="16"/>
        </w:rPr>
        <w:t> </w:t>
      </w:r>
      <w:r w:rsidRPr="00E23D73">
        <w:rPr>
          <w:rFonts w:ascii="Arial" w:hAnsi="Arial" w:cs="Arial"/>
          <w:color w:val="0D0D0D" w:themeColor="text1" w:themeTint="F2"/>
          <w:spacing w:val="-2"/>
          <w:sz w:val="16"/>
          <w:szCs w:val="16"/>
        </w:rPr>
        <w:t>ostatní</w:t>
      </w:r>
      <w:r>
        <w:rPr>
          <w:rFonts w:ascii="Arial" w:hAnsi="Arial" w:cs="Arial"/>
          <w:color w:val="0D0D0D" w:themeColor="text1" w:themeTint="F2"/>
          <w:spacing w:val="-2"/>
          <w:sz w:val="16"/>
          <w:szCs w:val="16"/>
        </w:rPr>
        <w:t>ch</w:t>
      </w:r>
      <w:r w:rsidRPr="00E23D73">
        <w:rPr>
          <w:rFonts w:ascii="Arial" w:hAnsi="Arial" w:cs="Arial"/>
          <w:color w:val="0D0D0D" w:themeColor="text1" w:themeTint="F2"/>
          <w:spacing w:val="-2"/>
          <w:sz w:val="16"/>
          <w:szCs w:val="16"/>
        </w:rPr>
        <w:t xml:space="preserve">, jejichž </w:t>
      </w:r>
      <w:r>
        <w:rPr>
          <w:rFonts w:ascii="Arial" w:hAnsi="Arial" w:cs="Arial"/>
          <w:color w:val="0D0D0D" w:themeColor="text1" w:themeTint="F2"/>
          <w:spacing w:val="-2"/>
          <w:sz w:val="16"/>
          <w:szCs w:val="16"/>
        </w:rPr>
        <w:t xml:space="preserve">celková </w:t>
      </w:r>
      <w:r w:rsidRPr="00E23D73">
        <w:rPr>
          <w:rFonts w:ascii="Arial" w:hAnsi="Arial" w:cs="Arial"/>
          <w:color w:val="0D0D0D" w:themeColor="text1" w:themeTint="F2"/>
          <w:spacing w:val="-2"/>
          <w:sz w:val="16"/>
          <w:szCs w:val="16"/>
        </w:rPr>
        <w:t>průměrná mzda v roce 2018 činila 42,5</w:t>
      </w:r>
      <w:r>
        <w:rPr>
          <w:rFonts w:ascii="Arial" w:hAnsi="Arial" w:cs="Arial"/>
          <w:color w:val="0D0D0D" w:themeColor="text1" w:themeTint="F2"/>
          <w:spacing w:val="-2"/>
          <w:sz w:val="16"/>
          <w:szCs w:val="16"/>
        </w:rPr>
        <w:t> </w:t>
      </w:r>
      <w:r w:rsidRPr="00E23D73">
        <w:rPr>
          <w:rFonts w:ascii="Arial" w:hAnsi="Arial" w:cs="Arial"/>
          <w:color w:val="0D0D0D" w:themeColor="text1" w:themeTint="F2"/>
          <w:spacing w:val="-2"/>
          <w:sz w:val="16"/>
          <w:szCs w:val="16"/>
        </w:rPr>
        <w:t>tis. korun</w:t>
      </w:r>
      <w:r>
        <w:rPr>
          <w:rFonts w:ascii="Arial" w:hAnsi="Arial" w:cs="Arial"/>
          <w:color w:val="0D0D0D" w:themeColor="text1" w:themeTint="F2"/>
          <w:spacing w:val="-2"/>
          <w:sz w:val="16"/>
          <w:szCs w:val="16"/>
        </w:rPr>
        <w:t>.</w:t>
      </w:r>
    </w:p>
  </w:footnote>
  <w:footnote w:id="17">
    <w:p w14:paraId="036BD210" w14:textId="4AD38FAD"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sz w:val="16"/>
          <w:szCs w:val="16"/>
        </w:rPr>
        <w:t xml:space="preserve">Termín Úředník jako jedna z deseti hlavních tříd kategorie zaměstnání (ISCO) nelze ztotožňovat s kategorií „úředník“ </w:t>
      </w:r>
      <w:r w:rsidRPr="00177968">
        <w:rPr>
          <w:rFonts w:ascii="Arial" w:hAnsi="Arial" w:cs="Arial"/>
          <w:sz w:val="16"/>
          <w:szCs w:val="16"/>
        </w:rPr>
        <w:t>spada</w:t>
      </w:r>
      <w:r>
        <w:rPr>
          <w:rFonts w:ascii="Arial" w:hAnsi="Arial" w:cs="Arial"/>
          <w:sz w:val="16"/>
          <w:szCs w:val="16"/>
        </w:rPr>
        <w:t>jící pod zákon o státní službě</w:t>
      </w:r>
      <w:r w:rsidRPr="00177968">
        <w:rPr>
          <w:rFonts w:ascii="Arial" w:hAnsi="Arial" w:cs="Arial"/>
          <w:sz w:val="16"/>
          <w:szCs w:val="16"/>
        </w:rPr>
        <w:t xml:space="preserve"> (</w:t>
      </w:r>
      <w:r>
        <w:rPr>
          <w:rFonts w:ascii="Arial" w:hAnsi="Arial" w:cs="Arial"/>
          <w:sz w:val="16"/>
          <w:szCs w:val="16"/>
        </w:rPr>
        <w:t>č. </w:t>
      </w:r>
      <w:r w:rsidRPr="00177968">
        <w:rPr>
          <w:rFonts w:ascii="Arial" w:hAnsi="Arial" w:cs="Arial"/>
          <w:sz w:val="16"/>
          <w:szCs w:val="16"/>
        </w:rPr>
        <w:t>234/2014</w:t>
      </w:r>
      <w:r>
        <w:rPr>
          <w:rFonts w:ascii="Arial" w:hAnsi="Arial" w:cs="Arial"/>
          <w:sz w:val="16"/>
          <w:szCs w:val="16"/>
        </w:rPr>
        <w:t> </w:t>
      </w:r>
      <w:r w:rsidRPr="00177968">
        <w:rPr>
          <w:rFonts w:ascii="Arial" w:hAnsi="Arial" w:cs="Arial"/>
          <w:sz w:val="16"/>
          <w:szCs w:val="16"/>
        </w:rPr>
        <w:t>Sb.</w:t>
      </w:r>
      <w:r>
        <w:rPr>
          <w:rFonts w:ascii="Arial" w:hAnsi="Arial" w:cs="Arial"/>
          <w:sz w:val="16"/>
          <w:szCs w:val="16"/>
        </w:rPr>
        <w:t>), ani obecněji s jednou z kategorií pracovníků náležejících do odvětví veřejná správa, obrana a povinné sociální zabezpečení, popř. s osobami placenými z veřejných rozpočtů. Dle údajů MPSV náležela v roce 2018 do tzv. platové sféry jen osmina úředníků (v rámci klasifikace ISCO). Rozdíl mezi oběma výše uvedenými koncepty je patrný i z odlišné vzdělanostní skladby zaměstnanců. V odvětví veřejné správy, obrany a povinného sociálního zabezpečení mělo v roce 2018 téměř 30 % pracovníků vysokoškolské vzdělání (v úhrnu pak bezmála 42 % terciární vzdělání), 46 % střední vzdělání s maturitou a jen desetina vzdělání na nižším stupni. V rámci třídy zaměstnání Úředníci výrazně převládali zaměstnanci se středním vzděláním s maturitou (61 %), vysokoškolským vzděláním (na magisterském či doktorském stupni) disponovala jen necelá osmina a podíl osob s nižším než maturitním vzděláním (17 %) se příliš nelišil od podílu všech osob s terciárním vzděláním.</w:t>
      </w:r>
    </w:p>
  </w:footnote>
  <w:footnote w:id="18">
    <w:p w14:paraId="5A665F04" w14:textId="404EFCDC"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sz w:val="16"/>
          <w:szCs w:val="16"/>
        </w:rPr>
        <w:t>Dle údajů VŠPS náleželo v roce 2018 do</w:t>
      </w:r>
      <w:r>
        <w:rPr>
          <w:rFonts w:ascii="Arial" w:hAnsi="Arial" w:cs="Arial"/>
          <w:color w:val="0D0D0D" w:themeColor="text1" w:themeTint="F2"/>
          <w:spacing w:val="-2"/>
          <w:sz w:val="16"/>
          <w:szCs w:val="16"/>
        </w:rPr>
        <w:t xml:space="preserve"> této třídy zaměstnání 498 tis. pracovníků (92 % z nich v pozici zaměstnanců). V roce 2008 to bylo 443 tis. a na přelomu tisíciletí 398 tis. Na celkové zaměstnanosti se loni podíleli 9,4 %, o jeden procentní bod více než v roce 2000.</w:t>
      </w:r>
    </w:p>
  </w:footnote>
  <w:footnote w:id="19">
    <w:p w14:paraId="245806EE" w14:textId="11E7CBC3"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sidRPr="006B6BDA">
        <w:rPr>
          <w:rFonts w:ascii="Arial" w:hAnsi="Arial" w:cs="Arial"/>
          <w:sz w:val="16"/>
          <w:szCs w:val="16"/>
        </w:rPr>
        <w:t>Obě třídy soustřeďují více než 30</w:t>
      </w:r>
      <w:r>
        <w:rPr>
          <w:rFonts w:ascii="Arial" w:hAnsi="Arial" w:cs="Arial"/>
          <w:sz w:val="16"/>
          <w:szCs w:val="16"/>
        </w:rPr>
        <w:t> %</w:t>
      </w:r>
      <w:r w:rsidRPr="006B6BDA">
        <w:rPr>
          <w:rFonts w:ascii="Arial" w:hAnsi="Arial" w:cs="Arial"/>
          <w:sz w:val="16"/>
          <w:szCs w:val="16"/>
        </w:rPr>
        <w:t xml:space="preserve"> všech zaměstnanců v celé ekonomice, u mužů dokonce 44</w:t>
      </w:r>
      <w:r>
        <w:rPr>
          <w:rFonts w:ascii="Arial" w:hAnsi="Arial" w:cs="Arial"/>
          <w:sz w:val="16"/>
          <w:szCs w:val="16"/>
        </w:rPr>
        <w:t> %</w:t>
      </w:r>
      <w:r w:rsidRPr="006B6BDA">
        <w:rPr>
          <w:rFonts w:ascii="Arial" w:hAnsi="Arial" w:cs="Arial"/>
          <w:sz w:val="16"/>
          <w:szCs w:val="16"/>
        </w:rPr>
        <w:t>.</w:t>
      </w:r>
      <w:r>
        <w:rPr>
          <w:rFonts w:ascii="Arial" w:hAnsi="Arial" w:cs="Arial"/>
          <w:sz w:val="16"/>
          <w:szCs w:val="16"/>
        </w:rPr>
        <w:t xml:space="preserve"> Více než 60 % tvoří pracovníci se středním vzděláním bez maturity, maturitu měla necelá čtvrtina. Mírně se liší jen zastoupením osob s maximálně základním vzděláním, které je vyšší v kategorii obsluha strojů a zařízení, montéři (14 %).</w:t>
      </w:r>
    </w:p>
  </w:footnote>
  <w:footnote w:id="20">
    <w:p w14:paraId="600E9035" w14:textId="52648010"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sz w:val="16"/>
          <w:szCs w:val="16"/>
        </w:rPr>
        <w:t>Lze předpokládat, že tito cizinci (nezřídka v pozici agenturních pracovníků) tvoří významnou část z celkového počtu 287 tis. osob pracujících v této třídě.</w:t>
      </w:r>
    </w:p>
  </w:footnote>
  <w:footnote w:id="21">
    <w:p w14:paraId="29BF207D" w14:textId="4641FF4E"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sz w:val="16"/>
          <w:szCs w:val="16"/>
        </w:rPr>
        <w:t>Více než čtvrtina pracujících měla jako maximální jen základní vzdělání, 54 % střední vzdělání bez maturity. Mezi všemi zaměstnanými převažovaly mírně ženy (okolo 60 %).</w:t>
      </w:r>
    </w:p>
  </w:footnote>
  <w:footnote w:id="22">
    <w:p w14:paraId="244E3015" w14:textId="5DFE67B3" w:rsidR="004E684C" w:rsidRPr="009603E2" w:rsidRDefault="004E684C" w:rsidP="00AA4F0A">
      <w:pPr>
        <w:pStyle w:val="Normlnweb"/>
        <w:spacing w:before="0" w:beforeAutospacing="0" w:after="0" w:afterAutospacing="0"/>
        <w:rPr>
          <w:rFonts w:ascii="Arial" w:hAnsi="Arial" w:cs="Arial"/>
          <w:sz w:val="16"/>
          <w:szCs w:val="16"/>
        </w:rPr>
      </w:pPr>
      <w:r w:rsidRPr="009603E2">
        <w:rPr>
          <w:rStyle w:val="Znakapoznpodarou"/>
          <w:rFonts w:ascii="Arial" w:hAnsi="Arial" w:cs="Arial"/>
          <w:sz w:val="16"/>
          <w:szCs w:val="16"/>
        </w:rPr>
        <w:footnoteRef/>
      </w:r>
      <w:r w:rsidRPr="009603E2">
        <w:rPr>
          <w:rFonts w:ascii="Arial" w:hAnsi="Arial" w:cs="Arial"/>
          <w:sz w:val="16"/>
          <w:szCs w:val="16"/>
        </w:rPr>
        <w:t xml:space="preserve"> </w:t>
      </w:r>
      <w:r w:rsidRPr="009603E2">
        <w:rPr>
          <w:rFonts w:ascii="Arial" w:hAnsi="Arial" w:cs="Arial"/>
          <w:spacing w:val="-4"/>
          <w:sz w:val="16"/>
          <w:szCs w:val="16"/>
        </w:rPr>
        <w:t xml:space="preserve">Ženy však dlouhodobě tvoří pouze zlomek celkové zaměstnanosti v této třídě. Jejich příznivější </w:t>
      </w:r>
      <w:r>
        <w:rPr>
          <w:rFonts w:ascii="Arial" w:hAnsi="Arial" w:cs="Arial"/>
          <w:spacing w:val="-4"/>
          <w:sz w:val="16"/>
          <w:szCs w:val="16"/>
        </w:rPr>
        <w:t xml:space="preserve">mzdová úroveň </w:t>
      </w:r>
      <w:r w:rsidRPr="009603E2">
        <w:rPr>
          <w:rFonts w:ascii="Arial" w:hAnsi="Arial" w:cs="Arial"/>
          <w:spacing w:val="-4"/>
          <w:sz w:val="16"/>
          <w:szCs w:val="16"/>
        </w:rPr>
        <w:t>patrně souvisí s výrazně odlišnou věkov</w:t>
      </w:r>
      <w:r>
        <w:rPr>
          <w:rFonts w:ascii="Arial" w:hAnsi="Arial" w:cs="Arial"/>
          <w:spacing w:val="-4"/>
          <w:sz w:val="16"/>
          <w:szCs w:val="16"/>
        </w:rPr>
        <w:t>ou</w:t>
      </w:r>
      <w:r w:rsidRPr="009603E2">
        <w:rPr>
          <w:rFonts w:ascii="Arial" w:hAnsi="Arial" w:cs="Arial"/>
          <w:spacing w:val="-4"/>
          <w:sz w:val="16"/>
          <w:szCs w:val="16"/>
        </w:rPr>
        <w:t xml:space="preserve"> i</w:t>
      </w:r>
      <w:r>
        <w:rPr>
          <w:rFonts w:ascii="Arial" w:hAnsi="Arial" w:cs="Arial"/>
          <w:spacing w:val="-4"/>
          <w:sz w:val="16"/>
          <w:szCs w:val="16"/>
        </w:rPr>
        <w:t> </w:t>
      </w:r>
      <w:r w:rsidRPr="009603E2">
        <w:rPr>
          <w:rFonts w:ascii="Arial" w:hAnsi="Arial" w:cs="Arial"/>
          <w:spacing w:val="-4"/>
          <w:sz w:val="16"/>
          <w:szCs w:val="16"/>
        </w:rPr>
        <w:t>kvalifikační skladbou.</w:t>
      </w:r>
    </w:p>
  </w:footnote>
  <w:footnote w:id="23">
    <w:p w14:paraId="669752D8" w14:textId="03DD23EF"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sz w:val="16"/>
          <w:szCs w:val="16"/>
        </w:rPr>
        <w:t>Tento zkrácený a zjednodušený název je zde použit jen pro odvětví výroby elektřiny, tepla a klimatizovaného vzduchu. Standardně se do energetiky řadí také odvětví z</w:t>
      </w:r>
      <w:r w:rsidRPr="00651943">
        <w:rPr>
          <w:rFonts w:ascii="Arial" w:hAnsi="Arial" w:cs="Arial"/>
          <w:sz w:val="16"/>
          <w:szCs w:val="16"/>
        </w:rPr>
        <w:t xml:space="preserve">ásobování vodou </w:t>
      </w:r>
      <w:r>
        <w:rPr>
          <w:rFonts w:ascii="Arial" w:hAnsi="Arial" w:cs="Arial"/>
          <w:sz w:val="16"/>
          <w:szCs w:val="16"/>
        </w:rPr>
        <w:t>a </w:t>
      </w:r>
      <w:r w:rsidRPr="00651943">
        <w:rPr>
          <w:rFonts w:ascii="Arial" w:hAnsi="Arial" w:cs="Arial"/>
          <w:sz w:val="16"/>
          <w:szCs w:val="16"/>
        </w:rPr>
        <w:t>činnosti související s</w:t>
      </w:r>
      <w:r>
        <w:rPr>
          <w:rFonts w:ascii="Arial" w:hAnsi="Arial" w:cs="Arial"/>
          <w:sz w:val="16"/>
          <w:szCs w:val="16"/>
        </w:rPr>
        <w:t> </w:t>
      </w:r>
      <w:r w:rsidRPr="00651943">
        <w:rPr>
          <w:rFonts w:ascii="Arial" w:hAnsi="Arial" w:cs="Arial"/>
          <w:sz w:val="16"/>
          <w:szCs w:val="16"/>
        </w:rPr>
        <w:t>odpady</w:t>
      </w:r>
      <w:r>
        <w:rPr>
          <w:rFonts w:ascii="Arial" w:hAnsi="Arial" w:cs="Arial"/>
          <w:sz w:val="16"/>
          <w:szCs w:val="16"/>
        </w:rPr>
        <w:t>.</w:t>
      </w:r>
    </w:p>
  </w:footnote>
  <w:footnote w:id="24">
    <w:p w14:paraId="565211AB" w14:textId="3DA30D4A" w:rsidR="004E684C" w:rsidRPr="00960B76" w:rsidRDefault="004E684C" w:rsidP="00AA4F0A">
      <w:pPr>
        <w:pStyle w:val="Normlnweb"/>
        <w:spacing w:before="0" w:beforeAutospacing="0" w:after="0" w:afterAutospacing="0"/>
        <w:rPr>
          <w:rFonts w:ascii="Arial" w:hAnsi="Arial" w:cs="Arial"/>
          <w:sz w:val="16"/>
          <w:szCs w:val="16"/>
        </w:rPr>
      </w:pPr>
      <w:r w:rsidRPr="003B03BB">
        <w:rPr>
          <w:rStyle w:val="Znakapoznpodarou"/>
          <w:rFonts w:ascii="Arial" w:hAnsi="Arial" w:cs="Arial"/>
          <w:sz w:val="16"/>
          <w:szCs w:val="16"/>
        </w:rPr>
        <w:footnoteRef/>
      </w:r>
      <w:r w:rsidRPr="003B03BB">
        <w:rPr>
          <w:rFonts w:ascii="Arial" w:hAnsi="Arial" w:cs="Arial"/>
          <w:sz w:val="16"/>
          <w:szCs w:val="16"/>
        </w:rPr>
        <w:t xml:space="preserve"> </w:t>
      </w:r>
      <w:r>
        <w:rPr>
          <w:rFonts w:ascii="Arial" w:hAnsi="Arial" w:cs="Arial"/>
          <w:sz w:val="16"/>
          <w:szCs w:val="16"/>
        </w:rPr>
        <w:t>Ty zahrnují zejména o</w:t>
      </w:r>
      <w:r w:rsidRPr="005072CC">
        <w:rPr>
          <w:rFonts w:ascii="Arial" w:hAnsi="Arial" w:cs="Arial"/>
          <w:sz w:val="16"/>
          <w:szCs w:val="16"/>
        </w:rPr>
        <w:t>pravy počítačů a</w:t>
      </w:r>
      <w:r>
        <w:rPr>
          <w:rFonts w:ascii="Arial" w:hAnsi="Arial" w:cs="Arial"/>
          <w:sz w:val="16"/>
          <w:szCs w:val="16"/>
        </w:rPr>
        <w:t> </w:t>
      </w:r>
      <w:r w:rsidRPr="005072CC">
        <w:rPr>
          <w:rFonts w:ascii="Arial" w:hAnsi="Arial" w:cs="Arial"/>
          <w:sz w:val="16"/>
          <w:szCs w:val="16"/>
        </w:rPr>
        <w:t>výrobků pro osobní potřebu a převážně pro domácnost</w:t>
      </w:r>
      <w:r>
        <w:rPr>
          <w:rFonts w:ascii="Arial" w:hAnsi="Arial" w:cs="Arial"/>
          <w:sz w:val="16"/>
          <w:szCs w:val="16"/>
        </w:rPr>
        <w:t>, ostatní osobní služ</w:t>
      </w:r>
      <w:r w:rsidRPr="005072CC">
        <w:rPr>
          <w:rFonts w:ascii="Arial" w:hAnsi="Arial" w:cs="Arial"/>
          <w:sz w:val="16"/>
          <w:szCs w:val="16"/>
        </w:rPr>
        <w:t>b</w:t>
      </w:r>
      <w:r>
        <w:rPr>
          <w:rFonts w:ascii="Arial" w:hAnsi="Arial" w:cs="Arial"/>
          <w:sz w:val="16"/>
          <w:szCs w:val="16"/>
        </w:rPr>
        <w:t>y (prací, čisticí, kadeřnické a kosmetické činnosti), č</w:t>
      </w:r>
      <w:r w:rsidRPr="005072CC">
        <w:rPr>
          <w:rFonts w:ascii="Arial" w:hAnsi="Arial" w:cs="Arial"/>
          <w:sz w:val="16"/>
          <w:szCs w:val="16"/>
        </w:rPr>
        <w:t>innosti podnik</w:t>
      </w:r>
      <w:r>
        <w:rPr>
          <w:rFonts w:ascii="Arial" w:hAnsi="Arial" w:cs="Arial"/>
          <w:sz w:val="16"/>
          <w:szCs w:val="16"/>
        </w:rPr>
        <w:t xml:space="preserve">atelských, zaměstnavatelských, </w:t>
      </w:r>
      <w:r w:rsidRPr="005072CC">
        <w:rPr>
          <w:rFonts w:ascii="Arial" w:hAnsi="Arial" w:cs="Arial"/>
          <w:sz w:val="16"/>
          <w:szCs w:val="16"/>
        </w:rPr>
        <w:t>profesních organizací</w:t>
      </w:r>
      <w:r>
        <w:rPr>
          <w:rFonts w:ascii="Arial" w:hAnsi="Arial" w:cs="Arial"/>
          <w:sz w:val="16"/>
          <w:szCs w:val="16"/>
        </w:rPr>
        <w:t xml:space="preserve">, </w:t>
      </w:r>
      <w:r w:rsidRPr="005072CC">
        <w:rPr>
          <w:rFonts w:ascii="Arial" w:hAnsi="Arial" w:cs="Arial"/>
          <w:sz w:val="16"/>
          <w:szCs w:val="16"/>
        </w:rPr>
        <w:t>odborových svazů</w:t>
      </w:r>
      <w:r>
        <w:rPr>
          <w:rFonts w:ascii="Arial" w:hAnsi="Arial" w:cs="Arial"/>
          <w:sz w:val="16"/>
          <w:szCs w:val="16"/>
        </w:rPr>
        <w:t xml:space="preserve">, </w:t>
      </w:r>
      <w:r w:rsidRPr="005072CC">
        <w:rPr>
          <w:rFonts w:ascii="Arial" w:hAnsi="Arial" w:cs="Arial"/>
          <w:sz w:val="16"/>
          <w:szCs w:val="16"/>
        </w:rPr>
        <w:t>náboženských organizací</w:t>
      </w:r>
      <w:r>
        <w:rPr>
          <w:rFonts w:ascii="Arial" w:hAnsi="Arial" w:cs="Arial"/>
          <w:sz w:val="16"/>
          <w:szCs w:val="16"/>
        </w:rPr>
        <w:t xml:space="preserve">, </w:t>
      </w:r>
      <w:r w:rsidRPr="005072CC">
        <w:rPr>
          <w:rFonts w:ascii="Arial" w:hAnsi="Arial" w:cs="Arial"/>
          <w:sz w:val="16"/>
          <w:szCs w:val="16"/>
        </w:rPr>
        <w:t>politických stran</w:t>
      </w:r>
      <w:r>
        <w:rPr>
          <w:rFonts w:ascii="Arial" w:hAnsi="Arial" w:cs="Arial"/>
          <w:sz w:val="16"/>
          <w:szCs w:val="16"/>
        </w:rPr>
        <w:t xml:space="preserve">, </w:t>
      </w:r>
      <w:r w:rsidRPr="005072CC">
        <w:rPr>
          <w:rFonts w:ascii="Arial" w:hAnsi="Arial" w:cs="Arial"/>
          <w:sz w:val="16"/>
          <w:szCs w:val="16"/>
        </w:rPr>
        <w:t>spotřebitelských organizací</w:t>
      </w:r>
      <w:r>
        <w:rPr>
          <w:rFonts w:ascii="Arial" w:hAnsi="Arial" w:cs="Arial"/>
          <w:sz w:val="16"/>
          <w:szCs w:val="16"/>
        </w:rPr>
        <w:t>, občanských iniciativ aj.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E6EC7" w14:textId="77777777" w:rsidR="004E684C" w:rsidRPr="0060093C" w:rsidRDefault="004E684C" w:rsidP="0060093C">
    <w:pPr>
      <w:pStyle w:val="Zhlav"/>
    </w:pPr>
    <w:r w:rsidRPr="0060093C">
      <w:t>Trendy na trhu práce v</w:t>
    </w:r>
    <w:r>
      <w:t> </w:t>
    </w:r>
    <w:r w:rsidRPr="0060093C">
      <w:t>ČR v</w:t>
    </w:r>
    <w:r>
      <w:t> </w:t>
    </w:r>
    <w:r w:rsidRPr="0060093C">
      <w:t>roce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11D9" w14:textId="77777777" w:rsidR="004E684C" w:rsidRPr="006F5416" w:rsidRDefault="004E684C" w:rsidP="00937AE2">
    <w:pPr>
      <w:pStyle w:val="Zhlav"/>
    </w:pPr>
    <w:r w:rsidRPr="0060093C">
      <w:t>Trendy na trhu práce v</w:t>
    </w:r>
    <w:r>
      <w:t> </w:t>
    </w:r>
    <w:r w:rsidRPr="0060093C">
      <w:t>ČR v</w:t>
    </w:r>
    <w:r>
      <w:t> </w:t>
    </w:r>
    <w:r w:rsidRPr="0060093C">
      <w:t>roce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FC6842"/>
    <w:multiLevelType w:val="multilevel"/>
    <w:tmpl w:val="D102C43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6892AB7"/>
    <w:multiLevelType w:val="hybridMultilevel"/>
    <w:tmpl w:val="385458B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3"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603319"/>
    <w:multiLevelType w:val="multilevel"/>
    <w:tmpl w:val="37F4F3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771FD"/>
    <w:multiLevelType w:val="hybridMultilevel"/>
    <w:tmpl w:val="4D96FC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70320B"/>
    <w:multiLevelType w:val="hybridMultilevel"/>
    <w:tmpl w:val="AAB203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34F43"/>
    <w:multiLevelType w:val="hybridMultilevel"/>
    <w:tmpl w:val="0468458A"/>
    <w:lvl w:ilvl="0" w:tplc="A7BC4150">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22"/>
  </w:num>
  <w:num w:numId="14">
    <w:abstractNumId w:val="12"/>
  </w:num>
  <w:num w:numId="15">
    <w:abstractNumId w:val="18"/>
  </w:num>
  <w:num w:numId="16">
    <w:abstractNumId w:val="14"/>
  </w:num>
  <w:num w:numId="17">
    <w:abstractNumId w:val="24"/>
  </w:num>
  <w:num w:numId="18">
    <w:abstractNumId w:val="19"/>
  </w:num>
  <w:num w:numId="19">
    <w:abstractNumId w:val="26"/>
  </w:num>
  <w:num w:numId="20">
    <w:abstractNumId w:val="29"/>
  </w:num>
  <w:num w:numId="21">
    <w:abstractNumId w:val="21"/>
  </w:num>
  <w:num w:numId="22">
    <w:abstractNumId w:val="17"/>
  </w:num>
  <w:num w:numId="23">
    <w:abstractNumId w:val="15"/>
  </w:num>
  <w:num w:numId="24">
    <w:abstractNumId w:val="16"/>
  </w:num>
  <w:num w:numId="25">
    <w:abstractNumId w:val="28"/>
  </w:num>
  <w:num w:numId="26">
    <w:abstractNumId w:val="10"/>
  </w:num>
  <w:num w:numId="27">
    <w:abstractNumId w:val="25"/>
  </w:num>
  <w:num w:numId="28">
    <w:abstractNumId w:val="23"/>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02"/>
    <w:rsid w:val="0000209D"/>
    <w:rsid w:val="00002937"/>
    <w:rsid w:val="00002FED"/>
    <w:rsid w:val="00004D5A"/>
    <w:rsid w:val="000056D5"/>
    <w:rsid w:val="00006ABD"/>
    <w:rsid w:val="0000767A"/>
    <w:rsid w:val="00007BEF"/>
    <w:rsid w:val="00010256"/>
    <w:rsid w:val="00010702"/>
    <w:rsid w:val="00011912"/>
    <w:rsid w:val="00012408"/>
    <w:rsid w:val="00014537"/>
    <w:rsid w:val="000157D5"/>
    <w:rsid w:val="00016359"/>
    <w:rsid w:val="00017762"/>
    <w:rsid w:val="0002195D"/>
    <w:rsid w:val="00023162"/>
    <w:rsid w:val="000234D6"/>
    <w:rsid w:val="00023D29"/>
    <w:rsid w:val="00026389"/>
    <w:rsid w:val="00031AE0"/>
    <w:rsid w:val="000322EF"/>
    <w:rsid w:val="000333B9"/>
    <w:rsid w:val="00033F92"/>
    <w:rsid w:val="00033FCD"/>
    <w:rsid w:val="000402E5"/>
    <w:rsid w:val="0004062C"/>
    <w:rsid w:val="00041CEC"/>
    <w:rsid w:val="0004694F"/>
    <w:rsid w:val="000500AB"/>
    <w:rsid w:val="000522E4"/>
    <w:rsid w:val="00052501"/>
    <w:rsid w:val="00054BC9"/>
    <w:rsid w:val="000610E1"/>
    <w:rsid w:val="00061F73"/>
    <w:rsid w:val="00062EC5"/>
    <w:rsid w:val="00062F22"/>
    <w:rsid w:val="00067A82"/>
    <w:rsid w:val="000712B3"/>
    <w:rsid w:val="0008263E"/>
    <w:rsid w:val="00082A55"/>
    <w:rsid w:val="00082C19"/>
    <w:rsid w:val="00083234"/>
    <w:rsid w:val="00085395"/>
    <w:rsid w:val="00087634"/>
    <w:rsid w:val="00087F2B"/>
    <w:rsid w:val="00090C18"/>
    <w:rsid w:val="00093E3F"/>
    <w:rsid w:val="00093E53"/>
    <w:rsid w:val="00095135"/>
    <w:rsid w:val="00096085"/>
    <w:rsid w:val="000974D1"/>
    <w:rsid w:val="0009799E"/>
    <w:rsid w:val="000A1183"/>
    <w:rsid w:val="000A256D"/>
    <w:rsid w:val="000A3A2C"/>
    <w:rsid w:val="000A52EF"/>
    <w:rsid w:val="000B305D"/>
    <w:rsid w:val="000B525B"/>
    <w:rsid w:val="000B7AC5"/>
    <w:rsid w:val="000C1D78"/>
    <w:rsid w:val="000C3408"/>
    <w:rsid w:val="000C517B"/>
    <w:rsid w:val="000C6AFD"/>
    <w:rsid w:val="000D17A1"/>
    <w:rsid w:val="000D5637"/>
    <w:rsid w:val="000E6C04"/>
    <w:rsid w:val="000E6FBD"/>
    <w:rsid w:val="000F6340"/>
    <w:rsid w:val="000F7663"/>
    <w:rsid w:val="00100F5C"/>
    <w:rsid w:val="0010106F"/>
    <w:rsid w:val="00101CDA"/>
    <w:rsid w:val="0010418A"/>
    <w:rsid w:val="00104C4C"/>
    <w:rsid w:val="00110555"/>
    <w:rsid w:val="00117623"/>
    <w:rsid w:val="00120BC1"/>
    <w:rsid w:val="0012192F"/>
    <w:rsid w:val="00125A9C"/>
    <w:rsid w:val="00125D69"/>
    <w:rsid w:val="00136371"/>
    <w:rsid w:val="00137548"/>
    <w:rsid w:val="001405FA"/>
    <w:rsid w:val="00141782"/>
    <w:rsid w:val="001425C3"/>
    <w:rsid w:val="001435B3"/>
    <w:rsid w:val="0015045D"/>
    <w:rsid w:val="001528B9"/>
    <w:rsid w:val="001612F4"/>
    <w:rsid w:val="00162312"/>
    <w:rsid w:val="0016256B"/>
    <w:rsid w:val="00163793"/>
    <w:rsid w:val="001671FF"/>
    <w:rsid w:val="001706D6"/>
    <w:rsid w:val="001714F2"/>
    <w:rsid w:val="00175B9F"/>
    <w:rsid w:val="00176A60"/>
    <w:rsid w:val="00181BBC"/>
    <w:rsid w:val="00182799"/>
    <w:rsid w:val="00184B08"/>
    <w:rsid w:val="00185010"/>
    <w:rsid w:val="00186919"/>
    <w:rsid w:val="001916DB"/>
    <w:rsid w:val="0019361E"/>
    <w:rsid w:val="00193818"/>
    <w:rsid w:val="001A0487"/>
    <w:rsid w:val="001A0D6B"/>
    <w:rsid w:val="001A5387"/>
    <w:rsid w:val="001A552F"/>
    <w:rsid w:val="001A6DB4"/>
    <w:rsid w:val="001B11D8"/>
    <w:rsid w:val="001B28D3"/>
    <w:rsid w:val="001B2CA9"/>
    <w:rsid w:val="001B3110"/>
    <w:rsid w:val="001B4729"/>
    <w:rsid w:val="001B6310"/>
    <w:rsid w:val="001B6C09"/>
    <w:rsid w:val="001C04EF"/>
    <w:rsid w:val="001C05CD"/>
    <w:rsid w:val="001C1B66"/>
    <w:rsid w:val="001D198A"/>
    <w:rsid w:val="001D37E6"/>
    <w:rsid w:val="001D463E"/>
    <w:rsid w:val="001D68B2"/>
    <w:rsid w:val="001D70E9"/>
    <w:rsid w:val="001E23AF"/>
    <w:rsid w:val="001E504C"/>
    <w:rsid w:val="001F4597"/>
    <w:rsid w:val="00203390"/>
    <w:rsid w:val="00203DA4"/>
    <w:rsid w:val="002052C6"/>
    <w:rsid w:val="002118B9"/>
    <w:rsid w:val="00212D83"/>
    <w:rsid w:val="00217C5B"/>
    <w:rsid w:val="0022069C"/>
    <w:rsid w:val="0022139E"/>
    <w:rsid w:val="00222729"/>
    <w:rsid w:val="00222FFB"/>
    <w:rsid w:val="002252E0"/>
    <w:rsid w:val="002255F6"/>
    <w:rsid w:val="00227850"/>
    <w:rsid w:val="00227A53"/>
    <w:rsid w:val="00230C6E"/>
    <w:rsid w:val="00236443"/>
    <w:rsid w:val="00241B06"/>
    <w:rsid w:val="002436BA"/>
    <w:rsid w:val="00244A15"/>
    <w:rsid w:val="00247319"/>
    <w:rsid w:val="0024799E"/>
    <w:rsid w:val="00253487"/>
    <w:rsid w:val="00253C0F"/>
    <w:rsid w:val="002558C1"/>
    <w:rsid w:val="002634D9"/>
    <w:rsid w:val="002660F5"/>
    <w:rsid w:val="002672CB"/>
    <w:rsid w:val="002677BC"/>
    <w:rsid w:val="00271465"/>
    <w:rsid w:val="00274008"/>
    <w:rsid w:val="00274037"/>
    <w:rsid w:val="00274CB3"/>
    <w:rsid w:val="00276B4C"/>
    <w:rsid w:val="002823F7"/>
    <w:rsid w:val="00285412"/>
    <w:rsid w:val="0028610D"/>
    <w:rsid w:val="00290156"/>
    <w:rsid w:val="00291640"/>
    <w:rsid w:val="002A16D4"/>
    <w:rsid w:val="002A230C"/>
    <w:rsid w:val="002A5D97"/>
    <w:rsid w:val="002B2127"/>
    <w:rsid w:val="002B213A"/>
    <w:rsid w:val="002B4845"/>
    <w:rsid w:val="002B6B06"/>
    <w:rsid w:val="002C2A89"/>
    <w:rsid w:val="002C43BD"/>
    <w:rsid w:val="002C4CD2"/>
    <w:rsid w:val="002D0A4D"/>
    <w:rsid w:val="002D0E59"/>
    <w:rsid w:val="002D4854"/>
    <w:rsid w:val="002E02A1"/>
    <w:rsid w:val="002E4E4C"/>
    <w:rsid w:val="00302262"/>
    <w:rsid w:val="00303533"/>
    <w:rsid w:val="00304771"/>
    <w:rsid w:val="003052D4"/>
    <w:rsid w:val="00306AD7"/>
    <w:rsid w:val="00306C5B"/>
    <w:rsid w:val="00307BEA"/>
    <w:rsid w:val="00310579"/>
    <w:rsid w:val="00313C7F"/>
    <w:rsid w:val="003209D6"/>
    <w:rsid w:val="00321924"/>
    <w:rsid w:val="0032656E"/>
    <w:rsid w:val="003279BA"/>
    <w:rsid w:val="00327B04"/>
    <w:rsid w:val="00330060"/>
    <w:rsid w:val="00332190"/>
    <w:rsid w:val="0033250B"/>
    <w:rsid w:val="00333BE7"/>
    <w:rsid w:val="0034335E"/>
    <w:rsid w:val="00344668"/>
    <w:rsid w:val="003462D9"/>
    <w:rsid w:val="00347378"/>
    <w:rsid w:val="0034748B"/>
    <w:rsid w:val="003557D2"/>
    <w:rsid w:val="003601D9"/>
    <w:rsid w:val="00360C86"/>
    <w:rsid w:val="00360DE3"/>
    <w:rsid w:val="00360FBC"/>
    <w:rsid w:val="00362E90"/>
    <w:rsid w:val="00364C32"/>
    <w:rsid w:val="00364FA0"/>
    <w:rsid w:val="003657F3"/>
    <w:rsid w:val="00372620"/>
    <w:rsid w:val="0037734D"/>
    <w:rsid w:val="0037785F"/>
    <w:rsid w:val="003818DC"/>
    <w:rsid w:val="00381A3E"/>
    <w:rsid w:val="00384327"/>
    <w:rsid w:val="00385D98"/>
    <w:rsid w:val="003870EE"/>
    <w:rsid w:val="00392364"/>
    <w:rsid w:val="003A2B4D"/>
    <w:rsid w:val="003A2D12"/>
    <w:rsid w:val="003A478C"/>
    <w:rsid w:val="003A5473"/>
    <w:rsid w:val="003A5525"/>
    <w:rsid w:val="003A69A0"/>
    <w:rsid w:val="003A6B38"/>
    <w:rsid w:val="003B307A"/>
    <w:rsid w:val="003B461F"/>
    <w:rsid w:val="003B5A32"/>
    <w:rsid w:val="003C3490"/>
    <w:rsid w:val="003C3D7F"/>
    <w:rsid w:val="003C4BE8"/>
    <w:rsid w:val="003C7E62"/>
    <w:rsid w:val="003D6920"/>
    <w:rsid w:val="003E38BA"/>
    <w:rsid w:val="003E4C91"/>
    <w:rsid w:val="003F313C"/>
    <w:rsid w:val="003F366D"/>
    <w:rsid w:val="003F37FC"/>
    <w:rsid w:val="003F3890"/>
    <w:rsid w:val="003F4B2C"/>
    <w:rsid w:val="003F551C"/>
    <w:rsid w:val="003F72ED"/>
    <w:rsid w:val="003F7D23"/>
    <w:rsid w:val="00400C29"/>
    <w:rsid w:val="0040200B"/>
    <w:rsid w:val="00407C13"/>
    <w:rsid w:val="00410638"/>
    <w:rsid w:val="0041501E"/>
    <w:rsid w:val="004159C3"/>
    <w:rsid w:val="00425F45"/>
    <w:rsid w:val="00432A58"/>
    <w:rsid w:val="00433C0C"/>
    <w:rsid w:val="00434617"/>
    <w:rsid w:val="00436778"/>
    <w:rsid w:val="00440900"/>
    <w:rsid w:val="00441BF6"/>
    <w:rsid w:val="004441A0"/>
    <w:rsid w:val="0045078A"/>
    <w:rsid w:val="0045086D"/>
    <w:rsid w:val="00460FB3"/>
    <w:rsid w:val="0046496B"/>
    <w:rsid w:val="00476240"/>
    <w:rsid w:val="00476439"/>
    <w:rsid w:val="0047735C"/>
    <w:rsid w:val="00477581"/>
    <w:rsid w:val="004776BC"/>
    <w:rsid w:val="0048139F"/>
    <w:rsid w:val="00481E40"/>
    <w:rsid w:val="00483AD8"/>
    <w:rsid w:val="00484ECE"/>
    <w:rsid w:val="004915CB"/>
    <w:rsid w:val="004924DC"/>
    <w:rsid w:val="004966B2"/>
    <w:rsid w:val="004A1423"/>
    <w:rsid w:val="004A14E4"/>
    <w:rsid w:val="004A3212"/>
    <w:rsid w:val="004A5494"/>
    <w:rsid w:val="004A61C5"/>
    <w:rsid w:val="004A77DF"/>
    <w:rsid w:val="004B1417"/>
    <w:rsid w:val="004B48DF"/>
    <w:rsid w:val="004B55B7"/>
    <w:rsid w:val="004B6468"/>
    <w:rsid w:val="004B7125"/>
    <w:rsid w:val="004C26B0"/>
    <w:rsid w:val="004C384C"/>
    <w:rsid w:val="004C3867"/>
    <w:rsid w:val="004C4CD0"/>
    <w:rsid w:val="004C5FBF"/>
    <w:rsid w:val="004C70DC"/>
    <w:rsid w:val="004D0211"/>
    <w:rsid w:val="004D0794"/>
    <w:rsid w:val="004D3177"/>
    <w:rsid w:val="004E1A7F"/>
    <w:rsid w:val="004E326C"/>
    <w:rsid w:val="004E684C"/>
    <w:rsid w:val="004F06F5"/>
    <w:rsid w:val="004F16F7"/>
    <w:rsid w:val="004F33A0"/>
    <w:rsid w:val="004F534A"/>
    <w:rsid w:val="0050689D"/>
    <w:rsid w:val="0051062C"/>
    <w:rsid w:val="005108C0"/>
    <w:rsid w:val="00511873"/>
    <w:rsid w:val="005123B5"/>
    <w:rsid w:val="005127B1"/>
    <w:rsid w:val="00512A2F"/>
    <w:rsid w:val="00513B7E"/>
    <w:rsid w:val="00514207"/>
    <w:rsid w:val="005152D9"/>
    <w:rsid w:val="00515C74"/>
    <w:rsid w:val="00515E0F"/>
    <w:rsid w:val="00515FFA"/>
    <w:rsid w:val="005173AF"/>
    <w:rsid w:val="0052007E"/>
    <w:rsid w:val="0052337A"/>
    <w:rsid w:val="00525137"/>
    <w:rsid w:val="005251DD"/>
    <w:rsid w:val="00525824"/>
    <w:rsid w:val="005329A1"/>
    <w:rsid w:val="00532CE7"/>
    <w:rsid w:val="0053324C"/>
    <w:rsid w:val="00534A28"/>
    <w:rsid w:val="00537E4B"/>
    <w:rsid w:val="005406DD"/>
    <w:rsid w:val="00541508"/>
    <w:rsid w:val="00541E53"/>
    <w:rsid w:val="0054270C"/>
    <w:rsid w:val="00543498"/>
    <w:rsid w:val="00551238"/>
    <w:rsid w:val="00552CBA"/>
    <w:rsid w:val="0055599F"/>
    <w:rsid w:val="00556D68"/>
    <w:rsid w:val="00563EB8"/>
    <w:rsid w:val="005647BF"/>
    <w:rsid w:val="00564AF1"/>
    <w:rsid w:val="0057364B"/>
    <w:rsid w:val="00574773"/>
    <w:rsid w:val="00581AC8"/>
    <w:rsid w:val="00583FFD"/>
    <w:rsid w:val="00590429"/>
    <w:rsid w:val="005911BE"/>
    <w:rsid w:val="00591887"/>
    <w:rsid w:val="0059286B"/>
    <w:rsid w:val="00593152"/>
    <w:rsid w:val="00596F92"/>
    <w:rsid w:val="005A10F2"/>
    <w:rsid w:val="005A21E0"/>
    <w:rsid w:val="005A28FF"/>
    <w:rsid w:val="005A2A19"/>
    <w:rsid w:val="005A2C7B"/>
    <w:rsid w:val="005A3DF8"/>
    <w:rsid w:val="005A5549"/>
    <w:rsid w:val="005A655B"/>
    <w:rsid w:val="005A673F"/>
    <w:rsid w:val="005A7666"/>
    <w:rsid w:val="005B121D"/>
    <w:rsid w:val="005C06ED"/>
    <w:rsid w:val="005C2609"/>
    <w:rsid w:val="005C35A1"/>
    <w:rsid w:val="005C6D7F"/>
    <w:rsid w:val="005D0DB2"/>
    <w:rsid w:val="005D3386"/>
    <w:rsid w:val="005D5802"/>
    <w:rsid w:val="005D7119"/>
    <w:rsid w:val="005D7890"/>
    <w:rsid w:val="005E2A7C"/>
    <w:rsid w:val="005E619A"/>
    <w:rsid w:val="005E7C78"/>
    <w:rsid w:val="005F18C5"/>
    <w:rsid w:val="005F21D8"/>
    <w:rsid w:val="005F3C03"/>
    <w:rsid w:val="005F3EB1"/>
    <w:rsid w:val="005F46D8"/>
    <w:rsid w:val="005F5469"/>
    <w:rsid w:val="00600079"/>
    <w:rsid w:val="006003D1"/>
    <w:rsid w:val="0060093C"/>
    <w:rsid w:val="00601A2E"/>
    <w:rsid w:val="00601AFA"/>
    <w:rsid w:val="00603030"/>
    <w:rsid w:val="0060404F"/>
    <w:rsid w:val="00604307"/>
    <w:rsid w:val="0060487F"/>
    <w:rsid w:val="00604EAD"/>
    <w:rsid w:val="006104FB"/>
    <w:rsid w:val="0061249B"/>
    <w:rsid w:val="00612A2F"/>
    <w:rsid w:val="006169F2"/>
    <w:rsid w:val="00616E05"/>
    <w:rsid w:val="006220C1"/>
    <w:rsid w:val="00624093"/>
    <w:rsid w:val="006254CB"/>
    <w:rsid w:val="00626D21"/>
    <w:rsid w:val="00630D9E"/>
    <w:rsid w:val="0063201A"/>
    <w:rsid w:val="006350D5"/>
    <w:rsid w:val="006404A7"/>
    <w:rsid w:val="0064464B"/>
    <w:rsid w:val="006451E4"/>
    <w:rsid w:val="006454CC"/>
    <w:rsid w:val="00645B33"/>
    <w:rsid w:val="00650330"/>
    <w:rsid w:val="006516CB"/>
    <w:rsid w:val="006558BD"/>
    <w:rsid w:val="00657E87"/>
    <w:rsid w:val="00664803"/>
    <w:rsid w:val="00665BA4"/>
    <w:rsid w:val="00666D91"/>
    <w:rsid w:val="00667AF2"/>
    <w:rsid w:val="006710C9"/>
    <w:rsid w:val="00674D89"/>
    <w:rsid w:val="00675E37"/>
    <w:rsid w:val="00680001"/>
    <w:rsid w:val="0068174E"/>
    <w:rsid w:val="00681DCE"/>
    <w:rsid w:val="0068260E"/>
    <w:rsid w:val="006863B2"/>
    <w:rsid w:val="006901FF"/>
    <w:rsid w:val="00695BEF"/>
    <w:rsid w:val="006977F6"/>
    <w:rsid w:val="00697A13"/>
    <w:rsid w:val="006A109C"/>
    <w:rsid w:val="006A3E08"/>
    <w:rsid w:val="006A73A6"/>
    <w:rsid w:val="006B0F92"/>
    <w:rsid w:val="006B344A"/>
    <w:rsid w:val="006B4B7B"/>
    <w:rsid w:val="006B5F4A"/>
    <w:rsid w:val="006B78D8"/>
    <w:rsid w:val="006C113F"/>
    <w:rsid w:val="006C123E"/>
    <w:rsid w:val="006C1752"/>
    <w:rsid w:val="006C33B2"/>
    <w:rsid w:val="006C56D4"/>
    <w:rsid w:val="006C6924"/>
    <w:rsid w:val="006C7CA6"/>
    <w:rsid w:val="006D3E8A"/>
    <w:rsid w:val="006D61F6"/>
    <w:rsid w:val="006D64C2"/>
    <w:rsid w:val="006E1673"/>
    <w:rsid w:val="006E279A"/>
    <w:rsid w:val="006E313B"/>
    <w:rsid w:val="006E7227"/>
    <w:rsid w:val="006F0603"/>
    <w:rsid w:val="006F14C9"/>
    <w:rsid w:val="006F2595"/>
    <w:rsid w:val="006F438E"/>
    <w:rsid w:val="006F4BFC"/>
    <w:rsid w:val="006F5416"/>
    <w:rsid w:val="006F668F"/>
    <w:rsid w:val="00701199"/>
    <w:rsid w:val="00705242"/>
    <w:rsid w:val="00706AD4"/>
    <w:rsid w:val="00707150"/>
    <w:rsid w:val="007079A6"/>
    <w:rsid w:val="007140BE"/>
    <w:rsid w:val="00716E3F"/>
    <w:rsid w:val="00720499"/>
    <w:rsid w:val="007211F5"/>
    <w:rsid w:val="00723859"/>
    <w:rsid w:val="007240E2"/>
    <w:rsid w:val="00725BB5"/>
    <w:rsid w:val="00730AE8"/>
    <w:rsid w:val="00730F1B"/>
    <w:rsid w:val="00741493"/>
    <w:rsid w:val="0074369B"/>
    <w:rsid w:val="00744D09"/>
    <w:rsid w:val="00744EE6"/>
    <w:rsid w:val="00745062"/>
    <w:rsid w:val="00746484"/>
    <w:rsid w:val="00750EF8"/>
    <w:rsid w:val="00752180"/>
    <w:rsid w:val="00753CAB"/>
    <w:rsid w:val="00755202"/>
    <w:rsid w:val="00755D3A"/>
    <w:rsid w:val="007578D3"/>
    <w:rsid w:val="007609C6"/>
    <w:rsid w:val="0076175D"/>
    <w:rsid w:val="00763B85"/>
    <w:rsid w:val="0076521E"/>
    <w:rsid w:val="00765565"/>
    <w:rsid w:val="007661E9"/>
    <w:rsid w:val="00772DA9"/>
    <w:rsid w:val="00775417"/>
    <w:rsid w:val="00775F45"/>
    <w:rsid w:val="00776169"/>
    <w:rsid w:val="00776527"/>
    <w:rsid w:val="00780EF1"/>
    <w:rsid w:val="00785232"/>
    <w:rsid w:val="00790764"/>
    <w:rsid w:val="0079453C"/>
    <w:rsid w:val="00794677"/>
    <w:rsid w:val="007A4167"/>
    <w:rsid w:val="007A4761"/>
    <w:rsid w:val="007A516D"/>
    <w:rsid w:val="007B1C79"/>
    <w:rsid w:val="007B6689"/>
    <w:rsid w:val="007C13A4"/>
    <w:rsid w:val="007C6BBD"/>
    <w:rsid w:val="007C7BAE"/>
    <w:rsid w:val="007D0C24"/>
    <w:rsid w:val="007D40DF"/>
    <w:rsid w:val="007E29B4"/>
    <w:rsid w:val="007E2E62"/>
    <w:rsid w:val="007E435A"/>
    <w:rsid w:val="007E6AD9"/>
    <w:rsid w:val="007E7E61"/>
    <w:rsid w:val="007F0845"/>
    <w:rsid w:val="007F4B7E"/>
    <w:rsid w:val="007F554F"/>
    <w:rsid w:val="007F661C"/>
    <w:rsid w:val="007F708D"/>
    <w:rsid w:val="00800B3F"/>
    <w:rsid w:val="008018FD"/>
    <w:rsid w:val="00801E13"/>
    <w:rsid w:val="00802137"/>
    <w:rsid w:val="00807204"/>
    <w:rsid w:val="00807C82"/>
    <w:rsid w:val="008103DB"/>
    <w:rsid w:val="008115FD"/>
    <w:rsid w:val="00816905"/>
    <w:rsid w:val="008173F8"/>
    <w:rsid w:val="00821FF6"/>
    <w:rsid w:val="00822574"/>
    <w:rsid w:val="00825C4D"/>
    <w:rsid w:val="00826E60"/>
    <w:rsid w:val="0083143E"/>
    <w:rsid w:val="00831CDE"/>
    <w:rsid w:val="008329A1"/>
    <w:rsid w:val="00833BF2"/>
    <w:rsid w:val="00834304"/>
    <w:rsid w:val="00834FAA"/>
    <w:rsid w:val="00836086"/>
    <w:rsid w:val="00846121"/>
    <w:rsid w:val="0084708F"/>
    <w:rsid w:val="0084727E"/>
    <w:rsid w:val="008477C8"/>
    <w:rsid w:val="00847931"/>
    <w:rsid w:val="0085114D"/>
    <w:rsid w:val="00852217"/>
    <w:rsid w:val="00855408"/>
    <w:rsid w:val="00856D65"/>
    <w:rsid w:val="00861B41"/>
    <w:rsid w:val="00861BE3"/>
    <w:rsid w:val="00863434"/>
    <w:rsid w:val="008637A2"/>
    <w:rsid w:val="0086457A"/>
    <w:rsid w:val="00865E4C"/>
    <w:rsid w:val="00865ED7"/>
    <w:rsid w:val="008701E4"/>
    <w:rsid w:val="00875A32"/>
    <w:rsid w:val="00876086"/>
    <w:rsid w:val="008832E3"/>
    <w:rsid w:val="008849B4"/>
    <w:rsid w:val="00884A6F"/>
    <w:rsid w:val="008856A3"/>
    <w:rsid w:val="008873D4"/>
    <w:rsid w:val="0089296D"/>
    <w:rsid w:val="00893E85"/>
    <w:rsid w:val="00894031"/>
    <w:rsid w:val="00895508"/>
    <w:rsid w:val="00896990"/>
    <w:rsid w:val="008A4C18"/>
    <w:rsid w:val="008B0AE2"/>
    <w:rsid w:val="008B4CC2"/>
    <w:rsid w:val="008B685F"/>
    <w:rsid w:val="008B7C02"/>
    <w:rsid w:val="008B7D2B"/>
    <w:rsid w:val="008C0049"/>
    <w:rsid w:val="008C0E88"/>
    <w:rsid w:val="008C6124"/>
    <w:rsid w:val="008C72C8"/>
    <w:rsid w:val="008D0DBD"/>
    <w:rsid w:val="008D1E6A"/>
    <w:rsid w:val="008D2A16"/>
    <w:rsid w:val="008E01D1"/>
    <w:rsid w:val="008E0DC9"/>
    <w:rsid w:val="008E0EB6"/>
    <w:rsid w:val="008E1DA4"/>
    <w:rsid w:val="008E1F66"/>
    <w:rsid w:val="008E2C57"/>
    <w:rsid w:val="008E31FF"/>
    <w:rsid w:val="008E69C0"/>
    <w:rsid w:val="008E6F06"/>
    <w:rsid w:val="008E7FC9"/>
    <w:rsid w:val="008F029B"/>
    <w:rsid w:val="008F3BB8"/>
    <w:rsid w:val="008F3FC9"/>
    <w:rsid w:val="008F585B"/>
    <w:rsid w:val="008F75E8"/>
    <w:rsid w:val="009003A8"/>
    <w:rsid w:val="00901B0D"/>
    <w:rsid w:val="00902500"/>
    <w:rsid w:val="00902EFF"/>
    <w:rsid w:val="009055BC"/>
    <w:rsid w:val="00906401"/>
    <w:rsid w:val="0091155E"/>
    <w:rsid w:val="00912A92"/>
    <w:rsid w:val="00915CF4"/>
    <w:rsid w:val="0091728D"/>
    <w:rsid w:val="0092180B"/>
    <w:rsid w:val="00921F14"/>
    <w:rsid w:val="00924AC8"/>
    <w:rsid w:val="0092597A"/>
    <w:rsid w:val="00930FB1"/>
    <w:rsid w:val="0093139F"/>
    <w:rsid w:val="00932443"/>
    <w:rsid w:val="00935F39"/>
    <w:rsid w:val="00937AE2"/>
    <w:rsid w:val="00942C19"/>
    <w:rsid w:val="0094427A"/>
    <w:rsid w:val="00945245"/>
    <w:rsid w:val="00947BA9"/>
    <w:rsid w:val="00953F28"/>
    <w:rsid w:val="009540B7"/>
    <w:rsid w:val="0095759C"/>
    <w:rsid w:val="0096154D"/>
    <w:rsid w:val="0096221A"/>
    <w:rsid w:val="009675EE"/>
    <w:rsid w:val="00971612"/>
    <w:rsid w:val="00972309"/>
    <w:rsid w:val="00974923"/>
    <w:rsid w:val="00980D3D"/>
    <w:rsid w:val="00987A30"/>
    <w:rsid w:val="00992CF3"/>
    <w:rsid w:val="00992F70"/>
    <w:rsid w:val="00993148"/>
    <w:rsid w:val="00993D73"/>
    <w:rsid w:val="009942B6"/>
    <w:rsid w:val="00994868"/>
    <w:rsid w:val="009968D6"/>
    <w:rsid w:val="009A1CAB"/>
    <w:rsid w:val="009A4901"/>
    <w:rsid w:val="009A4F91"/>
    <w:rsid w:val="009A60D1"/>
    <w:rsid w:val="009B654B"/>
    <w:rsid w:val="009B6FD3"/>
    <w:rsid w:val="009C03C8"/>
    <w:rsid w:val="009C1750"/>
    <w:rsid w:val="009C1EEA"/>
    <w:rsid w:val="009C2E29"/>
    <w:rsid w:val="009C554B"/>
    <w:rsid w:val="009C719E"/>
    <w:rsid w:val="009D3ACD"/>
    <w:rsid w:val="009D3F3E"/>
    <w:rsid w:val="009D78F8"/>
    <w:rsid w:val="009E5273"/>
    <w:rsid w:val="009E5DDB"/>
    <w:rsid w:val="009E674A"/>
    <w:rsid w:val="009F46EA"/>
    <w:rsid w:val="009F47E7"/>
    <w:rsid w:val="009F4CA7"/>
    <w:rsid w:val="00A10D66"/>
    <w:rsid w:val="00A14114"/>
    <w:rsid w:val="00A16413"/>
    <w:rsid w:val="00A16E1D"/>
    <w:rsid w:val="00A17969"/>
    <w:rsid w:val="00A17D5B"/>
    <w:rsid w:val="00A20028"/>
    <w:rsid w:val="00A230A8"/>
    <w:rsid w:val="00A23E43"/>
    <w:rsid w:val="00A25216"/>
    <w:rsid w:val="00A27420"/>
    <w:rsid w:val="00A27C85"/>
    <w:rsid w:val="00A30F65"/>
    <w:rsid w:val="00A329DF"/>
    <w:rsid w:val="00A34FB5"/>
    <w:rsid w:val="00A35142"/>
    <w:rsid w:val="00A35EA6"/>
    <w:rsid w:val="00A365AC"/>
    <w:rsid w:val="00A36682"/>
    <w:rsid w:val="00A3694E"/>
    <w:rsid w:val="00A40EAC"/>
    <w:rsid w:val="00A418BC"/>
    <w:rsid w:val="00A46DE0"/>
    <w:rsid w:val="00A4750C"/>
    <w:rsid w:val="00A479A4"/>
    <w:rsid w:val="00A500A7"/>
    <w:rsid w:val="00A50D73"/>
    <w:rsid w:val="00A51F19"/>
    <w:rsid w:val="00A52CAD"/>
    <w:rsid w:val="00A537F0"/>
    <w:rsid w:val="00A53FC7"/>
    <w:rsid w:val="00A54250"/>
    <w:rsid w:val="00A55161"/>
    <w:rsid w:val="00A55593"/>
    <w:rsid w:val="00A62B23"/>
    <w:rsid w:val="00A62CE1"/>
    <w:rsid w:val="00A6741E"/>
    <w:rsid w:val="00A67D62"/>
    <w:rsid w:val="00A67EA4"/>
    <w:rsid w:val="00A75E40"/>
    <w:rsid w:val="00A77D1D"/>
    <w:rsid w:val="00A83DE7"/>
    <w:rsid w:val="00A84923"/>
    <w:rsid w:val="00A857C0"/>
    <w:rsid w:val="00A90FED"/>
    <w:rsid w:val="00AA1FBF"/>
    <w:rsid w:val="00AA2996"/>
    <w:rsid w:val="00AA4A77"/>
    <w:rsid w:val="00AA4F0A"/>
    <w:rsid w:val="00AA52BF"/>
    <w:rsid w:val="00AA559A"/>
    <w:rsid w:val="00AA6B9B"/>
    <w:rsid w:val="00AB2AF1"/>
    <w:rsid w:val="00AB5421"/>
    <w:rsid w:val="00AC0FD3"/>
    <w:rsid w:val="00AC45BD"/>
    <w:rsid w:val="00AC6433"/>
    <w:rsid w:val="00AC7A05"/>
    <w:rsid w:val="00AC7F4D"/>
    <w:rsid w:val="00AD168E"/>
    <w:rsid w:val="00AD306C"/>
    <w:rsid w:val="00AD68C4"/>
    <w:rsid w:val="00AE09B3"/>
    <w:rsid w:val="00AE1A83"/>
    <w:rsid w:val="00AE538C"/>
    <w:rsid w:val="00AE7FB2"/>
    <w:rsid w:val="00AF0063"/>
    <w:rsid w:val="00AF7180"/>
    <w:rsid w:val="00B00913"/>
    <w:rsid w:val="00B01593"/>
    <w:rsid w:val="00B02051"/>
    <w:rsid w:val="00B023F2"/>
    <w:rsid w:val="00B10A4D"/>
    <w:rsid w:val="00B120A1"/>
    <w:rsid w:val="00B14BC1"/>
    <w:rsid w:val="00B17E71"/>
    <w:rsid w:val="00B17FDE"/>
    <w:rsid w:val="00B20632"/>
    <w:rsid w:val="00B23055"/>
    <w:rsid w:val="00B2379C"/>
    <w:rsid w:val="00B2687D"/>
    <w:rsid w:val="00B32DDB"/>
    <w:rsid w:val="00B336D6"/>
    <w:rsid w:val="00B34528"/>
    <w:rsid w:val="00B34CC9"/>
    <w:rsid w:val="00B37579"/>
    <w:rsid w:val="00B37A30"/>
    <w:rsid w:val="00B402FC"/>
    <w:rsid w:val="00B40FF9"/>
    <w:rsid w:val="00B42470"/>
    <w:rsid w:val="00B439DA"/>
    <w:rsid w:val="00B46604"/>
    <w:rsid w:val="00B530CD"/>
    <w:rsid w:val="00B53AB0"/>
    <w:rsid w:val="00B55F5E"/>
    <w:rsid w:val="00B57338"/>
    <w:rsid w:val="00B5752E"/>
    <w:rsid w:val="00B62D21"/>
    <w:rsid w:val="00B63A11"/>
    <w:rsid w:val="00B64C24"/>
    <w:rsid w:val="00B6608F"/>
    <w:rsid w:val="00B679FB"/>
    <w:rsid w:val="00B76D1E"/>
    <w:rsid w:val="00B77AF4"/>
    <w:rsid w:val="00B80EC6"/>
    <w:rsid w:val="00B84CF6"/>
    <w:rsid w:val="00B86F03"/>
    <w:rsid w:val="00B92D1D"/>
    <w:rsid w:val="00B936B1"/>
    <w:rsid w:val="00B938C5"/>
    <w:rsid w:val="00B95940"/>
    <w:rsid w:val="00B97434"/>
    <w:rsid w:val="00BA0DD3"/>
    <w:rsid w:val="00BA35F3"/>
    <w:rsid w:val="00BA6C2B"/>
    <w:rsid w:val="00BB2F03"/>
    <w:rsid w:val="00BB46F3"/>
    <w:rsid w:val="00BB4CB1"/>
    <w:rsid w:val="00BB4F98"/>
    <w:rsid w:val="00BB5D2C"/>
    <w:rsid w:val="00BC09D5"/>
    <w:rsid w:val="00BC0E31"/>
    <w:rsid w:val="00BC2C16"/>
    <w:rsid w:val="00BC5C12"/>
    <w:rsid w:val="00BC7154"/>
    <w:rsid w:val="00BC731E"/>
    <w:rsid w:val="00BC7833"/>
    <w:rsid w:val="00BD163C"/>
    <w:rsid w:val="00BD366B"/>
    <w:rsid w:val="00BD3695"/>
    <w:rsid w:val="00BD6D50"/>
    <w:rsid w:val="00BE18B9"/>
    <w:rsid w:val="00BE2495"/>
    <w:rsid w:val="00BE468E"/>
    <w:rsid w:val="00BE5FAF"/>
    <w:rsid w:val="00BE6186"/>
    <w:rsid w:val="00BF1578"/>
    <w:rsid w:val="00BF67DD"/>
    <w:rsid w:val="00C21405"/>
    <w:rsid w:val="00C218F1"/>
    <w:rsid w:val="00C21F94"/>
    <w:rsid w:val="00C27913"/>
    <w:rsid w:val="00C3031A"/>
    <w:rsid w:val="00C31510"/>
    <w:rsid w:val="00C33B68"/>
    <w:rsid w:val="00C36A79"/>
    <w:rsid w:val="00C37A78"/>
    <w:rsid w:val="00C401D2"/>
    <w:rsid w:val="00C405D4"/>
    <w:rsid w:val="00C4513B"/>
    <w:rsid w:val="00C453CA"/>
    <w:rsid w:val="00C466D2"/>
    <w:rsid w:val="00C5203D"/>
    <w:rsid w:val="00C5354E"/>
    <w:rsid w:val="00C5390B"/>
    <w:rsid w:val="00C54697"/>
    <w:rsid w:val="00C60191"/>
    <w:rsid w:val="00C6152B"/>
    <w:rsid w:val="00C653FE"/>
    <w:rsid w:val="00C73885"/>
    <w:rsid w:val="00C747B1"/>
    <w:rsid w:val="00C82191"/>
    <w:rsid w:val="00C83134"/>
    <w:rsid w:val="00C8418E"/>
    <w:rsid w:val="00C85545"/>
    <w:rsid w:val="00C86B84"/>
    <w:rsid w:val="00C90CF4"/>
    <w:rsid w:val="00C923DF"/>
    <w:rsid w:val="00C92EB6"/>
    <w:rsid w:val="00C93389"/>
    <w:rsid w:val="00C936C3"/>
    <w:rsid w:val="00C96D08"/>
    <w:rsid w:val="00CA28BC"/>
    <w:rsid w:val="00CA4551"/>
    <w:rsid w:val="00CA4CF2"/>
    <w:rsid w:val="00CA4E9E"/>
    <w:rsid w:val="00CA6AB4"/>
    <w:rsid w:val="00CB259D"/>
    <w:rsid w:val="00CB272C"/>
    <w:rsid w:val="00CB4930"/>
    <w:rsid w:val="00CC0F9A"/>
    <w:rsid w:val="00CC2E7D"/>
    <w:rsid w:val="00CC71EC"/>
    <w:rsid w:val="00CD10A5"/>
    <w:rsid w:val="00CD2076"/>
    <w:rsid w:val="00CD29B5"/>
    <w:rsid w:val="00CD3171"/>
    <w:rsid w:val="00CD6331"/>
    <w:rsid w:val="00CE153B"/>
    <w:rsid w:val="00CE670B"/>
    <w:rsid w:val="00CE760D"/>
    <w:rsid w:val="00CF1C4C"/>
    <w:rsid w:val="00CF4908"/>
    <w:rsid w:val="00CF51EC"/>
    <w:rsid w:val="00CF73AE"/>
    <w:rsid w:val="00D0260C"/>
    <w:rsid w:val="00D040DD"/>
    <w:rsid w:val="00D050F8"/>
    <w:rsid w:val="00D06297"/>
    <w:rsid w:val="00D075BE"/>
    <w:rsid w:val="00D1005A"/>
    <w:rsid w:val="00D11854"/>
    <w:rsid w:val="00D13986"/>
    <w:rsid w:val="00D21D83"/>
    <w:rsid w:val="00D235B7"/>
    <w:rsid w:val="00D25F28"/>
    <w:rsid w:val="00D26071"/>
    <w:rsid w:val="00D27973"/>
    <w:rsid w:val="00D30575"/>
    <w:rsid w:val="00D32F90"/>
    <w:rsid w:val="00D35E1A"/>
    <w:rsid w:val="00D37034"/>
    <w:rsid w:val="00D42E82"/>
    <w:rsid w:val="00D45615"/>
    <w:rsid w:val="00D50F46"/>
    <w:rsid w:val="00D52BE2"/>
    <w:rsid w:val="00D57677"/>
    <w:rsid w:val="00D64026"/>
    <w:rsid w:val="00D66223"/>
    <w:rsid w:val="00D8084C"/>
    <w:rsid w:val="00D82A1E"/>
    <w:rsid w:val="00D83062"/>
    <w:rsid w:val="00D83229"/>
    <w:rsid w:val="00D86490"/>
    <w:rsid w:val="00D86712"/>
    <w:rsid w:val="00D915EA"/>
    <w:rsid w:val="00D92FD1"/>
    <w:rsid w:val="00D93CE2"/>
    <w:rsid w:val="00D943C6"/>
    <w:rsid w:val="00D965EC"/>
    <w:rsid w:val="00DA7C0C"/>
    <w:rsid w:val="00DB08A9"/>
    <w:rsid w:val="00DB2EC8"/>
    <w:rsid w:val="00DB5913"/>
    <w:rsid w:val="00DC37E3"/>
    <w:rsid w:val="00DC4EC8"/>
    <w:rsid w:val="00DC5B3B"/>
    <w:rsid w:val="00DD129F"/>
    <w:rsid w:val="00DD2B66"/>
    <w:rsid w:val="00DD3A2C"/>
    <w:rsid w:val="00DE0F63"/>
    <w:rsid w:val="00DE4C19"/>
    <w:rsid w:val="00DF42FF"/>
    <w:rsid w:val="00DF7AD4"/>
    <w:rsid w:val="00E01C0E"/>
    <w:rsid w:val="00E03F9A"/>
    <w:rsid w:val="00E04694"/>
    <w:rsid w:val="00E04F27"/>
    <w:rsid w:val="00E06182"/>
    <w:rsid w:val="00E102BD"/>
    <w:rsid w:val="00E11DE1"/>
    <w:rsid w:val="00E12B1E"/>
    <w:rsid w:val="00E141B6"/>
    <w:rsid w:val="00E17262"/>
    <w:rsid w:val="00E212C9"/>
    <w:rsid w:val="00E22969"/>
    <w:rsid w:val="00E253A2"/>
    <w:rsid w:val="00E32880"/>
    <w:rsid w:val="00E3309D"/>
    <w:rsid w:val="00E402A5"/>
    <w:rsid w:val="00E424F6"/>
    <w:rsid w:val="00E453F9"/>
    <w:rsid w:val="00E47EBA"/>
    <w:rsid w:val="00E50156"/>
    <w:rsid w:val="00E53470"/>
    <w:rsid w:val="00E539F6"/>
    <w:rsid w:val="00E567D6"/>
    <w:rsid w:val="00E56FE9"/>
    <w:rsid w:val="00E61EEF"/>
    <w:rsid w:val="00E6519D"/>
    <w:rsid w:val="00E67696"/>
    <w:rsid w:val="00E711D1"/>
    <w:rsid w:val="00E71A58"/>
    <w:rsid w:val="00E72A7A"/>
    <w:rsid w:val="00E733C7"/>
    <w:rsid w:val="00E75C94"/>
    <w:rsid w:val="00E76AC9"/>
    <w:rsid w:val="00E76E61"/>
    <w:rsid w:val="00E85E6D"/>
    <w:rsid w:val="00E924B2"/>
    <w:rsid w:val="00E9274D"/>
    <w:rsid w:val="00E93820"/>
    <w:rsid w:val="00E94A86"/>
    <w:rsid w:val="00E96143"/>
    <w:rsid w:val="00E972A9"/>
    <w:rsid w:val="00EA0840"/>
    <w:rsid w:val="00EA0C68"/>
    <w:rsid w:val="00EA17B0"/>
    <w:rsid w:val="00EA2A43"/>
    <w:rsid w:val="00EA32BC"/>
    <w:rsid w:val="00EA3580"/>
    <w:rsid w:val="00EA383F"/>
    <w:rsid w:val="00EA405F"/>
    <w:rsid w:val="00EA637E"/>
    <w:rsid w:val="00EB269A"/>
    <w:rsid w:val="00EB4511"/>
    <w:rsid w:val="00EC03D7"/>
    <w:rsid w:val="00EC25F0"/>
    <w:rsid w:val="00ED162F"/>
    <w:rsid w:val="00ED62C6"/>
    <w:rsid w:val="00ED64C1"/>
    <w:rsid w:val="00EE2A8D"/>
    <w:rsid w:val="00EE3446"/>
    <w:rsid w:val="00EE3E78"/>
    <w:rsid w:val="00EE4B1B"/>
    <w:rsid w:val="00EE4DEF"/>
    <w:rsid w:val="00EF08D5"/>
    <w:rsid w:val="00EF0FC4"/>
    <w:rsid w:val="00EF150D"/>
    <w:rsid w:val="00EF1F5A"/>
    <w:rsid w:val="00EF47BF"/>
    <w:rsid w:val="00F03FDE"/>
    <w:rsid w:val="00F04811"/>
    <w:rsid w:val="00F0488C"/>
    <w:rsid w:val="00F10F11"/>
    <w:rsid w:val="00F15AAA"/>
    <w:rsid w:val="00F15ABF"/>
    <w:rsid w:val="00F15BEF"/>
    <w:rsid w:val="00F160CE"/>
    <w:rsid w:val="00F162B3"/>
    <w:rsid w:val="00F24407"/>
    <w:rsid w:val="00F24FAA"/>
    <w:rsid w:val="00F3364D"/>
    <w:rsid w:val="00F33E56"/>
    <w:rsid w:val="00F36104"/>
    <w:rsid w:val="00F37A7D"/>
    <w:rsid w:val="00F433FE"/>
    <w:rsid w:val="00F437CC"/>
    <w:rsid w:val="00F44537"/>
    <w:rsid w:val="00F4530D"/>
    <w:rsid w:val="00F46502"/>
    <w:rsid w:val="00F47067"/>
    <w:rsid w:val="00F51F81"/>
    <w:rsid w:val="00F525EB"/>
    <w:rsid w:val="00F55E08"/>
    <w:rsid w:val="00F57510"/>
    <w:rsid w:val="00F61836"/>
    <w:rsid w:val="00F63DDE"/>
    <w:rsid w:val="00F63FB7"/>
    <w:rsid w:val="00F6421B"/>
    <w:rsid w:val="00F649D2"/>
    <w:rsid w:val="00F6602B"/>
    <w:rsid w:val="00F724F9"/>
    <w:rsid w:val="00F73A0C"/>
    <w:rsid w:val="00F756DB"/>
    <w:rsid w:val="00F77285"/>
    <w:rsid w:val="00F84E7D"/>
    <w:rsid w:val="00F85066"/>
    <w:rsid w:val="00F859D0"/>
    <w:rsid w:val="00F87A4D"/>
    <w:rsid w:val="00F927E6"/>
    <w:rsid w:val="00F9647C"/>
    <w:rsid w:val="00FA5D4D"/>
    <w:rsid w:val="00FB0EE2"/>
    <w:rsid w:val="00FB42A1"/>
    <w:rsid w:val="00FB542E"/>
    <w:rsid w:val="00FC0359"/>
    <w:rsid w:val="00FC0E5F"/>
    <w:rsid w:val="00FC1A95"/>
    <w:rsid w:val="00FC56DE"/>
    <w:rsid w:val="00FC5F49"/>
    <w:rsid w:val="00FC684B"/>
    <w:rsid w:val="00FD3265"/>
    <w:rsid w:val="00FD4916"/>
    <w:rsid w:val="00FE2F78"/>
    <w:rsid w:val="00FE4B2F"/>
    <w:rsid w:val="00FE7B95"/>
    <w:rsid w:val="00FF3EEC"/>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55E1B12"/>
  <w15:docId w15:val="{A4C7AF56-5B51-4067-BDB9-17A6C364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A25216"/>
    <w:pPr>
      <w:keepNext/>
      <w:keepLines/>
      <w:spacing w:after="100" w:line="276" w:lineRule="auto"/>
      <w:contextualSpacing/>
      <w:outlineLvl w:val="0"/>
    </w:pPr>
    <w:rPr>
      <w:rFonts w:ascii="Arial" w:eastAsia="MS Gothic" w:hAnsi="Arial"/>
      <w:b/>
      <w:bCs/>
      <w:color w:val="71818C"/>
      <w:sz w:val="32"/>
      <w:szCs w:val="28"/>
      <w:lang w:eastAsia="cs-CZ"/>
    </w:rPr>
  </w:style>
  <w:style w:type="paragraph" w:styleId="Nadpis2">
    <w:name w:val="heading 2"/>
    <w:next w:val="Normln"/>
    <w:link w:val="Nadpis2Char"/>
    <w:uiPriority w:val="9"/>
    <w:qFormat/>
    <w:rsid w:val="00A25216"/>
    <w:pPr>
      <w:keepNext/>
      <w:keepLines/>
      <w:spacing w:line="276" w:lineRule="auto"/>
      <w:outlineLvl w:val="1"/>
    </w:pPr>
    <w:rPr>
      <w:rFonts w:ascii="Arial" w:eastAsia="MS Gothic" w:hAnsi="Arial"/>
      <w:b/>
      <w:bCs/>
      <w:color w:val="71818C"/>
      <w:sz w:val="28"/>
      <w:szCs w:val="26"/>
      <w:lang w:eastAsia="cs-CZ"/>
    </w:rPr>
  </w:style>
  <w:style w:type="paragraph" w:styleId="Nadpis3">
    <w:name w:val="heading 3"/>
    <w:next w:val="Normln"/>
    <w:link w:val="Nadpis3Char"/>
    <w:uiPriority w:val="9"/>
    <w:qFormat/>
    <w:rsid w:val="00A25216"/>
    <w:pPr>
      <w:keepNext/>
      <w:keepLines/>
      <w:spacing w:line="276" w:lineRule="auto"/>
      <w:outlineLvl w:val="2"/>
    </w:pPr>
    <w:rPr>
      <w:rFonts w:ascii="Arial" w:eastAsia="MS Gothic" w:hAnsi="Arial"/>
      <w:b/>
      <w:bCs/>
      <w:color w:val="71818C"/>
      <w:sz w:val="24"/>
      <w:szCs w:val="24"/>
      <w:lang w:eastAsia="cs-CZ"/>
    </w:rPr>
  </w:style>
  <w:style w:type="paragraph" w:styleId="Nadpis4">
    <w:name w:val="heading 4"/>
    <w:next w:val="Normln"/>
    <w:link w:val="Nadpis4Char"/>
    <w:uiPriority w:val="9"/>
    <w:qFormat/>
    <w:rsid w:val="00A25216"/>
    <w:pPr>
      <w:keepNext/>
      <w:keepLines/>
      <w:spacing w:line="276" w:lineRule="auto"/>
      <w:outlineLvl w:val="3"/>
    </w:pPr>
    <w:rPr>
      <w:rFonts w:ascii="Arial" w:eastAsia="MS Gothic" w:hAnsi="Arial"/>
      <w:b/>
      <w:bCs/>
      <w:iCs/>
      <w:color w:val="71818C"/>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364FA0"/>
    <w:rPr>
      <w:rFonts w:ascii="Arial" w:eastAsia="MS Gothic" w:hAnsi="Arial"/>
      <w:b/>
      <w:bCs/>
      <w:color w:val="71818C"/>
      <w:sz w:val="32"/>
      <w:szCs w:val="28"/>
      <w:lang w:eastAsia="cs-CZ"/>
    </w:rPr>
  </w:style>
  <w:style w:type="character" w:customStyle="1" w:styleId="Nadpis2Char">
    <w:name w:val="Nadpis 2 Char"/>
    <w:link w:val="Nadpis2"/>
    <w:uiPriority w:val="9"/>
    <w:qFormat/>
    <w:rsid w:val="00364FA0"/>
    <w:rPr>
      <w:rFonts w:ascii="Arial" w:eastAsia="MS Gothic" w:hAnsi="Arial"/>
      <w:b/>
      <w:bCs/>
      <w:color w:val="71818C"/>
      <w:sz w:val="28"/>
      <w:szCs w:val="26"/>
      <w:lang w:eastAsia="cs-CZ"/>
    </w:rPr>
  </w:style>
  <w:style w:type="character" w:customStyle="1" w:styleId="Nadpis3Char">
    <w:name w:val="Nadpis 3 Char"/>
    <w:link w:val="Nadpis3"/>
    <w:uiPriority w:val="9"/>
    <w:rsid w:val="00364FA0"/>
    <w:rPr>
      <w:rFonts w:ascii="Arial" w:eastAsia="MS Gothic" w:hAnsi="Arial"/>
      <w:b/>
      <w:bCs/>
      <w:color w:val="71818C"/>
      <w:sz w:val="24"/>
      <w:szCs w:val="24"/>
      <w:lang w:eastAsia="cs-CZ"/>
    </w:rPr>
  </w:style>
  <w:style w:type="character" w:customStyle="1" w:styleId="Nadpis4Char">
    <w:name w:val="Nadpis 4 Char"/>
    <w:link w:val="Nadpis4"/>
    <w:uiPriority w:val="9"/>
    <w:rsid w:val="00364FA0"/>
    <w:rPr>
      <w:rFonts w:ascii="Arial" w:eastAsia="MS Gothic" w:hAnsi="Arial"/>
      <w:b/>
      <w:bCs/>
      <w:iCs/>
      <w:color w:val="71818C"/>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EA0840"/>
    <w:rPr>
      <w:noProof/>
      <w:lang w:eastAsia="en-US"/>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846121"/>
    <w:pPr>
      <w:spacing w:after="80" w:line="288" w:lineRule="auto"/>
    </w:pPr>
    <w:rPr>
      <w:rFonts w:ascii="Arial" w:eastAsia="Times New Roman" w:hAnsi="Arial"/>
      <w:b/>
      <w:color w:val="71818C"/>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F84E7D"/>
    <w:pPr>
      <w:shd w:val="clear" w:color="auto" w:fill="EAECEE"/>
      <w:spacing w:before="240" w:after="240" w:line="276" w:lineRule="auto"/>
      <w:contextualSpacing/>
      <w:jc w:val="both"/>
    </w:pPr>
    <w:rPr>
      <w:rFonts w:ascii="Arial" w:hAnsi="Arial" w:cs="Arial"/>
      <w:lang w:eastAsia="cs-CZ"/>
    </w:rPr>
  </w:style>
  <w:style w:type="paragraph" w:customStyle="1" w:styleId="A-Box2">
    <w:name w:val="A-Box 2"/>
    <w:next w:val="Normln"/>
    <w:qFormat/>
    <w:rsid w:val="00D075BE"/>
    <w:pPr>
      <w:spacing w:before="240" w:after="240" w:line="276" w:lineRule="auto"/>
      <w:contextualSpacing/>
      <w:jc w:val="both"/>
    </w:pPr>
    <w:rPr>
      <w:rFonts w:ascii="Arial" w:hAnsi="Arial" w:cs="Arial"/>
      <w:color w:val="71818C"/>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846121"/>
    <w:pPr>
      <w:spacing w:line="288" w:lineRule="auto"/>
    </w:pPr>
    <w:rPr>
      <w:rFonts w:ascii="Arial" w:eastAsia="Times New Roman" w:hAnsi="Arial"/>
      <w:b/>
      <w:bCs/>
      <w:caps/>
      <w:color w:val="71818C"/>
      <w:kern w:val="28"/>
      <w:sz w:val="56"/>
      <w:szCs w:val="32"/>
      <w:lang w:eastAsia="cs-CZ"/>
    </w:rPr>
  </w:style>
  <w:style w:type="character" w:customStyle="1" w:styleId="NzevChar">
    <w:name w:val="Název Char"/>
    <w:link w:val="Nzev"/>
    <w:uiPriority w:val="10"/>
    <w:rsid w:val="00846121"/>
    <w:rPr>
      <w:rFonts w:ascii="Arial" w:eastAsia="Times New Roman" w:hAnsi="Arial"/>
      <w:b/>
      <w:bCs/>
      <w:caps/>
      <w:color w:val="71818C"/>
      <w:kern w:val="28"/>
      <w:sz w:val="56"/>
      <w:szCs w:val="32"/>
    </w:rPr>
  </w:style>
  <w:style w:type="paragraph" w:styleId="Podnadpis">
    <w:name w:val="Subtitle"/>
    <w:link w:val="PodnadpisChar"/>
    <w:uiPriority w:val="11"/>
    <w:qFormat/>
    <w:rsid w:val="00846121"/>
    <w:pPr>
      <w:spacing w:line="288" w:lineRule="auto"/>
    </w:pPr>
    <w:rPr>
      <w:rFonts w:ascii="Arial" w:eastAsia="Times New Roman" w:hAnsi="Arial" w:cs="Arial"/>
      <w:b/>
      <w:color w:val="71818C"/>
      <w:sz w:val="28"/>
      <w:szCs w:val="24"/>
      <w:lang w:eastAsia="cs-CZ"/>
    </w:rPr>
  </w:style>
  <w:style w:type="character" w:customStyle="1" w:styleId="PodnadpisChar">
    <w:name w:val="Podnadpis Char"/>
    <w:link w:val="Podnadpis"/>
    <w:uiPriority w:val="11"/>
    <w:rsid w:val="00846121"/>
    <w:rPr>
      <w:rFonts w:ascii="Arial" w:eastAsia="Times New Roman" w:hAnsi="Arial" w:cs="Arial"/>
      <w:b/>
      <w:color w:val="71818C"/>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A17D5B"/>
    <w:pPr>
      <w:shd w:val="clear" w:color="auto" w:fill="EBEBEB"/>
      <w:spacing w:before="240" w:after="240" w:line="276" w:lineRule="auto"/>
      <w:ind w:left="709"/>
      <w:contextualSpacing/>
    </w:pPr>
    <w:rPr>
      <w:rFonts w:ascii="Arial" w:hAnsi="Arial" w:cs="Arial"/>
      <w:lang w:eastAsia="cs-CZ"/>
    </w:rPr>
  </w:style>
  <w:style w:type="paragraph" w:customStyle="1" w:styleId="Box2">
    <w:name w:val="Box 2"/>
    <w:next w:val="Normln"/>
    <w:qFormat/>
    <w:rsid w:val="00A17D5B"/>
    <w:pPr>
      <w:spacing w:before="240" w:after="240" w:line="276" w:lineRule="auto"/>
      <w:ind w:left="709"/>
      <w:contextualSpacing/>
    </w:pPr>
    <w:rPr>
      <w:rFonts w:ascii="Arial" w:hAnsi="Arial" w:cs="Arial"/>
      <w:b/>
      <w:color w:val="71818C"/>
      <w:lang w:eastAsia="cs-CZ"/>
    </w:rPr>
  </w:style>
  <w:style w:type="character" w:styleId="Odkaznakoment">
    <w:name w:val="annotation reference"/>
    <w:basedOn w:val="Standardnpsmoodstavce"/>
    <w:uiPriority w:val="99"/>
    <w:semiHidden/>
    <w:unhideWhenUsed/>
    <w:rsid w:val="00E76E61"/>
    <w:rPr>
      <w:sz w:val="16"/>
      <w:szCs w:val="16"/>
    </w:rPr>
  </w:style>
  <w:style w:type="paragraph" w:styleId="Textkomente">
    <w:name w:val="annotation text"/>
    <w:basedOn w:val="Normln"/>
    <w:link w:val="TextkomenteChar"/>
    <w:uiPriority w:val="99"/>
    <w:semiHidden/>
    <w:unhideWhenUsed/>
    <w:rsid w:val="00E76E61"/>
    <w:pPr>
      <w:spacing w:line="240" w:lineRule="auto"/>
    </w:pPr>
    <w:rPr>
      <w:szCs w:val="20"/>
    </w:rPr>
  </w:style>
  <w:style w:type="character" w:customStyle="1" w:styleId="TextkomenteChar">
    <w:name w:val="Text komentáře Char"/>
    <w:basedOn w:val="Standardnpsmoodstavce"/>
    <w:link w:val="Textkomente"/>
    <w:uiPriority w:val="99"/>
    <w:semiHidden/>
    <w:rsid w:val="00E76E61"/>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E76E61"/>
    <w:rPr>
      <w:b/>
      <w:bCs/>
    </w:rPr>
  </w:style>
  <w:style w:type="character" w:customStyle="1" w:styleId="PedmtkomenteChar">
    <w:name w:val="Předmět komentáře Char"/>
    <w:basedOn w:val="TextkomenteChar"/>
    <w:link w:val="Pedmtkomente"/>
    <w:uiPriority w:val="99"/>
    <w:semiHidden/>
    <w:rsid w:val="00E76E61"/>
    <w:rPr>
      <w:rFonts w:ascii="Arial" w:eastAsia="Times New Roman" w:hAnsi="Arial"/>
      <w:b/>
      <w:bCs/>
      <w:lang w:eastAsia="cs-CZ"/>
    </w:rPr>
  </w:style>
  <w:style w:type="paragraph" w:customStyle="1" w:styleId="Nadpis11">
    <w:name w:val="Nadpis 11"/>
    <w:basedOn w:val="Normln"/>
    <w:uiPriority w:val="9"/>
    <w:qFormat/>
    <w:rsid w:val="00F46502"/>
    <w:pPr>
      <w:keepNext/>
      <w:keepLines/>
      <w:spacing w:after="100"/>
      <w:contextualSpacing/>
      <w:jc w:val="left"/>
      <w:outlineLvl w:val="0"/>
    </w:pPr>
    <w:rPr>
      <w:rFonts w:eastAsia="MS Gothic"/>
      <w:b/>
      <w:bCs/>
      <w:color w:val="71818C"/>
      <w:sz w:val="32"/>
      <w:szCs w:val="28"/>
    </w:rPr>
  </w:style>
  <w:style w:type="paragraph" w:customStyle="1" w:styleId="Nadpis21">
    <w:name w:val="Nadpis 21"/>
    <w:basedOn w:val="Normln"/>
    <w:uiPriority w:val="9"/>
    <w:qFormat/>
    <w:rsid w:val="00F46502"/>
    <w:pPr>
      <w:keepNext/>
      <w:keepLines/>
      <w:spacing w:after="0"/>
      <w:jc w:val="left"/>
      <w:outlineLvl w:val="1"/>
    </w:pPr>
    <w:rPr>
      <w:rFonts w:eastAsia="MS Gothic"/>
      <w:b/>
      <w:bCs/>
      <w:color w:val="71818C"/>
      <w:sz w:val="28"/>
      <w:szCs w:val="26"/>
    </w:rPr>
  </w:style>
  <w:style w:type="paragraph" w:customStyle="1" w:styleId="Textpoznpodarou1">
    <w:name w:val="Text pozn. pod čarou1"/>
    <w:basedOn w:val="Normln"/>
    <w:rsid w:val="00F46502"/>
    <w:pPr>
      <w:spacing w:after="0" w:line="240" w:lineRule="auto"/>
      <w:jc w:val="left"/>
    </w:pPr>
    <w:rPr>
      <w:rFonts w:eastAsia="Calibri"/>
      <w:color w:val="00000A"/>
      <w:szCs w:val="20"/>
    </w:rPr>
  </w:style>
  <w:style w:type="character" w:customStyle="1" w:styleId="TextpoznpodarouChar1">
    <w:name w:val="Text pozn. pod čarou Char1"/>
    <w:aliases w:val="Text pozn. pod čarou_martin_ang Char1"/>
    <w:basedOn w:val="Standardnpsmoodstavce"/>
    <w:semiHidden/>
    <w:rsid w:val="00F46502"/>
    <w:rPr>
      <w:rFonts w:ascii="Arial" w:eastAsia="Times New Roman" w:hAnsi="Arial" w:cs="Times New Roman"/>
      <w:color w:val="00000A"/>
      <w:szCs w:val="20"/>
      <w:lang w:eastAsia="cs-CZ"/>
    </w:rPr>
  </w:style>
  <w:style w:type="character" w:styleId="Znakapoznpodarou">
    <w:name w:val="footnote reference"/>
    <w:basedOn w:val="Standardnpsmoodstavce"/>
    <w:rsid w:val="00F46502"/>
    <w:rPr>
      <w:rFonts w:cs="Times New Roman"/>
      <w:vertAlign w:val="superscript"/>
    </w:rPr>
  </w:style>
  <w:style w:type="character" w:customStyle="1" w:styleId="odkaz-style-wrapper">
    <w:name w:val="odkaz-style-wrapper"/>
    <w:basedOn w:val="Standardnpsmoodstavce"/>
    <w:rsid w:val="00BE6186"/>
  </w:style>
  <w:style w:type="paragraph" w:customStyle="1" w:styleId="Nadpis110">
    <w:name w:val="Nadpis 11"/>
    <w:basedOn w:val="Normln"/>
    <w:uiPriority w:val="9"/>
    <w:qFormat/>
    <w:rsid w:val="00BE6186"/>
    <w:pPr>
      <w:keepNext/>
      <w:keepLines/>
      <w:spacing w:after="100"/>
      <w:contextualSpacing/>
      <w:jc w:val="left"/>
      <w:outlineLvl w:val="0"/>
    </w:pPr>
    <w:rPr>
      <w:rFonts w:eastAsia="MS Gothic"/>
      <w:b/>
      <w:bCs/>
      <w:color w:val="71818C"/>
      <w:sz w:val="32"/>
      <w:szCs w:val="28"/>
    </w:rPr>
  </w:style>
  <w:style w:type="paragraph" w:customStyle="1" w:styleId="Nadpis210">
    <w:name w:val="Nadpis 21"/>
    <w:basedOn w:val="Normln"/>
    <w:uiPriority w:val="9"/>
    <w:qFormat/>
    <w:rsid w:val="00BE6186"/>
    <w:pPr>
      <w:keepNext/>
      <w:keepLines/>
      <w:spacing w:after="0"/>
      <w:jc w:val="left"/>
      <w:outlineLvl w:val="1"/>
    </w:pPr>
    <w:rPr>
      <w:rFonts w:eastAsia="MS Gothic"/>
      <w:b/>
      <w:bCs/>
      <w:color w:val="71818C"/>
      <w:sz w:val="28"/>
      <w:szCs w:val="26"/>
    </w:rPr>
  </w:style>
  <w:style w:type="paragraph" w:customStyle="1" w:styleId="Textpoznpodarou10">
    <w:name w:val="Text pozn. pod čarou1"/>
    <w:basedOn w:val="Normln"/>
    <w:rsid w:val="00BE6186"/>
    <w:pPr>
      <w:spacing w:after="0" w:line="240" w:lineRule="auto"/>
      <w:jc w:val="left"/>
    </w:pPr>
    <w:rPr>
      <w:rFonts w:eastAsia="Calibri"/>
      <w:color w:val="00000A"/>
      <w:szCs w:val="20"/>
    </w:rPr>
  </w:style>
  <w:style w:type="paragraph" w:styleId="Normlnweb">
    <w:name w:val="Normal (Web)"/>
    <w:basedOn w:val="Normln"/>
    <w:uiPriority w:val="99"/>
    <w:unhideWhenUsed/>
    <w:rsid w:val="00C96D08"/>
    <w:pPr>
      <w:spacing w:before="100" w:beforeAutospacing="1" w:after="100" w:afterAutospacing="1" w:line="240" w:lineRule="auto"/>
      <w:jc w:val="left"/>
    </w:pPr>
    <w:rPr>
      <w:rFonts w:ascii="Times New Roman" w:hAnsi="Times New Roman"/>
      <w:sz w:val="24"/>
    </w:rPr>
  </w:style>
  <w:style w:type="paragraph" w:styleId="Zkladntext">
    <w:name w:val="Body Text"/>
    <w:basedOn w:val="Normln"/>
    <w:link w:val="ZkladntextChar"/>
    <w:semiHidden/>
    <w:rsid w:val="004C5FBF"/>
    <w:pPr>
      <w:widowControl w:val="0"/>
      <w:suppressAutoHyphens/>
      <w:autoSpaceDE w:val="0"/>
      <w:autoSpaceDN w:val="0"/>
      <w:adjustRightInd w:val="0"/>
      <w:spacing w:before="120" w:after="0" w:line="215" w:lineRule="exact"/>
    </w:pPr>
    <w:rPr>
      <w:rFonts w:ascii="Times New Roman CE obyèejné" w:hAnsi="Times New Roman CE obyèejné"/>
      <w:szCs w:val="20"/>
    </w:rPr>
  </w:style>
  <w:style w:type="character" w:customStyle="1" w:styleId="ZkladntextChar">
    <w:name w:val="Základní text Char"/>
    <w:basedOn w:val="Standardnpsmoodstavce"/>
    <w:link w:val="Zkladntext"/>
    <w:semiHidden/>
    <w:rsid w:val="004C5FBF"/>
    <w:rPr>
      <w:rFonts w:ascii="Times New Roman CE obyèejné" w:eastAsia="Times New Roman" w:hAnsi="Times New Roman CE obyèejné"/>
      <w:lang w:eastAsia="cs-CZ"/>
    </w:rPr>
  </w:style>
  <w:style w:type="character" w:customStyle="1" w:styleId="content">
    <w:name w:val="content"/>
    <w:basedOn w:val="Standardnpsmoodstavce"/>
    <w:rsid w:val="003C4BE8"/>
  </w:style>
  <w:style w:type="paragraph" w:styleId="Textvysvtlivek">
    <w:name w:val="endnote text"/>
    <w:basedOn w:val="Normln"/>
    <w:link w:val="TextvysvtlivekChar"/>
    <w:uiPriority w:val="99"/>
    <w:semiHidden/>
    <w:unhideWhenUsed/>
    <w:rsid w:val="00744EE6"/>
    <w:pPr>
      <w:spacing w:after="0" w:line="240" w:lineRule="auto"/>
    </w:pPr>
    <w:rPr>
      <w:szCs w:val="20"/>
    </w:rPr>
  </w:style>
  <w:style w:type="character" w:customStyle="1" w:styleId="TextvysvtlivekChar">
    <w:name w:val="Text vysvětlivek Char"/>
    <w:basedOn w:val="Standardnpsmoodstavce"/>
    <w:link w:val="Textvysvtlivek"/>
    <w:uiPriority w:val="99"/>
    <w:semiHidden/>
    <w:rsid w:val="00744EE6"/>
    <w:rPr>
      <w:rFonts w:ascii="Arial" w:eastAsia="Times New Roman" w:hAnsi="Arial"/>
      <w:lang w:eastAsia="cs-CZ"/>
    </w:rPr>
  </w:style>
  <w:style w:type="character" w:styleId="Odkaznavysvtlivky">
    <w:name w:val="endnote reference"/>
    <w:basedOn w:val="Standardnpsmoodstavce"/>
    <w:uiPriority w:val="99"/>
    <w:semiHidden/>
    <w:unhideWhenUsed/>
    <w:rsid w:val="00744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49615720">
      <w:bodyDiv w:val="1"/>
      <w:marLeft w:val="60"/>
      <w:marRight w:val="60"/>
      <w:marTop w:val="60"/>
      <w:marBottom w:val="15"/>
      <w:divBdr>
        <w:top w:val="none" w:sz="0" w:space="0" w:color="auto"/>
        <w:left w:val="none" w:sz="0" w:space="0" w:color="auto"/>
        <w:bottom w:val="none" w:sz="0" w:space="0" w:color="auto"/>
        <w:right w:val="none" w:sz="0" w:space="0" w:color="auto"/>
      </w:divBdr>
      <w:divsChild>
        <w:div w:id="658968227">
          <w:marLeft w:val="0"/>
          <w:marRight w:val="0"/>
          <w:marTop w:val="0"/>
          <w:marBottom w:val="0"/>
          <w:divBdr>
            <w:top w:val="none" w:sz="0" w:space="0" w:color="auto"/>
            <w:left w:val="none" w:sz="0" w:space="0" w:color="auto"/>
            <w:bottom w:val="none" w:sz="0" w:space="0" w:color="auto"/>
            <w:right w:val="none" w:sz="0" w:space="0" w:color="auto"/>
          </w:divBdr>
        </w:div>
      </w:divsChild>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3535664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2060051">
          <w:marLeft w:val="0"/>
          <w:marRight w:val="0"/>
          <w:marTop w:val="0"/>
          <w:marBottom w:val="0"/>
          <w:divBdr>
            <w:top w:val="none" w:sz="0" w:space="0" w:color="auto"/>
            <w:left w:val="none" w:sz="0" w:space="0" w:color="auto"/>
            <w:bottom w:val="none" w:sz="0" w:space="0" w:color="auto"/>
            <w:right w:val="none" w:sz="0" w:space="0" w:color="auto"/>
          </w:divBdr>
          <w:divsChild>
            <w:div w:id="1352418194">
              <w:marLeft w:val="0"/>
              <w:marRight w:val="0"/>
              <w:marTop w:val="0"/>
              <w:marBottom w:val="0"/>
              <w:divBdr>
                <w:top w:val="none" w:sz="0" w:space="0" w:color="auto"/>
                <w:left w:val="none" w:sz="0" w:space="0" w:color="auto"/>
                <w:bottom w:val="none" w:sz="0" w:space="0" w:color="auto"/>
                <w:right w:val="none" w:sz="0" w:space="0" w:color="auto"/>
              </w:divBdr>
            </w:div>
            <w:div w:id="1419256889">
              <w:marLeft w:val="0"/>
              <w:marRight w:val="0"/>
              <w:marTop w:val="0"/>
              <w:marBottom w:val="0"/>
              <w:divBdr>
                <w:top w:val="none" w:sz="0" w:space="0" w:color="auto"/>
                <w:left w:val="none" w:sz="0" w:space="0" w:color="auto"/>
                <w:bottom w:val="none" w:sz="0" w:space="0" w:color="auto"/>
                <w:right w:val="none" w:sz="0" w:space="0" w:color="auto"/>
              </w:divBdr>
            </w:div>
            <w:div w:id="1012336419">
              <w:marLeft w:val="0"/>
              <w:marRight w:val="0"/>
              <w:marTop w:val="0"/>
              <w:marBottom w:val="0"/>
              <w:divBdr>
                <w:top w:val="none" w:sz="0" w:space="0" w:color="auto"/>
                <w:left w:val="none" w:sz="0" w:space="0" w:color="auto"/>
                <w:bottom w:val="none" w:sz="0" w:space="0" w:color="auto"/>
                <w:right w:val="none" w:sz="0" w:space="0" w:color="auto"/>
              </w:divBdr>
            </w:div>
            <w:div w:id="1187673128">
              <w:marLeft w:val="0"/>
              <w:marRight w:val="0"/>
              <w:marTop w:val="0"/>
              <w:marBottom w:val="0"/>
              <w:divBdr>
                <w:top w:val="none" w:sz="0" w:space="0" w:color="auto"/>
                <w:left w:val="none" w:sz="0" w:space="0" w:color="auto"/>
                <w:bottom w:val="none" w:sz="0" w:space="0" w:color="auto"/>
                <w:right w:val="none" w:sz="0" w:space="0" w:color="auto"/>
              </w:divBdr>
            </w:div>
            <w:div w:id="13251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12266825">
      <w:bodyDiv w:val="1"/>
      <w:marLeft w:val="60"/>
      <w:marRight w:val="60"/>
      <w:marTop w:val="60"/>
      <w:marBottom w:val="15"/>
      <w:divBdr>
        <w:top w:val="none" w:sz="0" w:space="0" w:color="auto"/>
        <w:left w:val="none" w:sz="0" w:space="0" w:color="auto"/>
        <w:bottom w:val="none" w:sz="0" w:space="0" w:color="auto"/>
        <w:right w:val="none" w:sz="0" w:space="0" w:color="auto"/>
      </w:divBdr>
      <w:divsChild>
        <w:div w:id="1418138374">
          <w:marLeft w:val="0"/>
          <w:marRight w:val="0"/>
          <w:marTop w:val="0"/>
          <w:marBottom w:val="0"/>
          <w:divBdr>
            <w:top w:val="none" w:sz="0" w:space="0" w:color="auto"/>
            <w:left w:val="none" w:sz="0" w:space="0" w:color="auto"/>
            <w:bottom w:val="none" w:sz="0" w:space="0" w:color="auto"/>
            <w:right w:val="none" w:sz="0" w:space="0" w:color="auto"/>
          </w:divBdr>
        </w:div>
      </w:divsChild>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917548519">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57" Type="http://schemas.microsoft.com/office/2016/09/relationships/commentsIds" Target="commentsIds.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nal&#253;za\Ro&#269;n&#237;%20anal&#253;za%202018\Ana&#253;za%20ekonomick&#233;ho%20v&#253;voje%20v%20roce%202017.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JKAM%20CSU\PUBLIKACE\PUBLIKACE\2019\Velk&#225;%20makro-Trh%20pr&#225;ce\Publ.-Struktura%20mezd%20zam-2012-201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JKAM%20CSU\PUBLIKACE\PUBLIKACE\2019\Velk&#225;%20makro-Trh%20pr&#225;ce\Publ.-Struktura%20mezd%20zam-2012-2018.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JKAM%20CSU\PUBLIKACE\PUBLIKACE\2019\Velk&#225;%20makro-Trh%20pr&#225;ce\3-Mzdy%20a%20jejich%20diferenciace\Publ.-Grafy-Struktura%20mezd%20zam-2012-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KAM%20CSU\PUBLIKACE\PUBLIKACE\2019\Velk&#225;%20makro-Trh%20pr&#225;ce\3-Mzdy%20a%20jejich%20diferenciace\Publ.-Grafy-Struktura%20mezd%20zam-2012-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JKAM%20CSU\PUBLIKACE\PUBLIKACE\2019\Velk&#225;%20makro-Trh%20pr&#225;ce\3-Mzdy%20a%20jejich%20diferenciace\Publ.-Grafy-Struktura%20mezd%20zam-2012-2018.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oleObject" Target="file:///D:\JKAM%20CSU\PUBLIKACE\PUBLIKACE\2019\Velk&#225;%20makro-Trh%20pr&#225;ce\3-Mzdy%20a%20jejich%20diferenciace\Publ.-Grafy-Struktura%20mezd%20zam-2012-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JKAM%20CSU\PUBLIKACE\PUBLIKACE\2019\Velk&#225;%20makro-Trh%20pr&#225;ce\3-Mzdy%20a%20jejich%20diferenciace\Publ.-Grafy-Struktura%20mezd%20zam-2012-2018.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D:\JKAM%20CSU\PUBLIKACE\PUBLIKACE\2019\Velk&#225;%20makro-Trh%20pr&#225;ce\3-Mzdy%20a%20jejich%20diferenciace\Publ.-Grafy-Struktura%20mezd%20zam-2012-2018.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3.xml"/></Relationships>
</file>

<file path=word/charts/_rels/chart8.xml.rels><?xml version="1.0" encoding="UTF-8" standalone="yes"?>
<Relationships xmlns="http://schemas.openxmlformats.org/package/2006/relationships"><Relationship Id="rId3" Type="http://schemas.openxmlformats.org/officeDocument/2006/relationships/oleObject" Target="file:///D:\JKAM%20CSU\PUBLIKACE\PUBLIKACE\2019\Velk&#225;%20makro-Trh%20pr&#225;ce\3-Mzdy%20a%20jejich%20diferenciace\Publ.-Grafy-Struktura%20mezd%20zam-2012-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JKAM%20CSU\PUBLIKACE\PUBLIKACE\2019\Velk&#225;%20makro-Trh%20pr&#225;ce\3-Mzdy%20a%20jejich%20diferenciace\Publ.-Grafy-Struktura%20mezd%20zam-2012-2018.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836335505582157E-2"/>
          <c:y val="2.4179620034542316E-2"/>
          <c:w val="0.93333328006909433"/>
          <c:h val="0.79772630567667457"/>
        </c:manualLayout>
      </c:layout>
      <c:barChart>
        <c:barDir val="col"/>
        <c:grouping val="clustered"/>
        <c:varyColors val="0"/>
        <c:ser>
          <c:idx val="1"/>
          <c:order val="5"/>
          <c:tx>
            <c:strRef>
              <c:f>'GRAF-1-MZDY-odvětví'!$A$25</c:f>
              <c:strCache>
                <c:ptCount val="1"/>
                <c:pt idx="0">
                  <c:v>Všechna odvětví (nominálně)</c:v>
                </c:pt>
              </c:strCache>
            </c:strRef>
          </c:tx>
          <c:spPr>
            <a:solidFill>
              <a:schemeClr val="bg1">
                <a:lumMod val="95000"/>
              </a:schemeClr>
            </a:solidFill>
            <a:ln>
              <a:solidFill>
                <a:schemeClr val="bg1">
                  <a:lumMod val="65000"/>
                </a:schemeClr>
              </a:solidFill>
            </a:ln>
            <a:effectLst/>
          </c:spPr>
          <c:invertIfNegative val="0"/>
          <c:cat>
            <c:numRef>
              <c:f>'GRAF-1-MZDY-odvětví'!$B$19:$O$19</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'GRAF-1-MZDY-odvětví'!$B$25:$O$25</c:f>
              <c:numCache>
                <c:formatCode>0.0</c:formatCode>
                <c:ptCount val="14"/>
                <c:pt idx="0">
                  <c:v>5.0269094240238132</c:v>
                </c:pt>
                <c:pt idx="1">
                  <c:v>6.5525512429132107</c:v>
                </c:pt>
                <c:pt idx="2">
                  <c:v>7.2188683106517999</c:v>
                </c:pt>
                <c:pt idx="3">
                  <c:v>7.8016891730686666</c:v>
                </c:pt>
                <c:pt idx="4">
                  <c:v>3.3286118980169874</c:v>
                </c:pt>
                <c:pt idx="5">
                  <c:v>2.2275531185743631</c:v>
                </c:pt>
                <c:pt idx="6">
                  <c:v>2.4765336909151898</c:v>
                </c:pt>
                <c:pt idx="7">
                  <c:v>2.5025557145778095</c:v>
                </c:pt>
                <c:pt idx="8">
                  <c:v>-0.12765787688992702</c:v>
                </c:pt>
                <c:pt idx="9">
                  <c:v>2.9279009386858519</c:v>
                </c:pt>
                <c:pt idx="10">
                  <c:v>3.1938838869916282</c:v>
                </c:pt>
                <c:pt idx="11">
                  <c:v>4.4112669700274552</c:v>
                </c:pt>
                <c:pt idx="12">
                  <c:v>6.7497478749459816</c:v>
                </c:pt>
                <c:pt idx="13">
                  <c:v>7.5241244348471525</c:v>
                </c:pt>
              </c:numCache>
            </c:numRef>
          </c:val>
          <c:extLst>
            <c:ext xmlns:c16="http://schemas.microsoft.com/office/drawing/2014/chart" uri="{C3380CC4-5D6E-409C-BE32-E72D297353CC}">
              <c16:uniqueId val="{00000000-6AF1-446F-B8C0-DD5FFE4A519F}"/>
            </c:ext>
          </c:extLst>
        </c:ser>
        <c:ser>
          <c:idx val="5"/>
          <c:order val="6"/>
          <c:tx>
            <c:strRef>
              <c:f>'GRAF-1-MZDY-odvětví'!$A$26</c:f>
              <c:strCache>
                <c:ptCount val="1"/>
                <c:pt idx="0">
                  <c:v>Všechna odvětví (reálně)</c:v>
                </c:pt>
              </c:strCache>
            </c:strRef>
          </c:tx>
          <c:spPr>
            <a:solidFill>
              <a:schemeClr val="bg1">
                <a:lumMod val="75000"/>
              </a:schemeClr>
            </a:solidFill>
            <a:ln>
              <a:noFill/>
            </a:ln>
            <a:effectLst/>
          </c:spPr>
          <c:invertIfNegative val="0"/>
          <c:cat>
            <c:numRef>
              <c:f>'GRAF-1-MZDY-odvětví'!$B$19:$O$19</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'GRAF-1-MZDY-odvětví'!$B$26:$O$26</c:f>
              <c:numCache>
                <c:formatCode>#\ ##0.0</c:formatCode>
                <c:ptCount val="14"/>
                <c:pt idx="0">
                  <c:v>3</c:v>
                </c:pt>
                <c:pt idx="1">
                  <c:v>4</c:v>
                </c:pt>
                <c:pt idx="2">
                  <c:v>4.2999999999999972</c:v>
                </c:pt>
                <c:pt idx="3">
                  <c:v>1.4000000000000057</c:v>
                </c:pt>
                <c:pt idx="4">
                  <c:v>2.2999999999999972</c:v>
                </c:pt>
                <c:pt idx="5">
                  <c:v>0.70000000000000284</c:v>
                </c:pt>
                <c:pt idx="6">
                  <c:v>0.59999999999999432</c:v>
                </c:pt>
                <c:pt idx="7">
                  <c:v>-0.79999999999999716</c:v>
                </c:pt>
                <c:pt idx="8">
                  <c:v>-1.5</c:v>
                </c:pt>
                <c:pt idx="9">
                  <c:v>2.5</c:v>
                </c:pt>
                <c:pt idx="10">
                  <c:v>2.9000000000000057</c:v>
                </c:pt>
                <c:pt idx="11">
                  <c:v>3.7000000000000028</c:v>
                </c:pt>
                <c:pt idx="12">
                  <c:v>4.2000000000000028</c:v>
                </c:pt>
                <c:pt idx="13">
                  <c:v>5.2999999999999972</c:v>
                </c:pt>
              </c:numCache>
            </c:numRef>
          </c:val>
          <c:extLst>
            <c:ext xmlns:c16="http://schemas.microsoft.com/office/drawing/2014/chart" uri="{C3380CC4-5D6E-409C-BE32-E72D297353CC}">
              <c16:uniqueId val="{00000001-6AF1-446F-B8C0-DD5FFE4A519F}"/>
            </c:ext>
          </c:extLst>
        </c:ser>
        <c:dLbls>
          <c:showLegendKey val="0"/>
          <c:showVal val="0"/>
          <c:showCatName val="0"/>
          <c:showSerName val="0"/>
          <c:showPercent val="0"/>
          <c:showBubbleSize val="0"/>
        </c:dLbls>
        <c:gapWidth val="150"/>
        <c:axId val="39484416"/>
        <c:axId val="39502592"/>
      </c:barChart>
      <c:lineChart>
        <c:grouping val="standard"/>
        <c:varyColors val="0"/>
        <c:ser>
          <c:idx val="0"/>
          <c:order val="0"/>
          <c:tx>
            <c:strRef>
              <c:f>'GRAF-1-MZDY-odvětví'!$A$20</c:f>
              <c:strCache>
                <c:ptCount val="1"/>
                <c:pt idx="0">
                  <c:v>Zpracovatelský průmysl</c:v>
                </c:pt>
              </c:strCache>
            </c:strRef>
          </c:tx>
          <c:spPr>
            <a:ln w="12700" cap="rnd">
              <a:solidFill>
                <a:srgbClr val="BD1B21"/>
              </a:solidFill>
              <a:prstDash val="sysDash"/>
              <a:round/>
            </a:ln>
            <a:effectLst/>
          </c:spPr>
          <c:marker>
            <c:symbol val="none"/>
          </c:marker>
          <c:cat>
            <c:numRef>
              <c:f>'GRAF-1-MZDY-odvětví'!$B$19:$O$19</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'GRAF-1-MZDY-odvětví'!$B$20:$O$20</c:f>
              <c:numCache>
                <c:formatCode>0.0</c:formatCode>
                <c:ptCount val="14"/>
                <c:pt idx="0">
                  <c:v>4.6912686927158802</c:v>
                </c:pt>
                <c:pt idx="1">
                  <c:v>6.496947356295351</c:v>
                </c:pt>
                <c:pt idx="2">
                  <c:v>7.3661438615467887</c:v>
                </c:pt>
                <c:pt idx="3">
                  <c:v>8.6238162401773195</c:v>
                </c:pt>
                <c:pt idx="4">
                  <c:v>1.873492858467813</c:v>
                </c:pt>
                <c:pt idx="5">
                  <c:v>4.6158048069920028</c:v>
                </c:pt>
                <c:pt idx="6">
                  <c:v>3.4766338873901219</c:v>
                </c:pt>
                <c:pt idx="7">
                  <c:v>2.9056810058450111</c:v>
                </c:pt>
                <c:pt idx="8">
                  <c:v>1.323962079110828</c:v>
                </c:pt>
                <c:pt idx="9">
                  <c:v>3.6860783997418878</c:v>
                </c:pt>
                <c:pt idx="10">
                  <c:v>2.9054842473745595</c:v>
                </c:pt>
                <c:pt idx="11">
                  <c:v>4.6074762822693458</c:v>
                </c:pt>
                <c:pt idx="12">
                  <c:v>6.8976730741436683</c:v>
                </c:pt>
                <c:pt idx="13">
                  <c:v>7.047490282237618</c:v>
                </c:pt>
              </c:numCache>
            </c:numRef>
          </c:val>
          <c:smooth val="0"/>
          <c:extLst>
            <c:ext xmlns:c16="http://schemas.microsoft.com/office/drawing/2014/chart" uri="{C3380CC4-5D6E-409C-BE32-E72D297353CC}">
              <c16:uniqueId val="{00000002-6AF1-446F-B8C0-DD5FFE4A519F}"/>
            </c:ext>
          </c:extLst>
        </c:ser>
        <c:ser>
          <c:idx val="2"/>
          <c:order val="1"/>
          <c:tx>
            <c:strRef>
              <c:f>'GRAF-1-MZDY-odvětví'!$A$21</c:f>
              <c:strCache>
                <c:ptCount val="1"/>
                <c:pt idx="0">
                  <c:v>Obchod, doprava a skladování</c:v>
                </c:pt>
              </c:strCache>
            </c:strRef>
          </c:tx>
          <c:spPr>
            <a:ln w="12700" cap="rnd">
              <a:solidFill>
                <a:srgbClr val="0071BC"/>
              </a:solidFill>
              <a:prstDash val="sysDash"/>
              <a:round/>
            </a:ln>
            <a:effectLst/>
          </c:spPr>
          <c:marker>
            <c:symbol val="none"/>
          </c:marker>
          <c:cat>
            <c:numRef>
              <c:f>'GRAF-1-MZDY-odvětví'!$B$19:$O$19</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'GRAF-1-MZDY-odvětví'!$B$21:$O$21</c:f>
              <c:numCache>
                <c:formatCode>0.0</c:formatCode>
                <c:ptCount val="14"/>
                <c:pt idx="0">
                  <c:v>4.622372284546671</c:v>
                </c:pt>
                <c:pt idx="1">
                  <c:v>6.5247892629405584</c:v>
                </c:pt>
                <c:pt idx="2">
                  <c:v>8.1362607820574908</c:v>
                </c:pt>
                <c:pt idx="3">
                  <c:v>7.8488807830549945</c:v>
                </c:pt>
                <c:pt idx="4">
                  <c:v>1.0436648998635008</c:v>
                </c:pt>
                <c:pt idx="5">
                  <c:v>2.1038226550916335</c:v>
                </c:pt>
                <c:pt idx="6">
                  <c:v>2.2757503036991267</c:v>
                </c:pt>
                <c:pt idx="7">
                  <c:v>1.827904251103817</c:v>
                </c:pt>
                <c:pt idx="8">
                  <c:v>-0.38551620062959557</c:v>
                </c:pt>
                <c:pt idx="9">
                  <c:v>2.8669791471964743</c:v>
                </c:pt>
                <c:pt idx="10">
                  <c:v>3.8989117313204815</c:v>
                </c:pt>
                <c:pt idx="11">
                  <c:v>4.7435586337706468</c:v>
                </c:pt>
                <c:pt idx="12">
                  <c:v>7.0282451975283635</c:v>
                </c:pt>
                <c:pt idx="13">
                  <c:v>6.8963904094297135</c:v>
                </c:pt>
              </c:numCache>
            </c:numRef>
          </c:val>
          <c:smooth val="0"/>
          <c:extLst>
            <c:ext xmlns:c16="http://schemas.microsoft.com/office/drawing/2014/chart" uri="{C3380CC4-5D6E-409C-BE32-E72D297353CC}">
              <c16:uniqueId val="{00000003-6AF1-446F-B8C0-DD5FFE4A519F}"/>
            </c:ext>
          </c:extLst>
        </c:ser>
        <c:ser>
          <c:idx val="4"/>
          <c:order val="2"/>
          <c:tx>
            <c:strRef>
              <c:f>'GRAF-1-MZDY-odvětví'!$A$22</c:f>
              <c:strCache>
                <c:ptCount val="1"/>
                <c:pt idx="0">
                  <c:v>Informační a komunikační činnosti</c:v>
                </c:pt>
              </c:strCache>
            </c:strRef>
          </c:tx>
          <c:spPr>
            <a:ln w="15875" cap="rnd">
              <a:noFill/>
              <a:prstDash val="sysDash"/>
              <a:round/>
            </a:ln>
            <a:effectLst/>
          </c:spPr>
          <c:marker>
            <c:symbol val="diamond"/>
            <c:size val="6"/>
            <c:spPr>
              <a:solidFill>
                <a:srgbClr val="009E47"/>
              </a:solidFill>
              <a:ln w="9525">
                <a:noFill/>
              </a:ln>
              <a:effectLst/>
            </c:spPr>
          </c:marker>
          <c:dPt>
            <c:idx val="6"/>
            <c:marker>
              <c:symbol val="diamond"/>
              <c:size val="6"/>
              <c:spPr>
                <a:solidFill>
                  <a:srgbClr val="009E47"/>
                </a:solidFill>
                <a:ln w="9525">
                  <a:noFill/>
                </a:ln>
                <a:effectLst/>
              </c:spPr>
            </c:marker>
            <c:bubble3D val="0"/>
            <c:extLst>
              <c:ext xmlns:c16="http://schemas.microsoft.com/office/drawing/2014/chart" uri="{C3380CC4-5D6E-409C-BE32-E72D297353CC}">
                <c16:uniqueId val="{00000004-6AF1-446F-B8C0-DD5FFE4A519F}"/>
              </c:ext>
            </c:extLst>
          </c:dPt>
          <c:cat>
            <c:numRef>
              <c:f>'GRAF-1-MZDY-odvětví'!$B$19:$O$19</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'GRAF-1-MZDY-odvětví'!$B$22:$O$22</c:f>
              <c:numCache>
                <c:formatCode>0.0</c:formatCode>
                <c:ptCount val="14"/>
                <c:pt idx="0">
                  <c:v>6.7247820672478298</c:v>
                </c:pt>
                <c:pt idx="1">
                  <c:v>7.1537563952966536</c:v>
                </c:pt>
                <c:pt idx="2">
                  <c:v>6.5700564025241448</c:v>
                </c:pt>
                <c:pt idx="3">
                  <c:v>9.5186941598763326</c:v>
                </c:pt>
                <c:pt idx="4">
                  <c:v>3.0693779904306382</c:v>
                </c:pt>
                <c:pt idx="5">
                  <c:v>1.6479818025671307</c:v>
                </c:pt>
                <c:pt idx="6">
                  <c:v>3.5233941497499615</c:v>
                </c:pt>
                <c:pt idx="7">
                  <c:v>2.9027704252690967</c:v>
                </c:pt>
                <c:pt idx="8">
                  <c:v>-1.0589042270427882</c:v>
                </c:pt>
                <c:pt idx="9">
                  <c:v>3.7133324667446601</c:v>
                </c:pt>
                <c:pt idx="10">
                  <c:v>2.3625501336898509</c:v>
                </c:pt>
                <c:pt idx="11">
                  <c:v>2.3325102544742009</c:v>
                </c:pt>
                <c:pt idx="12">
                  <c:v>5.3204642444063381</c:v>
                </c:pt>
                <c:pt idx="13">
                  <c:v>5.1331086454349304</c:v>
                </c:pt>
              </c:numCache>
            </c:numRef>
          </c:val>
          <c:smooth val="0"/>
          <c:extLst>
            <c:ext xmlns:c16="http://schemas.microsoft.com/office/drawing/2014/chart" uri="{C3380CC4-5D6E-409C-BE32-E72D297353CC}">
              <c16:uniqueId val="{00000005-6AF1-446F-B8C0-DD5FFE4A519F}"/>
            </c:ext>
          </c:extLst>
        </c:ser>
        <c:ser>
          <c:idx val="6"/>
          <c:order val="3"/>
          <c:tx>
            <c:strRef>
              <c:f>'GRAF-1-MZDY-odvětví'!$A$23</c:f>
              <c:strCache>
                <c:ptCount val="1"/>
                <c:pt idx="0">
                  <c:v>Ubytování,strav.,pohost.; Admin.a podp.čin.</c:v>
                </c:pt>
              </c:strCache>
            </c:strRef>
          </c:tx>
          <c:spPr>
            <a:ln w="15875" cap="rnd">
              <a:noFill/>
              <a:prstDash val="sysDash"/>
              <a:round/>
            </a:ln>
            <a:effectLst/>
          </c:spPr>
          <c:marker>
            <c:symbol val="diamond"/>
            <c:size val="6"/>
            <c:spPr>
              <a:solidFill>
                <a:schemeClr val="bg1"/>
              </a:solidFill>
              <a:ln w="9525">
                <a:solidFill>
                  <a:srgbClr val="009E47"/>
                </a:solidFill>
              </a:ln>
              <a:effectLst/>
            </c:spPr>
          </c:marker>
          <c:cat>
            <c:numRef>
              <c:f>'GRAF-1-MZDY-odvětví'!$B$19:$O$19</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'GRAF-1-MZDY-odvětví'!$B$23:$O$23</c:f>
              <c:numCache>
                <c:formatCode>0.0</c:formatCode>
                <c:ptCount val="14"/>
                <c:pt idx="0">
                  <c:v>4.5878444896297879</c:v>
                </c:pt>
                <c:pt idx="1">
                  <c:v>8.9752885765557551</c:v>
                </c:pt>
                <c:pt idx="2">
                  <c:v>6.2490637080383777</c:v>
                </c:pt>
                <c:pt idx="3">
                  <c:v>1.377893445022238</c:v>
                </c:pt>
                <c:pt idx="4">
                  <c:v>0.31218464663749046</c:v>
                </c:pt>
                <c:pt idx="5">
                  <c:v>3.5659714791947295</c:v>
                </c:pt>
                <c:pt idx="6">
                  <c:v>2.2191120416576524</c:v>
                </c:pt>
                <c:pt idx="7">
                  <c:v>2.2599086458347699</c:v>
                </c:pt>
                <c:pt idx="8">
                  <c:v>1.0704380566213274</c:v>
                </c:pt>
                <c:pt idx="9">
                  <c:v>2.3397413989163027</c:v>
                </c:pt>
                <c:pt idx="10">
                  <c:v>3.7989557205617075</c:v>
                </c:pt>
                <c:pt idx="11">
                  <c:v>5.82739480482131</c:v>
                </c:pt>
                <c:pt idx="12">
                  <c:v>7.3400814320467447</c:v>
                </c:pt>
                <c:pt idx="13">
                  <c:v>6.7247355853262007</c:v>
                </c:pt>
              </c:numCache>
            </c:numRef>
          </c:val>
          <c:smooth val="0"/>
          <c:extLst>
            <c:ext xmlns:c16="http://schemas.microsoft.com/office/drawing/2014/chart" uri="{C3380CC4-5D6E-409C-BE32-E72D297353CC}">
              <c16:uniqueId val="{00000006-6AF1-446F-B8C0-DD5FFE4A519F}"/>
            </c:ext>
          </c:extLst>
        </c:ser>
        <c:ser>
          <c:idx val="7"/>
          <c:order val="4"/>
          <c:tx>
            <c:strRef>
              <c:f>'GRAF-1-MZDY-odvětví'!$A$24</c:f>
              <c:strCache>
                <c:ptCount val="1"/>
                <c:pt idx="0">
                  <c:v>Odvětví s převahou veř. sektoru (O až R)</c:v>
                </c:pt>
              </c:strCache>
            </c:strRef>
          </c:tx>
          <c:spPr>
            <a:ln w="12700" cap="rnd">
              <a:solidFill>
                <a:schemeClr val="accent6">
                  <a:lumMod val="75000"/>
                </a:schemeClr>
              </a:solidFill>
              <a:prstDash val="dashDot"/>
              <a:round/>
            </a:ln>
            <a:effectLst/>
          </c:spPr>
          <c:marker>
            <c:symbol val="none"/>
          </c:marker>
          <c:cat>
            <c:numRef>
              <c:f>'GRAF-1-MZDY-odvětví'!$B$19:$O$19</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'GRAF-1-MZDY-odvětví'!$B$24:$O$24</c:f>
              <c:numCache>
                <c:formatCode>0.0</c:formatCode>
                <c:ptCount val="14"/>
                <c:pt idx="0">
                  <c:v>5.7448429075864311</c:v>
                </c:pt>
                <c:pt idx="1">
                  <c:v>6.2139886096904462</c:v>
                </c:pt>
                <c:pt idx="2">
                  <c:v>6.5213266053676335</c:v>
                </c:pt>
                <c:pt idx="3">
                  <c:v>4.5033471199856194</c:v>
                </c:pt>
                <c:pt idx="4">
                  <c:v>5.6068124661603491</c:v>
                </c:pt>
                <c:pt idx="5">
                  <c:v>9.2548488337286017E-2</c:v>
                </c:pt>
                <c:pt idx="6">
                  <c:v>1.3745128342853405</c:v>
                </c:pt>
                <c:pt idx="7">
                  <c:v>1.9623700739873584</c:v>
                </c:pt>
                <c:pt idx="8">
                  <c:v>0.61373585270925446</c:v>
                </c:pt>
                <c:pt idx="9">
                  <c:v>2.5772633649077363</c:v>
                </c:pt>
                <c:pt idx="10">
                  <c:v>3.7559457553514335</c:v>
                </c:pt>
                <c:pt idx="11">
                  <c:v>4.9014309200953363</c:v>
                </c:pt>
                <c:pt idx="12">
                  <c:v>7.9550010446935744</c:v>
                </c:pt>
                <c:pt idx="13">
                  <c:v>9.6886215143706664</c:v>
                </c:pt>
              </c:numCache>
            </c:numRef>
          </c:val>
          <c:smooth val="0"/>
          <c:extLst>
            <c:ext xmlns:c16="http://schemas.microsoft.com/office/drawing/2014/chart" uri="{C3380CC4-5D6E-409C-BE32-E72D297353CC}">
              <c16:uniqueId val="{00000007-6AF1-446F-B8C0-DD5FFE4A519F}"/>
            </c:ext>
          </c:extLst>
        </c:ser>
        <c:dLbls>
          <c:showLegendKey val="0"/>
          <c:showVal val="0"/>
          <c:showCatName val="0"/>
          <c:showSerName val="0"/>
          <c:showPercent val="0"/>
          <c:showBubbleSize val="0"/>
        </c:dLbls>
        <c:marker val="1"/>
        <c:smooth val="0"/>
        <c:axId val="39484416"/>
        <c:axId val="39502592"/>
      </c:lineChart>
      <c:catAx>
        <c:axId val="39484416"/>
        <c:scaling>
          <c:orientation val="minMax"/>
        </c:scaling>
        <c:delete val="0"/>
        <c:axPos val="b"/>
        <c:numFmt formatCode="General" sourceLinked="1"/>
        <c:majorTickMark val="none"/>
        <c:minorTickMark val="none"/>
        <c:tickLblPos val="low"/>
        <c:spPr>
          <a:noFill/>
          <a:ln w="6350" cap="flat" cmpd="sng" algn="ctr">
            <a:solidFill>
              <a:schemeClr val="tx1">
                <a:lumMod val="95000"/>
                <a:lumOff val="5000"/>
              </a:schemeClr>
            </a:solidFill>
            <a:round/>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cs-CZ"/>
          </a:p>
        </c:txPr>
        <c:crossAx val="39502592"/>
        <c:crosses val="autoZero"/>
        <c:auto val="1"/>
        <c:lblAlgn val="ctr"/>
        <c:lblOffset val="0"/>
        <c:noMultiLvlLbl val="0"/>
      </c:catAx>
      <c:valAx>
        <c:axId val="39502592"/>
        <c:scaling>
          <c:orientation val="minMax"/>
          <c:max val="10"/>
          <c:min val="-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cs-CZ"/>
          </a:p>
        </c:txPr>
        <c:crossAx val="39484416"/>
        <c:crosses val="autoZero"/>
        <c:crossBetween val="between"/>
        <c:majorUnit val="1"/>
      </c:valAx>
      <c:spPr>
        <a:noFill/>
        <a:ln w="6350">
          <a:solidFill>
            <a:schemeClr val="tx1">
              <a:lumMod val="95000"/>
              <a:lumOff val="5000"/>
            </a:schemeClr>
          </a:solidFill>
        </a:ln>
        <a:effectLst/>
      </c:spPr>
    </c:plotArea>
    <c:legend>
      <c:legendPos val="b"/>
      <c:layout>
        <c:manualLayout>
          <c:xMode val="edge"/>
          <c:yMode val="edge"/>
          <c:x val="9.4861745922636791E-3"/>
          <c:y val="0.86740341321014025"/>
          <c:w val="0.98039368992818798"/>
          <c:h val="0.12568832774645405"/>
        </c:manualLayout>
      </c:layout>
      <c:overlay val="0"/>
      <c:spPr>
        <a:noFill/>
        <a:ln w="6350">
          <a:solidFill>
            <a:schemeClr val="tx1">
              <a:lumMod val="95000"/>
              <a:lumOff val="5000"/>
            </a:schemeClr>
          </a:solidFill>
        </a:ln>
        <a:effectLst/>
      </c:spPr>
      <c:txPr>
        <a:bodyPr rot="0" spcFirstLastPara="1" vertOverflow="ellipsis" vert="horz" wrap="square" anchor="ctr" anchorCtr="1"/>
        <a:lstStyle/>
        <a:p>
          <a:pPr>
            <a:defRPr sz="75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88402881737458E-2"/>
          <c:y val="1.7240232458063474E-2"/>
          <c:w val="0.90431595676555143"/>
          <c:h val="0.70236815634040095"/>
        </c:manualLayout>
      </c:layout>
      <c:barChart>
        <c:barDir val="col"/>
        <c:grouping val="stacked"/>
        <c:varyColors val="0"/>
        <c:ser>
          <c:idx val="0"/>
          <c:order val="0"/>
          <c:tx>
            <c:strRef>
              <c:f>'GRAF-5'!$D$68</c:f>
              <c:strCache>
                <c:ptCount val="1"/>
              </c:strCache>
            </c:strRef>
          </c:tx>
          <c:spPr>
            <a:noFill/>
            <a:ln>
              <a:noFill/>
            </a:ln>
            <a:effectLst/>
          </c:spPr>
          <c:invertIfNegative val="0"/>
          <c:dLbls>
            <c:dLbl>
              <c:idx val="0"/>
              <c:tx>
                <c:rich>
                  <a:bodyPr/>
                  <a:lstStyle/>
                  <a:p>
                    <a:r>
                      <a:rPr lang="en-US"/>
                      <a:t>KVK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51-4C90-86AB-E6AF041A4924}"/>
                </c:ext>
              </c:extLst>
            </c:dLbl>
            <c:dLbl>
              <c:idx val="1"/>
              <c:layout>
                <c:manualLayout>
                  <c:x val="0"/>
                  <c:y val="0"/>
                </c:manualLayout>
              </c:layout>
              <c:tx>
                <c:rich>
                  <a:bodyPr/>
                  <a:lstStyle/>
                  <a:p>
                    <a:r>
                      <a:rPr lang="en-US"/>
                      <a:t>ZLK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51-4C90-86AB-E6AF041A4924}"/>
                </c:ext>
              </c:extLst>
            </c:dLbl>
            <c:dLbl>
              <c:idx val="2"/>
              <c:layout>
                <c:manualLayout>
                  <c:x val="2.5355212769764861E-2"/>
                  <c:y val="-1.3776647879424633E-2"/>
                </c:manualLayout>
              </c:layout>
              <c:tx>
                <c:rich>
                  <a:bodyPr/>
                  <a:lstStyle/>
                  <a:p>
                    <a:r>
                      <a:rPr lang="en-US"/>
                      <a:t>KVK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51-4C90-86AB-E6AF041A4924}"/>
                </c:ext>
              </c:extLst>
            </c:dLbl>
            <c:dLbl>
              <c:idx val="3"/>
              <c:layout>
                <c:manualLayout>
                  <c:x val="0"/>
                  <c:y val="-3.7886122505875468E-2"/>
                </c:manualLayout>
              </c:layout>
              <c:tx>
                <c:rich>
                  <a:bodyPr/>
                  <a:lstStyle/>
                  <a:p>
                    <a:r>
                      <a:rPr lang="en-US"/>
                      <a:t>KVK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51-4C90-86AB-E6AF041A4924}"/>
                </c:ext>
              </c:extLst>
            </c:dLbl>
            <c:dLbl>
              <c:idx val="4"/>
              <c:layout>
                <c:manualLayout>
                  <c:x val="-2.5252777445992519E-3"/>
                  <c:y val="-2.0665971319364682E-2"/>
                </c:manualLayout>
              </c:layout>
              <c:tx>
                <c:rich>
                  <a:bodyPr/>
                  <a:lstStyle/>
                  <a:p>
                    <a:r>
                      <a:rPr lang="en-US"/>
                      <a:t>JHČ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51-4C90-86AB-E6AF041A4924}"/>
                </c:ext>
              </c:extLst>
            </c:dLbl>
            <c:dLbl>
              <c:idx val="5"/>
              <c:layout>
                <c:manualLayout>
                  <c:x val="-2.786738468973847E-6"/>
                  <c:y val="-4.477590891314466E-2"/>
                </c:manualLayout>
              </c:layout>
              <c:tx>
                <c:rich>
                  <a:bodyPr/>
                  <a:lstStyle/>
                  <a:p>
                    <a:r>
                      <a:rPr lang="en-US"/>
                      <a:t>JHČ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51-4C90-86AB-E6AF041A4924}"/>
                </c:ext>
              </c:extLst>
            </c:dLbl>
            <c:dLbl>
              <c:idx val="6"/>
              <c:layout>
                <c:manualLayout>
                  <c:x val="0"/>
                  <c:y val="-6.547581748812209E-2"/>
                </c:manualLayout>
              </c:layout>
              <c:tx>
                <c:rich>
                  <a:bodyPr/>
                  <a:lstStyle/>
                  <a:p>
                    <a:r>
                      <a:rPr lang="en-US"/>
                      <a:t>OLK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51-4C90-86AB-E6AF041A4924}"/>
                </c:ext>
              </c:extLst>
            </c:dLbl>
            <c:dLbl>
              <c:idx val="7"/>
              <c:layout>
                <c:manualLayout>
                  <c:x val="-4.6410893573947784E-17"/>
                  <c:y val="-5.8583811775301135E-2"/>
                </c:manualLayout>
              </c:layout>
              <c:tx>
                <c:rich>
                  <a:bodyPr/>
                  <a:lstStyle/>
                  <a:p>
                    <a:r>
                      <a:rPr lang="en-US"/>
                      <a:t>OLK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51-4C90-86AB-E6AF041A4924}"/>
                </c:ext>
              </c:extLst>
            </c:dLbl>
            <c:dLbl>
              <c:idx val="8"/>
              <c:layout>
                <c:manualLayout>
                  <c:x val="-4.6410893573947784E-17"/>
                  <c:y val="-6.8920870920358229E-2"/>
                </c:manualLayout>
              </c:layout>
              <c:tx>
                <c:rich>
                  <a:bodyPr/>
                  <a:lstStyle/>
                  <a:p>
                    <a:r>
                      <a:rPr lang="en-US"/>
                      <a:t>OLK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51-4C90-86AB-E6AF041A4924}"/>
                </c:ext>
              </c:extLst>
            </c:dLbl>
            <c:dLbl>
              <c:idx val="9"/>
              <c:layout>
                <c:manualLayout>
                  <c:x val="-4.635081990216439E-17"/>
                  <c:y val="-7.231921620314212E-2"/>
                </c:manualLayout>
              </c:layout>
              <c:tx>
                <c:rich>
                  <a:bodyPr/>
                  <a:lstStyle/>
                  <a:p>
                    <a:r>
                      <a:rPr lang="en-US"/>
                      <a:t>OLK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51-4C90-86AB-E6AF041A4924}"/>
                </c:ext>
              </c:extLst>
            </c:dLbl>
            <c:dLbl>
              <c:idx val="10"/>
              <c:layout>
                <c:manualLayout>
                  <c:x val="-9.2639378909995118E-17"/>
                  <c:y val="-7.2317422235044976E-2"/>
                </c:manualLayout>
              </c:layout>
              <c:tx>
                <c:rich>
                  <a:bodyPr/>
                  <a:lstStyle/>
                  <a:p>
                    <a:r>
                      <a:rPr lang="en-US"/>
                      <a:t>MSK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E51-4C90-86AB-E6AF041A4924}"/>
                </c:ext>
              </c:extLst>
            </c:dLbl>
            <c:dLbl>
              <c:idx val="11"/>
              <c:layout>
                <c:manualLayout>
                  <c:x val="-2.526557702400243E-3"/>
                  <c:y val="-6.5430048688850162E-2"/>
                </c:manualLayout>
              </c:layout>
              <c:tx>
                <c:rich>
                  <a:bodyPr/>
                  <a:lstStyle/>
                  <a:p>
                    <a:r>
                      <a:rPr lang="en-US"/>
                      <a:t>MSK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E51-4C90-86AB-E6AF041A4924}"/>
                </c:ext>
              </c:extLst>
            </c:dLbl>
            <c:dLbl>
              <c:idx val="12"/>
              <c:layout>
                <c:manualLayout>
                  <c:x val="0"/>
                  <c:y val="-9.2959750158429763E-2"/>
                </c:manualLayout>
              </c:layout>
              <c:tx>
                <c:rich>
                  <a:bodyPr/>
                  <a:lstStyle/>
                  <a:p>
                    <a:r>
                      <a:rPr lang="en-US"/>
                      <a:t>ZLK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E51-4C90-86AB-E6AF041A4924}"/>
                </c:ext>
              </c:extLst>
            </c:dLbl>
            <c:dLbl>
              <c:idx val="13"/>
              <c:layout>
                <c:manualLayout>
                  <c:x val="0"/>
                  <c:y val="-9.9913840250709679E-2"/>
                </c:manualLayout>
              </c:layout>
              <c:tx>
                <c:rich>
                  <a:bodyPr/>
                  <a:lstStyle/>
                  <a:p>
                    <a:r>
                      <a:rPr lang="en-US"/>
                      <a:t>MSK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E51-4C90-86AB-E6AF041A4924}"/>
                </c:ext>
              </c:extLst>
            </c:dLbl>
            <c:dLbl>
              <c:idx val="14"/>
              <c:layout>
                <c:manualLayout>
                  <c:x val="0"/>
                  <c:y val="-9.3023230578247004E-2"/>
                </c:manualLayout>
              </c:layout>
              <c:tx>
                <c:rich>
                  <a:bodyPr/>
                  <a:lstStyle/>
                  <a:p>
                    <a:r>
                      <a:rPr lang="en-US"/>
                      <a:t>OLK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E51-4C90-86AB-E6AF041A4924}"/>
                </c:ext>
              </c:extLst>
            </c:dLbl>
            <c:dLbl>
              <c:idx val="15"/>
              <c:layout>
                <c:manualLayout>
                  <c:x val="0"/>
                  <c:y val="-8.6069087860138144E-2"/>
                </c:manualLayout>
              </c:layout>
              <c:tx>
                <c:rich>
                  <a:bodyPr/>
                  <a:lstStyle/>
                  <a:p>
                    <a:r>
                      <a:rPr lang="en-US"/>
                      <a:t>JHČ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E51-4C90-86AB-E6AF041A4924}"/>
                </c:ext>
              </c:extLst>
            </c:dLbl>
            <c:dLbl>
              <c:idx val="16"/>
              <c:layout>
                <c:manualLayout>
                  <c:x val="0"/>
                  <c:y val="-8.6069087860138144E-2"/>
                </c:manualLayout>
              </c:layout>
              <c:tx>
                <c:rich>
                  <a:bodyPr/>
                  <a:lstStyle/>
                  <a:p>
                    <a:r>
                      <a:rPr lang="en-US"/>
                      <a:t>OLK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E51-4C90-86AB-E6AF041A4924}"/>
                </c:ext>
              </c:extLst>
            </c:dLbl>
            <c:dLbl>
              <c:idx val="17"/>
              <c:layout>
                <c:manualLayout>
                  <c:x val="0"/>
                  <c:y val="-8.9511851374543608E-2"/>
                </c:manualLayout>
              </c:layout>
              <c:tx>
                <c:rich>
                  <a:bodyPr/>
                  <a:lstStyle/>
                  <a:p>
                    <a:r>
                      <a:rPr lang="en-US"/>
                      <a:t>KVK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E51-4C90-86AB-E6AF041A4924}"/>
                </c:ext>
              </c:extLst>
            </c:dLbl>
            <c:dLbl>
              <c:idx val="18"/>
              <c:layout>
                <c:manualLayout>
                  <c:x val="0"/>
                  <c:y val="-7.9271279562203381E-2"/>
                </c:manualLayout>
              </c:layout>
              <c:tx>
                <c:rich>
                  <a:bodyPr/>
                  <a:lstStyle/>
                  <a:p>
                    <a:r>
                      <a:rPr lang="en-US"/>
                      <a:t>KVK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E51-4C90-86AB-E6AF041A4924}"/>
                </c:ext>
              </c:extLst>
            </c:dLbl>
            <c:dLbl>
              <c:idx val="19"/>
              <c:layout>
                <c:manualLayout>
                  <c:x val="0"/>
                  <c:y val="-9.3057589051282086E-2"/>
                </c:manualLayout>
              </c:layout>
              <c:tx>
                <c:rich>
                  <a:bodyPr/>
                  <a:lstStyle/>
                  <a:p>
                    <a:r>
                      <a:rPr lang="en-US"/>
                      <a:t>PAK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E51-4C90-86AB-E6AF041A4924}"/>
                </c:ext>
              </c:extLst>
            </c:dLbl>
            <c:dLbl>
              <c:idx val="20"/>
              <c:layout>
                <c:manualLayout>
                  <c:x val="0"/>
                  <c:y val="-9.6504166423551863E-2"/>
                </c:manualLayout>
              </c:layout>
              <c:tx>
                <c:rich>
                  <a:bodyPr/>
                  <a:lstStyle/>
                  <a:p>
                    <a:r>
                      <a:rPr lang="en-US"/>
                      <a:t>PAK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E51-4C90-86AB-E6AF041A4924}"/>
                </c:ext>
              </c:extLst>
            </c:dLbl>
            <c:dLbl>
              <c:idx val="21"/>
              <c:layout>
                <c:manualLayout>
                  <c:x val="0"/>
                  <c:y val="-8.616443430674274E-2"/>
                </c:manualLayout>
              </c:layout>
              <c:tx>
                <c:rich>
                  <a:bodyPr/>
                  <a:lstStyle/>
                  <a:p>
                    <a:r>
                      <a:rPr lang="en-US"/>
                      <a:t>ZLK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E51-4C90-86AB-E6AF041A4924}"/>
                </c:ext>
              </c:extLst>
            </c:dLbl>
            <c:dLbl>
              <c:idx val="22"/>
              <c:layout>
                <c:manualLayout>
                  <c:x val="0"/>
                  <c:y val="-8.9611011679012448E-2"/>
                </c:manualLayout>
              </c:layout>
              <c:tx>
                <c:rich>
                  <a:bodyPr/>
                  <a:lstStyle/>
                  <a:p>
                    <a:r>
                      <a:rPr lang="en-US"/>
                      <a:t>MSK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E51-4C90-86AB-E6AF041A4924}"/>
                </c:ext>
              </c:extLst>
            </c:dLbl>
            <c:dLbl>
              <c:idx val="23"/>
              <c:layout>
                <c:manualLayout>
                  <c:x val="-5.0656343326612825E-3"/>
                  <c:y val="-0.11373477389949274"/>
                </c:manualLayout>
              </c:layout>
              <c:tx>
                <c:rich>
                  <a:bodyPr/>
                  <a:lstStyle/>
                  <a:p>
                    <a:r>
                      <a:rPr lang="en-US"/>
                      <a:t>MSK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E51-4C90-86AB-E6AF041A492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'GRAF-5'!$B$69:$C$92</c:f>
              <c:multiLvlStrCache>
                <c:ptCount val="24"/>
                <c:lvl>
                  <c:pt idx="0">
                    <c:v>2012</c:v>
                  </c:pt>
                  <c:pt idx="1">
                    <c:v>2015</c:v>
                  </c:pt>
                  <c:pt idx="2">
                    <c:v>2018</c:v>
                  </c:pt>
                  <c:pt idx="3">
                    <c:v>2012</c:v>
                  </c:pt>
                  <c:pt idx="4">
                    <c:v>2015</c:v>
                  </c:pt>
                  <c:pt idx="5">
                    <c:v>2018</c:v>
                  </c:pt>
                  <c:pt idx="6">
                    <c:v>2012</c:v>
                  </c:pt>
                  <c:pt idx="7">
                    <c:v>2015</c:v>
                  </c:pt>
                  <c:pt idx="8">
                    <c:v>2018</c:v>
                  </c:pt>
                  <c:pt idx="9">
                    <c:v>2012</c:v>
                  </c:pt>
                  <c:pt idx="10">
                    <c:v>2015</c:v>
                  </c:pt>
                  <c:pt idx="11">
                    <c:v>2018</c:v>
                  </c:pt>
                  <c:pt idx="12">
                    <c:v>2012</c:v>
                  </c:pt>
                  <c:pt idx="13">
                    <c:v>2015</c:v>
                  </c:pt>
                  <c:pt idx="14">
                    <c:v>2018</c:v>
                  </c:pt>
                  <c:pt idx="15">
                    <c:v>2012</c:v>
                  </c:pt>
                  <c:pt idx="16">
                    <c:v>2015</c:v>
                  </c:pt>
                  <c:pt idx="17">
                    <c:v>2018</c:v>
                  </c:pt>
                  <c:pt idx="18">
                    <c:v>2012</c:v>
                  </c:pt>
                  <c:pt idx="19">
                    <c:v>2015</c:v>
                  </c:pt>
                  <c:pt idx="20">
                    <c:v>2018</c:v>
                  </c:pt>
                  <c:pt idx="21">
                    <c:v>2012</c:v>
                  </c:pt>
                  <c:pt idx="22">
                    <c:v>2015</c:v>
                  </c:pt>
                  <c:pt idx="23">
                    <c:v>2018</c:v>
                  </c:pt>
                </c:lvl>
                <c:lvl>
                  <c:pt idx="0">
                    <c:v>Zákonodárci 
a řídící 
pracovníci</c:v>
                  </c:pt>
                  <c:pt idx="3">
                    <c:v>Specialisté</c:v>
                  </c:pt>
                  <c:pt idx="6">
                    <c:v>Techničtí a 
odborní 
pracovníci</c:v>
                  </c:pt>
                  <c:pt idx="9">
                    <c:v>Úředníci</c:v>
                  </c:pt>
                  <c:pt idx="12">
                    <c:v>Pracovníci 
ve 
službách 
a prodeji</c:v>
                  </c:pt>
                  <c:pt idx="15">
                    <c:v>Řemeslníci 
a opraváři</c:v>
                  </c:pt>
                  <c:pt idx="18">
                    <c:v>Obsluha 
strojů
a zařízení, 
montéři</c:v>
                  </c:pt>
                  <c:pt idx="21">
                    <c:v>Pomocní a 
nekvalifik. 
pracovníci</c:v>
                  </c:pt>
                </c:lvl>
              </c:multiLvlStrCache>
            </c:multiLvlStrRef>
          </c:cat>
          <c:val>
            <c:numRef>
              <c:f>'GRAF-5'!$D$69:$D$92</c:f>
              <c:numCache>
                <c:formatCode>#\ ##0.0</c:formatCode>
                <c:ptCount val="24"/>
                <c:pt idx="0">
                  <c:v>72.914923767734891</c:v>
                </c:pt>
                <c:pt idx="1">
                  <c:v>73.457581435098433</c:v>
                </c:pt>
                <c:pt idx="2">
                  <c:v>70.951856786976421</c:v>
                </c:pt>
                <c:pt idx="3">
                  <c:v>81.035845713506887</c:v>
                </c:pt>
                <c:pt idx="4">
                  <c:v>80.097284150790443</c:v>
                </c:pt>
                <c:pt idx="5">
                  <c:v>82.645308344941114</c:v>
                </c:pt>
                <c:pt idx="6">
                  <c:v>86.820943217333294</c:v>
                </c:pt>
                <c:pt idx="7">
                  <c:v>85.94185322363893</c:v>
                </c:pt>
                <c:pt idx="8">
                  <c:v>87.192051545833564</c:v>
                </c:pt>
                <c:pt idx="9">
                  <c:v>88.898443157132505</c:v>
                </c:pt>
                <c:pt idx="10">
                  <c:v>88.190197260745975</c:v>
                </c:pt>
                <c:pt idx="11">
                  <c:v>87.324146367790462</c:v>
                </c:pt>
                <c:pt idx="12">
                  <c:v>92.300159138205402</c:v>
                </c:pt>
                <c:pt idx="13">
                  <c:v>94.532488114104595</c:v>
                </c:pt>
                <c:pt idx="14">
                  <c:v>93.298365772248474</c:v>
                </c:pt>
                <c:pt idx="15">
                  <c:v>91.87638786084382</c:v>
                </c:pt>
                <c:pt idx="16">
                  <c:v>92.209601824093241</c:v>
                </c:pt>
                <c:pt idx="17">
                  <c:v>92.512959677138781</c:v>
                </c:pt>
                <c:pt idx="18">
                  <c:v>90.672153635116601</c:v>
                </c:pt>
                <c:pt idx="19">
                  <c:v>93.070348454963835</c:v>
                </c:pt>
                <c:pt idx="20">
                  <c:v>94.293255341156339</c:v>
                </c:pt>
                <c:pt idx="21">
                  <c:v>91.998099633500757</c:v>
                </c:pt>
                <c:pt idx="22">
                  <c:v>92.36752244846339</c:v>
                </c:pt>
                <c:pt idx="23">
                  <c:v>95.161534196865077</c:v>
                </c:pt>
              </c:numCache>
            </c:numRef>
          </c:val>
          <c:extLst>
            <c:ext xmlns:c16="http://schemas.microsoft.com/office/drawing/2014/chart" uri="{C3380CC4-5D6E-409C-BE32-E72D297353CC}">
              <c16:uniqueId val="{00000018-8E51-4C90-86AB-E6AF041A4924}"/>
            </c:ext>
          </c:extLst>
        </c:ser>
        <c:ser>
          <c:idx val="1"/>
          <c:order val="1"/>
          <c:tx>
            <c:strRef>
              <c:f>'GRAF-5'!$E$68</c:f>
              <c:strCache>
                <c:ptCount val="1"/>
                <c:pt idx="0">
                  <c:v>Rozpětí mimopražských krajů</c:v>
                </c:pt>
              </c:strCache>
            </c:strRef>
          </c:tx>
          <c:spPr>
            <a:solidFill>
              <a:srgbClr val="92D050"/>
            </a:solidFill>
            <a:ln>
              <a:noFill/>
            </a:ln>
            <a:effectLst/>
          </c:spPr>
          <c:invertIfNegative val="0"/>
          <c:dLbls>
            <c:dLbl>
              <c:idx val="0"/>
              <c:layout>
                <c:manualLayout>
                  <c:x val="0"/>
                  <c:y val="-0.15498781462169459"/>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E51-4C90-86AB-E6AF041A4924}"/>
                </c:ext>
              </c:extLst>
            </c:dLbl>
            <c:dLbl>
              <c:idx val="1"/>
              <c:layout>
                <c:manualLayout>
                  <c:x val="0"/>
                  <c:y val="-0.17220898425528708"/>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E51-4C90-86AB-E6AF041A4924}"/>
                </c:ext>
              </c:extLst>
            </c:dLbl>
            <c:dLbl>
              <c:idx val="2"/>
              <c:layout>
                <c:manualLayout>
                  <c:x val="-2.3172789693792145E-17"/>
                  <c:y val="-0.2204278795380567"/>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E51-4C90-86AB-E6AF041A4924}"/>
                </c:ext>
              </c:extLst>
            </c:dLbl>
            <c:dLbl>
              <c:idx val="3"/>
              <c:layout>
                <c:manualLayout>
                  <c:x val="0"/>
                  <c:y val="-9.299317694753155E-2"/>
                </c:manualLayout>
              </c:layout>
              <c:tx>
                <c:rich>
                  <a:bodyPr/>
                  <a:lstStyle/>
                  <a:p>
                    <a:r>
                      <a:rPr lang="en-US"/>
                      <a:t>JHM</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E51-4C90-86AB-E6AF041A4924}"/>
                </c:ext>
              </c:extLst>
            </c:dLbl>
            <c:dLbl>
              <c:idx val="4"/>
              <c:layout>
                <c:manualLayout>
                  <c:x val="0"/>
                  <c:y val="-0.1102182176132691"/>
                </c:manualLayout>
              </c:layout>
              <c:tx>
                <c:rich>
                  <a:bodyPr/>
                  <a:lstStyle/>
                  <a:p>
                    <a:r>
                      <a:rPr lang="en-US"/>
                      <a:t>JHM</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E51-4C90-86AB-E6AF041A4924}"/>
                </c:ext>
              </c:extLst>
            </c:dLbl>
            <c:dLbl>
              <c:idx val="5"/>
              <c:layout>
                <c:manualLayout>
                  <c:x val="-4.634557938758429E-17"/>
                  <c:y val="-8.6107475416345128E-2"/>
                </c:manualLayout>
              </c:layout>
              <c:tx>
                <c:rich>
                  <a:bodyPr/>
                  <a:lstStyle/>
                  <a:p>
                    <a:r>
                      <a:rPr lang="en-US"/>
                      <a:t>JHM</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E51-4C90-86AB-E6AF041A4924}"/>
                </c:ext>
              </c:extLst>
            </c:dLbl>
            <c:dLbl>
              <c:idx val="6"/>
              <c:layout>
                <c:manualLayout>
                  <c:x val="0"/>
                  <c:y val="-9.9935032260077189E-2"/>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E51-4C90-86AB-E6AF041A4924}"/>
                </c:ext>
              </c:extLst>
            </c:dLbl>
            <c:dLbl>
              <c:idx val="7"/>
              <c:layout>
                <c:manualLayout>
                  <c:x val="-4.6410893573947784E-17"/>
                  <c:y val="-0.10338008569231333"/>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E51-4C90-86AB-E6AF041A4924}"/>
                </c:ext>
              </c:extLst>
            </c:dLbl>
            <c:dLbl>
              <c:idx val="8"/>
              <c:layout>
                <c:manualLayout>
                  <c:x val="-4.6410893573947784E-17"/>
                  <c:y val="-9.993503226007712E-2"/>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E51-4C90-86AB-E6AF041A4924}"/>
                </c:ext>
              </c:extLst>
            </c:dLbl>
            <c:dLbl>
              <c:idx val="9"/>
              <c:layout>
                <c:manualLayout>
                  <c:x val="0"/>
                  <c:y val="-6.5430048688850162E-2"/>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E51-4C90-86AB-E6AF041A4924}"/>
                </c:ext>
              </c:extLst>
            </c:dLbl>
            <c:dLbl>
              <c:idx val="10"/>
              <c:layout>
                <c:manualLayout>
                  <c:x val="0"/>
                  <c:y val="-7.9204795781239665E-2"/>
                </c:manualLayout>
              </c:layout>
              <c:tx>
                <c:rich>
                  <a:bodyPr/>
                  <a:lstStyle/>
                  <a:p>
                    <a:r>
                      <a:rPr lang="en-US"/>
                      <a:t>VYS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E51-4C90-86AB-E6AF041A4924}"/>
                </c:ext>
              </c:extLst>
            </c:dLbl>
            <c:dLbl>
              <c:idx val="11"/>
              <c:layout>
                <c:manualLayout>
                  <c:x val="-2.5264583862501058E-3"/>
                  <c:y val="-8.6093827315895988E-2"/>
                </c:manualLayout>
              </c:layout>
              <c:tx>
                <c:rich>
                  <a:bodyPr/>
                  <a:lstStyle/>
                  <a:p>
                    <a:r>
                      <a:rPr lang="en-US"/>
                      <a:t>VYS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E51-4C90-86AB-E6AF041A4924}"/>
                </c:ext>
              </c:extLst>
            </c:dLbl>
            <c:dLbl>
              <c:idx val="12"/>
              <c:layout>
                <c:manualLayout>
                  <c:x val="0"/>
                  <c:y val="-6.5460791888396E-2"/>
                </c:manualLayout>
              </c:layout>
              <c:tx>
                <c:rich>
                  <a:bodyPr/>
                  <a:lstStyle/>
                  <a:p>
                    <a:r>
                      <a:rPr lang="en-US"/>
                      <a:t>KVK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E51-4C90-86AB-E6AF041A4924}"/>
                </c:ext>
              </c:extLst>
            </c:dLbl>
            <c:dLbl>
              <c:idx val="13"/>
              <c:layout>
                <c:manualLayout>
                  <c:x val="0"/>
                  <c:y val="-5.8570182215933263E-2"/>
                </c:manualLayout>
              </c:layout>
              <c:tx>
                <c:rich>
                  <a:bodyPr/>
                  <a:lstStyle/>
                  <a:p>
                    <a:r>
                      <a:rPr lang="en-US"/>
                      <a:t>JHČ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E51-4C90-86AB-E6AF041A4924}"/>
                </c:ext>
              </c:extLst>
            </c:dLbl>
            <c:dLbl>
              <c:idx val="14"/>
              <c:layout>
                <c:manualLayout>
                  <c:x val="0"/>
                  <c:y val="-5.8570182215933263E-2"/>
                </c:manualLayout>
              </c:layout>
              <c:tx>
                <c:rich>
                  <a:bodyPr/>
                  <a:lstStyle/>
                  <a:p>
                    <a:r>
                      <a:rPr lang="en-US"/>
                      <a:t>JHČ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E51-4C90-86AB-E6AF041A4924}"/>
                </c:ext>
              </c:extLst>
            </c:dLbl>
            <c:dLbl>
              <c:idx val="15"/>
              <c:layout>
                <c:manualLayout>
                  <c:x val="0"/>
                  <c:y val="-9.9840141917760236E-2"/>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8E51-4C90-86AB-E6AF041A4924}"/>
                </c:ext>
              </c:extLst>
            </c:dLbl>
            <c:dLbl>
              <c:idx val="16"/>
              <c:layout>
                <c:manualLayout>
                  <c:x val="-9.2767218456919867E-17"/>
                  <c:y val="-0.11369505959563515"/>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E51-4C90-86AB-E6AF041A4924}"/>
                </c:ext>
              </c:extLst>
            </c:dLbl>
            <c:dLbl>
              <c:idx val="17"/>
              <c:layout>
                <c:manualLayout>
                  <c:x val="-9.2767218456919867E-17"/>
                  <c:y val="-9.9913840250709748E-2"/>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8E51-4C90-86AB-E6AF041A4924}"/>
                </c:ext>
              </c:extLst>
            </c:dLbl>
            <c:dLbl>
              <c:idx val="18"/>
              <c:layout>
                <c:manualLayout>
                  <c:x val="-2.532790664652227E-3"/>
                  <c:y val="-0.10684389854036092"/>
                </c:manualLayout>
              </c:layout>
              <c:tx>
                <c:rich>
                  <a:bodyPr/>
                  <a:lstStyle/>
                  <a:p>
                    <a:r>
                      <a:rPr lang="en-US"/>
                      <a:t>MSK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8E51-4C90-86AB-E6AF041A4924}"/>
                </c:ext>
              </c:extLst>
            </c:dLbl>
            <c:dLbl>
              <c:idx val="19"/>
              <c:layout>
                <c:manualLayout>
                  <c:x val="0"/>
                  <c:y val="-8.6164434306742671E-2"/>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8E51-4C90-86AB-E6AF041A4924}"/>
                </c:ext>
              </c:extLst>
            </c:dLbl>
            <c:dLbl>
              <c:idx val="20"/>
              <c:layout>
                <c:manualLayout>
                  <c:x val="0"/>
                  <c:y val="-8.2717856934472964E-2"/>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8E51-4C90-86AB-E6AF041A4924}"/>
                </c:ext>
              </c:extLst>
            </c:dLbl>
            <c:dLbl>
              <c:idx val="21"/>
              <c:layout>
                <c:manualLayout>
                  <c:x val="0"/>
                  <c:y val="-8.6164434306742671E-2"/>
                </c:manualLayout>
              </c:layout>
              <c:tx>
                <c:rich>
                  <a:bodyPr/>
                  <a:lstStyle/>
                  <a:p>
                    <a:r>
                      <a:rPr lang="en-US"/>
                      <a:t>STČ</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8E51-4C90-86AB-E6AF041A4924}"/>
                </c:ext>
              </c:extLst>
            </c:dLbl>
            <c:dLbl>
              <c:idx val="22"/>
              <c:layout>
                <c:manualLayout>
                  <c:x val="-1.8573583643825786E-16"/>
                  <c:y val="-0.12063020802943974"/>
                </c:manualLayout>
              </c:layout>
              <c:tx>
                <c:rich>
                  <a:bodyPr/>
                  <a:lstStyle/>
                  <a:p>
                    <a:r>
                      <a:rPr lang="en-US"/>
                      <a:t>LBK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8E51-4C90-86AB-E6AF041A4924}"/>
                </c:ext>
              </c:extLst>
            </c:dLbl>
            <c:dLbl>
              <c:idx val="23"/>
              <c:layout>
                <c:manualLayout>
                  <c:x val="-2.5327906646521342E-3"/>
                  <c:y val="-9.3057589051282114E-2"/>
                </c:manualLayout>
              </c:layout>
              <c:tx>
                <c:rich>
                  <a:bodyPr/>
                  <a:lstStyle/>
                  <a:p>
                    <a:r>
                      <a:rPr lang="en-US"/>
                      <a:t>PLK</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8E51-4C90-86AB-E6AF041A492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'GRAF-5'!$B$69:$C$92</c:f>
              <c:multiLvlStrCache>
                <c:ptCount val="24"/>
                <c:lvl>
                  <c:pt idx="0">
                    <c:v>2012</c:v>
                  </c:pt>
                  <c:pt idx="1">
                    <c:v>2015</c:v>
                  </c:pt>
                  <c:pt idx="2">
                    <c:v>2018</c:v>
                  </c:pt>
                  <c:pt idx="3">
                    <c:v>2012</c:v>
                  </c:pt>
                  <c:pt idx="4">
                    <c:v>2015</c:v>
                  </c:pt>
                  <c:pt idx="5">
                    <c:v>2018</c:v>
                  </c:pt>
                  <c:pt idx="6">
                    <c:v>2012</c:v>
                  </c:pt>
                  <c:pt idx="7">
                    <c:v>2015</c:v>
                  </c:pt>
                  <c:pt idx="8">
                    <c:v>2018</c:v>
                  </c:pt>
                  <c:pt idx="9">
                    <c:v>2012</c:v>
                  </c:pt>
                  <c:pt idx="10">
                    <c:v>2015</c:v>
                  </c:pt>
                  <c:pt idx="11">
                    <c:v>2018</c:v>
                  </c:pt>
                  <c:pt idx="12">
                    <c:v>2012</c:v>
                  </c:pt>
                  <c:pt idx="13">
                    <c:v>2015</c:v>
                  </c:pt>
                  <c:pt idx="14">
                    <c:v>2018</c:v>
                  </c:pt>
                  <c:pt idx="15">
                    <c:v>2012</c:v>
                  </c:pt>
                  <c:pt idx="16">
                    <c:v>2015</c:v>
                  </c:pt>
                  <c:pt idx="17">
                    <c:v>2018</c:v>
                  </c:pt>
                  <c:pt idx="18">
                    <c:v>2012</c:v>
                  </c:pt>
                  <c:pt idx="19">
                    <c:v>2015</c:v>
                  </c:pt>
                  <c:pt idx="20">
                    <c:v>2018</c:v>
                  </c:pt>
                  <c:pt idx="21">
                    <c:v>2012</c:v>
                  </c:pt>
                  <c:pt idx="22">
                    <c:v>2015</c:v>
                  </c:pt>
                  <c:pt idx="23">
                    <c:v>2018</c:v>
                  </c:pt>
                </c:lvl>
                <c:lvl>
                  <c:pt idx="0">
                    <c:v>Zákonodárci 
a řídící 
pracovníci</c:v>
                  </c:pt>
                  <c:pt idx="3">
                    <c:v>Specialisté</c:v>
                  </c:pt>
                  <c:pt idx="6">
                    <c:v>Techničtí a 
odborní 
pracovníci</c:v>
                  </c:pt>
                  <c:pt idx="9">
                    <c:v>Úředníci</c:v>
                  </c:pt>
                  <c:pt idx="12">
                    <c:v>Pracovníci 
ve 
službách 
a prodeji</c:v>
                  </c:pt>
                  <c:pt idx="15">
                    <c:v>Řemeslníci 
a opraváři</c:v>
                  </c:pt>
                  <c:pt idx="18">
                    <c:v>Obsluha 
strojů
a zařízení, 
montéři</c:v>
                  </c:pt>
                  <c:pt idx="21">
                    <c:v>Pomocní a 
nekvalifik. 
pracovníci</c:v>
                  </c:pt>
                </c:lvl>
              </c:multiLvlStrCache>
            </c:multiLvlStrRef>
          </c:cat>
          <c:val>
            <c:numRef>
              <c:f>'GRAF-5'!$E$69:$E$92</c:f>
              <c:numCache>
                <c:formatCode>#\ ##0.0</c:formatCode>
                <c:ptCount val="24"/>
                <c:pt idx="0">
                  <c:v>30.026805074183457</c:v>
                </c:pt>
                <c:pt idx="1">
                  <c:v>33.246228182625003</c:v>
                </c:pt>
                <c:pt idx="2">
                  <c:v>43.053704883842187</c:v>
                </c:pt>
                <c:pt idx="3">
                  <c:v>15.753032574621784</c:v>
                </c:pt>
                <c:pt idx="4">
                  <c:v>18.608127280097264</c:v>
                </c:pt>
                <c:pt idx="5">
                  <c:v>15.01625089696509</c:v>
                </c:pt>
                <c:pt idx="6">
                  <c:v>17.526424834076622</c:v>
                </c:pt>
                <c:pt idx="7">
                  <c:v>17.997967812776551</c:v>
                </c:pt>
                <c:pt idx="8">
                  <c:v>17.014998104932587</c:v>
                </c:pt>
                <c:pt idx="9">
                  <c:v>10.771180304127455</c:v>
                </c:pt>
                <c:pt idx="10">
                  <c:v>13.829787234042556</c:v>
                </c:pt>
                <c:pt idx="11">
                  <c:v>15.42114921023277</c:v>
                </c:pt>
                <c:pt idx="12">
                  <c:v>10.888725670216672</c:v>
                </c:pt>
                <c:pt idx="13">
                  <c:v>8.8465021507810633</c:v>
                </c:pt>
                <c:pt idx="14">
                  <c:v>9.597295071307812</c:v>
                </c:pt>
                <c:pt idx="15">
                  <c:v>18.925795706883804</c:v>
                </c:pt>
                <c:pt idx="16">
                  <c:v>20.571718110036727</c:v>
                </c:pt>
                <c:pt idx="17">
                  <c:v>17.569495181435485</c:v>
                </c:pt>
                <c:pt idx="18">
                  <c:v>17.563029184995969</c:v>
                </c:pt>
                <c:pt idx="19">
                  <c:v>13.96888012272629</c:v>
                </c:pt>
                <c:pt idx="20">
                  <c:v>14.666333773228232</c:v>
                </c:pt>
                <c:pt idx="21">
                  <c:v>15.711958734898857</c:v>
                </c:pt>
                <c:pt idx="22">
                  <c:v>22.29669912735551</c:v>
                </c:pt>
                <c:pt idx="23">
                  <c:v>17.539438536364088</c:v>
                </c:pt>
              </c:numCache>
            </c:numRef>
          </c:val>
          <c:extLst>
            <c:ext xmlns:c16="http://schemas.microsoft.com/office/drawing/2014/chart" uri="{C3380CC4-5D6E-409C-BE32-E72D297353CC}">
              <c16:uniqueId val="{00000031-8E51-4C90-86AB-E6AF041A4924}"/>
            </c:ext>
          </c:extLst>
        </c:ser>
        <c:dLbls>
          <c:showLegendKey val="0"/>
          <c:showVal val="0"/>
          <c:showCatName val="0"/>
          <c:showSerName val="0"/>
          <c:showPercent val="0"/>
          <c:showBubbleSize val="0"/>
        </c:dLbls>
        <c:gapWidth val="89"/>
        <c:overlap val="100"/>
        <c:axId val="41390464"/>
        <c:axId val="41392384"/>
      </c:barChart>
      <c:lineChart>
        <c:grouping val="standard"/>
        <c:varyColors val="0"/>
        <c:ser>
          <c:idx val="2"/>
          <c:order val="2"/>
          <c:tx>
            <c:strRef>
              <c:f>'GRAF-5'!$F$68</c:f>
              <c:strCache>
                <c:ptCount val="1"/>
                <c:pt idx="0">
                  <c:v>Praha</c:v>
                </c:pt>
              </c:strCache>
            </c:strRef>
          </c:tx>
          <c:spPr>
            <a:ln w="28575" cap="rnd">
              <a:noFill/>
              <a:round/>
            </a:ln>
            <a:effectLst/>
          </c:spPr>
          <c:marker>
            <c:symbol val="circle"/>
            <c:size val="5"/>
            <c:spPr>
              <a:solidFill>
                <a:srgbClr val="BD1B21"/>
              </a:solidFill>
              <a:ln w="9525">
                <a:noFill/>
              </a:ln>
              <a:effectLst/>
            </c:spPr>
          </c:marker>
          <c:cat>
            <c:multiLvlStrRef>
              <c:f>'GRAF-5'!$B$69:$C$92</c:f>
              <c:multiLvlStrCache>
                <c:ptCount val="24"/>
                <c:lvl>
                  <c:pt idx="0">
                    <c:v>2012</c:v>
                  </c:pt>
                  <c:pt idx="1">
                    <c:v>2015</c:v>
                  </c:pt>
                  <c:pt idx="2">
                    <c:v>2018</c:v>
                  </c:pt>
                  <c:pt idx="3">
                    <c:v>2012</c:v>
                  </c:pt>
                  <c:pt idx="4">
                    <c:v>2015</c:v>
                  </c:pt>
                  <c:pt idx="5">
                    <c:v>2018</c:v>
                  </c:pt>
                  <c:pt idx="6">
                    <c:v>2012</c:v>
                  </c:pt>
                  <c:pt idx="7">
                    <c:v>2015</c:v>
                  </c:pt>
                  <c:pt idx="8">
                    <c:v>2018</c:v>
                  </c:pt>
                  <c:pt idx="9">
                    <c:v>2012</c:v>
                  </c:pt>
                  <c:pt idx="10">
                    <c:v>2015</c:v>
                  </c:pt>
                  <c:pt idx="11">
                    <c:v>2018</c:v>
                  </c:pt>
                  <c:pt idx="12">
                    <c:v>2012</c:v>
                  </c:pt>
                  <c:pt idx="13">
                    <c:v>2015</c:v>
                  </c:pt>
                  <c:pt idx="14">
                    <c:v>2018</c:v>
                  </c:pt>
                  <c:pt idx="15">
                    <c:v>2012</c:v>
                  </c:pt>
                  <c:pt idx="16">
                    <c:v>2015</c:v>
                  </c:pt>
                  <c:pt idx="17">
                    <c:v>2018</c:v>
                  </c:pt>
                  <c:pt idx="18">
                    <c:v>2012</c:v>
                  </c:pt>
                  <c:pt idx="19">
                    <c:v>2015</c:v>
                  </c:pt>
                  <c:pt idx="20">
                    <c:v>2018</c:v>
                  </c:pt>
                  <c:pt idx="21">
                    <c:v>2012</c:v>
                  </c:pt>
                  <c:pt idx="22">
                    <c:v>2015</c:v>
                  </c:pt>
                  <c:pt idx="23">
                    <c:v>2018</c:v>
                  </c:pt>
                </c:lvl>
                <c:lvl>
                  <c:pt idx="0">
                    <c:v>Zákonodárci 
a řídící 
pracovníci</c:v>
                  </c:pt>
                  <c:pt idx="3">
                    <c:v>Specialisté</c:v>
                  </c:pt>
                  <c:pt idx="6">
                    <c:v>Techničtí a 
odborní 
pracovníci</c:v>
                  </c:pt>
                  <c:pt idx="9">
                    <c:v>Úředníci</c:v>
                  </c:pt>
                  <c:pt idx="12">
                    <c:v>Pracovníci 
ve 
službách 
a prodeji</c:v>
                  </c:pt>
                  <c:pt idx="15">
                    <c:v>Řemeslníci 
a opraváři</c:v>
                  </c:pt>
                  <c:pt idx="18">
                    <c:v>Obsluha 
strojů
a zařízení, 
montéři</c:v>
                  </c:pt>
                  <c:pt idx="21">
                    <c:v>Pomocní a 
nekvalifik. 
pracovníci</c:v>
                  </c:pt>
                </c:lvl>
              </c:multiLvlStrCache>
            </c:multiLvlStrRef>
          </c:cat>
          <c:val>
            <c:numRef>
              <c:f>'GRAF-5'!$F$69:$F$92</c:f>
              <c:numCache>
                <c:formatCode>#\ ##0.0</c:formatCode>
                <c:ptCount val="24"/>
                <c:pt idx="0">
                  <c:v>140.46371071007837</c:v>
                </c:pt>
                <c:pt idx="1">
                  <c:v>133.66531900207079</c:v>
                </c:pt>
                <c:pt idx="2">
                  <c:v>126.47297375586581</c:v>
                </c:pt>
                <c:pt idx="3">
                  <c:v>125.99972740902277</c:v>
                </c:pt>
                <c:pt idx="4">
                  <c:v>121.17197000405351</c:v>
                </c:pt>
                <c:pt idx="5">
                  <c:v>118.73496264404204</c:v>
                </c:pt>
                <c:pt idx="6">
                  <c:v>120.76061382870387</c:v>
                </c:pt>
                <c:pt idx="7">
                  <c:v>116.50332688714806</c:v>
                </c:pt>
                <c:pt idx="8">
                  <c:v>114.06140018409225</c:v>
                </c:pt>
                <c:pt idx="9">
                  <c:v>116.7994207096307</c:v>
                </c:pt>
                <c:pt idx="10">
                  <c:v>114.54044275992766</c:v>
                </c:pt>
                <c:pt idx="11">
                  <c:v>113.36307703378547</c:v>
                </c:pt>
                <c:pt idx="12">
                  <c:v>113.54510956053372</c:v>
                </c:pt>
                <c:pt idx="13">
                  <c:v>114.08761602897894</c:v>
                </c:pt>
                <c:pt idx="14">
                  <c:v>113.08249165546837</c:v>
                </c:pt>
                <c:pt idx="15">
                  <c:v>109.5762398223538</c:v>
                </c:pt>
                <c:pt idx="16">
                  <c:v>104.74602035215132</c:v>
                </c:pt>
                <c:pt idx="17">
                  <c:v>103.25992415544654</c:v>
                </c:pt>
                <c:pt idx="18">
                  <c:v>108.94943474764676</c:v>
                </c:pt>
                <c:pt idx="19">
                  <c:v>106.77624369932062</c:v>
                </c:pt>
                <c:pt idx="20">
                  <c:v>107.383100902379</c:v>
                </c:pt>
                <c:pt idx="21">
                  <c:v>104.31654676258992</c:v>
                </c:pt>
                <c:pt idx="22">
                  <c:v>99.038826356393074</c:v>
                </c:pt>
                <c:pt idx="23">
                  <c:v>93.014464996723959</c:v>
                </c:pt>
              </c:numCache>
            </c:numRef>
          </c:val>
          <c:smooth val="0"/>
          <c:extLst>
            <c:ext xmlns:c16="http://schemas.microsoft.com/office/drawing/2014/chart" uri="{C3380CC4-5D6E-409C-BE32-E72D297353CC}">
              <c16:uniqueId val="{00000032-8E51-4C90-86AB-E6AF041A4924}"/>
            </c:ext>
          </c:extLst>
        </c:ser>
        <c:dLbls>
          <c:showLegendKey val="0"/>
          <c:showVal val="0"/>
          <c:showCatName val="0"/>
          <c:showSerName val="0"/>
          <c:showPercent val="0"/>
          <c:showBubbleSize val="0"/>
        </c:dLbls>
        <c:marker val="1"/>
        <c:smooth val="0"/>
        <c:axId val="41390464"/>
        <c:axId val="41392384"/>
      </c:lineChart>
      <c:catAx>
        <c:axId val="41390464"/>
        <c:scaling>
          <c:orientation val="minMax"/>
        </c:scaling>
        <c:delete val="0"/>
        <c:axPos val="b"/>
        <c:numFmt formatCode="General" sourceLinked="1"/>
        <c:majorTickMark val="none"/>
        <c:minorTickMark val="none"/>
        <c:tickLblPos val="low"/>
        <c:spPr>
          <a:noFill/>
          <a:ln w="6350" cap="flat" cmpd="sng" algn="ctr">
            <a:solidFill>
              <a:schemeClr val="tx1">
                <a:lumMod val="95000"/>
                <a:lumOff val="5000"/>
              </a:schemeClr>
            </a:solidFill>
            <a:round/>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cs-CZ"/>
          </a:p>
        </c:txPr>
        <c:crossAx val="41392384"/>
        <c:crossesAt val="100"/>
        <c:auto val="1"/>
        <c:lblAlgn val="ctr"/>
        <c:lblOffset val="0"/>
        <c:noMultiLvlLbl val="0"/>
      </c:catAx>
      <c:valAx>
        <c:axId val="41392384"/>
        <c:scaling>
          <c:orientation val="minMax"/>
          <c:max val="141"/>
          <c:min val="7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cs-CZ"/>
          </a:p>
        </c:txPr>
        <c:crossAx val="41390464"/>
        <c:crosses val="autoZero"/>
        <c:crossBetween val="between"/>
        <c:majorUnit val="5"/>
      </c:valAx>
      <c:spPr>
        <a:noFill/>
        <a:ln w="6350">
          <a:solidFill>
            <a:schemeClr val="tx1">
              <a:lumMod val="95000"/>
              <a:lumOff val="5000"/>
            </a:schemeClr>
          </a:solidFill>
        </a:ln>
        <a:effectLst/>
      </c:spPr>
    </c:plotArea>
    <c:legend>
      <c:legendPos val="b"/>
      <c:layout>
        <c:manualLayout>
          <c:xMode val="edge"/>
          <c:yMode val="edge"/>
          <c:x val="0.26860308162762236"/>
          <c:y val="0.94971821565619507"/>
          <c:w val="0.45772173090351725"/>
          <c:h val="4.3687868287043533E-2"/>
        </c:manualLayout>
      </c:layout>
      <c:overlay val="0"/>
      <c:spPr>
        <a:noFill/>
        <a:ln w="6350">
          <a:solidFill>
            <a:schemeClr val="tx1">
              <a:lumMod val="95000"/>
              <a:lumOff val="5000"/>
            </a:schemeClr>
          </a:solidFill>
        </a:ln>
        <a:effectLst/>
      </c:spPr>
      <c:txPr>
        <a:bodyPr rot="0" spcFirstLastPara="1" vertOverflow="ellipsis" vert="horz" wrap="square" anchor="ctr" anchorCtr="1"/>
        <a:lstStyle/>
        <a:p>
          <a:pPr>
            <a:defRPr sz="8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836335505582157E-2"/>
          <c:y val="2.4179620034542316E-2"/>
          <c:w val="0.93333328006909433"/>
          <c:h val="0.81655528810194067"/>
        </c:manualLayout>
      </c:layout>
      <c:barChart>
        <c:barDir val="col"/>
        <c:grouping val="clustered"/>
        <c:varyColors val="0"/>
        <c:ser>
          <c:idx val="0"/>
          <c:order val="0"/>
          <c:tx>
            <c:strRef>
              <c:f>'GRAF-2-REGIONY'!$A$75</c:f>
              <c:strCache>
                <c:ptCount val="1"/>
                <c:pt idx="0">
                  <c:v>ČR</c:v>
                </c:pt>
              </c:strCache>
            </c:strRef>
          </c:tx>
          <c:spPr>
            <a:solidFill>
              <a:schemeClr val="bg1">
                <a:lumMod val="95000"/>
              </a:schemeClr>
            </a:solidFill>
            <a:ln w="19050">
              <a:noFill/>
              <a:prstDash val="solid"/>
            </a:ln>
            <a:effectLst/>
          </c:spPr>
          <c:invertIfNegative val="0"/>
          <c:cat>
            <c:numRef>
              <c:f>'GRAF-2-REGIONY'!$B$74:$O$74</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'GRAF-2-REGIONY'!$B$75:$O$75</c:f>
              <c:numCache>
                <c:formatCode>0.0</c:formatCode>
                <c:ptCount val="14"/>
                <c:pt idx="0">
                  <c:v>5.0269094240238132</c:v>
                </c:pt>
                <c:pt idx="1">
                  <c:v>6.5525512429132107</c:v>
                </c:pt>
                <c:pt idx="2">
                  <c:v>7.2188683106517999</c:v>
                </c:pt>
                <c:pt idx="3">
                  <c:v>7.8016891730686666</c:v>
                </c:pt>
                <c:pt idx="4">
                  <c:v>3.3286118980169874</c:v>
                </c:pt>
                <c:pt idx="5">
                  <c:v>2.2275531185743631</c:v>
                </c:pt>
                <c:pt idx="6">
                  <c:v>2.4765336909151898</c:v>
                </c:pt>
                <c:pt idx="7">
                  <c:v>2.5025557145778095</c:v>
                </c:pt>
                <c:pt idx="8">
                  <c:v>-0.12765787688992702</c:v>
                </c:pt>
                <c:pt idx="9">
                  <c:v>2.9279009386858519</c:v>
                </c:pt>
                <c:pt idx="10">
                  <c:v>3.1938838869916282</c:v>
                </c:pt>
                <c:pt idx="11">
                  <c:v>4.4112669700274552</c:v>
                </c:pt>
                <c:pt idx="12">
                  <c:v>6.7497478749459816</c:v>
                </c:pt>
                <c:pt idx="13">
                  <c:v>7.5814832309872457</c:v>
                </c:pt>
              </c:numCache>
            </c:numRef>
          </c:val>
          <c:extLst>
            <c:ext xmlns:c16="http://schemas.microsoft.com/office/drawing/2014/chart" uri="{C3380CC4-5D6E-409C-BE32-E72D297353CC}">
              <c16:uniqueId val="{00000000-23D8-4DCD-856F-9B14AA78371F}"/>
            </c:ext>
          </c:extLst>
        </c:ser>
        <c:dLbls>
          <c:showLegendKey val="0"/>
          <c:showVal val="0"/>
          <c:showCatName val="0"/>
          <c:showSerName val="0"/>
          <c:showPercent val="0"/>
          <c:showBubbleSize val="0"/>
        </c:dLbls>
        <c:gapWidth val="150"/>
        <c:axId val="103772544"/>
        <c:axId val="103774464"/>
      </c:barChart>
      <c:lineChart>
        <c:grouping val="standard"/>
        <c:varyColors val="0"/>
        <c:ser>
          <c:idx val="2"/>
          <c:order val="1"/>
          <c:tx>
            <c:strRef>
              <c:f>'GRAF-2-REGIONY'!$A$76</c:f>
              <c:strCache>
                <c:ptCount val="1"/>
                <c:pt idx="0">
                  <c:v>Hlavní město Praha</c:v>
                </c:pt>
              </c:strCache>
            </c:strRef>
          </c:tx>
          <c:spPr>
            <a:ln w="12700" cap="rnd">
              <a:solidFill>
                <a:srgbClr val="0071BC"/>
              </a:solidFill>
              <a:prstDash val="solid"/>
              <a:round/>
            </a:ln>
            <a:effectLst/>
          </c:spPr>
          <c:marker>
            <c:symbol val="none"/>
          </c:marker>
          <c:cat>
            <c:numRef>
              <c:f>'GRAF-2-REGIONY'!$B$74:$O$74</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'GRAF-2-REGIONY'!$B$76:$O$76</c:f>
              <c:numCache>
                <c:formatCode>0.0</c:formatCode>
                <c:ptCount val="14"/>
                <c:pt idx="0">
                  <c:v>5.3532820202369749</c:v>
                </c:pt>
                <c:pt idx="1">
                  <c:v>6.9775077983910592</c:v>
                </c:pt>
                <c:pt idx="2">
                  <c:v>6.3612645794966198</c:v>
                </c:pt>
                <c:pt idx="3">
                  <c:v>9.0613952817257086</c:v>
                </c:pt>
                <c:pt idx="4">
                  <c:v>3.4100681352120148</c:v>
                </c:pt>
                <c:pt idx="5">
                  <c:v>-0.17591556053095303</c:v>
                </c:pt>
                <c:pt idx="6">
                  <c:v>5.1618071131047714</c:v>
                </c:pt>
                <c:pt idx="7">
                  <c:v>1.4350568233752767</c:v>
                </c:pt>
                <c:pt idx="8">
                  <c:v>-1.7601826264568103</c:v>
                </c:pt>
                <c:pt idx="9">
                  <c:v>2.308444933651316</c:v>
                </c:pt>
                <c:pt idx="10">
                  <c:v>3.0274050387017866</c:v>
                </c:pt>
                <c:pt idx="11">
                  <c:v>3.6694320357370884</c:v>
                </c:pt>
                <c:pt idx="12">
                  <c:v>5.4562242927893863</c:v>
                </c:pt>
                <c:pt idx="13">
                  <c:v>6.1609488179575038</c:v>
                </c:pt>
              </c:numCache>
            </c:numRef>
          </c:val>
          <c:smooth val="0"/>
          <c:extLst>
            <c:ext xmlns:c16="http://schemas.microsoft.com/office/drawing/2014/chart" uri="{C3380CC4-5D6E-409C-BE32-E72D297353CC}">
              <c16:uniqueId val="{00000001-23D8-4DCD-856F-9B14AA78371F}"/>
            </c:ext>
          </c:extLst>
        </c:ser>
        <c:ser>
          <c:idx val="4"/>
          <c:order val="2"/>
          <c:tx>
            <c:strRef>
              <c:f>'GRAF-2-REGIONY'!$A$77</c:f>
              <c:strCache>
                <c:ptCount val="1"/>
                <c:pt idx="0">
                  <c:v>Středočeský kraj</c:v>
                </c:pt>
              </c:strCache>
            </c:strRef>
          </c:tx>
          <c:spPr>
            <a:ln w="15875" cap="rnd">
              <a:solidFill>
                <a:srgbClr val="00B050"/>
              </a:solidFill>
              <a:prstDash val="solid"/>
              <a:round/>
            </a:ln>
            <a:effectLst/>
          </c:spPr>
          <c:marker>
            <c:symbol val="none"/>
          </c:marker>
          <c:dPt>
            <c:idx val="6"/>
            <c:marker>
              <c:symbol val="none"/>
            </c:marker>
            <c:bubble3D val="0"/>
            <c:extLst>
              <c:ext xmlns:c16="http://schemas.microsoft.com/office/drawing/2014/chart" uri="{C3380CC4-5D6E-409C-BE32-E72D297353CC}">
                <c16:uniqueId val="{00000002-23D8-4DCD-856F-9B14AA78371F}"/>
              </c:ext>
            </c:extLst>
          </c:dPt>
          <c:cat>
            <c:numRef>
              <c:f>'GRAF-2-REGIONY'!$B$74:$O$74</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'GRAF-2-REGIONY'!$B$77:$O$77</c:f>
              <c:numCache>
                <c:formatCode>0.0</c:formatCode>
                <c:ptCount val="14"/>
                <c:pt idx="0">
                  <c:v>4.4202434336963563</c:v>
                </c:pt>
                <c:pt idx="1">
                  <c:v>6.653653095370899</c:v>
                </c:pt>
                <c:pt idx="2">
                  <c:v>8.0479004340323144</c:v>
                </c:pt>
                <c:pt idx="3">
                  <c:v>6.6305294743974343</c:v>
                </c:pt>
                <c:pt idx="4">
                  <c:v>2.9684095860566373</c:v>
                </c:pt>
                <c:pt idx="5">
                  <c:v>2.5610508683769666</c:v>
                </c:pt>
                <c:pt idx="6">
                  <c:v>4.0185670692396798</c:v>
                </c:pt>
                <c:pt idx="7">
                  <c:v>2.3221221386662307</c:v>
                </c:pt>
                <c:pt idx="8">
                  <c:v>0.97318688418673105</c:v>
                </c:pt>
                <c:pt idx="9">
                  <c:v>3.0033993201359834</c:v>
                </c:pt>
                <c:pt idx="10">
                  <c:v>3.3817362944556635</c:v>
                </c:pt>
                <c:pt idx="11">
                  <c:v>4.6118601419611736</c:v>
                </c:pt>
                <c:pt idx="12">
                  <c:v>7.5354514449829537</c:v>
                </c:pt>
                <c:pt idx="13">
                  <c:v>8.4729919209454607</c:v>
                </c:pt>
              </c:numCache>
            </c:numRef>
          </c:val>
          <c:smooth val="0"/>
          <c:extLst>
            <c:ext xmlns:c16="http://schemas.microsoft.com/office/drawing/2014/chart" uri="{C3380CC4-5D6E-409C-BE32-E72D297353CC}">
              <c16:uniqueId val="{00000003-23D8-4DCD-856F-9B14AA78371F}"/>
            </c:ext>
          </c:extLst>
        </c:ser>
        <c:ser>
          <c:idx val="7"/>
          <c:order val="3"/>
          <c:tx>
            <c:strRef>
              <c:f>'GRAF-2-REGIONY'!$A$79</c:f>
              <c:strCache>
                <c:ptCount val="1"/>
                <c:pt idx="0">
                  <c:v>Moravskoslezský</c:v>
                </c:pt>
              </c:strCache>
            </c:strRef>
          </c:tx>
          <c:spPr>
            <a:ln w="12700" cap="rnd">
              <a:solidFill>
                <a:schemeClr val="accent6">
                  <a:lumMod val="75000"/>
                </a:schemeClr>
              </a:solidFill>
              <a:prstDash val="solid"/>
              <a:round/>
            </a:ln>
            <a:effectLst/>
          </c:spPr>
          <c:marker>
            <c:symbol val="none"/>
          </c:marker>
          <c:cat>
            <c:numRef>
              <c:f>'GRAF-2-REGIONY'!$B$74:$O$74</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'GRAF-2-REGIONY'!$B$79:$O$79</c:f>
              <c:numCache>
                <c:formatCode>0.0</c:formatCode>
                <c:ptCount val="14"/>
                <c:pt idx="0">
                  <c:v>5.0225292880744945</c:v>
                </c:pt>
                <c:pt idx="1">
                  <c:v>5.840626966420686</c:v>
                </c:pt>
                <c:pt idx="2">
                  <c:v>7.1559831369581843</c:v>
                </c:pt>
                <c:pt idx="3">
                  <c:v>6.7588015736911018</c:v>
                </c:pt>
                <c:pt idx="4">
                  <c:v>2.7874893697439376</c:v>
                </c:pt>
                <c:pt idx="5">
                  <c:v>2.7256848685420039</c:v>
                </c:pt>
                <c:pt idx="6">
                  <c:v>1.0917714439124779</c:v>
                </c:pt>
                <c:pt idx="7">
                  <c:v>2.8947018988182265</c:v>
                </c:pt>
                <c:pt idx="8">
                  <c:v>-0.90764399707488508</c:v>
                </c:pt>
                <c:pt idx="9">
                  <c:v>3.1255426289286277</c:v>
                </c:pt>
                <c:pt idx="10">
                  <c:v>2.5719818151203953</c:v>
                </c:pt>
                <c:pt idx="11">
                  <c:v>3.7017277465424456</c:v>
                </c:pt>
                <c:pt idx="12">
                  <c:v>6.3556135976888584</c:v>
                </c:pt>
                <c:pt idx="13">
                  <c:v>7.1665116279069849</c:v>
                </c:pt>
              </c:numCache>
            </c:numRef>
          </c:val>
          <c:smooth val="0"/>
          <c:extLst>
            <c:ext xmlns:c16="http://schemas.microsoft.com/office/drawing/2014/chart" uri="{C3380CC4-5D6E-409C-BE32-E72D297353CC}">
              <c16:uniqueId val="{00000004-23D8-4DCD-856F-9B14AA78371F}"/>
            </c:ext>
          </c:extLst>
        </c:ser>
        <c:dLbls>
          <c:showLegendKey val="0"/>
          <c:showVal val="0"/>
          <c:showCatName val="0"/>
          <c:showSerName val="0"/>
          <c:showPercent val="0"/>
          <c:showBubbleSize val="0"/>
        </c:dLbls>
        <c:marker val="1"/>
        <c:smooth val="0"/>
        <c:axId val="103772544"/>
        <c:axId val="103774464"/>
      </c:lineChart>
      <c:lineChart>
        <c:grouping val="standard"/>
        <c:varyColors val="0"/>
        <c:ser>
          <c:idx val="1"/>
          <c:order val="4"/>
          <c:tx>
            <c:strRef>
              <c:f>'GRAF-2-REGIONY'!$A$80</c:f>
              <c:strCache>
                <c:ptCount val="1"/>
                <c:pt idx="0">
                  <c:v>Mzdová úroveň: Hl. m. Praha (ČR = 100)</c:v>
                </c:pt>
              </c:strCache>
            </c:strRef>
          </c:tx>
          <c:spPr>
            <a:ln w="9525" cap="rnd">
              <a:solidFill>
                <a:schemeClr val="bg1">
                  <a:lumMod val="65000"/>
                </a:schemeClr>
              </a:solidFill>
              <a:prstDash val="sysDot"/>
              <a:round/>
            </a:ln>
            <a:effectLst/>
          </c:spPr>
          <c:marker>
            <c:symbol val="circle"/>
            <c:size val="5"/>
            <c:spPr>
              <a:solidFill>
                <a:schemeClr val="bg2">
                  <a:lumMod val="50000"/>
                </a:schemeClr>
              </a:solidFill>
              <a:ln w="9525">
                <a:noFill/>
              </a:ln>
              <a:effectLst/>
            </c:spPr>
          </c:marker>
          <c:cat>
            <c:numRef>
              <c:f>'GRAF-2-REGIONY'!$B$74:$O$74</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'GRAF-2-REGIONY'!$B$80:$O$80</c:f>
              <c:numCache>
                <c:formatCode>0.0</c:formatCode>
                <c:ptCount val="14"/>
                <c:pt idx="0">
                  <c:v>132.81726995202791</c:v>
                </c:pt>
                <c:pt idx="1">
                  <c:v>133.34697636345032</c:v>
                </c:pt>
                <c:pt idx="2">
                  <c:v>132.28038364269693</c:v>
                </c:pt>
                <c:pt idx="3">
                  <c:v>133.8261331444759</c:v>
                </c:pt>
                <c:pt idx="4">
                  <c:v>133.93163125428376</c:v>
                </c:pt>
                <c:pt idx="5">
                  <c:v>130.782769024472</c:v>
                </c:pt>
                <c:pt idx="6">
                  <c:v>134.2097730525455</c:v>
                </c:pt>
                <c:pt idx="7">
                  <c:v>132.8120636693661</c:v>
                </c:pt>
                <c:pt idx="8">
                  <c:v>130.64110245656082</c:v>
                </c:pt>
                <c:pt idx="9">
                  <c:v>129.85485873952189</c:v>
                </c:pt>
                <c:pt idx="10">
                  <c:v>129.64536873378211</c:v>
                </c:pt>
                <c:pt idx="11">
                  <c:v>128.72424722662441</c:v>
                </c:pt>
                <c:pt idx="12">
                  <c:v>127.16445104258047</c:v>
                </c:pt>
                <c:pt idx="13">
                  <c:v>125.48533793319743</c:v>
                </c:pt>
              </c:numCache>
            </c:numRef>
          </c:val>
          <c:smooth val="0"/>
          <c:extLst>
            <c:ext xmlns:c16="http://schemas.microsoft.com/office/drawing/2014/chart" uri="{C3380CC4-5D6E-409C-BE32-E72D297353CC}">
              <c16:uniqueId val="{00000005-23D8-4DCD-856F-9B14AA78371F}"/>
            </c:ext>
          </c:extLst>
        </c:ser>
        <c:ser>
          <c:idx val="3"/>
          <c:order val="5"/>
          <c:tx>
            <c:strRef>
              <c:f>'GRAF-2-REGIONY'!$A$81</c:f>
              <c:strCache>
                <c:ptCount val="1"/>
                <c:pt idx="0">
                  <c:v>Mzdová úroveň: Karlovar.kraj (ČR = 100)</c:v>
                </c:pt>
              </c:strCache>
            </c:strRef>
          </c:tx>
          <c:spPr>
            <a:ln w="9525" cap="rnd">
              <a:solidFill>
                <a:schemeClr val="bg1">
                  <a:lumMod val="65000"/>
                </a:schemeClr>
              </a:solidFill>
              <a:prstDash val="sysDot"/>
              <a:round/>
            </a:ln>
            <a:effectLst/>
          </c:spPr>
          <c:marker>
            <c:symbol val="circle"/>
            <c:size val="5"/>
            <c:spPr>
              <a:solidFill>
                <a:schemeClr val="bg1"/>
              </a:solidFill>
              <a:ln w="9525">
                <a:solidFill>
                  <a:schemeClr val="bg2">
                    <a:lumMod val="50000"/>
                  </a:schemeClr>
                </a:solidFill>
              </a:ln>
              <a:effectLst/>
            </c:spPr>
          </c:marker>
          <c:cat>
            <c:numRef>
              <c:f>'GRAF-2-REGIONY'!$B$74:$O$74</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'GRAF-2-REGIONY'!$B$81:$O$81</c:f>
              <c:numCache>
                <c:formatCode>0.0</c:formatCode>
                <c:ptCount val="14"/>
                <c:pt idx="0">
                  <c:v>87.837985172263416</c:v>
                </c:pt>
                <c:pt idx="1">
                  <c:v>87.255704491967663</c:v>
                </c:pt>
                <c:pt idx="2">
                  <c:v>86.496158801355165</c:v>
                </c:pt>
                <c:pt idx="3">
                  <c:v>84.994688385269129</c:v>
                </c:pt>
                <c:pt idx="4">
                  <c:v>86.034955448937637</c:v>
                </c:pt>
                <c:pt idx="5">
                  <c:v>86.171639289306071</c:v>
                </c:pt>
                <c:pt idx="6">
                  <c:v>84.89470455939481</c:v>
                </c:pt>
                <c:pt idx="7">
                  <c:v>84.988231539474214</c:v>
                </c:pt>
                <c:pt idx="8">
                  <c:v>85.364489714399838</c:v>
                </c:pt>
                <c:pt idx="9">
                  <c:v>84.546724619683332</c:v>
                </c:pt>
                <c:pt idx="10">
                  <c:v>84.923470347109912</c:v>
                </c:pt>
                <c:pt idx="11">
                  <c:v>86.500504250108051</c:v>
                </c:pt>
                <c:pt idx="12">
                  <c:v>87.708347391861793</c:v>
                </c:pt>
                <c:pt idx="13">
                  <c:v>87.824996079661275</c:v>
                </c:pt>
              </c:numCache>
            </c:numRef>
          </c:val>
          <c:smooth val="0"/>
          <c:extLst>
            <c:ext xmlns:c16="http://schemas.microsoft.com/office/drawing/2014/chart" uri="{C3380CC4-5D6E-409C-BE32-E72D297353CC}">
              <c16:uniqueId val="{00000006-23D8-4DCD-856F-9B14AA78371F}"/>
            </c:ext>
          </c:extLst>
        </c:ser>
        <c:dLbls>
          <c:showLegendKey val="0"/>
          <c:showVal val="0"/>
          <c:showCatName val="0"/>
          <c:showSerName val="0"/>
          <c:showPercent val="0"/>
          <c:showBubbleSize val="0"/>
        </c:dLbls>
        <c:marker val="1"/>
        <c:smooth val="0"/>
        <c:axId val="103785984"/>
        <c:axId val="103784448"/>
      </c:lineChart>
      <c:catAx>
        <c:axId val="103772544"/>
        <c:scaling>
          <c:orientation val="minMax"/>
        </c:scaling>
        <c:delete val="0"/>
        <c:axPos val="b"/>
        <c:numFmt formatCode="General" sourceLinked="1"/>
        <c:majorTickMark val="none"/>
        <c:minorTickMark val="none"/>
        <c:tickLblPos val="low"/>
        <c:spPr>
          <a:noFill/>
          <a:ln w="6350" cap="flat" cmpd="sng" algn="ctr">
            <a:solidFill>
              <a:schemeClr val="tx1">
                <a:lumMod val="95000"/>
                <a:lumOff val="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3774464"/>
        <c:crosses val="autoZero"/>
        <c:auto val="1"/>
        <c:lblAlgn val="ctr"/>
        <c:lblOffset val="0"/>
        <c:noMultiLvlLbl val="0"/>
      </c:catAx>
      <c:valAx>
        <c:axId val="103774464"/>
        <c:scaling>
          <c:orientation val="minMax"/>
          <c:max val="10"/>
          <c:min val="-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3772544"/>
        <c:crosses val="autoZero"/>
        <c:crossBetween val="between"/>
        <c:majorUnit val="1"/>
      </c:valAx>
      <c:valAx>
        <c:axId val="103784448"/>
        <c:scaling>
          <c:orientation val="minMax"/>
          <c:max val="140"/>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3785984"/>
        <c:crosses val="max"/>
        <c:crossBetween val="between"/>
      </c:valAx>
      <c:catAx>
        <c:axId val="103785984"/>
        <c:scaling>
          <c:orientation val="minMax"/>
        </c:scaling>
        <c:delete val="1"/>
        <c:axPos val="b"/>
        <c:numFmt formatCode="General" sourceLinked="1"/>
        <c:majorTickMark val="out"/>
        <c:minorTickMark val="none"/>
        <c:tickLblPos val="nextTo"/>
        <c:crossAx val="103784448"/>
        <c:crosses val="autoZero"/>
        <c:auto val="1"/>
        <c:lblAlgn val="ctr"/>
        <c:lblOffset val="100"/>
        <c:noMultiLvlLbl val="0"/>
      </c:catAx>
      <c:spPr>
        <a:noFill/>
        <a:ln w="6350">
          <a:solidFill>
            <a:schemeClr val="tx1">
              <a:lumMod val="95000"/>
              <a:lumOff val="5000"/>
            </a:schemeClr>
          </a:solidFill>
        </a:ln>
        <a:effectLst/>
      </c:spPr>
    </c:plotArea>
    <c:legend>
      <c:legendPos val="b"/>
      <c:layout>
        <c:manualLayout>
          <c:xMode val="edge"/>
          <c:yMode val="edge"/>
          <c:x val="2.2078917306029257E-2"/>
          <c:y val="0.88308949723253505"/>
          <c:w val="0.9475604707248183"/>
          <c:h val="0.10309357703344078"/>
        </c:manualLayout>
      </c:layout>
      <c:overlay val="0"/>
      <c:spPr>
        <a:noFill/>
        <a:ln w="6350">
          <a:solidFill>
            <a:schemeClr val="tx1">
              <a:lumMod val="95000"/>
              <a:lumOff val="5000"/>
            </a:schemeClr>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836335505582157E-2"/>
          <c:y val="1.8972434145213712E-2"/>
          <c:w val="0.93333328006909433"/>
          <c:h val="0.81655528810194067"/>
        </c:manualLayout>
      </c:layout>
      <c:barChart>
        <c:barDir val="col"/>
        <c:grouping val="clustered"/>
        <c:varyColors val="0"/>
        <c:ser>
          <c:idx val="6"/>
          <c:order val="6"/>
          <c:tx>
            <c:strRef>
              <c:f>'GRAF-3-difenciace'!$H$32</c:f>
              <c:strCache>
                <c:ptCount val="1"/>
                <c:pt idx="0">
                  <c:v>Variační koef. (pr. osa)</c:v>
                </c:pt>
              </c:strCache>
            </c:strRef>
          </c:tx>
          <c:spPr>
            <a:solidFill>
              <a:srgbClr val="ECEADC"/>
            </a:solidFill>
            <a:ln>
              <a:noFill/>
            </a:ln>
            <a:effectLst/>
          </c:spPr>
          <c:invertIfNegative val="0"/>
          <c:cat>
            <c:numRef>
              <c:f>'GRAF-3-difenciace'!$A$33:$A$39</c:f>
              <c:numCache>
                <c:formatCode>General</c:formatCode>
                <c:ptCount val="7"/>
                <c:pt idx="0">
                  <c:v>2012</c:v>
                </c:pt>
                <c:pt idx="1">
                  <c:v>2013</c:v>
                </c:pt>
                <c:pt idx="2">
                  <c:v>2014</c:v>
                </c:pt>
                <c:pt idx="3">
                  <c:v>2015</c:v>
                </c:pt>
                <c:pt idx="4">
                  <c:v>2016</c:v>
                </c:pt>
                <c:pt idx="5">
                  <c:v>2017</c:v>
                </c:pt>
                <c:pt idx="6">
                  <c:v>2018</c:v>
                </c:pt>
              </c:numCache>
            </c:numRef>
          </c:cat>
          <c:val>
            <c:numRef>
              <c:f>'GRAF-3-difenciace'!$H$33:$H$39</c:f>
              <c:numCache>
                <c:formatCode>0.00_ ;[Red]\-0.00\ </c:formatCode>
                <c:ptCount val="7"/>
                <c:pt idx="0">
                  <c:v>86.74</c:v>
                </c:pt>
                <c:pt idx="1">
                  <c:v>79.97</c:v>
                </c:pt>
                <c:pt idx="2">
                  <c:v>80.42</c:v>
                </c:pt>
                <c:pt idx="3">
                  <c:v>78.92</c:v>
                </c:pt>
                <c:pt idx="4">
                  <c:v>76.52</c:v>
                </c:pt>
                <c:pt idx="5">
                  <c:v>74.430000000000007</c:v>
                </c:pt>
                <c:pt idx="6">
                  <c:v>72.850000000000009</c:v>
                </c:pt>
              </c:numCache>
            </c:numRef>
          </c:val>
          <c:extLst>
            <c:ext xmlns:c16="http://schemas.microsoft.com/office/drawing/2014/chart" uri="{C3380CC4-5D6E-409C-BE32-E72D297353CC}">
              <c16:uniqueId val="{00000000-3F89-4CCD-B30F-72B9D38F994B}"/>
            </c:ext>
          </c:extLst>
        </c:ser>
        <c:dLbls>
          <c:showLegendKey val="0"/>
          <c:showVal val="0"/>
          <c:showCatName val="0"/>
          <c:showSerName val="0"/>
          <c:showPercent val="0"/>
          <c:showBubbleSize val="0"/>
        </c:dLbls>
        <c:gapWidth val="150"/>
        <c:axId val="105057280"/>
        <c:axId val="105055744"/>
      </c:barChart>
      <c:lineChart>
        <c:grouping val="standard"/>
        <c:varyColors val="0"/>
        <c:ser>
          <c:idx val="0"/>
          <c:order val="0"/>
          <c:tx>
            <c:strRef>
              <c:f>'GRAF-3-difenciace'!$B$32</c:f>
              <c:strCache>
                <c:ptCount val="1"/>
                <c:pt idx="0">
                  <c:v>5. percentil</c:v>
                </c:pt>
              </c:strCache>
            </c:strRef>
          </c:tx>
          <c:spPr>
            <a:ln w="15875" cap="rnd">
              <a:solidFill>
                <a:srgbClr val="BD1B21"/>
              </a:solidFill>
              <a:prstDash val="solid"/>
              <a:round/>
            </a:ln>
            <a:effectLst/>
          </c:spPr>
          <c:marker>
            <c:symbol val="none"/>
          </c:marker>
          <c:cat>
            <c:numRef>
              <c:f>'GRAF-3-difenciace'!$A$33:$A$39</c:f>
              <c:numCache>
                <c:formatCode>General</c:formatCode>
                <c:ptCount val="7"/>
                <c:pt idx="0">
                  <c:v>2012</c:v>
                </c:pt>
                <c:pt idx="1">
                  <c:v>2013</c:v>
                </c:pt>
                <c:pt idx="2">
                  <c:v>2014</c:v>
                </c:pt>
                <c:pt idx="3">
                  <c:v>2015</c:v>
                </c:pt>
                <c:pt idx="4">
                  <c:v>2016</c:v>
                </c:pt>
                <c:pt idx="5">
                  <c:v>2017</c:v>
                </c:pt>
                <c:pt idx="6">
                  <c:v>2018</c:v>
                </c:pt>
              </c:numCache>
            </c:numRef>
          </c:cat>
          <c:val>
            <c:numRef>
              <c:f>'GRAF-3-difenciace'!$B$33:$B$39</c:f>
              <c:numCache>
                <c:formatCode>0.0</c:formatCode>
                <c:ptCount val="7"/>
                <c:pt idx="0">
                  <c:v>0.52482842147757935</c:v>
                </c:pt>
                <c:pt idx="1">
                  <c:v>1.7168674698795172</c:v>
                </c:pt>
                <c:pt idx="2">
                  <c:v>1.7471128220313972</c:v>
                </c:pt>
                <c:pt idx="3">
                  <c:v>3.6961583236321189</c:v>
                </c:pt>
                <c:pt idx="4">
                  <c:v>7.184956497333701</c:v>
                </c:pt>
                <c:pt idx="5">
                  <c:v>7.419045125250932</c:v>
                </c:pt>
                <c:pt idx="6">
                  <c:v>12.009425530186064</c:v>
                </c:pt>
              </c:numCache>
            </c:numRef>
          </c:val>
          <c:smooth val="0"/>
          <c:extLst>
            <c:ext xmlns:c16="http://schemas.microsoft.com/office/drawing/2014/chart" uri="{C3380CC4-5D6E-409C-BE32-E72D297353CC}">
              <c16:uniqueId val="{00000001-3F89-4CCD-B30F-72B9D38F994B}"/>
            </c:ext>
          </c:extLst>
        </c:ser>
        <c:ser>
          <c:idx val="1"/>
          <c:order val="1"/>
          <c:tx>
            <c:strRef>
              <c:f>'GRAF-3-difenciace'!$C$32</c:f>
              <c:strCache>
                <c:ptCount val="1"/>
                <c:pt idx="0">
                  <c:v>1. kvartil</c:v>
                </c:pt>
              </c:strCache>
            </c:strRef>
          </c:tx>
          <c:spPr>
            <a:ln w="15875" cap="rnd">
              <a:solidFill>
                <a:schemeClr val="accent2"/>
              </a:solidFill>
              <a:prstDash val="sysDash"/>
              <a:round/>
            </a:ln>
            <a:effectLst/>
          </c:spPr>
          <c:marker>
            <c:symbol val="none"/>
          </c:marker>
          <c:cat>
            <c:numRef>
              <c:f>'GRAF-3-difenciace'!$A$33:$A$39</c:f>
              <c:numCache>
                <c:formatCode>General</c:formatCode>
                <c:ptCount val="7"/>
                <c:pt idx="0">
                  <c:v>2012</c:v>
                </c:pt>
                <c:pt idx="1">
                  <c:v>2013</c:v>
                </c:pt>
                <c:pt idx="2">
                  <c:v>2014</c:v>
                </c:pt>
                <c:pt idx="3">
                  <c:v>2015</c:v>
                </c:pt>
                <c:pt idx="4">
                  <c:v>2016</c:v>
                </c:pt>
                <c:pt idx="5">
                  <c:v>2017</c:v>
                </c:pt>
                <c:pt idx="6">
                  <c:v>2018</c:v>
                </c:pt>
              </c:numCache>
            </c:numRef>
          </c:cat>
          <c:val>
            <c:numRef>
              <c:f>'GRAF-3-difenciace'!$C$33:$C$39</c:f>
              <c:numCache>
                <c:formatCode>0.0</c:formatCode>
                <c:ptCount val="7"/>
                <c:pt idx="0">
                  <c:v>0.62578222778472536</c:v>
                </c:pt>
                <c:pt idx="1">
                  <c:v>0.91417910447762551</c:v>
                </c:pt>
                <c:pt idx="2">
                  <c:v>2.206199543969916</c:v>
                </c:pt>
                <c:pt idx="3">
                  <c:v>3.2137473620741588</c:v>
                </c:pt>
                <c:pt idx="4">
                  <c:v>7.0802663862600639</c:v>
                </c:pt>
                <c:pt idx="5">
                  <c:v>7.3322422258592468</c:v>
                </c:pt>
                <c:pt idx="6">
                  <c:v>7.8021754599979687</c:v>
                </c:pt>
              </c:numCache>
            </c:numRef>
          </c:val>
          <c:smooth val="0"/>
          <c:extLst>
            <c:ext xmlns:c16="http://schemas.microsoft.com/office/drawing/2014/chart" uri="{C3380CC4-5D6E-409C-BE32-E72D297353CC}">
              <c16:uniqueId val="{00000002-3F89-4CCD-B30F-72B9D38F994B}"/>
            </c:ext>
          </c:extLst>
        </c:ser>
        <c:ser>
          <c:idx val="2"/>
          <c:order val="2"/>
          <c:tx>
            <c:strRef>
              <c:f>'GRAF-3-difenciace'!$D$32</c:f>
              <c:strCache>
                <c:ptCount val="1"/>
                <c:pt idx="0">
                  <c:v>Medián</c:v>
                </c:pt>
              </c:strCache>
            </c:strRef>
          </c:tx>
          <c:spPr>
            <a:ln w="28575" cap="rnd">
              <a:noFill/>
              <a:round/>
            </a:ln>
            <a:effectLst/>
          </c:spPr>
          <c:marker>
            <c:symbol val="circle"/>
            <c:size val="7"/>
            <c:spPr>
              <a:solidFill>
                <a:schemeClr val="tx1">
                  <a:lumMod val="95000"/>
                  <a:lumOff val="5000"/>
                </a:schemeClr>
              </a:solidFill>
              <a:ln w="9525">
                <a:solidFill>
                  <a:schemeClr val="accent3"/>
                </a:solidFill>
              </a:ln>
              <a:effectLst/>
            </c:spPr>
          </c:marker>
          <c:cat>
            <c:numRef>
              <c:f>'GRAF-3-difenciace'!$A$33:$A$39</c:f>
              <c:numCache>
                <c:formatCode>General</c:formatCode>
                <c:ptCount val="7"/>
                <c:pt idx="0">
                  <c:v>2012</c:v>
                </c:pt>
                <c:pt idx="1">
                  <c:v>2013</c:v>
                </c:pt>
                <c:pt idx="2">
                  <c:v>2014</c:v>
                </c:pt>
                <c:pt idx="3">
                  <c:v>2015</c:v>
                </c:pt>
                <c:pt idx="4">
                  <c:v>2016</c:v>
                </c:pt>
                <c:pt idx="5">
                  <c:v>2017</c:v>
                </c:pt>
                <c:pt idx="6">
                  <c:v>2018</c:v>
                </c:pt>
              </c:numCache>
            </c:numRef>
          </c:cat>
          <c:val>
            <c:numRef>
              <c:f>'GRAF-3-difenciace'!$D$33:$D$39</c:f>
              <c:numCache>
                <c:formatCode>0.0</c:formatCode>
                <c:ptCount val="7"/>
                <c:pt idx="0">
                  <c:v>0.98705353043797572</c:v>
                </c:pt>
                <c:pt idx="1">
                  <c:v>1.2228940310042162</c:v>
                </c:pt>
                <c:pt idx="2">
                  <c:v>2.5958861043743724</c:v>
                </c:pt>
                <c:pt idx="3">
                  <c:v>3.8609700577832342</c:v>
                </c:pt>
                <c:pt idx="4">
                  <c:v>5.2937705470791627</c:v>
                </c:pt>
                <c:pt idx="5">
                  <c:v>7.4493635417500599</c:v>
                </c:pt>
                <c:pt idx="6">
                  <c:v>8.7210818462913835</c:v>
                </c:pt>
              </c:numCache>
            </c:numRef>
          </c:val>
          <c:smooth val="0"/>
          <c:extLst>
            <c:ext xmlns:c16="http://schemas.microsoft.com/office/drawing/2014/chart" uri="{C3380CC4-5D6E-409C-BE32-E72D297353CC}">
              <c16:uniqueId val="{00000003-3F89-4CCD-B30F-72B9D38F994B}"/>
            </c:ext>
          </c:extLst>
        </c:ser>
        <c:ser>
          <c:idx val="3"/>
          <c:order val="3"/>
          <c:tx>
            <c:strRef>
              <c:f>'GRAF-3-difenciace'!$E$32</c:f>
              <c:strCache>
                <c:ptCount val="1"/>
                <c:pt idx="0">
                  <c:v>Průměr</c:v>
                </c:pt>
              </c:strCache>
            </c:strRef>
          </c:tx>
          <c:spPr>
            <a:ln w="28575" cap="rnd">
              <a:noFill/>
              <a:round/>
            </a:ln>
            <a:effectLst/>
          </c:spPr>
          <c:marker>
            <c:symbol val="circle"/>
            <c:size val="7"/>
            <c:spPr>
              <a:solidFill>
                <a:schemeClr val="bg1"/>
              </a:solidFill>
              <a:ln w="9525">
                <a:solidFill>
                  <a:schemeClr val="tx1">
                    <a:lumMod val="95000"/>
                    <a:lumOff val="5000"/>
                  </a:schemeClr>
                </a:solidFill>
              </a:ln>
              <a:effectLst/>
            </c:spPr>
          </c:marker>
          <c:cat>
            <c:numRef>
              <c:f>'GRAF-3-difenciace'!$A$33:$A$39</c:f>
              <c:numCache>
                <c:formatCode>General</c:formatCode>
                <c:ptCount val="7"/>
                <c:pt idx="0">
                  <c:v>2012</c:v>
                </c:pt>
                <c:pt idx="1">
                  <c:v>2013</c:v>
                </c:pt>
                <c:pt idx="2">
                  <c:v>2014</c:v>
                </c:pt>
                <c:pt idx="3">
                  <c:v>2015</c:v>
                </c:pt>
                <c:pt idx="4">
                  <c:v>2016</c:v>
                </c:pt>
                <c:pt idx="5">
                  <c:v>2017</c:v>
                </c:pt>
                <c:pt idx="6">
                  <c:v>2018</c:v>
                </c:pt>
              </c:numCache>
            </c:numRef>
          </c:cat>
          <c:val>
            <c:numRef>
              <c:f>'GRAF-3-difenciace'!$E$33:$E$39</c:f>
              <c:numCache>
                <c:formatCode>0.0</c:formatCode>
                <c:ptCount val="7"/>
                <c:pt idx="0">
                  <c:v>1.5921951219512067</c:v>
                </c:pt>
                <c:pt idx="1">
                  <c:v>0.68374755118503572</c:v>
                </c:pt>
                <c:pt idx="2">
                  <c:v>2.2547785280988961</c:v>
                </c:pt>
                <c:pt idx="3">
                  <c:v>3.7646444295201746</c:v>
                </c:pt>
                <c:pt idx="4">
                  <c:v>4.476645931465967</c:v>
                </c:pt>
                <c:pt idx="5">
                  <c:v>7.0656662995594672</c:v>
                </c:pt>
                <c:pt idx="6">
                  <c:v>8.2773473914301405</c:v>
                </c:pt>
              </c:numCache>
            </c:numRef>
          </c:val>
          <c:smooth val="0"/>
          <c:extLst>
            <c:ext xmlns:c16="http://schemas.microsoft.com/office/drawing/2014/chart" uri="{C3380CC4-5D6E-409C-BE32-E72D297353CC}">
              <c16:uniqueId val="{00000004-3F89-4CCD-B30F-72B9D38F994B}"/>
            </c:ext>
          </c:extLst>
        </c:ser>
        <c:ser>
          <c:idx val="4"/>
          <c:order val="4"/>
          <c:tx>
            <c:strRef>
              <c:f>'GRAF-3-difenciace'!$F$32</c:f>
              <c:strCache>
                <c:ptCount val="1"/>
                <c:pt idx="0">
                  <c:v>3. kvartil</c:v>
                </c:pt>
              </c:strCache>
            </c:strRef>
          </c:tx>
          <c:spPr>
            <a:ln w="15875" cap="rnd">
              <a:solidFill>
                <a:schemeClr val="accent5"/>
              </a:solidFill>
              <a:prstDash val="sysDash"/>
              <a:round/>
            </a:ln>
            <a:effectLst/>
          </c:spPr>
          <c:marker>
            <c:symbol val="none"/>
          </c:marker>
          <c:cat>
            <c:numRef>
              <c:f>'GRAF-3-difenciace'!$A$33:$A$39</c:f>
              <c:numCache>
                <c:formatCode>General</c:formatCode>
                <c:ptCount val="7"/>
                <c:pt idx="0">
                  <c:v>2012</c:v>
                </c:pt>
                <c:pt idx="1">
                  <c:v>2013</c:v>
                </c:pt>
                <c:pt idx="2">
                  <c:v>2014</c:v>
                </c:pt>
                <c:pt idx="3">
                  <c:v>2015</c:v>
                </c:pt>
                <c:pt idx="4">
                  <c:v>2016</c:v>
                </c:pt>
                <c:pt idx="5">
                  <c:v>2017</c:v>
                </c:pt>
                <c:pt idx="6">
                  <c:v>2018</c:v>
                </c:pt>
              </c:numCache>
            </c:numRef>
          </c:cat>
          <c:val>
            <c:numRef>
              <c:f>'GRAF-3-difenciace'!$F$33:$F$39</c:f>
              <c:numCache>
                <c:formatCode>0.0</c:formatCode>
                <c:ptCount val="7"/>
                <c:pt idx="0">
                  <c:v>1.0723768145926016</c:v>
                </c:pt>
                <c:pt idx="1">
                  <c:v>1.429448689956331</c:v>
                </c:pt>
                <c:pt idx="2">
                  <c:v>2.3039924657764601</c:v>
                </c:pt>
                <c:pt idx="3">
                  <c:v>4.4154392425039362</c:v>
                </c:pt>
                <c:pt idx="4">
                  <c:v>4.2885481280896727</c:v>
                </c:pt>
                <c:pt idx="5">
                  <c:v>7.3337157694514161</c:v>
                </c:pt>
                <c:pt idx="6">
                  <c:v>8.5372714486638586</c:v>
                </c:pt>
              </c:numCache>
            </c:numRef>
          </c:val>
          <c:smooth val="0"/>
          <c:extLst>
            <c:ext xmlns:c16="http://schemas.microsoft.com/office/drawing/2014/chart" uri="{C3380CC4-5D6E-409C-BE32-E72D297353CC}">
              <c16:uniqueId val="{00000005-3F89-4CCD-B30F-72B9D38F994B}"/>
            </c:ext>
          </c:extLst>
        </c:ser>
        <c:ser>
          <c:idx val="5"/>
          <c:order val="5"/>
          <c:tx>
            <c:strRef>
              <c:f>'GRAF-3-difenciace'!$G$32</c:f>
              <c:strCache>
                <c:ptCount val="1"/>
                <c:pt idx="0">
                  <c:v>95. percentil</c:v>
                </c:pt>
              </c:strCache>
            </c:strRef>
          </c:tx>
          <c:spPr>
            <a:ln w="15875" cap="rnd">
              <a:solidFill>
                <a:srgbClr val="0071BC"/>
              </a:solidFill>
              <a:round/>
            </a:ln>
            <a:effectLst/>
          </c:spPr>
          <c:marker>
            <c:symbol val="none"/>
          </c:marker>
          <c:cat>
            <c:numRef>
              <c:f>'GRAF-3-difenciace'!$A$33:$A$39</c:f>
              <c:numCache>
                <c:formatCode>General</c:formatCode>
                <c:ptCount val="7"/>
                <c:pt idx="0">
                  <c:v>2012</c:v>
                </c:pt>
                <c:pt idx="1">
                  <c:v>2013</c:v>
                </c:pt>
                <c:pt idx="2">
                  <c:v>2014</c:v>
                </c:pt>
                <c:pt idx="3">
                  <c:v>2015</c:v>
                </c:pt>
                <c:pt idx="4">
                  <c:v>2016</c:v>
                </c:pt>
                <c:pt idx="5">
                  <c:v>2017</c:v>
                </c:pt>
                <c:pt idx="6">
                  <c:v>2018</c:v>
                </c:pt>
              </c:numCache>
            </c:numRef>
          </c:cat>
          <c:val>
            <c:numRef>
              <c:f>'GRAF-3-difenciace'!$G$33:$G$39</c:f>
              <c:numCache>
                <c:formatCode>0.0</c:formatCode>
                <c:ptCount val="7"/>
                <c:pt idx="0">
                  <c:v>3.2366418142280224</c:v>
                </c:pt>
                <c:pt idx="1">
                  <c:v>0.92343570743449277</c:v>
                </c:pt>
                <c:pt idx="2">
                  <c:v>2.0256419812902919</c:v>
                </c:pt>
                <c:pt idx="3">
                  <c:v>3.5434437158669709</c:v>
                </c:pt>
                <c:pt idx="4">
                  <c:v>3.1858032422515663</c:v>
                </c:pt>
                <c:pt idx="5">
                  <c:v>6.3800324814086622</c:v>
                </c:pt>
                <c:pt idx="6">
                  <c:v>7.3312227811078685</c:v>
                </c:pt>
              </c:numCache>
            </c:numRef>
          </c:val>
          <c:smooth val="0"/>
          <c:extLst>
            <c:ext xmlns:c16="http://schemas.microsoft.com/office/drawing/2014/chart" uri="{C3380CC4-5D6E-409C-BE32-E72D297353CC}">
              <c16:uniqueId val="{00000006-3F89-4CCD-B30F-72B9D38F994B}"/>
            </c:ext>
          </c:extLst>
        </c:ser>
        <c:dLbls>
          <c:showLegendKey val="0"/>
          <c:showVal val="0"/>
          <c:showCatName val="0"/>
          <c:showSerName val="0"/>
          <c:showPercent val="0"/>
          <c:showBubbleSize val="0"/>
        </c:dLbls>
        <c:marker val="1"/>
        <c:smooth val="0"/>
        <c:axId val="105031936"/>
        <c:axId val="105054208"/>
      </c:lineChart>
      <c:catAx>
        <c:axId val="105031936"/>
        <c:scaling>
          <c:orientation val="minMax"/>
        </c:scaling>
        <c:delete val="0"/>
        <c:axPos val="b"/>
        <c:numFmt formatCode="General" sourceLinked="1"/>
        <c:majorTickMark val="none"/>
        <c:minorTickMark val="none"/>
        <c:tickLblPos val="nextTo"/>
        <c:spPr>
          <a:noFill/>
          <a:ln w="6350" cap="flat" cmpd="sng" algn="ctr">
            <a:solidFill>
              <a:schemeClr val="tx1">
                <a:lumMod val="95000"/>
                <a:lumOff val="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054208"/>
        <c:crosses val="autoZero"/>
        <c:auto val="1"/>
        <c:lblAlgn val="ctr"/>
        <c:lblOffset val="0"/>
        <c:noMultiLvlLbl val="0"/>
      </c:catAx>
      <c:valAx>
        <c:axId val="105054208"/>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031936"/>
        <c:crosses val="autoZero"/>
        <c:crossBetween val="between"/>
        <c:majorUnit val="1"/>
      </c:valAx>
      <c:valAx>
        <c:axId val="105055744"/>
        <c:scaling>
          <c:orientation val="minMax"/>
          <c:max val="90"/>
          <c:min val="0"/>
        </c:scaling>
        <c:delete val="0"/>
        <c:axPos val="r"/>
        <c:numFmt formatCode="0_ ;[Red]\-0\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05057280"/>
        <c:crosses val="max"/>
        <c:crossBetween val="between"/>
      </c:valAx>
      <c:catAx>
        <c:axId val="105057280"/>
        <c:scaling>
          <c:orientation val="minMax"/>
        </c:scaling>
        <c:delete val="1"/>
        <c:axPos val="b"/>
        <c:numFmt formatCode="General" sourceLinked="1"/>
        <c:majorTickMark val="out"/>
        <c:minorTickMark val="none"/>
        <c:tickLblPos val="nextTo"/>
        <c:crossAx val="105055744"/>
        <c:crosses val="autoZero"/>
        <c:auto val="1"/>
        <c:lblAlgn val="ctr"/>
        <c:lblOffset val="100"/>
        <c:noMultiLvlLbl val="0"/>
      </c:catAx>
      <c:spPr>
        <a:noFill/>
        <a:ln w="6350">
          <a:solidFill>
            <a:schemeClr val="tx1">
              <a:lumMod val="95000"/>
              <a:lumOff val="5000"/>
            </a:schemeClr>
          </a:solidFill>
        </a:ln>
        <a:effectLst/>
      </c:spPr>
    </c:plotArea>
    <c:legend>
      <c:legendPos val="b"/>
      <c:layout>
        <c:manualLayout>
          <c:xMode val="edge"/>
          <c:yMode val="edge"/>
          <c:x val="3.9846603614775856E-2"/>
          <c:y val="0.88308949723253505"/>
          <c:w val="0.94742033952417082"/>
          <c:h val="0.10428732677845323"/>
        </c:manualLayout>
      </c:layout>
      <c:overlay val="0"/>
      <c:spPr>
        <a:noFill/>
        <a:ln w="6350">
          <a:solidFill>
            <a:schemeClr val="tx1">
              <a:lumMod val="95000"/>
              <a:lumOff val="5000"/>
            </a:schemeClr>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796728578380299E-2"/>
          <c:y val="1.7405473664150642E-2"/>
          <c:w val="0.88254147906497016"/>
          <c:h val="0.83121454768920444"/>
        </c:manualLayout>
      </c:layout>
      <c:barChart>
        <c:barDir val="col"/>
        <c:grouping val="clustered"/>
        <c:varyColors val="0"/>
        <c:ser>
          <c:idx val="0"/>
          <c:order val="0"/>
          <c:tx>
            <c:strRef>
              <c:f>'[Publ.-Grafy-Struktura mezd zam-2012-2018.xlsx]GRAF-4-doba+zaklad mzda'!$C$62</c:f>
              <c:strCache>
                <c:ptCount val="1"/>
                <c:pt idx="0">
                  <c:v>Medián (všichni zaměstnanci = 100)</c:v>
                </c:pt>
              </c:strCache>
            </c:strRef>
          </c:tx>
          <c:spPr>
            <a:solidFill>
              <a:srgbClr val="0071BC"/>
            </a:solidFill>
            <a:ln>
              <a:noFill/>
            </a:ln>
            <a:effectLst/>
          </c:spPr>
          <c:invertIfNegative val="0"/>
          <c:dPt>
            <c:idx val="0"/>
            <c:invertIfNegative val="0"/>
            <c:bubble3D val="0"/>
            <c:spPr>
              <a:solidFill>
                <a:srgbClr val="7030A0"/>
              </a:solidFill>
              <a:ln>
                <a:noFill/>
              </a:ln>
              <a:effectLst/>
            </c:spPr>
            <c:extLst>
              <c:ext xmlns:c16="http://schemas.microsoft.com/office/drawing/2014/chart" uri="{C3380CC4-5D6E-409C-BE32-E72D297353CC}">
                <c16:uniqueId val="{00000001-1B2A-494D-ABD1-5C632CD1149A}"/>
              </c:ext>
            </c:extLst>
          </c:dPt>
          <c:dPt>
            <c:idx val="1"/>
            <c:invertIfNegative val="0"/>
            <c:bubble3D val="0"/>
            <c:spPr>
              <a:solidFill>
                <a:srgbClr val="9954CC"/>
              </a:solidFill>
              <a:ln>
                <a:noFill/>
              </a:ln>
              <a:effectLst/>
            </c:spPr>
            <c:extLst>
              <c:ext xmlns:c16="http://schemas.microsoft.com/office/drawing/2014/chart" uri="{C3380CC4-5D6E-409C-BE32-E72D297353CC}">
                <c16:uniqueId val="{00000003-1B2A-494D-ABD1-5C632CD1149A}"/>
              </c:ext>
            </c:extLst>
          </c:dPt>
          <c:dPt>
            <c:idx val="2"/>
            <c:invertIfNegative val="0"/>
            <c:bubble3D val="0"/>
            <c:spPr>
              <a:solidFill>
                <a:srgbClr val="B685DB"/>
              </a:solidFill>
              <a:ln>
                <a:noFill/>
              </a:ln>
              <a:effectLst/>
            </c:spPr>
            <c:extLst>
              <c:ext xmlns:c16="http://schemas.microsoft.com/office/drawing/2014/chart" uri="{C3380CC4-5D6E-409C-BE32-E72D297353CC}">
                <c16:uniqueId val="{00000005-1B2A-494D-ABD1-5C632CD1149A}"/>
              </c:ext>
            </c:extLst>
          </c:dPt>
          <c:dPt>
            <c:idx val="3"/>
            <c:invertIfNegative val="0"/>
            <c:bubble3D val="0"/>
            <c:spPr>
              <a:solidFill>
                <a:srgbClr val="D5B8EA"/>
              </a:solidFill>
              <a:ln>
                <a:noFill/>
              </a:ln>
              <a:effectLst/>
            </c:spPr>
            <c:extLst>
              <c:ext xmlns:c16="http://schemas.microsoft.com/office/drawing/2014/chart" uri="{C3380CC4-5D6E-409C-BE32-E72D297353CC}">
                <c16:uniqueId val="{00000007-1B2A-494D-ABD1-5C632CD1149A}"/>
              </c:ext>
            </c:extLst>
          </c:dPt>
          <c:dPt>
            <c:idx val="4"/>
            <c:invertIfNegative val="0"/>
            <c:bubble3D val="0"/>
            <c:spPr>
              <a:solidFill>
                <a:srgbClr val="71C6FF"/>
              </a:solidFill>
              <a:ln>
                <a:noFill/>
              </a:ln>
              <a:effectLst/>
            </c:spPr>
            <c:extLst>
              <c:ext xmlns:c16="http://schemas.microsoft.com/office/drawing/2014/chart" uri="{C3380CC4-5D6E-409C-BE32-E72D297353CC}">
                <c16:uniqueId val="{00000009-1B2A-494D-ABD1-5C632CD1149A}"/>
              </c:ext>
            </c:extLst>
          </c:dPt>
          <c:dPt>
            <c:idx val="5"/>
            <c:invertIfNegative val="0"/>
            <c:bubble3D val="0"/>
            <c:spPr>
              <a:solidFill>
                <a:srgbClr val="25A7FF"/>
              </a:solidFill>
              <a:ln>
                <a:noFill/>
              </a:ln>
              <a:effectLst/>
            </c:spPr>
            <c:extLst>
              <c:ext xmlns:c16="http://schemas.microsoft.com/office/drawing/2014/chart" uri="{C3380CC4-5D6E-409C-BE32-E72D297353CC}">
                <c16:uniqueId val="{0000000B-1B2A-494D-ABD1-5C632CD1149A}"/>
              </c:ext>
            </c:extLst>
          </c:dPt>
          <c:dPt>
            <c:idx val="8"/>
            <c:invertIfNegative val="0"/>
            <c:bubble3D val="0"/>
            <c:spPr>
              <a:solidFill>
                <a:srgbClr val="7030A0"/>
              </a:solidFill>
              <a:ln>
                <a:noFill/>
              </a:ln>
              <a:effectLst/>
            </c:spPr>
            <c:extLst>
              <c:ext xmlns:c16="http://schemas.microsoft.com/office/drawing/2014/chart" uri="{C3380CC4-5D6E-409C-BE32-E72D297353CC}">
                <c16:uniqueId val="{0000000D-1B2A-494D-ABD1-5C632CD1149A}"/>
              </c:ext>
            </c:extLst>
          </c:dPt>
          <c:dPt>
            <c:idx val="9"/>
            <c:invertIfNegative val="0"/>
            <c:bubble3D val="0"/>
            <c:spPr>
              <a:solidFill>
                <a:srgbClr val="9954CC"/>
              </a:solidFill>
              <a:ln>
                <a:noFill/>
              </a:ln>
              <a:effectLst/>
            </c:spPr>
            <c:extLst>
              <c:ext xmlns:c16="http://schemas.microsoft.com/office/drawing/2014/chart" uri="{C3380CC4-5D6E-409C-BE32-E72D297353CC}">
                <c16:uniqueId val="{0000000F-1B2A-494D-ABD1-5C632CD1149A}"/>
              </c:ext>
            </c:extLst>
          </c:dPt>
          <c:dPt>
            <c:idx val="10"/>
            <c:invertIfNegative val="0"/>
            <c:bubble3D val="0"/>
            <c:spPr>
              <a:solidFill>
                <a:srgbClr val="B685DB"/>
              </a:solidFill>
              <a:ln>
                <a:noFill/>
              </a:ln>
              <a:effectLst/>
            </c:spPr>
            <c:extLst>
              <c:ext xmlns:c16="http://schemas.microsoft.com/office/drawing/2014/chart" uri="{C3380CC4-5D6E-409C-BE32-E72D297353CC}">
                <c16:uniqueId val="{00000011-1B2A-494D-ABD1-5C632CD1149A}"/>
              </c:ext>
            </c:extLst>
          </c:dPt>
          <c:dPt>
            <c:idx val="11"/>
            <c:invertIfNegative val="0"/>
            <c:bubble3D val="0"/>
            <c:spPr>
              <a:solidFill>
                <a:srgbClr val="D5B8EA"/>
              </a:solidFill>
              <a:ln>
                <a:noFill/>
              </a:ln>
              <a:effectLst/>
            </c:spPr>
            <c:extLst>
              <c:ext xmlns:c16="http://schemas.microsoft.com/office/drawing/2014/chart" uri="{C3380CC4-5D6E-409C-BE32-E72D297353CC}">
                <c16:uniqueId val="{00000013-1B2A-494D-ABD1-5C632CD1149A}"/>
              </c:ext>
            </c:extLst>
          </c:dPt>
          <c:dPt>
            <c:idx val="12"/>
            <c:invertIfNegative val="0"/>
            <c:bubble3D val="0"/>
            <c:spPr>
              <a:solidFill>
                <a:srgbClr val="71C6FF"/>
              </a:solidFill>
              <a:ln>
                <a:noFill/>
              </a:ln>
              <a:effectLst/>
            </c:spPr>
            <c:extLst>
              <c:ext xmlns:c16="http://schemas.microsoft.com/office/drawing/2014/chart" uri="{C3380CC4-5D6E-409C-BE32-E72D297353CC}">
                <c16:uniqueId val="{00000015-1B2A-494D-ABD1-5C632CD1149A}"/>
              </c:ext>
            </c:extLst>
          </c:dPt>
          <c:dPt>
            <c:idx val="13"/>
            <c:invertIfNegative val="0"/>
            <c:bubble3D val="0"/>
            <c:spPr>
              <a:solidFill>
                <a:srgbClr val="25A7FF"/>
              </a:solidFill>
              <a:ln>
                <a:noFill/>
              </a:ln>
              <a:effectLst/>
            </c:spPr>
            <c:extLst>
              <c:ext xmlns:c16="http://schemas.microsoft.com/office/drawing/2014/chart" uri="{C3380CC4-5D6E-409C-BE32-E72D297353CC}">
                <c16:uniqueId val="{00000017-1B2A-494D-ABD1-5C632CD1149A}"/>
              </c:ext>
            </c:extLst>
          </c:dPt>
          <c:dPt>
            <c:idx val="16"/>
            <c:invertIfNegative val="0"/>
            <c:bubble3D val="0"/>
            <c:spPr>
              <a:solidFill>
                <a:srgbClr val="7030A0"/>
              </a:solidFill>
              <a:ln>
                <a:noFill/>
              </a:ln>
              <a:effectLst/>
            </c:spPr>
            <c:extLst>
              <c:ext xmlns:c16="http://schemas.microsoft.com/office/drawing/2014/chart" uri="{C3380CC4-5D6E-409C-BE32-E72D297353CC}">
                <c16:uniqueId val="{00000019-1B2A-494D-ABD1-5C632CD1149A}"/>
              </c:ext>
            </c:extLst>
          </c:dPt>
          <c:dPt>
            <c:idx val="17"/>
            <c:invertIfNegative val="0"/>
            <c:bubble3D val="0"/>
            <c:spPr>
              <a:solidFill>
                <a:srgbClr val="9954CC"/>
              </a:solidFill>
              <a:ln>
                <a:noFill/>
              </a:ln>
              <a:effectLst/>
            </c:spPr>
            <c:extLst>
              <c:ext xmlns:c16="http://schemas.microsoft.com/office/drawing/2014/chart" uri="{C3380CC4-5D6E-409C-BE32-E72D297353CC}">
                <c16:uniqueId val="{0000001B-1B2A-494D-ABD1-5C632CD1149A}"/>
              </c:ext>
            </c:extLst>
          </c:dPt>
          <c:dPt>
            <c:idx val="18"/>
            <c:invertIfNegative val="0"/>
            <c:bubble3D val="0"/>
            <c:spPr>
              <a:solidFill>
                <a:srgbClr val="B685DB"/>
              </a:solidFill>
              <a:ln>
                <a:noFill/>
              </a:ln>
              <a:effectLst/>
            </c:spPr>
            <c:extLst>
              <c:ext xmlns:c16="http://schemas.microsoft.com/office/drawing/2014/chart" uri="{C3380CC4-5D6E-409C-BE32-E72D297353CC}">
                <c16:uniqueId val="{0000001D-1B2A-494D-ABD1-5C632CD1149A}"/>
              </c:ext>
            </c:extLst>
          </c:dPt>
          <c:dPt>
            <c:idx val="19"/>
            <c:invertIfNegative val="0"/>
            <c:bubble3D val="0"/>
            <c:spPr>
              <a:solidFill>
                <a:srgbClr val="D5B8EA"/>
              </a:solidFill>
              <a:ln>
                <a:noFill/>
              </a:ln>
              <a:effectLst/>
            </c:spPr>
            <c:extLst>
              <c:ext xmlns:c16="http://schemas.microsoft.com/office/drawing/2014/chart" uri="{C3380CC4-5D6E-409C-BE32-E72D297353CC}">
                <c16:uniqueId val="{0000001F-1B2A-494D-ABD1-5C632CD1149A}"/>
              </c:ext>
            </c:extLst>
          </c:dPt>
          <c:dPt>
            <c:idx val="20"/>
            <c:invertIfNegative val="0"/>
            <c:bubble3D val="0"/>
            <c:spPr>
              <a:solidFill>
                <a:srgbClr val="71C6FF"/>
              </a:solidFill>
              <a:ln>
                <a:noFill/>
              </a:ln>
              <a:effectLst/>
            </c:spPr>
            <c:extLst>
              <c:ext xmlns:c16="http://schemas.microsoft.com/office/drawing/2014/chart" uri="{C3380CC4-5D6E-409C-BE32-E72D297353CC}">
                <c16:uniqueId val="{00000021-1B2A-494D-ABD1-5C632CD1149A}"/>
              </c:ext>
            </c:extLst>
          </c:dPt>
          <c:dPt>
            <c:idx val="21"/>
            <c:invertIfNegative val="0"/>
            <c:bubble3D val="0"/>
            <c:spPr>
              <a:solidFill>
                <a:srgbClr val="25A7FF"/>
              </a:solidFill>
              <a:ln>
                <a:noFill/>
              </a:ln>
              <a:effectLst/>
            </c:spPr>
            <c:extLst>
              <c:ext xmlns:c16="http://schemas.microsoft.com/office/drawing/2014/chart" uri="{C3380CC4-5D6E-409C-BE32-E72D297353CC}">
                <c16:uniqueId val="{00000023-1B2A-494D-ABD1-5C632CD1149A}"/>
              </c:ext>
            </c:extLst>
          </c:dPt>
          <c:dPt>
            <c:idx val="24"/>
            <c:invertIfNegative val="0"/>
            <c:bubble3D val="0"/>
            <c:spPr>
              <a:solidFill>
                <a:srgbClr val="7030A0"/>
              </a:solidFill>
              <a:ln>
                <a:noFill/>
              </a:ln>
              <a:effectLst/>
            </c:spPr>
            <c:extLst>
              <c:ext xmlns:c16="http://schemas.microsoft.com/office/drawing/2014/chart" uri="{C3380CC4-5D6E-409C-BE32-E72D297353CC}">
                <c16:uniqueId val="{00000025-1B2A-494D-ABD1-5C632CD1149A}"/>
              </c:ext>
            </c:extLst>
          </c:dPt>
          <c:dPt>
            <c:idx val="25"/>
            <c:invertIfNegative val="0"/>
            <c:bubble3D val="0"/>
            <c:spPr>
              <a:solidFill>
                <a:srgbClr val="9954CC"/>
              </a:solidFill>
              <a:ln>
                <a:noFill/>
              </a:ln>
              <a:effectLst/>
            </c:spPr>
            <c:extLst>
              <c:ext xmlns:c16="http://schemas.microsoft.com/office/drawing/2014/chart" uri="{C3380CC4-5D6E-409C-BE32-E72D297353CC}">
                <c16:uniqueId val="{00000027-1B2A-494D-ABD1-5C632CD1149A}"/>
              </c:ext>
            </c:extLst>
          </c:dPt>
          <c:dPt>
            <c:idx val="26"/>
            <c:invertIfNegative val="0"/>
            <c:bubble3D val="0"/>
            <c:spPr>
              <a:solidFill>
                <a:srgbClr val="B685DB"/>
              </a:solidFill>
              <a:ln>
                <a:noFill/>
              </a:ln>
              <a:effectLst/>
            </c:spPr>
            <c:extLst>
              <c:ext xmlns:c16="http://schemas.microsoft.com/office/drawing/2014/chart" uri="{C3380CC4-5D6E-409C-BE32-E72D297353CC}">
                <c16:uniqueId val="{00000029-1B2A-494D-ABD1-5C632CD1149A}"/>
              </c:ext>
            </c:extLst>
          </c:dPt>
          <c:dPt>
            <c:idx val="27"/>
            <c:invertIfNegative val="0"/>
            <c:bubble3D val="0"/>
            <c:spPr>
              <a:solidFill>
                <a:srgbClr val="D5B8EA"/>
              </a:solidFill>
              <a:ln>
                <a:noFill/>
              </a:ln>
              <a:effectLst/>
            </c:spPr>
            <c:extLst>
              <c:ext xmlns:c16="http://schemas.microsoft.com/office/drawing/2014/chart" uri="{C3380CC4-5D6E-409C-BE32-E72D297353CC}">
                <c16:uniqueId val="{0000002B-1B2A-494D-ABD1-5C632CD1149A}"/>
              </c:ext>
            </c:extLst>
          </c:dPt>
          <c:dPt>
            <c:idx val="28"/>
            <c:invertIfNegative val="0"/>
            <c:bubble3D val="0"/>
            <c:spPr>
              <a:solidFill>
                <a:srgbClr val="71C6FF"/>
              </a:solidFill>
              <a:ln>
                <a:noFill/>
              </a:ln>
              <a:effectLst/>
            </c:spPr>
            <c:extLst>
              <c:ext xmlns:c16="http://schemas.microsoft.com/office/drawing/2014/chart" uri="{C3380CC4-5D6E-409C-BE32-E72D297353CC}">
                <c16:uniqueId val="{0000002D-1B2A-494D-ABD1-5C632CD1149A}"/>
              </c:ext>
            </c:extLst>
          </c:dPt>
          <c:dPt>
            <c:idx val="29"/>
            <c:invertIfNegative val="0"/>
            <c:bubble3D val="0"/>
            <c:spPr>
              <a:solidFill>
                <a:srgbClr val="25A7FF"/>
              </a:solidFill>
              <a:ln>
                <a:noFill/>
              </a:ln>
              <a:effectLst/>
            </c:spPr>
            <c:extLst>
              <c:ext xmlns:c16="http://schemas.microsoft.com/office/drawing/2014/chart" uri="{C3380CC4-5D6E-409C-BE32-E72D297353CC}">
                <c16:uniqueId val="{0000002F-1B2A-494D-ABD1-5C632CD1149A}"/>
              </c:ext>
            </c:extLst>
          </c:dPt>
          <c:dPt>
            <c:idx val="32"/>
            <c:invertIfNegative val="0"/>
            <c:bubble3D val="0"/>
            <c:spPr>
              <a:solidFill>
                <a:srgbClr val="7030A0"/>
              </a:solidFill>
              <a:ln>
                <a:noFill/>
              </a:ln>
              <a:effectLst/>
            </c:spPr>
            <c:extLst>
              <c:ext xmlns:c16="http://schemas.microsoft.com/office/drawing/2014/chart" uri="{C3380CC4-5D6E-409C-BE32-E72D297353CC}">
                <c16:uniqueId val="{00000031-1B2A-494D-ABD1-5C632CD1149A}"/>
              </c:ext>
            </c:extLst>
          </c:dPt>
          <c:dPt>
            <c:idx val="33"/>
            <c:invertIfNegative val="0"/>
            <c:bubble3D val="0"/>
            <c:spPr>
              <a:solidFill>
                <a:srgbClr val="9954CC"/>
              </a:solidFill>
              <a:ln>
                <a:noFill/>
              </a:ln>
              <a:effectLst/>
            </c:spPr>
            <c:extLst>
              <c:ext xmlns:c16="http://schemas.microsoft.com/office/drawing/2014/chart" uri="{C3380CC4-5D6E-409C-BE32-E72D297353CC}">
                <c16:uniqueId val="{00000033-1B2A-494D-ABD1-5C632CD1149A}"/>
              </c:ext>
            </c:extLst>
          </c:dPt>
          <c:dPt>
            <c:idx val="34"/>
            <c:invertIfNegative val="0"/>
            <c:bubble3D val="0"/>
            <c:spPr>
              <a:solidFill>
                <a:srgbClr val="B685DB"/>
              </a:solidFill>
              <a:ln>
                <a:noFill/>
              </a:ln>
              <a:effectLst/>
            </c:spPr>
            <c:extLst>
              <c:ext xmlns:c16="http://schemas.microsoft.com/office/drawing/2014/chart" uri="{C3380CC4-5D6E-409C-BE32-E72D297353CC}">
                <c16:uniqueId val="{00000035-1B2A-494D-ABD1-5C632CD1149A}"/>
              </c:ext>
            </c:extLst>
          </c:dPt>
          <c:dPt>
            <c:idx val="35"/>
            <c:invertIfNegative val="0"/>
            <c:bubble3D val="0"/>
            <c:spPr>
              <a:solidFill>
                <a:srgbClr val="D5B8EA"/>
              </a:solidFill>
              <a:ln>
                <a:noFill/>
              </a:ln>
              <a:effectLst/>
            </c:spPr>
            <c:extLst>
              <c:ext xmlns:c16="http://schemas.microsoft.com/office/drawing/2014/chart" uri="{C3380CC4-5D6E-409C-BE32-E72D297353CC}">
                <c16:uniqueId val="{00000037-1B2A-494D-ABD1-5C632CD1149A}"/>
              </c:ext>
            </c:extLst>
          </c:dPt>
          <c:dPt>
            <c:idx val="36"/>
            <c:invertIfNegative val="0"/>
            <c:bubble3D val="0"/>
            <c:spPr>
              <a:solidFill>
                <a:srgbClr val="71C6FF"/>
              </a:solidFill>
              <a:ln>
                <a:noFill/>
              </a:ln>
              <a:effectLst/>
            </c:spPr>
            <c:extLst>
              <c:ext xmlns:c16="http://schemas.microsoft.com/office/drawing/2014/chart" uri="{C3380CC4-5D6E-409C-BE32-E72D297353CC}">
                <c16:uniqueId val="{00000039-1B2A-494D-ABD1-5C632CD1149A}"/>
              </c:ext>
            </c:extLst>
          </c:dPt>
          <c:dPt>
            <c:idx val="37"/>
            <c:invertIfNegative val="0"/>
            <c:bubble3D val="0"/>
            <c:spPr>
              <a:solidFill>
                <a:srgbClr val="25A7FF"/>
              </a:solidFill>
              <a:ln>
                <a:noFill/>
              </a:ln>
              <a:effectLst/>
            </c:spPr>
            <c:extLst>
              <c:ext xmlns:c16="http://schemas.microsoft.com/office/drawing/2014/chart" uri="{C3380CC4-5D6E-409C-BE32-E72D297353CC}">
                <c16:uniqueId val="{0000003B-1B2A-494D-ABD1-5C632CD1149A}"/>
              </c:ext>
            </c:extLst>
          </c:dPt>
          <c:dPt>
            <c:idx val="40"/>
            <c:invertIfNegative val="0"/>
            <c:bubble3D val="0"/>
            <c:spPr>
              <a:solidFill>
                <a:srgbClr val="7030A0"/>
              </a:solidFill>
              <a:ln>
                <a:noFill/>
              </a:ln>
              <a:effectLst/>
            </c:spPr>
            <c:extLst>
              <c:ext xmlns:c16="http://schemas.microsoft.com/office/drawing/2014/chart" uri="{C3380CC4-5D6E-409C-BE32-E72D297353CC}">
                <c16:uniqueId val="{0000003D-1B2A-494D-ABD1-5C632CD1149A}"/>
              </c:ext>
            </c:extLst>
          </c:dPt>
          <c:dPt>
            <c:idx val="41"/>
            <c:invertIfNegative val="0"/>
            <c:bubble3D val="0"/>
            <c:spPr>
              <a:solidFill>
                <a:srgbClr val="9954CC"/>
              </a:solidFill>
              <a:ln>
                <a:noFill/>
              </a:ln>
              <a:effectLst/>
            </c:spPr>
            <c:extLst>
              <c:ext xmlns:c16="http://schemas.microsoft.com/office/drawing/2014/chart" uri="{C3380CC4-5D6E-409C-BE32-E72D297353CC}">
                <c16:uniqueId val="{0000003F-1B2A-494D-ABD1-5C632CD1149A}"/>
              </c:ext>
            </c:extLst>
          </c:dPt>
          <c:dPt>
            <c:idx val="42"/>
            <c:invertIfNegative val="0"/>
            <c:bubble3D val="0"/>
            <c:spPr>
              <a:solidFill>
                <a:srgbClr val="B685DB"/>
              </a:solidFill>
              <a:ln>
                <a:noFill/>
              </a:ln>
              <a:effectLst/>
            </c:spPr>
            <c:extLst>
              <c:ext xmlns:c16="http://schemas.microsoft.com/office/drawing/2014/chart" uri="{C3380CC4-5D6E-409C-BE32-E72D297353CC}">
                <c16:uniqueId val="{00000041-1B2A-494D-ABD1-5C632CD1149A}"/>
              </c:ext>
            </c:extLst>
          </c:dPt>
          <c:dPt>
            <c:idx val="43"/>
            <c:invertIfNegative val="0"/>
            <c:bubble3D val="0"/>
            <c:spPr>
              <a:solidFill>
                <a:srgbClr val="D5B8EA"/>
              </a:solidFill>
              <a:ln>
                <a:noFill/>
              </a:ln>
              <a:effectLst/>
            </c:spPr>
            <c:extLst>
              <c:ext xmlns:c16="http://schemas.microsoft.com/office/drawing/2014/chart" uri="{C3380CC4-5D6E-409C-BE32-E72D297353CC}">
                <c16:uniqueId val="{00000043-1B2A-494D-ABD1-5C632CD1149A}"/>
              </c:ext>
            </c:extLst>
          </c:dPt>
          <c:dPt>
            <c:idx val="44"/>
            <c:invertIfNegative val="0"/>
            <c:bubble3D val="0"/>
            <c:spPr>
              <a:solidFill>
                <a:srgbClr val="71C6FF"/>
              </a:solidFill>
              <a:ln>
                <a:noFill/>
              </a:ln>
              <a:effectLst/>
            </c:spPr>
            <c:extLst>
              <c:ext xmlns:c16="http://schemas.microsoft.com/office/drawing/2014/chart" uri="{C3380CC4-5D6E-409C-BE32-E72D297353CC}">
                <c16:uniqueId val="{00000045-1B2A-494D-ABD1-5C632CD1149A}"/>
              </c:ext>
            </c:extLst>
          </c:dPt>
          <c:dPt>
            <c:idx val="45"/>
            <c:invertIfNegative val="0"/>
            <c:bubble3D val="0"/>
            <c:spPr>
              <a:solidFill>
                <a:srgbClr val="25A7FF"/>
              </a:solidFill>
              <a:ln>
                <a:noFill/>
              </a:ln>
              <a:effectLst/>
            </c:spPr>
            <c:extLst>
              <c:ext xmlns:c16="http://schemas.microsoft.com/office/drawing/2014/chart" uri="{C3380CC4-5D6E-409C-BE32-E72D297353CC}">
                <c16:uniqueId val="{00000047-1B2A-494D-ABD1-5C632CD1149A}"/>
              </c:ext>
            </c:extLst>
          </c:dPt>
          <c:dPt>
            <c:idx val="48"/>
            <c:invertIfNegative val="0"/>
            <c:bubble3D val="0"/>
            <c:spPr>
              <a:solidFill>
                <a:srgbClr val="7030A0"/>
              </a:solidFill>
              <a:ln>
                <a:noFill/>
              </a:ln>
              <a:effectLst/>
            </c:spPr>
            <c:extLst>
              <c:ext xmlns:c16="http://schemas.microsoft.com/office/drawing/2014/chart" uri="{C3380CC4-5D6E-409C-BE32-E72D297353CC}">
                <c16:uniqueId val="{00000049-1B2A-494D-ABD1-5C632CD1149A}"/>
              </c:ext>
            </c:extLst>
          </c:dPt>
          <c:dPt>
            <c:idx val="49"/>
            <c:invertIfNegative val="0"/>
            <c:bubble3D val="0"/>
            <c:spPr>
              <a:solidFill>
                <a:srgbClr val="9954CC"/>
              </a:solidFill>
              <a:ln>
                <a:noFill/>
              </a:ln>
              <a:effectLst/>
            </c:spPr>
            <c:extLst>
              <c:ext xmlns:c16="http://schemas.microsoft.com/office/drawing/2014/chart" uri="{C3380CC4-5D6E-409C-BE32-E72D297353CC}">
                <c16:uniqueId val="{0000004B-1B2A-494D-ABD1-5C632CD1149A}"/>
              </c:ext>
            </c:extLst>
          </c:dPt>
          <c:dPt>
            <c:idx val="50"/>
            <c:invertIfNegative val="0"/>
            <c:bubble3D val="0"/>
            <c:spPr>
              <a:solidFill>
                <a:srgbClr val="B685DB"/>
              </a:solidFill>
              <a:ln>
                <a:noFill/>
              </a:ln>
              <a:effectLst/>
            </c:spPr>
            <c:extLst>
              <c:ext xmlns:c16="http://schemas.microsoft.com/office/drawing/2014/chart" uri="{C3380CC4-5D6E-409C-BE32-E72D297353CC}">
                <c16:uniqueId val="{0000004D-1B2A-494D-ABD1-5C632CD1149A}"/>
              </c:ext>
            </c:extLst>
          </c:dPt>
          <c:dPt>
            <c:idx val="51"/>
            <c:invertIfNegative val="0"/>
            <c:bubble3D val="0"/>
            <c:spPr>
              <a:solidFill>
                <a:srgbClr val="D5B8EA"/>
              </a:solidFill>
              <a:ln>
                <a:noFill/>
              </a:ln>
              <a:effectLst/>
            </c:spPr>
            <c:extLst>
              <c:ext xmlns:c16="http://schemas.microsoft.com/office/drawing/2014/chart" uri="{C3380CC4-5D6E-409C-BE32-E72D297353CC}">
                <c16:uniqueId val="{0000004F-1B2A-494D-ABD1-5C632CD1149A}"/>
              </c:ext>
            </c:extLst>
          </c:dPt>
          <c:dPt>
            <c:idx val="52"/>
            <c:invertIfNegative val="0"/>
            <c:bubble3D val="0"/>
            <c:spPr>
              <a:solidFill>
                <a:srgbClr val="71C6FF"/>
              </a:solidFill>
              <a:ln>
                <a:noFill/>
              </a:ln>
              <a:effectLst/>
            </c:spPr>
            <c:extLst>
              <c:ext xmlns:c16="http://schemas.microsoft.com/office/drawing/2014/chart" uri="{C3380CC4-5D6E-409C-BE32-E72D297353CC}">
                <c16:uniqueId val="{00000051-1B2A-494D-ABD1-5C632CD1149A}"/>
              </c:ext>
            </c:extLst>
          </c:dPt>
          <c:dPt>
            <c:idx val="53"/>
            <c:invertIfNegative val="0"/>
            <c:bubble3D val="0"/>
            <c:spPr>
              <a:solidFill>
                <a:srgbClr val="25A7FF"/>
              </a:solidFill>
              <a:ln>
                <a:noFill/>
              </a:ln>
              <a:effectLst/>
            </c:spPr>
            <c:extLst>
              <c:ext xmlns:c16="http://schemas.microsoft.com/office/drawing/2014/chart" uri="{C3380CC4-5D6E-409C-BE32-E72D297353CC}">
                <c16:uniqueId val="{00000053-1B2A-494D-ABD1-5C632CD1149A}"/>
              </c:ext>
            </c:extLst>
          </c:dPt>
          <c:dPt>
            <c:idx val="56"/>
            <c:invertIfNegative val="0"/>
            <c:bubble3D val="0"/>
            <c:spPr>
              <a:solidFill>
                <a:srgbClr val="7030A0"/>
              </a:solidFill>
              <a:ln>
                <a:noFill/>
              </a:ln>
              <a:effectLst/>
            </c:spPr>
            <c:extLst>
              <c:ext xmlns:c16="http://schemas.microsoft.com/office/drawing/2014/chart" uri="{C3380CC4-5D6E-409C-BE32-E72D297353CC}">
                <c16:uniqueId val="{00000055-1B2A-494D-ABD1-5C632CD1149A}"/>
              </c:ext>
            </c:extLst>
          </c:dPt>
          <c:dPt>
            <c:idx val="57"/>
            <c:invertIfNegative val="0"/>
            <c:bubble3D val="0"/>
            <c:spPr>
              <a:solidFill>
                <a:srgbClr val="9954CC"/>
              </a:solidFill>
              <a:ln>
                <a:noFill/>
              </a:ln>
              <a:effectLst/>
            </c:spPr>
            <c:extLst>
              <c:ext xmlns:c16="http://schemas.microsoft.com/office/drawing/2014/chart" uri="{C3380CC4-5D6E-409C-BE32-E72D297353CC}">
                <c16:uniqueId val="{00000057-1B2A-494D-ABD1-5C632CD1149A}"/>
              </c:ext>
            </c:extLst>
          </c:dPt>
          <c:dPt>
            <c:idx val="58"/>
            <c:invertIfNegative val="0"/>
            <c:bubble3D val="0"/>
            <c:spPr>
              <a:solidFill>
                <a:srgbClr val="B685DB"/>
              </a:solidFill>
              <a:ln>
                <a:noFill/>
              </a:ln>
              <a:effectLst/>
            </c:spPr>
            <c:extLst>
              <c:ext xmlns:c16="http://schemas.microsoft.com/office/drawing/2014/chart" uri="{C3380CC4-5D6E-409C-BE32-E72D297353CC}">
                <c16:uniqueId val="{00000059-1B2A-494D-ABD1-5C632CD1149A}"/>
              </c:ext>
            </c:extLst>
          </c:dPt>
          <c:dPt>
            <c:idx val="59"/>
            <c:invertIfNegative val="0"/>
            <c:bubble3D val="0"/>
            <c:spPr>
              <a:solidFill>
                <a:srgbClr val="D5B8EA"/>
              </a:solidFill>
              <a:ln>
                <a:noFill/>
              </a:ln>
              <a:effectLst/>
            </c:spPr>
            <c:extLst>
              <c:ext xmlns:c16="http://schemas.microsoft.com/office/drawing/2014/chart" uri="{C3380CC4-5D6E-409C-BE32-E72D297353CC}">
                <c16:uniqueId val="{0000005B-1B2A-494D-ABD1-5C632CD1149A}"/>
              </c:ext>
            </c:extLst>
          </c:dPt>
          <c:dPt>
            <c:idx val="60"/>
            <c:invertIfNegative val="0"/>
            <c:bubble3D val="0"/>
            <c:spPr>
              <a:solidFill>
                <a:srgbClr val="71C6FF"/>
              </a:solidFill>
              <a:ln>
                <a:noFill/>
              </a:ln>
              <a:effectLst/>
            </c:spPr>
            <c:extLst>
              <c:ext xmlns:c16="http://schemas.microsoft.com/office/drawing/2014/chart" uri="{C3380CC4-5D6E-409C-BE32-E72D297353CC}">
                <c16:uniqueId val="{0000005D-1B2A-494D-ABD1-5C632CD1149A}"/>
              </c:ext>
            </c:extLst>
          </c:dPt>
          <c:dPt>
            <c:idx val="61"/>
            <c:invertIfNegative val="0"/>
            <c:bubble3D val="0"/>
            <c:spPr>
              <a:solidFill>
                <a:srgbClr val="25A7FF"/>
              </a:solidFill>
              <a:ln>
                <a:noFill/>
              </a:ln>
              <a:effectLst/>
            </c:spPr>
            <c:extLst>
              <c:ext xmlns:c16="http://schemas.microsoft.com/office/drawing/2014/chart" uri="{C3380CC4-5D6E-409C-BE32-E72D297353CC}">
                <c16:uniqueId val="{0000005F-1B2A-494D-ABD1-5C632CD1149A}"/>
              </c:ext>
            </c:extLst>
          </c:dPt>
          <c:dPt>
            <c:idx val="64"/>
            <c:invertIfNegative val="0"/>
            <c:bubble3D val="0"/>
            <c:spPr>
              <a:solidFill>
                <a:srgbClr val="7030A0"/>
              </a:solidFill>
              <a:ln>
                <a:noFill/>
              </a:ln>
              <a:effectLst/>
            </c:spPr>
            <c:extLst>
              <c:ext xmlns:c16="http://schemas.microsoft.com/office/drawing/2014/chart" uri="{C3380CC4-5D6E-409C-BE32-E72D297353CC}">
                <c16:uniqueId val="{00000061-1B2A-494D-ABD1-5C632CD1149A}"/>
              </c:ext>
            </c:extLst>
          </c:dPt>
          <c:dPt>
            <c:idx val="65"/>
            <c:invertIfNegative val="0"/>
            <c:bubble3D val="0"/>
            <c:spPr>
              <a:solidFill>
                <a:srgbClr val="9954CC"/>
              </a:solidFill>
              <a:ln>
                <a:noFill/>
              </a:ln>
              <a:effectLst/>
            </c:spPr>
            <c:extLst>
              <c:ext xmlns:c16="http://schemas.microsoft.com/office/drawing/2014/chart" uri="{C3380CC4-5D6E-409C-BE32-E72D297353CC}">
                <c16:uniqueId val="{00000063-1B2A-494D-ABD1-5C632CD1149A}"/>
              </c:ext>
            </c:extLst>
          </c:dPt>
          <c:dPt>
            <c:idx val="66"/>
            <c:invertIfNegative val="0"/>
            <c:bubble3D val="0"/>
            <c:spPr>
              <a:solidFill>
                <a:srgbClr val="B685DB"/>
              </a:solidFill>
              <a:ln>
                <a:noFill/>
              </a:ln>
              <a:effectLst/>
            </c:spPr>
            <c:extLst>
              <c:ext xmlns:c16="http://schemas.microsoft.com/office/drawing/2014/chart" uri="{C3380CC4-5D6E-409C-BE32-E72D297353CC}">
                <c16:uniqueId val="{00000065-1B2A-494D-ABD1-5C632CD1149A}"/>
              </c:ext>
            </c:extLst>
          </c:dPt>
          <c:dPt>
            <c:idx val="67"/>
            <c:invertIfNegative val="0"/>
            <c:bubble3D val="0"/>
            <c:spPr>
              <a:solidFill>
                <a:srgbClr val="D5B8EA"/>
              </a:solidFill>
              <a:ln>
                <a:noFill/>
              </a:ln>
              <a:effectLst/>
            </c:spPr>
            <c:extLst>
              <c:ext xmlns:c16="http://schemas.microsoft.com/office/drawing/2014/chart" uri="{C3380CC4-5D6E-409C-BE32-E72D297353CC}">
                <c16:uniqueId val="{00000067-1B2A-494D-ABD1-5C632CD1149A}"/>
              </c:ext>
            </c:extLst>
          </c:dPt>
          <c:dPt>
            <c:idx val="68"/>
            <c:invertIfNegative val="0"/>
            <c:bubble3D val="0"/>
            <c:spPr>
              <a:solidFill>
                <a:srgbClr val="71C6FF"/>
              </a:solidFill>
              <a:ln>
                <a:noFill/>
              </a:ln>
              <a:effectLst/>
            </c:spPr>
            <c:extLst>
              <c:ext xmlns:c16="http://schemas.microsoft.com/office/drawing/2014/chart" uri="{C3380CC4-5D6E-409C-BE32-E72D297353CC}">
                <c16:uniqueId val="{00000069-1B2A-494D-ABD1-5C632CD1149A}"/>
              </c:ext>
            </c:extLst>
          </c:dPt>
          <c:dPt>
            <c:idx val="69"/>
            <c:invertIfNegative val="0"/>
            <c:bubble3D val="0"/>
            <c:spPr>
              <a:solidFill>
                <a:srgbClr val="25A7FF"/>
              </a:solidFill>
              <a:ln>
                <a:noFill/>
              </a:ln>
              <a:effectLst/>
            </c:spPr>
            <c:extLst>
              <c:ext xmlns:c16="http://schemas.microsoft.com/office/drawing/2014/chart" uri="{C3380CC4-5D6E-409C-BE32-E72D297353CC}">
                <c16:uniqueId val="{0000006B-1B2A-494D-ABD1-5C632CD1149A}"/>
              </c:ext>
            </c:extLst>
          </c:dPt>
          <c:dPt>
            <c:idx val="72"/>
            <c:invertIfNegative val="0"/>
            <c:bubble3D val="0"/>
            <c:spPr>
              <a:solidFill>
                <a:srgbClr val="7030A0"/>
              </a:solidFill>
              <a:ln>
                <a:noFill/>
              </a:ln>
              <a:effectLst/>
            </c:spPr>
            <c:extLst>
              <c:ext xmlns:c16="http://schemas.microsoft.com/office/drawing/2014/chart" uri="{C3380CC4-5D6E-409C-BE32-E72D297353CC}">
                <c16:uniqueId val="{0000006D-1B2A-494D-ABD1-5C632CD1149A}"/>
              </c:ext>
            </c:extLst>
          </c:dPt>
          <c:dPt>
            <c:idx val="73"/>
            <c:invertIfNegative val="0"/>
            <c:bubble3D val="0"/>
            <c:spPr>
              <a:solidFill>
                <a:srgbClr val="9954CC"/>
              </a:solidFill>
              <a:ln>
                <a:noFill/>
              </a:ln>
              <a:effectLst/>
            </c:spPr>
            <c:extLst>
              <c:ext xmlns:c16="http://schemas.microsoft.com/office/drawing/2014/chart" uri="{C3380CC4-5D6E-409C-BE32-E72D297353CC}">
                <c16:uniqueId val="{0000006F-1B2A-494D-ABD1-5C632CD1149A}"/>
              </c:ext>
            </c:extLst>
          </c:dPt>
          <c:dPt>
            <c:idx val="74"/>
            <c:invertIfNegative val="0"/>
            <c:bubble3D val="0"/>
            <c:spPr>
              <a:solidFill>
                <a:srgbClr val="B685DB"/>
              </a:solidFill>
              <a:ln>
                <a:noFill/>
              </a:ln>
              <a:effectLst/>
            </c:spPr>
            <c:extLst>
              <c:ext xmlns:c16="http://schemas.microsoft.com/office/drawing/2014/chart" uri="{C3380CC4-5D6E-409C-BE32-E72D297353CC}">
                <c16:uniqueId val="{00000071-1B2A-494D-ABD1-5C632CD1149A}"/>
              </c:ext>
            </c:extLst>
          </c:dPt>
          <c:dPt>
            <c:idx val="75"/>
            <c:invertIfNegative val="0"/>
            <c:bubble3D val="0"/>
            <c:spPr>
              <a:solidFill>
                <a:srgbClr val="D5B8EA"/>
              </a:solidFill>
              <a:ln>
                <a:noFill/>
              </a:ln>
              <a:effectLst/>
            </c:spPr>
            <c:extLst>
              <c:ext xmlns:c16="http://schemas.microsoft.com/office/drawing/2014/chart" uri="{C3380CC4-5D6E-409C-BE32-E72D297353CC}">
                <c16:uniqueId val="{00000073-1B2A-494D-ABD1-5C632CD1149A}"/>
              </c:ext>
            </c:extLst>
          </c:dPt>
          <c:dPt>
            <c:idx val="76"/>
            <c:invertIfNegative val="0"/>
            <c:bubble3D val="0"/>
            <c:spPr>
              <a:solidFill>
                <a:srgbClr val="71C6FF"/>
              </a:solidFill>
              <a:ln>
                <a:noFill/>
              </a:ln>
              <a:effectLst/>
            </c:spPr>
            <c:extLst>
              <c:ext xmlns:c16="http://schemas.microsoft.com/office/drawing/2014/chart" uri="{C3380CC4-5D6E-409C-BE32-E72D297353CC}">
                <c16:uniqueId val="{00000075-1B2A-494D-ABD1-5C632CD1149A}"/>
              </c:ext>
            </c:extLst>
          </c:dPt>
          <c:dPt>
            <c:idx val="77"/>
            <c:invertIfNegative val="0"/>
            <c:bubble3D val="0"/>
            <c:spPr>
              <a:solidFill>
                <a:srgbClr val="25A7FF"/>
              </a:solidFill>
              <a:ln>
                <a:noFill/>
              </a:ln>
              <a:effectLst/>
            </c:spPr>
            <c:extLst>
              <c:ext xmlns:c16="http://schemas.microsoft.com/office/drawing/2014/chart" uri="{C3380CC4-5D6E-409C-BE32-E72D297353CC}">
                <c16:uniqueId val="{00000077-1B2A-494D-ABD1-5C632CD1149A}"/>
              </c:ext>
            </c:extLst>
          </c:dPt>
          <c:dPt>
            <c:idx val="80"/>
            <c:invertIfNegative val="0"/>
            <c:bubble3D val="0"/>
            <c:spPr>
              <a:solidFill>
                <a:srgbClr val="7030A0"/>
              </a:solidFill>
              <a:ln>
                <a:noFill/>
              </a:ln>
              <a:effectLst/>
            </c:spPr>
            <c:extLst>
              <c:ext xmlns:c16="http://schemas.microsoft.com/office/drawing/2014/chart" uri="{C3380CC4-5D6E-409C-BE32-E72D297353CC}">
                <c16:uniqueId val="{00000079-1B2A-494D-ABD1-5C632CD1149A}"/>
              </c:ext>
            </c:extLst>
          </c:dPt>
          <c:dPt>
            <c:idx val="81"/>
            <c:invertIfNegative val="0"/>
            <c:bubble3D val="0"/>
            <c:spPr>
              <a:solidFill>
                <a:srgbClr val="9954CC"/>
              </a:solidFill>
              <a:ln>
                <a:noFill/>
              </a:ln>
              <a:effectLst/>
            </c:spPr>
            <c:extLst>
              <c:ext xmlns:c16="http://schemas.microsoft.com/office/drawing/2014/chart" uri="{C3380CC4-5D6E-409C-BE32-E72D297353CC}">
                <c16:uniqueId val="{0000007B-1B2A-494D-ABD1-5C632CD1149A}"/>
              </c:ext>
            </c:extLst>
          </c:dPt>
          <c:dPt>
            <c:idx val="82"/>
            <c:invertIfNegative val="0"/>
            <c:bubble3D val="0"/>
            <c:spPr>
              <a:solidFill>
                <a:srgbClr val="B685DB"/>
              </a:solidFill>
              <a:ln>
                <a:noFill/>
              </a:ln>
              <a:effectLst/>
            </c:spPr>
            <c:extLst>
              <c:ext xmlns:c16="http://schemas.microsoft.com/office/drawing/2014/chart" uri="{C3380CC4-5D6E-409C-BE32-E72D297353CC}">
                <c16:uniqueId val="{0000007D-1B2A-494D-ABD1-5C632CD1149A}"/>
              </c:ext>
            </c:extLst>
          </c:dPt>
          <c:dPt>
            <c:idx val="83"/>
            <c:invertIfNegative val="0"/>
            <c:bubble3D val="0"/>
            <c:spPr>
              <a:solidFill>
                <a:srgbClr val="D5B8EA"/>
              </a:solidFill>
              <a:ln>
                <a:noFill/>
              </a:ln>
              <a:effectLst/>
            </c:spPr>
            <c:extLst>
              <c:ext xmlns:c16="http://schemas.microsoft.com/office/drawing/2014/chart" uri="{C3380CC4-5D6E-409C-BE32-E72D297353CC}">
                <c16:uniqueId val="{0000007F-1B2A-494D-ABD1-5C632CD1149A}"/>
              </c:ext>
            </c:extLst>
          </c:dPt>
          <c:dPt>
            <c:idx val="84"/>
            <c:invertIfNegative val="0"/>
            <c:bubble3D val="0"/>
            <c:spPr>
              <a:solidFill>
                <a:srgbClr val="71C6FF"/>
              </a:solidFill>
              <a:ln>
                <a:noFill/>
              </a:ln>
              <a:effectLst/>
            </c:spPr>
            <c:extLst>
              <c:ext xmlns:c16="http://schemas.microsoft.com/office/drawing/2014/chart" uri="{C3380CC4-5D6E-409C-BE32-E72D297353CC}">
                <c16:uniqueId val="{00000081-1B2A-494D-ABD1-5C632CD1149A}"/>
              </c:ext>
            </c:extLst>
          </c:dPt>
          <c:dPt>
            <c:idx val="85"/>
            <c:invertIfNegative val="0"/>
            <c:bubble3D val="0"/>
            <c:spPr>
              <a:solidFill>
                <a:srgbClr val="25A7FF"/>
              </a:solidFill>
              <a:ln>
                <a:noFill/>
              </a:ln>
              <a:effectLst/>
            </c:spPr>
            <c:extLst>
              <c:ext xmlns:c16="http://schemas.microsoft.com/office/drawing/2014/chart" uri="{C3380CC4-5D6E-409C-BE32-E72D297353CC}">
                <c16:uniqueId val="{00000083-1B2A-494D-ABD1-5C632CD1149A}"/>
              </c:ext>
            </c:extLst>
          </c:dPt>
          <c:dPt>
            <c:idx val="88"/>
            <c:invertIfNegative val="0"/>
            <c:bubble3D val="0"/>
            <c:spPr>
              <a:solidFill>
                <a:srgbClr val="7030A0"/>
              </a:solidFill>
              <a:ln>
                <a:noFill/>
              </a:ln>
              <a:effectLst/>
            </c:spPr>
            <c:extLst>
              <c:ext xmlns:c16="http://schemas.microsoft.com/office/drawing/2014/chart" uri="{C3380CC4-5D6E-409C-BE32-E72D297353CC}">
                <c16:uniqueId val="{00000085-1B2A-494D-ABD1-5C632CD1149A}"/>
              </c:ext>
            </c:extLst>
          </c:dPt>
          <c:dPt>
            <c:idx val="89"/>
            <c:invertIfNegative val="0"/>
            <c:bubble3D val="0"/>
            <c:spPr>
              <a:solidFill>
                <a:srgbClr val="9954CC"/>
              </a:solidFill>
              <a:ln>
                <a:noFill/>
              </a:ln>
              <a:effectLst/>
            </c:spPr>
            <c:extLst>
              <c:ext xmlns:c16="http://schemas.microsoft.com/office/drawing/2014/chart" uri="{C3380CC4-5D6E-409C-BE32-E72D297353CC}">
                <c16:uniqueId val="{00000087-1B2A-494D-ABD1-5C632CD1149A}"/>
              </c:ext>
            </c:extLst>
          </c:dPt>
          <c:dPt>
            <c:idx val="90"/>
            <c:invertIfNegative val="0"/>
            <c:bubble3D val="0"/>
            <c:spPr>
              <a:solidFill>
                <a:srgbClr val="B685DB"/>
              </a:solidFill>
              <a:ln>
                <a:noFill/>
              </a:ln>
              <a:effectLst/>
            </c:spPr>
            <c:extLst>
              <c:ext xmlns:c16="http://schemas.microsoft.com/office/drawing/2014/chart" uri="{C3380CC4-5D6E-409C-BE32-E72D297353CC}">
                <c16:uniqueId val="{00000089-1B2A-494D-ABD1-5C632CD1149A}"/>
              </c:ext>
            </c:extLst>
          </c:dPt>
          <c:dPt>
            <c:idx val="91"/>
            <c:invertIfNegative val="0"/>
            <c:bubble3D val="0"/>
            <c:spPr>
              <a:solidFill>
                <a:srgbClr val="D5B8EA"/>
              </a:solidFill>
              <a:ln>
                <a:noFill/>
              </a:ln>
              <a:effectLst/>
            </c:spPr>
            <c:extLst>
              <c:ext xmlns:c16="http://schemas.microsoft.com/office/drawing/2014/chart" uri="{C3380CC4-5D6E-409C-BE32-E72D297353CC}">
                <c16:uniqueId val="{0000008B-1B2A-494D-ABD1-5C632CD1149A}"/>
              </c:ext>
            </c:extLst>
          </c:dPt>
          <c:dPt>
            <c:idx val="92"/>
            <c:invertIfNegative val="0"/>
            <c:bubble3D val="0"/>
            <c:spPr>
              <a:solidFill>
                <a:srgbClr val="71C6FF"/>
              </a:solidFill>
              <a:ln>
                <a:noFill/>
              </a:ln>
              <a:effectLst/>
            </c:spPr>
            <c:extLst>
              <c:ext xmlns:c16="http://schemas.microsoft.com/office/drawing/2014/chart" uri="{C3380CC4-5D6E-409C-BE32-E72D297353CC}">
                <c16:uniqueId val="{0000008D-1B2A-494D-ABD1-5C632CD1149A}"/>
              </c:ext>
            </c:extLst>
          </c:dPt>
          <c:dPt>
            <c:idx val="93"/>
            <c:invertIfNegative val="0"/>
            <c:bubble3D val="0"/>
            <c:spPr>
              <a:solidFill>
                <a:srgbClr val="25A7FF"/>
              </a:solidFill>
              <a:ln>
                <a:noFill/>
              </a:ln>
              <a:effectLst/>
            </c:spPr>
            <c:extLst>
              <c:ext xmlns:c16="http://schemas.microsoft.com/office/drawing/2014/chart" uri="{C3380CC4-5D6E-409C-BE32-E72D297353CC}">
                <c16:uniqueId val="{0000008F-1B2A-494D-ABD1-5C632CD1149A}"/>
              </c:ext>
            </c:extLst>
          </c:dPt>
          <c:dPt>
            <c:idx val="96"/>
            <c:invertIfNegative val="0"/>
            <c:bubble3D val="0"/>
            <c:spPr>
              <a:solidFill>
                <a:srgbClr val="7030A0"/>
              </a:solidFill>
              <a:ln>
                <a:noFill/>
              </a:ln>
              <a:effectLst/>
            </c:spPr>
            <c:extLst>
              <c:ext xmlns:c16="http://schemas.microsoft.com/office/drawing/2014/chart" uri="{C3380CC4-5D6E-409C-BE32-E72D297353CC}">
                <c16:uniqueId val="{00000091-1B2A-494D-ABD1-5C632CD1149A}"/>
              </c:ext>
            </c:extLst>
          </c:dPt>
          <c:dPt>
            <c:idx val="97"/>
            <c:invertIfNegative val="0"/>
            <c:bubble3D val="0"/>
            <c:spPr>
              <a:solidFill>
                <a:srgbClr val="9954CC"/>
              </a:solidFill>
              <a:ln>
                <a:noFill/>
              </a:ln>
              <a:effectLst/>
            </c:spPr>
            <c:extLst>
              <c:ext xmlns:c16="http://schemas.microsoft.com/office/drawing/2014/chart" uri="{C3380CC4-5D6E-409C-BE32-E72D297353CC}">
                <c16:uniqueId val="{00000093-1B2A-494D-ABD1-5C632CD1149A}"/>
              </c:ext>
            </c:extLst>
          </c:dPt>
          <c:dPt>
            <c:idx val="98"/>
            <c:invertIfNegative val="0"/>
            <c:bubble3D val="0"/>
            <c:spPr>
              <a:solidFill>
                <a:srgbClr val="B685DB"/>
              </a:solidFill>
              <a:ln>
                <a:noFill/>
              </a:ln>
              <a:effectLst/>
            </c:spPr>
            <c:extLst>
              <c:ext xmlns:c16="http://schemas.microsoft.com/office/drawing/2014/chart" uri="{C3380CC4-5D6E-409C-BE32-E72D297353CC}">
                <c16:uniqueId val="{00000095-1B2A-494D-ABD1-5C632CD1149A}"/>
              </c:ext>
            </c:extLst>
          </c:dPt>
          <c:dPt>
            <c:idx val="99"/>
            <c:invertIfNegative val="0"/>
            <c:bubble3D val="0"/>
            <c:spPr>
              <a:solidFill>
                <a:srgbClr val="D5B8EA"/>
              </a:solidFill>
              <a:ln>
                <a:noFill/>
              </a:ln>
              <a:effectLst/>
            </c:spPr>
            <c:extLst>
              <c:ext xmlns:c16="http://schemas.microsoft.com/office/drawing/2014/chart" uri="{C3380CC4-5D6E-409C-BE32-E72D297353CC}">
                <c16:uniqueId val="{00000097-1B2A-494D-ABD1-5C632CD1149A}"/>
              </c:ext>
            </c:extLst>
          </c:dPt>
          <c:dPt>
            <c:idx val="100"/>
            <c:invertIfNegative val="0"/>
            <c:bubble3D val="0"/>
            <c:spPr>
              <a:solidFill>
                <a:srgbClr val="71C6FF"/>
              </a:solidFill>
              <a:ln>
                <a:noFill/>
              </a:ln>
              <a:effectLst/>
            </c:spPr>
            <c:extLst>
              <c:ext xmlns:c16="http://schemas.microsoft.com/office/drawing/2014/chart" uri="{C3380CC4-5D6E-409C-BE32-E72D297353CC}">
                <c16:uniqueId val="{00000099-1B2A-494D-ABD1-5C632CD1149A}"/>
              </c:ext>
            </c:extLst>
          </c:dPt>
          <c:dPt>
            <c:idx val="101"/>
            <c:invertIfNegative val="0"/>
            <c:bubble3D val="0"/>
            <c:spPr>
              <a:solidFill>
                <a:srgbClr val="25A7FF"/>
              </a:solidFill>
              <a:ln>
                <a:noFill/>
              </a:ln>
              <a:effectLst/>
            </c:spPr>
            <c:extLst>
              <c:ext xmlns:c16="http://schemas.microsoft.com/office/drawing/2014/chart" uri="{C3380CC4-5D6E-409C-BE32-E72D297353CC}">
                <c16:uniqueId val="{0000009B-1B2A-494D-ABD1-5C632CD1149A}"/>
              </c:ext>
            </c:extLst>
          </c:dPt>
          <c:dPt>
            <c:idx val="104"/>
            <c:invertIfNegative val="0"/>
            <c:bubble3D val="0"/>
            <c:spPr>
              <a:solidFill>
                <a:srgbClr val="7030A0"/>
              </a:solidFill>
              <a:ln>
                <a:noFill/>
              </a:ln>
              <a:effectLst/>
            </c:spPr>
            <c:extLst>
              <c:ext xmlns:c16="http://schemas.microsoft.com/office/drawing/2014/chart" uri="{C3380CC4-5D6E-409C-BE32-E72D297353CC}">
                <c16:uniqueId val="{0000009D-1B2A-494D-ABD1-5C632CD1149A}"/>
              </c:ext>
            </c:extLst>
          </c:dPt>
          <c:dPt>
            <c:idx val="105"/>
            <c:invertIfNegative val="0"/>
            <c:bubble3D val="0"/>
            <c:spPr>
              <a:solidFill>
                <a:srgbClr val="9954CC"/>
              </a:solidFill>
              <a:ln>
                <a:noFill/>
              </a:ln>
              <a:effectLst/>
            </c:spPr>
            <c:extLst>
              <c:ext xmlns:c16="http://schemas.microsoft.com/office/drawing/2014/chart" uri="{C3380CC4-5D6E-409C-BE32-E72D297353CC}">
                <c16:uniqueId val="{0000009F-1B2A-494D-ABD1-5C632CD1149A}"/>
              </c:ext>
            </c:extLst>
          </c:dPt>
          <c:dPt>
            <c:idx val="106"/>
            <c:invertIfNegative val="0"/>
            <c:bubble3D val="0"/>
            <c:spPr>
              <a:solidFill>
                <a:srgbClr val="B685DB"/>
              </a:solidFill>
              <a:ln>
                <a:noFill/>
              </a:ln>
              <a:effectLst/>
            </c:spPr>
            <c:extLst>
              <c:ext xmlns:c16="http://schemas.microsoft.com/office/drawing/2014/chart" uri="{C3380CC4-5D6E-409C-BE32-E72D297353CC}">
                <c16:uniqueId val="{000000A1-1B2A-494D-ABD1-5C632CD1149A}"/>
              </c:ext>
            </c:extLst>
          </c:dPt>
          <c:dPt>
            <c:idx val="107"/>
            <c:invertIfNegative val="0"/>
            <c:bubble3D val="0"/>
            <c:spPr>
              <a:solidFill>
                <a:srgbClr val="D5B8EA"/>
              </a:solidFill>
              <a:ln>
                <a:noFill/>
              </a:ln>
              <a:effectLst/>
            </c:spPr>
            <c:extLst>
              <c:ext xmlns:c16="http://schemas.microsoft.com/office/drawing/2014/chart" uri="{C3380CC4-5D6E-409C-BE32-E72D297353CC}">
                <c16:uniqueId val="{000000A3-1B2A-494D-ABD1-5C632CD1149A}"/>
              </c:ext>
            </c:extLst>
          </c:dPt>
          <c:dPt>
            <c:idx val="108"/>
            <c:invertIfNegative val="0"/>
            <c:bubble3D val="0"/>
            <c:spPr>
              <a:solidFill>
                <a:srgbClr val="71C6FF"/>
              </a:solidFill>
              <a:ln>
                <a:noFill/>
              </a:ln>
              <a:effectLst/>
            </c:spPr>
            <c:extLst>
              <c:ext xmlns:c16="http://schemas.microsoft.com/office/drawing/2014/chart" uri="{C3380CC4-5D6E-409C-BE32-E72D297353CC}">
                <c16:uniqueId val="{000000A5-1B2A-494D-ABD1-5C632CD1149A}"/>
              </c:ext>
            </c:extLst>
          </c:dPt>
          <c:dPt>
            <c:idx val="109"/>
            <c:invertIfNegative val="0"/>
            <c:bubble3D val="0"/>
            <c:spPr>
              <a:solidFill>
                <a:srgbClr val="25A7FF"/>
              </a:solidFill>
              <a:ln>
                <a:noFill/>
              </a:ln>
              <a:effectLst/>
            </c:spPr>
            <c:extLst>
              <c:ext xmlns:c16="http://schemas.microsoft.com/office/drawing/2014/chart" uri="{C3380CC4-5D6E-409C-BE32-E72D297353CC}">
                <c16:uniqueId val="{000000A7-1B2A-494D-ABD1-5C632CD1149A}"/>
              </c:ext>
            </c:extLst>
          </c:dPt>
          <c:dPt>
            <c:idx val="112"/>
            <c:invertIfNegative val="0"/>
            <c:bubble3D val="0"/>
            <c:spPr>
              <a:solidFill>
                <a:srgbClr val="7030A0"/>
              </a:solidFill>
              <a:ln>
                <a:noFill/>
              </a:ln>
              <a:effectLst/>
            </c:spPr>
            <c:extLst>
              <c:ext xmlns:c16="http://schemas.microsoft.com/office/drawing/2014/chart" uri="{C3380CC4-5D6E-409C-BE32-E72D297353CC}">
                <c16:uniqueId val="{000000A9-1B2A-494D-ABD1-5C632CD1149A}"/>
              </c:ext>
            </c:extLst>
          </c:dPt>
          <c:dPt>
            <c:idx val="113"/>
            <c:invertIfNegative val="0"/>
            <c:bubble3D val="0"/>
            <c:spPr>
              <a:solidFill>
                <a:srgbClr val="9954CC"/>
              </a:solidFill>
              <a:ln>
                <a:noFill/>
              </a:ln>
              <a:effectLst/>
            </c:spPr>
            <c:extLst>
              <c:ext xmlns:c16="http://schemas.microsoft.com/office/drawing/2014/chart" uri="{C3380CC4-5D6E-409C-BE32-E72D297353CC}">
                <c16:uniqueId val="{000000AB-1B2A-494D-ABD1-5C632CD1149A}"/>
              </c:ext>
            </c:extLst>
          </c:dPt>
          <c:dPt>
            <c:idx val="114"/>
            <c:invertIfNegative val="0"/>
            <c:bubble3D val="0"/>
            <c:spPr>
              <a:solidFill>
                <a:srgbClr val="B685DB"/>
              </a:solidFill>
              <a:ln>
                <a:noFill/>
              </a:ln>
              <a:effectLst/>
            </c:spPr>
            <c:extLst>
              <c:ext xmlns:c16="http://schemas.microsoft.com/office/drawing/2014/chart" uri="{C3380CC4-5D6E-409C-BE32-E72D297353CC}">
                <c16:uniqueId val="{000000AD-1B2A-494D-ABD1-5C632CD1149A}"/>
              </c:ext>
            </c:extLst>
          </c:dPt>
          <c:dPt>
            <c:idx val="115"/>
            <c:invertIfNegative val="0"/>
            <c:bubble3D val="0"/>
            <c:spPr>
              <a:solidFill>
                <a:srgbClr val="D5B8EA"/>
              </a:solidFill>
              <a:ln>
                <a:noFill/>
              </a:ln>
              <a:effectLst/>
            </c:spPr>
            <c:extLst>
              <c:ext xmlns:c16="http://schemas.microsoft.com/office/drawing/2014/chart" uri="{C3380CC4-5D6E-409C-BE32-E72D297353CC}">
                <c16:uniqueId val="{000000AF-1B2A-494D-ABD1-5C632CD1149A}"/>
              </c:ext>
            </c:extLst>
          </c:dPt>
          <c:dPt>
            <c:idx val="116"/>
            <c:invertIfNegative val="0"/>
            <c:bubble3D val="0"/>
            <c:spPr>
              <a:solidFill>
                <a:srgbClr val="71C6FF"/>
              </a:solidFill>
              <a:ln>
                <a:noFill/>
              </a:ln>
              <a:effectLst/>
            </c:spPr>
            <c:extLst>
              <c:ext xmlns:c16="http://schemas.microsoft.com/office/drawing/2014/chart" uri="{C3380CC4-5D6E-409C-BE32-E72D297353CC}">
                <c16:uniqueId val="{000000B1-1B2A-494D-ABD1-5C632CD1149A}"/>
              </c:ext>
            </c:extLst>
          </c:dPt>
          <c:dPt>
            <c:idx val="117"/>
            <c:invertIfNegative val="0"/>
            <c:bubble3D val="0"/>
            <c:spPr>
              <a:solidFill>
                <a:srgbClr val="25A7FF"/>
              </a:solidFill>
              <a:ln>
                <a:noFill/>
              </a:ln>
              <a:effectLst/>
            </c:spPr>
            <c:extLst>
              <c:ext xmlns:c16="http://schemas.microsoft.com/office/drawing/2014/chart" uri="{C3380CC4-5D6E-409C-BE32-E72D297353CC}">
                <c16:uniqueId val="{000000B3-1B2A-494D-ABD1-5C632CD1149A}"/>
              </c:ext>
            </c:extLst>
          </c:dPt>
          <c:cat>
            <c:strRef>
              <c:f>'[Publ.-Grafy-Struktura mezd zam-2012-2018.xlsx]GRAF-4-doba+zaklad mzda'!$B$63:$B$181</c:f>
              <c:strCache>
                <c:ptCount val="116"/>
                <c:pt idx="3">
                  <c:v>&lt;1 rok</c:v>
                </c:pt>
                <c:pt idx="11">
                  <c:v>1 rok</c:v>
                </c:pt>
                <c:pt idx="19">
                  <c:v>2 roky</c:v>
                </c:pt>
                <c:pt idx="27">
                  <c:v>3 roky</c:v>
                </c:pt>
                <c:pt idx="35">
                  <c:v>4 roky</c:v>
                </c:pt>
                <c:pt idx="43">
                  <c:v>5–6 let</c:v>
                </c:pt>
                <c:pt idx="51">
                  <c:v>7–8 let</c:v>
                </c:pt>
                <c:pt idx="59">
                  <c:v>9–10 let</c:v>
                </c:pt>
                <c:pt idx="67">
                  <c:v>11–12 let</c:v>
                </c:pt>
                <c:pt idx="75">
                  <c:v>13–14 let</c:v>
                </c:pt>
                <c:pt idx="83">
                  <c:v>15–16 let</c:v>
                </c:pt>
                <c:pt idx="91">
                  <c:v>17–18 let</c:v>
                </c:pt>
                <c:pt idx="99">
                  <c:v>19–20 let</c:v>
                </c:pt>
                <c:pt idx="107">
                  <c:v>21–30 let</c:v>
                </c:pt>
                <c:pt idx="115">
                  <c:v>&gt;31 let</c:v>
                </c:pt>
              </c:strCache>
            </c:strRef>
          </c:cat>
          <c:val>
            <c:numRef>
              <c:f>'[Publ.-Grafy-Struktura mezd zam-2012-2018.xlsx]GRAF-4-doba+zaklad mzda'!$C$63:$C$181</c:f>
              <c:numCache>
                <c:formatCode>#,##0</c:formatCode>
                <c:ptCount val="119"/>
                <c:pt idx="0">
                  <c:v>80.297313269991363</c:v>
                </c:pt>
                <c:pt idx="1">
                  <c:v>78.37060989849995</c:v>
                </c:pt>
                <c:pt idx="2">
                  <c:v>78.431973384696192</c:v>
                </c:pt>
                <c:pt idx="3">
                  <c:v>79.865969822136051</c:v>
                </c:pt>
                <c:pt idx="4">
                  <c:v>81.602753982867654</c:v>
                </c:pt>
                <c:pt idx="5">
                  <c:v>82.811161196587562</c:v>
                </c:pt>
                <c:pt idx="6">
                  <c:v>83.470394736842096</c:v>
                </c:pt>
                <c:pt idx="8">
                  <c:v>85.143428649361269</c:v>
                </c:pt>
                <c:pt idx="9">
                  <c:v>84.510015269918256</c:v>
                </c:pt>
                <c:pt idx="10">
                  <c:v>84.113990544563123</c:v>
                </c:pt>
                <c:pt idx="11">
                  <c:v>84.194554497176085</c:v>
                </c:pt>
                <c:pt idx="12">
                  <c:v>87.458970458730292</c:v>
                </c:pt>
                <c:pt idx="13">
                  <c:v>88.291174607905234</c:v>
                </c:pt>
                <c:pt idx="14">
                  <c:v>88.654742324561411</c:v>
                </c:pt>
                <c:pt idx="16">
                  <c:v>89.53493658226121</c:v>
                </c:pt>
                <c:pt idx="17">
                  <c:v>89.989221234168696</c:v>
                </c:pt>
                <c:pt idx="18">
                  <c:v>89.367011031343026</c:v>
                </c:pt>
                <c:pt idx="19">
                  <c:v>90.078395009694006</c:v>
                </c:pt>
                <c:pt idx="20">
                  <c:v>90.549195420702915</c:v>
                </c:pt>
                <c:pt idx="21">
                  <c:v>92.437506985061276</c:v>
                </c:pt>
                <c:pt idx="22">
                  <c:v>92.85567434210526</c:v>
                </c:pt>
                <c:pt idx="24">
                  <c:v>93.40819202618539</c:v>
                </c:pt>
                <c:pt idx="25">
                  <c:v>93.110572172819545</c:v>
                </c:pt>
                <c:pt idx="26">
                  <c:v>93.127298196462974</c:v>
                </c:pt>
                <c:pt idx="27">
                  <c:v>92.877012560060692</c:v>
                </c:pt>
                <c:pt idx="28">
                  <c:v>93.659434793051005</c:v>
                </c:pt>
                <c:pt idx="29">
                  <c:v>93.525313862086946</c:v>
                </c:pt>
                <c:pt idx="30">
                  <c:v>95.524945175438589</c:v>
                </c:pt>
                <c:pt idx="32">
                  <c:v>96.585898077010498</c:v>
                </c:pt>
                <c:pt idx="33">
                  <c:v>94.727387047516402</c:v>
                </c:pt>
                <c:pt idx="34">
                  <c:v>95.766940991069859</c:v>
                </c:pt>
                <c:pt idx="35">
                  <c:v>95.68827446682964</c:v>
                </c:pt>
                <c:pt idx="36">
                  <c:v>95.632855656072365</c:v>
                </c:pt>
                <c:pt idx="37">
                  <c:v>95.462504191036771</c:v>
                </c:pt>
                <c:pt idx="38">
                  <c:v>95.476973684210535</c:v>
                </c:pt>
                <c:pt idx="40">
                  <c:v>99.713597308723905</c:v>
                </c:pt>
                <c:pt idx="41">
                  <c:v>100.04940267672684</c:v>
                </c:pt>
                <c:pt idx="42">
                  <c:v>98.157065312554721</c:v>
                </c:pt>
                <c:pt idx="43">
                  <c:v>96.847340470370057</c:v>
                </c:pt>
                <c:pt idx="44">
                  <c:v>97.818429269073732</c:v>
                </c:pt>
                <c:pt idx="45">
                  <c:v>97.653019409156954</c:v>
                </c:pt>
                <c:pt idx="46">
                  <c:v>97.101151315789465</c:v>
                </c:pt>
                <c:pt idx="48">
                  <c:v>102.47761058326135</c:v>
                </c:pt>
                <c:pt idx="49">
                  <c:v>101.42369532021918</c:v>
                </c:pt>
                <c:pt idx="50">
                  <c:v>101.72036420942041</c:v>
                </c:pt>
                <c:pt idx="51">
                  <c:v>102.87869847424767</c:v>
                </c:pt>
                <c:pt idx="52">
                  <c:v>101.64918741493875</c:v>
                </c:pt>
                <c:pt idx="53">
                  <c:v>100.54017807249562</c:v>
                </c:pt>
                <c:pt idx="54">
                  <c:v>99.749862938596493</c:v>
                </c:pt>
                <c:pt idx="56">
                  <c:v>104.88248397508751</c:v>
                </c:pt>
                <c:pt idx="57">
                  <c:v>104.58546663073744</c:v>
                </c:pt>
                <c:pt idx="58">
                  <c:v>105.5944668184206</c:v>
                </c:pt>
                <c:pt idx="59">
                  <c:v>105.01559470622945</c:v>
                </c:pt>
                <c:pt idx="60">
                  <c:v>106.02433752301657</c:v>
                </c:pt>
                <c:pt idx="61">
                  <c:v>106.44488320977537</c:v>
                </c:pt>
                <c:pt idx="62">
                  <c:v>104.49904057017542</c:v>
                </c:pt>
                <c:pt idx="64">
                  <c:v>108.64208755739419</c:v>
                </c:pt>
                <c:pt idx="65">
                  <c:v>108.12898589778138</c:v>
                </c:pt>
                <c:pt idx="66">
                  <c:v>108.59744353002976</c:v>
                </c:pt>
                <c:pt idx="67">
                  <c:v>109.14608446430077</c:v>
                </c:pt>
                <c:pt idx="68">
                  <c:v>109.34272676326955</c:v>
                </c:pt>
                <c:pt idx="69">
                  <c:v>109.119696010133</c:v>
                </c:pt>
                <c:pt idx="70">
                  <c:v>109.70052083333333</c:v>
                </c:pt>
                <c:pt idx="72">
                  <c:v>109.33763695049325</c:v>
                </c:pt>
                <c:pt idx="73">
                  <c:v>109.74130962004851</c:v>
                </c:pt>
                <c:pt idx="74">
                  <c:v>110.64612151987392</c:v>
                </c:pt>
                <c:pt idx="75">
                  <c:v>111.73396274129648</c:v>
                </c:pt>
                <c:pt idx="76">
                  <c:v>111.90857417340484</c:v>
                </c:pt>
                <c:pt idx="77">
                  <c:v>111.49647952911374</c:v>
                </c:pt>
                <c:pt idx="78">
                  <c:v>111.79756030701755</c:v>
                </c:pt>
                <c:pt idx="80">
                  <c:v>111.84707005500749</c:v>
                </c:pt>
                <c:pt idx="81">
                  <c:v>112.32821341956345</c:v>
                </c:pt>
                <c:pt idx="82">
                  <c:v>112.34022062686044</c:v>
                </c:pt>
                <c:pt idx="83">
                  <c:v>112.66964511506363</c:v>
                </c:pt>
                <c:pt idx="84">
                  <c:v>112.57305259787047</c:v>
                </c:pt>
                <c:pt idx="85">
                  <c:v>112.60291323622546</c:v>
                </c:pt>
                <c:pt idx="86">
                  <c:v>112.83922697368421</c:v>
                </c:pt>
                <c:pt idx="88">
                  <c:v>114.86566349956813</c:v>
                </c:pt>
                <c:pt idx="89">
                  <c:v>114.36270547022367</c:v>
                </c:pt>
                <c:pt idx="90">
                  <c:v>114.42829627035545</c:v>
                </c:pt>
                <c:pt idx="91">
                  <c:v>114.86554834358931</c:v>
                </c:pt>
                <c:pt idx="92">
                  <c:v>114.89472420142503</c:v>
                </c:pt>
                <c:pt idx="93">
                  <c:v>114.78225235629399</c:v>
                </c:pt>
                <c:pt idx="94">
                  <c:v>114.85402960526316</c:v>
                </c:pt>
                <c:pt idx="96">
                  <c:v>119.19352638996226</c:v>
                </c:pt>
                <c:pt idx="97">
                  <c:v>118.23407886463666</c:v>
                </c:pt>
                <c:pt idx="98">
                  <c:v>117.42689546489231</c:v>
                </c:pt>
                <c:pt idx="99">
                  <c:v>117.13731771052854</c:v>
                </c:pt>
                <c:pt idx="100">
                  <c:v>116.03954847490192</c:v>
                </c:pt>
                <c:pt idx="101">
                  <c:v>114.96479529113735</c:v>
                </c:pt>
                <c:pt idx="102">
                  <c:v>116.93736293859649</c:v>
                </c:pt>
                <c:pt idx="104">
                  <c:v>122.41214711096968</c:v>
                </c:pt>
                <c:pt idx="105">
                  <c:v>122.65337285547471</c:v>
                </c:pt>
                <c:pt idx="106">
                  <c:v>122.72369112239538</c:v>
                </c:pt>
                <c:pt idx="107">
                  <c:v>123.4173480569839</c:v>
                </c:pt>
                <c:pt idx="108">
                  <c:v>122.49219437995356</c:v>
                </c:pt>
                <c:pt idx="109">
                  <c:v>121.9759341355288</c:v>
                </c:pt>
                <c:pt idx="110">
                  <c:v>122.69736842105263</c:v>
                </c:pt>
                <c:pt idx="112">
                  <c:v>122.94858389780426</c:v>
                </c:pt>
                <c:pt idx="113">
                  <c:v>123.25967843348604</c:v>
                </c:pt>
                <c:pt idx="114">
                  <c:v>123.46349150761688</c:v>
                </c:pt>
                <c:pt idx="115">
                  <c:v>124.76186462109078</c:v>
                </c:pt>
                <c:pt idx="116">
                  <c:v>123.10463533744296</c:v>
                </c:pt>
                <c:pt idx="117">
                  <c:v>122.82531758745296</c:v>
                </c:pt>
                <c:pt idx="118">
                  <c:v>124.02001096491229</c:v>
                </c:pt>
              </c:numCache>
            </c:numRef>
          </c:val>
          <c:extLst>
            <c:ext xmlns:c16="http://schemas.microsoft.com/office/drawing/2014/chart" uri="{C3380CC4-5D6E-409C-BE32-E72D297353CC}">
              <c16:uniqueId val="{000000B4-1B2A-494D-ABD1-5C632CD1149A}"/>
            </c:ext>
          </c:extLst>
        </c:ser>
        <c:dLbls>
          <c:showLegendKey val="0"/>
          <c:showVal val="0"/>
          <c:showCatName val="0"/>
          <c:showSerName val="0"/>
          <c:showPercent val="0"/>
          <c:showBubbleSize val="0"/>
        </c:dLbls>
        <c:gapWidth val="50"/>
        <c:axId val="105469440"/>
        <c:axId val="105471360"/>
      </c:barChart>
      <c:lineChart>
        <c:grouping val="standard"/>
        <c:varyColors val="0"/>
        <c:ser>
          <c:idx val="1"/>
          <c:order val="1"/>
          <c:tx>
            <c:strRef>
              <c:f>'[Publ.-Grafy-Struktura mezd zam-2012-2018.xlsx]GRAF-4-doba+zaklad mzda'!$D$62</c:f>
              <c:strCache>
                <c:ptCount val="1"/>
                <c:pt idx="0">
                  <c:v>Podíl základní složky platu (v %, pr. osa)</c:v>
                </c:pt>
              </c:strCache>
            </c:strRef>
          </c:tx>
          <c:spPr>
            <a:ln w="6350" cap="rnd">
              <a:solidFill>
                <a:srgbClr val="E8AFB2"/>
              </a:solidFill>
              <a:round/>
            </a:ln>
            <a:effectLst/>
          </c:spPr>
          <c:marker>
            <c:symbol val="circle"/>
            <c:size val="3"/>
            <c:spPr>
              <a:solidFill>
                <a:schemeClr val="accent2"/>
              </a:solidFill>
              <a:ln w="9525">
                <a:noFill/>
              </a:ln>
              <a:effectLst/>
            </c:spPr>
          </c:marker>
          <c:cat>
            <c:strRef>
              <c:f>'[Publ.-Grafy-Struktura mezd zam-2012-2018.xlsx]GRAF-4-doba+zaklad mzda'!$B$63:$B$181</c:f>
              <c:strCache>
                <c:ptCount val="116"/>
                <c:pt idx="3">
                  <c:v>&lt;1 rok</c:v>
                </c:pt>
                <c:pt idx="11">
                  <c:v>1 rok</c:v>
                </c:pt>
                <c:pt idx="19">
                  <c:v>2 roky</c:v>
                </c:pt>
                <c:pt idx="27">
                  <c:v>3 roky</c:v>
                </c:pt>
                <c:pt idx="35">
                  <c:v>4 roky</c:v>
                </c:pt>
                <c:pt idx="43">
                  <c:v>5–6 let</c:v>
                </c:pt>
                <c:pt idx="51">
                  <c:v>7–8 let</c:v>
                </c:pt>
                <c:pt idx="59">
                  <c:v>9–10 let</c:v>
                </c:pt>
                <c:pt idx="67">
                  <c:v>11–12 let</c:v>
                </c:pt>
                <c:pt idx="75">
                  <c:v>13–14 let</c:v>
                </c:pt>
                <c:pt idx="83">
                  <c:v>15–16 let</c:v>
                </c:pt>
                <c:pt idx="91">
                  <c:v>17–18 let</c:v>
                </c:pt>
                <c:pt idx="99">
                  <c:v>19–20 let</c:v>
                </c:pt>
                <c:pt idx="107">
                  <c:v>21–30 let</c:v>
                </c:pt>
                <c:pt idx="115">
                  <c:v>&gt;31 let</c:v>
                </c:pt>
              </c:strCache>
            </c:strRef>
          </c:cat>
          <c:val>
            <c:numRef>
              <c:f>'[Publ.-Grafy-Struktura mezd zam-2012-2018.xlsx]GRAF-4-doba+zaklad mzda'!$D$63:$D$181</c:f>
              <c:numCache>
                <c:formatCode>0.0</c:formatCode>
                <c:ptCount val="119"/>
                <c:pt idx="0">
                  <c:v>75.871099999999998</c:v>
                </c:pt>
                <c:pt idx="1">
                  <c:v>75.932199999999995</c:v>
                </c:pt>
                <c:pt idx="2">
                  <c:v>75.623699999999999</c:v>
                </c:pt>
                <c:pt idx="3">
                  <c:v>74.915999999999997</c:v>
                </c:pt>
                <c:pt idx="4">
                  <c:v>75.165400000000005</c:v>
                </c:pt>
                <c:pt idx="5">
                  <c:v>75.317599999999999</c:v>
                </c:pt>
                <c:pt idx="6">
                  <c:v>75.549499999999995</c:v>
                </c:pt>
                <c:pt idx="8">
                  <c:v>72.447900000000004</c:v>
                </c:pt>
                <c:pt idx="9">
                  <c:v>73.267700000000005</c:v>
                </c:pt>
                <c:pt idx="10">
                  <c:v>73.047300000000007</c:v>
                </c:pt>
                <c:pt idx="11">
                  <c:v>72.767499999999998</c:v>
                </c:pt>
                <c:pt idx="12">
                  <c:v>71.576099999999997</c:v>
                </c:pt>
                <c:pt idx="13">
                  <c:v>72.0411</c:v>
                </c:pt>
                <c:pt idx="14">
                  <c:v>72.126400000000004</c:v>
                </c:pt>
                <c:pt idx="16">
                  <c:v>70.787300000000002</c:v>
                </c:pt>
                <c:pt idx="17">
                  <c:v>70.972800000000007</c:v>
                </c:pt>
                <c:pt idx="18">
                  <c:v>70.965900000000005</c:v>
                </c:pt>
                <c:pt idx="19">
                  <c:v>70.476699999999994</c:v>
                </c:pt>
                <c:pt idx="20">
                  <c:v>70.089299999999994</c:v>
                </c:pt>
                <c:pt idx="21">
                  <c:v>69.231300000000005</c:v>
                </c:pt>
                <c:pt idx="22">
                  <c:v>69.840299999999999</c:v>
                </c:pt>
                <c:pt idx="24">
                  <c:v>70.841700000000003</c:v>
                </c:pt>
                <c:pt idx="25">
                  <c:v>70.670599999999993</c:v>
                </c:pt>
                <c:pt idx="26">
                  <c:v>69.842600000000004</c:v>
                </c:pt>
                <c:pt idx="27">
                  <c:v>70.214200000000005</c:v>
                </c:pt>
                <c:pt idx="28">
                  <c:v>69.581699999999998</c:v>
                </c:pt>
                <c:pt idx="29">
                  <c:v>69.700100000000006</c:v>
                </c:pt>
                <c:pt idx="30">
                  <c:v>68.805400000000006</c:v>
                </c:pt>
                <c:pt idx="32">
                  <c:v>69.512299999999996</c:v>
                </c:pt>
                <c:pt idx="33">
                  <c:v>70.430099999999996</c:v>
                </c:pt>
                <c:pt idx="34">
                  <c:v>69.480800000000002</c:v>
                </c:pt>
                <c:pt idx="35">
                  <c:v>69.082800000000006</c:v>
                </c:pt>
                <c:pt idx="36">
                  <c:v>69.596000000000004</c:v>
                </c:pt>
                <c:pt idx="37">
                  <c:v>69.203699999999998</c:v>
                </c:pt>
                <c:pt idx="38">
                  <c:v>68.906999999999996</c:v>
                </c:pt>
                <c:pt idx="40">
                  <c:v>68.276300000000006</c:v>
                </c:pt>
                <c:pt idx="41">
                  <c:v>69.100399999999993</c:v>
                </c:pt>
                <c:pt idx="42">
                  <c:v>68.864000000000004</c:v>
                </c:pt>
                <c:pt idx="43">
                  <c:v>68.911100000000005</c:v>
                </c:pt>
                <c:pt idx="44">
                  <c:v>68.546000000000006</c:v>
                </c:pt>
                <c:pt idx="45">
                  <c:v>68.669600000000003</c:v>
                </c:pt>
                <c:pt idx="46">
                  <c:v>69.059399999999997</c:v>
                </c:pt>
                <c:pt idx="48">
                  <c:v>67.453000000000003</c:v>
                </c:pt>
                <c:pt idx="49">
                  <c:v>67.974500000000006</c:v>
                </c:pt>
                <c:pt idx="50">
                  <c:v>67.965100000000007</c:v>
                </c:pt>
                <c:pt idx="51">
                  <c:v>67.803799999999995</c:v>
                </c:pt>
                <c:pt idx="52">
                  <c:v>67.842699999999994</c:v>
                </c:pt>
                <c:pt idx="53">
                  <c:v>68.123599999999996</c:v>
                </c:pt>
                <c:pt idx="54">
                  <c:v>68.014499999999998</c:v>
                </c:pt>
                <c:pt idx="56">
                  <c:v>67.368200000000002</c:v>
                </c:pt>
                <c:pt idx="57">
                  <c:v>67.743499999999997</c:v>
                </c:pt>
                <c:pt idx="58">
                  <c:v>67.184600000000003</c:v>
                </c:pt>
                <c:pt idx="59">
                  <c:v>67.287499999999994</c:v>
                </c:pt>
                <c:pt idx="60">
                  <c:v>67.289299999999997</c:v>
                </c:pt>
                <c:pt idx="61">
                  <c:v>67.271199999999993</c:v>
                </c:pt>
                <c:pt idx="62">
                  <c:v>67.288899999999998</c:v>
                </c:pt>
                <c:pt idx="64">
                  <c:v>66.331199999999995</c:v>
                </c:pt>
                <c:pt idx="65">
                  <c:v>66.757099999999994</c:v>
                </c:pt>
                <c:pt idx="66">
                  <c:v>66.667500000000004</c:v>
                </c:pt>
                <c:pt idx="67">
                  <c:v>66.610299999999995</c:v>
                </c:pt>
                <c:pt idx="68">
                  <c:v>66.785700000000006</c:v>
                </c:pt>
                <c:pt idx="69">
                  <c:v>66.853399999999993</c:v>
                </c:pt>
                <c:pt idx="70">
                  <c:v>67.094999999999999</c:v>
                </c:pt>
                <c:pt idx="72">
                  <c:v>66.285700000000006</c:v>
                </c:pt>
                <c:pt idx="73">
                  <c:v>67.241699999999994</c:v>
                </c:pt>
                <c:pt idx="74">
                  <c:v>66.412499999999994</c:v>
                </c:pt>
                <c:pt idx="75">
                  <c:v>66.200100000000006</c:v>
                </c:pt>
                <c:pt idx="76">
                  <c:v>66.286199999999994</c:v>
                </c:pt>
                <c:pt idx="77">
                  <c:v>66.434899999999999</c:v>
                </c:pt>
                <c:pt idx="78">
                  <c:v>66.375</c:v>
                </c:pt>
                <c:pt idx="80">
                  <c:v>66.593400000000003</c:v>
                </c:pt>
                <c:pt idx="81">
                  <c:v>67.200400000000002</c:v>
                </c:pt>
                <c:pt idx="82">
                  <c:v>66.150899999999993</c:v>
                </c:pt>
                <c:pt idx="83">
                  <c:v>66.205799999999996</c:v>
                </c:pt>
                <c:pt idx="84">
                  <c:v>65.950100000000006</c:v>
                </c:pt>
                <c:pt idx="85">
                  <c:v>65.707499999999996</c:v>
                </c:pt>
                <c:pt idx="86">
                  <c:v>66.318200000000004</c:v>
                </c:pt>
                <c:pt idx="88">
                  <c:v>66.563100000000006</c:v>
                </c:pt>
                <c:pt idx="89">
                  <c:v>67.072299999999998</c:v>
                </c:pt>
                <c:pt idx="90">
                  <c:v>66.384299999999996</c:v>
                </c:pt>
                <c:pt idx="91">
                  <c:v>66.359899999999996</c:v>
                </c:pt>
                <c:pt idx="92">
                  <c:v>66.434100000000001</c:v>
                </c:pt>
                <c:pt idx="93">
                  <c:v>66.139700000000005</c:v>
                </c:pt>
                <c:pt idx="94">
                  <c:v>65.936000000000007</c:v>
                </c:pt>
                <c:pt idx="96">
                  <c:v>65.883499999999998</c:v>
                </c:pt>
                <c:pt idx="97">
                  <c:v>66.530500000000004</c:v>
                </c:pt>
                <c:pt idx="98">
                  <c:v>65.892099999999999</c:v>
                </c:pt>
                <c:pt idx="99">
                  <c:v>65.833699999999993</c:v>
                </c:pt>
                <c:pt idx="100">
                  <c:v>65.457499999999996</c:v>
                </c:pt>
                <c:pt idx="101">
                  <c:v>65.843999999999994</c:v>
                </c:pt>
                <c:pt idx="102">
                  <c:v>65.866</c:v>
                </c:pt>
                <c:pt idx="104">
                  <c:v>65.030299999999997</c:v>
                </c:pt>
                <c:pt idx="105">
                  <c:v>65.286000000000001</c:v>
                </c:pt>
                <c:pt idx="106">
                  <c:v>64.991500000000002</c:v>
                </c:pt>
                <c:pt idx="107">
                  <c:v>65.273899999999998</c:v>
                </c:pt>
                <c:pt idx="108">
                  <c:v>65.036000000000001</c:v>
                </c:pt>
                <c:pt idx="109">
                  <c:v>64.813500000000005</c:v>
                </c:pt>
                <c:pt idx="110">
                  <c:v>64.918000000000006</c:v>
                </c:pt>
                <c:pt idx="112">
                  <c:v>64.953500000000005</c:v>
                </c:pt>
                <c:pt idx="113">
                  <c:v>64.722899999999996</c:v>
                </c:pt>
                <c:pt idx="114">
                  <c:v>64.391300000000001</c:v>
                </c:pt>
                <c:pt idx="115">
                  <c:v>64.404799999999994</c:v>
                </c:pt>
                <c:pt idx="116">
                  <c:v>64.6554</c:v>
                </c:pt>
                <c:pt idx="117">
                  <c:v>64.522900000000007</c:v>
                </c:pt>
                <c:pt idx="118">
                  <c:v>64.5274</c:v>
                </c:pt>
              </c:numCache>
            </c:numRef>
          </c:val>
          <c:smooth val="0"/>
          <c:extLst>
            <c:ext xmlns:c16="http://schemas.microsoft.com/office/drawing/2014/chart" uri="{C3380CC4-5D6E-409C-BE32-E72D297353CC}">
              <c16:uniqueId val="{000000B5-1B2A-494D-ABD1-5C632CD1149A}"/>
            </c:ext>
          </c:extLst>
        </c:ser>
        <c:dLbls>
          <c:showLegendKey val="0"/>
          <c:showVal val="0"/>
          <c:showCatName val="0"/>
          <c:showSerName val="0"/>
          <c:showPercent val="0"/>
          <c:showBubbleSize val="0"/>
        </c:dLbls>
        <c:marker val="1"/>
        <c:smooth val="0"/>
        <c:axId val="105482880"/>
        <c:axId val="105481344"/>
      </c:lineChart>
      <c:catAx>
        <c:axId val="105469440"/>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6350" cap="flat" cmpd="sng" algn="ctr">
            <a:solidFill>
              <a:schemeClr val="tx1">
                <a:lumMod val="95000"/>
                <a:lumOff val="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471360"/>
        <c:crossesAt val="100"/>
        <c:auto val="1"/>
        <c:lblAlgn val="ctr"/>
        <c:lblOffset val="0"/>
        <c:tickMarkSkip val="16"/>
        <c:noMultiLvlLbl val="0"/>
      </c:catAx>
      <c:valAx>
        <c:axId val="105471360"/>
        <c:scaling>
          <c:orientation val="minMax"/>
          <c:max val="125"/>
          <c:min val="75"/>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469440"/>
        <c:crosses val="autoZero"/>
        <c:crossBetween val="between"/>
        <c:majorUnit val="5"/>
      </c:valAx>
      <c:valAx>
        <c:axId val="105481344"/>
        <c:scaling>
          <c:orientation val="minMax"/>
          <c:max val="80"/>
          <c:min val="6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482880"/>
        <c:crosses val="max"/>
        <c:crossBetween val="between"/>
      </c:valAx>
      <c:catAx>
        <c:axId val="105482880"/>
        <c:scaling>
          <c:orientation val="minMax"/>
        </c:scaling>
        <c:delete val="1"/>
        <c:axPos val="b"/>
        <c:numFmt formatCode="General" sourceLinked="1"/>
        <c:majorTickMark val="out"/>
        <c:minorTickMark val="none"/>
        <c:tickLblPos val="nextTo"/>
        <c:crossAx val="105481344"/>
        <c:crosses val="autoZero"/>
        <c:auto val="1"/>
        <c:lblAlgn val="ctr"/>
        <c:lblOffset val="100"/>
        <c:noMultiLvlLbl val="0"/>
      </c:catAx>
      <c:spPr>
        <a:noFill/>
        <a:ln w="6350">
          <a:solidFill>
            <a:schemeClr val="tx1">
              <a:lumMod val="95000"/>
              <a:lumOff val="5000"/>
            </a:schemeClr>
          </a:solidFill>
        </a:ln>
        <a:effectLst/>
      </c:spPr>
    </c:plotArea>
    <c:legend>
      <c:legendPos val="b"/>
      <c:layout>
        <c:manualLayout>
          <c:xMode val="edge"/>
          <c:yMode val="edge"/>
          <c:x val="6.7679610390906461E-2"/>
          <c:y val="0.94454337196190441"/>
          <c:w val="0.87495628699781458"/>
          <c:h val="4.4751426985105806E-2"/>
        </c:manualLayout>
      </c:layout>
      <c:overlay val="0"/>
      <c:spPr>
        <a:noFill/>
        <a:ln w="6350">
          <a:solidFill>
            <a:schemeClr val="tx1">
              <a:lumMod val="95000"/>
              <a:lumOff val="5000"/>
            </a:schemeClr>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66343868116679E-2"/>
          <c:y val="2.6143790849673203E-2"/>
          <c:w val="0.85700952410418252"/>
          <c:h val="0.71734360594343871"/>
        </c:manualLayout>
      </c:layout>
      <c:barChart>
        <c:barDir val="col"/>
        <c:grouping val="stacked"/>
        <c:varyColors val="0"/>
        <c:ser>
          <c:idx val="0"/>
          <c:order val="0"/>
          <c:tx>
            <c:strRef>
              <c:f>'GRAF5-MvsŽ a věk'!$C$18</c:f>
              <c:strCache>
                <c:ptCount val="1"/>
                <c:pt idx="0">
                  <c:v>Muži (medián)</c:v>
                </c:pt>
              </c:strCache>
            </c:strRef>
          </c:tx>
          <c:spPr>
            <a:solidFill>
              <a:srgbClr val="A6CDE8"/>
            </a:solidFill>
            <a:ln>
              <a:noFill/>
            </a:ln>
            <a:effectLst/>
          </c:spPr>
          <c:invertIfNegative val="0"/>
          <c:cat>
            <c:multiLvlStrRef>
              <c:f>'GRAF5-MvsŽ a věk'!$A$19:$B$40</c:f>
              <c:multiLvlStrCache>
                <c:ptCount val="22"/>
                <c:lvl>
                  <c:pt idx="0">
                    <c:v>muži</c:v>
                  </c:pt>
                  <c:pt idx="1">
                    <c:v>ženy</c:v>
                  </c:pt>
                  <c:pt idx="2">
                    <c:v>muži</c:v>
                  </c:pt>
                  <c:pt idx="3">
                    <c:v>ženy</c:v>
                  </c:pt>
                  <c:pt idx="4">
                    <c:v>muži</c:v>
                  </c:pt>
                  <c:pt idx="5">
                    <c:v>ženy</c:v>
                  </c:pt>
                  <c:pt idx="6">
                    <c:v>muži</c:v>
                  </c:pt>
                  <c:pt idx="7">
                    <c:v>ženy</c:v>
                  </c:pt>
                  <c:pt idx="8">
                    <c:v>muži</c:v>
                  </c:pt>
                  <c:pt idx="9">
                    <c:v>ženy</c:v>
                  </c:pt>
                  <c:pt idx="10">
                    <c:v>muži</c:v>
                  </c:pt>
                  <c:pt idx="11">
                    <c:v>ženy</c:v>
                  </c:pt>
                  <c:pt idx="12">
                    <c:v>muži</c:v>
                  </c:pt>
                  <c:pt idx="13">
                    <c:v>ženy</c:v>
                  </c:pt>
                  <c:pt idx="14">
                    <c:v>muži</c:v>
                  </c:pt>
                  <c:pt idx="15">
                    <c:v>ženy</c:v>
                  </c:pt>
                  <c:pt idx="16">
                    <c:v>muži</c:v>
                  </c:pt>
                  <c:pt idx="17">
                    <c:v>ženy</c:v>
                  </c:pt>
                  <c:pt idx="18">
                    <c:v>muži</c:v>
                  </c:pt>
                  <c:pt idx="19">
                    <c:v>ženy</c:v>
                  </c:pt>
                  <c:pt idx="20">
                    <c:v>muži</c:v>
                  </c:pt>
                  <c:pt idx="21">
                    <c:v>ženy</c:v>
                  </c:pt>
                </c:lvl>
                <c:lvl>
                  <c:pt idx="0">
                    <c:v>do 19 
let</c:v>
                  </c:pt>
                  <c:pt idx="2">
                    <c:v>20–24 let</c:v>
                  </c:pt>
                  <c:pt idx="4">
                    <c:v>25–29 let</c:v>
                  </c:pt>
                  <c:pt idx="6">
                    <c:v>30–34 let</c:v>
                  </c:pt>
                  <c:pt idx="8">
                    <c:v>35–39 let</c:v>
                  </c:pt>
                  <c:pt idx="10">
                    <c:v>40–44 let</c:v>
                  </c:pt>
                  <c:pt idx="12">
                    <c:v>45–49 let</c:v>
                  </c:pt>
                  <c:pt idx="14">
                    <c:v>50–54 let</c:v>
                  </c:pt>
                  <c:pt idx="16">
                    <c:v>55–59 let</c:v>
                  </c:pt>
                  <c:pt idx="18">
                    <c:v>60–64 let</c:v>
                  </c:pt>
                  <c:pt idx="20">
                    <c:v>65+ let</c:v>
                  </c:pt>
                </c:lvl>
              </c:multiLvlStrCache>
            </c:multiLvlStrRef>
          </c:cat>
          <c:val>
            <c:numRef>
              <c:f>'GRAF5-MvsŽ a věk'!$C$19:$C$40</c:f>
              <c:numCache>
                <c:formatCode>General</c:formatCode>
                <c:ptCount val="22"/>
                <c:pt idx="0" formatCode="#,##0">
                  <c:v>22385</c:v>
                </c:pt>
                <c:pt idx="2" formatCode="#,##0">
                  <c:v>25858</c:v>
                </c:pt>
                <c:pt idx="4" formatCode="#,##0">
                  <c:v>30262</c:v>
                </c:pt>
                <c:pt idx="6" formatCode="#,##0">
                  <c:v>32584</c:v>
                </c:pt>
                <c:pt idx="8" formatCode="#,##0">
                  <c:v>33428</c:v>
                </c:pt>
                <c:pt idx="10" formatCode="#,##0">
                  <c:v>33946</c:v>
                </c:pt>
                <c:pt idx="12" formatCode="#,##0">
                  <c:v>32717</c:v>
                </c:pt>
                <c:pt idx="14" formatCode="#,##0">
                  <c:v>31574</c:v>
                </c:pt>
                <c:pt idx="16" formatCode="#,##0">
                  <c:v>30089</c:v>
                </c:pt>
                <c:pt idx="18" formatCode="#,##0">
                  <c:v>30015</c:v>
                </c:pt>
                <c:pt idx="20" formatCode="#,##0">
                  <c:v>28963</c:v>
                </c:pt>
              </c:numCache>
            </c:numRef>
          </c:val>
          <c:extLst>
            <c:ext xmlns:c16="http://schemas.microsoft.com/office/drawing/2014/chart" uri="{C3380CC4-5D6E-409C-BE32-E72D297353CC}">
              <c16:uniqueId val="{00000000-B5B1-4175-92EC-2084D53C5843}"/>
            </c:ext>
          </c:extLst>
        </c:ser>
        <c:ser>
          <c:idx val="1"/>
          <c:order val="1"/>
          <c:tx>
            <c:strRef>
              <c:f>'GRAF5-MvsŽ a věk'!$D$18</c:f>
              <c:strCache>
                <c:ptCount val="1"/>
                <c:pt idx="0">
                  <c:v>Muži (průměr)</c:v>
                </c:pt>
              </c:strCache>
            </c:strRef>
          </c:tx>
          <c:spPr>
            <a:solidFill>
              <a:srgbClr val="0071BC"/>
            </a:solidFill>
            <a:ln>
              <a:noFill/>
            </a:ln>
            <a:effectLst/>
          </c:spPr>
          <c:invertIfNegative val="0"/>
          <c:cat>
            <c:multiLvlStrRef>
              <c:f>'GRAF5-MvsŽ a věk'!$A$19:$B$40</c:f>
              <c:multiLvlStrCache>
                <c:ptCount val="22"/>
                <c:lvl>
                  <c:pt idx="0">
                    <c:v>muži</c:v>
                  </c:pt>
                  <c:pt idx="1">
                    <c:v>ženy</c:v>
                  </c:pt>
                  <c:pt idx="2">
                    <c:v>muži</c:v>
                  </c:pt>
                  <c:pt idx="3">
                    <c:v>ženy</c:v>
                  </c:pt>
                  <c:pt idx="4">
                    <c:v>muži</c:v>
                  </c:pt>
                  <c:pt idx="5">
                    <c:v>ženy</c:v>
                  </c:pt>
                  <c:pt idx="6">
                    <c:v>muži</c:v>
                  </c:pt>
                  <c:pt idx="7">
                    <c:v>ženy</c:v>
                  </c:pt>
                  <c:pt idx="8">
                    <c:v>muži</c:v>
                  </c:pt>
                  <c:pt idx="9">
                    <c:v>ženy</c:v>
                  </c:pt>
                  <c:pt idx="10">
                    <c:v>muži</c:v>
                  </c:pt>
                  <c:pt idx="11">
                    <c:v>ženy</c:v>
                  </c:pt>
                  <c:pt idx="12">
                    <c:v>muži</c:v>
                  </c:pt>
                  <c:pt idx="13">
                    <c:v>ženy</c:v>
                  </c:pt>
                  <c:pt idx="14">
                    <c:v>muži</c:v>
                  </c:pt>
                  <c:pt idx="15">
                    <c:v>ženy</c:v>
                  </c:pt>
                  <c:pt idx="16">
                    <c:v>muži</c:v>
                  </c:pt>
                  <c:pt idx="17">
                    <c:v>ženy</c:v>
                  </c:pt>
                  <c:pt idx="18">
                    <c:v>muži</c:v>
                  </c:pt>
                  <c:pt idx="19">
                    <c:v>ženy</c:v>
                  </c:pt>
                  <c:pt idx="20">
                    <c:v>muži</c:v>
                  </c:pt>
                  <c:pt idx="21">
                    <c:v>ženy</c:v>
                  </c:pt>
                </c:lvl>
                <c:lvl>
                  <c:pt idx="0">
                    <c:v>do 19 
let</c:v>
                  </c:pt>
                  <c:pt idx="2">
                    <c:v>20–24 let</c:v>
                  </c:pt>
                  <c:pt idx="4">
                    <c:v>25–29 let</c:v>
                  </c:pt>
                  <c:pt idx="6">
                    <c:v>30–34 let</c:v>
                  </c:pt>
                  <c:pt idx="8">
                    <c:v>35–39 let</c:v>
                  </c:pt>
                  <c:pt idx="10">
                    <c:v>40–44 let</c:v>
                  </c:pt>
                  <c:pt idx="12">
                    <c:v>45–49 let</c:v>
                  </c:pt>
                  <c:pt idx="14">
                    <c:v>50–54 let</c:v>
                  </c:pt>
                  <c:pt idx="16">
                    <c:v>55–59 let</c:v>
                  </c:pt>
                  <c:pt idx="18">
                    <c:v>60–64 let</c:v>
                  </c:pt>
                  <c:pt idx="20">
                    <c:v>65+ let</c:v>
                  </c:pt>
                </c:lvl>
              </c:multiLvlStrCache>
            </c:multiLvlStrRef>
          </c:cat>
          <c:val>
            <c:numRef>
              <c:f>'GRAF5-MvsŽ a věk'!$D$19:$D$40</c:f>
              <c:numCache>
                <c:formatCode>General</c:formatCode>
                <c:ptCount val="22"/>
                <c:pt idx="0" formatCode="#,##0">
                  <c:v>561</c:v>
                </c:pt>
                <c:pt idx="2" formatCode="#,##0">
                  <c:v>518</c:v>
                </c:pt>
                <c:pt idx="4" formatCode="#,##0">
                  <c:v>1555</c:v>
                </c:pt>
                <c:pt idx="6" formatCode="#,##0">
                  <c:v>3911</c:v>
                </c:pt>
                <c:pt idx="8" formatCode="#,##0">
                  <c:v>6267</c:v>
                </c:pt>
                <c:pt idx="10" formatCode="#,##0">
                  <c:v>7543</c:v>
                </c:pt>
                <c:pt idx="12" formatCode="#,##0">
                  <c:v>7296</c:v>
                </c:pt>
                <c:pt idx="14" formatCode="#,##0">
                  <c:v>6284</c:v>
                </c:pt>
                <c:pt idx="16" formatCode="#,##0">
                  <c:v>5514</c:v>
                </c:pt>
                <c:pt idx="18" formatCode="#,##0">
                  <c:v>5022</c:v>
                </c:pt>
                <c:pt idx="20" formatCode="#,##0">
                  <c:v>7849</c:v>
                </c:pt>
              </c:numCache>
            </c:numRef>
          </c:val>
          <c:extLst>
            <c:ext xmlns:c16="http://schemas.microsoft.com/office/drawing/2014/chart" uri="{C3380CC4-5D6E-409C-BE32-E72D297353CC}">
              <c16:uniqueId val="{00000001-B5B1-4175-92EC-2084D53C5843}"/>
            </c:ext>
          </c:extLst>
        </c:ser>
        <c:ser>
          <c:idx val="2"/>
          <c:order val="2"/>
          <c:tx>
            <c:strRef>
              <c:f>'GRAF5-MvsŽ a věk'!$E$18</c:f>
              <c:strCache>
                <c:ptCount val="1"/>
                <c:pt idx="0">
                  <c:v>Ženy (medián)</c:v>
                </c:pt>
              </c:strCache>
            </c:strRef>
          </c:tx>
          <c:spPr>
            <a:solidFill>
              <a:srgbClr val="E8AFB2"/>
            </a:solidFill>
            <a:ln>
              <a:noFill/>
            </a:ln>
            <a:effectLst/>
          </c:spPr>
          <c:invertIfNegative val="0"/>
          <c:cat>
            <c:multiLvlStrRef>
              <c:f>'GRAF5-MvsŽ a věk'!$A$19:$B$40</c:f>
              <c:multiLvlStrCache>
                <c:ptCount val="22"/>
                <c:lvl>
                  <c:pt idx="0">
                    <c:v>muži</c:v>
                  </c:pt>
                  <c:pt idx="1">
                    <c:v>ženy</c:v>
                  </c:pt>
                  <c:pt idx="2">
                    <c:v>muži</c:v>
                  </c:pt>
                  <c:pt idx="3">
                    <c:v>ženy</c:v>
                  </c:pt>
                  <c:pt idx="4">
                    <c:v>muži</c:v>
                  </c:pt>
                  <c:pt idx="5">
                    <c:v>ženy</c:v>
                  </c:pt>
                  <c:pt idx="6">
                    <c:v>muži</c:v>
                  </c:pt>
                  <c:pt idx="7">
                    <c:v>ženy</c:v>
                  </c:pt>
                  <c:pt idx="8">
                    <c:v>muži</c:v>
                  </c:pt>
                  <c:pt idx="9">
                    <c:v>ženy</c:v>
                  </c:pt>
                  <c:pt idx="10">
                    <c:v>muži</c:v>
                  </c:pt>
                  <c:pt idx="11">
                    <c:v>ženy</c:v>
                  </c:pt>
                  <c:pt idx="12">
                    <c:v>muži</c:v>
                  </c:pt>
                  <c:pt idx="13">
                    <c:v>ženy</c:v>
                  </c:pt>
                  <c:pt idx="14">
                    <c:v>muži</c:v>
                  </c:pt>
                  <c:pt idx="15">
                    <c:v>ženy</c:v>
                  </c:pt>
                  <c:pt idx="16">
                    <c:v>muži</c:v>
                  </c:pt>
                  <c:pt idx="17">
                    <c:v>ženy</c:v>
                  </c:pt>
                  <c:pt idx="18">
                    <c:v>muži</c:v>
                  </c:pt>
                  <c:pt idx="19">
                    <c:v>ženy</c:v>
                  </c:pt>
                  <c:pt idx="20">
                    <c:v>muži</c:v>
                  </c:pt>
                  <c:pt idx="21">
                    <c:v>ženy</c:v>
                  </c:pt>
                </c:lvl>
                <c:lvl>
                  <c:pt idx="0">
                    <c:v>do 19 
let</c:v>
                  </c:pt>
                  <c:pt idx="2">
                    <c:v>20–24 let</c:v>
                  </c:pt>
                  <c:pt idx="4">
                    <c:v>25–29 let</c:v>
                  </c:pt>
                  <c:pt idx="6">
                    <c:v>30–34 let</c:v>
                  </c:pt>
                  <c:pt idx="8">
                    <c:v>35–39 let</c:v>
                  </c:pt>
                  <c:pt idx="10">
                    <c:v>40–44 let</c:v>
                  </c:pt>
                  <c:pt idx="12">
                    <c:v>45–49 let</c:v>
                  </c:pt>
                  <c:pt idx="14">
                    <c:v>50–54 let</c:v>
                  </c:pt>
                  <c:pt idx="16">
                    <c:v>55–59 let</c:v>
                  </c:pt>
                  <c:pt idx="18">
                    <c:v>60–64 let</c:v>
                  </c:pt>
                  <c:pt idx="20">
                    <c:v>65+ let</c:v>
                  </c:pt>
                </c:lvl>
              </c:multiLvlStrCache>
            </c:multiLvlStrRef>
          </c:cat>
          <c:val>
            <c:numRef>
              <c:f>'GRAF5-MvsŽ a věk'!$E$19:$E$40</c:f>
              <c:numCache>
                <c:formatCode>#,##0</c:formatCode>
                <c:ptCount val="22"/>
                <c:pt idx="1">
                  <c:v>20286</c:v>
                </c:pt>
                <c:pt idx="3">
                  <c:v>22649</c:v>
                </c:pt>
                <c:pt idx="5">
                  <c:v>26810</c:v>
                </c:pt>
                <c:pt idx="7">
                  <c:v>27656</c:v>
                </c:pt>
                <c:pt idx="9">
                  <c:v>26624</c:v>
                </c:pt>
                <c:pt idx="11">
                  <c:v>26996</c:v>
                </c:pt>
                <c:pt idx="13">
                  <c:v>26540</c:v>
                </c:pt>
                <c:pt idx="15">
                  <c:v>27156</c:v>
                </c:pt>
                <c:pt idx="17">
                  <c:v>26585</c:v>
                </c:pt>
                <c:pt idx="19">
                  <c:v>29760</c:v>
                </c:pt>
                <c:pt idx="21">
                  <c:v>25129</c:v>
                </c:pt>
              </c:numCache>
            </c:numRef>
          </c:val>
          <c:extLst>
            <c:ext xmlns:c16="http://schemas.microsoft.com/office/drawing/2014/chart" uri="{C3380CC4-5D6E-409C-BE32-E72D297353CC}">
              <c16:uniqueId val="{00000002-B5B1-4175-92EC-2084D53C5843}"/>
            </c:ext>
          </c:extLst>
        </c:ser>
        <c:ser>
          <c:idx val="3"/>
          <c:order val="3"/>
          <c:tx>
            <c:strRef>
              <c:f>'GRAF5-MvsŽ a věk'!$F$18</c:f>
              <c:strCache>
                <c:ptCount val="1"/>
                <c:pt idx="0">
                  <c:v>Ženy (průměr)</c:v>
                </c:pt>
              </c:strCache>
            </c:strRef>
          </c:tx>
          <c:spPr>
            <a:solidFill>
              <a:srgbClr val="BD1B21"/>
            </a:solidFill>
            <a:ln>
              <a:noFill/>
            </a:ln>
            <a:effectLst/>
          </c:spPr>
          <c:invertIfNegative val="0"/>
          <c:cat>
            <c:multiLvlStrRef>
              <c:f>'GRAF5-MvsŽ a věk'!$A$19:$B$40</c:f>
              <c:multiLvlStrCache>
                <c:ptCount val="22"/>
                <c:lvl>
                  <c:pt idx="0">
                    <c:v>muži</c:v>
                  </c:pt>
                  <c:pt idx="1">
                    <c:v>ženy</c:v>
                  </c:pt>
                  <c:pt idx="2">
                    <c:v>muži</c:v>
                  </c:pt>
                  <c:pt idx="3">
                    <c:v>ženy</c:v>
                  </c:pt>
                  <c:pt idx="4">
                    <c:v>muži</c:v>
                  </c:pt>
                  <c:pt idx="5">
                    <c:v>ženy</c:v>
                  </c:pt>
                  <c:pt idx="6">
                    <c:v>muži</c:v>
                  </c:pt>
                  <c:pt idx="7">
                    <c:v>ženy</c:v>
                  </c:pt>
                  <c:pt idx="8">
                    <c:v>muži</c:v>
                  </c:pt>
                  <c:pt idx="9">
                    <c:v>ženy</c:v>
                  </c:pt>
                  <c:pt idx="10">
                    <c:v>muži</c:v>
                  </c:pt>
                  <c:pt idx="11">
                    <c:v>ženy</c:v>
                  </c:pt>
                  <c:pt idx="12">
                    <c:v>muži</c:v>
                  </c:pt>
                  <c:pt idx="13">
                    <c:v>ženy</c:v>
                  </c:pt>
                  <c:pt idx="14">
                    <c:v>muži</c:v>
                  </c:pt>
                  <c:pt idx="15">
                    <c:v>ženy</c:v>
                  </c:pt>
                  <c:pt idx="16">
                    <c:v>muži</c:v>
                  </c:pt>
                  <c:pt idx="17">
                    <c:v>ženy</c:v>
                  </c:pt>
                  <c:pt idx="18">
                    <c:v>muži</c:v>
                  </c:pt>
                  <c:pt idx="19">
                    <c:v>ženy</c:v>
                  </c:pt>
                  <c:pt idx="20">
                    <c:v>muži</c:v>
                  </c:pt>
                  <c:pt idx="21">
                    <c:v>ženy</c:v>
                  </c:pt>
                </c:lvl>
                <c:lvl>
                  <c:pt idx="0">
                    <c:v>do 19 
let</c:v>
                  </c:pt>
                  <c:pt idx="2">
                    <c:v>20–24 let</c:v>
                  </c:pt>
                  <c:pt idx="4">
                    <c:v>25–29 let</c:v>
                  </c:pt>
                  <c:pt idx="6">
                    <c:v>30–34 let</c:v>
                  </c:pt>
                  <c:pt idx="8">
                    <c:v>35–39 let</c:v>
                  </c:pt>
                  <c:pt idx="10">
                    <c:v>40–44 let</c:v>
                  </c:pt>
                  <c:pt idx="12">
                    <c:v>45–49 let</c:v>
                  </c:pt>
                  <c:pt idx="14">
                    <c:v>50–54 let</c:v>
                  </c:pt>
                  <c:pt idx="16">
                    <c:v>55–59 let</c:v>
                  </c:pt>
                  <c:pt idx="18">
                    <c:v>60–64 let</c:v>
                  </c:pt>
                  <c:pt idx="20">
                    <c:v>65+ let</c:v>
                  </c:pt>
                </c:lvl>
              </c:multiLvlStrCache>
            </c:multiLvlStrRef>
          </c:cat>
          <c:val>
            <c:numRef>
              <c:f>'GRAF5-MvsŽ a věk'!$F$19:$F$40</c:f>
              <c:numCache>
                <c:formatCode>#,##0</c:formatCode>
                <c:ptCount val="22"/>
                <c:pt idx="1">
                  <c:v>590</c:v>
                </c:pt>
                <c:pt idx="3">
                  <c:v>793</c:v>
                </c:pt>
                <c:pt idx="5">
                  <c:v>1504</c:v>
                </c:pt>
                <c:pt idx="7">
                  <c:v>2994</c:v>
                </c:pt>
                <c:pt idx="9">
                  <c:v>3520</c:v>
                </c:pt>
                <c:pt idx="11">
                  <c:v>3164</c:v>
                </c:pt>
                <c:pt idx="13">
                  <c:v>3263</c:v>
                </c:pt>
                <c:pt idx="15">
                  <c:v>2752</c:v>
                </c:pt>
                <c:pt idx="17">
                  <c:v>2813</c:v>
                </c:pt>
                <c:pt idx="19">
                  <c:v>2511</c:v>
                </c:pt>
                <c:pt idx="21">
                  <c:v>5145</c:v>
                </c:pt>
              </c:numCache>
            </c:numRef>
          </c:val>
          <c:extLst>
            <c:ext xmlns:c16="http://schemas.microsoft.com/office/drawing/2014/chart" uri="{C3380CC4-5D6E-409C-BE32-E72D297353CC}">
              <c16:uniqueId val="{00000003-B5B1-4175-92EC-2084D53C5843}"/>
            </c:ext>
          </c:extLst>
        </c:ser>
        <c:dLbls>
          <c:showLegendKey val="0"/>
          <c:showVal val="0"/>
          <c:showCatName val="0"/>
          <c:showSerName val="0"/>
          <c:showPercent val="0"/>
          <c:showBubbleSize val="0"/>
        </c:dLbls>
        <c:gapWidth val="56"/>
        <c:overlap val="100"/>
        <c:axId val="105582592"/>
        <c:axId val="105584128"/>
      </c:barChart>
      <c:lineChart>
        <c:grouping val="standard"/>
        <c:varyColors val="0"/>
        <c:ser>
          <c:idx val="4"/>
          <c:order val="4"/>
          <c:tx>
            <c:strRef>
              <c:f>'GRAF5-MvsŽ a věk'!$G$18</c:f>
              <c:strCache>
                <c:ptCount val="1"/>
                <c:pt idx="0">
                  <c:v>Ženy/Muži (rok 2012)</c:v>
                </c:pt>
              </c:strCache>
            </c:strRef>
          </c:tx>
          <c:spPr>
            <a:ln w="28575" cap="rnd">
              <a:noFill/>
              <a:round/>
            </a:ln>
            <a:effectLst/>
          </c:spPr>
          <c:marker>
            <c:symbol val="circle"/>
            <c:size val="7"/>
            <c:spPr>
              <a:solidFill>
                <a:schemeClr val="bg1"/>
              </a:solidFill>
              <a:ln w="9525">
                <a:solidFill>
                  <a:schemeClr val="accent3">
                    <a:lumMod val="50000"/>
                  </a:schemeClr>
                </a:solidFill>
              </a:ln>
              <a:effectLst/>
            </c:spPr>
          </c:marker>
          <c:cat>
            <c:multiLvlStrRef>
              <c:f>'GRAF5-MvsŽ a věk'!$A$19:$B$40</c:f>
              <c:multiLvlStrCache>
                <c:ptCount val="22"/>
                <c:lvl>
                  <c:pt idx="0">
                    <c:v>muži</c:v>
                  </c:pt>
                  <c:pt idx="1">
                    <c:v>ženy</c:v>
                  </c:pt>
                  <c:pt idx="2">
                    <c:v>muži</c:v>
                  </c:pt>
                  <c:pt idx="3">
                    <c:v>ženy</c:v>
                  </c:pt>
                  <c:pt idx="4">
                    <c:v>muži</c:v>
                  </c:pt>
                  <c:pt idx="5">
                    <c:v>ženy</c:v>
                  </c:pt>
                  <c:pt idx="6">
                    <c:v>muži</c:v>
                  </c:pt>
                  <c:pt idx="7">
                    <c:v>ženy</c:v>
                  </c:pt>
                  <c:pt idx="8">
                    <c:v>muži</c:v>
                  </c:pt>
                  <c:pt idx="9">
                    <c:v>ženy</c:v>
                  </c:pt>
                  <c:pt idx="10">
                    <c:v>muži</c:v>
                  </c:pt>
                  <c:pt idx="11">
                    <c:v>ženy</c:v>
                  </c:pt>
                  <c:pt idx="12">
                    <c:v>muži</c:v>
                  </c:pt>
                  <c:pt idx="13">
                    <c:v>ženy</c:v>
                  </c:pt>
                  <c:pt idx="14">
                    <c:v>muži</c:v>
                  </c:pt>
                  <c:pt idx="15">
                    <c:v>ženy</c:v>
                  </c:pt>
                  <c:pt idx="16">
                    <c:v>muži</c:v>
                  </c:pt>
                  <c:pt idx="17">
                    <c:v>ženy</c:v>
                  </c:pt>
                  <c:pt idx="18">
                    <c:v>muži</c:v>
                  </c:pt>
                  <c:pt idx="19">
                    <c:v>ženy</c:v>
                  </c:pt>
                  <c:pt idx="20">
                    <c:v>muži</c:v>
                  </c:pt>
                  <c:pt idx="21">
                    <c:v>ženy</c:v>
                  </c:pt>
                </c:lvl>
                <c:lvl>
                  <c:pt idx="0">
                    <c:v>do 19 
let</c:v>
                  </c:pt>
                  <c:pt idx="2">
                    <c:v>20–24 let</c:v>
                  </c:pt>
                  <c:pt idx="4">
                    <c:v>25–29 let</c:v>
                  </c:pt>
                  <c:pt idx="6">
                    <c:v>30–34 let</c:v>
                  </c:pt>
                  <c:pt idx="8">
                    <c:v>35–39 let</c:v>
                  </c:pt>
                  <c:pt idx="10">
                    <c:v>40–44 let</c:v>
                  </c:pt>
                  <c:pt idx="12">
                    <c:v>45–49 let</c:v>
                  </c:pt>
                  <c:pt idx="14">
                    <c:v>50–54 let</c:v>
                  </c:pt>
                  <c:pt idx="16">
                    <c:v>55–59 let</c:v>
                  </c:pt>
                  <c:pt idx="18">
                    <c:v>60–64 let</c:v>
                  </c:pt>
                  <c:pt idx="20">
                    <c:v>65+ let</c:v>
                  </c:pt>
                </c:lvl>
              </c:multiLvlStrCache>
            </c:multiLvlStrRef>
          </c:cat>
          <c:val>
            <c:numRef>
              <c:f>'GRAF5-MvsŽ a věk'!$G$19:$G$40</c:f>
              <c:numCache>
                <c:formatCode>0.0</c:formatCode>
                <c:ptCount val="22"/>
                <c:pt idx="1">
                  <c:v>89.062801932367151</c:v>
                </c:pt>
                <c:pt idx="3">
                  <c:v>87.919062601714231</c:v>
                </c:pt>
                <c:pt idx="5">
                  <c:v>93.748330216403957</c:v>
                </c:pt>
                <c:pt idx="7">
                  <c:v>83.950320512820511</c:v>
                </c:pt>
                <c:pt idx="9">
                  <c:v>75.90200620313297</c:v>
                </c:pt>
                <c:pt idx="11">
                  <c:v>79.166332343737466</c:v>
                </c:pt>
                <c:pt idx="13">
                  <c:v>82.467113227342423</c:v>
                </c:pt>
                <c:pt idx="15">
                  <c:v>87.111939350302819</c:v>
                </c:pt>
                <c:pt idx="17">
                  <c:v>88.157212037357311</c:v>
                </c:pt>
                <c:pt idx="19">
                  <c:v>96.476460386616466</c:v>
                </c:pt>
                <c:pt idx="21">
                  <c:v>76.821337551630194</c:v>
                </c:pt>
              </c:numCache>
            </c:numRef>
          </c:val>
          <c:smooth val="0"/>
          <c:extLst>
            <c:ext xmlns:c16="http://schemas.microsoft.com/office/drawing/2014/chart" uri="{C3380CC4-5D6E-409C-BE32-E72D297353CC}">
              <c16:uniqueId val="{00000004-B5B1-4175-92EC-2084D53C5843}"/>
            </c:ext>
          </c:extLst>
        </c:ser>
        <c:ser>
          <c:idx val="5"/>
          <c:order val="5"/>
          <c:tx>
            <c:strRef>
              <c:f>'GRAF5-MvsŽ a věk'!$H$18</c:f>
              <c:strCache>
                <c:ptCount val="1"/>
                <c:pt idx="0">
                  <c:v>Ženy/Muži (rok 2015)</c:v>
                </c:pt>
              </c:strCache>
            </c:strRef>
          </c:tx>
          <c:spPr>
            <a:ln w="28575" cap="rnd">
              <a:noFill/>
              <a:round/>
            </a:ln>
            <a:effectLst/>
          </c:spPr>
          <c:marker>
            <c:symbol val="dash"/>
            <c:size val="7"/>
            <c:spPr>
              <a:solidFill>
                <a:schemeClr val="accent3">
                  <a:lumMod val="75000"/>
                </a:schemeClr>
              </a:solidFill>
              <a:ln w="9525">
                <a:solidFill>
                  <a:schemeClr val="accent3">
                    <a:lumMod val="75000"/>
                  </a:schemeClr>
                </a:solidFill>
              </a:ln>
              <a:effectLst/>
            </c:spPr>
          </c:marker>
          <c:cat>
            <c:multiLvlStrRef>
              <c:f>'GRAF5-MvsŽ a věk'!$A$19:$B$40</c:f>
              <c:multiLvlStrCache>
                <c:ptCount val="22"/>
                <c:lvl>
                  <c:pt idx="0">
                    <c:v>muži</c:v>
                  </c:pt>
                  <c:pt idx="1">
                    <c:v>ženy</c:v>
                  </c:pt>
                  <c:pt idx="2">
                    <c:v>muži</c:v>
                  </c:pt>
                  <c:pt idx="3">
                    <c:v>ženy</c:v>
                  </c:pt>
                  <c:pt idx="4">
                    <c:v>muži</c:v>
                  </c:pt>
                  <c:pt idx="5">
                    <c:v>ženy</c:v>
                  </c:pt>
                  <c:pt idx="6">
                    <c:v>muži</c:v>
                  </c:pt>
                  <c:pt idx="7">
                    <c:v>ženy</c:v>
                  </c:pt>
                  <c:pt idx="8">
                    <c:v>muži</c:v>
                  </c:pt>
                  <c:pt idx="9">
                    <c:v>ženy</c:v>
                  </c:pt>
                  <c:pt idx="10">
                    <c:v>muži</c:v>
                  </c:pt>
                  <c:pt idx="11">
                    <c:v>ženy</c:v>
                  </c:pt>
                  <c:pt idx="12">
                    <c:v>muži</c:v>
                  </c:pt>
                  <c:pt idx="13">
                    <c:v>ženy</c:v>
                  </c:pt>
                  <c:pt idx="14">
                    <c:v>muži</c:v>
                  </c:pt>
                  <c:pt idx="15">
                    <c:v>ženy</c:v>
                  </c:pt>
                  <c:pt idx="16">
                    <c:v>muži</c:v>
                  </c:pt>
                  <c:pt idx="17">
                    <c:v>ženy</c:v>
                  </c:pt>
                  <c:pt idx="18">
                    <c:v>muži</c:v>
                  </c:pt>
                  <c:pt idx="19">
                    <c:v>ženy</c:v>
                  </c:pt>
                  <c:pt idx="20">
                    <c:v>muži</c:v>
                  </c:pt>
                  <c:pt idx="21">
                    <c:v>ženy</c:v>
                  </c:pt>
                </c:lvl>
                <c:lvl>
                  <c:pt idx="0">
                    <c:v>do 19 
let</c:v>
                  </c:pt>
                  <c:pt idx="2">
                    <c:v>20–24 let</c:v>
                  </c:pt>
                  <c:pt idx="4">
                    <c:v>25–29 let</c:v>
                  </c:pt>
                  <c:pt idx="6">
                    <c:v>30–34 let</c:v>
                  </c:pt>
                  <c:pt idx="8">
                    <c:v>35–39 let</c:v>
                  </c:pt>
                  <c:pt idx="10">
                    <c:v>40–44 let</c:v>
                  </c:pt>
                  <c:pt idx="12">
                    <c:v>45–49 let</c:v>
                  </c:pt>
                  <c:pt idx="14">
                    <c:v>50–54 let</c:v>
                  </c:pt>
                  <c:pt idx="16">
                    <c:v>55–59 let</c:v>
                  </c:pt>
                  <c:pt idx="18">
                    <c:v>60–64 let</c:v>
                  </c:pt>
                  <c:pt idx="20">
                    <c:v>65+ let</c:v>
                  </c:pt>
                </c:lvl>
              </c:multiLvlStrCache>
            </c:multiLvlStrRef>
          </c:cat>
          <c:val>
            <c:numRef>
              <c:f>'GRAF5-MvsŽ a věk'!$H$19:$H$40</c:f>
              <c:numCache>
                <c:formatCode>0.0</c:formatCode>
                <c:ptCount val="22"/>
                <c:pt idx="1">
                  <c:v>88.100885058136171</c:v>
                </c:pt>
                <c:pt idx="3">
                  <c:v>85.057130138002663</c:v>
                </c:pt>
                <c:pt idx="5">
                  <c:v>89.17782814753761</c:v>
                </c:pt>
                <c:pt idx="7">
                  <c:v>85.400225479143174</c:v>
                </c:pt>
                <c:pt idx="9">
                  <c:v>76.529038275280698</c:v>
                </c:pt>
                <c:pt idx="11">
                  <c:v>77.402437701182677</c:v>
                </c:pt>
                <c:pt idx="13">
                  <c:v>79.518923340025282</c:v>
                </c:pt>
                <c:pt idx="15">
                  <c:v>84.753636432868788</c:v>
                </c:pt>
                <c:pt idx="17">
                  <c:v>87.680808080808077</c:v>
                </c:pt>
                <c:pt idx="19">
                  <c:v>99.7</c:v>
                </c:pt>
                <c:pt idx="21">
                  <c:v>79.117574359396883</c:v>
                </c:pt>
              </c:numCache>
            </c:numRef>
          </c:val>
          <c:smooth val="0"/>
          <c:extLst>
            <c:ext xmlns:c16="http://schemas.microsoft.com/office/drawing/2014/chart" uri="{C3380CC4-5D6E-409C-BE32-E72D297353CC}">
              <c16:uniqueId val="{00000005-B5B1-4175-92EC-2084D53C5843}"/>
            </c:ext>
          </c:extLst>
        </c:ser>
        <c:ser>
          <c:idx val="6"/>
          <c:order val="6"/>
          <c:tx>
            <c:strRef>
              <c:f>'GRAF5-MvsŽ a věk'!$I$18</c:f>
              <c:strCache>
                <c:ptCount val="1"/>
                <c:pt idx="0">
                  <c:v>Ženy/Muži (rok 2018)</c:v>
                </c:pt>
              </c:strCache>
            </c:strRef>
          </c:tx>
          <c:spPr>
            <a:ln w="28575" cap="rnd">
              <a:noFill/>
              <a:round/>
            </a:ln>
            <a:effectLst/>
          </c:spPr>
          <c:marker>
            <c:symbol val="circle"/>
            <c:size val="7"/>
            <c:spPr>
              <a:solidFill>
                <a:srgbClr val="009E47"/>
              </a:solidFill>
              <a:ln w="9525">
                <a:solidFill>
                  <a:srgbClr val="009E47"/>
                </a:solidFill>
              </a:ln>
              <a:effectLst/>
            </c:spPr>
          </c:marker>
          <c:cat>
            <c:multiLvlStrRef>
              <c:f>'GRAF5-MvsŽ a věk'!$A$19:$B$40</c:f>
              <c:multiLvlStrCache>
                <c:ptCount val="22"/>
                <c:lvl>
                  <c:pt idx="0">
                    <c:v>muži</c:v>
                  </c:pt>
                  <c:pt idx="1">
                    <c:v>ženy</c:v>
                  </c:pt>
                  <c:pt idx="2">
                    <c:v>muži</c:v>
                  </c:pt>
                  <c:pt idx="3">
                    <c:v>ženy</c:v>
                  </c:pt>
                  <c:pt idx="4">
                    <c:v>muži</c:v>
                  </c:pt>
                  <c:pt idx="5">
                    <c:v>ženy</c:v>
                  </c:pt>
                  <c:pt idx="6">
                    <c:v>muži</c:v>
                  </c:pt>
                  <c:pt idx="7">
                    <c:v>ženy</c:v>
                  </c:pt>
                  <c:pt idx="8">
                    <c:v>muži</c:v>
                  </c:pt>
                  <c:pt idx="9">
                    <c:v>ženy</c:v>
                  </c:pt>
                  <c:pt idx="10">
                    <c:v>muži</c:v>
                  </c:pt>
                  <c:pt idx="11">
                    <c:v>ženy</c:v>
                  </c:pt>
                  <c:pt idx="12">
                    <c:v>muži</c:v>
                  </c:pt>
                  <c:pt idx="13">
                    <c:v>ženy</c:v>
                  </c:pt>
                  <c:pt idx="14">
                    <c:v>muži</c:v>
                  </c:pt>
                  <c:pt idx="15">
                    <c:v>ženy</c:v>
                  </c:pt>
                  <c:pt idx="16">
                    <c:v>muži</c:v>
                  </c:pt>
                  <c:pt idx="17">
                    <c:v>ženy</c:v>
                  </c:pt>
                  <c:pt idx="18">
                    <c:v>muži</c:v>
                  </c:pt>
                  <c:pt idx="19">
                    <c:v>ženy</c:v>
                  </c:pt>
                  <c:pt idx="20">
                    <c:v>muži</c:v>
                  </c:pt>
                  <c:pt idx="21">
                    <c:v>ženy</c:v>
                  </c:pt>
                </c:lvl>
                <c:lvl>
                  <c:pt idx="0">
                    <c:v>do 19 
let</c:v>
                  </c:pt>
                  <c:pt idx="2">
                    <c:v>20–24 let</c:v>
                  </c:pt>
                  <c:pt idx="4">
                    <c:v>25–29 let</c:v>
                  </c:pt>
                  <c:pt idx="6">
                    <c:v>30–34 let</c:v>
                  </c:pt>
                  <c:pt idx="8">
                    <c:v>35–39 let</c:v>
                  </c:pt>
                  <c:pt idx="10">
                    <c:v>40–44 let</c:v>
                  </c:pt>
                  <c:pt idx="12">
                    <c:v>45–49 let</c:v>
                  </c:pt>
                  <c:pt idx="14">
                    <c:v>50–54 let</c:v>
                  </c:pt>
                  <c:pt idx="16">
                    <c:v>55–59 let</c:v>
                  </c:pt>
                  <c:pt idx="18">
                    <c:v>60–64 let</c:v>
                  </c:pt>
                  <c:pt idx="20">
                    <c:v>65+ let</c:v>
                  </c:pt>
                </c:lvl>
              </c:multiLvlStrCache>
            </c:multiLvlStrRef>
          </c:cat>
          <c:val>
            <c:numRef>
              <c:f>'GRAF5-MvsŽ a věk'!$I$19:$I$40</c:f>
              <c:numCache>
                <c:formatCode>0.0</c:formatCode>
                <c:ptCount val="22"/>
                <c:pt idx="1">
                  <c:v>90.623185168639722</c:v>
                </c:pt>
                <c:pt idx="3">
                  <c:v>87.58991414649239</c:v>
                </c:pt>
                <c:pt idx="5">
                  <c:v>88.592954860881633</c:v>
                </c:pt>
                <c:pt idx="7">
                  <c:v>84.876012767002209</c:v>
                </c:pt>
                <c:pt idx="9">
                  <c:v>79.64580591121215</c:v>
                </c:pt>
                <c:pt idx="11">
                  <c:v>79.526306486773109</c:v>
                </c:pt>
                <c:pt idx="13">
                  <c:v>81.119907081945158</c:v>
                </c:pt>
                <c:pt idx="15">
                  <c:v>86.007474504339015</c:v>
                </c:pt>
                <c:pt idx="17">
                  <c:v>88.354548173751198</c:v>
                </c:pt>
                <c:pt idx="19">
                  <c:v>99.150424787606198</c:v>
                </c:pt>
                <c:pt idx="21">
                  <c:v>86.762421019921959</c:v>
                </c:pt>
              </c:numCache>
            </c:numRef>
          </c:val>
          <c:smooth val="0"/>
          <c:extLst>
            <c:ext xmlns:c16="http://schemas.microsoft.com/office/drawing/2014/chart" uri="{C3380CC4-5D6E-409C-BE32-E72D297353CC}">
              <c16:uniqueId val="{00000006-B5B1-4175-92EC-2084D53C5843}"/>
            </c:ext>
          </c:extLst>
        </c:ser>
        <c:dLbls>
          <c:showLegendKey val="0"/>
          <c:showVal val="0"/>
          <c:showCatName val="0"/>
          <c:showSerName val="0"/>
          <c:showPercent val="0"/>
          <c:showBubbleSize val="0"/>
        </c:dLbls>
        <c:marker val="1"/>
        <c:smooth val="0"/>
        <c:axId val="105591168"/>
        <c:axId val="105585280"/>
      </c:lineChart>
      <c:catAx>
        <c:axId val="105582592"/>
        <c:scaling>
          <c:orientation val="minMax"/>
        </c:scaling>
        <c:delete val="0"/>
        <c:axPos val="b"/>
        <c:numFmt formatCode="General" sourceLinked="1"/>
        <c:majorTickMark val="none"/>
        <c:minorTickMark val="none"/>
        <c:tickLblPos val="nextTo"/>
        <c:spPr>
          <a:noFill/>
          <a:ln w="6350" cap="flat" cmpd="sng" algn="ctr">
            <a:solidFill>
              <a:schemeClr val="tx1">
                <a:lumMod val="95000"/>
                <a:lumOff val="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584128"/>
        <c:crosses val="autoZero"/>
        <c:auto val="1"/>
        <c:lblAlgn val="ctr"/>
        <c:lblOffset val="0"/>
        <c:noMultiLvlLbl val="0"/>
      </c:catAx>
      <c:valAx>
        <c:axId val="105584128"/>
        <c:scaling>
          <c:orientation val="minMax"/>
          <c:max val="45000"/>
          <c:min val="0"/>
        </c:scaling>
        <c:delete val="0"/>
        <c:axPos val="l"/>
        <c:majorGridlines>
          <c:spPr>
            <a:ln w="9525" cap="flat" cmpd="sng" algn="ctr">
              <a:solidFill>
                <a:srgbClr val="D9D9D9"/>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582592"/>
        <c:crosses val="autoZero"/>
        <c:crossBetween val="between"/>
      </c:valAx>
      <c:valAx>
        <c:axId val="105585280"/>
        <c:scaling>
          <c:orientation val="minMax"/>
          <c:max val="100"/>
          <c:min val="73"/>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591168"/>
        <c:crosses val="max"/>
        <c:crossBetween val="between"/>
        <c:majorUnit val="3"/>
      </c:valAx>
      <c:catAx>
        <c:axId val="105591168"/>
        <c:scaling>
          <c:orientation val="minMax"/>
        </c:scaling>
        <c:delete val="1"/>
        <c:axPos val="b"/>
        <c:numFmt formatCode="General" sourceLinked="1"/>
        <c:majorTickMark val="out"/>
        <c:minorTickMark val="none"/>
        <c:tickLblPos val="nextTo"/>
        <c:crossAx val="105585280"/>
        <c:crosses val="autoZero"/>
        <c:auto val="1"/>
        <c:lblAlgn val="ctr"/>
        <c:lblOffset val="100"/>
        <c:noMultiLvlLbl val="0"/>
      </c:catAx>
      <c:spPr>
        <a:noFill/>
        <a:ln w="6350">
          <a:solidFill>
            <a:schemeClr val="tx1">
              <a:lumMod val="95000"/>
              <a:lumOff val="5000"/>
            </a:schemeClr>
          </a:solidFill>
        </a:ln>
        <a:effectLst/>
      </c:spPr>
    </c:plotArea>
    <c:legend>
      <c:legendPos val="b"/>
      <c:layout>
        <c:manualLayout>
          <c:xMode val="edge"/>
          <c:yMode val="edge"/>
          <c:x val="8.3576790747555113E-2"/>
          <c:y val="0.90506993331856289"/>
          <c:w val="0.85896958509913046"/>
          <c:h val="8.3413117589462474E-2"/>
        </c:manualLayout>
      </c:layout>
      <c:overlay val="0"/>
      <c:spPr>
        <a:noFill/>
        <a:ln w="6350">
          <a:solidFill>
            <a:schemeClr val="tx1">
              <a:lumMod val="95000"/>
              <a:lumOff val="5000"/>
            </a:schemeClr>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917650414457003E-2"/>
          <c:y val="1.8900049881717198E-2"/>
          <c:w val="0.9069899366330505"/>
          <c:h val="0.86227263474272853"/>
        </c:manualLayout>
      </c:layout>
      <c:barChart>
        <c:barDir val="col"/>
        <c:grouping val="clustered"/>
        <c:varyColors val="0"/>
        <c:ser>
          <c:idx val="0"/>
          <c:order val="0"/>
          <c:tx>
            <c:strRef>
              <c:f>'GRAF-6-vzdělání'!$B$90</c:f>
              <c:strCache>
                <c:ptCount val="1"/>
                <c:pt idx="0">
                  <c:v>celkem</c:v>
                </c:pt>
              </c:strCache>
            </c:strRef>
          </c:tx>
          <c:spPr>
            <a:noFill/>
            <a:ln w="3175">
              <a:solidFill>
                <a:schemeClr val="bg1">
                  <a:lumMod val="50000"/>
                </a:schemeClr>
              </a:solidFill>
            </a:ln>
            <a:effectLst/>
          </c:spPr>
          <c:invertIfNegative val="0"/>
          <c:dPt>
            <c:idx val="0"/>
            <c:invertIfNegative val="0"/>
            <c:bubble3D val="0"/>
            <c:spPr>
              <a:solidFill>
                <a:schemeClr val="bg1">
                  <a:lumMod val="95000"/>
                </a:schemeClr>
              </a:solidFill>
              <a:ln w="3175">
                <a:solidFill>
                  <a:schemeClr val="bg1">
                    <a:lumMod val="50000"/>
                  </a:schemeClr>
                </a:solidFill>
              </a:ln>
              <a:effectLst/>
            </c:spPr>
            <c:extLst>
              <c:ext xmlns:c16="http://schemas.microsoft.com/office/drawing/2014/chart" uri="{C3380CC4-5D6E-409C-BE32-E72D297353CC}">
                <c16:uniqueId val="{00000001-4DF2-42B5-ABEB-F7F5AA104508}"/>
              </c:ext>
            </c:extLst>
          </c:dPt>
          <c:dPt>
            <c:idx val="1"/>
            <c:invertIfNegative val="0"/>
            <c:bubble3D val="0"/>
            <c:spPr>
              <a:solidFill>
                <a:schemeClr val="accent1">
                  <a:lumMod val="20000"/>
                  <a:lumOff val="80000"/>
                </a:schemeClr>
              </a:solidFill>
              <a:ln w="3175">
                <a:solidFill>
                  <a:schemeClr val="bg1">
                    <a:lumMod val="50000"/>
                  </a:schemeClr>
                </a:solidFill>
              </a:ln>
              <a:effectLst/>
            </c:spPr>
            <c:extLst>
              <c:ext xmlns:c16="http://schemas.microsoft.com/office/drawing/2014/chart" uri="{C3380CC4-5D6E-409C-BE32-E72D297353CC}">
                <c16:uniqueId val="{00000003-4DF2-42B5-ABEB-F7F5AA104508}"/>
              </c:ext>
            </c:extLst>
          </c:dPt>
          <c:dPt>
            <c:idx val="2"/>
            <c:invertIfNegative val="0"/>
            <c:bubble3D val="0"/>
            <c:spPr>
              <a:solidFill>
                <a:schemeClr val="accent1">
                  <a:lumMod val="40000"/>
                  <a:lumOff val="60000"/>
                </a:schemeClr>
              </a:solidFill>
              <a:ln w="3175">
                <a:solidFill>
                  <a:schemeClr val="bg1">
                    <a:lumMod val="50000"/>
                  </a:schemeClr>
                </a:solidFill>
              </a:ln>
              <a:effectLst/>
            </c:spPr>
            <c:extLst>
              <c:ext xmlns:c16="http://schemas.microsoft.com/office/drawing/2014/chart" uri="{C3380CC4-5D6E-409C-BE32-E72D297353CC}">
                <c16:uniqueId val="{00000005-4DF2-42B5-ABEB-F7F5AA104508}"/>
              </c:ext>
            </c:extLst>
          </c:dPt>
          <c:dPt>
            <c:idx val="3"/>
            <c:invertIfNegative val="0"/>
            <c:bubble3D val="0"/>
            <c:spPr>
              <a:solidFill>
                <a:schemeClr val="accent1">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07-4DF2-42B5-ABEB-F7F5AA104508}"/>
              </c:ext>
            </c:extLst>
          </c:dPt>
          <c:dPt>
            <c:idx val="4"/>
            <c:invertIfNegative val="0"/>
            <c:bubble3D val="0"/>
            <c:spPr>
              <a:solidFill>
                <a:schemeClr val="tx2">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09-4DF2-42B5-ABEB-F7F5AA104508}"/>
              </c:ext>
            </c:extLst>
          </c:dPt>
          <c:dPt>
            <c:idx val="6"/>
            <c:invertIfNegative val="0"/>
            <c:bubble3D val="0"/>
            <c:spPr>
              <a:solidFill>
                <a:schemeClr val="bg1">
                  <a:lumMod val="95000"/>
                </a:schemeClr>
              </a:solidFill>
              <a:ln w="3175">
                <a:solidFill>
                  <a:schemeClr val="bg1">
                    <a:lumMod val="50000"/>
                  </a:schemeClr>
                </a:solidFill>
              </a:ln>
              <a:effectLst/>
            </c:spPr>
            <c:extLst>
              <c:ext xmlns:c16="http://schemas.microsoft.com/office/drawing/2014/chart" uri="{C3380CC4-5D6E-409C-BE32-E72D297353CC}">
                <c16:uniqueId val="{0000000B-4DF2-42B5-ABEB-F7F5AA104508}"/>
              </c:ext>
            </c:extLst>
          </c:dPt>
          <c:dPt>
            <c:idx val="7"/>
            <c:invertIfNegative val="0"/>
            <c:bubble3D val="0"/>
            <c:spPr>
              <a:solidFill>
                <a:schemeClr val="accent1">
                  <a:lumMod val="20000"/>
                  <a:lumOff val="80000"/>
                </a:schemeClr>
              </a:solidFill>
              <a:ln w="3175">
                <a:solidFill>
                  <a:schemeClr val="bg1">
                    <a:lumMod val="50000"/>
                  </a:schemeClr>
                </a:solidFill>
              </a:ln>
              <a:effectLst/>
            </c:spPr>
            <c:extLst>
              <c:ext xmlns:c16="http://schemas.microsoft.com/office/drawing/2014/chart" uri="{C3380CC4-5D6E-409C-BE32-E72D297353CC}">
                <c16:uniqueId val="{0000000D-4DF2-42B5-ABEB-F7F5AA104508}"/>
              </c:ext>
            </c:extLst>
          </c:dPt>
          <c:dPt>
            <c:idx val="8"/>
            <c:invertIfNegative val="0"/>
            <c:bubble3D val="0"/>
            <c:spPr>
              <a:solidFill>
                <a:schemeClr val="accent1">
                  <a:lumMod val="40000"/>
                  <a:lumOff val="60000"/>
                </a:schemeClr>
              </a:solidFill>
              <a:ln w="3175">
                <a:solidFill>
                  <a:schemeClr val="bg1">
                    <a:lumMod val="50000"/>
                  </a:schemeClr>
                </a:solidFill>
              </a:ln>
              <a:effectLst/>
            </c:spPr>
            <c:extLst>
              <c:ext xmlns:c16="http://schemas.microsoft.com/office/drawing/2014/chart" uri="{C3380CC4-5D6E-409C-BE32-E72D297353CC}">
                <c16:uniqueId val="{0000000F-4DF2-42B5-ABEB-F7F5AA104508}"/>
              </c:ext>
            </c:extLst>
          </c:dPt>
          <c:dPt>
            <c:idx val="9"/>
            <c:invertIfNegative val="0"/>
            <c:bubble3D val="0"/>
            <c:spPr>
              <a:solidFill>
                <a:schemeClr val="accent1">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11-4DF2-42B5-ABEB-F7F5AA104508}"/>
              </c:ext>
            </c:extLst>
          </c:dPt>
          <c:dPt>
            <c:idx val="10"/>
            <c:invertIfNegative val="0"/>
            <c:bubble3D val="0"/>
            <c:spPr>
              <a:solidFill>
                <a:schemeClr val="tx2">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13-4DF2-42B5-ABEB-F7F5AA104508}"/>
              </c:ext>
            </c:extLst>
          </c:dPt>
          <c:dPt>
            <c:idx val="12"/>
            <c:invertIfNegative val="0"/>
            <c:bubble3D val="0"/>
            <c:spPr>
              <a:solidFill>
                <a:schemeClr val="bg1">
                  <a:lumMod val="95000"/>
                </a:schemeClr>
              </a:solidFill>
              <a:ln w="3175">
                <a:solidFill>
                  <a:schemeClr val="bg1">
                    <a:lumMod val="50000"/>
                  </a:schemeClr>
                </a:solidFill>
              </a:ln>
              <a:effectLst/>
            </c:spPr>
            <c:extLst>
              <c:ext xmlns:c16="http://schemas.microsoft.com/office/drawing/2014/chart" uri="{C3380CC4-5D6E-409C-BE32-E72D297353CC}">
                <c16:uniqueId val="{00000015-4DF2-42B5-ABEB-F7F5AA104508}"/>
              </c:ext>
            </c:extLst>
          </c:dPt>
          <c:dPt>
            <c:idx val="13"/>
            <c:invertIfNegative val="0"/>
            <c:bubble3D val="0"/>
            <c:spPr>
              <a:solidFill>
                <a:schemeClr val="accent1">
                  <a:lumMod val="20000"/>
                  <a:lumOff val="80000"/>
                </a:schemeClr>
              </a:solidFill>
              <a:ln w="3175">
                <a:solidFill>
                  <a:schemeClr val="bg1">
                    <a:lumMod val="50000"/>
                  </a:schemeClr>
                </a:solidFill>
              </a:ln>
              <a:effectLst/>
            </c:spPr>
            <c:extLst>
              <c:ext xmlns:c16="http://schemas.microsoft.com/office/drawing/2014/chart" uri="{C3380CC4-5D6E-409C-BE32-E72D297353CC}">
                <c16:uniqueId val="{00000017-4DF2-42B5-ABEB-F7F5AA104508}"/>
              </c:ext>
            </c:extLst>
          </c:dPt>
          <c:dPt>
            <c:idx val="14"/>
            <c:invertIfNegative val="0"/>
            <c:bubble3D val="0"/>
            <c:spPr>
              <a:solidFill>
                <a:schemeClr val="accent1">
                  <a:lumMod val="40000"/>
                  <a:lumOff val="60000"/>
                </a:schemeClr>
              </a:solidFill>
              <a:ln w="3175">
                <a:solidFill>
                  <a:schemeClr val="bg1">
                    <a:lumMod val="50000"/>
                  </a:schemeClr>
                </a:solidFill>
              </a:ln>
              <a:effectLst/>
            </c:spPr>
            <c:extLst>
              <c:ext xmlns:c16="http://schemas.microsoft.com/office/drawing/2014/chart" uri="{C3380CC4-5D6E-409C-BE32-E72D297353CC}">
                <c16:uniqueId val="{00000019-4DF2-42B5-ABEB-F7F5AA104508}"/>
              </c:ext>
            </c:extLst>
          </c:dPt>
          <c:dPt>
            <c:idx val="15"/>
            <c:invertIfNegative val="0"/>
            <c:bubble3D val="0"/>
            <c:spPr>
              <a:solidFill>
                <a:schemeClr val="accent1">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1B-4DF2-42B5-ABEB-F7F5AA104508}"/>
              </c:ext>
            </c:extLst>
          </c:dPt>
          <c:dPt>
            <c:idx val="16"/>
            <c:invertIfNegative val="0"/>
            <c:bubble3D val="0"/>
            <c:spPr>
              <a:solidFill>
                <a:schemeClr val="tx2">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1D-4DF2-42B5-ABEB-F7F5AA104508}"/>
              </c:ext>
            </c:extLst>
          </c:dPt>
          <c:dPt>
            <c:idx val="18"/>
            <c:invertIfNegative val="0"/>
            <c:bubble3D val="0"/>
            <c:spPr>
              <a:solidFill>
                <a:schemeClr val="bg1">
                  <a:lumMod val="95000"/>
                </a:schemeClr>
              </a:solidFill>
              <a:ln w="3175">
                <a:solidFill>
                  <a:schemeClr val="bg1">
                    <a:lumMod val="50000"/>
                  </a:schemeClr>
                </a:solidFill>
              </a:ln>
              <a:effectLst/>
            </c:spPr>
            <c:extLst>
              <c:ext xmlns:c16="http://schemas.microsoft.com/office/drawing/2014/chart" uri="{C3380CC4-5D6E-409C-BE32-E72D297353CC}">
                <c16:uniqueId val="{0000001F-4DF2-42B5-ABEB-F7F5AA104508}"/>
              </c:ext>
            </c:extLst>
          </c:dPt>
          <c:dPt>
            <c:idx val="19"/>
            <c:invertIfNegative val="0"/>
            <c:bubble3D val="0"/>
            <c:spPr>
              <a:solidFill>
                <a:schemeClr val="accent1">
                  <a:lumMod val="20000"/>
                  <a:lumOff val="80000"/>
                </a:schemeClr>
              </a:solidFill>
              <a:ln w="3175">
                <a:solidFill>
                  <a:schemeClr val="bg1">
                    <a:lumMod val="50000"/>
                  </a:schemeClr>
                </a:solidFill>
              </a:ln>
              <a:effectLst/>
            </c:spPr>
            <c:extLst>
              <c:ext xmlns:c16="http://schemas.microsoft.com/office/drawing/2014/chart" uri="{C3380CC4-5D6E-409C-BE32-E72D297353CC}">
                <c16:uniqueId val="{00000021-4DF2-42B5-ABEB-F7F5AA104508}"/>
              </c:ext>
            </c:extLst>
          </c:dPt>
          <c:dPt>
            <c:idx val="20"/>
            <c:invertIfNegative val="0"/>
            <c:bubble3D val="0"/>
            <c:spPr>
              <a:solidFill>
                <a:schemeClr val="accent1">
                  <a:lumMod val="40000"/>
                  <a:lumOff val="60000"/>
                </a:schemeClr>
              </a:solidFill>
              <a:ln w="3175">
                <a:solidFill>
                  <a:schemeClr val="bg1">
                    <a:lumMod val="50000"/>
                  </a:schemeClr>
                </a:solidFill>
              </a:ln>
              <a:effectLst/>
            </c:spPr>
            <c:extLst>
              <c:ext xmlns:c16="http://schemas.microsoft.com/office/drawing/2014/chart" uri="{C3380CC4-5D6E-409C-BE32-E72D297353CC}">
                <c16:uniqueId val="{00000023-4DF2-42B5-ABEB-F7F5AA104508}"/>
              </c:ext>
            </c:extLst>
          </c:dPt>
          <c:dPt>
            <c:idx val="21"/>
            <c:invertIfNegative val="0"/>
            <c:bubble3D val="0"/>
            <c:spPr>
              <a:solidFill>
                <a:schemeClr val="accent1">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25-4DF2-42B5-ABEB-F7F5AA104508}"/>
              </c:ext>
            </c:extLst>
          </c:dPt>
          <c:dPt>
            <c:idx val="22"/>
            <c:invertIfNegative val="0"/>
            <c:bubble3D val="0"/>
            <c:spPr>
              <a:solidFill>
                <a:schemeClr val="tx2">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27-4DF2-42B5-ABEB-F7F5AA104508}"/>
              </c:ext>
            </c:extLst>
          </c:dPt>
          <c:dPt>
            <c:idx val="24"/>
            <c:invertIfNegative val="0"/>
            <c:bubble3D val="0"/>
            <c:spPr>
              <a:solidFill>
                <a:schemeClr val="bg1">
                  <a:lumMod val="95000"/>
                </a:schemeClr>
              </a:solidFill>
              <a:ln w="3175">
                <a:solidFill>
                  <a:schemeClr val="bg1">
                    <a:lumMod val="50000"/>
                  </a:schemeClr>
                </a:solidFill>
              </a:ln>
              <a:effectLst/>
            </c:spPr>
            <c:extLst>
              <c:ext xmlns:c16="http://schemas.microsoft.com/office/drawing/2014/chart" uri="{C3380CC4-5D6E-409C-BE32-E72D297353CC}">
                <c16:uniqueId val="{00000029-4DF2-42B5-ABEB-F7F5AA104508}"/>
              </c:ext>
            </c:extLst>
          </c:dPt>
          <c:dPt>
            <c:idx val="25"/>
            <c:invertIfNegative val="0"/>
            <c:bubble3D val="0"/>
            <c:spPr>
              <a:solidFill>
                <a:schemeClr val="accent1">
                  <a:lumMod val="20000"/>
                  <a:lumOff val="80000"/>
                </a:schemeClr>
              </a:solidFill>
              <a:ln w="3175">
                <a:solidFill>
                  <a:schemeClr val="bg1">
                    <a:lumMod val="50000"/>
                  </a:schemeClr>
                </a:solidFill>
              </a:ln>
              <a:effectLst/>
            </c:spPr>
            <c:extLst>
              <c:ext xmlns:c16="http://schemas.microsoft.com/office/drawing/2014/chart" uri="{C3380CC4-5D6E-409C-BE32-E72D297353CC}">
                <c16:uniqueId val="{0000002B-4DF2-42B5-ABEB-F7F5AA104508}"/>
              </c:ext>
            </c:extLst>
          </c:dPt>
          <c:dPt>
            <c:idx val="26"/>
            <c:invertIfNegative val="0"/>
            <c:bubble3D val="0"/>
            <c:spPr>
              <a:solidFill>
                <a:schemeClr val="accent1">
                  <a:lumMod val="40000"/>
                  <a:lumOff val="60000"/>
                </a:schemeClr>
              </a:solidFill>
              <a:ln w="3175">
                <a:solidFill>
                  <a:schemeClr val="bg1">
                    <a:lumMod val="50000"/>
                  </a:schemeClr>
                </a:solidFill>
              </a:ln>
              <a:effectLst/>
            </c:spPr>
            <c:extLst>
              <c:ext xmlns:c16="http://schemas.microsoft.com/office/drawing/2014/chart" uri="{C3380CC4-5D6E-409C-BE32-E72D297353CC}">
                <c16:uniqueId val="{0000002D-4DF2-42B5-ABEB-F7F5AA104508}"/>
              </c:ext>
            </c:extLst>
          </c:dPt>
          <c:dPt>
            <c:idx val="27"/>
            <c:invertIfNegative val="0"/>
            <c:bubble3D val="0"/>
            <c:spPr>
              <a:solidFill>
                <a:schemeClr val="accent1">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2F-4DF2-42B5-ABEB-F7F5AA104508}"/>
              </c:ext>
            </c:extLst>
          </c:dPt>
          <c:dPt>
            <c:idx val="28"/>
            <c:invertIfNegative val="0"/>
            <c:bubble3D val="0"/>
            <c:spPr>
              <a:solidFill>
                <a:schemeClr val="tx2">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31-4DF2-42B5-ABEB-F7F5AA104508}"/>
              </c:ext>
            </c:extLst>
          </c:dPt>
          <c:dPt>
            <c:idx val="30"/>
            <c:invertIfNegative val="0"/>
            <c:bubble3D val="0"/>
            <c:spPr>
              <a:solidFill>
                <a:schemeClr val="bg1">
                  <a:lumMod val="95000"/>
                </a:schemeClr>
              </a:solidFill>
              <a:ln w="3175">
                <a:solidFill>
                  <a:schemeClr val="bg1">
                    <a:lumMod val="50000"/>
                  </a:schemeClr>
                </a:solidFill>
              </a:ln>
              <a:effectLst/>
            </c:spPr>
            <c:extLst>
              <c:ext xmlns:c16="http://schemas.microsoft.com/office/drawing/2014/chart" uri="{C3380CC4-5D6E-409C-BE32-E72D297353CC}">
                <c16:uniqueId val="{00000033-4DF2-42B5-ABEB-F7F5AA104508}"/>
              </c:ext>
            </c:extLst>
          </c:dPt>
          <c:dPt>
            <c:idx val="31"/>
            <c:invertIfNegative val="0"/>
            <c:bubble3D val="0"/>
            <c:spPr>
              <a:solidFill>
                <a:schemeClr val="accent1">
                  <a:lumMod val="20000"/>
                  <a:lumOff val="80000"/>
                </a:schemeClr>
              </a:solidFill>
              <a:ln w="3175">
                <a:solidFill>
                  <a:schemeClr val="bg1">
                    <a:lumMod val="50000"/>
                  </a:schemeClr>
                </a:solidFill>
              </a:ln>
              <a:effectLst/>
            </c:spPr>
            <c:extLst>
              <c:ext xmlns:c16="http://schemas.microsoft.com/office/drawing/2014/chart" uri="{C3380CC4-5D6E-409C-BE32-E72D297353CC}">
                <c16:uniqueId val="{00000035-4DF2-42B5-ABEB-F7F5AA104508}"/>
              </c:ext>
            </c:extLst>
          </c:dPt>
          <c:dPt>
            <c:idx val="32"/>
            <c:invertIfNegative val="0"/>
            <c:bubble3D val="0"/>
            <c:spPr>
              <a:solidFill>
                <a:schemeClr val="accent1">
                  <a:lumMod val="40000"/>
                  <a:lumOff val="60000"/>
                </a:schemeClr>
              </a:solidFill>
              <a:ln w="3175">
                <a:solidFill>
                  <a:schemeClr val="bg1">
                    <a:lumMod val="50000"/>
                  </a:schemeClr>
                </a:solidFill>
              </a:ln>
              <a:effectLst/>
            </c:spPr>
            <c:extLst>
              <c:ext xmlns:c16="http://schemas.microsoft.com/office/drawing/2014/chart" uri="{C3380CC4-5D6E-409C-BE32-E72D297353CC}">
                <c16:uniqueId val="{00000037-4DF2-42B5-ABEB-F7F5AA104508}"/>
              </c:ext>
            </c:extLst>
          </c:dPt>
          <c:dPt>
            <c:idx val="33"/>
            <c:invertIfNegative val="0"/>
            <c:bubble3D val="0"/>
            <c:spPr>
              <a:solidFill>
                <a:schemeClr val="accent1">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39-4DF2-42B5-ABEB-F7F5AA104508}"/>
              </c:ext>
            </c:extLst>
          </c:dPt>
          <c:dPt>
            <c:idx val="34"/>
            <c:invertIfNegative val="0"/>
            <c:bubble3D val="0"/>
            <c:spPr>
              <a:solidFill>
                <a:schemeClr val="tx2">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3B-4DF2-42B5-ABEB-F7F5AA104508}"/>
              </c:ext>
            </c:extLst>
          </c:dPt>
          <c:dPt>
            <c:idx val="36"/>
            <c:invertIfNegative val="0"/>
            <c:bubble3D val="0"/>
            <c:spPr>
              <a:solidFill>
                <a:schemeClr val="bg1">
                  <a:lumMod val="95000"/>
                </a:schemeClr>
              </a:solidFill>
              <a:ln w="3175">
                <a:solidFill>
                  <a:schemeClr val="bg1">
                    <a:lumMod val="50000"/>
                  </a:schemeClr>
                </a:solidFill>
              </a:ln>
              <a:effectLst/>
            </c:spPr>
            <c:extLst>
              <c:ext xmlns:c16="http://schemas.microsoft.com/office/drawing/2014/chart" uri="{C3380CC4-5D6E-409C-BE32-E72D297353CC}">
                <c16:uniqueId val="{0000003D-4DF2-42B5-ABEB-F7F5AA104508}"/>
              </c:ext>
            </c:extLst>
          </c:dPt>
          <c:dPt>
            <c:idx val="37"/>
            <c:invertIfNegative val="0"/>
            <c:bubble3D val="0"/>
            <c:spPr>
              <a:solidFill>
                <a:schemeClr val="accent1">
                  <a:lumMod val="20000"/>
                  <a:lumOff val="80000"/>
                </a:schemeClr>
              </a:solidFill>
              <a:ln w="3175">
                <a:solidFill>
                  <a:schemeClr val="bg1">
                    <a:lumMod val="50000"/>
                  </a:schemeClr>
                </a:solidFill>
              </a:ln>
              <a:effectLst/>
            </c:spPr>
            <c:extLst>
              <c:ext xmlns:c16="http://schemas.microsoft.com/office/drawing/2014/chart" uri="{C3380CC4-5D6E-409C-BE32-E72D297353CC}">
                <c16:uniqueId val="{0000003F-4DF2-42B5-ABEB-F7F5AA104508}"/>
              </c:ext>
            </c:extLst>
          </c:dPt>
          <c:dPt>
            <c:idx val="38"/>
            <c:invertIfNegative val="0"/>
            <c:bubble3D val="0"/>
            <c:spPr>
              <a:solidFill>
                <a:schemeClr val="accent1">
                  <a:lumMod val="40000"/>
                  <a:lumOff val="60000"/>
                </a:schemeClr>
              </a:solidFill>
              <a:ln w="3175">
                <a:solidFill>
                  <a:schemeClr val="bg1">
                    <a:lumMod val="50000"/>
                  </a:schemeClr>
                </a:solidFill>
              </a:ln>
              <a:effectLst/>
            </c:spPr>
            <c:extLst>
              <c:ext xmlns:c16="http://schemas.microsoft.com/office/drawing/2014/chart" uri="{C3380CC4-5D6E-409C-BE32-E72D297353CC}">
                <c16:uniqueId val="{00000041-4DF2-42B5-ABEB-F7F5AA104508}"/>
              </c:ext>
            </c:extLst>
          </c:dPt>
          <c:dPt>
            <c:idx val="39"/>
            <c:invertIfNegative val="0"/>
            <c:bubble3D val="0"/>
            <c:spPr>
              <a:solidFill>
                <a:schemeClr val="accent1">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43-4DF2-42B5-ABEB-F7F5AA104508}"/>
              </c:ext>
            </c:extLst>
          </c:dPt>
          <c:dPt>
            <c:idx val="40"/>
            <c:invertIfNegative val="0"/>
            <c:bubble3D val="0"/>
            <c:spPr>
              <a:solidFill>
                <a:schemeClr val="tx2">
                  <a:lumMod val="60000"/>
                  <a:lumOff val="40000"/>
                </a:schemeClr>
              </a:solidFill>
              <a:ln w="3175">
                <a:solidFill>
                  <a:schemeClr val="bg1">
                    <a:lumMod val="50000"/>
                  </a:schemeClr>
                </a:solidFill>
              </a:ln>
              <a:effectLst/>
            </c:spPr>
            <c:extLst>
              <c:ext xmlns:c16="http://schemas.microsoft.com/office/drawing/2014/chart" uri="{C3380CC4-5D6E-409C-BE32-E72D297353CC}">
                <c16:uniqueId val="{00000045-4DF2-42B5-ABEB-F7F5AA104508}"/>
              </c:ext>
            </c:extLst>
          </c:dPt>
          <c:cat>
            <c:strRef>
              <c:f>'GRAF-6-vzdělání'!$A$91:$A$132</c:f>
              <c:strCache>
                <c:ptCount val="39"/>
                <c:pt idx="2">
                  <c:v>rok 2012</c:v>
                </c:pt>
                <c:pt idx="8">
                  <c:v>rok 2013</c:v>
                </c:pt>
                <c:pt idx="14">
                  <c:v>rok 2014</c:v>
                </c:pt>
                <c:pt idx="20">
                  <c:v>rok 2015</c:v>
                </c:pt>
                <c:pt idx="26">
                  <c:v>rok 2016</c:v>
                </c:pt>
                <c:pt idx="32">
                  <c:v>rok 2017</c:v>
                </c:pt>
                <c:pt idx="38">
                  <c:v>rok 2018</c:v>
                </c:pt>
              </c:strCache>
            </c:strRef>
          </c:cat>
          <c:val>
            <c:numRef>
              <c:f>'GRAF-6-vzdělání'!$B$91:$B$132</c:f>
              <c:numCache>
                <c:formatCode>0.0</c:formatCode>
                <c:ptCount val="42"/>
                <c:pt idx="0">
                  <c:v>0.97143967359627936</c:v>
                </c:pt>
                <c:pt idx="1">
                  <c:v>0.90372855674007724</c:v>
                </c:pt>
                <c:pt idx="2">
                  <c:v>-9.5677133165168016E-2</c:v>
                </c:pt>
                <c:pt idx="3">
                  <c:v>-0.2146992293831147</c:v>
                </c:pt>
                <c:pt idx="4">
                  <c:v>-1.3663874793666366</c:v>
                </c:pt>
                <c:pt idx="6">
                  <c:v>1.4431402732345617</c:v>
                </c:pt>
                <c:pt idx="7">
                  <c:v>0.94390217741069193</c:v>
                </c:pt>
                <c:pt idx="8">
                  <c:v>0.56155319519415059</c:v>
                </c:pt>
                <c:pt idx="9">
                  <c:v>-0.13063357282821642</c:v>
                </c:pt>
                <c:pt idx="10">
                  <c:v>1.1745746428239272</c:v>
                </c:pt>
                <c:pt idx="12">
                  <c:v>2.2698533131006542</c:v>
                </c:pt>
                <c:pt idx="13">
                  <c:v>2.0295399001169017</c:v>
                </c:pt>
                <c:pt idx="14">
                  <c:v>2.3592052292108434</c:v>
                </c:pt>
                <c:pt idx="15">
                  <c:v>2.1736621398068792</c:v>
                </c:pt>
                <c:pt idx="16">
                  <c:v>1.3937388960362682</c:v>
                </c:pt>
                <c:pt idx="18">
                  <c:v>3.7774343122102039</c:v>
                </c:pt>
                <c:pt idx="19">
                  <c:v>3.8481566340345665</c:v>
                </c:pt>
                <c:pt idx="20">
                  <c:v>3.9668442865600895</c:v>
                </c:pt>
                <c:pt idx="21">
                  <c:v>3.7088636192484472</c:v>
                </c:pt>
                <c:pt idx="22">
                  <c:v>2.8035406785293446</c:v>
                </c:pt>
                <c:pt idx="24">
                  <c:v>8.870487310854287</c:v>
                </c:pt>
                <c:pt idx="25">
                  <c:v>6.3180063180063257</c:v>
                </c:pt>
                <c:pt idx="26">
                  <c:v>4.6452977546371557</c:v>
                </c:pt>
                <c:pt idx="27">
                  <c:v>5.0829611879606347</c:v>
                </c:pt>
                <c:pt idx="28">
                  <c:v>4.3139674983102623</c:v>
                </c:pt>
                <c:pt idx="30">
                  <c:v>9.2749658002736055</c:v>
                </c:pt>
                <c:pt idx="31">
                  <c:v>7.6215629863698382</c:v>
                </c:pt>
                <c:pt idx="32">
                  <c:v>6.8141180129052401</c:v>
                </c:pt>
                <c:pt idx="33">
                  <c:v>7.6391528176070267</c:v>
                </c:pt>
                <c:pt idx="34">
                  <c:v>6.6597177226244355</c:v>
                </c:pt>
                <c:pt idx="36">
                  <c:v>8.0120180270405683</c:v>
                </c:pt>
                <c:pt idx="37">
                  <c:v>9.2992681537315462</c:v>
                </c:pt>
                <c:pt idx="38">
                  <c:v>8.5374285818261058</c:v>
                </c:pt>
                <c:pt idx="39">
                  <c:v>9.5364961160685766</c:v>
                </c:pt>
                <c:pt idx="40">
                  <c:v>7.7493991178257318</c:v>
                </c:pt>
              </c:numCache>
            </c:numRef>
          </c:val>
          <c:extLst>
            <c:ext xmlns:c16="http://schemas.microsoft.com/office/drawing/2014/chart" uri="{C3380CC4-5D6E-409C-BE32-E72D297353CC}">
              <c16:uniqueId val="{00000046-4DF2-42B5-ABEB-F7F5AA104508}"/>
            </c:ext>
          </c:extLst>
        </c:ser>
        <c:dLbls>
          <c:showLegendKey val="0"/>
          <c:showVal val="0"/>
          <c:showCatName val="0"/>
          <c:showSerName val="0"/>
          <c:showPercent val="0"/>
          <c:showBubbleSize val="0"/>
        </c:dLbls>
        <c:gapWidth val="50"/>
        <c:axId val="105985536"/>
        <c:axId val="105992192"/>
      </c:barChart>
      <c:lineChart>
        <c:grouping val="stacked"/>
        <c:varyColors val="0"/>
        <c:ser>
          <c:idx val="1"/>
          <c:order val="1"/>
          <c:tx>
            <c:strRef>
              <c:f>'GRAF-6-vzdělání'!$C$90</c:f>
              <c:strCache>
                <c:ptCount val="1"/>
                <c:pt idx="0">
                  <c:v>z toho ženy</c:v>
                </c:pt>
              </c:strCache>
            </c:strRef>
          </c:tx>
          <c:spPr>
            <a:ln w="15875" cap="rnd">
              <a:noFill/>
              <a:prstDash val="sysDash"/>
              <a:round/>
            </a:ln>
            <a:effectLst/>
          </c:spPr>
          <c:marker>
            <c:symbol val="circle"/>
            <c:size val="3"/>
            <c:spPr>
              <a:solidFill>
                <a:srgbClr val="C00000"/>
              </a:solidFill>
              <a:ln w="3175">
                <a:noFill/>
              </a:ln>
              <a:effectLst/>
            </c:spPr>
          </c:marker>
          <c:cat>
            <c:strRef>
              <c:f>'GRAF-6-vzdělání'!$A$91:$A$132</c:f>
              <c:strCache>
                <c:ptCount val="39"/>
                <c:pt idx="2">
                  <c:v>rok 2012</c:v>
                </c:pt>
                <c:pt idx="8">
                  <c:v>rok 2013</c:v>
                </c:pt>
                <c:pt idx="14">
                  <c:v>rok 2014</c:v>
                </c:pt>
                <c:pt idx="20">
                  <c:v>rok 2015</c:v>
                </c:pt>
                <c:pt idx="26">
                  <c:v>rok 2016</c:v>
                </c:pt>
                <c:pt idx="32">
                  <c:v>rok 2017</c:v>
                </c:pt>
                <c:pt idx="38">
                  <c:v>rok 2018</c:v>
                </c:pt>
              </c:strCache>
            </c:strRef>
          </c:cat>
          <c:val>
            <c:numRef>
              <c:f>'GRAF-6-vzdělání'!$C$91:$C$132</c:f>
              <c:numCache>
                <c:formatCode>0.0</c:formatCode>
                <c:ptCount val="42"/>
                <c:pt idx="0">
                  <c:v>2.2354801610120774</c:v>
                </c:pt>
                <c:pt idx="1">
                  <c:v>1.2868632707774736</c:v>
                </c:pt>
                <c:pt idx="2">
                  <c:v>0.88736560401896725</c:v>
                </c:pt>
                <c:pt idx="3">
                  <c:v>0.30174762164200786</c:v>
                </c:pt>
                <c:pt idx="4">
                  <c:v>-0.51439241799668878</c:v>
                </c:pt>
                <c:pt idx="5">
                  <c:v>-1000</c:v>
                </c:pt>
                <c:pt idx="6">
                  <c:v>1.5538212753990024</c:v>
                </c:pt>
                <c:pt idx="7">
                  <c:v>0.52276336686077229</c:v>
                </c:pt>
                <c:pt idx="8">
                  <c:v>0.46072226358897694</c:v>
                </c:pt>
                <c:pt idx="9">
                  <c:v>-7.1031629966995524E-2</c:v>
                </c:pt>
                <c:pt idx="10">
                  <c:v>1.5015759464532437</c:v>
                </c:pt>
                <c:pt idx="11">
                  <c:v>-1000</c:v>
                </c:pt>
                <c:pt idx="12">
                  <c:v>2.0977568540570388</c:v>
                </c:pt>
                <c:pt idx="13">
                  <c:v>2.3895727733526257</c:v>
                </c:pt>
                <c:pt idx="14">
                  <c:v>1.7278917867235037</c:v>
                </c:pt>
                <c:pt idx="15">
                  <c:v>2.1491888275631368</c:v>
                </c:pt>
                <c:pt idx="16">
                  <c:v>2.0550573950664557</c:v>
                </c:pt>
                <c:pt idx="17">
                  <c:v>-1000</c:v>
                </c:pt>
                <c:pt idx="18">
                  <c:v>4.0008137248253917</c:v>
                </c:pt>
                <c:pt idx="19">
                  <c:v>3.664652179503662</c:v>
                </c:pt>
                <c:pt idx="20">
                  <c:v>3.4517304189435265</c:v>
                </c:pt>
                <c:pt idx="21">
                  <c:v>2.8530495292673095</c:v>
                </c:pt>
                <c:pt idx="22">
                  <c:v>2.8581196581196622</c:v>
                </c:pt>
                <c:pt idx="23">
                  <c:v>-1000</c:v>
                </c:pt>
                <c:pt idx="24">
                  <c:v>8.508834843841683</c:v>
                </c:pt>
                <c:pt idx="25">
                  <c:v>7.4795336144877211</c:v>
                </c:pt>
                <c:pt idx="26">
                  <c:v>4.2785456466238259</c:v>
                </c:pt>
                <c:pt idx="27">
                  <c:v>5.1498388188004895</c:v>
                </c:pt>
                <c:pt idx="28">
                  <c:v>5.2250216047331008</c:v>
                </c:pt>
                <c:pt idx="29">
                  <c:v>-1000</c:v>
                </c:pt>
                <c:pt idx="30">
                  <c:v>8.712895084725389</c:v>
                </c:pt>
                <c:pt idx="31">
                  <c:v>9.18638199653779</c:v>
                </c:pt>
                <c:pt idx="32">
                  <c:v>6.6525960320810356</c:v>
                </c:pt>
                <c:pt idx="33">
                  <c:v>7.9747170811097305</c:v>
                </c:pt>
                <c:pt idx="34">
                  <c:v>6.9334765304188437</c:v>
                </c:pt>
                <c:pt idx="35">
                  <c:v>-1000</c:v>
                </c:pt>
                <c:pt idx="36">
                  <c:v>9.866239221755464</c:v>
                </c:pt>
                <c:pt idx="37">
                  <c:v>9.6184335693901204</c:v>
                </c:pt>
                <c:pt idx="38">
                  <c:v>8.5134172405604289</c:v>
                </c:pt>
                <c:pt idx="39">
                  <c:v>9.3942793045429056</c:v>
                </c:pt>
                <c:pt idx="40">
                  <c:v>9.4230939650843339</c:v>
                </c:pt>
                <c:pt idx="41">
                  <c:v>-1000</c:v>
                </c:pt>
              </c:numCache>
            </c:numRef>
          </c:val>
          <c:smooth val="0"/>
          <c:extLst>
            <c:ext xmlns:c16="http://schemas.microsoft.com/office/drawing/2014/chart" uri="{C3380CC4-5D6E-409C-BE32-E72D297353CC}">
              <c16:uniqueId val="{00000047-4DF2-42B5-ABEB-F7F5AA104508}"/>
            </c:ext>
          </c:extLst>
        </c:ser>
        <c:dLbls>
          <c:showLegendKey val="0"/>
          <c:showVal val="0"/>
          <c:showCatName val="0"/>
          <c:showSerName val="0"/>
          <c:showPercent val="0"/>
          <c:showBubbleSize val="0"/>
        </c:dLbls>
        <c:marker val="1"/>
        <c:smooth val="0"/>
        <c:axId val="105985536"/>
        <c:axId val="105992192"/>
      </c:lineChart>
      <c:catAx>
        <c:axId val="10598553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992192"/>
        <c:crosses val="autoZero"/>
        <c:auto val="1"/>
        <c:lblAlgn val="ctr"/>
        <c:lblOffset val="0"/>
        <c:noMultiLvlLbl val="0"/>
      </c:catAx>
      <c:valAx>
        <c:axId val="105992192"/>
        <c:scaling>
          <c:orientation val="minMax"/>
          <c:max val="10"/>
          <c:min val="-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985536"/>
        <c:crossesAt val="1"/>
        <c:crossBetween val="between"/>
        <c:majorUnit val="1"/>
      </c:valAx>
      <c:spPr>
        <a:noFill/>
        <a:ln w="6350">
          <a:solidFill>
            <a:schemeClr val="tx1">
              <a:lumMod val="95000"/>
              <a:lumOff val="5000"/>
            </a:schemeClr>
          </a:solidFill>
        </a:ln>
        <a:effectLst/>
      </c:spPr>
    </c:plotArea>
    <c:legend>
      <c:legendPos val="b"/>
      <c:layout>
        <c:manualLayout>
          <c:xMode val="edge"/>
          <c:yMode val="edge"/>
          <c:x val="0.36135773493104778"/>
          <c:y val="0.93588977391111239"/>
          <c:w val="0.25177584196887293"/>
          <c:h val="5.1310333641403798E-2"/>
        </c:manualLayout>
      </c:layout>
      <c:overlay val="0"/>
      <c:spPr>
        <a:noFill/>
        <a:ln w="6350">
          <a:solidFill>
            <a:schemeClr val="tx1">
              <a:lumMod val="95000"/>
              <a:lumOff val="5000"/>
            </a:schemeClr>
          </a:solidFill>
        </a:ln>
        <a:effectLst/>
      </c:spPr>
      <c:txPr>
        <a:bodyPr rot="0" spcFirstLastPara="1" vertOverflow="ellipsis" vert="horz" wrap="square" anchor="ctr" anchorCtr="1"/>
        <a:lstStyle/>
        <a:p>
          <a:pPr>
            <a:defRPr sz="800" b="0" i="0" u="none" strike="noStrike" kern="120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917650414457003E-2"/>
          <c:y val="1.8900049881717198E-2"/>
          <c:w val="0.93286337326816915"/>
          <c:h val="0.86227263474272853"/>
        </c:manualLayout>
      </c:layout>
      <c:barChart>
        <c:barDir val="col"/>
        <c:grouping val="clustered"/>
        <c:varyColors val="0"/>
        <c:ser>
          <c:idx val="0"/>
          <c:order val="0"/>
          <c:tx>
            <c:strRef>
              <c:f>'GRAF-7-ISCO-růst'!$B$89</c:f>
              <c:strCache>
                <c:ptCount val="1"/>
                <c:pt idx="0">
                  <c:v>celkem</c:v>
                </c:pt>
              </c:strCache>
            </c:strRef>
          </c:tx>
          <c:spPr>
            <a:solidFill>
              <a:schemeClr val="bg1"/>
            </a:solidFill>
            <a:ln w="3175">
              <a:solidFill>
                <a:schemeClr val="bg1">
                  <a:lumMod val="65000"/>
                </a:schemeClr>
              </a:solidFill>
            </a:ln>
            <a:effectLst/>
          </c:spPr>
          <c:invertIfNegative val="0"/>
          <c:dPt>
            <c:idx val="0"/>
            <c:invertIfNegative val="0"/>
            <c:bubble3D val="0"/>
            <c:spPr>
              <a:solidFill>
                <a:schemeClr val="bg1">
                  <a:lumMod val="75000"/>
                </a:schemeClr>
              </a:solidFill>
              <a:ln w="3175">
                <a:solidFill>
                  <a:schemeClr val="bg1">
                    <a:lumMod val="65000"/>
                  </a:schemeClr>
                </a:solidFill>
              </a:ln>
              <a:effectLst/>
            </c:spPr>
            <c:extLst>
              <c:ext xmlns:c16="http://schemas.microsoft.com/office/drawing/2014/chart" uri="{C3380CC4-5D6E-409C-BE32-E72D297353CC}">
                <c16:uniqueId val="{00000001-24C9-4D75-9907-3BBFC2C1B454}"/>
              </c:ext>
            </c:extLst>
          </c:dPt>
          <c:dPt>
            <c:idx val="1"/>
            <c:invertIfNegative val="0"/>
            <c:bubble3D val="0"/>
            <c:spPr>
              <a:solidFill>
                <a:schemeClr val="bg1">
                  <a:lumMod val="85000"/>
                </a:schemeClr>
              </a:solidFill>
              <a:ln w="3175">
                <a:solidFill>
                  <a:schemeClr val="bg1">
                    <a:lumMod val="65000"/>
                  </a:schemeClr>
                </a:solidFill>
              </a:ln>
              <a:effectLst/>
            </c:spPr>
            <c:extLst>
              <c:ext xmlns:c16="http://schemas.microsoft.com/office/drawing/2014/chart" uri="{C3380CC4-5D6E-409C-BE32-E72D297353CC}">
                <c16:uniqueId val="{00000003-24C9-4D75-9907-3BBFC2C1B454}"/>
              </c:ext>
            </c:extLst>
          </c:dPt>
          <c:dPt>
            <c:idx val="2"/>
            <c:invertIfNegative val="0"/>
            <c:bubble3D val="0"/>
            <c:spPr>
              <a:solidFill>
                <a:schemeClr val="bg1">
                  <a:lumMod val="95000"/>
                </a:schemeClr>
              </a:solidFill>
              <a:ln w="3175">
                <a:solidFill>
                  <a:schemeClr val="bg1">
                    <a:lumMod val="65000"/>
                  </a:schemeClr>
                </a:solidFill>
              </a:ln>
              <a:effectLst/>
            </c:spPr>
            <c:extLst>
              <c:ext xmlns:c16="http://schemas.microsoft.com/office/drawing/2014/chart" uri="{C3380CC4-5D6E-409C-BE32-E72D297353CC}">
                <c16:uniqueId val="{00000005-24C9-4D75-9907-3BBFC2C1B454}"/>
              </c:ext>
            </c:extLst>
          </c:dPt>
          <c:dPt>
            <c:idx val="3"/>
            <c:invertIfNegative val="0"/>
            <c:bubble3D val="0"/>
            <c:spPr>
              <a:solidFill>
                <a:srgbClr val="C5E8FF"/>
              </a:solidFill>
              <a:ln w="3175">
                <a:solidFill>
                  <a:schemeClr val="bg1">
                    <a:lumMod val="65000"/>
                  </a:schemeClr>
                </a:solidFill>
              </a:ln>
              <a:effectLst/>
            </c:spPr>
            <c:extLst>
              <c:ext xmlns:c16="http://schemas.microsoft.com/office/drawing/2014/chart" uri="{C3380CC4-5D6E-409C-BE32-E72D297353CC}">
                <c16:uniqueId val="{00000007-24C9-4D75-9907-3BBFC2C1B454}"/>
              </c:ext>
            </c:extLst>
          </c:dPt>
          <c:dPt>
            <c:idx val="4"/>
            <c:invertIfNegative val="0"/>
            <c:bubble3D val="0"/>
            <c:spPr>
              <a:solidFill>
                <a:srgbClr val="8FD2FF"/>
              </a:solidFill>
              <a:ln w="3175">
                <a:solidFill>
                  <a:schemeClr val="bg1">
                    <a:lumMod val="65000"/>
                  </a:schemeClr>
                </a:solidFill>
              </a:ln>
              <a:effectLst/>
            </c:spPr>
            <c:extLst>
              <c:ext xmlns:c16="http://schemas.microsoft.com/office/drawing/2014/chart" uri="{C3380CC4-5D6E-409C-BE32-E72D297353CC}">
                <c16:uniqueId val="{00000009-24C9-4D75-9907-3BBFC2C1B454}"/>
              </c:ext>
            </c:extLst>
          </c:dPt>
          <c:dPt>
            <c:idx val="5"/>
            <c:invertIfNegative val="0"/>
            <c:bubble3D val="0"/>
            <c:spPr>
              <a:solidFill>
                <a:srgbClr val="25A7FF"/>
              </a:solidFill>
              <a:ln w="3175">
                <a:solidFill>
                  <a:schemeClr val="bg1">
                    <a:lumMod val="65000"/>
                  </a:schemeClr>
                </a:solidFill>
              </a:ln>
              <a:effectLst/>
            </c:spPr>
            <c:extLst>
              <c:ext xmlns:c16="http://schemas.microsoft.com/office/drawing/2014/chart" uri="{C3380CC4-5D6E-409C-BE32-E72D297353CC}">
                <c16:uniqueId val="{0000000B-24C9-4D75-9907-3BBFC2C1B454}"/>
              </c:ext>
            </c:extLst>
          </c:dPt>
          <c:dPt>
            <c:idx val="6"/>
            <c:invertIfNegative val="0"/>
            <c:bubble3D val="0"/>
            <c:spPr>
              <a:solidFill>
                <a:srgbClr val="0071BC"/>
              </a:solidFill>
              <a:ln w="3175">
                <a:solidFill>
                  <a:schemeClr val="bg1">
                    <a:lumMod val="65000"/>
                  </a:schemeClr>
                </a:solidFill>
              </a:ln>
              <a:effectLst/>
            </c:spPr>
            <c:extLst>
              <c:ext xmlns:c16="http://schemas.microsoft.com/office/drawing/2014/chart" uri="{C3380CC4-5D6E-409C-BE32-E72D297353CC}">
                <c16:uniqueId val="{0000000D-24C9-4D75-9907-3BBFC2C1B454}"/>
              </c:ext>
            </c:extLst>
          </c:dPt>
          <c:dPt>
            <c:idx val="7"/>
            <c:invertIfNegative val="0"/>
            <c:bubble3D val="0"/>
            <c:extLst>
              <c:ext xmlns:c16="http://schemas.microsoft.com/office/drawing/2014/chart" uri="{C3380CC4-5D6E-409C-BE32-E72D297353CC}">
                <c16:uniqueId val="{0000000E-24C9-4D75-9907-3BBFC2C1B454}"/>
              </c:ext>
            </c:extLst>
          </c:dPt>
          <c:dPt>
            <c:idx val="8"/>
            <c:invertIfNegative val="0"/>
            <c:bubble3D val="0"/>
            <c:spPr>
              <a:solidFill>
                <a:schemeClr val="bg1">
                  <a:lumMod val="75000"/>
                </a:schemeClr>
              </a:solidFill>
              <a:ln w="3175">
                <a:solidFill>
                  <a:schemeClr val="bg1">
                    <a:lumMod val="65000"/>
                  </a:schemeClr>
                </a:solidFill>
              </a:ln>
              <a:effectLst/>
            </c:spPr>
            <c:extLst>
              <c:ext xmlns:c16="http://schemas.microsoft.com/office/drawing/2014/chart" uri="{C3380CC4-5D6E-409C-BE32-E72D297353CC}">
                <c16:uniqueId val="{00000010-24C9-4D75-9907-3BBFC2C1B454}"/>
              </c:ext>
            </c:extLst>
          </c:dPt>
          <c:dPt>
            <c:idx val="9"/>
            <c:invertIfNegative val="0"/>
            <c:bubble3D val="0"/>
            <c:spPr>
              <a:solidFill>
                <a:schemeClr val="bg1">
                  <a:lumMod val="85000"/>
                </a:schemeClr>
              </a:solidFill>
              <a:ln w="3175">
                <a:solidFill>
                  <a:schemeClr val="bg1">
                    <a:lumMod val="65000"/>
                  </a:schemeClr>
                </a:solidFill>
              </a:ln>
              <a:effectLst/>
            </c:spPr>
            <c:extLst>
              <c:ext xmlns:c16="http://schemas.microsoft.com/office/drawing/2014/chart" uri="{C3380CC4-5D6E-409C-BE32-E72D297353CC}">
                <c16:uniqueId val="{00000012-24C9-4D75-9907-3BBFC2C1B454}"/>
              </c:ext>
            </c:extLst>
          </c:dPt>
          <c:dPt>
            <c:idx val="10"/>
            <c:invertIfNegative val="0"/>
            <c:bubble3D val="0"/>
            <c:spPr>
              <a:solidFill>
                <a:schemeClr val="bg1">
                  <a:lumMod val="95000"/>
                </a:schemeClr>
              </a:solidFill>
              <a:ln w="3175">
                <a:solidFill>
                  <a:schemeClr val="bg1">
                    <a:lumMod val="65000"/>
                  </a:schemeClr>
                </a:solidFill>
              </a:ln>
              <a:effectLst/>
            </c:spPr>
            <c:extLst>
              <c:ext xmlns:c16="http://schemas.microsoft.com/office/drawing/2014/chart" uri="{C3380CC4-5D6E-409C-BE32-E72D297353CC}">
                <c16:uniqueId val="{00000014-24C9-4D75-9907-3BBFC2C1B454}"/>
              </c:ext>
            </c:extLst>
          </c:dPt>
          <c:dPt>
            <c:idx val="11"/>
            <c:invertIfNegative val="0"/>
            <c:bubble3D val="0"/>
            <c:spPr>
              <a:solidFill>
                <a:srgbClr val="C5E8FF"/>
              </a:solidFill>
              <a:ln w="3175">
                <a:solidFill>
                  <a:schemeClr val="bg1">
                    <a:lumMod val="65000"/>
                  </a:schemeClr>
                </a:solidFill>
              </a:ln>
              <a:effectLst/>
            </c:spPr>
            <c:extLst>
              <c:ext xmlns:c16="http://schemas.microsoft.com/office/drawing/2014/chart" uri="{C3380CC4-5D6E-409C-BE32-E72D297353CC}">
                <c16:uniqueId val="{00000016-24C9-4D75-9907-3BBFC2C1B454}"/>
              </c:ext>
            </c:extLst>
          </c:dPt>
          <c:dPt>
            <c:idx val="12"/>
            <c:invertIfNegative val="0"/>
            <c:bubble3D val="0"/>
            <c:spPr>
              <a:solidFill>
                <a:srgbClr val="8FD2FF"/>
              </a:solidFill>
              <a:ln w="3175">
                <a:solidFill>
                  <a:schemeClr val="bg1">
                    <a:lumMod val="65000"/>
                  </a:schemeClr>
                </a:solidFill>
              </a:ln>
              <a:effectLst/>
            </c:spPr>
            <c:extLst>
              <c:ext xmlns:c16="http://schemas.microsoft.com/office/drawing/2014/chart" uri="{C3380CC4-5D6E-409C-BE32-E72D297353CC}">
                <c16:uniqueId val="{00000018-24C9-4D75-9907-3BBFC2C1B454}"/>
              </c:ext>
            </c:extLst>
          </c:dPt>
          <c:dPt>
            <c:idx val="13"/>
            <c:invertIfNegative val="0"/>
            <c:bubble3D val="0"/>
            <c:spPr>
              <a:solidFill>
                <a:srgbClr val="25A7FF"/>
              </a:solidFill>
              <a:ln w="3175">
                <a:solidFill>
                  <a:schemeClr val="bg1">
                    <a:lumMod val="65000"/>
                  </a:schemeClr>
                </a:solidFill>
              </a:ln>
              <a:effectLst/>
            </c:spPr>
            <c:extLst>
              <c:ext xmlns:c16="http://schemas.microsoft.com/office/drawing/2014/chart" uri="{C3380CC4-5D6E-409C-BE32-E72D297353CC}">
                <c16:uniqueId val="{0000001A-24C9-4D75-9907-3BBFC2C1B454}"/>
              </c:ext>
            </c:extLst>
          </c:dPt>
          <c:dPt>
            <c:idx val="14"/>
            <c:invertIfNegative val="0"/>
            <c:bubble3D val="0"/>
            <c:spPr>
              <a:solidFill>
                <a:srgbClr val="0071BC"/>
              </a:solidFill>
              <a:ln w="3175">
                <a:solidFill>
                  <a:schemeClr val="bg1">
                    <a:lumMod val="65000"/>
                  </a:schemeClr>
                </a:solidFill>
              </a:ln>
              <a:effectLst/>
            </c:spPr>
            <c:extLst>
              <c:ext xmlns:c16="http://schemas.microsoft.com/office/drawing/2014/chart" uri="{C3380CC4-5D6E-409C-BE32-E72D297353CC}">
                <c16:uniqueId val="{0000001C-24C9-4D75-9907-3BBFC2C1B454}"/>
              </c:ext>
            </c:extLst>
          </c:dPt>
          <c:dPt>
            <c:idx val="15"/>
            <c:invertIfNegative val="0"/>
            <c:bubble3D val="0"/>
            <c:extLst>
              <c:ext xmlns:c16="http://schemas.microsoft.com/office/drawing/2014/chart" uri="{C3380CC4-5D6E-409C-BE32-E72D297353CC}">
                <c16:uniqueId val="{0000001D-24C9-4D75-9907-3BBFC2C1B454}"/>
              </c:ext>
            </c:extLst>
          </c:dPt>
          <c:dPt>
            <c:idx val="16"/>
            <c:invertIfNegative val="0"/>
            <c:bubble3D val="0"/>
            <c:spPr>
              <a:solidFill>
                <a:schemeClr val="bg1">
                  <a:lumMod val="75000"/>
                </a:schemeClr>
              </a:solidFill>
              <a:ln w="3175">
                <a:solidFill>
                  <a:schemeClr val="bg1">
                    <a:lumMod val="65000"/>
                  </a:schemeClr>
                </a:solidFill>
              </a:ln>
              <a:effectLst/>
            </c:spPr>
            <c:extLst>
              <c:ext xmlns:c16="http://schemas.microsoft.com/office/drawing/2014/chart" uri="{C3380CC4-5D6E-409C-BE32-E72D297353CC}">
                <c16:uniqueId val="{0000001F-24C9-4D75-9907-3BBFC2C1B454}"/>
              </c:ext>
            </c:extLst>
          </c:dPt>
          <c:dPt>
            <c:idx val="17"/>
            <c:invertIfNegative val="0"/>
            <c:bubble3D val="0"/>
            <c:spPr>
              <a:solidFill>
                <a:schemeClr val="bg1">
                  <a:lumMod val="85000"/>
                </a:schemeClr>
              </a:solidFill>
              <a:ln w="3175">
                <a:solidFill>
                  <a:schemeClr val="bg1">
                    <a:lumMod val="65000"/>
                  </a:schemeClr>
                </a:solidFill>
              </a:ln>
              <a:effectLst/>
            </c:spPr>
            <c:extLst>
              <c:ext xmlns:c16="http://schemas.microsoft.com/office/drawing/2014/chart" uri="{C3380CC4-5D6E-409C-BE32-E72D297353CC}">
                <c16:uniqueId val="{00000021-24C9-4D75-9907-3BBFC2C1B454}"/>
              </c:ext>
            </c:extLst>
          </c:dPt>
          <c:dPt>
            <c:idx val="18"/>
            <c:invertIfNegative val="0"/>
            <c:bubble3D val="0"/>
            <c:spPr>
              <a:solidFill>
                <a:schemeClr val="bg1">
                  <a:lumMod val="95000"/>
                </a:schemeClr>
              </a:solidFill>
              <a:ln w="3175">
                <a:solidFill>
                  <a:schemeClr val="bg1">
                    <a:lumMod val="65000"/>
                  </a:schemeClr>
                </a:solidFill>
              </a:ln>
              <a:effectLst/>
            </c:spPr>
            <c:extLst>
              <c:ext xmlns:c16="http://schemas.microsoft.com/office/drawing/2014/chart" uri="{C3380CC4-5D6E-409C-BE32-E72D297353CC}">
                <c16:uniqueId val="{00000023-24C9-4D75-9907-3BBFC2C1B454}"/>
              </c:ext>
            </c:extLst>
          </c:dPt>
          <c:dPt>
            <c:idx val="19"/>
            <c:invertIfNegative val="0"/>
            <c:bubble3D val="0"/>
            <c:spPr>
              <a:solidFill>
                <a:srgbClr val="C5E8FF"/>
              </a:solidFill>
              <a:ln w="3175">
                <a:solidFill>
                  <a:schemeClr val="bg1">
                    <a:lumMod val="65000"/>
                  </a:schemeClr>
                </a:solidFill>
              </a:ln>
              <a:effectLst/>
            </c:spPr>
            <c:extLst>
              <c:ext xmlns:c16="http://schemas.microsoft.com/office/drawing/2014/chart" uri="{C3380CC4-5D6E-409C-BE32-E72D297353CC}">
                <c16:uniqueId val="{00000025-24C9-4D75-9907-3BBFC2C1B454}"/>
              </c:ext>
            </c:extLst>
          </c:dPt>
          <c:dPt>
            <c:idx val="20"/>
            <c:invertIfNegative val="0"/>
            <c:bubble3D val="0"/>
            <c:spPr>
              <a:solidFill>
                <a:srgbClr val="8FD2FF"/>
              </a:solidFill>
              <a:ln w="3175">
                <a:solidFill>
                  <a:schemeClr val="bg1">
                    <a:lumMod val="65000"/>
                  </a:schemeClr>
                </a:solidFill>
              </a:ln>
              <a:effectLst/>
            </c:spPr>
            <c:extLst>
              <c:ext xmlns:c16="http://schemas.microsoft.com/office/drawing/2014/chart" uri="{C3380CC4-5D6E-409C-BE32-E72D297353CC}">
                <c16:uniqueId val="{00000027-24C9-4D75-9907-3BBFC2C1B454}"/>
              </c:ext>
            </c:extLst>
          </c:dPt>
          <c:dPt>
            <c:idx val="21"/>
            <c:invertIfNegative val="0"/>
            <c:bubble3D val="0"/>
            <c:spPr>
              <a:solidFill>
                <a:srgbClr val="25A7FF"/>
              </a:solidFill>
              <a:ln w="3175">
                <a:solidFill>
                  <a:schemeClr val="bg1">
                    <a:lumMod val="65000"/>
                  </a:schemeClr>
                </a:solidFill>
              </a:ln>
              <a:effectLst/>
            </c:spPr>
            <c:extLst>
              <c:ext xmlns:c16="http://schemas.microsoft.com/office/drawing/2014/chart" uri="{C3380CC4-5D6E-409C-BE32-E72D297353CC}">
                <c16:uniqueId val="{00000029-24C9-4D75-9907-3BBFC2C1B454}"/>
              </c:ext>
            </c:extLst>
          </c:dPt>
          <c:dPt>
            <c:idx val="22"/>
            <c:invertIfNegative val="0"/>
            <c:bubble3D val="0"/>
            <c:spPr>
              <a:solidFill>
                <a:srgbClr val="0071BC"/>
              </a:solidFill>
              <a:ln w="3175">
                <a:solidFill>
                  <a:schemeClr val="bg1">
                    <a:lumMod val="65000"/>
                  </a:schemeClr>
                </a:solidFill>
              </a:ln>
              <a:effectLst/>
            </c:spPr>
            <c:extLst>
              <c:ext xmlns:c16="http://schemas.microsoft.com/office/drawing/2014/chart" uri="{C3380CC4-5D6E-409C-BE32-E72D297353CC}">
                <c16:uniqueId val="{0000002B-24C9-4D75-9907-3BBFC2C1B454}"/>
              </c:ext>
            </c:extLst>
          </c:dPt>
          <c:dPt>
            <c:idx val="24"/>
            <c:invertIfNegative val="0"/>
            <c:bubble3D val="0"/>
            <c:spPr>
              <a:solidFill>
                <a:schemeClr val="bg1">
                  <a:lumMod val="75000"/>
                </a:schemeClr>
              </a:solidFill>
              <a:ln w="3175">
                <a:solidFill>
                  <a:schemeClr val="bg1">
                    <a:lumMod val="65000"/>
                  </a:schemeClr>
                </a:solidFill>
              </a:ln>
              <a:effectLst/>
            </c:spPr>
            <c:extLst>
              <c:ext xmlns:c16="http://schemas.microsoft.com/office/drawing/2014/chart" uri="{C3380CC4-5D6E-409C-BE32-E72D297353CC}">
                <c16:uniqueId val="{0000002D-24C9-4D75-9907-3BBFC2C1B454}"/>
              </c:ext>
            </c:extLst>
          </c:dPt>
          <c:dPt>
            <c:idx val="25"/>
            <c:invertIfNegative val="0"/>
            <c:bubble3D val="0"/>
            <c:spPr>
              <a:solidFill>
                <a:schemeClr val="bg1">
                  <a:lumMod val="85000"/>
                </a:schemeClr>
              </a:solidFill>
              <a:ln w="3175">
                <a:solidFill>
                  <a:schemeClr val="bg1">
                    <a:lumMod val="65000"/>
                  </a:schemeClr>
                </a:solidFill>
              </a:ln>
              <a:effectLst/>
            </c:spPr>
            <c:extLst>
              <c:ext xmlns:c16="http://schemas.microsoft.com/office/drawing/2014/chart" uri="{C3380CC4-5D6E-409C-BE32-E72D297353CC}">
                <c16:uniqueId val="{0000002F-24C9-4D75-9907-3BBFC2C1B454}"/>
              </c:ext>
            </c:extLst>
          </c:dPt>
          <c:dPt>
            <c:idx val="26"/>
            <c:invertIfNegative val="0"/>
            <c:bubble3D val="0"/>
            <c:spPr>
              <a:solidFill>
                <a:schemeClr val="bg1">
                  <a:lumMod val="95000"/>
                </a:schemeClr>
              </a:solidFill>
              <a:ln w="3175">
                <a:solidFill>
                  <a:schemeClr val="bg1">
                    <a:lumMod val="65000"/>
                  </a:schemeClr>
                </a:solidFill>
              </a:ln>
              <a:effectLst/>
            </c:spPr>
            <c:extLst>
              <c:ext xmlns:c16="http://schemas.microsoft.com/office/drawing/2014/chart" uri="{C3380CC4-5D6E-409C-BE32-E72D297353CC}">
                <c16:uniqueId val="{00000031-24C9-4D75-9907-3BBFC2C1B454}"/>
              </c:ext>
            </c:extLst>
          </c:dPt>
          <c:dPt>
            <c:idx val="27"/>
            <c:invertIfNegative val="0"/>
            <c:bubble3D val="0"/>
            <c:spPr>
              <a:solidFill>
                <a:srgbClr val="C5E8FF"/>
              </a:solidFill>
              <a:ln w="3175">
                <a:solidFill>
                  <a:schemeClr val="bg1">
                    <a:lumMod val="65000"/>
                  </a:schemeClr>
                </a:solidFill>
              </a:ln>
              <a:effectLst/>
            </c:spPr>
            <c:extLst>
              <c:ext xmlns:c16="http://schemas.microsoft.com/office/drawing/2014/chart" uri="{C3380CC4-5D6E-409C-BE32-E72D297353CC}">
                <c16:uniqueId val="{00000033-24C9-4D75-9907-3BBFC2C1B454}"/>
              </c:ext>
            </c:extLst>
          </c:dPt>
          <c:dPt>
            <c:idx val="28"/>
            <c:invertIfNegative val="0"/>
            <c:bubble3D val="0"/>
            <c:spPr>
              <a:solidFill>
                <a:srgbClr val="8FD2FF"/>
              </a:solidFill>
              <a:ln w="3175">
                <a:solidFill>
                  <a:schemeClr val="bg1">
                    <a:lumMod val="65000"/>
                  </a:schemeClr>
                </a:solidFill>
              </a:ln>
              <a:effectLst/>
            </c:spPr>
            <c:extLst>
              <c:ext xmlns:c16="http://schemas.microsoft.com/office/drawing/2014/chart" uri="{C3380CC4-5D6E-409C-BE32-E72D297353CC}">
                <c16:uniqueId val="{00000035-24C9-4D75-9907-3BBFC2C1B454}"/>
              </c:ext>
            </c:extLst>
          </c:dPt>
          <c:dPt>
            <c:idx val="29"/>
            <c:invertIfNegative val="0"/>
            <c:bubble3D val="0"/>
            <c:spPr>
              <a:solidFill>
                <a:srgbClr val="25A7FF"/>
              </a:solidFill>
              <a:ln w="3175">
                <a:solidFill>
                  <a:schemeClr val="bg1">
                    <a:lumMod val="65000"/>
                  </a:schemeClr>
                </a:solidFill>
              </a:ln>
              <a:effectLst/>
            </c:spPr>
            <c:extLst>
              <c:ext xmlns:c16="http://schemas.microsoft.com/office/drawing/2014/chart" uri="{C3380CC4-5D6E-409C-BE32-E72D297353CC}">
                <c16:uniqueId val="{00000037-24C9-4D75-9907-3BBFC2C1B454}"/>
              </c:ext>
            </c:extLst>
          </c:dPt>
          <c:dPt>
            <c:idx val="30"/>
            <c:invertIfNegative val="0"/>
            <c:bubble3D val="0"/>
            <c:spPr>
              <a:solidFill>
                <a:srgbClr val="0071BC"/>
              </a:solidFill>
              <a:ln w="3175">
                <a:solidFill>
                  <a:schemeClr val="bg1">
                    <a:lumMod val="65000"/>
                  </a:schemeClr>
                </a:solidFill>
              </a:ln>
              <a:effectLst/>
            </c:spPr>
            <c:extLst>
              <c:ext xmlns:c16="http://schemas.microsoft.com/office/drawing/2014/chart" uri="{C3380CC4-5D6E-409C-BE32-E72D297353CC}">
                <c16:uniqueId val="{00000039-24C9-4D75-9907-3BBFC2C1B454}"/>
              </c:ext>
            </c:extLst>
          </c:dPt>
          <c:dPt>
            <c:idx val="31"/>
            <c:invertIfNegative val="0"/>
            <c:bubble3D val="0"/>
            <c:extLst>
              <c:ext xmlns:c16="http://schemas.microsoft.com/office/drawing/2014/chart" uri="{C3380CC4-5D6E-409C-BE32-E72D297353CC}">
                <c16:uniqueId val="{0000003A-24C9-4D75-9907-3BBFC2C1B454}"/>
              </c:ext>
            </c:extLst>
          </c:dPt>
          <c:dPt>
            <c:idx val="32"/>
            <c:invertIfNegative val="0"/>
            <c:bubble3D val="0"/>
            <c:spPr>
              <a:solidFill>
                <a:schemeClr val="bg1">
                  <a:lumMod val="75000"/>
                </a:schemeClr>
              </a:solidFill>
              <a:ln w="3175">
                <a:solidFill>
                  <a:schemeClr val="bg1">
                    <a:lumMod val="65000"/>
                  </a:schemeClr>
                </a:solidFill>
              </a:ln>
              <a:effectLst/>
            </c:spPr>
            <c:extLst>
              <c:ext xmlns:c16="http://schemas.microsoft.com/office/drawing/2014/chart" uri="{C3380CC4-5D6E-409C-BE32-E72D297353CC}">
                <c16:uniqueId val="{0000003C-24C9-4D75-9907-3BBFC2C1B454}"/>
              </c:ext>
            </c:extLst>
          </c:dPt>
          <c:dPt>
            <c:idx val="33"/>
            <c:invertIfNegative val="0"/>
            <c:bubble3D val="0"/>
            <c:spPr>
              <a:solidFill>
                <a:schemeClr val="bg1">
                  <a:lumMod val="85000"/>
                </a:schemeClr>
              </a:solidFill>
              <a:ln w="3175">
                <a:solidFill>
                  <a:schemeClr val="bg1">
                    <a:lumMod val="65000"/>
                  </a:schemeClr>
                </a:solidFill>
              </a:ln>
              <a:effectLst/>
            </c:spPr>
            <c:extLst>
              <c:ext xmlns:c16="http://schemas.microsoft.com/office/drawing/2014/chart" uri="{C3380CC4-5D6E-409C-BE32-E72D297353CC}">
                <c16:uniqueId val="{0000003E-24C9-4D75-9907-3BBFC2C1B454}"/>
              </c:ext>
            </c:extLst>
          </c:dPt>
          <c:dPt>
            <c:idx val="34"/>
            <c:invertIfNegative val="0"/>
            <c:bubble3D val="0"/>
            <c:spPr>
              <a:solidFill>
                <a:schemeClr val="bg1">
                  <a:lumMod val="95000"/>
                </a:schemeClr>
              </a:solidFill>
              <a:ln w="3175">
                <a:solidFill>
                  <a:schemeClr val="bg1">
                    <a:lumMod val="65000"/>
                  </a:schemeClr>
                </a:solidFill>
              </a:ln>
              <a:effectLst/>
            </c:spPr>
            <c:extLst>
              <c:ext xmlns:c16="http://schemas.microsoft.com/office/drawing/2014/chart" uri="{C3380CC4-5D6E-409C-BE32-E72D297353CC}">
                <c16:uniqueId val="{00000040-24C9-4D75-9907-3BBFC2C1B454}"/>
              </c:ext>
            </c:extLst>
          </c:dPt>
          <c:dPt>
            <c:idx val="35"/>
            <c:invertIfNegative val="0"/>
            <c:bubble3D val="0"/>
            <c:spPr>
              <a:solidFill>
                <a:srgbClr val="C5E8FF"/>
              </a:solidFill>
              <a:ln w="3175">
                <a:solidFill>
                  <a:schemeClr val="bg1">
                    <a:lumMod val="65000"/>
                  </a:schemeClr>
                </a:solidFill>
              </a:ln>
              <a:effectLst/>
            </c:spPr>
            <c:extLst>
              <c:ext xmlns:c16="http://schemas.microsoft.com/office/drawing/2014/chart" uri="{C3380CC4-5D6E-409C-BE32-E72D297353CC}">
                <c16:uniqueId val="{00000042-24C9-4D75-9907-3BBFC2C1B454}"/>
              </c:ext>
            </c:extLst>
          </c:dPt>
          <c:dPt>
            <c:idx val="36"/>
            <c:invertIfNegative val="0"/>
            <c:bubble3D val="0"/>
            <c:spPr>
              <a:solidFill>
                <a:srgbClr val="8FD2FF"/>
              </a:solidFill>
              <a:ln w="3175">
                <a:solidFill>
                  <a:schemeClr val="bg1">
                    <a:lumMod val="65000"/>
                  </a:schemeClr>
                </a:solidFill>
              </a:ln>
              <a:effectLst/>
            </c:spPr>
            <c:extLst>
              <c:ext xmlns:c16="http://schemas.microsoft.com/office/drawing/2014/chart" uri="{C3380CC4-5D6E-409C-BE32-E72D297353CC}">
                <c16:uniqueId val="{00000044-24C9-4D75-9907-3BBFC2C1B454}"/>
              </c:ext>
            </c:extLst>
          </c:dPt>
          <c:dPt>
            <c:idx val="37"/>
            <c:invertIfNegative val="0"/>
            <c:bubble3D val="0"/>
            <c:spPr>
              <a:solidFill>
                <a:srgbClr val="25A7FF"/>
              </a:solidFill>
              <a:ln w="3175">
                <a:solidFill>
                  <a:schemeClr val="bg1">
                    <a:lumMod val="65000"/>
                  </a:schemeClr>
                </a:solidFill>
              </a:ln>
              <a:effectLst/>
            </c:spPr>
            <c:extLst>
              <c:ext xmlns:c16="http://schemas.microsoft.com/office/drawing/2014/chart" uri="{C3380CC4-5D6E-409C-BE32-E72D297353CC}">
                <c16:uniqueId val="{00000046-24C9-4D75-9907-3BBFC2C1B454}"/>
              </c:ext>
            </c:extLst>
          </c:dPt>
          <c:dPt>
            <c:idx val="38"/>
            <c:invertIfNegative val="0"/>
            <c:bubble3D val="0"/>
            <c:spPr>
              <a:solidFill>
                <a:srgbClr val="0071BC"/>
              </a:solidFill>
              <a:ln w="3175">
                <a:solidFill>
                  <a:schemeClr val="bg1">
                    <a:lumMod val="65000"/>
                  </a:schemeClr>
                </a:solidFill>
              </a:ln>
              <a:effectLst/>
            </c:spPr>
            <c:extLst>
              <c:ext xmlns:c16="http://schemas.microsoft.com/office/drawing/2014/chart" uri="{C3380CC4-5D6E-409C-BE32-E72D297353CC}">
                <c16:uniqueId val="{00000048-24C9-4D75-9907-3BBFC2C1B454}"/>
              </c:ext>
            </c:extLst>
          </c:dPt>
          <c:dPt>
            <c:idx val="39"/>
            <c:invertIfNegative val="0"/>
            <c:bubble3D val="0"/>
            <c:extLst>
              <c:ext xmlns:c16="http://schemas.microsoft.com/office/drawing/2014/chart" uri="{C3380CC4-5D6E-409C-BE32-E72D297353CC}">
                <c16:uniqueId val="{00000049-24C9-4D75-9907-3BBFC2C1B454}"/>
              </c:ext>
            </c:extLst>
          </c:dPt>
          <c:dPt>
            <c:idx val="40"/>
            <c:invertIfNegative val="0"/>
            <c:bubble3D val="0"/>
            <c:spPr>
              <a:solidFill>
                <a:schemeClr val="bg1">
                  <a:lumMod val="75000"/>
                </a:schemeClr>
              </a:solidFill>
              <a:ln w="3175">
                <a:solidFill>
                  <a:schemeClr val="bg1">
                    <a:lumMod val="65000"/>
                  </a:schemeClr>
                </a:solidFill>
              </a:ln>
              <a:effectLst/>
            </c:spPr>
            <c:extLst>
              <c:ext xmlns:c16="http://schemas.microsoft.com/office/drawing/2014/chart" uri="{C3380CC4-5D6E-409C-BE32-E72D297353CC}">
                <c16:uniqueId val="{0000004B-24C9-4D75-9907-3BBFC2C1B454}"/>
              </c:ext>
            </c:extLst>
          </c:dPt>
          <c:dPt>
            <c:idx val="41"/>
            <c:invertIfNegative val="0"/>
            <c:bubble3D val="0"/>
            <c:spPr>
              <a:solidFill>
                <a:schemeClr val="bg1">
                  <a:lumMod val="85000"/>
                </a:schemeClr>
              </a:solidFill>
              <a:ln w="3175">
                <a:solidFill>
                  <a:schemeClr val="bg1">
                    <a:lumMod val="65000"/>
                  </a:schemeClr>
                </a:solidFill>
              </a:ln>
              <a:effectLst/>
            </c:spPr>
            <c:extLst>
              <c:ext xmlns:c16="http://schemas.microsoft.com/office/drawing/2014/chart" uri="{C3380CC4-5D6E-409C-BE32-E72D297353CC}">
                <c16:uniqueId val="{0000004D-24C9-4D75-9907-3BBFC2C1B454}"/>
              </c:ext>
            </c:extLst>
          </c:dPt>
          <c:dPt>
            <c:idx val="42"/>
            <c:invertIfNegative val="0"/>
            <c:bubble3D val="0"/>
            <c:spPr>
              <a:solidFill>
                <a:schemeClr val="bg1">
                  <a:lumMod val="95000"/>
                </a:schemeClr>
              </a:solidFill>
              <a:ln w="3175">
                <a:solidFill>
                  <a:schemeClr val="bg1">
                    <a:lumMod val="65000"/>
                  </a:schemeClr>
                </a:solidFill>
              </a:ln>
              <a:effectLst/>
            </c:spPr>
            <c:extLst>
              <c:ext xmlns:c16="http://schemas.microsoft.com/office/drawing/2014/chart" uri="{C3380CC4-5D6E-409C-BE32-E72D297353CC}">
                <c16:uniqueId val="{0000004F-24C9-4D75-9907-3BBFC2C1B454}"/>
              </c:ext>
            </c:extLst>
          </c:dPt>
          <c:dPt>
            <c:idx val="43"/>
            <c:invertIfNegative val="0"/>
            <c:bubble3D val="0"/>
            <c:spPr>
              <a:solidFill>
                <a:srgbClr val="C5E8FF"/>
              </a:solidFill>
              <a:ln w="3175">
                <a:solidFill>
                  <a:schemeClr val="bg1">
                    <a:lumMod val="65000"/>
                  </a:schemeClr>
                </a:solidFill>
              </a:ln>
              <a:effectLst/>
            </c:spPr>
            <c:extLst>
              <c:ext xmlns:c16="http://schemas.microsoft.com/office/drawing/2014/chart" uri="{C3380CC4-5D6E-409C-BE32-E72D297353CC}">
                <c16:uniqueId val="{00000051-24C9-4D75-9907-3BBFC2C1B454}"/>
              </c:ext>
            </c:extLst>
          </c:dPt>
          <c:dPt>
            <c:idx val="44"/>
            <c:invertIfNegative val="0"/>
            <c:bubble3D val="0"/>
            <c:spPr>
              <a:solidFill>
                <a:srgbClr val="8FD2FF"/>
              </a:solidFill>
              <a:ln w="3175">
                <a:solidFill>
                  <a:schemeClr val="bg1">
                    <a:lumMod val="65000"/>
                  </a:schemeClr>
                </a:solidFill>
              </a:ln>
              <a:effectLst/>
            </c:spPr>
            <c:extLst>
              <c:ext xmlns:c16="http://schemas.microsoft.com/office/drawing/2014/chart" uri="{C3380CC4-5D6E-409C-BE32-E72D297353CC}">
                <c16:uniqueId val="{00000053-24C9-4D75-9907-3BBFC2C1B454}"/>
              </c:ext>
            </c:extLst>
          </c:dPt>
          <c:dPt>
            <c:idx val="45"/>
            <c:invertIfNegative val="0"/>
            <c:bubble3D val="0"/>
            <c:spPr>
              <a:solidFill>
                <a:srgbClr val="25A7FF"/>
              </a:solidFill>
              <a:ln w="3175">
                <a:solidFill>
                  <a:schemeClr val="bg1">
                    <a:lumMod val="65000"/>
                  </a:schemeClr>
                </a:solidFill>
              </a:ln>
              <a:effectLst/>
            </c:spPr>
            <c:extLst>
              <c:ext xmlns:c16="http://schemas.microsoft.com/office/drawing/2014/chart" uri="{C3380CC4-5D6E-409C-BE32-E72D297353CC}">
                <c16:uniqueId val="{00000055-24C9-4D75-9907-3BBFC2C1B454}"/>
              </c:ext>
            </c:extLst>
          </c:dPt>
          <c:dPt>
            <c:idx val="46"/>
            <c:invertIfNegative val="0"/>
            <c:bubble3D val="0"/>
            <c:spPr>
              <a:solidFill>
                <a:srgbClr val="0071BC"/>
              </a:solidFill>
              <a:ln w="3175">
                <a:solidFill>
                  <a:schemeClr val="bg1">
                    <a:lumMod val="65000"/>
                  </a:schemeClr>
                </a:solidFill>
              </a:ln>
              <a:effectLst/>
            </c:spPr>
            <c:extLst>
              <c:ext xmlns:c16="http://schemas.microsoft.com/office/drawing/2014/chart" uri="{C3380CC4-5D6E-409C-BE32-E72D297353CC}">
                <c16:uniqueId val="{00000057-24C9-4D75-9907-3BBFC2C1B454}"/>
              </c:ext>
            </c:extLst>
          </c:dPt>
          <c:dPt>
            <c:idx val="48"/>
            <c:invertIfNegative val="0"/>
            <c:bubble3D val="0"/>
            <c:spPr>
              <a:solidFill>
                <a:schemeClr val="bg1">
                  <a:lumMod val="75000"/>
                </a:schemeClr>
              </a:solidFill>
              <a:ln w="3175">
                <a:solidFill>
                  <a:schemeClr val="bg1">
                    <a:lumMod val="65000"/>
                  </a:schemeClr>
                </a:solidFill>
              </a:ln>
              <a:effectLst/>
            </c:spPr>
            <c:extLst>
              <c:ext xmlns:c16="http://schemas.microsoft.com/office/drawing/2014/chart" uri="{C3380CC4-5D6E-409C-BE32-E72D297353CC}">
                <c16:uniqueId val="{00000059-24C9-4D75-9907-3BBFC2C1B454}"/>
              </c:ext>
            </c:extLst>
          </c:dPt>
          <c:dPt>
            <c:idx val="49"/>
            <c:invertIfNegative val="0"/>
            <c:bubble3D val="0"/>
            <c:spPr>
              <a:solidFill>
                <a:schemeClr val="bg1">
                  <a:lumMod val="85000"/>
                </a:schemeClr>
              </a:solidFill>
              <a:ln w="3175">
                <a:solidFill>
                  <a:schemeClr val="bg1">
                    <a:lumMod val="65000"/>
                  </a:schemeClr>
                </a:solidFill>
              </a:ln>
              <a:effectLst/>
            </c:spPr>
            <c:extLst>
              <c:ext xmlns:c16="http://schemas.microsoft.com/office/drawing/2014/chart" uri="{C3380CC4-5D6E-409C-BE32-E72D297353CC}">
                <c16:uniqueId val="{0000005B-24C9-4D75-9907-3BBFC2C1B454}"/>
              </c:ext>
            </c:extLst>
          </c:dPt>
          <c:dPt>
            <c:idx val="50"/>
            <c:invertIfNegative val="0"/>
            <c:bubble3D val="0"/>
            <c:spPr>
              <a:solidFill>
                <a:schemeClr val="bg1">
                  <a:lumMod val="95000"/>
                </a:schemeClr>
              </a:solidFill>
              <a:ln w="3175">
                <a:solidFill>
                  <a:schemeClr val="bg1">
                    <a:lumMod val="65000"/>
                  </a:schemeClr>
                </a:solidFill>
              </a:ln>
              <a:effectLst/>
            </c:spPr>
            <c:extLst>
              <c:ext xmlns:c16="http://schemas.microsoft.com/office/drawing/2014/chart" uri="{C3380CC4-5D6E-409C-BE32-E72D297353CC}">
                <c16:uniqueId val="{0000005D-24C9-4D75-9907-3BBFC2C1B454}"/>
              </c:ext>
            </c:extLst>
          </c:dPt>
          <c:dPt>
            <c:idx val="51"/>
            <c:invertIfNegative val="0"/>
            <c:bubble3D val="0"/>
            <c:spPr>
              <a:solidFill>
                <a:srgbClr val="C5E8FF"/>
              </a:solidFill>
              <a:ln w="3175">
                <a:solidFill>
                  <a:schemeClr val="bg1">
                    <a:lumMod val="65000"/>
                  </a:schemeClr>
                </a:solidFill>
              </a:ln>
              <a:effectLst/>
            </c:spPr>
            <c:extLst>
              <c:ext xmlns:c16="http://schemas.microsoft.com/office/drawing/2014/chart" uri="{C3380CC4-5D6E-409C-BE32-E72D297353CC}">
                <c16:uniqueId val="{0000005F-24C9-4D75-9907-3BBFC2C1B454}"/>
              </c:ext>
            </c:extLst>
          </c:dPt>
          <c:dPt>
            <c:idx val="52"/>
            <c:invertIfNegative val="0"/>
            <c:bubble3D val="0"/>
            <c:spPr>
              <a:solidFill>
                <a:srgbClr val="8FD2FF"/>
              </a:solidFill>
              <a:ln w="3175">
                <a:solidFill>
                  <a:schemeClr val="bg1">
                    <a:lumMod val="65000"/>
                  </a:schemeClr>
                </a:solidFill>
              </a:ln>
              <a:effectLst/>
            </c:spPr>
            <c:extLst>
              <c:ext xmlns:c16="http://schemas.microsoft.com/office/drawing/2014/chart" uri="{C3380CC4-5D6E-409C-BE32-E72D297353CC}">
                <c16:uniqueId val="{00000061-24C9-4D75-9907-3BBFC2C1B454}"/>
              </c:ext>
            </c:extLst>
          </c:dPt>
          <c:dPt>
            <c:idx val="53"/>
            <c:invertIfNegative val="0"/>
            <c:bubble3D val="0"/>
            <c:spPr>
              <a:solidFill>
                <a:srgbClr val="25A7FF"/>
              </a:solidFill>
              <a:ln w="3175">
                <a:solidFill>
                  <a:schemeClr val="bg1">
                    <a:lumMod val="65000"/>
                  </a:schemeClr>
                </a:solidFill>
              </a:ln>
              <a:effectLst/>
            </c:spPr>
            <c:extLst>
              <c:ext xmlns:c16="http://schemas.microsoft.com/office/drawing/2014/chart" uri="{C3380CC4-5D6E-409C-BE32-E72D297353CC}">
                <c16:uniqueId val="{00000063-24C9-4D75-9907-3BBFC2C1B454}"/>
              </c:ext>
            </c:extLst>
          </c:dPt>
          <c:dPt>
            <c:idx val="54"/>
            <c:invertIfNegative val="0"/>
            <c:bubble3D val="0"/>
            <c:spPr>
              <a:solidFill>
                <a:srgbClr val="0071BC"/>
              </a:solidFill>
              <a:ln w="3175">
                <a:solidFill>
                  <a:schemeClr val="bg1">
                    <a:lumMod val="65000"/>
                  </a:schemeClr>
                </a:solidFill>
              </a:ln>
              <a:effectLst/>
            </c:spPr>
            <c:extLst>
              <c:ext xmlns:c16="http://schemas.microsoft.com/office/drawing/2014/chart" uri="{C3380CC4-5D6E-409C-BE32-E72D297353CC}">
                <c16:uniqueId val="{00000065-24C9-4D75-9907-3BBFC2C1B454}"/>
              </c:ext>
            </c:extLst>
          </c:dPt>
          <c:dPt>
            <c:idx val="56"/>
            <c:invertIfNegative val="0"/>
            <c:bubble3D val="0"/>
            <c:spPr>
              <a:solidFill>
                <a:schemeClr val="bg1">
                  <a:lumMod val="75000"/>
                </a:schemeClr>
              </a:solidFill>
              <a:ln w="3175">
                <a:solidFill>
                  <a:schemeClr val="bg1">
                    <a:lumMod val="65000"/>
                  </a:schemeClr>
                </a:solidFill>
              </a:ln>
              <a:effectLst/>
            </c:spPr>
            <c:extLst>
              <c:ext xmlns:c16="http://schemas.microsoft.com/office/drawing/2014/chart" uri="{C3380CC4-5D6E-409C-BE32-E72D297353CC}">
                <c16:uniqueId val="{00000067-24C9-4D75-9907-3BBFC2C1B454}"/>
              </c:ext>
            </c:extLst>
          </c:dPt>
          <c:dPt>
            <c:idx val="57"/>
            <c:invertIfNegative val="0"/>
            <c:bubble3D val="0"/>
            <c:spPr>
              <a:solidFill>
                <a:schemeClr val="bg1">
                  <a:lumMod val="85000"/>
                </a:schemeClr>
              </a:solidFill>
              <a:ln w="3175">
                <a:solidFill>
                  <a:schemeClr val="bg1">
                    <a:lumMod val="65000"/>
                  </a:schemeClr>
                </a:solidFill>
              </a:ln>
              <a:effectLst/>
            </c:spPr>
            <c:extLst>
              <c:ext xmlns:c16="http://schemas.microsoft.com/office/drawing/2014/chart" uri="{C3380CC4-5D6E-409C-BE32-E72D297353CC}">
                <c16:uniqueId val="{00000069-24C9-4D75-9907-3BBFC2C1B454}"/>
              </c:ext>
            </c:extLst>
          </c:dPt>
          <c:dPt>
            <c:idx val="58"/>
            <c:invertIfNegative val="0"/>
            <c:bubble3D val="0"/>
            <c:spPr>
              <a:solidFill>
                <a:schemeClr val="bg1">
                  <a:lumMod val="95000"/>
                </a:schemeClr>
              </a:solidFill>
              <a:ln w="3175">
                <a:solidFill>
                  <a:schemeClr val="bg1">
                    <a:lumMod val="65000"/>
                  </a:schemeClr>
                </a:solidFill>
              </a:ln>
              <a:effectLst/>
            </c:spPr>
            <c:extLst>
              <c:ext xmlns:c16="http://schemas.microsoft.com/office/drawing/2014/chart" uri="{C3380CC4-5D6E-409C-BE32-E72D297353CC}">
                <c16:uniqueId val="{0000006B-24C9-4D75-9907-3BBFC2C1B454}"/>
              </c:ext>
            </c:extLst>
          </c:dPt>
          <c:dPt>
            <c:idx val="59"/>
            <c:invertIfNegative val="0"/>
            <c:bubble3D val="0"/>
            <c:spPr>
              <a:solidFill>
                <a:srgbClr val="C5E8FF"/>
              </a:solidFill>
              <a:ln w="3175">
                <a:solidFill>
                  <a:schemeClr val="bg1">
                    <a:lumMod val="65000"/>
                  </a:schemeClr>
                </a:solidFill>
              </a:ln>
              <a:effectLst/>
            </c:spPr>
            <c:extLst>
              <c:ext xmlns:c16="http://schemas.microsoft.com/office/drawing/2014/chart" uri="{C3380CC4-5D6E-409C-BE32-E72D297353CC}">
                <c16:uniqueId val="{0000006D-24C9-4D75-9907-3BBFC2C1B454}"/>
              </c:ext>
            </c:extLst>
          </c:dPt>
          <c:dPt>
            <c:idx val="60"/>
            <c:invertIfNegative val="0"/>
            <c:bubble3D val="0"/>
            <c:spPr>
              <a:solidFill>
                <a:srgbClr val="8FD2FF"/>
              </a:solidFill>
              <a:ln w="3175">
                <a:solidFill>
                  <a:schemeClr val="bg1">
                    <a:lumMod val="65000"/>
                  </a:schemeClr>
                </a:solidFill>
              </a:ln>
              <a:effectLst/>
            </c:spPr>
            <c:extLst>
              <c:ext xmlns:c16="http://schemas.microsoft.com/office/drawing/2014/chart" uri="{C3380CC4-5D6E-409C-BE32-E72D297353CC}">
                <c16:uniqueId val="{0000006F-24C9-4D75-9907-3BBFC2C1B454}"/>
              </c:ext>
            </c:extLst>
          </c:dPt>
          <c:dPt>
            <c:idx val="61"/>
            <c:invertIfNegative val="0"/>
            <c:bubble3D val="0"/>
            <c:spPr>
              <a:solidFill>
                <a:srgbClr val="25A7FF"/>
              </a:solidFill>
              <a:ln w="3175">
                <a:solidFill>
                  <a:schemeClr val="bg1">
                    <a:lumMod val="65000"/>
                  </a:schemeClr>
                </a:solidFill>
              </a:ln>
              <a:effectLst/>
            </c:spPr>
            <c:extLst>
              <c:ext xmlns:c16="http://schemas.microsoft.com/office/drawing/2014/chart" uri="{C3380CC4-5D6E-409C-BE32-E72D297353CC}">
                <c16:uniqueId val="{00000071-24C9-4D75-9907-3BBFC2C1B454}"/>
              </c:ext>
            </c:extLst>
          </c:dPt>
          <c:dPt>
            <c:idx val="62"/>
            <c:invertIfNegative val="0"/>
            <c:bubble3D val="0"/>
            <c:spPr>
              <a:solidFill>
                <a:srgbClr val="0071BC"/>
              </a:solidFill>
              <a:ln w="3175">
                <a:solidFill>
                  <a:schemeClr val="bg1">
                    <a:lumMod val="65000"/>
                  </a:schemeClr>
                </a:solidFill>
              </a:ln>
              <a:effectLst/>
            </c:spPr>
            <c:extLst>
              <c:ext xmlns:c16="http://schemas.microsoft.com/office/drawing/2014/chart" uri="{C3380CC4-5D6E-409C-BE32-E72D297353CC}">
                <c16:uniqueId val="{00000073-24C9-4D75-9907-3BBFC2C1B454}"/>
              </c:ext>
            </c:extLst>
          </c:dPt>
          <c:dPt>
            <c:idx val="64"/>
            <c:invertIfNegative val="0"/>
            <c:bubble3D val="0"/>
            <c:spPr>
              <a:solidFill>
                <a:schemeClr val="bg1">
                  <a:lumMod val="75000"/>
                </a:schemeClr>
              </a:solidFill>
              <a:ln w="3175">
                <a:solidFill>
                  <a:schemeClr val="bg1">
                    <a:lumMod val="65000"/>
                  </a:schemeClr>
                </a:solidFill>
              </a:ln>
              <a:effectLst/>
            </c:spPr>
            <c:extLst>
              <c:ext xmlns:c16="http://schemas.microsoft.com/office/drawing/2014/chart" uri="{C3380CC4-5D6E-409C-BE32-E72D297353CC}">
                <c16:uniqueId val="{00000075-24C9-4D75-9907-3BBFC2C1B454}"/>
              </c:ext>
            </c:extLst>
          </c:dPt>
          <c:dPt>
            <c:idx val="65"/>
            <c:invertIfNegative val="0"/>
            <c:bubble3D val="0"/>
            <c:spPr>
              <a:solidFill>
                <a:schemeClr val="bg1">
                  <a:lumMod val="85000"/>
                </a:schemeClr>
              </a:solidFill>
              <a:ln w="3175">
                <a:solidFill>
                  <a:schemeClr val="bg1">
                    <a:lumMod val="65000"/>
                  </a:schemeClr>
                </a:solidFill>
              </a:ln>
              <a:effectLst/>
            </c:spPr>
            <c:extLst>
              <c:ext xmlns:c16="http://schemas.microsoft.com/office/drawing/2014/chart" uri="{C3380CC4-5D6E-409C-BE32-E72D297353CC}">
                <c16:uniqueId val="{00000077-24C9-4D75-9907-3BBFC2C1B454}"/>
              </c:ext>
            </c:extLst>
          </c:dPt>
          <c:dPt>
            <c:idx val="66"/>
            <c:invertIfNegative val="0"/>
            <c:bubble3D val="0"/>
            <c:spPr>
              <a:solidFill>
                <a:schemeClr val="bg1">
                  <a:lumMod val="95000"/>
                </a:schemeClr>
              </a:solidFill>
              <a:ln w="3175">
                <a:solidFill>
                  <a:schemeClr val="bg1">
                    <a:lumMod val="65000"/>
                  </a:schemeClr>
                </a:solidFill>
              </a:ln>
              <a:effectLst/>
            </c:spPr>
            <c:extLst>
              <c:ext xmlns:c16="http://schemas.microsoft.com/office/drawing/2014/chart" uri="{C3380CC4-5D6E-409C-BE32-E72D297353CC}">
                <c16:uniqueId val="{00000079-24C9-4D75-9907-3BBFC2C1B454}"/>
              </c:ext>
            </c:extLst>
          </c:dPt>
          <c:dPt>
            <c:idx val="67"/>
            <c:invertIfNegative val="0"/>
            <c:bubble3D val="0"/>
            <c:spPr>
              <a:solidFill>
                <a:srgbClr val="C5E8FF"/>
              </a:solidFill>
              <a:ln w="3175">
                <a:solidFill>
                  <a:schemeClr val="bg1">
                    <a:lumMod val="65000"/>
                  </a:schemeClr>
                </a:solidFill>
              </a:ln>
              <a:effectLst/>
            </c:spPr>
            <c:extLst>
              <c:ext xmlns:c16="http://schemas.microsoft.com/office/drawing/2014/chart" uri="{C3380CC4-5D6E-409C-BE32-E72D297353CC}">
                <c16:uniqueId val="{0000007B-24C9-4D75-9907-3BBFC2C1B454}"/>
              </c:ext>
            </c:extLst>
          </c:dPt>
          <c:dPt>
            <c:idx val="68"/>
            <c:invertIfNegative val="0"/>
            <c:bubble3D val="0"/>
            <c:spPr>
              <a:solidFill>
                <a:srgbClr val="8FD2FF"/>
              </a:solidFill>
              <a:ln w="3175">
                <a:solidFill>
                  <a:schemeClr val="bg1">
                    <a:lumMod val="65000"/>
                  </a:schemeClr>
                </a:solidFill>
              </a:ln>
              <a:effectLst/>
            </c:spPr>
            <c:extLst>
              <c:ext xmlns:c16="http://schemas.microsoft.com/office/drawing/2014/chart" uri="{C3380CC4-5D6E-409C-BE32-E72D297353CC}">
                <c16:uniqueId val="{0000007D-24C9-4D75-9907-3BBFC2C1B454}"/>
              </c:ext>
            </c:extLst>
          </c:dPt>
          <c:dPt>
            <c:idx val="69"/>
            <c:invertIfNegative val="0"/>
            <c:bubble3D val="0"/>
            <c:spPr>
              <a:solidFill>
                <a:srgbClr val="25A7FF"/>
              </a:solidFill>
              <a:ln w="3175">
                <a:solidFill>
                  <a:schemeClr val="bg1">
                    <a:lumMod val="65000"/>
                  </a:schemeClr>
                </a:solidFill>
              </a:ln>
              <a:effectLst/>
            </c:spPr>
            <c:extLst>
              <c:ext xmlns:c16="http://schemas.microsoft.com/office/drawing/2014/chart" uri="{C3380CC4-5D6E-409C-BE32-E72D297353CC}">
                <c16:uniqueId val="{0000007F-24C9-4D75-9907-3BBFC2C1B454}"/>
              </c:ext>
            </c:extLst>
          </c:dPt>
          <c:dPt>
            <c:idx val="70"/>
            <c:invertIfNegative val="0"/>
            <c:bubble3D val="0"/>
            <c:spPr>
              <a:solidFill>
                <a:srgbClr val="0071BC"/>
              </a:solidFill>
              <a:ln w="3175">
                <a:solidFill>
                  <a:schemeClr val="bg1">
                    <a:lumMod val="65000"/>
                  </a:schemeClr>
                </a:solidFill>
              </a:ln>
              <a:effectLst/>
            </c:spPr>
            <c:extLst>
              <c:ext xmlns:c16="http://schemas.microsoft.com/office/drawing/2014/chart" uri="{C3380CC4-5D6E-409C-BE32-E72D297353CC}">
                <c16:uniqueId val="{00000081-24C9-4D75-9907-3BBFC2C1B454}"/>
              </c:ext>
            </c:extLst>
          </c:dPt>
          <c:dPt>
            <c:idx val="72"/>
            <c:invertIfNegative val="0"/>
            <c:bubble3D val="0"/>
            <c:spPr>
              <a:solidFill>
                <a:schemeClr val="bg1">
                  <a:lumMod val="75000"/>
                </a:schemeClr>
              </a:solidFill>
              <a:ln w="3175">
                <a:solidFill>
                  <a:schemeClr val="bg1">
                    <a:lumMod val="65000"/>
                  </a:schemeClr>
                </a:solidFill>
              </a:ln>
              <a:effectLst/>
            </c:spPr>
            <c:extLst>
              <c:ext xmlns:c16="http://schemas.microsoft.com/office/drawing/2014/chart" uri="{C3380CC4-5D6E-409C-BE32-E72D297353CC}">
                <c16:uniqueId val="{00000083-24C9-4D75-9907-3BBFC2C1B454}"/>
              </c:ext>
            </c:extLst>
          </c:dPt>
          <c:dPt>
            <c:idx val="73"/>
            <c:invertIfNegative val="0"/>
            <c:bubble3D val="0"/>
            <c:spPr>
              <a:solidFill>
                <a:schemeClr val="bg1">
                  <a:lumMod val="85000"/>
                </a:schemeClr>
              </a:solidFill>
              <a:ln w="3175">
                <a:solidFill>
                  <a:schemeClr val="bg1">
                    <a:lumMod val="65000"/>
                  </a:schemeClr>
                </a:solidFill>
              </a:ln>
              <a:effectLst/>
            </c:spPr>
            <c:extLst>
              <c:ext xmlns:c16="http://schemas.microsoft.com/office/drawing/2014/chart" uri="{C3380CC4-5D6E-409C-BE32-E72D297353CC}">
                <c16:uniqueId val="{00000085-24C9-4D75-9907-3BBFC2C1B454}"/>
              </c:ext>
            </c:extLst>
          </c:dPt>
          <c:dPt>
            <c:idx val="74"/>
            <c:invertIfNegative val="0"/>
            <c:bubble3D val="0"/>
            <c:spPr>
              <a:solidFill>
                <a:schemeClr val="bg1">
                  <a:lumMod val="95000"/>
                </a:schemeClr>
              </a:solidFill>
              <a:ln w="3175">
                <a:solidFill>
                  <a:schemeClr val="bg1">
                    <a:lumMod val="65000"/>
                  </a:schemeClr>
                </a:solidFill>
              </a:ln>
              <a:effectLst/>
            </c:spPr>
            <c:extLst>
              <c:ext xmlns:c16="http://schemas.microsoft.com/office/drawing/2014/chart" uri="{C3380CC4-5D6E-409C-BE32-E72D297353CC}">
                <c16:uniqueId val="{00000087-24C9-4D75-9907-3BBFC2C1B454}"/>
              </c:ext>
            </c:extLst>
          </c:dPt>
          <c:dPt>
            <c:idx val="75"/>
            <c:invertIfNegative val="0"/>
            <c:bubble3D val="0"/>
            <c:spPr>
              <a:solidFill>
                <a:srgbClr val="C5E8FF"/>
              </a:solidFill>
              <a:ln w="3175">
                <a:solidFill>
                  <a:schemeClr val="bg1">
                    <a:lumMod val="65000"/>
                  </a:schemeClr>
                </a:solidFill>
              </a:ln>
              <a:effectLst/>
            </c:spPr>
            <c:extLst>
              <c:ext xmlns:c16="http://schemas.microsoft.com/office/drawing/2014/chart" uri="{C3380CC4-5D6E-409C-BE32-E72D297353CC}">
                <c16:uniqueId val="{00000089-24C9-4D75-9907-3BBFC2C1B454}"/>
              </c:ext>
            </c:extLst>
          </c:dPt>
          <c:dPt>
            <c:idx val="76"/>
            <c:invertIfNegative val="0"/>
            <c:bubble3D val="0"/>
            <c:spPr>
              <a:solidFill>
                <a:srgbClr val="8FD2FF"/>
              </a:solidFill>
              <a:ln w="3175">
                <a:solidFill>
                  <a:schemeClr val="bg1">
                    <a:lumMod val="65000"/>
                  </a:schemeClr>
                </a:solidFill>
              </a:ln>
              <a:effectLst/>
            </c:spPr>
            <c:extLst>
              <c:ext xmlns:c16="http://schemas.microsoft.com/office/drawing/2014/chart" uri="{C3380CC4-5D6E-409C-BE32-E72D297353CC}">
                <c16:uniqueId val="{0000008B-24C9-4D75-9907-3BBFC2C1B454}"/>
              </c:ext>
            </c:extLst>
          </c:dPt>
          <c:dPt>
            <c:idx val="77"/>
            <c:invertIfNegative val="0"/>
            <c:bubble3D val="0"/>
            <c:spPr>
              <a:solidFill>
                <a:srgbClr val="25A7FF"/>
              </a:solidFill>
              <a:ln w="3175">
                <a:solidFill>
                  <a:schemeClr val="bg1">
                    <a:lumMod val="65000"/>
                  </a:schemeClr>
                </a:solidFill>
              </a:ln>
              <a:effectLst/>
            </c:spPr>
            <c:extLst>
              <c:ext xmlns:c16="http://schemas.microsoft.com/office/drawing/2014/chart" uri="{C3380CC4-5D6E-409C-BE32-E72D297353CC}">
                <c16:uniqueId val="{0000008D-24C9-4D75-9907-3BBFC2C1B454}"/>
              </c:ext>
            </c:extLst>
          </c:dPt>
          <c:dPt>
            <c:idx val="78"/>
            <c:invertIfNegative val="0"/>
            <c:bubble3D val="0"/>
            <c:spPr>
              <a:solidFill>
                <a:srgbClr val="0071BC"/>
              </a:solidFill>
              <a:ln w="3175">
                <a:solidFill>
                  <a:schemeClr val="bg1">
                    <a:lumMod val="65000"/>
                  </a:schemeClr>
                </a:solidFill>
              </a:ln>
              <a:effectLst/>
            </c:spPr>
            <c:extLst>
              <c:ext xmlns:c16="http://schemas.microsoft.com/office/drawing/2014/chart" uri="{C3380CC4-5D6E-409C-BE32-E72D297353CC}">
                <c16:uniqueId val="{0000008F-24C9-4D75-9907-3BBFC2C1B454}"/>
              </c:ext>
            </c:extLst>
          </c:dPt>
          <c:cat>
            <c:strRef>
              <c:f>'GRAF-7-ISCO-růst'!$A$90:$A$169</c:f>
              <c:strCache>
                <c:ptCount val="76"/>
                <c:pt idx="3">
                  <c:v>Zaměstnanci 
v ozbrojených 
silách</c:v>
                </c:pt>
                <c:pt idx="11">
                  <c:v>Zákonodárci,
řídící pracovníci</c:v>
                </c:pt>
                <c:pt idx="19">
                  <c:v>Specialisté</c:v>
                </c:pt>
                <c:pt idx="27">
                  <c:v>Techničtí
a odborní prac.</c:v>
                </c:pt>
                <c:pt idx="35">
                  <c:v>Úředníci</c:v>
                </c:pt>
                <c:pt idx="43">
                  <c:v>Pracovníci ve 
službách a prodeji</c:v>
                </c:pt>
                <c:pt idx="51">
                  <c:v>Kvalifikovaní prac.
v zemědělství, lesn.
a rybářství</c:v>
                </c:pt>
                <c:pt idx="59">
                  <c:v>Řemeslníci 
a opraváři</c:v>
                </c:pt>
                <c:pt idx="67">
                  <c:v>Obsluha strojů 
a zařízení, montéři</c:v>
                </c:pt>
                <c:pt idx="75">
                  <c:v>Pomocní a 
nekvalifik. prac.</c:v>
                </c:pt>
              </c:strCache>
            </c:strRef>
          </c:cat>
          <c:val>
            <c:numRef>
              <c:f>'GRAF-7-ISCO-růst'!$B$90:$B$169</c:f>
              <c:numCache>
                <c:formatCode>0.0</c:formatCode>
                <c:ptCount val="80"/>
                <c:pt idx="0">
                  <c:v>-2.2260912821788281</c:v>
                </c:pt>
                <c:pt idx="1">
                  <c:v>0.59357245823794358</c:v>
                </c:pt>
                <c:pt idx="2">
                  <c:v>4.7795667200539498</c:v>
                </c:pt>
                <c:pt idx="3">
                  <c:v>9.3282381335478561</c:v>
                </c:pt>
                <c:pt idx="4">
                  <c:v>12.196916737186797</c:v>
                </c:pt>
                <c:pt idx="5">
                  <c:v>10.123302944841612</c:v>
                </c:pt>
                <c:pt idx="6">
                  <c:v>13.462970131919832</c:v>
                </c:pt>
                <c:pt idx="8">
                  <c:v>2.0342290947305202</c:v>
                </c:pt>
                <c:pt idx="9">
                  <c:v>3.2909095367713803</c:v>
                </c:pt>
                <c:pt idx="10">
                  <c:v>1.6523824220697492</c:v>
                </c:pt>
                <c:pt idx="11">
                  <c:v>3.9049910082443944</c:v>
                </c:pt>
                <c:pt idx="12">
                  <c:v>1.4767695385376101</c:v>
                </c:pt>
                <c:pt idx="13">
                  <c:v>7.7681300668940736</c:v>
                </c:pt>
                <c:pt idx="14">
                  <c:v>6.0530696976548199</c:v>
                </c:pt>
                <c:pt idx="16">
                  <c:v>0.98520464601770641</c:v>
                </c:pt>
                <c:pt idx="17">
                  <c:v>2.3106151370964909</c:v>
                </c:pt>
                <c:pt idx="18">
                  <c:v>2.4223768736616762</c:v>
                </c:pt>
                <c:pt idx="19">
                  <c:v>3.8220305762446145</c:v>
                </c:pt>
                <c:pt idx="20">
                  <c:v>4.9430495248883091</c:v>
                </c:pt>
                <c:pt idx="21">
                  <c:v>7.3636554432884509</c:v>
                </c:pt>
                <c:pt idx="22">
                  <c:v>9.0200787511519422</c:v>
                </c:pt>
                <c:pt idx="24">
                  <c:v>0.18833869575453832</c:v>
                </c:pt>
                <c:pt idx="25">
                  <c:v>0.97125401425550706</c:v>
                </c:pt>
                <c:pt idx="26">
                  <c:v>2.4823520285470551</c:v>
                </c:pt>
                <c:pt idx="27">
                  <c:v>4.5189614715010151</c:v>
                </c:pt>
                <c:pt idx="28">
                  <c:v>4.8196697566628188</c:v>
                </c:pt>
                <c:pt idx="29">
                  <c:v>7.503368224686497</c:v>
                </c:pt>
                <c:pt idx="30">
                  <c:v>8.2007776599505036</c:v>
                </c:pt>
                <c:pt idx="32">
                  <c:v>-0.2919139826797732</c:v>
                </c:pt>
                <c:pt idx="33">
                  <c:v>0.3171659998048284</c:v>
                </c:pt>
                <c:pt idx="34">
                  <c:v>1.6294566856364554</c:v>
                </c:pt>
                <c:pt idx="35">
                  <c:v>2.7232698382310758</c:v>
                </c:pt>
                <c:pt idx="36">
                  <c:v>5.1157806457624844</c:v>
                </c:pt>
                <c:pt idx="37">
                  <c:v>6.533398342272065</c:v>
                </c:pt>
                <c:pt idx="38">
                  <c:v>7.0688579155398372</c:v>
                </c:pt>
                <c:pt idx="40">
                  <c:v>0.65967641136033706</c:v>
                </c:pt>
                <c:pt idx="41">
                  <c:v>0.66225165562914867</c:v>
                </c:pt>
                <c:pt idx="42">
                  <c:v>2.3574561403508767</c:v>
                </c:pt>
                <c:pt idx="43">
                  <c:v>3.8698446705945457</c:v>
                </c:pt>
                <c:pt idx="44">
                  <c:v>8.8758540672940569</c:v>
                </c:pt>
                <c:pt idx="45">
                  <c:v>10.366467349476068</c:v>
                </c:pt>
                <c:pt idx="46">
                  <c:v>11.195150734899698</c:v>
                </c:pt>
                <c:pt idx="48">
                  <c:v>4.4815777042985303</c:v>
                </c:pt>
                <c:pt idx="49">
                  <c:v>2.9386832438542001</c:v>
                </c:pt>
                <c:pt idx="50">
                  <c:v>3.8155366456217337</c:v>
                </c:pt>
                <c:pt idx="51">
                  <c:v>3.0724484399788423</c:v>
                </c:pt>
                <c:pt idx="52">
                  <c:v>3.6067928787645513</c:v>
                </c:pt>
                <c:pt idx="53">
                  <c:v>6.5118351985738343</c:v>
                </c:pt>
                <c:pt idx="54">
                  <c:v>4.4353526430796393</c:v>
                </c:pt>
                <c:pt idx="56">
                  <c:v>1.4900417998524773</c:v>
                </c:pt>
                <c:pt idx="57">
                  <c:v>1.8073456730303405</c:v>
                </c:pt>
                <c:pt idx="58">
                  <c:v>3.450573509114264</c:v>
                </c:pt>
                <c:pt idx="59">
                  <c:v>4.264814133235177</c:v>
                </c:pt>
                <c:pt idx="60">
                  <c:v>5.1317124829016478</c:v>
                </c:pt>
                <c:pt idx="61">
                  <c:v>7.5631662889280591</c:v>
                </c:pt>
                <c:pt idx="62">
                  <c:v>8.1083190260652316</c:v>
                </c:pt>
                <c:pt idx="64">
                  <c:v>0.92399403874814823</c:v>
                </c:pt>
                <c:pt idx="65">
                  <c:v>1.2699350265800433</c:v>
                </c:pt>
                <c:pt idx="66">
                  <c:v>2.6927189656848327</c:v>
                </c:pt>
                <c:pt idx="67">
                  <c:v>4.2976145399469914</c:v>
                </c:pt>
                <c:pt idx="68">
                  <c:v>5.590851334180428</c:v>
                </c:pt>
                <c:pt idx="69">
                  <c:v>7.8820697954271992</c:v>
                </c:pt>
                <c:pt idx="70">
                  <c:v>8.5570870846944445</c:v>
                </c:pt>
                <c:pt idx="72">
                  <c:v>0.771766821519563</c:v>
                </c:pt>
                <c:pt idx="73">
                  <c:v>1.4053089449029557</c:v>
                </c:pt>
                <c:pt idx="74">
                  <c:v>2.3830473676491977</c:v>
                </c:pt>
                <c:pt idx="75">
                  <c:v>3.5164362959249473</c:v>
                </c:pt>
                <c:pt idx="76">
                  <c:v>7.6449425764494379</c:v>
                </c:pt>
                <c:pt idx="77">
                  <c:v>8.1367697152773246</c:v>
                </c:pt>
                <c:pt idx="78">
                  <c:v>6.6329866270430813</c:v>
                </c:pt>
              </c:numCache>
            </c:numRef>
          </c:val>
          <c:extLst>
            <c:ext xmlns:c16="http://schemas.microsoft.com/office/drawing/2014/chart" uri="{C3380CC4-5D6E-409C-BE32-E72D297353CC}">
              <c16:uniqueId val="{00000090-24C9-4D75-9907-3BBFC2C1B454}"/>
            </c:ext>
          </c:extLst>
        </c:ser>
        <c:dLbls>
          <c:showLegendKey val="0"/>
          <c:showVal val="0"/>
          <c:showCatName val="0"/>
          <c:showSerName val="0"/>
          <c:showPercent val="0"/>
          <c:showBubbleSize val="0"/>
        </c:dLbls>
        <c:gapWidth val="30"/>
        <c:axId val="111385984"/>
        <c:axId val="111392256"/>
      </c:barChart>
      <c:lineChart>
        <c:grouping val="stacked"/>
        <c:varyColors val="0"/>
        <c:ser>
          <c:idx val="1"/>
          <c:order val="1"/>
          <c:tx>
            <c:strRef>
              <c:f>'GRAF-7-ISCO-růst'!$C$89</c:f>
              <c:strCache>
                <c:ptCount val="1"/>
                <c:pt idx="0">
                  <c:v>z toho ženy</c:v>
                </c:pt>
              </c:strCache>
            </c:strRef>
          </c:tx>
          <c:spPr>
            <a:ln w="15875" cap="rnd">
              <a:noFill/>
              <a:prstDash val="sysDash"/>
              <a:round/>
            </a:ln>
            <a:effectLst/>
          </c:spPr>
          <c:marker>
            <c:symbol val="dash"/>
            <c:size val="5"/>
            <c:spPr>
              <a:solidFill>
                <a:srgbClr val="C00000"/>
              </a:solidFill>
              <a:ln w="3175">
                <a:noFill/>
              </a:ln>
              <a:effectLst/>
            </c:spPr>
          </c:marker>
          <c:cat>
            <c:strRef>
              <c:f>'GRAF-7-ISCO-růst'!$A$90:$A$169</c:f>
              <c:strCache>
                <c:ptCount val="76"/>
                <c:pt idx="3">
                  <c:v>Zaměstnanci 
v ozbrojených 
silách</c:v>
                </c:pt>
                <c:pt idx="11">
                  <c:v>Zákonodárci,
řídící pracovníci</c:v>
                </c:pt>
                <c:pt idx="19">
                  <c:v>Specialisté</c:v>
                </c:pt>
                <c:pt idx="27">
                  <c:v>Techničtí
a odborní prac.</c:v>
                </c:pt>
                <c:pt idx="35">
                  <c:v>Úředníci</c:v>
                </c:pt>
                <c:pt idx="43">
                  <c:v>Pracovníci ve 
službách a prodeji</c:v>
                </c:pt>
                <c:pt idx="51">
                  <c:v>Kvalifikovaní prac.
v zemědělství, lesn.
a rybářství</c:v>
                </c:pt>
                <c:pt idx="59">
                  <c:v>Řemeslníci 
a opraváři</c:v>
                </c:pt>
                <c:pt idx="67">
                  <c:v>Obsluha strojů 
a zařízení, montéři</c:v>
                </c:pt>
                <c:pt idx="75">
                  <c:v>Pomocní a 
nekvalifik. prac.</c:v>
                </c:pt>
              </c:strCache>
            </c:strRef>
          </c:cat>
          <c:val>
            <c:numRef>
              <c:f>'GRAF-7-ISCO-růst'!$C$90:$C$169</c:f>
              <c:numCache>
                <c:formatCode>0.0</c:formatCode>
                <c:ptCount val="80"/>
                <c:pt idx="0">
                  <c:v>-1.6673395236172865</c:v>
                </c:pt>
                <c:pt idx="1">
                  <c:v>0.96070944697623872</c:v>
                </c:pt>
                <c:pt idx="2">
                  <c:v>7.9419299743808836</c:v>
                </c:pt>
                <c:pt idx="3">
                  <c:v>10.141651597347789</c:v>
                </c:pt>
                <c:pt idx="4">
                  <c:v>13.196059652483257</c:v>
                </c:pt>
                <c:pt idx="5">
                  <c:v>10.3855683809754</c:v>
                </c:pt>
                <c:pt idx="6">
                  <c:v>13.514549286907013</c:v>
                </c:pt>
                <c:pt idx="7">
                  <c:v>-1000</c:v>
                </c:pt>
                <c:pt idx="8">
                  <c:v>1.0286109430374353</c:v>
                </c:pt>
                <c:pt idx="9">
                  <c:v>3.9755874971480836</c:v>
                </c:pt>
                <c:pt idx="10">
                  <c:v>2.1613911898623144</c:v>
                </c:pt>
                <c:pt idx="11">
                  <c:v>4.0433872093647665</c:v>
                </c:pt>
                <c:pt idx="12">
                  <c:v>2.1727910817506171</c:v>
                </c:pt>
                <c:pt idx="13">
                  <c:v>7.7057129868161951</c:v>
                </c:pt>
                <c:pt idx="14">
                  <c:v>6.5236252784617079</c:v>
                </c:pt>
                <c:pt idx="15">
                  <c:v>-1000</c:v>
                </c:pt>
                <c:pt idx="16">
                  <c:v>1.0218317559669714</c:v>
                </c:pt>
                <c:pt idx="17">
                  <c:v>1.8624962675425536</c:v>
                </c:pt>
                <c:pt idx="18">
                  <c:v>2.561283939760358</c:v>
                </c:pt>
                <c:pt idx="19">
                  <c:v>3.3726330832440254</c:v>
                </c:pt>
                <c:pt idx="20">
                  <c:v>4.9491947190156935</c:v>
                </c:pt>
                <c:pt idx="21">
                  <c:v>7.3865507475465932</c:v>
                </c:pt>
                <c:pt idx="22">
                  <c:v>10.095372443190513</c:v>
                </c:pt>
                <c:pt idx="23">
                  <c:v>-1000</c:v>
                </c:pt>
                <c:pt idx="24">
                  <c:v>0.24197656647987742</c:v>
                </c:pt>
                <c:pt idx="25">
                  <c:v>0.98250963452335327</c:v>
                </c:pt>
                <c:pt idx="26">
                  <c:v>2.5623820507443895</c:v>
                </c:pt>
                <c:pt idx="27">
                  <c:v>4.2893359502780442</c:v>
                </c:pt>
                <c:pt idx="28">
                  <c:v>4.6892766124289267</c:v>
                </c:pt>
                <c:pt idx="29">
                  <c:v>7.5952211527658022</c:v>
                </c:pt>
                <c:pt idx="30">
                  <c:v>8.6741619965888077</c:v>
                </c:pt>
                <c:pt idx="31">
                  <c:v>-1000</c:v>
                </c:pt>
                <c:pt idx="32">
                  <c:v>-0.22768670309653771</c:v>
                </c:pt>
                <c:pt idx="33">
                  <c:v>0.62376388254983794</c:v>
                </c:pt>
                <c:pt idx="34">
                  <c:v>1.4313073278903374</c:v>
                </c:pt>
                <c:pt idx="35">
                  <c:v>2.6234721256086715</c:v>
                </c:pt>
                <c:pt idx="36">
                  <c:v>4.5318098189212748</c:v>
                </c:pt>
                <c:pt idx="37">
                  <c:v>6.6002779064381514</c:v>
                </c:pt>
                <c:pt idx="38">
                  <c:v>7.4342819900065109</c:v>
                </c:pt>
                <c:pt idx="39">
                  <c:v>-1000</c:v>
                </c:pt>
                <c:pt idx="40">
                  <c:v>0.46948356807511971</c:v>
                </c:pt>
                <c:pt idx="41">
                  <c:v>0.80713678844519166</c:v>
                </c:pt>
                <c:pt idx="42">
                  <c:v>2.5214215479702204</c:v>
                </c:pt>
                <c:pt idx="43">
                  <c:v>4.2748509967801596</c:v>
                </c:pt>
                <c:pt idx="44">
                  <c:v>9.1189803560869791</c:v>
                </c:pt>
                <c:pt idx="45">
                  <c:v>10.367872840026493</c:v>
                </c:pt>
                <c:pt idx="46">
                  <c:v>11.941519829796519</c:v>
                </c:pt>
                <c:pt idx="47">
                  <c:v>-1000</c:v>
                </c:pt>
                <c:pt idx="48">
                  <c:v>6.5029179760148708</c:v>
                </c:pt>
                <c:pt idx="49">
                  <c:v>3.9019690491961256</c:v>
                </c:pt>
                <c:pt idx="50">
                  <c:v>2.2138510576644563</c:v>
                </c:pt>
                <c:pt idx="51">
                  <c:v>2.0014741736122943</c:v>
                </c:pt>
                <c:pt idx="52">
                  <c:v>2.9849916620344459</c:v>
                </c:pt>
                <c:pt idx="53">
                  <c:v>6.3582879041398996</c:v>
                </c:pt>
                <c:pt idx="54">
                  <c:v>7.3839127125095132</c:v>
                </c:pt>
                <c:pt idx="55">
                  <c:v>-1000</c:v>
                </c:pt>
                <c:pt idx="56">
                  <c:v>3.3999095081119606</c:v>
                </c:pt>
                <c:pt idx="57">
                  <c:v>2.2254172657373346</c:v>
                </c:pt>
                <c:pt idx="58">
                  <c:v>3.8830795572677914</c:v>
                </c:pt>
                <c:pt idx="59">
                  <c:v>2.7784318342359455</c:v>
                </c:pt>
                <c:pt idx="60">
                  <c:v>6.9301260022909474</c:v>
                </c:pt>
                <c:pt idx="61">
                  <c:v>8.7627209426888015</c:v>
                </c:pt>
                <c:pt idx="62">
                  <c:v>10.725893824485368</c:v>
                </c:pt>
                <c:pt idx="63">
                  <c:v>-1000</c:v>
                </c:pt>
                <c:pt idx="64">
                  <c:v>3.9041013990194813</c:v>
                </c:pt>
                <c:pt idx="65">
                  <c:v>1.8010242246389225</c:v>
                </c:pt>
                <c:pt idx="66">
                  <c:v>3.159620167307267</c:v>
                </c:pt>
                <c:pt idx="67">
                  <c:v>4.9476741000492979</c:v>
                </c:pt>
                <c:pt idx="68">
                  <c:v>6.3015558107966996</c:v>
                </c:pt>
                <c:pt idx="69">
                  <c:v>9.1793133932518032</c:v>
                </c:pt>
                <c:pt idx="70">
                  <c:v>9.4916779127305375</c:v>
                </c:pt>
                <c:pt idx="71">
                  <c:v>-1000</c:v>
                </c:pt>
                <c:pt idx="72">
                  <c:v>-0.32496547241855467</c:v>
                </c:pt>
                <c:pt idx="73">
                  <c:v>1.369304751813516</c:v>
                </c:pt>
                <c:pt idx="74">
                  <c:v>2.3960762241698177</c:v>
                </c:pt>
                <c:pt idx="75">
                  <c:v>3.6906164114644611</c:v>
                </c:pt>
                <c:pt idx="76">
                  <c:v>5.7023854600530228</c:v>
                </c:pt>
                <c:pt idx="77">
                  <c:v>9.7148588623011847</c:v>
                </c:pt>
                <c:pt idx="78">
                  <c:v>8.2016455530886816</c:v>
                </c:pt>
                <c:pt idx="79">
                  <c:v>-1000</c:v>
                </c:pt>
              </c:numCache>
            </c:numRef>
          </c:val>
          <c:smooth val="0"/>
          <c:extLst>
            <c:ext xmlns:c16="http://schemas.microsoft.com/office/drawing/2014/chart" uri="{C3380CC4-5D6E-409C-BE32-E72D297353CC}">
              <c16:uniqueId val="{00000091-24C9-4D75-9907-3BBFC2C1B454}"/>
            </c:ext>
          </c:extLst>
        </c:ser>
        <c:dLbls>
          <c:showLegendKey val="0"/>
          <c:showVal val="0"/>
          <c:showCatName val="0"/>
          <c:showSerName val="0"/>
          <c:showPercent val="0"/>
          <c:showBubbleSize val="0"/>
        </c:dLbls>
        <c:marker val="1"/>
        <c:smooth val="0"/>
        <c:axId val="111385984"/>
        <c:axId val="111392256"/>
      </c:lineChart>
      <c:catAx>
        <c:axId val="1113859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11392256"/>
        <c:crosses val="autoZero"/>
        <c:auto val="1"/>
        <c:lblAlgn val="ctr"/>
        <c:lblOffset val="0"/>
        <c:noMultiLvlLbl val="0"/>
      </c:catAx>
      <c:valAx>
        <c:axId val="111392256"/>
        <c:scaling>
          <c:orientation val="minMax"/>
          <c:max val="14"/>
          <c:min val="-3"/>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11385984"/>
        <c:crossesAt val="1"/>
        <c:crossBetween val="between"/>
        <c:majorUnit val="1"/>
      </c:valAx>
      <c:spPr>
        <a:noFill/>
        <a:ln w="6350">
          <a:solidFill>
            <a:schemeClr val="tx1">
              <a:lumMod val="95000"/>
              <a:lumOff val="5000"/>
            </a:schemeClr>
          </a:solidFill>
        </a:ln>
        <a:effectLst/>
      </c:spPr>
    </c:plotArea>
    <c:legend>
      <c:legendPos val="b"/>
      <c:layout>
        <c:manualLayout>
          <c:xMode val="edge"/>
          <c:yMode val="edge"/>
          <c:x val="0.3974487363676148"/>
          <c:y val="0.69018059734403114"/>
          <c:w val="0.25177584196887293"/>
          <c:h val="4.4240730071342708E-2"/>
        </c:manualLayout>
      </c:layout>
      <c:overlay val="0"/>
      <c:spPr>
        <a:noFill/>
        <a:ln w="6350">
          <a:solidFill>
            <a:schemeClr val="tx1">
              <a:lumMod val="95000"/>
              <a:lumOff val="5000"/>
            </a:schemeClr>
          </a:solidFill>
        </a:ln>
        <a:effectLst/>
      </c:spPr>
      <c:txPr>
        <a:bodyPr rot="0" spcFirstLastPara="1" vertOverflow="ellipsis" vert="horz" wrap="square" anchor="ctr" anchorCtr="1"/>
        <a:lstStyle/>
        <a:p>
          <a:pPr>
            <a:defRPr sz="800" b="0" i="0" u="none" strike="noStrike" kern="120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013335672225522E-2"/>
          <c:y val="1.5471793298564952E-2"/>
          <c:w val="0.93295705076326296"/>
          <c:h val="0.63759577464157768"/>
        </c:manualLayout>
      </c:layout>
      <c:barChart>
        <c:barDir val="col"/>
        <c:grouping val="clustered"/>
        <c:varyColors val="0"/>
        <c:ser>
          <c:idx val="2"/>
          <c:order val="2"/>
          <c:tx>
            <c:strRef>
              <c:f>'GRAF-8-ISCO-vzděl-Ž-M'!$F$2</c:f>
              <c:strCache>
                <c:ptCount val="1"/>
                <c:pt idx="0">
                  <c:v>rok 2018</c:v>
                </c:pt>
              </c:strCache>
            </c:strRef>
          </c:tx>
          <c:spPr>
            <a:solidFill>
              <a:srgbClr val="C5E8FF"/>
            </a:solidFill>
            <a:ln>
              <a:solidFill>
                <a:srgbClr val="71C6FF"/>
              </a:solidFill>
            </a:ln>
            <a:effectLst/>
          </c:spPr>
          <c:invertIfNegative val="0"/>
          <c:cat>
            <c:multiLvlStrRef>
              <c:f>'GRAF-8-ISCO-vzděl-Ž-M'!$A$3:$C$35</c:f>
              <c:multiLvlStrCache>
                <c:ptCount val="33"/>
                <c:lvl>
                  <c:pt idx="0">
                    <c:v>SŠ s mat.</c:v>
                  </c:pt>
                  <c:pt idx="1">
                    <c:v>VOŠ a VŠ (Bc.)</c:v>
                  </c:pt>
                  <c:pt idx="2">
                    <c:v>VŠ (ost. stupně)</c:v>
                  </c:pt>
                  <c:pt idx="3">
                    <c:v>SŠ s mat.</c:v>
                  </c:pt>
                  <c:pt idx="4">
                    <c:v>VOŠ a VŠ (Bc.)</c:v>
                  </c:pt>
                  <c:pt idx="5">
                    <c:v>VŠ (ost. stupně)</c:v>
                  </c:pt>
                  <c:pt idx="6">
                    <c:v>SŠ bez mat.</c:v>
                  </c:pt>
                  <c:pt idx="7">
                    <c:v>SŠ s mat.</c:v>
                  </c:pt>
                  <c:pt idx="8">
                    <c:v>VOŠ a VŠ (Bc.)</c:v>
                  </c:pt>
                  <c:pt idx="9">
                    <c:v>VŠ (ost. stupně)</c:v>
                  </c:pt>
                  <c:pt idx="10">
                    <c:v>SŠ bez mat.</c:v>
                  </c:pt>
                  <c:pt idx="11">
                    <c:v>SŠ s mat.</c:v>
                  </c:pt>
                  <c:pt idx="12">
                    <c:v>VOŠ a VŠ (Bc.)</c:v>
                  </c:pt>
                  <c:pt idx="13">
                    <c:v>VŠ (ost. stupně)</c:v>
                  </c:pt>
                  <c:pt idx="14">
                    <c:v>ZŠ, neukonč.</c:v>
                  </c:pt>
                  <c:pt idx="15">
                    <c:v>SŠ bez mat.</c:v>
                  </c:pt>
                  <c:pt idx="16">
                    <c:v>SŠ s mat.</c:v>
                  </c:pt>
                  <c:pt idx="17">
                    <c:v>ZŠ, neukonč.</c:v>
                  </c:pt>
                  <c:pt idx="18">
                    <c:v>SŠ bez mat.</c:v>
                  </c:pt>
                  <c:pt idx="19">
                    <c:v>SŠ s mat.</c:v>
                  </c:pt>
                  <c:pt idx="20">
                    <c:v>ZŠ, neukonč.</c:v>
                  </c:pt>
                  <c:pt idx="21">
                    <c:v>SŠ bez mat.</c:v>
                  </c:pt>
                  <c:pt idx="22">
                    <c:v>SŠ s mat.</c:v>
                  </c:pt>
                  <c:pt idx="23">
                    <c:v>ZŠ, neukonč.</c:v>
                  </c:pt>
                  <c:pt idx="24">
                    <c:v>SŠ bez mat.</c:v>
                  </c:pt>
                  <c:pt idx="25">
                    <c:v>SŠ s mat.</c:v>
                  </c:pt>
                  <c:pt idx="26">
                    <c:v>úhrnem</c:v>
                  </c:pt>
                  <c:pt idx="27">
                    <c:v>úhrnem</c:v>
                  </c:pt>
                  <c:pt idx="28">
                    <c:v>ZŠ, neukonč.</c:v>
                  </c:pt>
                  <c:pt idx="29">
                    <c:v>SŠ bez mat.</c:v>
                  </c:pt>
                  <c:pt idx="30">
                    <c:v>SŠ s mat.</c:v>
                  </c:pt>
                  <c:pt idx="31">
                    <c:v>VOŠ a VŠ (Bc.)</c:v>
                  </c:pt>
                  <c:pt idx="32">
                    <c:v>VŠ (ost. stupně)</c:v>
                  </c:pt>
                </c:lvl>
                <c:lvl>
                  <c:pt idx="0">
                    <c:v>Zákonod.
řídící 
prac.</c:v>
                  </c:pt>
                  <c:pt idx="3">
                    <c:v>Specia-
listé</c:v>
                  </c:pt>
                  <c:pt idx="6">
                    <c:v>Techničtí 
a odborní 
pracovníci</c:v>
                  </c:pt>
                  <c:pt idx="10">
                    <c:v>Úředníci</c:v>
                  </c:pt>
                  <c:pt idx="14">
                    <c:v>Prac. ve
službách 
a prodeji</c:v>
                  </c:pt>
                  <c:pt idx="17">
                    <c:v>Řemesln.
a opraváři</c:v>
                  </c:pt>
                  <c:pt idx="20">
                    <c:v>Obsluha 
strojů, 
montéři</c:v>
                  </c:pt>
                  <c:pt idx="23">
                    <c:v>Pomocní,
nekvalif.
pracov.</c:v>
                  </c:pt>
                  <c:pt idx="26">
                    <c:v>Tř.
 6</c:v>
                  </c:pt>
                  <c:pt idx="27">
                    <c:v>Tř. 
0</c:v>
                  </c:pt>
                  <c:pt idx="28">
                    <c:v>Všechni 
zaměstnanci</c:v>
                  </c:pt>
                </c:lvl>
              </c:multiLvlStrCache>
            </c:multiLvlStrRef>
          </c:cat>
          <c:val>
            <c:numRef>
              <c:f>'GRAF-8-ISCO-vzděl-Ž-M'!$F$3:$F$35</c:f>
              <c:numCache>
                <c:formatCode>#,##0</c:formatCode>
                <c:ptCount val="33"/>
                <c:pt idx="0">
                  <c:v>76.276121074301855</c:v>
                </c:pt>
                <c:pt idx="1">
                  <c:v>64.805179936650092</c:v>
                </c:pt>
                <c:pt idx="2">
                  <c:v>75.337763499537914</c:v>
                </c:pt>
                <c:pt idx="3">
                  <c:v>74.579424296373347</c:v>
                </c:pt>
                <c:pt idx="4">
                  <c:v>73.851505814531365</c:v>
                </c:pt>
                <c:pt idx="5">
                  <c:v>75.067079820658861</c:v>
                </c:pt>
                <c:pt idx="6">
                  <c:v>81.490808360614452</c:v>
                </c:pt>
                <c:pt idx="7">
                  <c:v>81.902426432627777</c:v>
                </c:pt>
                <c:pt idx="8">
                  <c:v>77.968674532532944</c:v>
                </c:pt>
                <c:pt idx="9">
                  <c:v>82.207192971367178</c:v>
                </c:pt>
                <c:pt idx="10">
                  <c:v>76.983519922119456</c:v>
                </c:pt>
                <c:pt idx="11">
                  <c:v>81.454192011036568</c:v>
                </c:pt>
                <c:pt idx="12">
                  <c:v>82.491395905034125</c:v>
                </c:pt>
                <c:pt idx="13">
                  <c:v>80.776508170536914</c:v>
                </c:pt>
                <c:pt idx="14">
                  <c:v>103.49994971336618</c:v>
                </c:pt>
                <c:pt idx="15">
                  <c:v>97.364187014953629</c:v>
                </c:pt>
                <c:pt idx="16">
                  <c:v>81.049295774647888</c:v>
                </c:pt>
                <c:pt idx="17">
                  <c:v>92.963474827245804</c:v>
                </c:pt>
                <c:pt idx="18">
                  <c:v>78.274136039495332</c:v>
                </c:pt>
                <c:pt idx="19">
                  <c:v>81.172516566790321</c:v>
                </c:pt>
                <c:pt idx="20">
                  <c:v>87.297789522551156</c:v>
                </c:pt>
                <c:pt idx="21">
                  <c:v>85.699556655325296</c:v>
                </c:pt>
                <c:pt idx="22">
                  <c:v>84.125796799791857</c:v>
                </c:pt>
                <c:pt idx="23">
                  <c:v>84.677338669334674</c:v>
                </c:pt>
                <c:pt idx="24">
                  <c:v>77.567778936392074</c:v>
                </c:pt>
                <c:pt idx="25">
                  <c:v>81.233880542023172</c:v>
                </c:pt>
                <c:pt idx="26" formatCode="0">
                  <c:v>87.507560788741472</c:v>
                </c:pt>
                <c:pt idx="27" formatCode="0">
                  <c:v>105.72485962225626</c:v>
                </c:pt>
                <c:pt idx="28" formatCode="0.0">
                  <c:v>83.798458897273136</c:v>
                </c:pt>
                <c:pt idx="29" formatCode="0.0">
                  <c:v>77.124824684431985</c:v>
                </c:pt>
                <c:pt idx="30" formatCode="0.0">
                  <c:v>79.831357625865792</c:v>
                </c:pt>
                <c:pt idx="31" formatCode="0.0">
                  <c:v>73.395174636355719</c:v>
                </c:pt>
                <c:pt idx="32" formatCode="0.0">
                  <c:v>73.131079518400114</c:v>
                </c:pt>
              </c:numCache>
            </c:numRef>
          </c:val>
          <c:extLst>
            <c:ext xmlns:c16="http://schemas.microsoft.com/office/drawing/2014/chart" uri="{C3380CC4-5D6E-409C-BE32-E72D297353CC}">
              <c16:uniqueId val="{00000000-82D8-4624-A148-42783D8C5F08}"/>
            </c:ext>
          </c:extLst>
        </c:ser>
        <c:dLbls>
          <c:showLegendKey val="0"/>
          <c:showVal val="0"/>
          <c:showCatName val="0"/>
          <c:showSerName val="0"/>
          <c:showPercent val="0"/>
          <c:showBubbleSize val="0"/>
        </c:dLbls>
        <c:gapWidth val="80"/>
        <c:axId val="111845376"/>
        <c:axId val="111847296"/>
      </c:barChart>
      <c:lineChart>
        <c:grouping val="standard"/>
        <c:varyColors val="0"/>
        <c:ser>
          <c:idx val="0"/>
          <c:order val="0"/>
          <c:tx>
            <c:strRef>
              <c:f>'GRAF-8-ISCO-vzděl-Ž-M'!$D$2</c:f>
              <c:strCache>
                <c:ptCount val="1"/>
                <c:pt idx="0">
                  <c:v>rok 2015</c:v>
                </c:pt>
              </c:strCache>
            </c:strRef>
          </c:tx>
          <c:spPr>
            <a:ln w="28575" cap="rnd">
              <a:noFill/>
              <a:round/>
            </a:ln>
            <a:effectLst/>
          </c:spPr>
          <c:marker>
            <c:symbol val="circle"/>
            <c:size val="4"/>
            <c:spPr>
              <a:noFill/>
              <a:ln w="9525">
                <a:solidFill>
                  <a:schemeClr val="accent6">
                    <a:lumMod val="75000"/>
                  </a:schemeClr>
                </a:solidFill>
              </a:ln>
              <a:effectLst/>
            </c:spPr>
          </c:marker>
          <c:cat>
            <c:multiLvlStrRef>
              <c:f>'GRAF-8-ISCO-vzděl-Ž-M'!$A$3:$C$35</c:f>
              <c:multiLvlStrCache>
                <c:ptCount val="33"/>
                <c:lvl>
                  <c:pt idx="0">
                    <c:v>SŠ s mat.</c:v>
                  </c:pt>
                  <c:pt idx="1">
                    <c:v>VOŠ a VŠ (Bc.)</c:v>
                  </c:pt>
                  <c:pt idx="2">
                    <c:v>VŠ (ost. stupně)</c:v>
                  </c:pt>
                  <c:pt idx="3">
                    <c:v>SŠ s mat.</c:v>
                  </c:pt>
                  <c:pt idx="4">
                    <c:v>VOŠ a VŠ (Bc.)</c:v>
                  </c:pt>
                  <c:pt idx="5">
                    <c:v>VŠ (ost. stupně)</c:v>
                  </c:pt>
                  <c:pt idx="6">
                    <c:v>SŠ bez mat.</c:v>
                  </c:pt>
                  <c:pt idx="7">
                    <c:v>SŠ s mat.</c:v>
                  </c:pt>
                  <c:pt idx="8">
                    <c:v>VOŠ a VŠ (Bc.)</c:v>
                  </c:pt>
                  <c:pt idx="9">
                    <c:v>VŠ (ost. stupně)</c:v>
                  </c:pt>
                  <c:pt idx="10">
                    <c:v>SŠ bez mat.</c:v>
                  </c:pt>
                  <c:pt idx="11">
                    <c:v>SŠ s mat.</c:v>
                  </c:pt>
                  <c:pt idx="12">
                    <c:v>VOŠ a VŠ (Bc.)</c:v>
                  </c:pt>
                  <c:pt idx="13">
                    <c:v>VŠ (ost. stupně)</c:v>
                  </c:pt>
                  <c:pt idx="14">
                    <c:v>ZŠ, neukonč.</c:v>
                  </c:pt>
                  <c:pt idx="15">
                    <c:v>SŠ bez mat.</c:v>
                  </c:pt>
                  <c:pt idx="16">
                    <c:v>SŠ s mat.</c:v>
                  </c:pt>
                  <c:pt idx="17">
                    <c:v>ZŠ, neukonč.</c:v>
                  </c:pt>
                  <c:pt idx="18">
                    <c:v>SŠ bez mat.</c:v>
                  </c:pt>
                  <c:pt idx="19">
                    <c:v>SŠ s mat.</c:v>
                  </c:pt>
                  <c:pt idx="20">
                    <c:v>ZŠ, neukonč.</c:v>
                  </c:pt>
                  <c:pt idx="21">
                    <c:v>SŠ bez mat.</c:v>
                  </c:pt>
                  <c:pt idx="22">
                    <c:v>SŠ s mat.</c:v>
                  </c:pt>
                  <c:pt idx="23">
                    <c:v>ZŠ, neukonč.</c:v>
                  </c:pt>
                  <c:pt idx="24">
                    <c:v>SŠ bez mat.</c:v>
                  </c:pt>
                  <c:pt idx="25">
                    <c:v>SŠ s mat.</c:v>
                  </c:pt>
                  <c:pt idx="26">
                    <c:v>úhrnem</c:v>
                  </c:pt>
                  <c:pt idx="27">
                    <c:v>úhrnem</c:v>
                  </c:pt>
                  <c:pt idx="28">
                    <c:v>ZŠ, neukonč.</c:v>
                  </c:pt>
                  <c:pt idx="29">
                    <c:v>SŠ bez mat.</c:v>
                  </c:pt>
                  <c:pt idx="30">
                    <c:v>SŠ s mat.</c:v>
                  </c:pt>
                  <c:pt idx="31">
                    <c:v>VOŠ a VŠ (Bc.)</c:v>
                  </c:pt>
                  <c:pt idx="32">
                    <c:v>VŠ (ost. stupně)</c:v>
                  </c:pt>
                </c:lvl>
                <c:lvl>
                  <c:pt idx="0">
                    <c:v>Zákonod.
řídící 
prac.</c:v>
                  </c:pt>
                  <c:pt idx="3">
                    <c:v>Specia-
listé</c:v>
                  </c:pt>
                  <c:pt idx="6">
                    <c:v>Techničtí 
a odborní 
pracovníci</c:v>
                  </c:pt>
                  <c:pt idx="10">
                    <c:v>Úředníci</c:v>
                  </c:pt>
                  <c:pt idx="14">
                    <c:v>Prac. ve
službách 
a prodeji</c:v>
                  </c:pt>
                  <c:pt idx="17">
                    <c:v>Řemesln.
a opraváři</c:v>
                  </c:pt>
                  <c:pt idx="20">
                    <c:v>Obsluha 
strojů, 
montéři</c:v>
                  </c:pt>
                  <c:pt idx="23">
                    <c:v>Pomocní,
nekvalif.
pracov.</c:v>
                  </c:pt>
                  <c:pt idx="26">
                    <c:v>Tř.
 6</c:v>
                  </c:pt>
                  <c:pt idx="27">
                    <c:v>Tř. 
0</c:v>
                  </c:pt>
                  <c:pt idx="28">
                    <c:v>Všechni 
zaměstnanci</c:v>
                  </c:pt>
                </c:lvl>
              </c:multiLvlStrCache>
            </c:multiLvlStrRef>
          </c:cat>
          <c:val>
            <c:numRef>
              <c:f>'GRAF-8-ISCO-vzděl-Ž-M'!$D$3:$D$35</c:f>
              <c:numCache>
                <c:formatCode>#,##0</c:formatCode>
                <c:ptCount val="33"/>
                <c:pt idx="0">
                  <c:v>75.170566731179008</c:v>
                </c:pt>
                <c:pt idx="1">
                  <c:v>75.213163799551225</c:v>
                </c:pt>
                <c:pt idx="2">
                  <c:v>74.919249236141425</c:v>
                </c:pt>
                <c:pt idx="3">
                  <c:v>72.80461358816099</c:v>
                </c:pt>
                <c:pt idx="4">
                  <c:v>74.372651230452178</c:v>
                </c:pt>
                <c:pt idx="5">
                  <c:v>73.06353885204291</c:v>
                </c:pt>
                <c:pt idx="6">
                  <c:v>79.837182256188726</c:v>
                </c:pt>
                <c:pt idx="7">
                  <c:v>81.325932778291715</c:v>
                </c:pt>
                <c:pt idx="8">
                  <c:v>76.475617750163877</c:v>
                </c:pt>
                <c:pt idx="9">
                  <c:v>81.971468898074406</c:v>
                </c:pt>
                <c:pt idx="10">
                  <c:v>77.429546316188549</c:v>
                </c:pt>
                <c:pt idx="11">
                  <c:v>81.337492109464932</c:v>
                </c:pt>
                <c:pt idx="12">
                  <c:v>81.370850370781071</c:v>
                </c:pt>
                <c:pt idx="13">
                  <c:v>81.47248463037937</c:v>
                </c:pt>
                <c:pt idx="14">
                  <c:v>97.813411078717209</c:v>
                </c:pt>
                <c:pt idx="15">
                  <c:v>94.814497367454393</c:v>
                </c:pt>
                <c:pt idx="16">
                  <c:v>77.307370368738717</c:v>
                </c:pt>
                <c:pt idx="17">
                  <c:v>87.190662986101017</c:v>
                </c:pt>
                <c:pt idx="18">
                  <c:v>74.507297765317062</c:v>
                </c:pt>
                <c:pt idx="19">
                  <c:v>78.323014599098059</c:v>
                </c:pt>
                <c:pt idx="20">
                  <c:v>87.916740952041366</c:v>
                </c:pt>
                <c:pt idx="21">
                  <c:v>83.36906713751209</c:v>
                </c:pt>
                <c:pt idx="22">
                  <c:v>81.98219678906375</c:v>
                </c:pt>
                <c:pt idx="23">
                  <c:v>86.968378676709307</c:v>
                </c:pt>
                <c:pt idx="24">
                  <c:v>78.304770221591525</c:v>
                </c:pt>
                <c:pt idx="25">
                  <c:v>79.111858876312837</c:v>
                </c:pt>
                <c:pt idx="26" formatCode="0">
                  <c:v>88.601925092919089</c:v>
                </c:pt>
                <c:pt idx="27" formatCode="0">
                  <c:v>103.4725913326955</c:v>
                </c:pt>
                <c:pt idx="28" formatCode="0.0">
                  <c:v>82.940027055463702</c:v>
                </c:pt>
                <c:pt idx="29" formatCode="0.0">
                  <c:v>73.919911202185801</c:v>
                </c:pt>
                <c:pt idx="30" formatCode="0.0">
                  <c:v>79.142931971452896</c:v>
                </c:pt>
                <c:pt idx="31" formatCode="0.0">
                  <c:v>73.448414291449211</c:v>
                </c:pt>
                <c:pt idx="32" formatCode="0.0">
                  <c:v>70.660534298855069</c:v>
                </c:pt>
              </c:numCache>
            </c:numRef>
          </c:val>
          <c:smooth val="0"/>
          <c:extLst>
            <c:ext xmlns:c16="http://schemas.microsoft.com/office/drawing/2014/chart" uri="{C3380CC4-5D6E-409C-BE32-E72D297353CC}">
              <c16:uniqueId val="{00000001-82D8-4624-A148-42783D8C5F08}"/>
            </c:ext>
          </c:extLst>
        </c:ser>
        <c:ser>
          <c:idx val="1"/>
          <c:order val="1"/>
          <c:tx>
            <c:strRef>
              <c:f>'GRAF-8-ISCO-vzděl-Ž-M'!$E$2</c:f>
              <c:strCache>
                <c:ptCount val="1"/>
                <c:pt idx="0">
                  <c:v>rok 2012</c:v>
                </c:pt>
              </c:strCache>
            </c:strRef>
          </c:tx>
          <c:spPr>
            <a:ln w="28575" cap="rnd">
              <a:noFill/>
              <a:round/>
            </a:ln>
            <a:effectLst/>
          </c:spPr>
          <c:marker>
            <c:symbol val="circle"/>
            <c:size val="4"/>
            <c:spPr>
              <a:solidFill>
                <a:srgbClr val="BD1B21"/>
              </a:solidFill>
              <a:ln w="9525">
                <a:noFill/>
              </a:ln>
              <a:effectLst/>
            </c:spPr>
          </c:marker>
          <c:cat>
            <c:multiLvlStrRef>
              <c:f>'GRAF-8-ISCO-vzděl-Ž-M'!$A$3:$C$35</c:f>
              <c:multiLvlStrCache>
                <c:ptCount val="33"/>
                <c:lvl>
                  <c:pt idx="0">
                    <c:v>SŠ s mat.</c:v>
                  </c:pt>
                  <c:pt idx="1">
                    <c:v>VOŠ a VŠ (Bc.)</c:v>
                  </c:pt>
                  <c:pt idx="2">
                    <c:v>VŠ (ost. stupně)</c:v>
                  </c:pt>
                  <c:pt idx="3">
                    <c:v>SŠ s mat.</c:v>
                  </c:pt>
                  <c:pt idx="4">
                    <c:v>VOŠ a VŠ (Bc.)</c:v>
                  </c:pt>
                  <c:pt idx="5">
                    <c:v>VŠ (ost. stupně)</c:v>
                  </c:pt>
                  <c:pt idx="6">
                    <c:v>SŠ bez mat.</c:v>
                  </c:pt>
                  <c:pt idx="7">
                    <c:v>SŠ s mat.</c:v>
                  </c:pt>
                  <c:pt idx="8">
                    <c:v>VOŠ a VŠ (Bc.)</c:v>
                  </c:pt>
                  <c:pt idx="9">
                    <c:v>VŠ (ost. stupně)</c:v>
                  </c:pt>
                  <c:pt idx="10">
                    <c:v>SŠ bez mat.</c:v>
                  </c:pt>
                  <c:pt idx="11">
                    <c:v>SŠ s mat.</c:v>
                  </c:pt>
                  <c:pt idx="12">
                    <c:v>VOŠ a VŠ (Bc.)</c:v>
                  </c:pt>
                  <c:pt idx="13">
                    <c:v>VŠ (ost. stupně)</c:v>
                  </c:pt>
                  <c:pt idx="14">
                    <c:v>ZŠ, neukonč.</c:v>
                  </c:pt>
                  <c:pt idx="15">
                    <c:v>SŠ bez mat.</c:v>
                  </c:pt>
                  <c:pt idx="16">
                    <c:v>SŠ s mat.</c:v>
                  </c:pt>
                  <c:pt idx="17">
                    <c:v>ZŠ, neukonč.</c:v>
                  </c:pt>
                  <c:pt idx="18">
                    <c:v>SŠ bez mat.</c:v>
                  </c:pt>
                  <c:pt idx="19">
                    <c:v>SŠ s mat.</c:v>
                  </c:pt>
                  <c:pt idx="20">
                    <c:v>ZŠ, neukonč.</c:v>
                  </c:pt>
                  <c:pt idx="21">
                    <c:v>SŠ bez mat.</c:v>
                  </c:pt>
                  <c:pt idx="22">
                    <c:v>SŠ s mat.</c:v>
                  </c:pt>
                  <c:pt idx="23">
                    <c:v>ZŠ, neukonč.</c:v>
                  </c:pt>
                  <c:pt idx="24">
                    <c:v>SŠ bez mat.</c:v>
                  </c:pt>
                  <c:pt idx="25">
                    <c:v>SŠ s mat.</c:v>
                  </c:pt>
                  <c:pt idx="26">
                    <c:v>úhrnem</c:v>
                  </c:pt>
                  <c:pt idx="27">
                    <c:v>úhrnem</c:v>
                  </c:pt>
                  <c:pt idx="28">
                    <c:v>ZŠ, neukonč.</c:v>
                  </c:pt>
                  <c:pt idx="29">
                    <c:v>SŠ bez mat.</c:v>
                  </c:pt>
                  <c:pt idx="30">
                    <c:v>SŠ s mat.</c:v>
                  </c:pt>
                  <c:pt idx="31">
                    <c:v>VOŠ a VŠ (Bc.)</c:v>
                  </c:pt>
                  <c:pt idx="32">
                    <c:v>VŠ (ost. stupně)</c:v>
                  </c:pt>
                </c:lvl>
                <c:lvl>
                  <c:pt idx="0">
                    <c:v>Zákonod.
řídící 
prac.</c:v>
                  </c:pt>
                  <c:pt idx="3">
                    <c:v>Specia-
listé</c:v>
                  </c:pt>
                  <c:pt idx="6">
                    <c:v>Techničtí 
a odborní 
pracovníci</c:v>
                  </c:pt>
                  <c:pt idx="10">
                    <c:v>Úředníci</c:v>
                  </c:pt>
                  <c:pt idx="14">
                    <c:v>Prac. ve
službách 
a prodeji</c:v>
                  </c:pt>
                  <c:pt idx="17">
                    <c:v>Řemesln.
a opraváři</c:v>
                  </c:pt>
                  <c:pt idx="20">
                    <c:v>Obsluha 
strojů, 
montéři</c:v>
                  </c:pt>
                  <c:pt idx="23">
                    <c:v>Pomocní,
nekvalif.
pracov.</c:v>
                  </c:pt>
                  <c:pt idx="26">
                    <c:v>Tř.
 6</c:v>
                  </c:pt>
                  <c:pt idx="27">
                    <c:v>Tř. 
0</c:v>
                  </c:pt>
                  <c:pt idx="28">
                    <c:v>Všechni 
zaměstnanci</c:v>
                  </c:pt>
                </c:lvl>
              </c:multiLvlStrCache>
            </c:multiLvlStrRef>
          </c:cat>
          <c:val>
            <c:numRef>
              <c:f>'GRAF-8-ISCO-vzděl-Ž-M'!$E$3:$E$35</c:f>
              <c:numCache>
                <c:formatCode>#,##0</c:formatCode>
                <c:ptCount val="33"/>
                <c:pt idx="0">
                  <c:v>77.393058240188253</c:v>
                </c:pt>
                <c:pt idx="1">
                  <c:v>72.877218558763204</c:v>
                </c:pt>
                <c:pt idx="2">
                  <c:v>71.477164724125856</c:v>
                </c:pt>
                <c:pt idx="3">
                  <c:v>71.896326776395028</c:v>
                </c:pt>
                <c:pt idx="4">
                  <c:v>76.146105106224368</c:v>
                </c:pt>
                <c:pt idx="5">
                  <c:v>72.887985664962201</c:v>
                </c:pt>
                <c:pt idx="6">
                  <c:v>81.415131744944674</c:v>
                </c:pt>
                <c:pt idx="7">
                  <c:v>81.638464849829461</c:v>
                </c:pt>
                <c:pt idx="8">
                  <c:v>79.111302052965897</c:v>
                </c:pt>
                <c:pt idx="9">
                  <c:v>81.894819261385877</c:v>
                </c:pt>
                <c:pt idx="10">
                  <c:v>83.335593833355944</c:v>
                </c:pt>
                <c:pt idx="11">
                  <c:v>81.162340178225492</c:v>
                </c:pt>
                <c:pt idx="12">
                  <c:v>83.25247282710896</c:v>
                </c:pt>
                <c:pt idx="13">
                  <c:v>78.476213402341045</c:v>
                </c:pt>
                <c:pt idx="14">
                  <c:v>97.444831591173056</c:v>
                </c:pt>
                <c:pt idx="15">
                  <c:v>93.235713360114033</c:v>
                </c:pt>
                <c:pt idx="16">
                  <c:v>83.366326833613783</c:v>
                </c:pt>
                <c:pt idx="17">
                  <c:v>86.458818054909258</c:v>
                </c:pt>
                <c:pt idx="18">
                  <c:v>73.423018086925225</c:v>
                </c:pt>
                <c:pt idx="19">
                  <c:v>77.971896760205155</c:v>
                </c:pt>
                <c:pt idx="20">
                  <c:v>86.872474071188591</c:v>
                </c:pt>
                <c:pt idx="21">
                  <c:v>80.553193393904138</c:v>
                </c:pt>
                <c:pt idx="22">
                  <c:v>80.028165407758294</c:v>
                </c:pt>
                <c:pt idx="23">
                  <c:v>81.929374630104562</c:v>
                </c:pt>
                <c:pt idx="24">
                  <c:v>76.554694229112826</c:v>
                </c:pt>
                <c:pt idx="25">
                  <c:v>78.015639731573401</c:v>
                </c:pt>
                <c:pt idx="26" formatCode="0">
                  <c:v>88.24355971896955</c:v>
                </c:pt>
                <c:pt idx="27" formatCode="0">
                  <c:v>98.781701636341921</c:v>
                </c:pt>
                <c:pt idx="28" formatCode="0.0">
                  <c:v>81.536236541860845</c:v>
                </c:pt>
                <c:pt idx="29" formatCode="0.0">
                  <c:v>73.868586363427951</c:v>
                </c:pt>
                <c:pt idx="30" formatCode="0.0">
                  <c:v>80.117856271139161</c:v>
                </c:pt>
                <c:pt idx="31" formatCode="0.0">
                  <c:v>75.321821036106755</c:v>
                </c:pt>
                <c:pt idx="32" formatCode="0.0">
                  <c:v>69.265843125439389</c:v>
                </c:pt>
              </c:numCache>
            </c:numRef>
          </c:val>
          <c:smooth val="0"/>
          <c:extLst>
            <c:ext xmlns:c16="http://schemas.microsoft.com/office/drawing/2014/chart" uri="{C3380CC4-5D6E-409C-BE32-E72D297353CC}">
              <c16:uniqueId val="{00000002-82D8-4624-A148-42783D8C5F08}"/>
            </c:ext>
          </c:extLst>
        </c:ser>
        <c:dLbls>
          <c:showLegendKey val="0"/>
          <c:showVal val="0"/>
          <c:showCatName val="0"/>
          <c:showSerName val="0"/>
          <c:showPercent val="0"/>
          <c:showBubbleSize val="0"/>
        </c:dLbls>
        <c:marker val="1"/>
        <c:smooth val="0"/>
        <c:axId val="111845376"/>
        <c:axId val="111847296"/>
      </c:lineChart>
      <c:catAx>
        <c:axId val="111845376"/>
        <c:scaling>
          <c:orientation val="minMax"/>
        </c:scaling>
        <c:delete val="0"/>
        <c:axPos val="b"/>
        <c:numFmt formatCode="General" sourceLinked="1"/>
        <c:majorTickMark val="none"/>
        <c:minorTickMark val="none"/>
        <c:tickLblPos val="low"/>
        <c:spPr>
          <a:noFill/>
          <a:ln w="6350" cap="flat" cmpd="sng" algn="ctr">
            <a:solidFill>
              <a:schemeClr val="tx1">
                <a:lumMod val="95000"/>
                <a:lumOff val="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11847296"/>
        <c:crossesAt val="100"/>
        <c:auto val="1"/>
        <c:lblAlgn val="ctr"/>
        <c:lblOffset val="0"/>
        <c:noMultiLvlLbl val="0"/>
      </c:catAx>
      <c:valAx>
        <c:axId val="111847296"/>
        <c:scaling>
          <c:orientation val="minMax"/>
          <c:max val="107"/>
          <c:min val="60"/>
        </c:scaling>
        <c:delete val="0"/>
        <c:axPos val="l"/>
        <c:majorGridlines>
          <c:spPr>
            <a:ln w="9525" cap="flat" cmpd="sng" algn="ctr">
              <a:solidFill>
                <a:srgbClr val="D9D9D9"/>
              </a:solidFill>
              <a:round/>
            </a:ln>
            <a:effectLst/>
          </c:spPr>
        </c:majorGridlines>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11845376"/>
        <c:crosses val="autoZero"/>
        <c:crossBetween val="between"/>
        <c:majorUnit val="5"/>
      </c:valAx>
      <c:spPr>
        <a:noFill/>
        <a:ln w="6350">
          <a:solidFill>
            <a:schemeClr val="tx1">
              <a:lumMod val="95000"/>
              <a:lumOff val="5000"/>
            </a:schemeClr>
          </a:solidFill>
        </a:ln>
        <a:effectLst/>
      </c:spPr>
    </c:plotArea>
    <c:legend>
      <c:legendPos val="b"/>
      <c:layout>
        <c:manualLayout>
          <c:xMode val="edge"/>
          <c:yMode val="edge"/>
          <c:x val="0.32407736683264826"/>
          <c:y val="0.95350940984453569"/>
          <c:w val="0.35521256268931717"/>
          <c:h val="4.3827491409961013E-2"/>
        </c:manualLayout>
      </c:layout>
      <c:overlay val="0"/>
      <c:spPr>
        <a:noFill/>
        <a:ln w="6350">
          <a:solidFill>
            <a:schemeClr val="tx1">
              <a:lumMod val="95000"/>
              <a:lumOff val="5000"/>
            </a:schemeClr>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525063584250089E-2"/>
          <c:y val="1.9021834627399627E-2"/>
          <c:w val="0.8899201055690884"/>
          <c:h val="0.68275056216154428"/>
        </c:manualLayout>
      </c:layout>
      <c:barChart>
        <c:barDir val="col"/>
        <c:grouping val="clustered"/>
        <c:varyColors val="0"/>
        <c:ser>
          <c:idx val="7"/>
          <c:order val="7"/>
          <c:tx>
            <c:strRef>
              <c:f>'GRAF-9-Odvětví vs. kombinace'!$B$10</c:f>
              <c:strCache>
                <c:ptCount val="1"/>
                <c:pt idx="0">
                  <c:v>VŠ/SŠ bez mat.(2018)</c:v>
                </c:pt>
              </c:strCache>
            </c:strRef>
          </c:tx>
          <c:spPr>
            <a:solidFill>
              <a:schemeClr val="bg1">
                <a:lumMod val="85000"/>
              </a:schemeClr>
            </a:solidFill>
            <a:ln>
              <a:noFill/>
            </a:ln>
            <a:effectLst/>
          </c:spPr>
          <c:invertIfNegative val="0"/>
          <c:cat>
            <c:strRef>
              <c:f>'GRAF-9-Odvětví vs. kombinace'!$C$2:$U$2</c:f>
              <c:strCache>
                <c:ptCount val="19"/>
                <c:pt idx="0">
                  <c:v>Zemědělství (A)</c:v>
                </c:pt>
                <c:pt idx="1">
                  <c:v>Těžba  
a dobývání (B)</c:v>
                </c:pt>
                <c:pt idx="2">
                  <c:v>Zpracovatelský 
průmysl (C)</c:v>
                </c:pt>
                <c:pt idx="3">
                  <c:v>Energetika (D)</c:v>
                </c:pt>
                <c:pt idx="4">
                  <c:v>Odpady, 
zásob. vodou (E)</c:v>
                </c:pt>
                <c:pt idx="5">
                  <c:v>Stavebnictví (F)</c:v>
                </c:pt>
                <c:pt idx="6">
                  <c:v>Obchod (G)</c:v>
                </c:pt>
                <c:pt idx="7">
                  <c:v>Doprava a 
skladování (H)</c:v>
                </c:pt>
                <c:pt idx="8">
                  <c:v>Ubytování, stravo-
vání a pohost. (I)</c:v>
                </c:pt>
                <c:pt idx="9">
                  <c:v>Informační a 
komunikač. čin. (J)</c:v>
                </c:pt>
                <c:pt idx="10">
                  <c:v>Peněžnictví,
pojišťovnictví (K)</c:v>
                </c:pt>
                <c:pt idx="11">
                  <c:v>Činnosti v oblasti 
nemovitostí (L)</c:v>
                </c:pt>
                <c:pt idx="12">
                  <c:v>Profesní, vědecké
a technické čin. (M)</c:v>
                </c:pt>
                <c:pt idx="13">
                  <c:v>Administrativní
a podpůr. čin. (N)</c:v>
                </c:pt>
                <c:pt idx="14">
                  <c:v>Veř.správa,obrana,
soc.zabezpeč. (O)</c:v>
                </c:pt>
                <c:pt idx="15">
                  <c:v>Vzdělávání (P)</c:v>
                </c:pt>
                <c:pt idx="16">
                  <c:v>Zdravotní a 
sociální péče (Q)</c:v>
                </c:pt>
                <c:pt idx="17">
                  <c:v>Kulturní, zábavní 
a rekreač. čin. (R)</c:v>
                </c:pt>
                <c:pt idx="18">
                  <c:v>Ost. činnosti (S)</c:v>
                </c:pt>
              </c:strCache>
            </c:strRef>
          </c:cat>
          <c:val>
            <c:numRef>
              <c:f>'GRAF-9-Odvětví vs. kombinace'!$C$10:$U$10</c:f>
              <c:numCache>
                <c:formatCode>0.00</c:formatCode>
                <c:ptCount val="19"/>
                <c:pt idx="0">
                  <c:v>1.4303782364872928</c:v>
                </c:pt>
                <c:pt idx="1">
                  <c:v>1.9302251084772417</c:v>
                </c:pt>
                <c:pt idx="2">
                  <c:v>1.9762678583519535</c:v>
                </c:pt>
                <c:pt idx="3">
                  <c:v>1.9993801070724149</c:v>
                </c:pt>
                <c:pt idx="4">
                  <c:v>1.7960293419948177</c:v>
                </c:pt>
                <c:pt idx="5">
                  <c:v>1.7970172684458399</c:v>
                </c:pt>
                <c:pt idx="6">
                  <c:v>2.1889960993635804</c:v>
                </c:pt>
                <c:pt idx="7">
                  <c:v>2.0883234654875213</c:v>
                </c:pt>
                <c:pt idx="8">
                  <c:v>1.8526670859299068</c:v>
                </c:pt>
                <c:pt idx="9">
                  <c:v>2.3305005353319057</c:v>
                </c:pt>
                <c:pt idx="10">
                  <c:v>2.8208562712577581</c:v>
                </c:pt>
                <c:pt idx="11">
                  <c:v>1.4882588058955784</c:v>
                </c:pt>
                <c:pt idx="12">
                  <c:v>1.8928422883502856</c:v>
                </c:pt>
                <c:pt idx="13">
                  <c:v>1.8431542020438254</c:v>
                </c:pt>
                <c:pt idx="14">
                  <c:v>1.9552086729703293</c:v>
                </c:pt>
                <c:pt idx="15">
                  <c:v>2.0972488472099893</c:v>
                </c:pt>
                <c:pt idx="16">
                  <c:v>2.3717863382976954</c:v>
                </c:pt>
                <c:pt idx="17">
                  <c:v>1.5872045813923672</c:v>
                </c:pt>
                <c:pt idx="18">
                  <c:v>1.6165922511882471</c:v>
                </c:pt>
              </c:numCache>
            </c:numRef>
          </c:val>
          <c:extLst>
            <c:ext xmlns:c16="http://schemas.microsoft.com/office/drawing/2014/chart" uri="{C3380CC4-5D6E-409C-BE32-E72D297353CC}">
              <c16:uniqueId val="{00000000-DD4C-4C79-BE76-13EB703E9BF6}"/>
            </c:ext>
          </c:extLst>
        </c:ser>
        <c:ser>
          <c:idx val="8"/>
          <c:order val="8"/>
          <c:tx>
            <c:strRef>
              <c:f>'GRAF-9-Odvětví vs. kombinace'!$B$11</c:f>
              <c:strCache>
                <c:ptCount val="1"/>
                <c:pt idx="0">
                  <c:v>VŠ/SŠ bez mat.(2012)</c:v>
                </c:pt>
              </c:strCache>
            </c:strRef>
          </c:tx>
          <c:spPr>
            <a:solidFill>
              <a:schemeClr val="bg1">
                <a:lumMod val="75000"/>
              </a:schemeClr>
            </a:solidFill>
            <a:ln>
              <a:noFill/>
            </a:ln>
            <a:effectLst/>
          </c:spPr>
          <c:invertIfNegative val="0"/>
          <c:cat>
            <c:strRef>
              <c:f>'GRAF-9-Odvětví vs. kombinace'!$C$2:$U$2</c:f>
              <c:strCache>
                <c:ptCount val="19"/>
                <c:pt idx="0">
                  <c:v>Zemědělství (A)</c:v>
                </c:pt>
                <c:pt idx="1">
                  <c:v>Těžba  
a dobývání (B)</c:v>
                </c:pt>
                <c:pt idx="2">
                  <c:v>Zpracovatelský 
průmysl (C)</c:v>
                </c:pt>
                <c:pt idx="3">
                  <c:v>Energetika (D)</c:v>
                </c:pt>
                <c:pt idx="4">
                  <c:v>Odpady, 
zásob. vodou (E)</c:v>
                </c:pt>
                <c:pt idx="5">
                  <c:v>Stavebnictví (F)</c:v>
                </c:pt>
                <c:pt idx="6">
                  <c:v>Obchod (G)</c:v>
                </c:pt>
                <c:pt idx="7">
                  <c:v>Doprava a 
skladování (H)</c:v>
                </c:pt>
                <c:pt idx="8">
                  <c:v>Ubytování, stravo-
vání a pohost. (I)</c:v>
                </c:pt>
                <c:pt idx="9">
                  <c:v>Informační a 
komunikač. čin. (J)</c:v>
                </c:pt>
                <c:pt idx="10">
                  <c:v>Peněžnictví,
pojišťovnictví (K)</c:v>
                </c:pt>
                <c:pt idx="11">
                  <c:v>Činnosti v oblasti 
nemovitostí (L)</c:v>
                </c:pt>
                <c:pt idx="12">
                  <c:v>Profesní, vědecké
a technické čin. (M)</c:v>
                </c:pt>
                <c:pt idx="13">
                  <c:v>Administrativní
a podpůr. čin. (N)</c:v>
                </c:pt>
                <c:pt idx="14">
                  <c:v>Veř.správa,obrana,
soc.zabezpeč. (O)</c:v>
                </c:pt>
                <c:pt idx="15">
                  <c:v>Vzdělávání (P)</c:v>
                </c:pt>
                <c:pt idx="16">
                  <c:v>Zdravotní a 
sociální péče (Q)</c:v>
                </c:pt>
                <c:pt idx="17">
                  <c:v>Kulturní, zábavní 
a rekreač. čin. (R)</c:v>
                </c:pt>
                <c:pt idx="18">
                  <c:v>Ost. činnosti (S)</c:v>
                </c:pt>
              </c:strCache>
            </c:strRef>
          </c:cat>
          <c:val>
            <c:numRef>
              <c:f>'GRAF-9-Odvětví vs. kombinace'!$C$11:$U$11</c:f>
              <c:numCache>
                <c:formatCode>0.00</c:formatCode>
                <c:ptCount val="19"/>
                <c:pt idx="0">
                  <c:v>1.6024876644736843</c:v>
                </c:pt>
                <c:pt idx="1">
                  <c:v>2.2287104622871046</c:v>
                </c:pt>
                <c:pt idx="2">
                  <c:v>2.3122844133744191</c:v>
                </c:pt>
                <c:pt idx="3">
                  <c:v>2.4230651575405324</c:v>
                </c:pt>
                <c:pt idx="4">
                  <c:v>2.0039395624768259</c:v>
                </c:pt>
                <c:pt idx="5">
                  <c:v>2.1061733261073066</c:v>
                </c:pt>
                <c:pt idx="6">
                  <c:v>2.664928436702541</c:v>
                </c:pt>
                <c:pt idx="7">
                  <c:v>2.3629960654782143</c:v>
                </c:pt>
                <c:pt idx="8">
                  <c:v>2.2578985448991076</c:v>
                </c:pt>
                <c:pt idx="9">
                  <c:v>2.2671558377371404</c:v>
                </c:pt>
                <c:pt idx="10">
                  <c:v>3.0416884377099351</c:v>
                </c:pt>
                <c:pt idx="11">
                  <c:v>1.5942560175054705</c:v>
                </c:pt>
                <c:pt idx="12">
                  <c:v>1.9860172672672673</c:v>
                </c:pt>
                <c:pt idx="13">
                  <c:v>2.1224679551039385</c:v>
                </c:pt>
                <c:pt idx="14">
                  <c:v>1.9498744130173638</c:v>
                </c:pt>
                <c:pt idx="15">
                  <c:v>2.2022908859506471</c:v>
                </c:pt>
                <c:pt idx="16">
                  <c:v>2.7315207648640571</c:v>
                </c:pt>
                <c:pt idx="17">
                  <c:v>1.548119086083545</c:v>
                </c:pt>
                <c:pt idx="18">
                  <c:v>1.6266602847911931</c:v>
                </c:pt>
              </c:numCache>
            </c:numRef>
          </c:val>
          <c:extLst>
            <c:ext xmlns:c16="http://schemas.microsoft.com/office/drawing/2014/chart" uri="{C3380CC4-5D6E-409C-BE32-E72D297353CC}">
              <c16:uniqueId val="{00000001-DD4C-4C79-BE76-13EB703E9BF6}"/>
            </c:ext>
          </c:extLst>
        </c:ser>
        <c:dLbls>
          <c:showLegendKey val="0"/>
          <c:showVal val="0"/>
          <c:showCatName val="0"/>
          <c:showSerName val="0"/>
          <c:showPercent val="0"/>
          <c:showBubbleSize val="0"/>
        </c:dLbls>
        <c:gapWidth val="56"/>
        <c:axId val="120452608"/>
        <c:axId val="120451072"/>
      </c:barChart>
      <c:lineChart>
        <c:grouping val="standard"/>
        <c:varyColors val="0"/>
        <c:ser>
          <c:idx val="0"/>
          <c:order val="0"/>
          <c:tx>
            <c:strRef>
              <c:f>'GRAF-9-Odvětví vs. kombinace'!$B$3</c:f>
              <c:strCache>
                <c:ptCount val="1"/>
                <c:pt idx="0">
                  <c:v>tř.2</c:v>
                </c:pt>
              </c:strCache>
            </c:strRef>
          </c:tx>
          <c:spPr>
            <a:ln w="28575" cap="rnd">
              <a:noFill/>
              <a:round/>
            </a:ln>
            <a:effectLst/>
          </c:spPr>
          <c:marker>
            <c:symbol val="circle"/>
            <c:size val="4"/>
            <c:spPr>
              <a:solidFill>
                <a:srgbClr val="BD1B21"/>
              </a:solidFill>
              <a:ln w="9525">
                <a:noFill/>
              </a:ln>
              <a:effectLst/>
            </c:spPr>
          </c:marker>
          <c:cat>
            <c:strRef>
              <c:f>'GRAF-9-Odvětví vs. kombinace'!$C$2:$U$2</c:f>
              <c:strCache>
                <c:ptCount val="19"/>
                <c:pt idx="0">
                  <c:v>Zemědělství (A)</c:v>
                </c:pt>
                <c:pt idx="1">
                  <c:v>Těžba  
a dobývání (B)</c:v>
                </c:pt>
                <c:pt idx="2">
                  <c:v>Zpracovatelský 
průmysl (C)</c:v>
                </c:pt>
                <c:pt idx="3">
                  <c:v>Energetika (D)</c:v>
                </c:pt>
                <c:pt idx="4">
                  <c:v>Odpady, 
zásob. vodou (E)</c:v>
                </c:pt>
                <c:pt idx="5">
                  <c:v>Stavebnictví (F)</c:v>
                </c:pt>
                <c:pt idx="6">
                  <c:v>Obchod (G)</c:v>
                </c:pt>
                <c:pt idx="7">
                  <c:v>Doprava a 
skladování (H)</c:v>
                </c:pt>
                <c:pt idx="8">
                  <c:v>Ubytování, stravo-
vání a pohost. (I)</c:v>
                </c:pt>
                <c:pt idx="9">
                  <c:v>Informační a 
komunikač. čin. (J)</c:v>
                </c:pt>
                <c:pt idx="10">
                  <c:v>Peněžnictví,
pojišťovnictví (K)</c:v>
                </c:pt>
                <c:pt idx="11">
                  <c:v>Činnosti v oblasti 
nemovitostí (L)</c:v>
                </c:pt>
                <c:pt idx="12">
                  <c:v>Profesní, vědecké
a technické čin. (M)</c:v>
                </c:pt>
                <c:pt idx="13">
                  <c:v>Administrativní
a podpůr. čin. (N)</c:v>
                </c:pt>
                <c:pt idx="14">
                  <c:v>Veř.správa,obrana,
soc.zabezpeč. (O)</c:v>
                </c:pt>
                <c:pt idx="15">
                  <c:v>Vzdělávání (P)</c:v>
                </c:pt>
                <c:pt idx="16">
                  <c:v>Zdravotní a 
sociální péče (Q)</c:v>
                </c:pt>
                <c:pt idx="17">
                  <c:v>Kulturní, zábavní 
a rekreač. čin. (R)</c:v>
                </c:pt>
                <c:pt idx="18">
                  <c:v>Ost. činnosti (S)</c:v>
                </c:pt>
              </c:strCache>
            </c:strRef>
          </c:cat>
          <c:val>
            <c:numRef>
              <c:f>'GRAF-9-Odvětví vs. kombinace'!$C$3:$U$3</c:f>
              <c:numCache>
                <c:formatCode>#,##0</c:formatCode>
                <c:ptCount val="19"/>
                <c:pt idx="0">
                  <c:v>35955</c:v>
                </c:pt>
                <c:pt idx="1">
                  <c:v>59838</c:v>
                </c:pt>
                <c:pt idx="2">
                  <c:v>51890</c:v>
                </c:pt>
                <c:pt idx="3">
                  <c:v>63874</c:v>
                </c:pt>
                <c:pt idx="4">
                  <c:v>42914</c:v>
                </c:pt>
                <c:pt idx="5">
                  <c:v>45581</c:v>
                </c:pt>
                <c:pt idx="6">
                  <c:v>55829</c:v>
                </c:pt>
                <c:pt idx="7">
                  <c:v>44405</c:v>
                </c:pt>
                <c:pt idx="9">
                  <c:v>63607</c:v>
                </c:pt>
                <c:pt idx="10">
                  <c:v>63851</c:v>
                </c:pt>
                <c:pt idx="12">
                  <c:v>48311</c:v>
                </c:pt>
                <c:pt idx="13">
                  <c:v>41239</c:v>
                </c:pt>
                <c:pt idx="14">
                  <c:v>42489</c:v>
                </c:pt>
                <c:pt idx="15">
                  <c:v>36794</c:v>
                </c:pt>
                <c:pt idx="16">
                  <c:v>50466</c:v>
                </c:pt>
                <c:pt idx="17">
                  <c:v>35066</c:v>
                </c:pt>
                <c:pt idx="18">
                  <c:v>31806</c:v>
                </c:pt>
              </c:numCache>
            </c:numRef>
          </c:val>
          <c:smooth val="0"/>
          <c:extLst>
            <c:ext xmlns:c16="http://schemas.microsoft.com/office/drawing/2014/chart" uri="{C3380CC4-5D6E-409C-BE32-E72D297353CC}">
              <c16:uniqueId val="{00000002-DD4C-4C79-BE76-13EB703E9BF6}"/>
            </c:ext>
          </c:extLst>
        </c:ser>
        <c:ser>
          <c:idx val="1"/>
          <c:order val="1"/>
          <c:tx>
            <c:strRef>
              <c:f>'GRAF-9-Odvětví vs. kombinace'!$B$4</c:f>
              <c:strCache>
                <c:ptCount val="1"/>
                <c:pt idx="0">
                  <c:v>tř.3</c:v>
                </c:pt>
              </c:strCache>
            </c:strRef>
          </c:tx>
          <c:spPr>
            <a:ln w="28575" cap="rnd">
              <a:noFill/>
              <a:round/>
            </a:ln>
            <a:effectLst/>
          </c:spPr>
          <c:marker>
            <c:symbol val="circle"/>
            <c:size val="4"/>
            <c:spPr>
              <a:solidFill>
                <a:schemeClr val="accent6">
                  <a:lumMod val="75000"/>
                </a:schemeClr>
              </a:solidFill>
              <a:ln w="9525">
                <a:noFill/>
              </a:ln>
              <a:effectLst/>
            </c:spPr>
          </c:marker>
          <c:cat>
            <c:strRef>
              <c:f>'GRAF-9-Odvětví vs. kombinace'!$C$2:$U$2</c:f>
              <c:strCache>
                <c:ptCount val="19"/>
                <c:pt idx="0">
                  <c:v>Zemědělství (A)</c:v>
                </c:pt>
                <c:pt idx="1">
                  <c:v>Těžba  
a dobývání (B)</c:v>
                </c:pt>
                <c:pt idx="2">
                  <c:v>Zpracovatelský 
průmysl (C)</c:v>
                </c:pt>
                <c:pt idx="3">
                  <c:v>Energetika (D)</c:v>
                </c:pt>
                <c:pt idx="4">
                  <c:v>Odpady, 
zásob. vodou (E)</c:v>
                </c:pt>
                <c:pt idx="5">
                  <c:v>Stavebnictví (F)</c:v>
                </c:pt>
                <c:pt idx="6">
                  <c:v>Obchod (G)</c:v>
                </c:pt>
                <c:pt idx="7">
                  <c:v>Doprava a 
skladování (H)</c:v>
                </c:pt>
                <c:pt idx="8">
                  <c:v>Ubytování, stravo-
vání a pohost. (I)</c:v>
                </c:pt>
                <c:pt idx="9">
                  <c:v>Informační a 
komunikač. čin. (J)</c:v>
                </c:pt>
                <c:pt idx="10">
                  <c:v>Peněžnictví,
pojišťovnictví (K)</c:v>
                </c:pt>
                <c:pt idx="11">
                  <c:v>Činnosti v oblasti 
nemovitostí (L)</c:v>
                </c:pt>
                <c:pt idx="12">
                  <c:v>Profesní, vědecké
a technické čin. (M)</c:v>
                </c:pt>
                <c:pt idx="13">
                  <c:v>Administrativní
a podpůr. čin. (N)</c:v>
                </c:pt>
                <c:pt idx="14">
                  <c:v>Veř.správa,obrana,
soc.zabezpeč. (O)</c:v>
                </c:pt>
                <c:pt idx="15">
                  <c:v>Vzdělávání (P)</c:v>
                </c:pt>
                <c:pt idx="16">
                  <c:v>Zdravotní a 
sociální péče (Q)</c:v>
                </c:pt>
                <c:pt idx="17">
                  <c:v>Kulturní, zábavní 
a rekreač. čin. (R)</c:v>
                </c:pt>
                <c:pt idx="18">
                  <c:v>Ost. činnosti (S)</c:v>
                </c:pt>
              </c:strCache>
            </c:strRef>
          </c:cat>
          <c:val>
            <c:numRef>
              <c:f>'GRAF-9-Odvětví vs. kombinace'!$C$4:$U$4</c:f>
              <c:numCache>
                <c:formatCode>#,##0</c:formatCode>
                <c:ptCount val="19"/>
                <c:pt idx="0">
                  <c:v>31139</c:v>
                </c:pt>
                <c:pt idx="1">
                  <c:v>44972</c:v>
                </c:pt>
                <c:pt idx="2">
                  <c:v>38562</c:v>
                </c:pt>
                <c:pt idx="3">
                  <c:v>45575</c:v>
                </c:pt>
                <c:pt idx="4">
                  <c:v>34197</c:v>
                </c:pt>
                <c:pt idx="5">
                  <c:v>33816</c:v>
                </c:pt>
                <c:pt idx="6">
                  <c:v>36932</c:v>
                </c:pt>
                <c:pt idx="7">
                  <c:v>43769</c:v>
                </c:pt>
                <c:pt idx="8">
                  <c:v>29141</c:v>
                </c:pt>
                <c:pt idx="9">
                  <c:v>47118</c:v>
                </c:pt>
                <c:pt idx="10">
                  <c:v>45713</c:v>
                </c:pt>
                <c:pt idx="11">
                  <c:v>31609</c:v>
                </c:pt>
                <c:pt idx="12">
                  <c:v>33355</c:v>
                </c:pt>
                <c:pt idx="13">
                  <c:v>33869</c:v>
                </c:pt>
                <c:pt idx="14">
                  <c:v>38000</c:v>
                </c:pt>
                <c:pt idx="15">
                  <c:v>32964</c:v>
                </c:pt>
                <c:pt idx="16">
                  <c:v>32508.000000000004</c:v>
                </c:pt>
                <c:pt idx="17">
                  <c:v>30944</c:v>
                </c:pt>
                <c:pt idx="18">
                  <c:v>29475</c:v>
                </c:pt>
              </c:numCache>
            </c:numRef>
          </c:val>
          <c:smooth val="0"/>
          <c:extLst>
            <c:ext xmlns:c16="http://schemas.microsoft.com/office/drawing/2014/chart" uri="{C3380CC4-5D6E-409C-BE32-E72D297353CC}">
              <c16:uniqueId val="{00000003-DD4C-4C79-BE76-13EB703E9BF6}"/>
            </c:ext>
          </c:extLst>
        </c:ser>
        <c:ser>
          <c:idx val="2"/>
          <c:order val="2"/>
          <c:tx>
            <c:strRef>
              <c:f>'GRAF-9-Odvětví vs. kombinace'!$B$5</c:f>
              <c:strCache>
                <c:ptCount val="1"/>
                <c:pt idx="0">
                  <c:v>tř.4</c:v>
                </c:pt>
              </c:strCache>
            </c:strRef>
          </c:tx>
          <c:spPr>
            <a:ln w="28575" cap="rnd">
              <a:noFill/>
              <a:round/>
            </a:ln>
            <a:effectLst/>
          </c:spPr>
          <c:marker>
            <c:symbol val="circle"/>
            <c:size val="4"/>
            <c:spPr>
              <a:solidFill>
                <a:srgbClr val="FFFF00"/>
              </a:solidFill>
              <a:ln w="3175">
                <a:solidFill>
                  <a:schemeClr val="tx1">
                    <a:lumMod val="95000"/>
                    <a:lumOff val="5000"/>
                  </a:schemeClr>
                </a:solidFill>
              </a:ln>
              <a:effectLst/>
            </c:spPr>
          </c:marker>
          <c:cat>
            <c:strRef>
              <c:f>'GRAF-9-Odvětví vs. kombinace'!$C$2:$U$2</c:f>
              <c:strCache>
                <c:ptCount val="19"/>
                <c:pt idx="0">
                  <c:v>Zemědělství (A)</c:v>
                </c:pt>
                <c:pt idx="1">
                  <c:v>Těžba  
a dobývání (B)</c:v>
                </c:pt>
                <c:pt idx="2">
                  <c:v>Zpracovatelský 
průmysl (C)</c:v>
                </c:pt>
                <c:pt idx="3">
                  <c:v>Energetika (D)</c:v>
                </c:pt>
                <c:pt idx="4">
                  <c:v>Odpady, 
zásob. vodou (E)</c:v>
                </c:pt>
                <c:pt idx="5">
                  <c:v>Stavebnictví (F)</c:v>
                </c:pt>
                <c:pt idx="6">
                  <c:v>Obchod (G)</c:v>
                </c:pt>
                <c:pt idx="7">
                  <c:v>Doprava a 
skladování (H)</c:v>
                </c:pt>
                <c:pt idx="8">
                  <c:v>Ubytování, stravo-
vání a pohost. (I)</c:v>
                </c:pt>
                <c:pt idx="9">
                  <c:v>Informační a 
komunikač. čin. (J)</c:v>
                </c:pt>
                <c:pt idx="10">
                  <c:v>Peněžnictví,
pojišťovnictví (K)</c:v>
                </c:pt>
                <c:pt idx="11">
                  <c:v>Činnosti v oblasti 
nemovitostí (L)</c:v>
                </c:pt>
                <c:pt idx="12">
                  <c:v>Profesní, vědecké
a technické čin. (M)</c:v>
                </c:pt>
                <c:pt idx="13">
                  <c:v>Administrativní
a podpůr. čin. (N)</c:v>
                </c:pt>
                <c:pt idx="14">
                  <c:v>Veř.správa,obrana,
soc.zabezpeč. (O)</c:v>
                </c:pt>
                <c:pt idx="15">
                  <c:v>Vzdělávání (P)</c:v>
                </c:pt>
                <c:pt idx="16">
                  <c:v>Zdravotní a 
sociální péče (Q)</c:v>
                </c:pt>
                <c:pt idx="17">
                  <c:v>Kulturní, zábavní 
a rekreač. čin. (R)</c:v>
                </c:pt>
                <c:pt idx="18">
                  <c:v>Ost. činnosti (S)</c:v>
                </c:pt>
              </c:strCache>
            </c:strRef>
          </c:cat>
          <c:val>
            <c:numRef>
              <c:f>'GRAF-9-Odvětví vs. kombinace'!$C$5:$U$5</c:f>
              <c:numCache>
                <c:formatCode>#,##0</c:formatCode>
                <c:ptCount val="19"/>
                <c:pt idx="0">
                  <c:v>23479</c:v>
                </c:pt>
                <c:pt idx="1">
                  <c:v>29865</c:v>
                </c:pt>
                <c:pt idx="2">
                  <c:v>29589</c:v>
                </c:pt>
                <c:pt idx="3">
                  <c:v>31811</c:v>
                </c:pt>
                <c:pt idx="4">
                  <c:v>26676</c:v>
                </c:pt>
                <c:pt idx="5">
                  <c:v>24000</c:v>
                </c:pt>
                <c:pt idx="6">
                  <c:v>26500</c:v>
                </c:pt>
                <c:pt idx="7">
                  <c:v>28600</c:v>
                </c:pt>
                <c:pt idx="8">
                  <c:v>21891</c:v>
                </c:pt>
                <c:pt idx="9">
                  <c:v>31000</c:v>
                </c:pt>
                <c:pt idx="10">
                  <c:v>31010</c:v>
                </c:pt>
                <c:pt idx="11">
                  <c:v>26300</c:v>
                </c:pt>
                <c:pt idx="12">
                  <c:v>27059</c:v>
                </c:pt>
                <c:pt idx="13">
                  <c:v>25294</c:v>
                </c:pt>
                <c:pt idx="14">
                  <c:v>31940</c:v>
                </c:pt>
                <c:pt idx="15">
                  <c:v>28773</c:v>
                </c:pt>
                <c:pt idx="16">
                  <c:v>26827</c:v>
                </c:pt>
                <c:pt idx="17">
                  <c:v>26901</c:v>
                </c:pt>
                <c:pt idx="18">
                  <c:v>21800</c:v>
                </c:pt>
              </c:numCache>
            </c:numRef>
          </c:val>
          <c:smooth val="0"/>
          <c:extLst>
            <c:ext xmlns:c16="http://schemas.microsoft.com/office/drawing/2014/chart" uri="{C3380CC4-5D6E-409C-BE32-E72D297353CC}">
              <c16:uniqueId val="{00000004-DD4C-4C79-BE76-13EB703E9BF6}"/>
            </c:ext>
          </c:extLst>
        </c:ser>
        <c:ser>
          <c:idx val="3"/>
          <c:order val="3"/>
          <c:tx>
            <c:strRef>
              <c:f>'GRAF-9-Odvětví vs. kombinace'!$B$6</c:f>
              <c:strCache>
                <c:ptCount val="1"/>
                <c:pt idx="0">
                  <c:v>tř.5</c:v>
                </c:pt>
              </c:strCache>
            </c:strRef>
          </c:tx>
          <c:spPr>
            <a:ln w="28575" cap="rnd">
              <a:noFill/>
              <a:round/>
            </a:ln>
            <a:effectLst/>
          </c:spPr>
          <c:marker>
            <c:symbol val="circle"/>
            <c:size val="4"/>
            <c:spPr>
              <a:solidFill>
                <a:srgbClr val="92D050"/>
              </a:solidFill>
              <a:ln w="9525">
                <a:noFill/>
              </a:ln>
              <a:effectLst/>
            </c:spPr>
          </c:marker>
          <c:cat>
            <c:strRef>
              <c:f>'GRAF-9-Odvětví vs. kombinace'!$C$2:$U$2</c:f>
              <c:strCache>
                <c:ptCount val="19"/>
                <c:pt idx="0">
                  <c:v>Zemědělství (A)</c:v>
                </c:pt>
                <c:pt idx="1">
                  <c:v>Těžba  
a dobývání (B)</c:v>
                </c:pt>
                <c:pt idx="2">
                  <c:v>Zpracovatelský 
průmysl (C)</c:v>
                </c:pt>
                <c:pt idx="3">
                  <c:v>Energetika (D)</c:v>
                </c:pt>
                <c:pt idx="4">
                  <c:v>Odpady, 
zásob. vodou (E)</c:v>
                </c:pt>
                <c:pt idx="5">
                  <c:v>Stavebnictví (F)</c:v>
                </c:pt>
                <c:pt idx="6">
                  <c:v>Obchod (G)</c:v>
                </c:pt>
                <c:pt idx="7">
                  <c:v>Doprava a 
skladování (H)</c:v>
                </c:pt>
                <c:pt idx="8">
                  <c:v>Ubytování, stravo-
vání a pohost. (I)</c:v>
                </c:pt>
                <c:pt idx="9">
                  <c:v>Informační a 
komunikač. čin. (J)</c:v>
                </c:pt>
                <c:pt idx="10">
                  <c:v>Peněžnictví,
pojišťovnictví (K)</c:v>
                </c:pt>
                <c:pt idx="11">
                  <c:v>Činnosti v oblasti 
nemovitostí (L)</c:v>
                </c:pt>
                <c:pt idx="12">
                  <c:v>Profesní, vědecké
a technické čin. (M)</c:v>
                </c:pt>
                <c:pt idx="13">
                  <c:v>Administrativní
a podpůr. čin. (N)</c:v>
                </c:pt>
                <c:pt idx="14">
                  <c:v>Veř.správa,obrana,
soc.zabezpeč. (O)</c:v>
                </c:pt>
                <c:pt idx="15">
                  <c:v>Vzdělávání (P)</c:v>
                </c:pt>
                <c:pt idx="16">
                  <c:v>Zdravotní a 
sociální péče (Q)</c:v>
                </c:pt>
                <c:pt idx="17">
                  <c:v>Kulturní, zábavní 
a rekreač. čin. (R)</c:v>
                </c:pt>
                <c:pt idx="18">
                  <c:v>Ost. činnosti (S)</c:v>
                </c:pt>
              </c:strCache>
            </c:strRef>
          </c:cat>
          <c:val>
            <c:numRef>
              <c:f>'GRAF-9-Odvětví vs. kombinace'!$C$6:$U$6</c:f>
              <c:numCache>
                <c:formatCode>#,##0</c:formatCode>
                <c:ptCount val="19"/>
                <c:pt idx="0">
                  <c:v>18251</c:v>
                </c:pt>
                <c:pt idx="1">
                  <c:v>28860</c:v>
                </c:pt>
                <c:pt idx="2">
                  <c:v>22021</c:v>
                </c:pt>
                <c:pt idx="3">
                  <c:v>38420</c:v>
                </c:pt>
                <c:pt idx="5">
                  <c:v>17090</c:v>
                </c:pt>
                <c:pt idx="6">
                  <c:v>23833</c:v>
                </c:pt>
                <c:pt idx="7">
                  <c:v>29958</c:v>
                </c:pt>
                <c:pt idx="8">
                  <c:v>18000</c:v>
                </c:pt>
                <c:pt idx="9">
                  <c:v>31600</c:v>
                </c:pt>
                <c:pt idx="11">
                  <c:v>24866</c:v>
                </c:pt>
                <c:pt idx="12">
                  <c:v>19872</c:v>
                </c:pt>
                <c:pt idx="13">
                  <c:v>17500</c:v>
                </c:pt>
                <c:pt idx="14">
                  <c:v>37400</c:v>
                </c:pt>
                <c:pt idx="15">
                  <c:v>21072</c:v>
                </c:pt>
                <c:pt idx="16">
                  <c:v>25519</c:v>
                </c:pt>
                <c:pt idx="17">
                  <c:v>22915</c:v>
                </c:pt>
                <c:pt idx="18">
                  <c:v>21300</c:v>
                </c:pt>
              </c:numCache>
            </c:numRef>
          </c:val>
          <c:smooth val="0"/>
          <c:extLst>
            <c:ext xmlns:c16="http://schemas.microsoft.com/office/drawing/2014/chart" uri="{C3380CC4-5D6E-409C-BE32-E72D297353CC}">
              <c16:uniqueId val="{00000005-DD4C-4C79-BE76-13EB703E9BF6}"/>
            </c:ext>
          </c:extLst>
        </c:ser>
        <c:ser>
          <c:idx val="4"/>
          <c:order val="4"/>
          <c:tx>
            <c:strRef>
              <c:f>'GRAF-9-Odvětví vs. kombinace'!$B$7</c:f>
              <c:strCache>
                <c:ptCount val="1"/>
                <c:pt idx="0">
                  <c:v>tř.7</c:v>
                </c:pt>
              </c:strCache>
            </c:strRef>
          </c:tx>
          <c:spPr>
            <a:ln w="28575" cap="rnd">
              <a:noFill/>
              <a:round/>
            </a:ln>
            <a:effectLst/>
          </c:spPr>
          <c:marker>
            <c:symbol val="circle"/>
            <c:size val="4"/>
            <c:spPr>
              <a:solidFill>
                <a:srgbClr val="009E47"/>
              </a:solidFill>
              <a:ln w="9525">
                <a:noFill/>
              </a:ln>
              <a:effectLst/>
            </c:spPr>
          </c:marker>
          <c:cat>
            <c:strRef>
              <c:f>'GRAF-9-Odvětví vs. kombinace'!$C$2:$U$2</c:f>
              <c:strCache>
                <c:ptCount val="19"/>
                <c:pt idx="0">
                  <c:v>Zemědělství (A)</c:v>
                </c:pt>
                <c:pt idx="1">
                  <c:v>Těžba  
a dobývání (B)</c:v>
                </c:pt>
                <c:pt idx="2">
                  <c:v>Zpracovatelský 
průmysl (C)</c:v>
                </c:pt>
                <c:pt idx="3">
                  <c:v>Energetika (D)</c:v>
                </c:pt>
                <c:pt idx="4">
                  <c:v>Odpady, 
zásob. vodou (E)</c:v>
                </c:pt>
                <c:pt idx="5">
                  <c:v>Stavebnictví (F)</c:v>
                </c:pt>
                <c:pt idx="6">
                  <c:v>Obchod (G)</c:v>
                </c:pt>
                <c:pt idx="7">
                  <c:v>Doprava a 
skladování (H)</c:v>
                </c:pt>
                <c:pt idx="8">
                  <c:v>Ubytování, stravo-
vání a pohost. (I)</c:v>
                </c:pt>
                <c:pt idx="9">
                  <c:v>Informační a 
komunikač. čin. (J)</c:v>
                </c:pt>
                <c:pt idx="10">
                  <c:v>Peněžnictví,
pojišťovnictví (K)</c:v>
                </c:pt>
                <c:pt idx="11">
                  <c:v>Činnosti v oblasti 
nemovitostí (L)</c:v>
                </c:pt>
                <c:pt idx="12">
                  <c:v>Profesní, vědecké
a technické čin. (M)</c:v>
                </c:pt>
                <c:pt idx="13">
                  <c:v>Administrativní
a podpůr. čin. (N)</c:v>
                </c:pt>
                <c:pt idx="14">
                  <c:v>Veř.správa,obrana,
soc.zabezpeč. (O)</c:v>
                </c:pt>
                <c:pt idx="15">
                  <c:v>Vzdělávání (P)</c:v>
                </c:pt>
                <c:pt idx="16">
                  <c:v>Zdravotní a 
sociální péče (Q)</c:v>
                </c:pt>
                <c:pt idx="17">
                  <c:v>Kulturní, zábavní 
a rekreač. čin. (R)</c:v>
                </c:pt>
                <c:pt idx="18">
                  <c:v>Ost. činnosti (S)</c:v>
                </c:pt>
              </c:strCache>
            </c:strRef>
          </c:cat>
          <c:val>
            <c:numRef>
              <c:f>'GRAF-9-Odvětví vs. kombinace'!$C$7:$U$7</c:f>
              <c:numCache>
                <c:formatCode>#,##0</c:formatCode>
                <c:ptCount val="19"/>
                <c:pt idx="0">
                  <c:v>25236</c:v>
                </c:pt>
                <c:pt idx="1">
                  <c:v>35300</c:v>
                </c:pt>
                <c:pt idx="2">
                  <c:v>30408</c:v>
                </c:pt>
                <c:pt idx="3">
                  <c:v>37729</c:v>
                </c:pt>
                <c:pt idx="4">
                  <c:v>28700</c:v>
                </c:pt>
                <c:pt idx="5">
                  <c:v>24600</c:v>
                </c:pt>
                <c:pt idx="6">
                  <c:v>26200</c:v>
                </c:pt>
                <c:pt idx="7">
                  <c:v>29000</c:v>
                </c:pt>
                <c:pt idx="8">
                  <c:v>17400</c:v>
                </c:pt>
                <c:pt idx="9">
                  <c:v>34566</c:v>
                </c:pt>
                <c:pt idx="11">
                  <c:v>25700</c:v>
                </c:pt>
                <c:pt idx="12">
                  <c:v>29679</c:v>
                </c:pt>
                <c:pt idx="13">
                  <c:v>22530</c:v>
                </c:pt>
                <c:pt idx="14">
                  <c:v>25962</c:v>
                </c:pt>
                <c:pt idx="15">
                  <c:v>25000</c:v>
                </c:pt>
                <c:pt idx="16">
                  <c:v>26242</c:v>
                </c:pt>
                <c:pt idx="17">
                  <c:v>26267</c:v>
                </c:pt>
                <c:pt idx="18">
                  <c:v>22300</c:v>
                </c:pt>
              </c:numCache>
            </c:numRef>
          </c:val>
          <c:smooth val="0"/>
          <c:extLst>
            <c:ext xmlns:c16="http://schemas.microsoft.com/office/drawing/2014/chart" uri="{C3380CC4-5D6E-409C-BE32-E72D297353CC}">
              <c16:uniqueId val="{00000006-DD4C-4C79-BE76-13EB703E9BF6}"/>
            </c:ext>
          </c:extLst>
        </c:ser>
        <c:ser>
          <c:idx val="5"/>
          <c:order val="5"/>
          <c:tx>
            <c:strRef>
              <c:f>'GRAF-9-Odvětví vs. kombinace'!$B$8</c:f>
              <c:strCache>
                <c:ptCount val="1"/>
                <c:pt idx="0">
                  <c:v>tř.8</c:v>
                </c:pt>
              </c:strCache>
            </c:strRef>
          </c:tx>
          <c:spPr>
            <a:ln w="28575" cap="rnd">
              <a:noFill/>
              <a:round/>
            </a:ln>
            <a:effectLst/>
          </c:spPr>
          <c:marker>
            <c:symbol val="circle"/>
            <c:size val="4"/>
            <c:spPr>
              <a:solidFill>
                <a:srgbClr val="71C6FF"/>
              </a:solidFill>
              <a:ln w="9525">
                <a:noFill/>
              </a:ln>
              <a:effectLst/>
            </c:spPr>
          </c:marker>
          <c:cat>
            <c:strRef>
              <c:f>'GRAF-9-Odvětví vs. kombinace'!$C$2:$U$2</c:f>
              <c:strCache>
                <c:ptCount val="19"/>
                <c:pt idx="0">
                  <c:v>Zemědělství (A)</c:v>
                </c:pt>
                <c:pt idx="1">
                  <c:v>Těžba  
a dobývání (B)</c:v>
                </c:pt>
                <c:pt idx="2">
                  <c:v>Zpracovatelský 
průmysl (C)</c:v>
                </c:pt>
                <c:pt idx="3">
                  <c:v>Energetika (D)</c:v>
                </c:pt>
                <c:pt idx="4">
                  <c:v>Odpady, 
zásob. vodou (E)</c:v>
                </c:pt>
                <c:pt idx="5">
                  <c:v>Stavebnictví (F)</c:v>
                </c:pt>
                <c:pt idx="6">
                  <c:v>Obchod (G)</c:v>
                </c:pt>
                <c:pt idx="7">
                  <c:v>Doprava a 
skladování (H)</c:v>
                </c:pt>
                <c:pt idx="8">
                  <c:v>Ubytování, stravo-
vání a pohost. (I)</c:v>
                </c:pt>
                <c:pt idx="9">
                  <c:v>Informační a 
komunikač. čin. (J)</c:v>
                </c:pt>
                <c:pt idx="10">
                  <c:v>Peněžnictví,
pojišťovnictví (K)</c:v>
                </c:pt>
                <c:pt idx="11">
                  <c:v>Činnosti v oblasti 
nemovitostí (L)</c:v>
                </c:pt>
                <c:pt idx="12">
                  <c:v>Profesní, vědecké
a technické čin. (M)</c:v>
                </c:pt>
                <c:pt idx="13">
                  <c:v>Administrativní
a podpůr. čin. (N)</c:v>
                </c:pt>
                <c:pt idx="14">
                  <c:v>Veř.správa,obrana,
soc.zabezpeč. (O)</c:v>
                </c:pt>
                <c:pt idx="15">
                  <c:v>Vzdělávání (P)</c:v>
                </c:pt>
                <c:pt idx="16">
                  <c:v>Zdravotní a 
sociální péče (Q)</c:v>
                </c:pt>
                <c:pt idx="17">
                  <c:v>Kulturní, zábavní 
a rekreač. čin. (R)</c:v>
                </c:pt>
                <c:pt idx="18">
                  <c:v>Ost. činnosti (S)</c:v>
                </c:pt>
              </c:strCache>
            </c:strRef>
          </c:cat>
          <c:val>
            <c:numRef>
              <c:f>'GRAF-9-Odvětví vs. kombinace'!$C$8:$U$8</c:f>
              <c:numCache>
                <c:formatCode>#,##0</c:formatCode>
                <c:ptCount val="19"/>
                <c:pt idx="0">
                  <c:v>26719</c:v>
                </c:pt>
                <c:pt idx="1">
                  <c:v>34800</c:v>
                </c:pt>
                <c:pt idx="2">
                  <c:v>28974</c:v>
                </c:pt>
                <c:pt idx="3">
                  <c:v>35978</c:v>
                </c:pt>
                <c:pt idx="4">
                  <c:v>29400</c:v>
                </c:pt>
                <c:pt idx="5">
                  <c:v>28220</c:v>
                </c:pt>
                <c:pt idx="6">
                  <c:v>25600</c:v>
                </c:pt>
                <c:pt idx="7">
                  <c:v>27562</c:v>
                </c:pt>
                <c:pt idx="8">
                  <c:v>20765</c:v>
                </c:pt>
                <c:pt idx="12">
                  <c:v>23807</c:v>
                </c:pt>
                <c:pt idx="13">
                  <c:v>24327</c:v>
                </c:pt>
                <c:pt idx="14">
                  <c:v>26968</c:v>
                </c:pt>
                <c:pt idx="15">
                  <c:v>24400</c:v>
                </c:pt>
                <c:pt idx="16">
                  <c:v>24286</c:v>
                </c:pt>
                <c:pt idx="18">
                  <c:v>19976</c:v>
                </c:pt>
              </c:numCache>
            </c:numRef>
          </c:val>
          <c:smooth val="0"/>
          <c:extLst>
            <c:ext xmlns:c16="http://schemas.microsoft.com/office/drawing/2014/chart" uri="{C3380CC4-5D6E-409C-BE32-E72D297353CC}">
              <c16:uniqueId val="{00000007-DD4C-4C79-BE76-13EB703E9BF6}"/>
            </c:ext>
          </c:extLst>
        </c:ser>
        <c:ser>
          <c:idx val="6"/>
          <c:order val="6"/>
          <c:tx>
            <c:strRef>
              <c:f>'GRAF-9-Odvětví vs. kombinace'!$B$9</c:f>
              <c:strCache>
                <c:ptCount val="1"/>
                <c:pt idx="0">
                  <c:v>tř.9</c:v>
                </c:pt>
              </c:strCache>
            </c:strRef>
          </c:tx>
          <c:spPr>
            <a:ln w="28575" cap="rnd">
              <a:noFill/>
              <a:round/>
            </a:ln>
            <a:effectLst/>
          </c:spPr>
          <c:marker>
            <c:symbol val="circle"/>
            <c:size val="4"/>
            <c:spPr>
              <a:solidFill>
                <a:srgbClr val="0071BC"/>
              </a:solidFill>
              <a:ln w="9525">
                <a:noFill/>
              </a:ln>
              <a:effectLst/>
            </c:spPr>
          </c:marker>
          <c:cat>
            <c:strRef>
              <c:f>'GRAF-9-Odvětví vs. kombinace'!$C$2:$U$2</c:f>
              <c:strCache>
                <c:ptCount val="19"/>
                <c:pt idx="0">
                  <c:v>Zemědělství (A)</c:v>
                </c:pt>
                <c:pt idx="1">
                  <c:v>Těžba  
a dobývání (B)</c:v>
                </c:pt>
                <c:pt idx="2">
                  <c:v>Zpracovatelský 
průmysl (C)</c:v>
                </c:pt>
                <c:pt idx="3">
                  <c:v>Energetika (D)</c:v>
                </c:pt>
                <c:pt idx="4">
                  <c:v>Odpady, 
zásob. vodou (E)</c:v>
                </c:pt>
                <c:pt idx="5">
                  <c:v>Stavebnictví (F)</c:v>
                </c:pt>
                <c:pt idx="6">
                  <c:v>Obchod (G)</c:v>
                </c:pt>
                <c:pt idx="7">
                  <c:v>Doprava a 
skladování (H)</c:v>
                </c:pt>
                <c:pt idx="8">
                  <c:v>Ubytování, stravo-
vání a pohost. (I)</c:v>
                </c:pt>
                <c:pt idx="9">
                  <c:v>Informační a 
komunikač. čin. (J)</c:v>
                </c:pt>
                <c:pt idx="10">
                  <c:v>Peněžnictví,
pojišťovnictví (K)</c:v>
                </c:pt>
                <c:pt idx="11">
                  <c:v>Činnosti v oblasti 
nemovitostí (L)</c:v>
                </c:pt>
                <c:pt idx="12">
                  <c:v>Profesní, vědecké
a technické čin. (M)</c:v>
                </c:pt>
                <c:pt idx="13">
                  <c:v>Administrativní
a podpůr. čin. (N)</c:v>
                </c:pt>
                <c:pt idx="14">
                  <c:v>Veř.správa,obrana,
soc.zabezpeč. (O)</c:v>
                </c:pt>
                <c:pt idx="15">
                  <c:v>Vzdělávání (P)</c:v>
                </c:pt>
                <c:pt idx="16">
                  <c:v>Zdravotní a 
sociální péče (Q)</c:v>
                </c:pt>
                <c:pt idx="17">
                  <c:v>Kulturní, zábavní 
a rekreač. čin. (R)</c:v>
                </c:pt>
                <c:pt idx="18">
                  <c:v>Ost. činnosti (S)</c:v>
                </c:pt>
              </c:strCache>
            </c:strRef>
          </c:cat>
          <c:val>
            <c:numRef>
              <c:f>'GRAF-9-Odvětví vs. kombinace'!$C$9:$U$9</c:f>
              <c:numCache>
                <c:formatCode>#,##0</c:formatCode>
                <c:ptCount val="19"/>
                <c:pt idx="0">
                  <c:v>20318</c:v>
                </c:pt>
                <c:pt idx="1">
                  <c:v>27156</c:v>
                </c:pt>
                <c:pt idx="2">
                  <c:v>23138</c:v>
                </c:pt>
                <c:pt idx="3">
                  <c:v>20441</c:v>
                </c:pt>
                <c:pt idx="4">
                  <c:v>21592</c:v>
                </c:pt>
                <c:pt idx="5">
                  <c:v>21470</c:v>
                </c:pt>
                <c:pt idx="6">
                  <c:v>21773</c:v>
                </c:pt>
                <c:pt idx="7">
                  <c:v>20289</c:v>
                </c:pt>
                <c:pt idx="8">
                  <c:v>16472</c:v>
                </c:pt>
                <c:pt idx="11">
                  <c:v>16430</c:v>
                </c:pt>
                <c:pt idx="12">
                  <c:v>17858</c:v>
                </c:pt>
                <c:pt idx="13">
                  <c:v>16769</c:v>
                </c:pt>
                <c:pt idx="14">
                  <c:v>17768</c:v>
                </c:pt>
                <c:pt idx="15">
                  <c:v>16417</c:v>
                </c:pt>
                <c:pt idx="16">
                  <c:v>18227</c:v>
                </c:pt>
                <c:pt idx="17">
                  <c:v>18630</c:v>
                </c:pt>
                <c:pt idx="18">
                  <c:v>17554</c:v>
                </c:pt>
              </c:numCache>
            </c:numRef>
          </c:val>
          <c:smooth val="0"/>
          <c:extLst>
            <c:ext xmlns:c16="http://schemas.microsoft.com/office/drawing/2014/chart" uri="{C3380CC4-5D6E-409C-BE32-E72D297353CC}">
              <c16:uniqueId val="{00000008-DD4C-4C79-BE76-13EB703E9BF6}"/>
            </c:ext>
          </c:extLst>
        </c:ser>
        <c:ser>
          <c:idx val="9"/>
          <c:order val="9"/>
          <c:tx>
            <c:strRef>
              <c:f>'GRAF-9-Odvětví vs. kombinace'!$B$12</c:f>
              <c:strCache>
                <c:ptCount val="1"/>
                <c:pt idx="0">
                  <c:v>celkem</c:v>
                </c:pt>
              </c:strCache>
            </c:strRef>
          </c:tx>
          <c:spPr>
            <a:ln w="25400" cap="rnd">
              <a:noFill/>
              <a:round/>
            </a:ln>
            <a:effectLst/>
          </c:spPr>
          <c:marker>
            <c:symbol val="dash"/>
            <c:size val="5"/>
            <c:spPr>
              <a:solidFill>
                <a:schemeClr val="accent4">
                  <a:lumMod val="60000"/>
                </a:schemeClr>
              </a:solidFill>
              <a:ln w="9525">
                <a:noFill/>
              </a:ln>
              <a:effectLst/>
            </c:spPr>
          </c:marker>
          <c:cat>
            <c:strRef>
              <c:f>'GRAF-9-Odvětví vs. kombinace'!$C$2:$U$2</c:f>
              <c:strCache>
                <c:ptCount val="19"/>
                <c:pt idx="0">
                  <c:v>Zemědělství (A)</c:v>
                </c:pt>
                <c:pt idx="1">
                  <c:v>Těžba  
a dobývání (B)</c:v>
                </c:pt>
                <c:pt idx="2">
                  <c:v>Zpracovatelský 
průmysl (C)</c:v>
                </c:pt>
                <c:pt idx="3">
                  <c:v>Energetika (D)</c:v>
                </c:pt>
                <c:pt idx="4">
                  <c:v>Odpady, 
zásob. vodou (E)</c:v>
                </c:pt>
                <c:pt idx="5">
                  <c:v>Stavebnictví (F)</c:v>
                </c:pt>
                <c:pt idx="6">
                  <c:v>Obchod (G)</c:v>
                </c:pt>
                <c:pt idx="7">
                  <c:v>Doprava a 
skladování (H)</c:v>
                </c:pt>
                <c:pt idx="8">
                  <c:v>Ubytování, stravo-
vání a pohost. (I)</c:v>
                </c:pt>
                <c:pt idx="9">
                  <c:v>Informační a 
komunikač. čin. (J)</c:v>
                </c:pt>
                <c:pt idx="10">
                  <c:v>Peněžnictví,
pojišťovnictví (K)</c:v>
                </c:pt>
                <c:pt idx="11">
                  <c:v>Činnosti v oblasti 
nemovitostí (L)</c:v>
                </c:pt>
                <c:pt idx="12">
                  <c:v>Profesní, vědecké
a technické čin. (M)</c:v>
                </c:pt>
                <c:pt idx="13">
                  <c:v>Administrativní
a podpůr. čin. (N)</c:v>
                </c:pt>
                <c:pt idx="14">
                  <c:v>Veř.správa,obrana,
soc.zabezpeč. (O)</c:v>
                </c:pt>
                <c:pt idx="15">
                  <c:v>Vzdělávání (P)</c:v>
                </c:pt>
                <c:pt idx="16">
                  <c:v>Zdravotní a 
sociální péče (Q)</c:v>
                </c:pt>
                <c:pt idx="17">
                  <c:v>Kulturní, zábavní 
a rekreač. čin. (R)</c:v>
                </c:pt>
                <c:pt idx="18">
                  <c:v>Ost. činnosti (S)</c:v>
                </c:pt>
              </c:strCache>
            </c:strRef>
          </c:cat>
          <c:val>
            <c:numRef>
              <c:f>'GRAF-9-Odvětví vs. kombinace'!$C$12:$U$12</c:f>
              <c:numCache>
                <c:formatCode>#,##0</c:formatCode>
                <c:ptCount val="19"/>
                <c:pt idx="0">
                  <c:v>26910</c:v>
                </c:pt>
                <c:pt idx="1">
                  <c:v>38157</c:v>
                </c:pt>
                <c:pt idx="2">
                  <c:v>33984</c:v>
                </c:pt>
                <c:pt idx="3">
                  <c:v>47528</c:v>
                </c:pt>
                <c:pt idx="4">
                  <c:v>30265</c:v>
                </c:pt>
                <c:pt idx="5">
                  <c:v>29612</c:v>
                </c:pt>
                <c:pt idx="6">
                  <c:v>31246</c:v>
                </c:pt>
                <c:pt idx="7">
                  <c:v>31200</c:v>
                </c:pt>
                <c:pt idx="8">
                  <c:v>19511</c:v>
                </c:pt>
                <c:pt idx="9">
                  <c:v>56557</c:v>
                </c:pt>
                <c:pt idx="10">
                  <c:v>56589</c:v>
                </c:pt>
                <c:pt idx="11">
                  <c:v>29218</c:v>
                </c:pt>
                <c:pt idx="12">
                  <c:v>39725</c:v>
                </c:pt>
                <c:pt idx="13">
                  <c:v>22834</c:v>
                </c:pt>
                <c:pt idx="14">
                  <c:v>37856</c:v>
                </c:pt>
                <c:pt idx="15">
                  <c:v>33263</c:v>
                </c:pt>
                <c:pt idx="16">
                  <c:v>35065</c:v>
                </c:pt>
                <c:pt idx="17">
                  <c:v>29156</c:v>
                </c:pt>
                <c:pt idx="18">
                  <c:v>26169</c:v>
                </c:pt>
              </c:numCache>
            </c:numRef>
          </c:val>
          <c:smooth val="0"/>
          <c:extLst>
            <c:ext xmlns:c16="http://schemas.microsoft.com/office/drawing/2014/chart" uri="{C3380CC4-5D6E-409C-BE32-E72D297353CC}">
              <c16:uniqueId val="{00000009-DD4C-4C79-BE76-13EB703E9BF6}"/>
            </c:ext>
          </c:extLst>
        </c:ser>
        <c:dLbls>
          <c:showLegendKey val="0"/>
          <c:showVal val="0"/>
          <c:showCatName val="0"/>
          <c:showSerName val="0"/>
          <c:showPercent val="0"/>
          <c:showBubbleSize val="0"/>
        </c:dLbls>
        <c:marker val="1"/>
        <c:smooth val="0"/>
        <c:axId val="120439168"/>
        <c:axId val="120441088"/>
      </c:lineChart>
      <c:catAx>
        <c:axId val="120439168"/>
        <c:scaling>
          <c:orientation val="minMax"/>
        </c:scaling>
        <c:delete val="0"/>
        <c:axPos val="b"/>
        <c:numFmt formatCode="General" sourceLinked="1"/>
        <c:majorTickMark val="none"/>
        <c:minorTickMark val="none"/>
        <c:tickLblPos val="nextTo"/>
        <c:spPr>
          <a:noFill/>
          <a:ln w="6350" cap="flat" cmpd="sng" algn="ctr">
            <a:solidFill>
              <a:schemeClr val="tx1">
                <a:lumMod val="95000"/>
                <a:lumOff val="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20441088"/>
        <c:crosses val="autoZero"/>
        <c:auto val="1"/>
        <c:lblAlgn val="ctr"/>
        <c:lblOffset val="0"/>
        <c:noMultiLvlLbl val="0"/>
      </c:catAx>
      <c:valAx>
        <c:axId val="120441088"/>
        <c:scaling>
          <c:orientation val="minMax"/>
          <c:max val="65000"/>
          <c:min val="0"/>
        </c:scaling>
        <c:delete val="0"/>
        <c:axPos val="l"/>
        <c:majorGridlines>
          <c:spPr>
            <a:ln w="9525" cap="flat" cmpd="sng" algn="ctr">
              <a:solidFill>
                <a:srgbClr val="D9D9D9"/>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20439168"/>
        <c:crosses val="autoZero"/>
        <c:crossBetween val="between"/>
        <c:majorUnit val="5000"/>
        <c:minorUnit val="1"/>
      </c:valAx>
      <c:valAx>
        <c:axId val="120451072"/>
        <c:scaling>
          <c:orientation val="minMax"/>
          <c:max val="13"/>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0452608"/>
        <c:crosses val="max"/>
        <c:crossBetween val="between"/>
        <c:majorUnit val="1"/>
      </c:valAx>
      <c:catAx>
        <c:axId val="120452608"/>
        <c:scaling>
          <c:orientation val="minMax"/>
        </c:scaling>
        <c:delete val="1"/>
        <c:axPos val="b"/>
        <c:numFmt formatCode="General" sourceLinked="1"/>
        <c:majorTickMark val="out"/>
        <c:minorTickMark val="none"/>
        <c:tickLblPos val="nextTo"/>
        <c:crossAx val="120451072"/>
        <c:crosses val="autoZero"/>
        <c:auto val="1"/>
        <c:lblAlgn val="ctr"/>
        <c:lblOffset val="100"/>
        <c:noMultiLvlLbl val="0"/>
      </c:catAx>
      <c:spPr>
        <a:noFill/>
        <a:ln w="6350">
          <a:solidFill>
            <a:schemeClr val="tx1">
              <a:lumMod val="95000"/>
              <a:lumOff val="5000"/>
            </a:schemeClr>
          </a:solidFill>
        </a:ln>
        <a:effectLst/>
      </c:spPr>
    </c:plotArea>
    <c:legend>
      <c:legendPos val="b"/>
      <c:layout>
        <c:manualLayout>
          <c:xMode val="edge"/>
          <c:yMode val="edge"/>
          <c:x val="4.8226484453513477E-2"/>
          <c:y val="0.93301619574665096"/>
          <c:w val="0.91523345968624947"/>
          <c:h val="5.1468613097239997E-2"/>
        </c:manualLayout>
      </c:layout>
      <c:overlay val="0"/>
      <c:spPr>
        <a:noFill/>
        <a:ln w="6350">
          <a:solidFill>
            <a:schemeClr val="tx1">
              <a:lumMod val="95000"/>
              <a:lumOff val="5000"/>
            </a:schemeClr>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0.11383</cdr:x>
      <cdr:y>0.02645</cdr:y>
    </cdr:from>
    <cdr:to>
      <cdr:x>0.5499</cdr:x>
      <cdr:y>0.14693</cdr:y>
    </cdr:to>
    <cdr:sp macro="" textlink="">
      <cdr:nvSpPr>
        <cdr:cNvPr id="2" name="TextovéPole 1"/>
        <cdr:cNvSpPr txBox="1"/>
      </cdr:nvSpPr>
      <cdr:spPr>
        <a:xfrm xmlns:a="http://schemas.openxmlformats.org/drawingml/2006/main">
          <a:off x="571142" y="96762"/>
          <a:ext cx="2187992" cy="4407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cs-CZ" sz="750">
              <a:latin typeface="Arial" panose="020B0604020202020204" pitchFamily="34" charset="0"/>
              <a:cs typeface="Arial" panose="020B0604020202020204" pitchFamily="34" charset="0"/>
            </a:rPr>
            <a:t>roky </a:t>
          </a:r>
        </a:p>
        <a:p xmlns:a="http://schemas.openxmlformats.org/drawingml/2006/main">
          <a:r>
            <a:rPr lang="cs-CZ" sz="750">
              <a:latin typeface="Arial" panose="020B0604020202020204" pitchFamily="34" charset="0"/>
              <a:cs typeface="Arial" panose="020B0604020202020204" pitchFamily="34" charset="0"/>
            </a:rPr>
            <a:t>2012  2013   2014   2015   2016   2017   2018</a:t>
          </a:r>
        </a:p>
      </cdr:txBody>
    </cdr:sp>
  </cdr:relSizeAnchor>
  <cdr:relSizeAnchor xmlns:cdr="http://schemas.openxmlformats.org/drawingml/2006/chartDrawing">
    <cdr:from>
      <cdr:x>0.1315</cdr:x>
      <cdr:y>0.1093</cdr:y>
    </cdr:from>
    <cdr:to>
      <cdr:x>0.17324</cdr:x>
      <cdr:y>0.13338</cdr:y>
    </cdr:to>
    <cdr:sp macro="" textlink="">
      <cdr:nvSpPr>
        <cdr:cNvPr id="3" name="TextovéPole 2"/>
        <cdr:cNvSpPr txBox="1"/>
      </cdr:nvSpPr>
      <cdr:spPr>
        <a:xfrm xmlns:a="http://schemas.openxmlformats.org/drawingml/2006/main">
          <a:off x="662863" y="406296"/>
          <a:ext cx="210395" cy="89475"/>
        </a:xfrm>
        <a:prstGeom xmlns:a="http://schemas.openxmlformats.org/drawingml/2006/main" prst="rect">
          <a:avLst/>
        </a:prstGeom>
        <a:solidFill xmlns:a="http://schemas.openxmlformats.org/drawingml/2006/main">
          <a:srgbClr val="7030A0"/>
        </a:solidFill>
        <a:ln xmlns:a="http://schemas.openxmlformats.org/drawingml/2006/main" w="3175">
          <a:solidFill>
            <a:schemeClr val="tx1">
              <a:lumMod val="95000"/>
              <a:lumOff val="5000"/>
            </a:schemeClr>
          </a:solidFill>
        </a:ln>
      </cdr:spPr>
      <cdr:txBody>
        <a:bodyPr xmlns:a="http://schemas.openxmlformats.org/drawingml/2006/main" vertOverflow="clip" wrap="square" rtlCol="0"/>
        <a:lstStyle xmlns:a="http://schemas.openxmlformats.org/drawingml/2006/main"/>
        <a:p xmlns:a="http://schemas.openxmlformats.org/drawingml/2006/main">
          <a:endParaRPr lang="cs-CZ" sz="1100"/>
        </a:p>
      </cdr:txBody>
    </cdr:sp>
  </cdr:relSizeAnchor>
  <cdr:relSizeAnchor xmlns:cdr="http://schemas.openxmlformats.org/drawingml/2006/chartDrawing">
    <cdr:from>
      <cdr:x>0.18502</cdr:x>
      <cdr:y>0.1094</cdr:y>
    </cdr:from>
    <cdr:to>
      <cdr:x>0.22676</cdr:x>
      <cdr:y>0.13305</cdr:y>
    </cdr:to>
    <cdr:sp macro="" textlink="">
      <cdr:nvSpPr>
        <cdr:cNvPr id="4" name="TextovéPole 1"/>
        <cdr:cNvSpPr txBox="1"/>
      </cdr:nvSpPr>
      <cdr:spPr>
        <a:xfrm xmlns:a="http://schemas.openxmlformats.org/drawingml/2006/main">
          <a:off x="930522" y="404300"/>
          <a:ext cx="209915" cy="87430"/>
        </a:xfrm>
        <a:prstGeom xmlns:a="http://schemas.openxmlformats.org/drawingml/2006/main" prst="rect">
          <a:avLst/>
        </a:prstGeom>
        <a:solidFill xmlns:a="http://schemas.openxmlformats.org/drawingml/2006/main">
          <a:srgbClr val="9954CC"/>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0.24385</cdr:x>
      <cdr:y>0.10962</cdr:y>
    </cdr:from>
    <cdr:to>
      <cdr:x>0.28559</cdr:x>
      <cdr:y>0.13305</cdr:y>
    </cdr:to>
    <cdr:sp macro="" textlink="">
      <cdr:nvSpPr>
        <cdr:cNvPr id="8" name="TextovéPole 1"/>
        <cdr:cNvSpPr txBox="1"/>
      </cdr:nvSpPr>
      <cdr:spPr>
        <a:xfrm xmlns:a="http://schemas.openxmlformats.org/drawingml/2006/main">
          <a:off x="1226394" y="405114"/>
          <a:ext cx="209915" cy="86616"/>
        </a:xfrm>
        <a:prstGeom xmlns:a="http://schemas.openxmlformats.org/drawingml/2006/main" prst="rect">
          <a:avLst/>
        </a:prstGeom>
        <a:solidFill xmlns:a="http://schemas.openxmlformats.org/drawingml/2006/main">
          <a:srgbClr val="B685DB"/>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0.30195</cdr:x>
      <cdr:y>0.10956</cdr:y>
    </cdr:from>
    <cdr:to>
      <cdr:x>0.34369</cdr:x>
      <cdr:y>0.13314</cdr:y>
    </cdr:to>
    <cdr:sp macro="" textlink="">
      <cdr:nvSpPr>
        <cdr:cNvPr id="9" name="TextovéPole 1"/>
        <cdr:cNvSpPr txBox="1"/>
      </cdr:nvSpPr>
      <cdr:spPr>
        <a:xfrm xmlns:a="http://schemas.openxmlformats.org/drawingml/2006/main">
          <a:off x="1518575" y="404915"/>
          <a:ext cx="209915" cy="87142"/>
        </a:xfrm>
        <a:prstGeom xmlns:a="http://schemas.openxmlformats.org/drawingml/2006/main" prst="rect">
          <a:avLst/>
        </a:prstGeom>
        <a:solidFill xmlns:a="http://schemas.openxmlformats.org/drawingml/2006/main">
          <a:srgbClr val="D5B8EA"/>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0.36077</cdr:x>
      <cdr:y>0.10965</cdr:y>
    </cdr:from>
    <cdr:to>
      <cdr:x>0.40251</cdr:x>
      <cdr:y>0.13372</cdr:y>
    </cdr:to>
    <cdr:sp macro="" textlink="">
      <cdr:nvSpPr>
        <cdr:cNvPr id="10" name="TextovéPole 1"/>
        <cdr:cNvSpPr txBox="1"/>
      </cdr:nvSpPr>
      <cdr:spPr>
        <a:xfrm xmlns:a="http://schemas.openxmlformats.org/drawingml/2006/main">
          <a:off x="1812855" y="407473"/>
          <a:ext cx="209736" cy="89455"/>
        </a:xfrm>
        <a:prstGeom xmlns:a="http://schemas.openxmlformats.org/drawingml/2006/main" prst="rect">
          <a:avLst/>
        </a:prstGeom>
        <a:solidFill xmlns:a="http://schemas.openxmlformats.org/drawingml/2006/main">
          <a:srgbClr val="71C6FF"/>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0.41697</cdr:x>
      <cdr:y>0.10977</cdr:y>
    </cdr:from>
    <cdr:to>
      <cdr:x>0.45871</cdr:x>
      <cdr:y>0.13384</cdr:y>
    </cdr:to>
    <cdr:sp macro="" textlink="">
      <cdr:nvSpPr>
        <cdr:cNvPr id="11" name="TextovéPole 1"/>
        <cdr:cNvSpPr txBox="1"/>
      </cdr:nvSpPr>
      <cdr:spPr>
        <a:xfrm xmlns:a="http://schemas.openxmlformats.org/drawingml/2006/main">
          <a:off x="2095216" y="407937"/>
          <a:ext cx="209736" cy="89454"/>
        </a:xfrm>
        <a:prstGeom xmlns:a="http://schemas.openxmlformats.org/drawingml/2006/main" prst="rect">
          <a:avLst/>
        </a:prstGeom>
        <a:solidFill xmlns:a="http://schemas.openxmlformats.org/drawingml/2006/main">
          <a:srgbClr val="25A7FF"/>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0.47463</cdr:x>
      <cdr:y>0.10937</cdr:y>
    </cdr:from>
    <cdr:to>
      <cdr:x>0.51637</cdr:x>
      <cdr:y>0.13344</cdr:y>
    </cdr:to>
    <cdr:sp macro="" textlink="">
      <cdr:nvSpPr>
        <cdr:cNvPr id="12" name="TextovéPole 1"/>
        <cdr:cNvSpPr txBox="1"/>
      </cdr:nvSpPr>
      <cdr:spPr>
        <a:xfrm xmlns:a="http://schemas.openxmlformats.org/drawingml/2006/main">
          <a:off x="2384978" y="406455"/>
          <a:ext cx="209736" cy="89455"/>
        </a:xfrm>
        <a:prstGeom xmlns:a="http://schemas.openxmlformats.org/drawingml/2006/main" prst="rect">
          <a:avLst/>
        </a:prstGeom>
        <a:solidFill xmlns:a="http://schemas.openxmlformats.org/drawingml/2006/main">
          <a:srgbClr val="0071BC"/>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userShapes>
</file>

<file path=word/drawings/drawing2.xml><?xml version="1.0" encoding="utf-8"?>
<c:userShapes xmlns:c="http://schemas.openxmlformats.org/drawingml/2006/chart">
  <cdr:relSizeAnchor xmlns:cdr="http://schemas.openxmlformats.org/drawingml/2006/chartDrawing">
    <cdr:from>
      <cdr:x>0.07158</cdr:x>
      <cdr:y>0.00738</cdr:y>
    </cdr:from>
    <cdr:to>
      <cdr:x>0.49569</cdr:x>
      <cdr:y>0.25432</cdr:y>
    </cdr:to>
    <cdr:sp macro="" textlink="">
      <cdr:nvSpPr>
        <cdr:cNvPr id="2" name="TextovéPole 1"/>
        <cdr:cNvSpPr txBox="1"/>
      </cdr:nvSpPr>
      <cdr:spPr>
        <a:xfrm xmlns:a="http://schemas.openxmlformats.org/drawingml/2006/main">
          <a:off x="329599" y="25043"/>
          <a:ext cx="1952742" cy="8381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cs-CZ" sz="800">
              <a:latin typeface="Arial" panose="020B0604020202020204" pitchFamily="34" charset="0"/>
              <a:cs typeface="Arial" panose="020B0604020202020204" pitchFamily="34" charset="0"/>
            </a:rPr>
            <a:t>nejvyšší</a:t>
          </a:r>
          <a:r>
            <a:rPr lang="cs-CZ" sz="800" baseline="0">
              <a:latin typeface="Arial" panose="020B0604020202020204" pitchFamily="34" charset="0"/>
              <a:cs typeface="Arial" panose="020B0604020202020204" pitchFamily="34" charset="0"/>
            </a:rPr>
            <a:t> dokončené vzdělání</a:t>
          </a:r>
        </a:p>
        <a:p xmlns:a="http://schemas.openxmlformats.org/drawingml/2006/main">
          <a:r>
            <a:rPr lang="cs-CZ" sz="800" baseline="0">
              <a:latin typeface="Arial" panose="020B0604020202020204" pitchFamily="34" charset="0"/>
              <a:cs typeface="Arial" panose="020B0604020202020204" pitchFamily="34" charset="0"/>
            </a:rPr>
            <a:t>        základní a nedokončené</a:t>
          </a:r>
        </a:p>
        <a:p xmlns:a="http://schemas.openxmlformats.org/drawingml/2006/main">
          <a:endParaRPr lang="cs-CZ" sz="100" baseline="0">
            <a:latin typeface="Arial" panose="020B0604020202020204" pitchFamily="34" charset="0"/>
            <a:cs typeface="Arial" panose="020B0604020202020204" pitchFamily="34" charset="0"/>
          </a:endParaRPr>
        </a:p>
        <a:p xmlns:a="http://schemas.openxmlformats.org/drawingml/2006/main">
          <a:r>
            <a:rPr lang="cs-CZ" sz="800" baseline="0">
              <a:latin typeface="Arial" panose="020B0604020202020204" pitchFamily="34" charset="0"/>
              <a:cs typeface="Arial" panose="020B0604020202020204" pitchFamily="34" charset="0"/>
            </a:rPr>
            <a:t>        střední bez maturity</a:t>
          </a:r>
        </a:p>
        <a:p xmlns:a="http://schemas.openxmlformats.org/drawingml/2006/main">
          <a:endParaRPr lang="cs-CZ" sz="100" baseline="0">
            <a:latin typeface="Arial" panose="020B0604020202020204" pitchFamily="34" charset="0"/>
            <a:cs typeface="Arial" panose="020B0604020202020204" pitchFamily="34" charset="0"/>
          </a:endParaRPr>
        </a:p>
        <a:p xmlns:a="http://schemas.openxmlformats.org/drawingml/2006/main">
          <a:r>
            <a:rPr lang="cs-CZ" sz="800" baseline="0">
              <a:latin typeface="Arial" panose="020B0604020202020204" pitchFamily="34" charset="0"/>
              <a:cs typeface="Arial" panose="020B0604020202020204" pitchFamily="34" charset="0"/>
            </a:rPr>
            <a:t>        střední s maturitou</a:t>
          </a:r>
        </a:p>
        <a:p xmlns:a="http://schemas.openxmlformats.org/drawingml/2006/main">
          <a:endParaRPr lang="cs-CZ" sz="100" baseline="0">
            <a:latin typeface="Arial" panose="020B0604020202020204" pitchFamily="34" charset="0"/>
            <a:cs typeface="Arial" panose="020B0604020202020204" pitchFamily="34" charset="0"/>
          </a:endParaRPr>
        </a:p>
        <a:p xmlns:a="http://schemas.openxmlformats.org/drawingml/2006/main">
          <a:r>
            <a:rPr lang="cs-CZ" sz="800" baseline="0">
              <a:latin typeface="Arial" panose="020B0604020202020204" pitchFamily="34" charset="0"/>
              <a:cs typeface="Arial" panose="020B0604020202020204" pitchFamily="34" charset="0"/>
            </a:rPr>
            <a:t>        vyšší odborné (vč. bakalářs.)</a:t>
          </a:r>
          <a:endParaRPr lang="cs-CZ" sz="100" baseline="0">
            <a:latin typeface="Arial" panose="020B0604020202020204" pitchFamily="34" charset="0"/>
            <a:cs typeface="Arial" panose="020B0604020202020204" pitchFamily="34" charset="0"/>
          </a:endParaRPr>
        </a:p>
        <a:p xmlns:a="http://schemas.openxmlformats.org/drawingml/2006/main">
          <a:r>
            <a:rPr lang="cs-CZ" sz="800" baseline="0">
              <a:latin typeface="Arial" panose="020B0604020202020204" pitchFamily="34" charset="0"/>
              <a:cs typeface="Arial" panose="020B0604020202020204" pitchFamily="34" charset="0"/>
            </a:rPr>
            <a:t>        vysokoškolské  </a:t>
          </a:r>
          <a:endParaRPr lang="cs-CZ"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0.08644</cdr:x>
      <cdr:y>0.0688</cdr:y>
    </cdr:from>
    <cdr:to>
      <cdr:x>0.1334</cdr:x>
      <cdr:y>0.09556</cdr:y>
    </cdr:to>
    <cdr:sp macro="" textlink="">
      <cdr:nvSpPr>
        <cdr:cNvPr id="3" name="TextovéPole 2"/>
        <cdr:cNvSpPr txBox="1"/>
      </cdr:nvSpPr>
      <cdr:spPr>
        <a:xfrm xmlns:a="http://schemas.openxmlformats.org/drawingml/2006/main">
          <a:off x="431049" y="255007"/>
          <a:ext cx="234159" cy="99181"/>
        </a:xfrm>
        <a:prstGeom xmlns:a="http://schemas.openxmlformats.org/drawingml/2006/main" prst="rect">
          <a:avLst/>
        </a:prstGeom>
        <a:solidFill xmlns:a="http://schemas.openxmlformats.org/drawingml/2006/main">
          <a:schemeClr val="bg1">
            <a:lumMod val="95000"/>
          </a:schemeClr>
        </a:solidFill>
        <a:ln xmlns:a="http://schemas.openxmlformats.org/drawingml/2006/main" w="6350">
          <a:solidFill>
            <a:schemeClr val="bg1">
              <a:lumMod val="50000"/>
            </a:schemeClr>
          </a:solidFill>
        </a:ln>
      </cdr:spPr>
      <cdr:txBody>
        <a:bodyPr xmlns:a="http://schemas.openxmlformats.org/drawingml/2006/main" vertOverflow="clip" wrap="square" rtlCol="0"/>
        <a:lstStyle xmlns:a="http://schemas.openxmlformats.org/drawingml/2006/main"/>
        <a:p xmlns:a="http://schemas.openxmlformats.org/drawingml/2006/main">
          <a:endParaRPr lang="cs-CZ" sz="1100"/>
        </a:p>
      </cdr:txBody>
    </cdr:sp>
  </cdr:relSizeAnchor>
  <cdr:relSizeAnchor xmlns:cdr="http://schemas.openxmlformats.org/drawingml/2006/chartDrawing">
    <cdr:from>
      <cdr:x>0.08579</cdr:x>
      <cdr:y>0.10339</cdr:y>
    </cdr:from>
    <cdr:to>
      <cdr:x>0.13275</cdr:x>
      <cdr:y>0.13015</cdr:y>
    </cdr:to>
    <cdr:sp macro="" textlink="">
      <cdr:nvSpPr>
        <cdr:cNvPr id="4" name="TextovéPole 1"/>
        <cdr:cNvSpPr txBox="1"/>
      </cdr:nvSpPr>
      <cdr:spPr>
        <a:xfrm xmlns:a="http://schemas.openxmlformats.org/drawingml/2006/main">
          <a:off x="427798" y="383243"/>
          <a:ext cx="234160" cy="99181"/>
        </a:xfrm>
        <a:prstGeom xmlns:a="http://schemas.openxmlformats.org/drawingml/2006/main" prst="rect">
          <a:avLst/>
        </a:prstGeom>
        <a:solidFill xmlns:a="http://schemas.openxmlformats.org/drawingml/2006/main">
          <a:schemeClr val="accent1">
            <a:lumMod val="20000"/>
            <a:lumOff val="80000"/>
          </a:schemeClr>
        </a:solidFill>
        <a:ln xmlns:a="http://schemas.openxmlformats.org/drawingml/2006/main" w="6350">
          <a:solidFill>
            <a:schemeClr val="bg1">
              <a:lumMod val="50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0.08552</cdr:x>
      <cdr:y>0.13747</cdr:y>
    </cdr:from>
    <cdr:to>
      <cdr:x>0.13247</cdr:x>
      <cdr:y>0.16423</cdr:y>
    </cdr:to>
    <cdr:sp macro="" textlink="">
      <cdr:nvSpPr>
        <cdr:cNvPr id="5" name="TextovéPole 1"/>
        <cdr:cNvSpPr txBox="1"/>
      </cdr:nvSpPr>
      <cdr:spPr>
        <a:xfrm xmlns:a="http://schemas.openxmlformats.org/drawingml/2006/main">
          <a:off x="427392" y="510262"/>
          <a:ext cx="234680" cy="99321"/>
        </a:xfrm>
        <a:prstGeom xmlns:a="http://schemas.openxmlformats.org/drawingml/2006/main" prst="rect">
          <a:avLst/>
        </a:prstGeom>
        <a:solidFill xmlns:a="http://schemas.openxmlformats.org/drawingml/2006/main">
          <a:schemeClr val="accent1">
            <a:lumMod val="40000"/>
            <a:lumOff val="60000"/>
          </a:schemeClr>
        </a:solidFill>
        <a:ln xmlns:a="http://schemas.openxmlformats.org/drawingml/2006/main" w="6350">
          <a:solidFill>
            <a:schemeClr val="bg1">
              <a:lumMod val="50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0.08658</cdr:x>
      <cdr:y>0.17257</cdr:y>
    </cdr:from>
    <cdr:to>
      <cdr:x>0.13354</cdr:x>
      <cdr:y>0.19933</cdr:y>
    </cdr:to>
    <cdr:sp macro="" textlink="">
      <cdr:nvSpPr>
        <cdr:cNvPr id="6" name="TextovéPole 1"/>
        <cdr:cNvSpPr txBox="1"/>
      </cdr:nvSpPr>
      <cdr:spPr>
        <a:xfrm xmlns:a="http://schemas.openxmlformats.org/drawingml/2006/main">
          <a:off x="432704" y="640544"/>
          <a:ext cx="234678" cy="99321"/>
        </a:xfrm>
        <a:prstGeom xmlns:a="http://schemas.openxmlformats.org/drawingml/2006/main" prst="rect">
          <a:avLst/>
        </a:prstGeom>
        <a:solidFill xmlns:a="http://schemas.openxmlformats.org/drawingml/2006/main">
          <a:schemeClr val="accent1">
            <a:lumMod val="60000"/>
            <a:lumOff val="40000"/>
          </a:schemeClr>
        </a:solidFill>
        <a:ln xmlns:a="http://schemas.openxmlformats.org/drawingml/2006/main" w="6350">
          <a:solidFill>
            <a:schemeClr val="bg1">
              <a:lumMod val="50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0.0865</cdr:x>
      <cdr:y>0.20698</cdr:y>
    </cdr:from>
    <cdr:to>
      <cdr:x>0.13346</cdr:x>
      <cdr:y>0.23374</cdr:y>
    </cdr:to>
    <cdr:sp macro="" textlink="">
      <cdr:nvSpPr>
        <cdr:cNvPr id="7" name="TextovéPole 1"/>
        <cdr:cNvSpPr txBox="1"/>
      </cdr:nvSpPr>
      <cdr:spPr>
        <a:xfrm xmlns:a="http://schemas.openxmlformats.org/drawingml/2006/main">
          <a:off x="431368" y="767203"/>
          <a:ext cx="234160" cy="99181"/>
        </a:xfrm>
        <a:prstGeom xmlns:a="http://schemas.openxmlformats.org/drawingml/2006/main" prst="rect">
          <a:avLst/>
        </a:prstGeom>
        <a:solidFill xmlns:a="http://schemas.openxmlformats.org/drawingml/2006/main">
          <a:schemeClr val="tx2">
            <a:lumMod val="60000"/>
            <a:lumOff val="40000"/>
          </a:schemeClr>
        </a:solidFill>
        <a:ln xmlns:a="http://schemas.openxmlformats.org/drawingml/2006/main" w="6350">
          <a:solidFill>
            <a:schemeClr val="bg1">
              <a:lumMod val="50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userShapes>
</file>

<file path=word/drawings/drawing3.xml><?xml version="1.0" encoding="utf-8"?>
<c:userShapes xmlns:c="http://schemas.openxmlformats.org/drawingml/2006/chart">
  <cdr:relSizeAnchor xmlns:cdr="http://schemas.openxmlformats.org/drawingml/2006/chartDrawing">
    <cdr:from>
      <cdr:x>0.31371</cdr:x>
      <cdr:y>0.06214</cdr:y>
    </cdr:from>
    <cdr:to>
      <cdr:x>0.35604</cdr:x>
      <cdr:y>0.08622</cdr:y>
    </cdr:to>
    <cdr:sp macro="" textlink="">
      <cdr:nvSpPr>
        <cdr:cNvPr id="8" name="TextovéPole 1"/>
        <cdr:cNvSpPr txBox="1"/>
      </cdr:nvSpPr>
      <cdr:spPr>
        <a:xfrm xmlns:a="http://schemas.openxmlformats.org/drawingml/2006/main">
          <a:off x="1502701" y="228337"/>
          <a:ext cx="202793" cy="88483"/>
        </a:xfrm>
        <a:prstGeom xmlns:a="http://schemas.openxmlformats.org/drawingml/2006/main" prst="rect">
          <a:avLst/>
        </a:prstGeom>
        <a:solidFill xmlns:a="http://schemas.openxmlformats.org/drawingml/2006/main">
          <a:schemeClr val="bg1">
            <a:lumMod val="75000"/>
          </a:schemeClr>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0.37688</cdr:x>
      <cdr:y>0.06143</cdr:y>
    </cdr:from>
    <cdr:to>
      <cdr:x>0.41921</cdr:x>
      <cdr:y>0.08508</cdr:y>
    </cdr:to>
    <cdr:sp macro="" textlink="">
      <cdr:nvSpPr>
        <cdr:cNvPr id="9" name="TextovéPole 1"/>
        <cdr:cNvSpPr txBox="1"/>
      </cdr:nvSpPr>
      <cdr:spPr>
        <a:xfrm xmlns:a="http://schemas.openxmlformats.org/drawingml/2006/main">
          <a:off x="1805286" y="225718"/>
          <a:ext cx="202795" cy="86904"/>
        </a:xfrm>
        <a:prstGeom xmlns:a="http://schemas.openxmlformats.org/drawingml/2006/main" prst="rect">
          <a:avLst/>
        </a:prstGeom>
        <a:solidFill xmlns:a="http://schemas.openxmlformats.org/drawingml/2006/main">
          <a:schemeClr val="bg1">
            <a:lumMod val="85000"/>
          </a:schemeClr>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0.4373</cdr:x>
      <cdr:y>0.061</cdr:y>
    </cdr:from>
    <cdr:to>
      <cdr:x>0.47963</cdr:x>
      <cdr:y>0.08443</cdr:y>
    </cdr:to>
    <cdr:sp macro="" textlink="">
      <cdr:nvSpPr>
        <cdr:cNvPr id="10" name="TextovéPole 1"/>
        <cdr:cNvSpPr txBox="1"/>
      </cdr:nvSpPr>
      <cdr:spPr>
        <a:xfrm xmlns:a="http://schemas.openxmlformats.org/drawingml/2006/main">
          <a:off x="2092892" y="224145"/>
          <a:ext cx="202618" cy="86096"/>
        </a:xfrm>
        <a:prstGeom xmlns:a="http://schemas.openxmlformats.org/drawingml/2006/main" prst="rect">
          <a:avLst/>
        </a:prstGeom>
        <a:solidFill xmlns:a="http://schemas.openxmlformats.org/drawingml/2006/main">
          <a:schemeClr val="bg1">
            <a:lumMod val="95000"/>
          </a:schemeClr>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0.49847</cdr:x>
      <cdr:y>0.06094</cdr:y>
    </cdr:from>
    <cdr:to>
      <cdr:x>0.54081</cdr:x>
      <cdr:y>0.08452</cdr:y>
    </cdr:to>
    <cdr:sp macro="" textlink="">
      <cdr:nvSpPr>
        <cdr:cNvPr id="11" name="TextovéPole 1"/>
        <cdr:cNvSpPr txBox="1"/>
      </cdr:nvSpPr>
      <cdr:spPr>
        <a:xfrm xmlns:a="http://schemas.openxmlformats.org/drawingml/2006/main">
          <a:off x="2385658" y="223925"/>
          <a:ext cx="202618" cy="86647"/>
        </a:xfrm>
        <a:prstGeom xmlns:a="http://schemas.openxmlformats.org/drawingml/2006/main" prst="rect">
          <a:avLst/>
        </a:prstGeom>
        <a:solidFill xmlns:a="http://schemas.openxmlformats.org/drawingml/2006/main">
          <a:srgbClr val="C5E8FF"/>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0.55925</cdr:x>
      <cdr:y>0.06103</cdr:y>
    </cdr:from>
    <cdr:to>
      <cdr:x>0.60159</cdr:x>
      <cdr:y>0.0851</cdr:y>
    </cdr:to>
    <cdr:sp macro="" textlink="">
      <cdr:nvSpPr>
        <cdr:cNvPr id="12" name="TextovéPole 1"/>
        <cdr:cNvSpPr txBox="1"/>
      </cdr:nvSpPr>
      <cdr:spPr>
        <a:xfrm xmlns:a="http://schemas.openxmlformats.org/drawingml/2006/main">
          <a:off x="2676554" y="224256"/>
          <a:ext cx="202617" cy="88447"/>
        </a:xfrm>
        <a:prstGeom xmlns:a="http://schemas.openxmlformats.org/drawingml/2006/main" prst="rect">
          <a:avLst/>
        </a:prstGeom>
        <a:solidFill xmlns:a="http://schemas.openxmlformats.org/drawingml/2006/main">
          <a:srgbClr val="8FD2FF"/>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0.62018</cdr:x>
      <cdr:y>0.06115</cdr:y>
    </cdr:from>
    <cdr:to>
      <cdr:x>0.66251</cdr:x>
      <cdr:y>0.08522</cdr:y>
    </cdr:to>
    <cdr:sp macro="" textlink="">
      <cdr:nvSpPr>
        <cdr:cNvPr id="13" name="TextovéPole 1"/>
        <cdr:cNvSpPr txBox="1"/>
      </cdr:nvSpPr>
      <cdr:spPr>
        <a:xfrm xmlns:a="http://schemas.openxmlformats.org/drawingml/2006/main">
          <a:off x="2968146" y="224697"/>
          <a:ext cx="202618" cy="88447"/>
        </a:xfrm>
        <a:prstGeom xmlns:a="http://schemas.openxmlformats.org/drawingml/2006/main" prst="rect">
          <a:avLst/>
        </a:prstGeom>
        <a:solidFill xmlns:a="http://schemas.openxmlformats.org/drawingml/2006/main">
          <a:srgbClr val="25A7FF"/>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0.68203</cdr:x>
      <cdr:y>0.06075</cdr:y>
    </cdr:from>
    <cdr:to>
      <cdr:x>0.72436</cdr:x>
      <cdr:y>0.08482</cdr:y>
    </cdr:to>
    <cdr:sp macro="" textlink="">
      <cdr:nvSpPr>
        <cdr:cNvPr id="14" name="TextovéPole 1"/>
        <cdr:cNvSpPr txBox="1"/>
      </cdr:nvSpPr>
      <cdr:spPr>
        <a:xfrm xmlns:a="http://schemas.openxmlformats.org/drawingml/2006/main">
          <a:off x="3264143" y="223227"/>
          <a:ext cx="202617" cy="88447"/>
        </a:xfrm>
        <a:prstGeom xmlns:a="http://schemas.openxmlformats.org/drawingml/2006/main" prst="rect">
          <a:avLst/>
        </a:prstGeom>
        <a:solidFill xmlns:a="http://schemas.openxmlformats.org/drawingml/2006/main">
          <a:srgbClr val="0071BC"/>
        </a:solidFill>
        <a:ln xmlns:a="http://schemas.openxmlformats.org/drawingml/2006/main" w="3175">
          <a:solidFill>
            <a:schemeClr val="tx1">
              <a:lumMod val="95000"/>
              <a:lumOff val="5000"/>
            </a:schemeClr>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cs-CZ" sz="1100"/>
        </a:p>
      </cdr:txBody>
    </cdr:sp>
  </cdr:relSizeAnchor>
  <cdr:relSizeAnchor xmlns:cdr="http://schemas.openxmlformats.org/drawingml/2006/chartDrawing">
    <cdr:from>
      <cdr:x>0.24644</cdr:x>
      <cdr:y>0.01041</cdr:y>
    </cdr:from>
    <cdr:to>
      <cdr:x>0.75961</cdr:x>
      <cdr:y>0.10761</cdr:y>
    </cdr:to>
    <cdr:sp macro="" textlink="">
      <cdr:nvSpPr>
        <cdr:cNvPr id="15" name="TextovéPole 1"/>
        <cdr:cNvSpPr txBox="1"/>
      </cdr:nvSpPr>
      <cdr:spPr>
        <a:xfrm xmlns:a="http://schemas.openxmlformats.org/drawingml/2006/main">
          <a:off x="1179469" y="38253"/>
          <a:ext cx="2456002" cy="3571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750">
              <a:latin typeface="Arial" panose="020B0604020202020204" pitchFamily="34" charset="0"/>
              <a:cs typeface="Arial" panose="020B0604020202020204" pitchFamily="34" charset="0"/>
            </a:rPr>
            <a:t>roky </a:t>
          </a:r>
          <a:r>
            <a:rPr lang="cs-CZ" sz="750" baseline="0">
              <a:latin typeface="Arial" panose="020B0604020202020204" pitchFamily="34" charset="0"/>
              <a:cs typeface="Arial" panose="020B0604020202020204" pitchFamily="34" charset="0"/>
            </a:rPr>
            <a:t> </a:t>
          </a:r>
          <a:r>
            <a:rPr lang="cs-CZ" sz="750">
              <a:latin typeface="Arial" panose="020B0604020202020204" pitchFamily="34" charset="0"/>
              <a:cs typeface="Arial" panose="020B0604020202020204" pitchFamily="34" charset="0"/>
            </a:rPr>
            <a:t>2012   2013   2014   2015   2016   2017   2018</a:t>
          </a:r>
        </a:p>
      </cdr:txBody>
    </cdr:sp>
  </cdr:relSizeAnchor>
</c:userShapes>
</file>

<file path=word/drawings/drawing4.xml><?xml version="1.0" encoding="utf-8"?>
<c:userShapes xmlns:c="http://schemas.openxmlformats.org/drawingml/2006/chart">
  <cdr:relSizeAnchor xmlns:cdr="http://schemas.openxmlformats.org/drawingml/2006/chartDrawing">
    <cdr:from>
      <cdr:x>0.56282</cdr:x>
      <cdr:y>0.03226</cdr:y>
    </cdr:from>
    <cdr:to>
      <cdr:x>0.56299</cdr:x>
      <cdr:y>0.42435</cdr:y>
    </cdr:to>
    <cdr:cxnSp macro="">
      <cdr:nvCxnSpPr>
        <cdr:cNvPr id="3" name="Přímá spojnice 2"/>
        <cdr:cNvCxnSpPr/>
      </cdr:nvCxnSpPr>
      <cdr:spPr>
        <a:xfrm xmlns:a="http://schemas.openxmlformats.org/drawingml/2006/main" flipH="1" flipV="1">
          <a:off x="2815833" y="118397"/>
          <a:ext cx="897" cy="1438973"/>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0.15095</cdr:x>
      <cdr:y>0.07626</cdr:y>
    </cdr:from>
    <cdr:to>
      <cdr:x>0.15095</cdr:x>
      <cdr:y>0.4178</cdr:y>
    </cdr:to>
    <cdr:cxnSp macro="">
      <cdr:nvCxnSpPr>
        <cdr:cNvPr id="6" name="Přímá spojnice 5"/>
        <cdr:cNvCxnSpPr/>
      </cdr:nvCxnSpPr>
      <cdr:spPr>
        <a:xfrm xmlns:a="http://schemas.openxmlformats.org/drawingml/2006/main" flipV="1">
          <a:off x="754106" y="279916"/>
          <a:ext cx="0" cy="1253697"/>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0.24272</cdr:x>
      <cdr:y>0.02917</cdr:y>
    </cdr:from>
    <cdr:to>
      <cdr:x>0.24333</cdr:x>
      <cdr:y>0.48564</cdr:y>
    </cdr:to>
    <cdr:cxnSp macro="">
      <cdr:nvCxnSpPr>
        <cdr:cNvPr id="7" name="Přímá spojnice 6"/>
        <cdr:cNvCxnSpPr/>
      </cdr:nvCxnSpPr>
      <cdr:spPr>
        <a:xfrm xmlns:a="http://schemas.openxmlformats.org/drawingml/2006/main" flipH="1" flipV="1">
          <a:off x="1211543" y="106965"/>
          <a:ext cx="3053" cy="1673954"/>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0.19692</cdr:x>
      <cdr:y>0.15794</cdr:y>
    </cdr:from>
    <cdr:to>
      <cdr:x>0.19757</cdr:x>
      <cdr:y>0.47073</cdr:y>
    </cdr:to>
    <cdr:cxnSp macro="">
      <cdr:nvCxnSpPr>
        <cdr:cNvPr id="8" name="Přímá spojnice 7"/>
        <cdr:cNvCxnSpPr/>
      </cdr:nvCxnSpPr>
      <cdr:spPr>
        <a:xfrm xmlns:a="http://schemas.openxmlformats.org/drawingml/2006/main" flipV="1">
          <a:off x="982943" y="579170"/>
          <a:ext cx="3240" cy="1147045"/>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0.60815</cdr:x>
      <cdr:y>0.31737</cdr:y>
    </cdr:from>
    <cdr:to>
      <cdr:x>0.60826</cdr:x>
      <cdr:y>0.52643</cdr:y>
    </cdr:to>
    <cdr:cxnSp macro="">
      <cdr:nvCxnSpPr>
        <cdr:cNvPr id="9" name="Přímá spojnice 8"/>
        <cdr:cNvCxnSpPr/>
      </cdr:nvCxnSpPr>
      <cdr:spPr>
        <a:xfrm xmlns:a="http://schemas.openxmlformats.org/drawingml/2006/main" flipH="1" flipV="1">
          <a:off x="3029666" y="1165008"/>
          <a:ext cx="537" cy="767435"/>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0.47246</cdr:x>
      <cdr:y>0.34583</cdr:y>
    </cdr:from>
    <cdr:to>
      <cdr:x>0.47263</cdr:x>
      <cdr:y>0.51974</cdr:y>
    </cdr:to>
    <cdr:cxnSp macro="">
      <cdr:nvCxnSpPr>
        <cdr:cNvPr id="10" name="Přímá spojnice 9"/>
        <cdr:cNvCxnSpPr/>
      </cdr:nvCxnSpPr>
      <cdr:spPr>
        <a:xfrm xmlns:a="http://schemas.openxmlformats.org/drawingml/2006/main" flipH="1" flipV="1">
          <a:off x="2353698" y="1269475"/>
          <a:ext cx="822" cy="638401"/>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0.1058</cdr:x>
      <cdr:y>0.32203</cdr:y>
    </cdr:from>
    <cdr:to>
      <cdr:x>0.10651</cdr:x>
      <cdr:y>0.51009</cdr:y>
    </cdr:to>
    <cdr:cxnSp macro="">
      <cdr:nvCxnSpPr>
        <cdr:cNvPr id="11" name="Přímá spojnice 10"/>
        <cdr:cNvCxnSpPr/>
      </cdr:nvCxnSpPr>
      <cdr:spPr>
        <a:xfrm xmlns:a="http://schemas.openxmlformats.org/drawingml/2006/main" flipH="1" flipV="1">
          <a:off x="528125" y="1180908"/>
          <a:ext cx="3511" cy="689661"/>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0.28851</cdr:x>
      <cdr:y>0.2519</cdr:y>
    </cdr:from>
    <cdr:to>
      <cdr:x>0.28899</cdr:x>
      <cdr:y>0.47462</cdr:y>
    </cdr:to>
    <cdr:cxnSp macro="">
      <cdr:nvCxnSpPr>
        <cdr:cNvPr id="12" name="Přímá spojnice 11"/>
        <cdr:cNvCxnSpPr/>
      </cdr:nvCxnSpPr>
      <cdr:spPr>
        <a:xfrm xmlns:a="http://schemas.openxmlformats.org/drawingml/2006/main" flipH="1" flipV="1">
          <a:off x="1440143" y="923733"/>
          <a:ext cx="2382" cy="816769"/>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0.33476</cdr:x>
      <cdr:y>0.22332</cdr:y>
    </cdr:from>
    <cdr:to>
      <cdr:x>0.33479</cdr:x>
      <cdr:y>0.52192</cdr:y>
    </cdr:to>
    <cdr:cxnSp macro="">
      <cdr:nvCxnSpPr>
        <cdr:cNvPr id="13" name="Přímá spojnice 12"/>
        <cdr:cNvCxnSpPr/>
      </cdr:nvCxnSpPr>
      <cdr:spPr>
        <a:xfrm xmlns:a="http://schemas.openxmlformats.org/drawingml/2006/main" flipV="1">
          <a:off x="1670970" y="818958"/>
          <a:ext cx="155" cy="1094986"/>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0.38011</cdr:x>
      <cdr:y>0.11618</cdr:y>
    </cdr:from>
    <cdr:to>
      <cdr:x>0.38011</cdr:x>
      <cdr:y>0.47203</cdr:y>
    </cdr:to>
    <cdr:cxnSp macro="">
      <cdr:nvCxnSpPr>
        <cdr:cNvPr id="14" name="Přímá spojnice 13"/>
        <cdr:cNvCxnSpPr/>
      </cdr:nvCxnSpPr>
      <cdr:spPr>
        <a:xfrm xmlns:a="http://schemas.openxmlformats.org/drawingml/2006/main" flipV="1">
          <a:off x="1897343" y="426052"/>
          <a:ext cx="0" cy="1304925"/>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0.4259</cdr:x>
      <cdr:y>0.23242</cdr:y>
    </cdr:from>
    <cdr:to>
      <cdr:x>0.42638</cdr:x>
      <cdr:y>0.48631</cdr:y>
    </cdr:to>
    <cdr:cxnSp macro="">
      <cdr:nvCxnSpPr>
        <cdr:cNvPr id="15" name="Přímá spojnice 14"/>
        <cdr:cNvCxnSpPr/>
      </cdr:nvCxnSpPr>
      <cdr:spPr>
        <a:xfrm xmlns:a="http://schemas.openxmlformats.org/drawingml/2006/main" flipV="1">
          <a:off x="2125943" y="852296"/>
          <a:ext cx="2382" cy="931069"/>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0.65441</cdr:x>
      <cdr:y>0.1954</cdr:y>
    </cdr:from>
    <cdr:to>
      <cdr:x>0.65489</cdr:x>
      <cdr:y>0.51099</cdr:y>
    </cdr:to>
    <cdr:cxnSp macro="">
      <cdr:nvCxnSpPr>
        <cdr:cNvPr id="16" name="Přímá spojnice 15"/>
        <cdr:cNvCxnSpPr/>
      </cdr:nvCxnSpPr>
      <cdr:spPr>
        <a:xfrm xmlns:a="http://schemas.openxmlformats.org/drawingml/2006/main" flipV="1">
          <a:off x="3266562" y="716565"/>
          <a:ext cx="2382" cy="1157287"/>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0.69973</cdr:x>
      <cdr:y>0.27008</cdr:y>
    </cdr:from>
    <cdr:to>
      <cdr:x>0.69973</cdr:x>
      <cdr:y>0.52397</cdr:y>
    </cdr:to>
    <cdr:cxnSp macro="">
      <cdr:nvCxnSpPr>
        <cdr:cNvPr id="17" name="Přímá spojnice 16"/>
        <cdr:cNvCxnSpPr/>
      </cdr:nvCxnSpPr>
      <cdr:spPr>
        <a:xfrm xmlns:a="http://schemas.openxmlformats.org/drawingml/2006/main" flipV="1">
          <a:off x="3492781" y="990408"/>
          <a:ext cx="0" cy="931069"/>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0.74553</cdr:x>
      <cdr:y>0.25644</cdr:y>
    </cdr:from>
    <cdr:to>
      <cdr:x>0.74553</cdr:x>
      <cdr:y>0.51358</cdr:y>
    </cdr:to>
    <cdr:cxnSp macro="">
      <cdr:nvCxnSpPr>
        <cdr:cNvPr id="18" name="Přímá spojnice 17"/>
        <cdr:cNvCxnSpPr/>
      </cdr:nvCxnSpPr>
      <cdr:spPr>
        <a:xfrm xmlns:a="http://schemas.openxmlformats.org/drawingml/2006/main" flipH="1" flipV="1">
          <a:off x="3721381" y="940402"/>
          <a:ext cx="1" cy="942975"/>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0.79132</cdr:x>
      <cdr:y>0.31553</cdr:y>
    </cdr:from>
    <cdr:to>
      <cdr:x>0.7918</cdr:x>
      <cdr:y>0.52852</cdr:y>
    </cdr:to>
    <cdr:cxnSp macro="">
      <cdr:nvCxnSpPr>
        <cdr:cNvPr id="19" name="Přímá spojnice 18"/>
        <cdr:cNvCxnSpPr/>
      </cdr:nvCxnSpPr>
      <cdr:spPr>
        <a:xfrm xmlns:a="http://schemas.openxmlformats.org/drawingml/2006/main" flipH="1" flipV="1">
          <a:off x="3949982" y="1157097"/>
          <a:ext cx="2380" cy="781049"/>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0.83727</cdr:x>
      <cdr:y>0.17038</cdr:y>
    </cdr:from>
    <cdr:to>
      <cdr:x>0.83727</cdr:x>
      <cdr:y>0.51192</cdr:y>
    </cdr:to>
    <cdr:cxnSp macro="">
      <cdr:nvCxnSpPr>
        <cdr:cNvPr id="20" name="Přímá spojnice 19"/>
        <cdr:cNvCxnSpPr/>
      </cdr:nvCxnSpPr>
      <cdr:spPr>
        <a:xfrm xmlns:a="http://schemas.openxmlformats.org/drawingml/2006/main" flipV="1">
          <a:off x="4179334" y="624798"/>
          <a:ext cx="0" cy="1252466"/>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0.88274</cdr:x>
      <cdr:y>0.33501</cdr:y>
    </cdr:from>
    <cdr:to>
      <cdr:x>0.88339</cdr:x>
      <cdr:y>0.50693</cdr:y>
    </cdr:to>
    <cdr:cxnSp macro="">
      <cdr:nvCxnSpPr>
        <cdr:cNvPr id="21" name="Přímá spojnice 20"/>
        <cdr:cNvCxnSpPr/>
      </cdr:nvCxnSpPr>
      <cdr:spPr>
        <a:xfrm xmlns:a="http://schemas.openxmlformats.org/drawingml/2006/main" flipV="1">
          <a:off x="4406305" y="1228533"/>
          <a:ext cx="3257" cy="630427"/>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0.92869</cdr:x>
      <cdr:y>0.36748</cdr:y>
    </cdr:from>
    <cdr:to>
      <cdr:x>0.92871</cdr:x>
      <cdr:y>0.51752</cdr:y>
    </cdr:to>
    <cdr:cxnSp macro="">
      <cdr:nvCxnSpPr>
        <cdr:cNvPr id="22" name="Přímá spojnice 21"/>
        <cdr:cNvCxnSpPr/>
      </cdr:nvCxnSpPr>
      <cdr:spPr>
        <a:xfrm xmlns:a="http://schemas.openxmlformats.org/drawingml/2006/main" flipV="1">
          <a:off x="4635657" y="1347596"/>
          <a:ext cx="124" cy="550206"/>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0.5163</cdr:x>
      <cdr:y>0.0265</cdr:y>
    </cdr:from>
    <cdr:to>
      <cdr:x>0.51755</cdr:x>
      <cdr:y>0.43317</cdr:y>
    </cdr:to>
    <cdr:cxnSp macro="">
      <cdr:nvCxnSpPr>
        <cdr:cNvPr id="25" name="Přímá spojnice 24"/>
        <cdr:cNvCxnSpPr/>
      </cdr:nvCxnSpPr>
      <cdr:spPr>
        <a:xfrm xmlns:a="http://schemas.openxmlformats.org/drawingml/2006/main" flipV="1">
          <a:off x="2583098" y="97265"/>
          <a:ext cx="6269" cy="1492454"/>
        </a:xfrm>
        <a:prstGeom xmlns:a="http://schemas.openxmlformats.org/drawingml/2006/main" prst="line">
          <a:avLst/>
        </a:prstGeom>
        <a:ln xmlns:a="http://schemas.openxmlformats.org/drawingml/2006/main" w="3175">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B847F-E284-403A-891C-A1FA7C92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Anaýza ekonomického vývoje v roce 2017.dotx</Template>
  <TotalTime>1</TotalTime>
  <Pages>13</Pages>
  <Words>4708</Words>
  <Characters>27784</Characters>
  <Application>Microsoft Office Word</Application>
  <DocSecurity>0</DocSecurity>
  <Lines>231</Lines>
  <Paragraphs>64</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Company>CSU</Company>
  <LinksUpToDate>false</LinksUpToDate>
  <CharactersWithSpaces>32428</CharactersWithSpaces>
  <SharedDoc>false</SharedDoc>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Karolína Súkupová</dc:creator>
  <cp:lastModifiedBy>kamenicky3604</cp:lastModifiedBy>
  <cp:revision>3</cp:revision>
  <cp:lastPrinted>2014-07-17T14:07:00Z</cp:lastPrinted>
  <dcterms:created xsi:type="dcterms:W3CDTF">2019-09-11T12:32:00Z</dcterms:created>
  <dcterms:modified xsi:type="dcterms:W3CDTF">2019-09-11T12:33:00Z</dcterms:modified>
</cp:coreProperties>
</file>