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drawings/drawing7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C851A" w14:textId="5DEEB568" w:rsidR="00C86924" w:rsidRPr="00456552" w:rsidRDefault="00C86924" w:rsidP="00C86924">
      <w:pPr>
        <w:spacing w:after="120" w:line="288" w:lineRule="auto"/>
        <w:jc w:val="both"/>
        <w:rPr>
          <w:rFonts w:ascii="Arial" w:hAnsi="Arial" w:cs="Arial"/>
          <w:b/>
          <w:color w:val="009BB4"/>
          <w:sz w:val="32"/>
          <w:szCs w:val="32"/>
        </w:rPr>
      </w:pPr>
      <w:r w:rsidRPr="00456552">
        <w:rPr>
          <w:rFonts w:ascii="Arial" w:hAnsi="Arial" w:cs="Arial"/>
          <w:b/>
          <w:color w:val="009BB4"/>
          <w:sz w:val="32"/>
          <w:szCs w:val="32"/>
        </w:rPr>
        <w:t>Shrnutí základních údaj</w:t>
      </w:r>
      <w:r>
        <w:rPr>
          <w:rFonts w:ascii="Arial" w:hAnsi="Arial" w:cs="Arial"/>
          <w:b/>
          <w:color w:val="009BB4"/>
          <w:sz w:val="32"/>
          <w:szCs w:val="32"/>
        </w:rPr>
        <w:t>ů o výzkumu a vývoji za rok 2019</w:t>
      </w:r>
    </w:p>
    <w:p w14:paraId="032AF6AA" w14:textId="7422A34E" w:rsidR="00C86924" w:rsidRDefault="00C86924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Celkové v</w:t>
      </w:r>
      <w:r w:rsidRPr="007239ED">
        <w:rPr>
          <w:rFonts w:ascii="Arial" w:hAnsi="Arial" w:cs="Arial"/>
          <w:sz w:val="20"/>
          <w:szCs w:val="20"/>
        </w:rPr>
        <w:t xml:space="preserve">ýdaje na výzkum a vývoj (VaV) vynaložené na území ČR meziročně vzrostly o téměř </w:t>
      </w:r>
      <w:r>
        <w:rPr>
          <w:rFonts w:ascii="Arial" w:hAnsi="Arial" w:cs="Arial"/>
          <w:sz w:val="20"/>
          <w:szCs w:val="20"/>
        </w:rPr>
        <w:t>9</w:t>
      </w:r>
      <w:r w:rsidRPr="007239ED">
        <w:rPr>
          <w:rFonts w:ascii="Arial" w:hAnsi="Arial" w:cs="Arial"/>
          <w:sz w:val="20"/>
          <w:szCs w:val="20"/>
        </w:rPr>
        <w:t xml:space="preserve"> % a v roce 201</w:t>
      </w:r>
      <w:r>
        <w:rPr>
          <w:rFonts w:ascii="Arial" w:hAnsi="Arial" w:cs="Arial"/>
          <w:sz w:val="20"/>
          <w:szCs w:val="20"/>
        </w:rPr>
        <w:t>9</w:t>
      </w:r>
      <w:r w:rsidRPr="007239ED">
        <w:rPr>
          <w:rFonts w:ascii="Arial" w:hAnsi="Arial" w:cs="Arial"/>
          <w:sz w:val="20"/>
          <w:szCs w:val="20"/>
        </w:rPr>
        <w:t xml:space="preserve"> dosáhly </w:t>
      </w:r>
      <w:r>
        <w:rPr>
          <w:rFonts w:ascii="Arial" w:hAnsi="Arial" w:cs="Arial"/>
          <w:sz w:val="20"/>
          <w:szCs w:val="20"/>
        </w:rPr>
        <w:t>rekordní hodnoty</w:t>
      </w:r>
      <w:r w:rsidRPr="007239ED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11</w:t>
      </w:r>
      <w:r w:rsidRPr="007239E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</w:t>
      </w:r>
      <w:r w:rsidRPr="007239ED">
        <w:rPr>
          <w:rFonts w:ascii="Arial" w:hAnsi="Arial" w:cs="Arial"/>
          <w:sz w:val="20"/>
          <w:szCs w:val="20"/>
        </w:rPr>
        <w:t xml:space="preserve"> mld. Kč. </w:t>
      </w:r>
      <w:r w:rsidR="009A3C0B">
        <w:rPr>
          <w:rFonts w:ascii="Arial" w:hAnsi="Arial" w:cs="Arial"/>
          <w:sz w:val="20"/>
          <w:szCs w:val="20"/>
        </w:rPr>
        <w:t>Výdaj</w:t>
      </w:r>
      <w:r w:rsidR="00570751">
        <w:rPr>
          <w:rFonts w:ascii="Arial" w:hAnsi="Arial" w:cs="Arial"/>
          <w:sz w:val="20"/>
          <w:szCs w:val="20"/>
        </w:rPr>
        <w:t>e</w:t>
      </w:r>
      <w:r w:rsidR="009A3C0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9A3C0B">
        <w:rPr>
          <w:rFonts w:ascii="Arial" w:hAnsi="Arial" w:cs="Arial"/>
          <w:sz w:val="20"/>
          <w:szCs w:val="20"/>
        </w:rPr>
        <w:t>VaV</w:t>
      </w:r>
      <w:proofErr w:type="spellEnd"/>
      <w:r w:rsidR="009A3C0B">
        <w:rPr>
          <w:rFonts w:ascii="Arial" w:hAnsi="Arial" w:cs="Arial"/>
          <w:sz w:val="20"/>
          <w:szCs w:val="20"/>
        </w:rPr>
        <w:t xml:space="preserve"> výrazně rostly již třetí rok v řadě. </w:t>
      </w:r>
      <w:r>
        <w:rPr>
          <w:rFonts w:ascii="Arial" w:hAnsi="Arial" w:cs="Arial"/>
          <w:sz w:val="20"/>
          <w:szCs w:val="20"/>
        </w:rPr>
        <w:t xml:space="preserve"> Ve srovnání s rokem 2016 se výdaje na VaV u nás navýšily o přibližně 30 mld. Kč. Drobný </w:t>
      </w:r>
      <w:r w:rsidR="00603AB1">
        <w:rPr>
          <w:rFonts w:ascii="Arial" w:hAnsi="Arial" w:cs="Arial"/>
          <w:sz w:val="20"/>
          <w:szCs w:val="20"/>
        </w:rPr>
        <w:t>nárůst</w:t>
      </w:r>
      <w:r>
        <w:rPr>
          <w:rFonts w:ascii="Arial" w:hAnsi="Arial" w:cs="Arial"/>
          <w:sz w:val="20"/>
          <w:szCs w:val="20"/>
        </w:rPr>
        <w:t xml:space="preserve"> </w:t>
      </w:r>
      <w:r w:rsidR="00603AB1">
        <w:rPr>
          <w:rFonts w:ascii="Arial" w:hAnsi="Arial" w:cs="Arial"/>
          <w:sz w:val="20"/>
          <w:szCs w:val="20"/>
        </w:rPr>
        <w:t xml:space="preserve">(0,04 </w:t>
      </w:r>
      <w:proofErr w:type="spellStart"/>
      <w:r w:rsidR="00603AB1">
        <w:rPr>
          <w:rFonts w:ascii="Arial" w:hAnsi="Arial" w:cs="Arial"/>
          <w:sz w:val="20"/>
          <w:szCs w:val="20"/>
        </w:rPr>
        <w:t>p.b</w:t>
      </w:r>
      <w:proofErr w:type="spellEnd"/>
      <w:r w:rsidR="00603AB1">
        <w:rPr>
          <w:rFonts w:ascii="Arial" w:hAnsi="Arial" w:cs="Arial"/>
          <w:sz w:val="20"/>
          <w:szCs w:val="20"/>
        </w:rPr>
        <w:t xml:space="preserve">.) </w:t>
      </w:r>
      <w:r>
        <w:rPr>
          <w:rFonts w:ascii="Arial" w:hAnsi="Arial" w:cs="Arial"/>
          <w:sz w:val="20"/>
          <w:szCs w:val="20"/>
        </w:rPr>
        <w:t xml:space="preserve">byl zaznamenán v mezinárodně nejsledovanějším ukazateli </w:t>
      </w:r>
      <w:r w:rsidR="009A3C0B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ve vztahu k HDP</w:t>
      </w:r>
      <w:r w:rsidRPr="007239ED">
        <w:rPr>
          <w:rFonts w:ascii="Arial" w:hAnsi="Arial" w:cs="Arial"/>
          <w:sz w:val="20"/>
          <w:szCs w:val="20"/>
        </w:rPr>
        <w:t>. V roce 201</w:t>
      </w:r>
      <w:r>
        <w:rPr>
          <w:rFonts w:ascii="Arial" w:hAnsi="Arial" w:cs="Arial"/>
          <w:sz w:val="20"/>
          <w:szCs w:val="20"/>
        </w:rPr>
        <w:t>9</w:t>
      </w:r>
      <w:r w:rsidRPr="007239ED">
        <w:rPr>
          <w:rFonts w:ascii="Arial" w:hAnsi="Arial" w:cs="Arial"/>
          <w:sz w:val="20"/>
          <w:szCs w:val="20"/>
        </w:rPr>
        <w:t xml:space="preserve"> </w:t>
      </w:r>
      <w:r w:rsidR="00603AB1">
        <w:rPr>
          <w:rFonts w:ascii="Arial" w:hAnsi="Arial" w:cs="Arial"/>
          <w:sz w:val="20"/>
          <w:szCs w:val="20"/>
        </w:rPr>
        <w:t xml:space="preserve">činil </w:t>
      </w:r>
      <w:r w:rsidRPr="007239ED">
        <w:rPr>
          <w:rFonts w:ascii="Arial" w:hAnsi="Arial" w:cs="Arial"/>
          <w:sz w:val="20"/>
          <w:szCs w:val="20"/>
        </w:rPr>
        <w:t>tento podíl v Česku 1,9</w:t>
      </w:r>
      <w:r>
        <w:rPr>
          <w:rFonts w:ascii="Arial" w:hAnsi="Arial" w:cs="Arial"/>
          <w:sz w:val="20"/>
          <w:szCs w:val="20"/>
        </w:rPr>
        <w:t>4</w:t>
      </w:r>
      <w:r w:rsidRPr="007239ED">
        <w:rPr>
          <w:rFonts w:ascii="Arial" w:hAnsi="Arial" w:cs="Arial"/>
          <w:sz w:val="20"/>
          <w:szCs w:val="20"/>
        </w:rPr>
        <w:t xml:space="preserve"> %, </w:t>
      </w:r>
      <w:r w:rsidR="00603AB1">
        <w:rPr>
          <w:rFonts w:ascii="Arial" w:hAnsi="Arial" w:cs="Arial"/>
          <w:sz w:val="20"/>
          <w:szCs w:val="20"/>
        </w:rPr>
        <w:t>čímž</w:t>
      </w:r>
      <w:r w:rsidRPr="007239ED">
        <w:rPr>
          <w:rFonts w:ascii="Arial" w:hAnsi="Arial" w:cs="Arial"/>
          <w:sz w:val="20"/>
          <w:szCs w:val="20"/>
        </w:rPr>
        <w:t xml:space="preserve"> jsme</w:t>
      </w:r>
      <w:r>
        <w:rPr>
          <w:rFonts w:ascii="Arial" w:hAnsi="Arial" w:cs="Arial"/>
          <w:sz w:val="20"/>
          <w:szCs w:val="20"/>
        </w:rPr>
        <w:t xml:space="preserve"> se</w:t>
      </w:r>
      <w:r w:rsidRPr="007239ED">
        <w:rPr>
          <w:rFonts w:ascii="Arial" w:hAnsi="Arial" w:cs="Arial"/>
          <w:sz w:val="20"/>
          <w:szCs w:val="20"/>
        </w:rPr>
        <w:t xml:space="preserve"> </w:t>
      </w:r>
      <w:r w:rsidR="00DB4778">
        <w:rPr>
          <w:rFonts w:ascii="Arial" w:hAnsi="Arial" w:cs="Arial"/>
          <w:sz w:val="20"/>
          <w:szCs w:val="20"/>
        </w:rPr>
        <w:t>přiblížil</w:t>
      </w:r>
      <w:r w:rsidRPr="007239ED">
        <w:rPr>
          <w:rFonts w:ascii="Arial" w:hAnsi="Arial" w:cs="Arial"/>
          <w:sz w:val="20"/>
          <w:szCs w:val="20"/>
        </w:rPr>
        <w:t>i rekord</w:t>
      </w:r>
      <w:r w:rsidR="00DB4778">
        <w:rPr>
          <w:rFonts w:ascii="Arial" w:hAnsi="Arial" w:cs="Arial"/>
          <w:sz w:val="20"/>
          <w:szCs w:val="20"/>
        </w:rPr>
        <w:t>u</w:t>
      </w:r>
      <w:r w:rsidRPr="007239ED">
        <w:rPr>
          <w:rFonts w:ascii="Arial" w:hAnsi="Arial" w:cs="Arial"/>
          <w:sz w:val="20"/>
          <w:szCs w:val="20"/>
        </w:rPr>
        <w:t xml:space="preserve"> </w:t>
      </w:r>
      <w:r w:rsidR="00DB4778">
        <w:rPr>
          <w:rFonts w:ascii="Arial" w:hAnsi="Arial" w:cs="Arial"/>
          <w:sz w:val="20"/>
          <w:szCs w:val="20"/>
        </w:rPr>
        <w:t>z roku</w:t>
      </w:r>
      <w:r w:rsidRPr="007239ED">
        <w:rPr>
          <w:rFonts w:ascii="Arial" w:hAnsi="Arial" w:cs="Arial"/>
          <w:sz w:val="20"/>
          <w:szCs w:val="20"/>
        </w:rPr>
        <w:t xml:space="preserve"> </w:t>
      </w:r>
      <w:r w:rsidR="00DB4778">
        <w:rPr>
          <w:rFonts w:ascii="Arial" w:hAnsi="Arial" w:cs="Arial"/>
          <w:sz w:val="20"/>
          <w:szCs w:val="20"/>
        </w:rPr>
        <w:t>2014</w:t>
      </w:r>
      <w:r w:rsidRPr="007239ED">
        <w:rPr>
          <w:rFonts w:ascii="Arial" w:hAnsi="Arial" w:cs="Arial"/>
          <w:sz w:val="20"/>
          <w:szCs w:val="20"/>
        </w:rPr>
        <w:t>, kdy byl</w:t>
      </w:r>
      <w:r w:rsidR="00603AB1">
        <w:rPr>
          <w:rFonts w:ascii="Arial" w:hAnsi="Arial" w:cs="Arial"/>
          <w:sz w:val="20"/>
          <w:szCs w:val="20"/>
        </w:rPr>
        <w:t>a jeho hodnota</w:t>
      </w:r>
      <w:r w:rsidRPr="007239ED">
        <w:rPr>
          <w:rFonts w:ascii="Arial" w:hAnsi="Arial" w:cs="Arial"/>
          <w:sz w:val="20"/>
          <w:szCs w:val="20"/>
        </w:rPr>
        <w:t xml:space="preserve"> 1,9</w:t>
      </w:r>
      <w:r w:rsidR="00DB4778">
        <w:rPr>
          <w:rFonts w:ascii="Arial" w:hAnsi="Arial" w:cs="Arial"/>
          <w:sz w:val="20"/>
          <w:szCs w:val="20"/>
        </w:rPr>
        <w:t>6</w:t>
      </w:r>
      <w:r w:rsidRPr="007239ED">
        <w:rPr>
          <w:rFonts w:ascii="Arial" w:hAnsi="Arial" w:cs="Arial"/>
          <w:sz w:val="20"/>
          <w:szCs w:val="20"/>
        </w:rPr>
        <w:t xml:space="preserve"> % HDP</w:t>
      </w:r>
      <w:r w:rsidR="00DB4778">
        <w:rPr>
          <w:rFonts w:ascii="Arial" w:hAnsi="Arial" w:cs="Arial"/>
          <w:sz w:val="20"/>
          <w:szCs w:val="20"/>
        </w:rPr>
        <w:t>. V letech 2013–2015 se na vysokém podílu výdajů na VaV na HDP</w:t>
      </w:r>
      <w:r w:rsidRPr="007239ED">
        <w:rPr>
          <w:rFonts w:ascii="Arial" w:hAnsi="Arial" w:cs="Arial"/>
          <w:sz w:val="20"/>
          <w:szCs w:val="20"/>
        </w:rPr>
        <w:t xml:space="preserve"> </w:t>
      </w:r>
      <w:r w:rsidR="00DB4778">
        <w:rPr>
          <w:rFonts w:ascii="Arial" w:hAnsi="Arial" w:cs="Arial"/>
          <w:sz w:val="20"/>
          <w:szCs w:val="20"/>
        </w:rPr>
        <w:t>výrazn</w:t>
      </w:r>
      <w:r w:rsidR="00EF4D30">
        <w:rPr>
          <w:rFonts w:ascii="Arial" w:hAnsi="Arial" w:cs="Arial"/>
          <w:sz w:val="20"/>
          <w:szCs w:val="20"/>
        </w:rPr>
        <w:t>ě</w:t>
      </w:r>
      <w:r w:rsidR="00DB4778">
        <w:rPr>
          <w:rFonts w:ascii="Arial" w:hAnsi="Arial" w:cs="Arial"/>
          <w:sz w:val="20"/>
          <w:szCs w:val="20"/>
        </w:rPr>
        <w:t xml:space="preserve"> zasloužil</w:t>
      </w:r>
      <w:r w:rsidRPr="007239ED">
        <w:rPr>
          <w:rFonts w:ascii="Arial" w:hAnsi="Arial" w:cs="Arial"/>
          <w:sz w:val="20"/>
          <w:szCs w:val="20"/>
        </w:rPr>
        <w:t>o intenzivní čerpání prostředků z EU určených na podporu VaV.</w:t>
      </w:r>
    </w:p>
    <w:p w14:paraId="065CED86" w14:textId="5EC9FC20" w:rsidR="00C86924" w:rsidRDefault="008755C4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Oproti roku 2018 meziročně vzrostly všechny hlavní zdroje financování VaV</w:t>
      </w:r>
      <w:r w:rsidR="00EF4D30">
        <w:rPr>
          <w:rFonts w:ascii="Arial" w:hAnsi="Arial" w:cs="Arial"/>
          <w:sz w:val="20"/>
          <w:szCs w:val="20"/>
        </w:rPr>
        <w:t>. Nejvýznamnějším zdrojem jsou v</w:t>
      </w:r>
      <w:r w:rsidR="00A67169">
        <w:rPr>
          <w:rFonts w:ascii="Arial" w:hAnsi="Arial" w:cs="Arial"/>
          <w:sz w:val="20"/>
          <w:szCs w:val="20"/>
        </w:rPr>
        <w:t> </w:t>
      </w:r>
      <w:r w:rsidR="00EF4D30">
        <w:rPr>
          <w:rFonts w:ascii="Arial" w:hAnsi="Arial" w:cs="Arial"/>
          <w:sz w:val="20"/>
          <w:szCs w:val="20"/>
        </w:rPr>
        <w:t>Česku</w:t>
      </w:r>
      <w:r w:rsidR="00A671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obdobně jako ve všech rozvinutých státech světa</w:t>
      </w:r>
      <w:r w:rsidR="00A671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prostředky pocházející od podniků, které u nás tvoří necelých 60 %</w:t>
      </w:r>
      <w:r w:rsidR="008813FE">
        <w:rPr>
          <w:rFonts w:ascii="Arial" w:hAnsi="Arial" w:cs="Arial"/>
          <w:sz w:val="20"/>
          <w:szCs w:val="20"/>
        </w:rPr>
        <w:t xml:space="preserve"> celkových výdajů na VaV. V roce 2019 to bylo 64,7 mld. Kč, což se rovnalo 58 % celkových výdajů na VaV. Poprvé tak podnikové zdroje překonaly hranici 60 mld. Kč</w:t>
      </w:r>
      <w:r w:rsidR="00A67169">
        <w:rPr>
          <w:rFonts w:ascii="Arial" w:hAnsi="Arial" w:cs="Arial"/>
          <w:sz w:val="20"/>
          <w:szCs w:val="20"/>
        </w:rPr>
        <w:t xml:space="preserve"> a</w:t>
      </w:r>
      <w:r w:rsidR="008813FE">
        <w:rPr>
          <w:rFonts w:ascii="Arial" w:hAnsi="Arial" w:cs="Arial"/>
          <w:sz w:val="20"/>
          <w:szCs w:val="20"/>
        </w:rPr>
        <w:t xml:space="preserve"> meziročně se navýšily o téměř 5 mld</w:t>
      </w:r>
      <w:r w:rsidR="00EF4D30">
        <w:rPr>
          <w:rFonts w:ascii="Arial" w:hAnsi="Arial" w:cs="Arial"/>
          <w:sz w:val="20"/>
          <w:szCs w:val="20"/>
        </w:rPr>
        <w:t>. Kč. Podnikové zdroje směřovaly</w:t>
      </w:r>
      <w:r w:rsidR="008813FE">
        <w:rPr>
          <w:rFonts w:ascii="Arial" w:hAnsi="Arial" w:cs="Arial"/>
          <w:sz w:val="20"/>
          <w:szCs w:val="20"/>
        </w:rPr>
        <w:t xml:space="preserve"> z více než 95 % do vlastního vnitropodnikového </w:t>
      </w:r>
      <w:r w:rsidR="00A67169">
        <w:rPr>
          <w:rFonts w:ascii="Arial" w:hAnsi="Arial" w:cs="Arial"/>
          <w:sz w:val="20"/>
          <w:szCs w:val="20"/>
        </w:rPr>
        <w:t>výzkumu</w:t>
      </w:r>
      <w:r w:rsidR="008813FE">
        <w:rPr>
          <w:rFonts w:ascii="Arial" w:hAnsi="Arial" w:cs="Arial"/>
          <w:sz w:val="20"/>
          <w:szCs w:val="20"/>
        </w:rPr>
        <w:t>. Přibližně 1 mld. Kč vynaložily podniky na VaV prováděný ve vysokoškolském sektoru</w:t>
      </w:r>
      <w:r w:rsidR="00A67169">
        <w:rPr>
          <w:rFonts w:ascii="Arial" w:hAnsi="Arial" w:cs="Arial"/>
          <w:sz w:val="20"/>
          <w:szCs w:val="20"/>
        </w:rPr>
        <w:t xml:space="preserve"> a</w:t>
      </w:r>
      <w:r w:rsidR="008813FE">
        <w:rPr>
          <w:rFonts w:ascii="Arial" w:hAnsi="Arial" w:cs="Arial"/>
          <w:sz w:val="20"/>
          <w:szCs w:val="20"/>
        </w:rPr>
        <w:t xml:space="preserve"> 1,4 mld. Kč šlo od podniků do vládního sektoru. </w:t>
      </w:r>
      <w:r w:rsidR="00570751">
        <w:rPr>
          <w:rFonts w:ascii="Arial" w:hAnsi="Arial" w:cs="Arial"/>
          <w:sz w:val="20"/>
          <w:szCs w:val="20"/>
        </w:rPr>
        <w:t>P</w:t>
      </w:r>
      <w:r w:rsidR="00570751">
        <w:rPr>
          <w:rFonts w:ascii="Arial" w:hAnsi="Arial" w:cs="Arial"/>
          <w:sz w:val="20"/>
          <w:szCs w:val="20"/>
        </w:rPr>
        <w:t>odnikové zdroje vynaložené</w:t>
      </w:r>
      <w:r w:rsidR="00570751">
        <w:rPr>
          <w:rFonts w:ascii="Arial" w:hAnsi="Arial" w:cs="Arial"/>
          <w:sz w:val="20"/>
          <w:szCs w:val="20"/>
        </w:rPr>
        <w:t xml:space="preserve"> </w:t>
      </w:r>
      <w:r w:rsidR="00570751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570751">
        <w:rPr>
          <w:rFonts w:ascii="Arial" w:hAnsi="Arial" w:cs="Arial"/>
          <w:sz w:val="20"/>
          <w:szCs w:val="20"/>
        </w:rPr>
        <w:t>VaV</w:t>
      </w:r>
      <w:proofErr w:type="spellEnd"/>
      <w:r w:rsidR="00570751">
        <w:rPr>
          <w:rFonts w:ascii="Arial" w:hAnsi="Arial" w:cs="Arial"/>
          <w:sz w:val="20"/>
          <w:szCs w:val="20"/>
        </w:rPr>
        <w:t xml:space="preserve"> </w:t>
      </w:r>
      <w:r w:rsidR="008813FE">
        <w:rPr>
          <w:rFonts w:ascii="Arial" w:hAnsi="Arial" w:cs="Arial"/>
          <w:sz w:val="20"/>
          <w:szCs w:val="20"/>
        </w:rPr>
        <w:t xml:space="preserve">ve vládním a vysokoškolském sektoru celkem tak tvořily přibližně 4 % celkových podnikových výdajů na </w:t>
      </w:r>
      <w:proofErr w:type="spellStart"/>
      <w:r w:rsidR="008813FE">
        <w:rPr>
          <w:rFonts w:ascii="Arial" w:hAnsi="Arial" w:cs="Arial"/>
          <w:sz w:val="20"/>
          <w:szCs w:val="20"/>
        </w:rPr>
        <w:t>VaV</w:t>
      </w:r>
      <w:proofErr w:type="spellEnd"/>
      <w:r w:rsidR="008813FE">
        <w:rPr>
          <w:rFonts w:ascii="Arial" w:hAnsi="Arial" w:cs="Arial"/>
          <w:sz w:val="20"/>
          <w:szCs w:val="20"/>
        </w:rPr>
        <w:t>.</w:t>
      </w:r>
    </w:p>
    <w:p w14:paraId="15565C30" w14:textId="0E55F7A4" w:rsidR="008813FE" w:rsidRDefault="004A402C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C8A2B73" wp14:editId="424A24D9">
            <wp:extent cx="6120000" cy="38100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075B10">
        <w:rPr>
          <w:rFonts w:ascii="Arial" w:hAnsi="Arial" w:cs="Arial"/>
          <w:sz w:val="20"/>
          <w:szCs w:val="20"/>
        </w:rPr>
        <w:t xml:space="preserve">V letech 2014–2016 se veřejné domácí výdaje na VaV každoročně pohybovaly v rozmezí 28 a 29 mld. Kč. Poté začal český stát </w:t>
      </w:r>
      <w:r w:rsidR="00EF4D30">
        <w:rPr>
          <w:rFonts w:ascii="Arial" w:hAnsi="Arial" w:cs="Arial"/>
          <w:sz w:val="20"/>
          <w:szCs w:val="20"/>
        </w:rPr>
        <w:t>navyšovat prostředky</w:t>
      </w:r>
      <w:r w:rsidR="00075B10">
        <w:rPr>
          <w:rFonts w:ascii="Arial" w:hAnsi="Arial" w:cs="Arial"/>
          <w:sz w:val="20"/>
          <w:szCs w:val="20"/>
        </w:rPr>
        <w:t xml:space="preserve"> na výzkumnou činnost. V roce 2017 </w:t>
      </w:r>
      <w:r w:rsidR="00EF4D30">
        <w:rPr>
          <w:rFonts w:ascii="Arial" w:hAnsi="Arial" w:cs="Arial"/>
          <w:sz w:val="20"/>
          <w:szCs w:val="20"/>
        </w:rPr>
        <w:t xml:space="preserve">poprvé </w:t>
      </w:r>
      <w:r w:rsidR="00075B10">
        <w:rPr>
          <w:rFonts w:ascii="Arial" w:hAnsi="Arial" w:cs="Arial"/>
          <w:sz w:val="20"/>
          <w:szCs w:val="20"/>
        </w:rPr>
        <w:t>překona</w:t>
      </w:r>
      <w:r w:rsidR="00EF4D30">
        <w:rPr>
          <w:rFonts w:ascii="Arial" w:hAnsi="Arial" w:cs="Arial"/>
          <w:sz w:val="20"/>
          <w:szCs w:val="20"/>
        </w:rPr>
        <w:t>ly veřejné domácí výdaje hranici</w:t>
      </w:r>
      <w:r w:rsidR="00075B10">
        <w:rPr>
          <w:rFonts w:ascii="Arial" w:hAnsi="Arial" w:cs="Arial"/>
          <w:sz w:val="20"/>
          <w:szCs w:val="20"/>
        </w:rPr>
        <w:t xml:space="preserve"> 30 mld. Kč (celkem 31,2 mld. Kč),</w:t>
      </w:r>
      <w:r w:rsidR="00EF4D30">
        <w:rPr>
          <w:rFonts w:ascii="Arial" w:hAnsi="Arial" w:cs="Arial"/>
          <w:sz w:val="20"/>
          <w:szCs w:val="20"/>
        </w:rPr>
        <w:t xml:space="preserve"> v roce 2018 následovalo další na</w:t>
      </w:r>
      <w:r w:rsidR="00075B10">
        <w:rPr>
          <w:rFonts w:ascii="Arial" w:hAnsi="Arial" w:cs="Arial"/>
          <w:sz w:val="20"/>
          <w:szCs w:val="20"/>
        </w:rPr>
        <w:t xml:space="preserve">výšení na 35 mld. Kč. Výrazný růst pokračoval i nadále a v roce 2019 dosáhly veřejné domácí výdaje na </w:t>
      </w:r>
      <w:proofErr w:type="spellStart"/>
      <w:r w:rsidR="00075B10">
        <w:rPr>
          <w:rFonts w:ascii="Arial" w:hAnsi="Arial" w:cs="Arial"/>
          <w:sz w:val="20"/>
          <w:szCs w:val="20"/>
        </w:rPr>
        <w:t>VaV</w:t>
      </w:r>
      <w:proofErr w:type="spellEnd"/>
      <w:r w:rsidR="00075B10">
        <w:rPr>
          <w:rFonts w:ascii="Arial" w:hAnsi="Arial" w:cs="Arial"/>
          <w:sz w:val="20"/>
          <w:szCs w:val="20"/>
        </w:rPr>
        <w:t xml:space="preserve"> rekordních 37,</w:t>
      </w:r>
      <w:r w:rsidR="0085129A">
        <w:rPr>
          <w:rFonts w:ascii="Arial" w:hAnsi="Arial" w:cs="Arial"/>
          <w:sz w:val="20"/>
          <w:szCs w:val="20"/>
        </w:rPr>
        <w:t>6 </w:t>
      </w:r>
      <w:r w:rsidR="00075B10">
        <w:rPr>
          <w:rFonts w:ascii="Arial" w:hAnsi="Arial" w:cs="Arial"/>
          <w:sz w:val="20"/>
          <w:szCs w:val="20"/>
        </w:rPr>
        <w:t>mld. Kč. V rámci celkových výdajů na VaV v Česku připadala v roce 2019 na veřejné domácí zdroje jedna třetina. Dlouhodobě více než 85 % státních prostředků směřuje na podporu veřejného výzkumu. V roce 2019 český stát podpořil VaV ve vládním sektoru souhrnnou částkou 14,6 mld. Kč (39 % veřejných domácích výdajů na VaV). Více peněz posílá český stát do vysokoškolského výzkumu, v roce 2019 to bylo 18,</w:t>
      </w:r>
      <w:r w:rsidR="00610BC8">
        <w:rPr>
          <w:rFonts w:ascii="Arial" w:hAnsi="Arial" w:cs="Arial"/>
          <w:sz w:val="20"/>
          <w:szCs w:val="20"/>
        </w:rPr>
        <w:t>2 </w:t>
      </w:r>
      <w:r w:rsidR="00075B10">
        <w:rPr>
          <w:rFonts w:ascii="Arial" w:hAnsi="Arial" w:cs="Arial"/>
          <w:sz w:val="20"/>
          <w:szCs w:val="20"/>
        </w:rPr>
        <w:t>mld</w:t>
      </w:r>
      <w:r w:rsidR="00610BC8">
        <w:rPr>
          <w:rFonts w:ascii="Arial" w:hAnsi="Arial" w:cs="Arial"/>
          <w:sz w:val="20"/>
          <w:szCs w:val="20"/>
        </w:rPr>
        <w:t>. </w:t>
      </w:r>
      <w:r w:rsidR="00075B10">
        <w:rPr>
          <w:rFonts w:ascii="Arial" w:hAnsi="Arial" w:cs="Arial"/>
          <w:sz w:val="20"/>
          <w:szCs w:val="20"/>
        </w:rPr>
        <w:t>Kč (48 % veřejných domácích výdajů na VaV).</w:t>
      </w:r>
      <w:r w:rsidR="00377888">
        <w:rPr>
          <w:rFonts w:ascii="Arial" w:hAnsi="Arial" w:cs="Arial"/>
          <w:sz w:val="20"/>
          <w:szCs w:val="20"/>
        </w:rPr>
        <w:t xml:space="preserve"> Podpora podnikového výzkumu se meziročně navýšila </w:t>
      </w:r>
      <w:r w:rsidR="00570751">
        <w:rPr>
          <w:rFonts w:ascii="Arial" w:hAnsi="Arial" w:cs="Arial"/>
          <w:sz w:val="20"/>
          <w:szCs w:val="20"/>
        </w:rPr>
        <w:t xml:space="preserve">o 0,2 mld. Kč </w:t>
      </w:r>
      <w:r w:rsidR="00377888">
        <w:rPr>
          <w:rFonts w:ascii="Arial" w:hAnsi="Arial" w:cs="Arial"/>
          <w:sz w:val="20"/>
          <w:szCs w:val="20"/>
        </w:rPr>
        <w:t>na 4,7 mld. Kč (12 % veřejných domácích výdajů na VaV).</w:t>
      </w:r>
    </w:p>
    <w:p w14:paraId="5E38A805" w14:textId="2D830E1B" w:rsidR="00377888" w:rsidRDefault="00377888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Veřejné zahraniční zdroje tvořené zejména tzv. strukturálními fondy EU dosáhly svého vrcholu v letech 2012–2015. Během těchto čtyř let přiteklo</w:t>
      </w:r>
      <w:r w:rsidR="00EF4D30">
        <w:rPr>
          <w:rFonts w:ascii="Arial" w:hAnsi="Arial" w:cs="Arial"/>
          <w:sz w:val="20"/>
          <w:szCs w:val="20"/>
        </w:rPr>
        <w:t xml:space="preserve"> z veřejných zahraničních zdrojů</w:t>
      </w:r>
      <w:r>
        <w:rPr>
          <w:rFonts w:ascii="Arial" w:hAnsi="Arial" w:cs="Arial"/>
          <w:sz w:val="20"/>
          <w:szCs w:val="20"/>
        </w:rPr>
        <w:t xml:space="preserve"> do českého výzkumu 51 mld. Kč, průměrně tedy téměř 13 mld. Kč za </w:t>
      </w:r>
      <w:r w:rsidR="00570751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>. Jednalo se převážně o</w:t>
      </w:r>
      <w:r w:rsidR="00EF4D30">
        <w:rPr>
          <w:rFonts w:ascii="Arial" w:hAnsi="Arial" w:cs="Arial"/>
          <w:sz w:val="20"/>
          <w:szCs w:val="20"/>
        </w:rPr>
        <w:t xml:space="preserve"> zdroje EU </w:t>
      </w:r>
      <w:r>
        <w:rPr>
          <w:rFonts w:ascii="Arial" w:hAnsi="Arial" w:cs="Arial"/>
          <w:sz w:val="20"/>
          <w:szCs w:val="20"/>
        </w:rPr>
        <w:t>z programového období 2007–2013. které se čerpaly a</w:t>
      </w:r>
      <w:r w:rsidR="00EF4D30">
        <w:rPr>
          <w:rFonts w:ascii="Arial" w:hAnsi="Arial" w:cs="Arial"/>
          <w:sz w:val="20"/>
          <w:szCs w:val="20"/>
        </w:rPr>
        <w:t>ž do roku 2015. N</w:t>
      </w:r>
      <w:r>
        <w:rPr>
          <w:rFonts w:ascii="Arial" w:hAnsi="Arial" w:cs="Arial"/>
          <w:sz w:val="20"/>
          <w:szCs w:val="20"/>
        </w:rPr>
        <w:t>ejvětší</w:t>
      </w:r>
      <w:r w:rsidR="00CF22CC">
        <w:rPr>
          <w:rFonts w:ascii="Arial" w:hAnsi="Arial" w:cs="Arial"/>
          <w:sz w:val="20"/>
          <w:szCs w:val="20"/>
        </w:rPr>
        <w:t xml:space="preserve"> část </w:t>
      </w:r>
      <w:r w:rsidR="003579D3">
        <w:rPr>
          <w:rFonts w:ascii="Arial" w:hAnsi="Arial" w:cs="Arial"/>
          <w:sz w:val="20"/>
          <w:szCs w:val="20"/>
        </w:rPr>
        <w:t>z těchto prostředků byla použit</w:t>
      </w:r>
      <w:r w:rsidR="00CF22CC">
        <w:rPr>
          <w:rFonts w:ascii="Arial" w:hAnsi="Arial" w:cs="Arial"/>
          <w:sz w:val="20"/>
          <w:szCs w:val="20"/>
        </w:rPr>
        <w:t xml:space="preserve">a na výstavbu </w:t>
      </w:r>
      <w:r>
        <w:rPr>
          <w:rFonts w:ascii="Arial" w:hAnsi="Arial" w:cs="Arial"/>
          <w:sz w:val="20"/>
          <w:szCs w:val="20"/>
        </w:rPr>
        <w:t>nových výzkumných infrastruktur. S koncem jednoho programového období a velmi po</w:t>
      </w:r>
      <w:r w:rsidR="00CF22CC">
        <w:rPr>
          <w:rFonts w:ascii="Arial" w:hAnsi="Arial" w:cs="Arial"/>
          <w:sz w:val="20"/>
          <w:szCs w:val="20"/>
        </w:rPr>
        <w:t>zvolným nástupem čerpání prost</w:t>
      </w:r>
      <w:r>
        <w:rPr>
          <w:rFonts w:ascii="Arial" w:hAnsi="Arial" w:cs="Arial"/>
          <w:sz w:val="20"/>
          <w:szCs w:val="20"/>
        </w:rPr>
        <w:t>ředků na VaV v následném programovém období 2014</w:t>
      </w:r>
      <w:r w:rsidR="00683DB9">
        <w:rPr>
          <w:rFonts w:ascii="Arial" w:hAnsi="Arial" w:cs="Arial"/>
          <w:sz w:val="20"/>
          <w:szCs w:val="20"/>
        </w:rPr>
        <w:t>–2020 došlo v roce 2016 k velmi výraz</w:t>
      </w:r>
      <w:r w:rsidR="003579D3">
        <w:rPr>
          <w:rFonts w:ascii="Arial" w:hAnsi="Arial" w:cs="Arial"/>
          <w:sz w:val="20"/>
          <w:szCs w:val="20"/>
        </w:rPr>
        <w:t>nému</w:t>
      </w:r>
      <w:r w:rsidR="00F43623">
        <w:rPr>
          <w:rFonts w:ascii="Arial" w:hAnsi="Arial" w:cs="Arial"/>
          <w:sz w:val="20"/>
          <w:szCs w:val="20"/>
        </w:rPr>
        <w:t>,</w:t>
      </w:r>
      <w:r w:rsidR="003579D3">
        <w:rPr>
          <w:rFonts w:ascii="Arial" w:hAnsi="Arial" w:cs="Arial"/>
          <w:sz w:val="20"/>
          <w:szCs w:val="20"/>
        </w:rPr>
        <w:t xml:space="preserve"> více než deseti</w:t>
      </w:r>
      <w:r w:rsidR="00683DB9">
        <w:rPr>
          <w:rFonts w:ascii="Arial" w:hAnsi="Arial" w:cs="Arial"/>
          <w:sz w:val="20"/>
          <w:szCs w:val="20"/>
        </w:rPr>
        <w:t>miliardovému</w:t>
      </w:r>
      <w:r w:rsidR="00F43623">
        <w:rPr>
          <w:rFonts w:ascii="Arial" w:hAnsi="Arial" w:cs="Arial"/>
          <w:sz w:val="20"/>
          <w:szCs w:val="20"/>
        </w:rPr>
        <w:t>,</w:t>
      </w:r>
      <w:r w:rsidR="00683DB9">
        <w:rPr>
          <w:rFonts w:ascii="Arial" w:hAnsi="Arial" w:cs="Arial"/>
          <w:sz w:val="20"/>
          <w:szCs w:val="20"/>
        </w:rPr>
        <w:t xml:space="preserve"> meziročnímu poklesu zahraničních veřejných zdrojů. Po roce 2016 zač</w:t>
      </w:r>
      <w:r w:rsidR="003579D3">
        <w:rPr>
          <w:rFonts w:ascii="Arial" w:hAnsi="Arial" w:cs="Arial"/>
          <w:sz w:val="20"/>
          <w:szCs w:val="20"/>
        </w:rPr>
        <w:t>al</w:t>
      </w:r>
      <w:r w:rsidR="00683DB9">
        <w:rPr>
          <w:rFonts w:ascii="Arial" w:hAnsi="Arial" w:cs="Arial"/>
          <w:sz w:val="20"/>
          <w:szCs w:val="20"/>
        </w:rPr>
        <w:t xml:space="preserve"> pozvolný každoroční nárůst zahraničních veřejných zdrojů, které v roce 2017</w:t>
      </w:r>
      <w:r w:rsidR="003579D3">
        <w:rPr>
          <w:rFonts w:ascii="Arial" w:hAnsi="Arial" w:cs="Arial"/>
          <w:sz w:val="20"/>
          <w:szCs w:val="20"/>
        </w:rPr>
        <w:t xml:space="preserve"> dosáhly</w:t>
      </w:r>
      <w:r w:rsidR="00683DB9">
        <w:rPr>
          <w:rFonts w:ascii="Arial" w:hAnsi="Arial" w:cs="Arial"/>
          <w:sz w:val="20"/>
          <w:szCs w:val="20"/>
        </w:rPr>
        <w:t xml:space="preserve"> 4,3 mld. Kč, v</w:t>
      </w:r>
      <w:r w:rsidR="003579D3">
        <w:rPr>
          <w:rFonts w:ascii="Arial" w:hAnsi="Arial" w:cs="Arial"/>
          <w:sz w:val="20"/>
          <w:szCs w:val="20"/>
        </w:rPr>
        <w:t xml:space="preserve"> dalším</w:t>
      </w:r>
      <w:r w:rsidR="00683DB9">
        <w:rPr>
          <w:rFonts w:ascii="Arial" w:hAnsi="Arial" w:cs="Arial"/>
          <w:sz w:val="20"/>
          <w:szCs w:val="20"/>
        </w:rPr>
        <w:t xml:space="preserve"> roce 6,6 mld. Kč a v roce 2019 </w:t>
      </w:r>
      <w:r w:rsidR="003579D3">
        <w:rPr>
          <w:rFonts w:ascii="Arial" w:hAnsi="Arial" w:cs="Arial"/>
          <w:sz w:val="20"/>
          <w:szCs w:val="20"/>
        </w:rPr>
        <w:t xml:space="preserve">již </w:t>
      </w:r>
      <w:r w:rsidR="00683DB9">
        <w:rPr>
          <w:rFonts w:ascii="Arial" w:hAnsi="Arial" w:cs="Arial"/>
          <w:sz w:val="20"/>
          <w:szCs w:val="20"/>
        </w:rPr>
        <w:t xml:space="preserve">8,1 mld. Kč. </w:t>
      </w:r>
      <w:r w:rsidR="001072ED">
        <w:rPr>
          <w:rFonts w:ascii="Arial" w:hAnsi="Arial" w:cs="Arial"/>
          <w:sz w:val="20"/>
          <w:szCs w:val="20"/>
        </w:rPr>
        <w:t xml:space="preserve">Ani </w:t>
      </w:r>
      <w:r w:rsidR="00AB671B">
        <w:rPr>
          <w:rFonts w:ascii="Arial" w:hAnsi="Arial" w:cs="Arial"/>
          <w:sz w:val="20"/>
          <w:szCs w:val="20"/>
        </w:rPr>
        <w:t xml:space="preserve">přes tento nárůst se </w:t>
      </w:r>
      <w:r w:rsidR="001072ED">
        <w:rPr>
          <w:rFonts w:ascii="Arial" w:hAnsi="Arial" w:cs="Arial"/>
          <w:sz w:val="20"/>
          <w:szCs w:val="20"/>
        </w:rPr>
        <w:t xml:space="preserve">však </w:t>
      </w:r>
      <w:r w:rsidR="00AB671B">
        <w:rPr>
          <w:rFonts w:ascii="Arial" w:hAnsi="Arial" w:cs="Arial"/>
          <w:sz w:val="20"/>
          <w:szCs w:val="20"/>
        </w:rPr>
        <w:t>zatím nepodařilo přiblížit částkám z let 2012–2015. Oproti rekordnímu roku 2013 je příspěvek ze zahraničních veřejných zdrojů v roce 2019 na úrovni 60</w:t>
      </w:r>
      <w:r w:rsidR="002E4BDB">
        <w:rPr>
          <w:rFonts w:ascii="Arial" w:hAnsi="Arial" w:cs="Arial"/>
          <w:sz w:val="20"/>
          <w:szCs w:val="20"/>
        </w:rPr>
        <w:t> </w:t>
      </w:r>
      <w:r w:rsidR="00AB671B">
        <w:rPr>
          <w:rFonts w:ascii="Arial" w:hAnsi="Arial" w:cs="Arial"/>
          <w:sz w:val="20"/>
          <w:szCs w:val="20"/>
        </w:rPr>
        <w:t>%. Zahraniční veřejné zdroje se v roce 2019 v největší mí</w:t>
      </w:r>
      <w:r w:rsidR="003579D3">
        <w:rPr>
          <w:rFonts w:ascii="Arial" w:hAnsi="Arial" w:cs="Arial"/>
          <w:sz w:val="20"/>
          <w:szCs w:val="20"/>
        </w:rPr>
        <w:t>ře</w:t>
      </w:r>
      <w:r w:rsidR="00AB671B">
        <w:rPr>
          <w:rFonts w:ascii="Arial" w:hAnsi="Arial" w:cs="Arial"/>
          <w:sz w:val="20"/>
          <w:szCs w:val="20"/>
        </w:rPr>
        <w:t xml:space="preserve"> čerpaly ve vysokoškolském sektoru, </w:t>
      </w:r>
      <w:r w:rsidR="002E4BDB">
        <w:rPr>
          <w:rFonts w:ascii="Arial" w:hAnsi="Arial" w:cs="Arial"/>
          <w:sz w:val="20"/>
          <w:szCs w:val="20"/>
        </w:rPr>
        <w:t>do kterého směřovala přesně polovina</w:t>
      </w:r>
      <w:r w:rsidR="006C06E3">
        <w:rPr>
          <w:rFonts w:ascii="Arial" w:hAnsi="Arial" w:cs="Arial"/>
          <w:sz w:val="20"/>
          <w:szCs w:val="20"/>
        </w:rPr>
        <w:t xml:space="preserve"> </w:t>
      </w:r>
      <w:r w:rsidR="002E4BDB">
        <w:rPr>
          <w:rFonts w:ascii="Arial" w:hAnsi="Arial" w:cs="Arial"/>
          <w:sz w:val="20"/>
          <w:szCs w:val="20"/>
        </w:rPr>
        <w:t>z těchto zdrojů</w:t>
      </w:r>
      <w:r w:rsidR="00AB671B">
        <w:rPr>
          <w:rFonts w:ascii="Arial" w:hAnsi="Arial" w:cs="Arial"/>
          <w:sz w:val="20"/>
          <w:szCs w:val="20"/>
        </w:rPr>
        <w:t xml:space="preserve">. </w:t>
      </w:r>
      <w:r w:rsidR="006C06E3">
        <w:rPr>
          <w:rFonts w:ascii="Arial" w:hAnsi="Arial" w:cs="Arial"/>
          <w:sz w:val="20"/>
          <w:szCs w:val="20"/>
        </w:rPr>
        <w:t>Oproti vysokoškolskému sektoru byla ve vládním</w:t>
      </w:r>
      <w:r w:rsidR="00D20810">
        <w:rPr>
          <w:rFonts w:ascii="Arial" w:hAnsi="Arial" w:cs="Arial"/>
          <w:sz w:val="20"/>
          <w:szCs w:val="20"/>
        </w:rPr>
        <w:t xml:space="preserve"> sektoru</w:t>
      </w:r>
      <w:r w:rsidR="006C06E3">
        <w:rPr>
          <w:rFonts w:ascii="Arial" w:hAnsi="Arial" w:cs="Arial"/>
          <w:sz w:val="20"/>
          <w:szCs w:val="20"/>
        </w:rPr>
        <w:t xml:space="preserve"> čerpána cca poloviční částka</w:t>
      </w:r>
      <w:r w:rsidR="00D20810">
        <w:rPr>
          <w:rFonts w:ascii="Arial" w:hAnsi="Arial" w:cs="Arial"/>
          <w:sz w:val="20"/>
          <w:szCs w:val="20"/>
        </w:rPr>
        <w:t>,</w:t>
      </w:r>
      <w:r w:rsidR="006C06E3">
        <w:rPr>
          <w:rFonts w:ascii="Arial" w:hAnsi="Arial" w:cs="Arial"/>
          <w:sz w:val="20"/>
          <w:szCs w:val="20"/>
        </w:rPr>
        <w:t xml:space="preserve"> a to 27 % ze všech zahraničních veřejných zdrojů. Nepatrně méně než ve vládním</w:t>
      </w:r>
      <w:r w:rsidR="00D20810">
        <w:rPr>
          <w:rFonts w:ascii="Arial" w:hAnsi="Arial" w:cs="Arial"/>
          <w:sz w:val="20"/>
          <w:szCs w:val="20"/>
        </w:rPr>
        <w:t xml:space="preserve"> sektoru,</w:t>
      </w:r>
      <w:r w:rsidR="006C06E3">
        <w:rPr>
          <w:rFonts w:ascii="Arial" w:hAnsi="Arial" w:cs="Arial"/>
          <w:sz w:val="20"/>
          <w:szCs w:val="20"/>
        </w:rPr>
        <w:t xml:space="preserve"> pak bylo čerpáno v podnikatelském sektoru </w:t>
      </w:r>
      <w:r w:rsidR="00610AB5">
        <w:rPr>
          <w:rFonts w:ascii="Arial" w:hAnsi="Arial" w:cs="Arial"/>
          <w:sz w:val="20"/>
          <w:szCs w:val="20"/>
        </w:rPr>
        <w:t>(1,8 mld. Kč;</w:t>
      </w:r>
      <w:r w:rsidR="00AB671B">
        <w:rPr>
          <w:rFonts w:ascii="Arial" w:hAnsi="Arial" w:cs="Arial"/>
          <w:sz w:val="20"/>
          <w:szCs w:val="20"/>
        </w:rPr>
        <w:t xml:space="preserve"> 22 %</w:t>
      </w:r>
      <w:r w:rsidR="00610AB5">
        <w:rPr>
          <w:rFonts w:ascii="Arial" w:hAnsi="Arial" w:cs="Arial"/>
          <w:sz w:val="20"/>
          <w:szCs w:val="20"/>
        </w:rPr>
        <w:t xml:space="preserve"> veřejných zahraničních zdrojů</w:t>
      </w:r>
      <w:r w:rsidR="00AB671B">
        <w:rPr>
          <w:rFonts w:ascii="Arial" w:hAnsi="Arial" w:cs="Arial"/>
          <w:sz w:val="20"/>
          <w:szCs w:val="20"/>
        </w:rPr>
        <w:t>).</w:t>
      </w:r>
    </w:p>
    <w:p w14:paraId="6D4AB2BA" w14:textId="621E19FE" w:rsidR="005918AB" w:rsidRDefault="00AB671B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jednotlivých výdajových položek na VaV rostou nejrychleji mzdy, na něž se v roce 2019 vynaložilo 61</w:t>
      </w:r>
      <w:r w:rsidR="009C60A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mld.</w:t>
      </w:r>
      <w:r w:rsidR="009C60A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Kč, což tvořilo 55 % celkových výdajů na VaV. Do roku 2015 tvořily mzdy méně než 50 % výdajů na VaV, v roce 2016 překročily </w:t>
      </w:r>
      <w:r w:rsidR="009C60A6">
        <w:rPr>
          <w:rFonts w:ascii="Arial" w:hAnsi="Arial" w:cs="Arial"/>
          <w:sz w:val="20"/>
          <w:szCs w:val="20"/>
        </w:rPr>
        <w:t xml:space="preserve">hranici </w:t>
      </w:r>
      <w:r>
        <w:rPr>
          <w:rFonts w:ascii="Arial" w:hAnsi="Arial" w:cs="Arial"/>
          <w:sz w:val="20"/>
          <w:szCs w:val="20"/>
        </w:rPr>
        <w:t>50 % výdajů na VaV a jejich podíl dále narůstá. Oproti tomu investiční výdaje na VaV stagnují, v roce 2019 šlo na investice do VaV 10,6 mld. Kč, přibližně o 0,5 mld. Kč méně než v roce 2018. Od roku 2016 tvoří investice</w:t>
      </w:r>
      <w:r w:rsidR="005918AB">
        <w:rPr>
          <w:rFonts w:ascii="Arial" w:hAnsi="Arial" w:cs="Arial"/>
          <w:sz w:val="20"/>
          <w:szCs w:val="20"/>
        </w:rPr>
        <w:t xml:space="preserve"> každoročně</w:t>
      </w:r>
      <w:r>
        <w:rPr>
          <w:rFonts w:ascii="Arial" w:hAnsi="Arial" w:cs="Arial"/>
          <w:sz w:val="20"/>
          <w:szCs w:val="20"/>
        </w:rPr>
        <w:t xml:space="preserve"> přibli</w:t>
      </w:r>
      <w:r w:rsidR="005918AB">
        <w:rPr>
          <w:rFonts w:ascii="Arial" w:hAnsi="Arial" w:cs="Arial"/>
          <w:sz w:val="20"/>
          <w:szCs w:val="20"/>
        </w:rPr>
        <w:t xml:space="preserve">žně 10 % výdajů na VaV. To je výrazně nižší podíl než v letech 2012–2015, kdy investice přesahovaly 20 % výdajů na VaV. Vysoké investice souvisely s intenzivním čerpáním zdrojů z EU, které se ve velké míře použily na výstavbu nových výzkumných center ve vládním a </w:t>
      </w:r>
      <w:r w:rsidR="00610AB5">
        <w:rPr>
          <w:rFonts w:ascii="Arial" w:hAnsi="Arial" w:cs="Arial"/>
          <w:sz w:val="20"/>
          <w:szCs w:val="20"/>
        </w:rPr>
        <w:t>vysokoškolském</w:t>
      </w:r>
      <w:r w:rsidR="005918AB">
        <w:rPr>
          <w:rFonts w:ascii="Arial" w:hAnsi="Arial" w:cs="Arial"/>
          <w:sz w:val="20"/>
          <w:szCs w:val="20"/>
        </w:rPr>
        <w:t xml:space="preserve"> sektoru. Po dočerpání zmíněných zdrojů </w:t>
      </w:r>
      <w:r w:rsidR="00610AB5">
        <w:rPr>
          <w:rFonts w:ascii="Arial" w:hAnsi="Arial" w:cs="Arial"/>
          <w:sz w:val="20"/>
          <w:szCs w:val="20"/>
        </w:rPr>
        <w:t xml:space="preserve">a dokončení výstavby VaV center </w:t>
      </w:r>
      <w:r w:rsidR="005918AB">
        <w:rPr>
          <w:rFonts w:ascii="Arial" w:hAnsi="Arial" w:cs="Arial"/>
          <w:sz w:val="20"/>
          <w:szCs w:val="20"/>
        </w:rPr>
        <w:t xml:space="preserve">výrazně poklesly investice do VaV ve vládním a </w:t>
      </w:r>
      <w:r w:rsidR="00610AB5">
        <w:rPr>
          <w:rFonts w:ascii="Arial" w:hAnsi="Arial" w:cs="Arial"/>
          <w:sz w:val="20"/>
          <w:szCs w:val="20"/>
        </w:rPr>
        <w:t>vysokoškolském</w:t>
      </w:r>
      <w:r w:rsidR="005918AB">
        <w:rPr>
          <w:rFonts w:ascii="Arial" w:hAnsi="Arial" w:cs="Arial"/>
          <w:sz w:val="20"/>
          <w:szCs w:val="20"/>
        </w:rPr>
        <w:t xml:space="preserve"> sektoru V podnikatelském sektoru </w:t>
      </w:r>
      <w:r w:rsidR="00912AF8">
        <w:rPr>
          <w:rFonts w:ascii="Arial" w:hAnsi="Arial" w:cs="Arial"/>
          <w:sz w:val="20"/>
          <w:szCs w:val="20"/>
        </w:rPr>
        <w:t>se</w:t>
      </w:r>
      <w:r w:rsidR="005918AB">
        <w:rPr>
          <w:rFonts w:ascii="Arial" w:hAnsi="Arial" w:cs="Arial"/>
          <w:sz w:val="20"/>
          <w:szCs w:val="20"/>
        </w:rPr>
        <w:t xml:space="preserve"> výpadek v čerpání prostředků z EU </w:t>
      </w:r>
      <w:r w:rsidR="00912AF8">
        <w:rPr>
          <w:rFonts w:ascii="Arial" w:hAnsi="Arial" w:cs="Arial"/>
          <w:sz w:val="20"/>
          <w:szCs w:val="20"/>
        </w:rPr>
        <w:t>projevil méně dramaticky</w:t>
      </w:r>
      <w:r w:rsidR="005918AB">
        <w:rPr>
          <w:rFonts w:ascii="Arial" w:hAnsi="Arial" w:cs="Arial"/>
          <w:sz w:val="20"/>
          <w:szCs w:val="20"/>
        </w:rPr>
        <w:t>.</w:t>
      </w:r>
    </w:p>
    <w:p w14:paraId="5C8EBEA9" w14:textId="60926B93" w:rsidR="00113178" w:rsidRDefault="00CF22CC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hlediska krajského srovnání se jednoznačně nejvýše na VaV vynakládá v Hlavním městě Praze. V roce 2019 to bylo 40,1 mld. Kč (36 % celkových výdajů na VaV), což je více než dvojnásobek oproti druhému Jihomoravskému kraji. V Praze jsou nejvyšší výdaje na VaV ve všech sektorech provádění, přičemž ve vládním sektoru je Praha zcela dominantní. S ohledem na vysoký počet vysokých škol a veřejných výzkumných institucí nacházejících se v</w:t>
      </w:r>
      <w:r w:rsidR="00B16E3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Praze</w:t>
      </w:r>
      <w:r w:rsidR="00B16E33">
        <w:rPr>
          <w:rFonts w:ascii="Arial" w:hAnsi="Arial" w:cs="Arial"/>
          <w:sz w:val="20"/>
          <w:szCs w:val="20"/>
        </w:rPr>
        <w:t xml:space="preserve">, je Praha jediným krajem ČR, kde podíl podnikatelského sektoru na výdajích na VaV daného kraje je nižší než 50 %, v roce 2019 </w:t>
      </w:r>
      <w:r w:rsidR="009C60A6">
        <w:rPr>
          <w:rFonts w:ascii="Arial" w:hAnsi="Arial" w:cs="Arial"/>
          <w:sz w:val="20"/>
          <w:szCs w:val="20"/>
        </w:rPr>
        <w:t>se jednalo o</w:t>
      </w:r>
      <w:r w:rsidR="00B16E33">
        <w:rPr>
          <w:rFonts w:ascii="Arial" w:hAnsi="Arial" w:cs="Arial"/>
          <w:sz w:val="20"/>
          <w:szCs w:val="20"/>
        </w:rPr>
        <w:t xml:space="preserve"> 47 %. Na pomyslném druhém místě ve výši výdajů na VaV je Jihomoravský kraj s 18,8 mld. Kč (</w:t>
      </w:r>
      <w:r w:rsidR="009C60A6">
        <w:rPr>
          <w:rFonts w:ascii="Arial" w:hAnsi="Arial" w:cs="Arial"/>
          <w:sz w:val="20"/>
          <w:szCs w:val="20"/>
        </w:rPr>
        <w:t>17 </w:t>
      </w:r>
      <w:r w:rsidR="00B16E33">
        <w:rPr>
          <w:rFonts w:ascii="Arial" w:hAnsi="Arial" w:cs="Arial"/>
          <w:sz w:val="20"/>
          <w:szCs w:val="20"/>
        </w:rPr>
        <w:t>%</w:t>
      </w:r>
      <w:r w:rsidR="00912AF8">
        <w:rPr>
          <w:rFonts w:ascii="Arial" w:hAnsi="Arial" w:cs="Arial"/>
          <w:sz w:val="20"/>
          <w:szCs w:val="20"/>
        </w:rPr>
        <w:t xml:space="preserve"> celkových výdajů na VaV</w:t>
      </w:r>
      <w:r w:rsidR="00B16E33">
        <w:rPr>
          <w:rFonts w:ascii="Arial" w:hAnsi="Arial" w:cs="Arial"/>
          <w:sz w:val="20"/>
          <w:szCs w:val="20"/>
        </w:rPr>
        <w:t>). V Jihomoravském kraji je silně zastoupen podnikatelský a vysokoškolský výzkum. S drobnou ztrátou byl třetí Středočeský kraj s 16,8 mld. Kč (15</w:t>
      </w:r>
      <w:r w:rsidR="009C60A6">
        <w:rPr>
          <w:rFonts w:ascii="Arial" w:hAnsi="Arial" w:cs="Arial"/>
          <w:sz w:val="20"/>
          <w:szCs w:val="20"/>
        </w:rPr>
        <w:t> </w:t>
      </w:r>
      <w:r w:rsidR="00B16E33">
        <w:rPr>
          <w:rFonts w:ascii="Arial" w:hAnsi="Arial" w:cs="Arial"/>
          <w:sz w:val="20"/>
          <w:szCs w:val="20"/>
        </w:rPr>
        <w:t>%</w:t>
      </w:r>
      <w:r w:rsidR="00912AF8">
        <w:rPr>
          <w:rFonts w:ascii="Arial" w:hAnsi="Arial" w:cs="Arial"/>
          <w:sz w:val="20"/>
          <w:szCs w:val="20"/>
        </w:rPr>
        <w:t xml:space="preserve"> celkových výdajů na </w:t>
      </w:r>
      <w:proofErr w:type="spellStart"/>
      <w:r w:rsidR="00912AF8">
        <w:rPr>
          <w:rFonts w:ascii="Arial" w:hAnsi="Arial" w:cs="Arial"/>
          <w:sz w:val="20"/>
          <w:szCs w:val="20"/>
        </w:rPr>
        <w:t>VaV</w:t>
      </w:r>
      <w:proofErr w:type="spellEnd"/>
      <w:r w:rsidR="00B16E33">
        <w:rPr>
          <w:rFonts w:ascii="Arial" w:hAnsi="Arial" w:cs="Arial"/>
          <w:sz w:val="20"/>
          <w:szCs w:val="20"/>
        </w:rPr>
        <w:t>)</w:t>
      </w:r>
      <w:r w:rsidR="00D20810">
        <w:rPr>
          <w:rFonts w:ascii="Arial" w:hAnsi="Arial" w:cs="Arial"/>
          <w:sz w:val="20"/>
          <w:szCs w:val="20"/>
        </w:rPr>
        <w:t>,</w:t>
      </w:r>
      <w:r w:rsidR="00B16E33">
        <w:rPr>
          <w:rFonts w:ascii="Arial" w:hAnsi="Arial" w:cs="Arial"/>
          <w:sz w:val="20"/>
          <w:szCs w:val="20"/>
        </w:rPr>
        <w:t xml:space="preserve"> </w:t>
      </w:r>
      <w:r w:rsidR="009C60A6">
        <w:rPr>
          <w:rFonts w:ascii="Arial" w:hAnsi="Arial" w:cs="Arial"/>
          <w:sz w:val="20"/>
          <w:szCs w:val="20"/>
        </w:rPr>
        <w:t>v</w:t>
      </w:r>
      <w:r w:rsidR="00B16E33">
        <w:rPr>
          <w:rFonts w:ascii="Arial" w:hAnsi="Arial" w:cs="Arial"/>
          <w:sz w:val="20"/>
          <w:szCs w:val="20"/>
        </w:rPr>
        <w:t xml:space="preserve">e </w:t>
      </w:r>
      <w:r w:rsidR="009C60A6">
        <w:rPr>
          <w:rFonts w:ascii="Arial" w:hAnsi="Arial" w:cs="Arial"/>
          <w:sz w:val="20"/>
          <w:szCs w:val="20"/>
        </w:rPr>
        <w:t>kterém</w:t>
      </w:r>
      <w:r w:rsidR="00B16E33">
        <w:rPr>
          <w:rFonts w:ascii="Arial" w:hAnsi="Arial" w:cs="Arial"/>
          <w:sz w:val="20"/>
          <w:szCs w:val="20"/>
        </w:rPr>
        <w:t xml:space="preserve"> </w:t>
      </w:r>
      <w:r w:rsidR="009C60A6">
        <w:rPr>
          <w:rFonts w:ascii="Arial" w:hAnsi="Arial" w:cs="Arial"/>
          <w:sz w:val="20"/>
          <w:szCs w:val="20"/>
        </w:rPr>
        <w:t xml:space="preserve">směřuje </w:t>
      </w:r>
      <w:r w:rsidR="00B16E33">
        <w:rPr>
          <w:rFonts w:ascii="Arial" w:hAnsi="Arial" w:cs="Arial"/>
          <w:sz w:val="20"/>
          <w:szCs w:val="20"/>
        </w:rPr>
        <w:t xml:space="preserve">80 % výdajů na </w:t>
      </w:r>
      <w:proofErr w:type="spellStart"/>
      <w:r w:rsidR="00912AF8">
        <w:rPr>
          <w:rFonts w:ascii="Arial" w:hAnsi="Arial" w:cs="Arial"/>
          <w:sz w:val="20"/>
          <w:szCs w:val="20"/>
        </w:rPr>
        <w:t>VaV</w:t>
      </w:r>
      <w:proofErr w:type="spellEnd"/>
      <w:r w:rsidR="00912AF8">
        <w:rPr>
          <w:rFonts w:ascii="Arial" w:hAnsi="Arial" w:cs="Arial"/>
          <w:sz w:val="20"/>
          <w:szCs w:val="20"/>
        </w:rPr>
        <w:t xml:space="preserve"> </w:t>
      </w:r>
      <w:r w:rsidR="009C60A6">
        <w:rPr>
          <w:rFonts w:ascii="Arial" w:hAnsi="Arial" w:cs="Arial"/>
          <w:sz w:val="20"/>
          <w:szCs w:val="20"/>
        </w:rPr>
        <w:t xml:space="preserve">do </w:t>
      </w:r>
      <w:r w:rsidR="00B16E33">
        <w:rPr>
          <w:rFonts w:ascii="Arial" w:hAnsi="Arial" w:cs="Arial"/>
          <w:sz w:val="20"/>
          <w:szCs w:val="20"/>
        </w:rPr>
        <w:t>podnikatelsk</w:t>
      </w:r>
      <w:r w:rsidR="009C60A6">
        <w:rPr>
          <w:rFonts w:ascii="Arial" w:hAnsi="Arial" w:cs="Arial"/>
          <w:sz w:val="20"/>
          <w:szCs w:val="20"/>
        </w:rPr>
        <w:t>ého</w:t>
      </w:r>
      <w:r w:rsidR="00B16E33">
        <w:rPr>
          <w:rFonts w:ascii="Arial" w:hAnsi="Arial" w:cs="Arial"/>
          <w:sz w:val="20"/>
          <w:szCs w:val="20"/>
        </w:rPr>
        <w:t xml:space="preserve"> sektor</w:t>
      </w:r>
      <w:r w:rsidR="009C60A6">
        <w:rPr>
          <w:rFonts w:ascii="Arial" w:hAnsi="Arial" w:cs="Arial"/>
          <w:sz w:val="20"/>
          <w:szCs w:val="20"/>
        </w:rPr>
        <w:t>u</w:t>
      </w:r>
      <w:r w:rsidR="00B16E33">
        <w:rPr>
          <w:rFonts w:ascii="Arial" w:hAnsi="Arial" w:cs="Arial"/>
          <w:sz w:val="20"/>
          <w:szCs w:val="20"/>
        </w:rPr>
        <w:t>. Zmíněné tři kraje</w:t>
      </w:r>
      <w:r w:rsidR="00A21ECF">
        <w:rPr>
          <w:rFonts w:ascii="Arial" w:hAnsi="Arial" w:cs="Arial"/>
          <w:sz w:val="20"/>
          <w:szCs w:val="20"/>
        </w:rPr>
        <w:t>, Praha, Středočeský a Jihomoravský,</w:t>
      </w:r>
      <w:r w:rsidR="00B16E33">
        <w:rPr>
          <w:rFonts w:ascii="Arial" w:hAnsi="Arial" w:cs="Arial"/>
          <w:sz w:val="20"/>
          <w:szCs w:val="20"/>
        </w:rPr>
        <w:t xml:space="preserve"> mají na celkových výdajích na VaV v ČR 2/3 podíl. </w:t>
      </w:r>
      <w:r w:rsidR="001D1DD8">
        <w:rPr>
          <w:rFonts w:ascii="Arial" w:hAnsi="Arial" w:cs="Arial"/>
          <w:sz w:val="20"/>
          <w:szCs w:val="20"/>
        </w:rPr>
        <w:t>Žádný další kraj</w:t>
      </w:r>
      <w:r w:rsidR="00B16E33">
        <w:rPr>
          <w:rFonts w:ascii="Arial" w:hAnsi="Arial" w:cs="Arial"/>
          <w:sz w:val="20"/>
          <w:szCs w:val="20"/>
        </w:rPr>
        <w:t xml:space="preserve"> </w:t>
      </w:r>
      <w:r w:rsidR="001D1DD8">
        <w:rPr>
          <w:rFonts w:ascii="Arial" w:hAnsi="Arial" w:cs="Arial"/>
          <w:sz w:val="20"/>
          <w:szCs w:val="20"/>
        </w:rPr>
        <w:t>neměl v roce 2019</w:t>
      </w:r>
      <w:r w:rsidR="00B16E33">
        <w:rPr>
          <w:rFonts w:ascii="Arial" w:hAnsi="Arial" w:cs="Arial"/>
          <w:sz w:val="20"/>
          <w:szCs w:val="20"/>
        </w:rPr>
        <w:t xml:space="preserve"> výdaje na VaV vyšší než 6 mld. Kč</w:t>
      </w:r>
      <w:r w:rsidR="00113178">
        <w:rPr>
          <w:rFonts w:ascii="Arial" w:hAnsi="Arial" w:cs="Arial"/>
          <w:sz w:val="20"/>
          <w:szCs w:val="20"/>
        </w:rPr>
        <w:t>.</w:t>
      </w:r>
    </w:p>
    <w:p w14:paraId="11D45D21" w14:textId="4A1D1A29" w:rsidR="00863713" w:rsidRDefault="00113178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celé Evropské unii se na VaV v roce 2019 vynaložilo celkem 350 mld. Eur. Nejvíce to bylo v Německu (109 mld. Eur),</w:t>
      </w:r>
      <w:r w:rsidR="001D1DD8">
        <w:rPr>
          <w:rFonts w:ascii="Arial" w:hAnsi="Arial" w:cs="Arial"/>
          <w:sz w:val="20"/>
          <w:szCs w:val="20"/>
        </w:rPr>
        <w:t xml:space="preserve"> za kterým následovala</w:t>
      </w:r>
      <w:r>
        <w:rPr>
          <w:rFonts w:ascii="Arial" w:hAnsi="Arial" w:cs="Arial"/>
          <w:sz w:val="20"/>
          <w:szCs w:val="20"/>
        </w:rPr>
        <w:t xml:space="preserve"> </w:t>
      </w:r>
      <w:r w:rsidR="001D1DD8">
        <w:rPr>
          <w:rFonts w:ascii="Arial" w:hAnsi="Arial" w:cs="Arial"/>
          <w:sz w:val="20"/>
          <w:szCs w:val="20"/>
        </w:rPr>
        <w:t>Francie (53 mld. Eur) a Spojené</w:t>
      </w:r>
      <w:r>
        <w:rPr>
          <w:rFonts w:ascii="Arial" w:hAnsi="Arial" w:cs="Arial"/>
          <w:sz w:val="20"/>
          <w:szCs w:val="20"/>
        </w:rPr>
        <w:t xml:space="preserve"> království (44 mld. Eur). </w:t>
      </w:r>
      <w:r w:rsidR="001D1DD8">
        <w:rPr>
          <w:rFonts w:ascii="Arial" w:hAnsi="Arial" w:cs="Arial"/>
          <w:sz w:val="20"/>
          <w:szCs w:val="20"/>
        </w:rPr>
        <w:t>Česko bylo</w:t>
      </w:r>
      <w:r>
        <w:rPr>
          <w:rFonts w:ascii="Arial" w:hAnsi="Arial" w:cs="Arial"/>
          <w:sz w:val="20"/>
          <w:szCs w:val="20"/>
        </w:rPr>
        <w:t xml:space="preserve"> </w:t>
      </w:r>
      <w:r w:rsidR="001D1DD8">
        <w:rPr>
          <w:rFonts w:ascii="Arial" w:hAnsi="Arial" w:cs="Arial"/>
          <w:sz w:val="20"/>
          <w:szCs w:val="20"/>
        </w:rPr>
        <w:t>na třináctém místě</w:t>
      </w:r>
      <w:r>
        <w:rPr>
          <w:rFonts w:ascii="Arial" w:hAnsi="Arial" w:cs="Arial"/>
          <w:sz w:val="20"/>
          <w:szCs w:val="20"/>
        </w:rPr>
        <w:t xml:space="preserve"> EU s 4,3 mld. Eur v roce 2019 (1,2 % </w:t>
      </w:r>
      <w:r w:rsidR="001D1DD8">
        <w:rPr>
          <w:rFonts w:ascii="Arial" w:hAnsi="Arial" w:cs="Arial"/>
          <w:sz w:val="20"/>
          <w:szCs w:val="20"/>
        </w:rPr>
        <w:t xml:space="preserve">výdajů na VaV celé </w:t>
      </w:r>
      <w:r>
        <w:rPr>
          <w:rFonts w:ascii="Arial" w:hAnsi="Arial" w:cs="Arial"/>
          <w:sz w:val="20"/>
          <w:szCs w:val="20"/>
        </w:rPr>
        <w:t xml:space="preserve">EU). </w:t>
      </w:r>
      <w:r w:rsidR="001D1DD8">
        <w:rPr>
          <w:rFonts w:ascii="Arial" w:hAnsi="Arial" w:cs="Arial"/>
          <w:sz w:val="20"/>
          <w:szCs w:val="20"/>
        </w:rPr>
        <w:t xml:space="preserve">Pro mezinárodní srovnání </w:t>
      </w:r>
      <w:r w:rsidR="00B7634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ojně užívaným ukazatelem v</w:t>
      </w:r>
      <w:r w:rsidR="00B7634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statistice VaV je podíl výdajů na VaV na HDP. Podíl EU v tomto ukazateli byl v roce 2019 celkem 2,13 %</w:t>
      </w:r>
      <w:r w:rsidR="00B76344">
        <w:rPr>
          <w:rFonts w:ascii="Arial" w:hAnsi="Arial" w:cs="Arial"/>
          <w:sz w:val="20"/>
          <w:szCs w:val="20"/>
        </w:rPr>
        <w:t xml:space="preserve"> HDP</w:t>
      </w:r>
      <w:r>
        <w:rPr>
          <w:rFonts w:ascii="Arial" w:hAnsi="Arial" w:cs="Arial"/>
          <w:sz w:val="20"/>
          <w:szCs w:val="20"/>
        </w:rPr>
        <w:t>. Z evropské osmadvacítky překonalo tento průměr celkem osm států. Na špici se nachází Švédsko, Rakousko a Německo, kde podíl výdajů na VaV na HDP přesahuje 3</w:t>
      </w:r>
      <w:r w:rsidR="00863713">
        <w:rPr>
          <w:rFonts w:ascii="Arial" w:hAnsi="Arial" w:cs="Arial"/>
          <w:sz w:val="20"/>
          <w:szCs w:val="20"/>
        </w:rPr>
        <w:t xml:space="preserve"> %. Česká republika sice průměru EU nedosahuje, ale s 1,94 % HDP ji patří slušné desáté místo v rámci EU. Ze států, které do EU přistoupily po roce 2004, je před Českem pouze Slovinsko s 2,04 % HDP v roce 2019. Pokud se podíváme na naše sousedy, tak o Rakousku a Německu, kteří patří mezi premianty, již byla řeč. V Maďarsku byl v roce 2019 podíl výdajů na VaV na HDP 1,48 %, v Polsku </w:t>
      </w:r>
      <w:r w:rsidR="00E13511">
        <w:rPr>
          <w:rFonts w:ascii="Arial" w:hAnsi="Arial" w:cs="Arial"/>
          <w:sz w:val="20"/>
          <w:szCs w:val="20"/>
        </w:rPr>
        <w:t>1,32 % a na Slovensku</w:t>
      </w:r>
      <w:r>
        <w:rPr>
          <w:rFonts w:ascii="Arial" w:hAnsi="Arial" w:cs="Arial"/>
          <w:sz w:val="20"/>
          <w:szCs w:val="20"/>
        </w:rPr>
        <w:t xml:space="preserve"> </w:t>
      </w:r>
      <w:r w:rsidR="00863713">
        <w:rPr>
          <w:rFonts w:ascii="Arial" w:hAnsi="Arial" w:cs="Arial"/>
          <w:sz w:val="20"/>
          <w:szCs w:val="20"/>
        </w:rPr>
        <w:t>pouze 0,83 %.</w:t>
      </w:r>
    </w:p>
    <w:p w14:paraId="0662841F" w14:textId="714528F7" w:rsidR="001908C9" w:rsidRDefault="00E13511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a vývoj</w:t>
      </w:r>
      <w:r w:rsidR="00FA5BDF">
        <w:rPr>
          <w:rFonts w:ascii="Arial" w:hAnsi="Arial" w:cs="Arial"/>
          <w:sz w:val="20"/>
          <w:szCs w:val="20"/>
        </w:rPr>
        <w:t xml:space="preserve"> u nás </w:t>
      </w:r>
      <w:r>
        <w:rPr>
          <w:rFonts w:ascii="Arial" w:hAnsi="Arial" w:cs="Arial"/>
          <w:sz w:val="20"/>
          <w:szCs w:val="20"/>
        </w:rPr>
        <w:t>prováděl</w:t>
      </w:r>
      <w:r w:rsidR="00FA5BD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v roce </w:t>
      </w:r>
      <w:r w:rsidR="00FA5BDF">
        <w:rPr>
          <w:rFonts w:ascii="Arial" w:hAnsi="Arial" w:cs="Arial"/>
          <w:sz w:val="20"/>
          <w:szCs w:val="20"/>
        </w:rPr>
        <w:t>2019 bezmála 3 tisíce subjektů, přibližně o 100 subjektů více než o rok dříve. Počet pracovišť, na nichž se ve zmíněných subjektech prováděl VaV</w:t>
      </w:r>
      <w:r w:rsidR="00DF7C0A">
        <w:rPr>
          <w:rFonts w:ascii="Arial" w:hAnsi="Arial" w:cs="Arial"/>
          <w:sz w:val="20"/>
          <w:szCs w:val="20"/>
        </w:rPr>
        <w:t>,</w:t>
      </w:r>
      <w:r w:rsidR="00FA5BDF">
        <w:rPr>
          <w:rFonts w:ascii="Arial" w:hAnsi="Arial" w:cs="Arial"/>
          <w:sz w:val="20"/>
          <w:szCs w:val="20"/>
        </w:rPr>
        <w:t xml:space="preserve"> bylo celkem 3 214, z toho 84</w:t>
      </w:r>
      <w:r w:rsidR="00130E2E">
        <w:rPr>
          <w:rFonts w:ascii="Arial" w:hAnsi="Arial" w:cs="Arial"/>
          <w:sz w:val="20"/>
          <w:szCs w:val="20"/>
        </w:rPr>
        <w:t> </w:t>
      </w:r>
      <w:r w:rsidR="00FA5BDF">
        <w:rPr>
          <w:rFonts w:ascii="Arial" w:hAnsi="Arial" w:cs="Arial"/>
          <w:sz w:val="20"/>
          <w:szCs w:val="20"/>
        </w:rPr>
        <w:t xml:space="preserve">% v podnikatelském sektoru. </w:t>
      </w:r>
      <w:r w:rsidR="00A62A1E">
        <w:rPr>
          <w:rFonts w:ascii="Arial" w:hAnsi="Arial" w:cs="Arial"/>
          <w:sz w:val="20"/>
          <w:szCs w:val="20"/>
        </w:rPr>
        <w:t xml:space="preserve">Na vládní i VŠ sektor připadá po </w:t>
      </w:r>
      <w:r w:rsidR="00130E2E">
        <w:rPr>
          <w:rFonts w:ascii="Arial" w:hAnsi="Arial" w:cs="Arial"/>
          <w:sz w:val="20"/>
          <w:szCs w:val="20"/>
        </w:rPr>
        <w:t>7 </w:t>
      </w:r>
      <w:r w:rsidR="00A62A1E">
        <w:rPr>
          <w:rFonts w:ascii="Arial" w:hAnsi="Arial" w:cs="Arial"/>
          <w:sz w:val="20"/>
          <w:szCs w:val="20"/>
        </w:rPr>
        <w:t xml:space="preserve">% pracovišť </w:t>
      </w:r>
      <w:proofErr w:type="spellStart"/>
      <w:r w:rsidR="00A62A1E">
        <w:rPr>
          <w:rFonts w:ascii="Arial" w:hAnsi="Arial" w:cs="Arial"/>
          <w:sz w:val="20"/>
          <w:szCs w:val="20"/>
        </w:rPr>
        <w:t>VaV</w:t>
      </w:r>
      <w:proofErr w:type="spellEnd"/>
      <w:r w:rsidR="00A62A1E">
        <w:rPr>
          <w:rFonts w:ascii="Arial" w:hAnsi="Arial" w:cs="Arial"/>
          <w:sz w:val="20"/>
          <w:szCs w:val="20"/>
        </w:rPr>
        <w:t xml:space="preserve"> a na soukromý neziskový sektor 2</w:t>
      </w:r>
      <w:r w:rsidR="00130E2E">
        <w:rPr>
          <w:rFonts w:ascii="Arial" w:hAnsi="Arial" w:cs="Arial"/>
          <w:sz w:val="20"/>
          <w:szCs w:val="20"/>
        </w:rPr>
        <w:t> </w:t>
      </w:r>
      <w:r w:rsidR="00A62A1E">
        <w:rPr>
          <w:rFonts w:ascii="Arial" w:hAnsi="Arial" w:cs="Arial"/>
          <w:sz w:val="20"/>
          <w:szCs w:val="20"/>
        </w:rPr>
        <w:t xml:space="preserve">% pracovišť </w:t>
      </w:r>
      <w:proofErr w:type="spellStart"/>
      <w:r w:rsidR="00A62A1E">
        <w:rPr>
          <w:rFonts w:ascii="Arial" w:hAnsi="Arial" w:cs="Arial"/>
          <w:sz w:val="20"/>
          <w:szCs w:val="20"/>
        </w:rPr>
        <w:t>VaV</w:t>
      </w:r>
      <w:proofErr w:type="spellEnd"/>
      <w:r w:rsidR="00A62A1E">
        <w:rPr>
          <w:rFonts w:ascii="Arial" w:hAnsi="Arial" w:cs="Arial"/>
          <w:sz w:val="20"/>
          <w:szCs w:val="20"/>
        </w:rPr>
        <w:t xml:space="preserve">. Většina pracovišť VaV jsou pracoviště s několika málo pracovníky VaV </w:t>
      </w:r>
      <w:r w:rsidR="00A62A1E">
        <w:rPr>
          <w:rFonts w:ascii="Arial" w:hAnsi="Arial" w:cs="Arial"/>
          <w:sz w:val="20"/>
          <w:szCs w:val="20"/>
        </w:rPr>
        <w:lastRenderedPageBreak/>
        <w:t>a nízkými výdaji na VaV</w:t>
      </w:r>
      <w:r w:rsidR="009501FC">
        <w:rPr>
          <w:rFonts w:ascii="Arial" w:hAnsi="Arial" w:cs="Arial"/>
          <w:sz w:val="20"/>
          <w:szCs w:val="20"/>
        </w:rPr>
        <w:t xml:space="preserve">. </w:t>
      </w:r>
      <w:r w:rsidR="00130E2E">
        <w:rPr>
          <w:rFonts w:ascii="Arial" w:hAnsi="Arial" w:cs="Arial"/>
          <w:sz w:val="20"/>
          <w:szCs w:val="20"/>
        </w:rPr>
        <w:t xml:space="preserve">Dvě třetiny pracovišť VaV v roce 2019 uvedly, že na výzkumnou a vývojovou činnost vynaložily </w:t>
      </w:r>
      <w:r w:rsidR="009501FC">
        <w:rPr>
          <w:rFonts w:ascii="Arial" w:hAnsi="Arial" w:cs="Arial"/>
          <w:sz w:val="20"/>
          <w:szCs w:val="20"/>
        </w:rPr>
        <w:t>méně než 10</w:t>
      </w:r>
      <w:r w:rsidR="00130E2E">
        <w:rPr>
          <w:rFonts w:ascii="Arial" w:hAnsi="Arial" w:cs="Arial"/>
          <w:sz w:val="20"/>
          <w:szCs w:val="20"/>
        </w:rPr>
        <w:t> </w:t>
      </w:r>
      <w:r w:rsidR="009501FC">
        <w:rPr>
          <w:rFonts w:ascii="Arial" w:hAnsi="Arial" w:cs="Arial"/>
          <w:sz w:val="20"/>
          <w:szCs w:val="20"/>
        </w:rPr>
        <w:t>mil.</w:t>
      </w:r>
      <w:r w:rsidR="00130E2E">
        <w:rPr>
          <w:rFonts w:ascii="Arial" w:hAnsi="Arial" w:cs="Arial"/>
          <w:sz w:val="20"/>
          <w:szCs w:val="20"/>
        </w:rPr>
        <w:t> </w:t>
      </w:r>
      <w:r w:rsidR="009501FC">
        <w:rPr>
          <w:rFonts w:ascii="Arial" w:hAnsi="Arial" w:cs="Arial"/>
          <w:sz w:val="20"/>
          <w:szCs w:val="20"/>
        </w:rPr>
        <w:t>Kč</w:t>
      </w:r>
      <w:r w:rsidR="00130E2E">
        <w:rPr>
          <w:rFonts w:ascii="Arial" w:hAnsi="Arial" w:cs="Arial"/>
          <w:sz w:val="20"/>
          <w:szCs w:val="20"/>
        </w:rPr>
        <w:t xml:space="preserve"> a v součtu se tak na všech těchto pracovištích za </w:t>
      </w:r>
      <w:proofErr w:type="spellStart"/>
      <w:r w:rsidR="00130E2E">
        <w:rPr>
          <w:rFonts w:ascii="Arial" w:hAnsi="Arial" w:cs="Arial"/>
          <w:sz w:val="20"/>
          <w:szCs w:val="20"/>
        </w:rPr>
        <w:t>VaV</w:t>
      </w:r>
      <w:proofErr w:type="spellEnd"/>
      <w:r w:rsidR="00130E2E">
        <w:rPr>
          <w:rFonts w:ascii="Arial" w:hAnsi="Arial" w:cs="Arial"/>
          <w:sz w:val="20"/>
          <w:szCs w:val="20"/>
        </w:rPr>
        <w:t xml:space="preserve"> utratilo celkem</w:t>
      </w:r>
      <w:r w:rsidR="009501FC">
        <w:rPr>
          <w:rFonts w:ascii="Arial" w:hAnsi="Arial" w:cs="Arial"/>
          <w:sz w:val="20"/>
          <w:szCs w:val="20"/>
        </w:rPr>
        <w:t xml:space="preserve"> 6,5 mld. Kč, kter</w:t>
      </w:r>
      <w:r w:rsidR="00130E2E">
        <w:rPr>
          <w:rFonts w:ascii="Arial" w:hAnsi="Arial" w:cs="Arial"/>
          <w:sz w:val="20"/>
          <w:szCs w:val="20"/>
        </w:rPr>
        <w:t>é</w:t>
      </w:r>
      <w:r w:rsidR="009501FC">
        <w:rPr>
          <w:rFonts w:ascii="Arial" w:hAnsi="Arial" w:cs="Arial"/>
          <w:sz w:val="20"/>
          <w:szCs w:val="20"/>
        </w:rPr>
        <w:t xml:space="preserve"> </w:t>
      </w:r>
      <w:r w:rsidR="00130E2E">
        <w:rPr>
          <w:rFonts w:ascii="Arial" w:hAnsi="Arial" w:cs="Arial"/>
          <w:sz w:val="20"/>
          <w:szCs w:val="20"/>
        </w:rPr>
        <w:t xml:space="preserve">ve zmiňovaném roce </w:t>
      </w:r>
      <w:r w:rsidR="009501FC">
        <w:rPr>
          <w:rFonts w:ascii="Arial" w:hAnsi="Arial" w:cs="Arial"/>
          <w:sz w:val="20"/>
          <w:szCs w:val="20"/>
        </w:rPr>
        <w:t>tvořil</w:t>
      </w:r>
      <w:r w:rsidR="00130E2E">
        <w:rPr>
          <w:rFonts w:ascii="Arial" w:hAnsi="Arial" w:cs="Arial"/>
          <w:sz w:val="20"/>
          <w:szCs w:val="20"/>
        </w:rPr>
        <w:t>y</w:t>
      </w:r>
      <w:r w:rsidR="009501FC">
        <w:rPr>
          <w:rFonts w:ascii="Arial" w:hAnsi="Arial" w:cs="Arial"/>
          <w:sz w:val="20"/>
          <w:szCs w:val="20"/>
        </w:rPr>
        <w:t xml:space="preserve"> 6 % celkových výdajů na </w:t>
      </w:r>
      <w:proofErr w:type="spellStart"/>
      <w:r w:rsidR="009501FC">
        <w:rPr>
          <w:rFonts w:ascii="Arial" w:hAnsi="Arial" w:cs="Arial"/>
          <w:sz w:val="20"/>
          <w:szCs w:val="20"/>
        </w:rPr>
        <w:t>VaV</w:t>
      </w:r>
      <w:proofErr w:type="spellEnd"/>
      <w:r w:rsidR="009501FC">
        <w:rPr>
          <w:rFonts w:ascii="Arial" w:hAnsi="Arial" w:cs="Arial"/>
          <w:sz w:val="20"/>
          <w:szCs w:val="20"/>
        </w:rPr>
        <w:t xml:space="preserve">. Naopak více než 100 mil. Kč na VaV vynaložilo </w:t>
      </w:r>
      <w:r w:rsidR="006D1AA3">
        <w:rPr>
          <w:rFonts w:ascii="Arial" w:hAnsi="Arial" w:cs="Arial"/>
          <w:sz w:val="20"/>
          <w:szCs w:val="20"/>
        </w:rPr>
        <w:t xml:space="preserve">v Česku </w:t>
      </w:r>
      <w:r w:rsidR="009501FC">
        <w:rPr>
          <w:rFonts w:ascii="Arial" w:hAnsi="Arial" w:cs="Arial"/>
          <w:sz w:val="20"/>
          <w:szCs w:val="20"/>
        </w:rPr>
        <w:t xml:space="preserve">232 pracovišť, </w:t>
      </w:r>
      <w:r w:rsidR="006D1AA3">
        <w:rPr>
          <w:rFonts w:ascii="Arial" w:hAnsi="Arial" w:cs="Arial"/>
          <w:sz w:val="20"/>
          <w:szCs w:val="20"/>
        </w:rPr>
        <w:t xml:space="preserve">což představovalo </w:t>
      </w:r>
      <w:r w:rsidR="009501FC">
        <w:rPr>
          <w:rFonts w:ascii="Arial" w:hAnsi="Arial" w:cs="Arial"/>
          <w:sz w:val="20"/>
          <w:szCs w:val="20"/>
        </w:rPr>
        <w:t>7</w:t>
      </w:r>
      <w:r w:rsidR="00130E2E">
        <w:rPr>
          <w:rFonts w:ascii="Arial" w:hAnsi="Arial" w:cs="Arial"/>
          <w:sz w:val="20"/>
          <w:szCs w:val="20"/>
        </w:rPr>
        <w:t> </w:t>
      </w:r>
      <w:r w:rsidR="009501FC">
        <w:rPr>
          <w:rFonts w:ascii="Arial" w:hAnsi="Arial" w:cs="Arial"/>
          <w:sz w:val="20"/>
          <w:szCs w:val="20"/>
        </w:rPr>
        <w:t xml:space="preserve">% pracovišť </w:t>
      </w:r>
      <w:proofErr w:type="spellStart"/>
      <w:r w:rsidR="009501FC">
        <w:rPr>
          <w:rFonts w:ascii="Arial" w:hAnsi="Arial" w:cs="Arial"/>
          <w:sz w:val="20"/>
          <w:szCs w:val="20"/>
        </w:rPr>
        <w:t>VaV</w:t>
      </w:r>
      <w:proofErr w:type="spellEnd"/>
      <w:r w:rsidR="00DF7C0A">
        <w:rPr>
          <w:rFonts w:ascii="Arial" w:hAnsi="Arial" w:cs="Arial"/>
          <w:sz w:val="20"/>
          <w:szCs w:val="20"/>
        </w:rPr>
        <w:t xml:space="preserve"> na našem území</w:t>
      </w:r>
      <w:r w:rsidR="006D1AA3">
        <w:rPr>
          <w:rFonts w:ascii="Arial" w:hAnsi="Arial" w:cs="Arial"/>
          <w:sz w:val="20"/>
          <w:szCs w:val="20"/>
        </w:rPr>
        <w:t xml:space="preserve"> a c</w:t>
      </w:r>
      <w:r w:rsidR="009501FC">
        <w:rPr>
          <w:rFonts w:ascii="Arial" w:hAnsi="Arial" w:cs="Arial"/>
          <w:sz w:val="20"/>
          <w:szCs w:val="20"/>
        </w:rPr>
        <w:t xml:space="preserve">elkem na těchto pracovištích </w:t>
      </w:r>
      <w:r w:rsidR="006D1AA3">
        <w:rPr>
          <w:rFonts w:ascii="Arial" w:hAnsi="Arial" w:cs="Arial"/>
          <w:sz w:val="20"/>
          <w:szCs w:val="20"/>
        </w:rPr>
        <w:t xml:space="preserve">směřovalo do </w:t>
      </w:r>
      <w:proofErr w:type="spellStart"/>
      <w:r w:rsidR="009501FC">
        <w:rPr>
          <w:rFonts w:ascii="Arial" w:hAnsi="Arial" w:cs="Arial"/>
          <w:sz w:val="20"/>
          <w:szCs w:val="20"/>
        </w:rPr>
        <w:t>VaV</w:t>
      </w:r>
      <w:proofErr w:type="spellEnd"/>
      <w:r w:rsidR="009501FC">
        <w:rPr>
          <w:rFonts w:ascii="Arial" w:hAnsi="Arial" w:cs="Arial"/>
          <w:sz w:val="20"/>
          <w:szCs w:val="20"/>
        </w:rPr>
        <w:t xml:space="preserve"> téměř 80 mld. Kč. (</w:t>
      </w:r>
      <w:r w:rsidR="006D1AA3">
        <w:rPr>
          <w:rFonts w:ascii="Arial" w:hAnsi="Arial" w:cs="Arial"/>
          <w:sz w:val="20"/>
          <w:szCs w:val="20"/>
        </w:rPr>
        <w:t>71 </w:t>
      </w:r>
      <w:r w:rsidR="009501FC">
        <w:rPr>
          <w:rFonts w:ascii="Arial" w:hAnsi="Arial" w:cs="Arial"/>
          <w:sz w:val="20"/>
          <w:szCs w:val="20"/>
        </w:rPr>
        <w:t>% celkových výdajů na VaV). Nejvíce pracovišť s vysokými výda</w:t>
      </w:r>
      <w:r w:rsidR="00DF7C0A">
        <w:rPr>
          <w:rFonts w:ascii="Arial" w:hAnsi="Arial" w:cs="Arial"/>
          <w:sz w:val="20"/>
          <w:szCs w:val="20"/>
        </w:rPr>
        <w:t>ji na VaV nalezneme v podnikatelském sektoru</w:t>
      </w:r>
      <w:r w:rsidR="006D1AA3">
        <w:rPr>
          <w:rFonts w:ascii="Arial" w:hAnsi="Arial" w:cs="Arial"/>
          <w:sz w:val="20"/>
          <w:szCs w:val="20"/>
        </w:rPr>
        <w:t>,</w:t>
      </w:r>
      <w:r w:rsidR="00DF7C0A">
        <w:rPr>
          <w:rFonts w:ascii="Arial" w:hAnsi="Arial" w:cs="Arial"/>
          <w:sz w:val="20"/>
          <w:szCs w:val="20"/>
        </w:rPr>
        <w:t xml:space="preserve"> </w:t>
      </w:r>
      <w:r w:rsidR="006D1AA3">
        <w:rPr>
          <w:rFonts w:ascii="Arial" w:hAnsi="Arial" w:cs="Arial"/>
          <w:sz w:val="20"/>
          <w:szCs w:val="20"/>
        </w:rPr>
        <w:t>v</w:t>
      </w:r>
      <w:r w:rsidR="00DF7C0A">
        <w:rPr>
          <w:rFonts w:ascii="Arial" w:hAnsi="Arial" w:cs="Arial"/>
          <w:sz w:val="20"/>
          <w:szCs w:val="20"/>
        </w:rPr>
        <w:t> roce 2019 jich bylo</w:t>
      </w:r>
      <w:r w:rsidR="009501FC">
        <w:rPr>
          <w:rFonts w:ascii="Arial" w:hAnsi="Arial" w:cs="Arial"/>
          <w:sz w:val="20"/>
          <w:szCs w:val="20"/>
        </w:rPr>
        <w:t xml:space="preserve"> 110. Na 10 pracovištích </w:t>
      </w:r>
      <w:r w:rsidR="00877BD7">
        <w:rPr>
          <w:rFonts w:ascii="Arial" w:hAnsi="Arial" w:cs="Arial"/>
          <w:sz w:val="20"/>
          <w:szCs w:val="20"/>
        </w:rPr>
        <w:t>byla vynaložena</w:t>
      </w:r>
      <w:r w:rsidR="009501FC">
        <w:rPr>
          <w:rFonts w:ascii="Arial" w:hAnsi="Arial" w:cs="Arial"/>
          <w:sz w:val="20"/>
          <w:szCs w:val="20"/>
        </w:rPr>
        <w:t xml:space="preserve"> dokonce </w:t>
      </w:r>
      <w:r w:rsidR="00877BD7">
        <w:rPr>
          <w:rFonts w:ascii="Arial" w:hAnsi="Arial" w:cs="Arial"/>
          <w:sz w:val="20"/>
          <w:szCs w:val="20"/>
        </w:rPr>
        <w:t>částka vyšší</w:t>
      </w:r>
      <w:r w:rsidR="009501FC">
        <w:rPr>
          <w:rFonts w:ascii="Arial" w:hAnsi="Arial" w:cs="Arial"/>
          <w:sz w:val="20"/>
          <w:szCs w:val="20"/>
        </w:rPr>
        <w:t xml:space="preserve"> než 1</w:t>
      </w:r>
      <w:r w:rsidR="00877BD7">
        <w:rPr>
          <w:rFonts w:ascii="Arial" w:hAnsi="Arial" w:cs="Arial"/>
          <w:sz w:val="20"/>
          <w:szCs w:val="20"/>
        </w:rPr>
        <w:t> </w:t>
      </w:r>
      <w:r w:rsidR="009501FC">
        <w:rPr>
          <w:rFonts w:ascii="Arial" w:hAnsi="Arial" w:cs="Arial"/>
          <w:sz w:val="20"/>
          <w:szCs w:val="20"/>
        </w:rPr>
        <w:t>mld.</w:t>
      </w:r>
      <w:r w:rsidR="00877BD7">
        <w:rPr>
          <w:rFonts w:ascii="Arial" w:hAnsi="Arial" w:cs="Arial"/>
          <w:sz w:val="20"/>
          <w:szCs w:val="20"/>
        </w:rPr>
        <w:t> </w:t>
      </w:r>
      <w:r w:rsidR="009501FC">
        <w:rPr>
          <w:rFonts w:ascii="Arial" w:hAnsi="Arial" w:cs="Arial"/>
          <w:sz w:val="20"/>
          <w:szCs w:val="20"/>
        </w:rPr>
        <w:t>Kč</w:t>
      </w:r>
      <w:r w:rsidR="00877BD7">
        <w:rPr>
          <w:rFonts w:ascii="Arial" w:hAnsi="Arial" w:cs="Arial"/>
          <w:sz w:val="20"/>
          <w:szCs w:val="20"/>
        </w:rPr>
        <w:t xml:space="preserve"> a dohromady tak hodnota financí alokovaných do VaV na těchto pracovištích přesáhla 16 mld. Kč</w:t>
      </w:r>
      <w:r w:rsidR="00851826">
        <w:rPr>
          <w:rFonts w:ascii="Arial" w:hAnsi="Arial" w:cs="Arial"/>
          <w:sz w:val="20"/>
          <w:szCs w:val="20"/>
        </w:rPr>
        <w:t xml:space="preserve">, což bylo </w:t>
      </w:r>
      <w:r w:rsidR="009501FC">
        <w:rPr>
          <w:rFonts w:ascii="Arial" w:hAnsi="Arial" w:cs="Arial"/>
          <w:sz w:val="20"/>
          <w:szCs w:val="20"/>
        </w:rPr>
        <w:t>15 %</w:t>
      </w:r>
      <w:r w:rsidR="001908C9">
        <w:rPr>
          <w:rFonts w:ascii="Arial" w:hAnsi="Arial" w:cs="Arial"/>
          <w:sz w:val="20"/>
          <w:szCs w:val="20"/>
        </w:rPr>
        <w:t xml:space="preserve"> celkových výdajů na </w:t>
      </w:r>
      <w:proofErr w:type="spellStart"/>
      <w:r w:rsidR="001908C9">
        <w:rPr>
          <w:rFonts w:ascii="Arial" w:hAnsi="Arial" w:cs="Arial"/>
          <w:sz w:val="20"/>
          <w:szCs w:val="20"/>
        </w:rPr>
        <w:t>VaV</w:t>
      </w:r>
      <w:proofErr w:type="spellEnd"/>
      <w:r w:rsidR="001908C9">
        <w:rPr>
          <w:rFonts w:ascii="Arial" w:hAnsi="Arial" w:cs="Arial"/>
          <w:sz w:val="20"/>
          <w:szCs w:val="20"/>
        </w:rPr>
        <w:t xml:space="preserve">. Nejvíce pracovišť VaV nalezneme v Praze a v Jihomoravském kraji. V Praze </w:t>
      </w:r>
      <w:r w:rsidR="00DF7C0A">
        <w:rPr>
          <w:rFonts w:ascii="Arial" w:hAnsi="Arial" w:cs="Arial"/>
          <w:sz w:val="20"/>
          <w:szCs w:val="20"/>
        </w:rPr>
        <w:t>jich</w:t>
      </w:r>
      <w:r w:rsidR="001908C9">
        <w:rPr>
          <w:rFonts w:ascii="Arial" w:hAnsi="Arial" w:cs="Arial"/>
          <w:sz w:val="20"/>
          <w:szCs w:val="20"/>
        </w:rPr>
        <w:t xml:space="preserve"> v roce 2019 </w:t>
      </w:r>
      <w:r w:rsidR="00DF7C0A">
        <w:rPr>
          <w:rFonts w:ascii="Arial" w:hAnsi="Arial" w:cs="Arial"/>
          <w:sz w:val="20"/>
          <w:szCs w:val="20"/>
        </w:rPr>
        <w:t xml:space="preserve">bylo </w:t>
      </w:r>
      <w:r w:rsidR="001908C9">
        <w:rPr>
          <w:rFonts w:ascii="Arial" w:hAnsi="Arial" w:cs="Arial"/>
          <w:sz w:val="20"/>
          <w:szCs w:val="20"/>
        </w:rPr>
        <w:t xml:space="preserve">celkem 680 </w:t>
      </w:r>
      <w:r w:rsidR="0065111B">
        <w:rPr>
          <w:rFonts w:ascii="Arial" w:hAnsi="Arial" w:cs="Arial"/>
          <w:sz w:val="20"/>
          <w:szCs w:val="20"/>
        </w:rPr>
        <w:t xml:space="preserve">(21 </w:t>
      </w:r>
      <w:r w:rsidR="00DF7C0A">
        <w:rPr>
          <w:rFonts w:ascii="Arial" w:hAnsi="Arial" w:cs="Arial"/>
          <w:sz w:val="20"/>
          <w:szCs w:val="20"/>
        </w:rPr>
        <w:t>% pracovišť VaV</w:t>
      </w:r>
      <w:r w:rsidR="0065111B">
        <w:rPr>
          <w:rFonts w:ascii="Arial" w:hAnsi="Arial" w:cs="Arial"/>
          <w:sz w:val="20"/>
          <w:szCs w:val="20"/>
        </w:rPr>
        <w:t xml:space="preserve">), v Jihomoravském kraji 537 (17 </w:t>
      </w:r>
      <w:r w:rsidR="00DF7C0A">
        <w:rPr>
          <w:rFonts w:ascii="Arial" w:hAnsi="Arial" w:cs="Arial"/>
          <w:sz w:val="20"/>
          <w:szCs w:val="20"/>
        </w:rPr>
        <w:t>% pracovišť VaV</w:t>
      </w:r>
      <w:r w:rsidR="0065111B">
        <w:rPr>
          <w:rFonts w:ascii="Arial" w:hAnsi="Arial" w:cs="Arial"/>
          <w:sz w:val="20"/>
          <w:szCs w:val="20"/>
        </w:rPr>
        <w:t xml:space="preserve">). Následovaly </w:t>
      </w:r>
      <w:r w:rsidR="00761605">
        <w:rPr>
          <w:rFonts w:ascii="Arial" w:hAnsi="Arial" w:cs="Arial"/>
          <w:sz w:val="20"/>
          <w:szCs w:val="20"/>
        </w:rPr>
        <w:t xml:space="preserve">kraje </w:t>
      </w:r>
      <w:r w:rsidR="0065111B">
        <w:rPr>
          <w:rFonts w:ascii="Arial" w:hAnsi="Arial" w:cs="Arial"/>
          <w:sz w:val="20"/>
          <w:szCs w:val="20"/>
        </w:rPr>
        <w:t xml:space="preserve">Moravskoslezský a Středočeský, každý s přibližně třemi stovkami pracovišť VaV. Ve Zlínském kraji bylo 224 pracovišť VaV. V dalších 8 krajích bylo mezi 100 a 200 pracovišti </w:t>
      </w:r>
      <w:proofErr w:type="spellStart"/>
      <w:r w:rsidR="0065111B">
        <w:rPr>
          <w:rFonts w:ascii="Arial" w:hAnsi="Arial" w:cs="Arial"/>
          <w:sz w:val="20"/>
          <w:szCs w:val="20"/>
        </w:rPr>
        <w:t>VaV</w:t>
      </w:r>
      <w:proofErr w:type="spellEnd"/>
      <w:r w:rsidR="0065111B">
        <w:rPr>
          <w:rFonts w:ascii="Arial" w:hAnsi="Arial" w:cs="Arial"/>
          <w:sz w:val="20"/>
          <w:szCs w:val="20"/>
        </w:rPr>
        <w:t xml:space="preserve"> a v</w:t>
      </w:r>
      <w:r w:rsidR="00CC0027">
        <w:rPr>
          <w:rFonts w:ascii="Arial" w:hAnsi="Arial" w:cs="Arial"/>
          <w:sz w:val="20"/>
          <w:szCs w:val="20"/>
        </w:rPr>
        <w:t xml:space="preserve"> </w:t>
      </w:r>
      <w:r w:rsidR="0065111B">
        <w:rPr>
          <w:rFonts w:ascii="Arial" w:hAnsi="Arial" w:cs="Arial"/>
          <w:sz w:val="20"/>
          <w:szCs w:val="20"/>
        </w:rPr>
        <w:t>posledním</w:t>
      </w:r>
      <w:r w:rsidR="00CC0027">
        <w:rPr>
          <w:rFonts w:ascii="Arial" w:hAnsi="Arial" w:cs="Arial"/>
          <w:sz w:val="20"/>
          <w:szCs w:val="20"/>
        </w:rPr>
        <w:t>,</w:t>
      </w:r>
      <w:r w:rsidR="0065111B">
        <w:rPr>
          <w:rFonts w:ascii="Arial" w:hAnsi="Arial" w:cs="Arial"/>
          <w:sz w:val="20"/>
          <w:szCs w:val="20"/>
        </w:rPr>
        <w:t xml:space="preserve"> Karlovarském kraji</w:t>
      </w:r>
      <w:r w:rsidR="00CC0027">
        <w:rPr>
          <w:rFonts w:ascii="Arial" w:hAnsi="Arial" w:cs="Arial"/>
          <w:sz w:val="20"/>
          <w:szCs w:val="20"/>
        </w:rPr>
        <w:t>,</w:t>
      </w:r>
      <w:r w:rsidR="0065111B">
        <w:rPr>
          <w:rFonts w:ascii="Arial" w:hAnsi="Arial" w:cs="Arial"/>
          <w:sz w:val="20"/>
          <w:szCs w:val="20"/>
        </w:rPr>
        <w:t xml:space="preserve"> </w:t>
      </w:r>
      <w:r w:rsidR="00CC0027">
        <w:rPr>
          <w:rFonts w:ascii="Arial" w:hAnsi="Arial" w:cs="Arial"/>
          <w:sz w:val="20"/>
          <w:szCs w:val="20"/>
        </w:rPr>
        <w:t>bylo v</w:t>
      </w:r>
      <w:r w:rsidR="0065111B">
        <w:rPr>
          <w:rFonts w:ascii="Arial" w:hAnsi="Arial" w:cs="Arial"/>
          <w:sz w:val="20"/>
          <w:szCs w:val="20"/>
        </w:rPr>
        <w:t xml:space="preserve"> roce 2019 </w:t>
      </w:r>
      <w:r w:rsidR="00CC0027">
        <w:rPr>
          <w:rFonts w:ascii="Arial" w:hAnsi="Arial" w:cs="Arial"/>
          <w:sz w:val="20"/>
          <w:szCs w:val="20"/>
        </w:rPr>
        <w:t>pouze</w:t>
      </w:r>
      <w:r w:rsidR="0065111B">
        <w:rPr>
          <w:rFonts w:ascii="Arial" w:hAnsi="Arial" w:cs="Arial"/>
          <w:sz w:val="20"/>
          <w:szCs w:val="20"/>
        </w:rPr>
        <w:t xml:space="preserve"> 27 pracovišť </w:t>
      </w:r>
      <w:proofErr w:type="spellStart"/>
      <w:r w:rsidR="0065111B">
        <w:rPr>
          <w:rFonts w:ascii="Arial" w:hAnsi="Arial" w:cs="Arial"/>
          <w:sz w:val="20"/>
          <w:szCs w:val="20"/>
        </w:rPr>
        <w:t>VaV</w:t>
      </w:r>
      <w:proofErr w:type="spellEnd"/>
      <w:r w:rsidR="0065111B">
        <w:rPr>
          <w:rFonts w:ascii="Arial" w:hAnsi="Arial" w:cs="Arial"/>
          <w:sz w:val="20"/>
          <w:szCs w:val="20"/>
        </w:rPr>
        <w:t>.</w:t>
      </w:r>
    </w:p>
    <w:p w14:paraId="7D042B66" w14:textId="765B3A1B" w:rsidR="00BF4AA3" w:rsidRDefault="004A402C" w:rsidP="00C8692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3B9C3A" wp14:editId="1937F878">
            <wp:simplePos x="0" y="0"/>
            <wp:positionH relativeFrom="column">
              <wp:posOffset>3928110</wp:posOffset>
            </wp:positionH>
            <wp:positionV relativeFrom="paragraph">
              <wp:posOffset>451485</wp:posOffset>
            </wp:positionV>
            <wp:extent cx="1771651" cy="1562100"/>
            <wp:effectExtent l="0" t="0" r="0" b="0"/>
            <wp:wrapNone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7C7456E3" wp14:editId="2151D205">
            <wp:extent cx="6120000" cy="456247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6C4F4A">
        <w:rPr>
          <w:rFonts w:ascii="Arial" w:hAnsi="Arial" w:cs="Arial"/>
          <w:sz w:val="20"/>
          <w:szCs w:val="20"/>
        </w:rPr>
        <w:t>Rok 2019 byl rekordní ve výši výdajů na VaV, počtu pracovišť VaV i počtu pracovníků VaV. Výzkum</w:t>
      </w:r>
      <w:r w:rsidR="005E23F5">
        <w:rPr>
          <w:rFonts w:ascii="Arial" w:hAnsi="Arial" w:cs="Arial"/>
          <w:sz w:val="20"/>
          <w:szCs w:val="20"/>
        </w:rPr>
        <w:t>em</w:t>
      </w:r>
      <w:r w:rsidR="006C4F4A">
        <w:rPr>
          <w:rFonts w:ascii="Arial" w:hAnsi="Arial" w:cs="Arial"/>
          <w:sz w:val="20"/>
          <w:szCs w:val="20"/>
        </w:rPr>
        <w:t xml:space="preserve"> se zabývalo celkem 117,1 tis. fyzických osob</w:t>
      </w:r>
      <w:r w:rsidR="005E23F5">
        <w:rPr>
          <w:rFonts w:ascii="Arial" w:hAnsi="Arial" w:cs="Arial"/>
          <w:sz w:val="20"/>
          <w:szCs w:val="20"/>
        </w:rPr>
        <w:t xml:space="preserve"> (HC)</w:t>
      </w:r>
      <w:r w:rsidR="006C4F4A">
        <w:rPr>
          <w:rFonts w:ascii="Arial" w:hAnsi="Arial" w:cs="Arial"/>
          <w:sz w:val="20"/>
          <w:szCs w:val="20"/>
        </w:rPr>
        <w:t>. V ukazateli přepočtených osob</w:t>
      </w:r>
      <w:r w:rsidR="005E23F5">
        <w:rPr>
          <w:rFonts w:ascii="Arial" w:hAnsi="Arial" w:cs="Arial"/>
          <w:sz w:val="20"/>
          <w:szCs w:val="20"/>
        </w:rPr>
        <w:t xml:space="preserve"> (FTE)</w:t>
      </w:r>
      <w:r w:rsidR="00EA089B">
        <w:rPr>
          <w:rFonts w:ascii="Arial" w:hAnsi="Arial" w:cs="Arial"/>
          <w:sz w:val="20"/>
          <w:szCs w:val="20"/>
        </w:rPr>
        <w:t>, který udává osoby přepočtené</w:t>
      </w:r>
      <w:r w:rsidR="006C4F4A">
        <w:rPr>
          <w:rFonts w:ascii="Arial" w:hAnsi="Arial" w:cs="Arial"/>
          <w:sz w:val="20"/>
          <w:szCs w:val="20"/>
        </w:rPr>
        <w:t xml:space="preserve"> na plný úvazek trávený </w:t>
      </w:r>
      <w:proofErr w:type="spellStart"/>
      <w:r w:rsidR="006C4F4A">
        <w:rPr>
          <w:rFonts w:ascii="Arial" w:hAnsi="Arial" w:cs="Arial"/>
          <w:sz w:val="20"/>
          <w:szCs w:val="20"/>
        </w:rPr>
        <w:t>VaV</w:t>
      </w:r>
      <w:proofErr w:type="spellEnd"/>
      <w:r w:rsidR="006C4F4A">
        <w:rPr>
          <w:rFonts w:ascii="Arial" w:hAnsi="Arial" w:cs="Arial"/>
          <w:sz w:val="20"/>
          <w:szCs w:val="20"/>
        </w:rPr>
        <w:t xml:space="preserve"> činnost</w:t>
      </w:r>
      <w:r w:rsidR="005634C8">
        <w:rPr>
          <w:rFonts w:ascii="Arial" w:hAnsi="Arial" w:cs="Arial"/>
          <w:sz w:val="20"/>
          <w:szCs w:val="20"/>
        </w:rPr>
        <w:t>í</w:t>
      </w:r>
      <w:r w:rsidR="006C4F4A">
        <w:rPr>
          <w:rFonts w:ascii="Arial" w:hAnsi="Arial" w:cs="Arial"/>
          <w:sz w:val="20"/>
          <w:szCs w:val="20"/>
        </w:rPr>
        <w:t>, pracovalo v Česku ve VaV celkem 79,2 tis. osob, které tvořily přibližně 1,5 % zaměstnané populace. Oproti roku 2018 se přepočtený počet pracovníků ve VaV zvýšil o 4 tisíce</w:t>
      </w:r>
      <w:r w:rsidR="005634C8">
        <w:rPr>
          <w:rFonts w:ascii="Arial" w:hAnsi="Arial" w:cs="Arial"/>
          <w:sz w:val="20"/>
          <w:szCs w:val="20"/>
        </w:rPr>
        <w:t xml:space="preserve"> a </w:t>
      </w:r>
      <w:r w:rsidR="006C4F4A">
        <w:rPr>
          <w:rFonts w:ascii="Arial" w:hAnsi="Arial" w:cs="Arial"/>
          <w:sz w:val="20"/>
          <w:szCs w:val="20"/>
        </w:rPr>
        <w:t>oproti roku 2017 dokonce téměř o deset tisíc.</w:t>
      </w:r>
      <w:r w:rsidR="005E23F5">
        <w:rPr>
          <w:rFonts w:ascii="Arial" w:hAnsi="Arial" w:cs="Arial"/>
          <w:sz w:val="20"/>
          <w:szCs w:val="20"/>
        </w:rPr>
        <w:t xml:space="preserve"> Nadpoloviční většina pracovníků VaV</w:t>
      </w:r>
      <w:r w:rsidR="006C4F4A">
        <w:rPr>
          <w:rFonts w:ascii="Arial" w:hAnsi="Arial" w:cs="Arial"/>
          <w:sz w:val="20"/>
          <w:szCs w:val="20"/>
        </w:rPr>
        <w:t xml:space="preserve"> </w:t>
      </w:r>
      <w:r w:rsidR="005E23F5">
        <w:rPr>
          <w:rFonts w:ascii="Arial" w:hAnsi="Arial" w:cs="Arial"/>
          <w:sz w:val="20"/>
          <w:szCs w:val="20"/>
        </w:rPr>
        <w:t xml:space="preserve">(FTE) se nachází v podnikatelském sektoru. V posledních letech se podíl podnikatelského sektoru na pracovnících ve VaV pohybuje okolo 57 %, vysokoškolský sektor </w:t>
      </w:r>
      <w:r w:rsidR="00EA089B">
        <w:rPr>
          <w:rFonts w:ascii="Arial" w:hAnsi="Arial" w:cs="Arial"/>
          <w:sz w:val="20"/>
          <w:szCs w:val="20"/>
        </w:rPr>
        <w:t xml:space="preserve">zaujímá </w:t>
      </w:r>
      <w:r w:rsidR="005E23F5">
        <w:rPr>
          <w:rFonts w:ascii="Arial" w:hAnsi="Arial" w:cs="Arial"/>
          <w:sz w:val="20"/>
          <w:szCs w:val="20"/>
        </w:rPr>
        <w:t>necelých 25 % a vládní sektor méně než 20 %</w:t>
      </w:r>
      <w:r w:rsidR="00EA089B">
        <w:rPr>
          <w:rFonts w:ascii="Arial" w:hAnsi="Arial" w:cs="Arial"/>
          <w:sz w:val="20"/>
          <w:szCs w:val="20"/>
        </w:rPr>
        <w:t xml:space="preserve"> pracovníků VaV</w:t>
      </w:r>
      <w:r w:rsidR="005E23F5">
        <w:rPr>
          <w:rFonts w:ascii="Arial" w:hAnsi="Arial" w:cs="Arial"/>
          <w:sz w:val="20"/>
          <w:szCs w:val="20"/>
        </w:rPr>
        <w:t>. Pro Českou republiku je charakteristické nízké zastoupení žen, které v roce 2019 tvořily</w:t>
      </w:r>
      <w:r w:rsidR="002764A8">
        <w:rPr>
          <w:rFonts w:ascii="Arial" w:hAnsi="Arial" w:cs="Arial"/>
          <w:sz w:val="20"/>
          <w:szCs w:val="20"/>
        </w:rPr>
        <w:t xml:space="preserve"> </w:t>
      </w:r>
      <w:r w:rsidR="005634C8">
        <w:rPr>
          <w:rFonts w:ascii="Arial" w:hAnsi="Arial" w:cs="Arial"/>
          <w:sz w:val="20"/>
          <w:szCs w:val="20"/>
        </w:rPr>
        <w:t>29 </w:t>
      </w:r>
      <w:r w:rsidR="002764A8">
        <w:rPr>
          <w:rFonts w:ascii="Arial" w:hAnsi="Arial" w:cs="Arial"/>
          <w:sz w:val="20"/>
          <w:szCs w:val="20"/>
        </w:rPr>
        <w:t xml:space="preserve">% pracovníků ve </w:t>
      </w:r>
      <w:proofErr w:type="spellStart"/>
      <w:r w:rsidR="002764A8">
        <w:rPr>
          <w:rFonts w:ascii="Arial" w:hAnsi="Arial" w:cs="Arial"/>
          <w:sz w:val="20"/>
          <w:szCs w:val="20"/>
        </w:rPr>
        <w:t>VaV</w:t>
      </w:r>
      <w:proofErr w:type="spellEnd"/>
      <w:r w:rsidR="002764A8">
        <w:rPr>
          <w:rFonts w:ascii="Arial" w:hAnsi="Arial" w:cs="Arial"/>
          <w:sz w:val="20"/>
          <w:szCs w:val="20"/>
        </w:rPr>
        <w:t xml:space="preserve">. Česko patří mezi několik málo států EU, kde je podíl žen ve </w:t>
      </w:r>
      <w:proofErr w:type="spellStart"/>
      <w:r w:rsidR="002764A8">
        <w:rPr>
          <w:rFonts w:ascii="Arial" w:hAnsi="Arial" w:cs="Arial"/>
          <w:sz w:val="20"/>
          <w:szCs w:val="20"/>
        </w:rPr>
        <w:t>VaV</w:t>
      </w:r>
      <w:proofErr w:type="spellEnd"/>
      <w:r w:rsidR="002764A8">
        <w:rPr>
          <w:rFonts w:ascii="Arial" w:hAnsi="Arial" w:cs="Arial"/>
          <w:sz w:val="20"/>
          <w:szCs w:val="20"/>
        </w:rPr>
        <w:t xml:space="preserve"> m</w:t>
      </w:r>
      <w:r w:rsidR="005634C8">
        <w:rPr>
          <w:rFonts w:ascii="Arial" w:hAnsi="Arial" w:cs="Arial"/>
          <w:sz w:val="20"/>
          <w:szCs w:val="20"/>
        </w:rPr>
        <w:t>enší</w:t>
      </w:r>
      <w:r w:rsidR="002764A8">
        <w:rPr>
          <w:rFonts w:ascii="Arial" w:hAnsi="Arial" w:cs="Arial"/>
          <w:sz w:val="20"/>
          <w:szCs w:val="20"/>
        </w:rPr>
        <w:t xml:space="preserve"> než </w:t>
      </w:r>
      <w:proofErr w:type="gramStart"/>
      <w:r w:rsidR="002764A8">
        <w:rPr>
          <w:rFonts w:ascii="Arial" w:hAnsi="Arial" w:cs="Arial"/>
          <w:sz w:val="20"/>
          <w:szCs w:val="20"/>
        </w:rPr>
        <w:t>30%</w:t>
      </w:r>
      <w:proofErr w:type="gramEnd"/>
      <w:r w:rsidR="002764A8">
        <w:rPr>
          <w:rFonts w:ascii="Arial" w:hAnsi="Arial" w:cs="Arial"/>
          <w:sz w:val="20"/>
          <w:szCs w:val="20"/>
        </w:rPr>
        <w:t>. Podíl žen je nízký především v podnikatelském sektoru, k</w:t>
      </w:r>
      <w:r w:rsidR="00EA089B">
        <w:rPr>
          <w:rFonts w:ascii="Arial" w:hAnsi="Arial" w:cs="Arial"/>
          <w:sz w:val="20"/>
          <w:szCs w:val="20"/>
        </w:rPr>
        <w:t>de byl v roce 2019 pouhých 17 %.</w:t>
      </w:r>
      <w:r w:rsidR="002764A8">
        <w:rPr>
          <w:rFonts w:ascii="Arial" w:hAnsi="Arial" w:cs="Arial"/>
          <w:sz w:val="20"/>
          <w:szCs w:val="20"/>
        </w:rPr>
        <w:t xml:space="preserve"> Vyšší byl na vysokých školách (41 %) a nejvíce jsou ženy zastoupeny ve vládním výzkum</w:t>
      </w:r>
      <w:r w:rsidR="00931679">
        <w:rPr>
          <w:rFonts w:ascii="Arial" w:hAnsi="Arial" w:cs="Arial"/>
          <w:sz w:val="20"/>
          <w:szCs w:val="20"/>
        </w:rPr>
        <w:t>u</w:t>
      </w:r>
      <w:r w:rsidR="002764A8">
        <w:rPr>
          <w:rFonts w:ascii="Arial" w:hAnsi="Arial" w:cs="Arial"/>
          <w:sz w:val="20"/>
          <w:szCs w:val="20"/>
        </w:rPr>
        <w:t>, kde v roce 2019 tvořily 48</w:t>
      </w:r>
      <w:r w:rsidR="005634C8">
        <w:rPr>
          <w:rFonts w:ascii="Arial" w:hAnsi="Arial" w:cs="Arial"/>
          <w:sz w:val="20"/>
          <w:szCs w:val="20"/>
        </w:rPr>
        <w:t> </w:t>
      </w:r>
      <w:r w:rsidR="002764A8">
        <w:rPr>
          <w:rFonts w:ascii="Arial" w:hAnsi="Arial" w:cs="Arial"/>
          <w:sz w:val="20"/>
          <w:szCs w:val="20"/>
        </w:rPr>
        <w:t xml:space="preserve">% pracovníků ve </w:t>
      </w:r>
      <w:proofErr w:type="spellStart"/>
      <w:r w:rsidR="002764A8">
        <w:rPr>
          <w:rFonts w:ascii="Arial" w:hAnsi="Arial" w:cs="Arial"/>
          <w:sz w:val="20"/>
          <w:szCs w:val="20"/>
        </w:rPr>
        <w:t>VaV</w:t>
      </w:r>
      <w:proofErr w:type="spellEnd"/>
      <w:r w:rsidR="002764A8">
        <w:rPr>
          <w:rFonts w:ascii="Arial" w:hAnsi="Arial" w:cs="Arial"/>
          <w:sz w:val="20"/>
          <w:szCs w:val="20"/>
        </w:rPr>
        <w:t>.</w:t>
      </w:r>
      <w:r w:rsidR="00867AD5">
        <w:rPr>
          <w:rFonts w:ascii="Arial" w:hAnsi="Arial" w:cs="Arial"/>
          <w:sz w:val="20"/>
          <w:szCs w:val="20"/>
        </w:rPr>
        <w:t xml:space="preserve"> Z hlediska regionálního roz</w:t>
      </w:r>
      <w:r w:rsidR="00EA089B">
        <w:rPr>
          <w:rFonts w:ascii="Arial" w:hAnsi="Arial" w:cs="Arial"/>
          <w:sz w:val="20"/>
          <w:szCs w:val="20"/>
        </w:rPr>
        <w:t>místě</w:t>
      </w:r>
      <w:r w:rsidR="00867AD5">
        <w:rPr>
          <w:rFonts w:ascii="Arial" w:hAnsi="Arial" w:cs="Arial"/>
          <w:sz w:val="20"/>
          <w:szCs w:val="20"/>
        </w:rPr>
        <w:t xml:space="preserve">ní pracovníků </w:t>
      </w:r>
      <w:r w:rsidR="00EA089B">
        <w:rPr>
          <w:rFonts w:ascii="Arial" w:hAnsi="Arial" w:cs="Arial"/>
          <w:sz w:val="20"/>
          <w:szCs w:val="20"/>
        </w:rPr>
        <w:t>ve VaV, jich nejvíce najdeme v H</w:t>
      </w:r>
      <w:r w:rsidR="00867AD5">
        <w:rPr>
          <w:rFonts w:ascii="Arial" w:hAnsi="Arial" w:cs="Arial"/>
          <w:sz w:val="20"/>
          <w:szCs w:val="20"/>
        </w:rPr>
        <w:t xml:space="preserve">lavním </w:t>
      </w:r>
      <w:r w:rsidR="00867AD5">
        <w:rPr>
          <w:rFonts w:ascii="Arial" w:hAnsi="Arial" w:cs="Arial"/>
          <w:sz w:val="20"/>
          <w:szCs w:val="20"/>
        </w:rPr>
        <w:lastRenderedPageBreak/>
        <w:t>městě Praze, kde v roce 2019 pracovalo ve VaV celkem 28,4 tis. osob (FTE). Obdobně jako ve výdajích na VaV zaujímá Praha i v</w:t>
      </w:r>
      <w:r w:rsidR="00EA089B">
        <w:rPr>
          <w:rFonts w:ascii="Arial" w:hAnsi="Arial" w:cs="Arial"/>
          <w:sz w:val="20"/>
          <w:szCs w:val="20"/>
        </w:rPr>
        <w:t> </w:t>
      </w:r>
      <w:r w:rsidR="00867AD5">
        <w:rPr>
          <w:rFonts w:ascii="Arial" w:hAnsi="Arial" w:cs="Arial"/>
          <w:sz w:val="20"/>
          <w:szCs w:val="20"/>
        </w:rPr>
        <w:t>pracovnících</w:t>
      </w:r>
      <w:r w:rsidR="00EA089B">
        <w:rPr>
          <w:rFonts w:ascii="Arial" w:hAnsi="Arial" w:cs="Arial"/>
          <w:sz w:val="20"/>
          <w:szCs w:val="20"/>
        </w:rPr>
        <w:t xml:space="preserve"> ve VaV</w:t>
      </w:r>
      <w:r w:rsidR="00867AD5">
        <w:rPr>
          <w:rFonts w:ascii="Arial" w:hAnsi="Arial" w:cs="Arial"/>
          <w:sz w:val="20"/>
          <w:szCs w:val="20"/>
        </w:rPr>
        <w:t xml:space="preserve"> 36% podíl. Na druhém místě s 15 tis. pracovníky </w:t>
      </w:r>
      <w:r w:rsidR="00EA089B">
        <w:rPr>
          <w:rFonts w:ascii="Arial" w:hAnsi="Arial" w:cs="Arial"/>
          <w:sz w:val="20"/>
          <w:szCs w:val="20"/>
        </w:rPr>
        <w:t xml:space="preserve">ve </w:t>
      </w:r>
      <w:r w:rsidR="00867AD5">
        <w:rPr>
          <w:rFonts w:ascii="Arial" w:hAnsi="Arial" w:cs="Arial"/>
          <w:sz w:val="20"/>
          <w:szCs w:val="20"/>
        </w:rPr>
        <w:t>VaV (FTE) byl Jihomoravský kraj a s velkým odstupem na třetím místě Středočeský kraj s 8,2 tis. pracovníky ve VaV (FTE). V žádném dalším kraji nepřekročil</w:t>
      </w:r>
      <w:r w:rsidR="003638D1">
        <w:rPr>
          <w:rFonts w:ascii="Arial" w:hAnsi="Arial" w:cs="Arial"/>
          <w:sz w:val="20"/>
          <w:szCs w:val="20"/>
        </w:rPr>
        <w:t xml:space="preserve"> počet pracovníků ve VaV 5 tis. osob (FTE).</w:t>
      </w:r>
    </w:p>
    <w:p w14:paraId="2AA8219A" w14:textId="77777777" w:rsidR="003218DA" w:rsidRPr="00456552" w:rsidRDefault="003218DA" w:rsidP="003218DA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 podnikatelském sektoru</w:t>
      </w:r>
    </w:p>
    <w:p w14:paraId="0F1DE398" w14:textId="0345C430" w:rsidR="003218DA" w:rsidRDefault="004A402C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218DA">
        <w:rPr>
          <w:rFonts w:ascii="Arial" w:hAnsi="Arial" w:cs="Arial"/>
          <w:sz w:val="20"/>
          <w:szCs w:val="20"/>
        </w:rPr>
        <w:t xml:space="preserve">Výdaje na VaV v podnikatelském sektoru vzrostly od roku 2016 o 20 mld. Kč a v roce 2019 dosáhly rekordních 68,8 mld. Kč. Ve srovnání s předchozím rokem jde o výrazný 8% meziroční nárůst. </w:t>
      </w:r>
      <w:r w:rsidR="004A1886">
        <w:rPr>
          <w:rFonts w:ascii="Arial" w:hAnsi="Arial" w:cs="Arial"/>
          <w:sz w:val="20"/>
          <w:szCs w:val="20"/>
        </w:rPr>
        <w:t xml:space="preserve">Podíl podnikatelského sektoru na celkových výdajích na VaV přesahuje 60 %. </w:t>
      </w:r>
      <w:r w:rsidR="00BB354B">
        <w:rPr>
          <w:rFonts w:ascii="Arial" w:hAnsi="Arial" w:cs="Arial"/>
          <w:sz w:val="20"/>
          <w:szCs w:val="20"/>
        </w:rPr>
        <w:t xml:space="preserve">Téměř 2/3 výdajů na VaV se vynakládají v podnicích pod zahraniční kontrolou. Tyto podniky tvoří jen necelou </w:t>
      </w:r>
      <w:r w:rsidR="005B3567">
        <w:rPr>
          <w:rFonts w:ascii="Arial" w:hAnsi="Arial" w:cs="Arial"/>
          <w:sz w:val="20"/>
          <w:szCs w:val="20"/>
        </w:rPr>
        <w:t xml:space="preserve">čtvrtinu </w:t>
      </w:r>
      <w:r w:rsidR="00EA089B">
        <w:rPr>
          <w:rFonts w:ascii="Arial" w:hAnsi="Arial" w:cs="Arial"/>
          <w:sz w:val="20"/>
          <w:szCs w:val="20"/>
        </w:rPr>
        <w:t>podniků provádějících u nás VaV,</w:t>
      </w:r>
      <w:r w:rsidR="00BB354B">
        <w:rPr>
          <w:rFonts w:ascii="Arial" w:hAnsi="Arial" w:cs="Arial"/>
          <w:sz w:val="20"/>
          <w:szCs w:val="20"/>
        </w:rPr>
        <w:t xml:space="preserve"> přesto se v nich v roce 2019 vynaložilo na tuto činnost celkem 44,6 mld. Kč. Nejvíce podniků provádějících VaV řadíme mezi soukromé domácí podniky, kterých bylo v roce 2019 přibližně 2 tis. (3/4 podniků) a s 22 mld. Kč se na výdajích na VaV podílely z necelé jedné třetiny. Meziročně vzrostly výdaje na VaV soukromých domácích podniků o 2,5 mld. Kč, </w:t>
      </w:r>
      <w:r w:rsidR="009030D4">
        <w:rPr>
          <w:rFonts w:ascii="Arial" w:hAnsi="Arial" w:cs="Arial"/>
          <w:sz w:val="20"/>
          <w:szCs w:val="20"/>
        </w:rPr>
        <w:t>o obdobnou částku vzrostly i výdaje</w:t>
      </w:r>
      <w:r w:rsidR="00EA089B">
        <w:rPr>
          <w:rFonts w:ascii="Arial" w:hAnsi="Arial" w:cs="Arial"/>
          <w:sz w:val="20"/>
          <w:szCs w:val="20"/>
        </w:rPr>
        <w:t xml:space="preserve"> na VaV</w:t>
      </w:r>
      <w:r w:rsidR="009030D4">
        <w:rPr>
          <w:rFonts w:ascii="Arial" w:hAnsi="Arial" w:cs="Arial"/>
          <w:sz w:val="20"/>
          <w:szCs w:val="20"/>
        </w:rPr>
        <w:t xml:space="preserve"> podniků pod zahraniční kontrolou. </w:t>
      </w:r>
      <w:r w:rsidR="00BB354B">
        <w:rPr>
          <w:rFonts w:ascii="Arial" w:hAnsi="Arial" w:cs="Arial"/>
          <w:sz w:val="20"/>
          <w:szCs w:val="20"/>
        </w:rPr>
        <w:t xml:space="preserve">Do podnikatelského sektoru řadíme ještě veřejné podniky, </w:t>
      </w:r>
      <w:r w:rsidR="00AE74C4">
        <w:rPr>
          <w:rFonts w:ascii="Arial" w:hAnsi="Arial" w:cs="Arial"/>
          <w:sz w:val="20"/>
          <w:szCs w:val="20"/>
        </w:rPr>
        <w:t xml:space="preserve">kterých bylo v roce 2019 celkem 57 a jejich výdaje na VaV </w:t>
      </w:r>
      <w:r w:rsidR="00EA089B">
        <w:rPr>
          <w:rFonts w:ascii="Arial" w:hAnsi="Arial" w:cs="Arial"/>
          <w:sz w:val="20"/>
          <w:szCs w:val="20"/>
        </w:rPr>
        <w:t xml:space="preserve">byly </w:t>
      </w:r>
      <w:r w:rsidR="00AE74C4">
        <w:rPr>
          <w:rFonts w:ascii="Arial" w:hAnsi="Arial" w:cs="Arial"/>
          <w:sz w:val="20"/>
          <w:szCs w:val="20"/>
        </w:rPr>
        <w:t>2,2 mld. Kč.</w:t>
      </w:r>
    </w:p>
    <w:p w14:paraId="0F3B6882" w14:textId="5A0F0279" w:rsidR="00AE74C4" w:rsidRDefault="004A402C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34D8DC2" wp14:editId="7896F92E">
            <wp:extent cx="6120000" cy="3495675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AE74C4">
        <w:rPr>
          <w:rFonts w:ascii="Arial" w:hAnsi="Arial" w:cs="Arial"/>
          <w:sz w:val="20"/>
          <w:szCs w:val="20"/>
        </w:rPr>
        <w:t xml:space="preserve">Celkem </w:t>
      </w:r>
      <w:r w:rsidR="00EA089B">
        <w:rPr>
          <w:rFonts w:ascii="Arial" w:hAnsi="Arial" w:cs="Arial"/>
          <w:sz w:val="20"/>
          <w:szCs w:val="20"/>
        </w:rPr>
        <w:t xml:space="preserve">v roce 2019 </w:t>
      </w:r>
      <w:r w:rsidR="00AE74C4">
        <w:rPr>
          <w:rFonts w:ascii="Arial" w:hAnsi="Arial" w:cs="Arial"/>
          <w:sz w:val="20"/>
          <w:szCs w:val="20"/>
        </w:rPr>
        <w:t xml:space="preserve">provádělo výzkum a vývoj 2 677 podniků. Z toho přibližně polovina </w:t>
      </w:r>
      <w:r w:rsidR="00D50A5C">
        <w:rPr>
          <w:rFonts w:ascii="Arial" w:hAnsi="Arial" w:cs="Arial"/>
          <w:sz w:val="20"/>
          <w:szCs w:val="20"/>
        </w:rPr>
        <w:t xml:space="preserve">připadala </w:t>
      </w:r>
      <w:r w:rsidR="00AE74C4">
        <w:rPr>
          <w:rFonts w:ascii="Arial" w:hAnsi="Arial" w:cs="Arial"/>
          <w:sz w:val="20"/>
          <w:szCs w:val="20"/>
        </w:rPr>
        <w:t>na zpracovatelský průmysl</w:t>
      </w:r>
      <w:r w:rsidR="006400B1">
        <w:rPr>
          <w:rFonts w:ascii="Arial" w:hAnsi="Arial" w:cs="Arial"/>
          <w:sz w:val="20"/>
          <w:szCs w:val="20"/>
        </w:rPr>
        <w:t xml:space="preserve">. V rámci zpracovatelského průmyslu </w:t>
      </w:r>
      <w:r w:rsidR="00493158">
        <w:rPr>
          <w:rFonts w:ascii="Arial" w:hAnsi="Arial" w:cs="Arial"/>
          <w:sz w:val="20"/>
          <w:szCs w:val="20"/>
        </w:rPr>
        <w:t>bylo</w:t>
      </w:r>
      <w:r w:rsidR="00493158">
        <w:rPr>
          <w:rFonts w:ascii="Arial" w:hAnsi="Arial" w:cs="Arial"/>
          <w:sz w:val="20"/>
          <w:szCs w:val="20"/>
        </w:rPr>
        <w:t xml:space="preserve"> </w:t>
      </w:r>
      <w:r w:rsidR="006400B1">
        <w:rPr>
          <w:rFonts w:ascii="Arial" w:hAnsi="Arial" w:cs="Arial"/>
          <w:sz w:val="20"/>
          <w:szCs w:val="20"/>
        </w:rPr>
        <w:t xml:space="preserve">nejvíce podniků </w:t>
      </w:r>
      <w:r w:rsidR="00493158">
        <w:rPr>
          <w:rFonts w:ascii="Arial" w:hAnsi="Arial" w:cs="Arial"/>
          <w:sz w:val="20"/>
          <w:szCs w:val="20"/>
        </w:rPr>
        <w:t>v</w:t>
      </w:r>
      <w:r w:rsidR="00493158">
        <w:rPr>
          <w:rFonts w:ascii="Arial" w:hAnsi="Arial" w:cs="Arial"/>
          <w:sz w:val="20"/>
          <w:szCs w:val="20"/>
        </w:rPr>
        <w:t> </w:t>
      </w:r>
      <w:r w:rsidR="006400B1">
        <w:rPr>
          <w:rFonts w:ascii="Arial" w:hAnsi="Arial" w:cs="Arial"/>
          <w:sz w:val="20"/>
          <w:szCs w:val="20"/>
        </w:rPr>
        <w:t xml:space="preserve">odvětví strojírenství, na který </w:t>
      </w:r>
      <w:r w:rsidR="00493158">
        <w:rPr>
          <w:rFonts w:ascii="Arial" w:hAnsi="Arial" w:cs="Arial"/>
          <w:sz w:val="20"/>
          <w:szCs w:val="20"/>
        </w:rPr>
        <w:t>připad</w:t>
      </w:r>
      <w:r w:rsidR="00493158">
        <w:rPr>
          <w:rFonts w:ascii="Arial" w:hAnsi="Arial" w:cs="Arial"/>
          <w:sz w:val="20"/>
          <w:szCs w:val="20"/>
        </w:rPr>
        <w:t>alo</w:t>
      </w:r>
      <w:r w:rsidR="00493158">
        <w:rPr>
          <w:rFonts w:ascii="Arial" w:hAnsi="Arial" w:cs="Arial"/>
          <w:sz w:val="20"/>
          <w:szCs w:val="20"/>
        </w:rPr>
        <w:t xml:space="preserve"> </w:t>
      </w:r>
      <w:r w:rsidR="006400B1">
        <w:rPr>
          <w:rFonts w:ascii="Arial" w:hAnsi="Arial" w:cs="Arial"/>
          <w:sz w:val="20"/>
          <w:szCs w:val="20"/>
        </w:rPr>
        <w:t xml:space="preserve">11 % podniků provádějících VaV na území ČR. Stále roste počet podniků provádějících VaV v oblasti ICT, před deseti lety se v tomto odvětví zabývalo </w:t>
      </w:r>
      <w:r w:rsidR="003146F0">
        <w:rPr>
          <w:rFonts w:ascii="Arial" w:hAnsi="Arial" w:cs="Arial"/>
          <w:sz w:val="20"/>
          <w:szCs w:val="20"/>
        </w:rPr>
        <w:t xml:space="preserve">výzkumem </w:t>
      </w:r>
      <w:r w:rsidR="006400B1">
        <w:rPr>
          <w:rFonts w:ascii="Arial" w:hAnsi="Arial" w:cs="Arial"/>
          <w:sz w:val="20"/>
          <w:szCs w:val="20"/>
        </w:rPr>
        <w:t>přibližně 200 podniků, nyní jich je již více než 350.</w:t>
      </w:r>
      <w:r w:rsidR="0038013E">
        <w:rPr>
          <w:rFonts w:ascii="Arial" w:hAnsi="Arial" w:cs="Arial"/>
          <w:sz w:val="20"/>
          <w:szCs w:val="20"/>
        </w:rPr>
        <w:t xml:space="preserve"> Většina podniků, které provádějí VaV vynakládají na tuto činnost poměrně nízké částky. Téměř </w:t>
      </w:r>
      <w:r w:rsidR="003146F0">
        <w:rPr>
          <w:rFonts w:ascii="Arial" w:hAnsi="Arial" w:cs="Arial"/>
          <w:sz w:val="20"/>
          <w:szCs w:val="20"/>
        </w:rPr>
        <w:t xml:space="preserve">3/4 </w:t>
      </w:r>
      <w:r w:rsidR="0038013E">
        <w:rPr>
          <w:rFonts w:ascii="Arial" w:hAnsi="Arial" w:cs="Arial"/>
          <w:sz w:val="20"/>
          <w:szCs w:val="20"/>
        </w:rPr>
        <w:t xml:space="preserve">podniků </w:t>
      </w:r>
      <w:r w:rsidR="003146F0">
        <w:rPr>
          <w:rFonts w:ascii="Arial" w:hAnsi="Arial" w:cs="Arial"/>
          <w:sz w:val="20"/>
          <w:szCs w:val="20"/>
        </w:rPr>
        <w:t xml:space="preserve">utratily </w:t>
      </w:r>
      <w:r w:rsidR="0038013E">
        <w:rPr>
          <w:rFonts w:ascii="Arial" w:hAnsi="Arial" w:cs="Arial"/>
          <w:sz w:val="20"/>
          <w:szCs w:val="20"/>
        </w:rPr>
        <w:t xml:space="preserve">v roce 2019 </w:t>
      </w:r>
      <w:r w:rsidR="003146F0">
        <w:rPr>
          <w:rFonts w:ascii="Arial" w:hAnsi="Arial" w:cs="Arial"/>
          <w:sz w:val="20"/>
          <w:szCs w:val="20"/>
        </w:rPr>
        <w:t>za</w:t>
      </w:r>
      <w:r w:rsidR="003801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013E">
        <w:rPr>
          <w:rFonts w:ascii="Arial" w:hAnsi="Arial" w:cs="Arial"/>
          <w:sz w:val="20"/>
          <w:szCs w:val="20"/>
        </w:rPr>
        <w:t>VaV</w:t>
      </w:r>
      <w:proofErr w:type="spellEnd"/>
      <w:r w:rsidR="0038013E">
        <w:rPr>
          <w:rFonts w:ascii="Arial" w:hAnsi="Arial" w:cs="Arial"/>
          <w:sz w:val="20"/>
          <w:szCs w:val="20"/>
        </w:rPr>
        <w:t xml:space="preserve"> méně než 10 mil. Kč. </w:t>
      </w:r>
      <w:r w:rsidR="00EA089B">
        <w:rPr>
          <w:rFonts w:ascii="Arial" w:hAnsi="Arial" w:cs="Arial"/>
          <w:sz w:val="20"/>
          <w:szCs w:val="20"/>
        </w:rPr>
        <w:t>Dvacet procent</w:t>
      </w:r>
      <w:r w:rsidR="0034458E">
        <w:rPr>
          <w:rFonts w:ascii="Arial" w:hAnsi="Arial" w:cs="Arial"/>
          <w:sz w:val="20"/>
          <w:szCs w:val="20"/>
        </w:rPr>
        <w:t xml:space="preserve"> podniků dokonce méně než 1 mil. Kč. Podstatně méně je podniků s výdaji na </w:t>
      </w:r>
      <w:proofErr w:type="spellStart"/>
      <w:r w:rsidR="0034458E">
        <w:rPr>
          <w:rFonts w:ascii="Arial" w:hAnsi="Arial" w:cs="Arial"/>
          <w:sz w:val="20"/>
          <w:szCs w:val="20"/>
        </w:rPr>
        <w:t>VaV</w:t>
      </w:r>
      <w:proofErr w:type="spellEnd"/>
      <w:r w:rsidR="0034458E">
        <w:rPr>
          <w:rFonts w:ascii="Arial" w:hAnsi="Arial" w:cs="Arial"/>
          <w:sz w:val="20"/>
          <w:szCs w:val="20"/>
        </w:rPr>
        <w:t xml:space="preserve"> </w:t>
      </w:r>
      <w:r w:rsidR="003146F0">
        <w:rPr>
          <w:rFonts w:ascii="Arial" w:hAnsi="Arial" w:cs="Arial"/>
          <w:sz w:val="20"/>
          <w:szCs w:val="20"/>
        </w:rPr>
        <w:t xml:space="preserve">vyššími než </w:t>
      </w:r>
      <w:r w:rsidR="0034458E">
        <w:rPr>
          <w:rFonts w:ascii="Arial" w:hAnsi="Arial" w:cs="Arial"/>
          <w:sz w:val="20"/>
          <w:szCs w:val="20"/>
        </w:rPr>
        <w:t xml:space="preserve">100 mil. Kč, ale jejich počet trvale narůstá. V roce 2018 vynaložilo více než </w:t>
      </w:r>
      <w:r w:rsidR="003146F0">
        <w:rPr>
          <w:rFonts w:ascii="Arial" w:hAnsi="Arial" w:cs="Arial"/>
          <w:sz w:val="20"/>
          <w:szCs w:val="20"/>
        </w:rPr>
        <w:t>100 </w:t>
      </w:r>
      <w:r w:rsidR="0034458E">
        <w:rPr>
          <w:rFonts w:ascii="Arial" w:hAnsi="Arial" w:cs="Arial"/>
          <w:sz w:val="20"/>
          <w:szCs w:val="20"/>
        </w:rPr>
        <w:t>mil</w:t>
      </w:r>
      <w:r w:rsidR="003146F0">
        <w:rPr>
          <w:rFonts w:ascii="Arial" w:hAnsi="Arial" w:cs="Arial"/>
          <w:sz w:val="20"/>
          <w:szCs w:val="20"/>
        </w:rPr>
        <w:t>. </w:t>
      </w:r>
      <w:r w:rsidR="0034458E">
        <w:rPr>
          <w:rFonts w:ascii="Arial" w:hAnsi="Arial" w:cs="Arial"/>
          <w:sz w:val="20"/>
          <w:szCs w:val="20"/>
        </w:rPr>
        <w:t>Kč 100 p</w:t>
      </w:r>
      <w:r w:rsidR="002E5197">
        <w:rPr>
          <w:rFonts w:ascii="Arial" w:hAnsi="Arial" w:cs="Arial"/>
          <w:sz w:val="20"/>
          <w:szCs w:val="20"/>
        </w:rPr>
        <w:t xml:space="preserve">racovišť podnikatelského sektoru, o rok později </w:t>
      </w:r>
      <w:r w:rsidR="003146F0">
        <w:rPr>
          <w:rFonts w:ascii="Arial" w:hAnsi="Arial" w:cs="Arial"/>
          <w:sz w:val="20"/>
          <w:szCs w:val="20"/>
        </w:rPr>
        <w:t>se jednalo</w:t>
      </w:r>
      <w:r w:rsidR="002E5197">
        <w:rPr>
          <w:rFonts w:ascii="Arial" w:hAnsi="Arial" w:cs="Arial"/>
          <w:sz w:val="20"/>
          <w:szCs w:val="20"/>
        </w:rPr>
        <w:t xml:space="preserve"> již </w:t>
      </w:r>
      <w:r w:rsidR="003146F0">
        <w:rPr>
          <w:rFonts w:ascii="Arial" w:hAnsi="Arial" w:cs="Arial"/>
          <w:sz w:val="20"/>
          <w:szCs w:val="20"/>
        </w:rPr>
        <w:t xml:space="preserve">o </w:t>
      </w:r>
      <w:r w:rsidR="002E5197">
        <w:rPr>
          <w:rFonts w:ascii="Arial" w:hAnsi="Arial" w:cs="Arial"/>
          <w:sz w:val="20"/>
          <w:szCs w:val="20"/>
        </w:rPr>
        <w:t>110</w:t>
      </w:r>
      <w:r w:rsidR="0034458E">
        <w:rPr>
          <w:rFonts w:ascii="Arial" w:hAnsi="Arial" w:cs="Arial"/>
          <w:sz w:val="20"/>
          <w:szCs w:val="20"/>
        </w:rPr>
        <w:t xml:space="preserve"> p</w:t>
      </w:r>
      <w:r w:rsidR="002E5197">
        <w:rPr>
          <w:rFonts w:ascii="Arial" w:hAnsi="Arial" w:cs="Arial"/>
          <w:sz w:val="20"/>
          <w:szCs w:val="20"/>
        </w:rPr>
        <w:t>racovišť VaV. Ta</w:t>
      </w:r>
      <w:r w:rsidR="0034458E">
        <w:rPr>
          <w:rFonts w:ascii="Arial" w:hAnsi="Arial" w:cs="Arial"/>
          <w:sz w:val="20"/>
          <w:szCs w:val="20"/>
        </w:rPr>
        <w:t>to p</w:t>
      </w:r>
      <w:r w:rsidR="002E5197">
        <w:rPr>
          <w:rFonts w:ascii="Arial" w:hAnsi="Arial" w:cs="Arial"/>
          <w:sz w:val="20"/>
          <w:szCs w:val="20"/>
        </w:rPr>
        <w:t>racoviště tvoří 4 % podnikových pracovišť</w:t>
      </w:r>
      <w:r w:rsidR="0034458E">
        <w:rPr>
          <w:rFonts w:ascii="Arial" w:hAnsi="Arial" w:cs="Arial"/>
          <w:sz w:val="20"/>
          <w:szCs w:val="20"/>
        </w:rPr>
        <w:t xml:space="preserve"> provádějících VaV, ale jejich výdaje na VaV</w:t>
      </w:r>
      <w:r w:rsidR="002E5197">
        <w:rPr>
          <w:rFonts w:ascii="Arial" w:hAnsi="Arial" w:cs="Arial"/>
          <w:sz w:val="20"/>
          <w:szCs w:val="20"/>
        </w:rPr>
        <w:t>, které v roce 2019 byly 45,7 mld. Kč, tvořily 2/3 výdajů na VaV v podnikatelském sektoru.</w:t>
      </w:r>
      <w:r w:rsidR="00000B2F">
        <w:rPr>
          <w:rFonts w:ascii="Arial" w:hAnsi="Arial" w:cs="Arial"/>
          <w:sz w:val="20"/>
          <w:szCs w:val="20"/>
        </w:rPr>
        <w:t xml:space="preserve"> 26 podniků mělo v roce 2019 výdaje na VaV vyšší než 500 mil. Kč. Celkem se </w:t>
      </w:r>
      <w:r w:rsidR="003146F0">
        <w:rPr>
          <w:rFonts w:ascii="Arial" w:hAnsi="Arial" w:cs="Arial"/>
          <w:sz w:val="20"/>
          <w:szCs w:val="20"/>
        </w:rPr>
        <w:t xml:space="preserve">v </w:t>
      </w:r>
      <w:r w:rsidR="00000B2F">
        <w:rPr>
          <w:rFonts w:ascii="Arial" w:hAnsi="Arial" w:cs="Arial"/>
          <w:sz w:val="20"/>
          <w:szCs w:val="20"/>
        </w:rPr>
        <w:t xml:space="preserve">těchto 26 podnicích </w:t>
      </w:r>
      <w:r w:rsidR="003146F0">
        <w:rPr>
          <w:rFonts w:ascii="Arial" w:hAnsi="Arial" w:cs="Arial"/>
          <w:sz w:val="20"/>
          <w:szCs w:val="20"/>
        </w:rPr>
        <w:t xml:space="preserve">alokovalo do </w:t>
      </w:r>
      <w:proofErr w:type="spellStart"/>
      <w:r w:rsidR="00EA089B">
        <w:rPr>
          <w:rFonts w:ascii="Arial" w:hAnsi="Arial" w:cs="Arial"/>
          <w:sz w:val="20"/>
          <w:szCs w:val="20"/>
        </w:rPr>
        <w:t>VaV</w:t>
      </w:r>
      <w:proofErr w:type="spellEnd"/>
      <w:r w:rsidR="00EA089B">
        <w:rPr>
          <w:rFonts w:ascii="Arial" w:hAnsi="Arial" w:cs="Arial"/>
          <w:sz w:val="20"/>
          <w:szCs w:val="20"/>
        </w:rPr>
        <w:t xml:space="preserve"> 28,8 mld. Kč (42 %</w:t>
      </w:r>
      <w:r w:rsidR="003146F0">
        <w:rPr>
          <w:rFonts w:ascii="Arial" w:hAnsi="Arial" w:cs="Arial"/>
          <w:sz w:val="20"/>
          <w:szCs w:val="20"/>
        </w:rPr>
        <w:t xml:space="preserve"> výdajů na </w:t>
      </w:r>
      <w:proofErr w:type="spellStart"/>
      <w:r w:rsidR="003146F0">
        <w:rPr>
          <w:rFonts w:ascii="Arial" w:hAnsi="Arial" w:cs="Arial"/>
          <w:sz w:val="20"/>
          <w:szCs w:val="20"/>
        </w:rPr>
        <w:t>VaV</w:t>
      </w:r>
      <w:proofErr w:type="spellEnd"/>
      <w:r w:rsidR="00EA089B">
        <w:rPr>
          <w:rFonts w:ascii="Arial" w:hAnsi="Arial" w:cs="Arial"/>
          <w:sz w:val="20"/>
          <w:szCs w:val="20"/>
        </w:rPr>
        <w:t xml:space="preserve"> podnikatelského</w:t>
      </w:r>
      <w:r w:rsidR="00000B2F">
        <w:rPr>
          <w:rFonts w:ascii="Arial" w:hAnsi="Arial" w:cs="Arial"/>
          <w:sz w:val="20"/>
          <w:szCs w:val="20"/>
        </w:rPr>
        <w:t xml:space="preserve"> sektoru). Z těchto 26 podniků jich celkem 21 mělo zahraničního vlastníka, </w:t>
      </w:r>
      <w:r w:rsidR="003146F0">
        <w:rPr>
          <w:rFonts w:ascii="Arial" w:hAnsi="Arial" w:cs="Arial"/>
          <w:sz w:val="20"/>
          <w:szCs w:val="20"/>
        </w:rPr>
        <w:t xml:space="preserve">což ukazuje na fakt, že </w:t>
      </w:r>
      <w:r w:rsidR="00000B2F">
        <w:rPr>
          <w:rFonts w:ascii="Arial" w:hAnsi="Arial" w:cs="Arial"/>
          <w:sz w:val="20"/>
          <w:szCs w:val="20"/>
        </w:rPr>
        <w:t>mezi nejvýznamnějším podniky provádějícími u nás VaV dominují právě podniky pod zahraniční kontrolou.</w:t>
      </w:r>
    </w:p>
    <w:p w14:paraId="25B5ABB3" w14:textId="3E193694" w:rsidR="00000B2F" w:rsidRDefault="00000B2F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Výzkum a vývoj v podnikatelském sektoru je</w:t>
      </w:r>
      <w:r w:rsidR="00497532">
        <w:rPr>
          <w:rFonts w:ascii="Arial" w:hAnsi="Arial" w:cs="Arial"/>
          <w:sz w:val="20"/>
          <w:szCs w:val="20"/>
        </w:rPr>
        <w:t xml:space="preserve"> v převážné míře financován z podnikových zdrojů. Podnikové výdaje tvoří přibližně 90 % výdajů na VaV v podnicích a v roce 2019 dosáhly částky 63,1 mld. Kč. Okolo 7 % výdajů na VaV v podnicích zaujímají veřejné domácí zdroje. Český stát podpořil podnikový výzkum v roce 2019 celkovou částkou 4,7 mld. Kč. Většina veřejných domácích zdrojů (téměř 70 %) směřovala do soukromých domácích podniků, do veřejných podniků putovalo 0,9 mld. Kč (20 %) a přibližně 0,5 mld. Kč do zahraničních podniků. Pokud jde o velikost podniků, tak obdobnou podporu ze státního rozpočtu obdržel</w:t>
      </w:r>
      <w:r w:rsidR="006A4CB7">
        <w:rPr>
          <w:rFonts w:ascii="Arial" w:hAnsi="Arial" w:cs="Arial"/>
          <w:sz w:val="20"/>
          <w:szCs w:val="20"/>
        </w:rPr>
        <w:t>y</w:t>
      </w:r>
      <w:r w:rsidR="00497532">
        <w:rPr>
          <w:rFonts w:ascii="Arial" w:hAnsi="Arial" w:cs="Arial"/>
          <w:sz w:val="20"/>
          <w:szCs w:val="20"/>
        </w:rPr>
        <w:t xml:space="preserve"> velké (nad 250 zaměstnanců) i střední podniky (50–249 zaměstnanců). Každá skupina obdržela celkem 1,</w:t>
      </w:r>
      <w:r w:rsidR="00E962A6">
        <w:rPr>
          <w:rFonts w:ascii="Arial" w:hAnsi="Arial" w:cs="Arial"/>
          <w:sz w:val="20"/>
          <w:szCs w:val="20"/>
        </w:rPr>
        <w:t>8 </w:t>
      </w:r>
      <w:r w:rsidR="00497532">
        <w:rPr>
          <w:rFonts w:ascii="Arial" w:hAnsi="Arial" w:cs="Arial"/>
          <w:sz w:val="20"/>
          <w:szCs w:val="20"/>
        </w:rPr>
        <w:t>mld</w:t>
      </w:r>
      <w:r w:rsidR="00E962A6">
        <w:rPr>
          <w:rFonts w:ascii="Arial" w:hAnsi="Arial" w:cs="Arial"/>
          <w:sz w:val="20"/>
          <w:szCs w:val="20"/>
        </w:rPr>
        <w:t>. </w:t>
      </w:r>
      <w:r w:rsidR="00497532">
        <w:rPr>
          <w:rFonts w:ascii="Arial" w:hAnsi="Arial" w:cs="Arial"/>
          <w:sz w:val="20"/>
          <w:szCs w:val="20"/>
        </w:rPr>
        <w:t>Kč. Na účtech malých podniků (do 49 za</w:t>
      </w:r>
      <w:r w:rsidR="006A4CB7">
        <w:rPr>
          <w:rFonts w:ascii="Arial" w:hAnsi="Arial" w:cs="Arial"/>
          <w:sz w:val="20"/>
          <w:szCs w:val="20"/>
        </w:rPr>
        <w:t xml:space="preserve">městnanců) přistálo od státu </w:t>
      </w:r>
      <w:r w:rsidR="00497532">
        <w:rPr>
          <w:rFonts w:ascii="Arial" w:hAnsi="Arial" w:cs="Arial"/>
          <w:sz w:val="20"/>
          <w:szCs w:val="20"/>
        </w:rPr>
        <w:t>v roce 2019 celkem 1,1 mld</w:t>
      </w:r>
      <w:r w:rsidR="00E962A6">
        <w:rPr>
          <w:rFonts w:ascii="Arial" w:hAnsi="Arial" w:cs="Arial"/>
          <w:sz w:val="20"/>
          <w:szCs w:val="20"/>
        </w:rPr>
        <w:t>. </w:t>
      </w:r>
      <w:r w:rsidR="00555117">
        <w:rPr>
          <w:rFonts w:ascii="Arial" w:hAnsi="Arial" w:cs="Arial"/>
          <w:sz w:val="20"/>
          <w:szCs w:val="20"/>
        </w:rPr>
        <w:t>Kč</w:t>
      </w:r>
      <w:r w:rsidR="006A4CB7">
        <w:rPr>
          <w:rFonts w:ascii="Arial" w:hAnsi="Arial" w:cs="Arial"/>
          <w:sz w:val="20"/>
          <w:szCs w:val="20"/>
        </w:rPr>
        <w:t xml:space="preserve"> určených na podporu VaV</w:t>
      </w:r>
      <w:r w:rsidR="00555117">
        <w:rPr>
          <w:rFonts w:ascii="Arial" w:hAnsi="Arial" w:cs="Arial"/>
          <w:sz w:val="20"/>
          <w:szCs w:val="20"/>
        </w:rPr>
        <w:t xml:space="preserve">. Prostředky ze zahraničních veřejných zdrojů dosáhly </w:t>
      </w:r>
      <w:r w:rsidR="00E962A6">
        <w:rPr>
          <w:rFonts w:ascii="Arial" w:hAnsi="Arial" w:cs="Arial"/>
          <w:sz w:val="20"/>
          <w:szCs w:val="20"/>
        </w:rPr>
        <w:t xml:space="preserve">ve stejném roce </w:t>
      </w:r>
      <w:r w:rsidR="006A4CB7">
        <w:rPr>
          <w:rFonts w:ascii="Arial" w:hAnsi="Arial" w:cs="Arial"/>
          <w:sz w:val="20"/>
          <w:szCs w:val="20"/>
        </w:rPr>
        <w:t>1,8 mld. Kč</w:t>
      </w:r>
      <w:r w:rsidR="00E962A6">
        <w:rPr>
          <w:rFonts w:ascii="Arial" w:hAnsi="Arial" w:cs="Arial"/>
          <w:sz w:val="20"/>
          <w:szCs w:val="20"/>
        </w:rPr>
        <w:t xml:space="preserve">, což bylo </w:t>
      </w:r>
      <w:r w:rsidR="006A4CB7">
        <w:rPr>
          <w:rFonts w:ascii="Arial" w:hAnsi="Arial" w:cs="Arial"/>
          <w:sz w:val="20"/>
          <w:szCs w:val="20"/>
        </w:rPr>
        <w:t xml:space="preserve">2,6 % výdajů na </w:t>
      </w:r>
      <w:proofErr w:type="spellStart"/>
      <w:r w:rsidR="006A4CB7">
        <w:rPr>
          <w:rFonts w:ascii="Arial" w:hAnsi="Arial" w:cs="Arial"/>
          <w:sz w:val="20"/>
          <w:szCs w:val="20"/>
        </w:rPr>
        <w:t>VaV</w:t>
      </w:r>
      <w:proofErr w:type="spellEnd"/>
      <w:r w:rsidR="006A4CB7">
        <w:rPr>
          <w:rFonts w:ascii="Arial" w:hAnsi="Arial" w:cs="Arial"/>
          <w:sz w:val="20"/>
          <w:szCs w:val="20"/>
        </w:rPr>
        <w:t xml:space="preserve"> podnikatelského sektoru. </w:t>
      </w:r>
      <w:r w:rsidR="00E0400F">
        <w:rPr>
          <w:rFonts w:ascii="Arial" w:hAnsi="Arial" w:cs="Arial"/>
          <w:sz w:val="20"/>
          <w:szCs w:val="20"/>
        </w:rPr>
        <w:t>Ve srovnání s vládním a VŠ sektorem není čerpání EU fondů o tolik ve skluzu oproti rekordním letům z předchozího programového období. Nejvíce se v podnicích čerpalo v letech 2014–2015</w:t>
      </w:r>
      <w:r w:rsidR="00841BFD">
        <w:rPr>
          <w:rFonts w:ascii="Arial" w:hAnsi="Arial" w:cs="Arial"/>
          <w:sz w:val="20"/>
          <w:szCs w:val="20"/>
        </w:rPr>
        <w:t xml:space="preserve"> a to</w:t>
      </w:r>
      <w:r w:rsidR="00E0400F">
        <w:rPr>
          <w:rFonts w:ascii="Arial" w:hAnsi="Arial" w:cs="Arial"/>
          <w:sz w:val="20"/>
          <w:szCs w:val="20"/>
        </w:rPr>
        <w:t xml:space="preserve"> okolo 2 mld. Kč ročně.</w:t>
      </w:r>
      <w:r w:rsidR="004262D9">
        <w:rPr>
          <w:rFonts w:ascii="Arial" w:hAnsi="Arial" w:cs="Arial"/>
          <w:sz w:val="20"/>
          <w:szCs w:val="20"/>
        </w:rPr>
        <w:t xml:space="preserve"> Obdobně jako veřejné domácí zdroje se i veřejné zahraniční zdroje čerpají v největší míře v soukromých do</w:t>
      </w:r>
      <w:r w:rsidR="006A4CB7">
        <w:rPr>
          <w:rFonts w:ascii="Arial" w:hAnsi="Arial" w:cs="Arial"/>
          <w:sz w:val="20"/>
          <w:szCs w:val="20"/>
        </w:rPr>
        <w:t>mácích podnicích. V roce 2019 to</w:t>
      </w:r>
      <w:r w:rsidR="004262D9">
        <w:rPr>
          <w:rFonts w:ascii="Arial" w:hAnsi="Arial" w:cs="Arial"/>
          <w:sz w:val="20"/>
          <w:szCs w:val="20"/>
        </w:rPr>
        <w:t xml:space="preserve"> bylo 1,3 mld. Kč (72 %). V menší míře o veřejnou zahraniční podporu na VaV usilují zahraniční podniky, které v roce 2019 čerpaly 0,4 mld. Kč (23 %). </w:t>
      </w:r>
      <w:r w:rsidR="0063257F">
        <w:rPr>
          <w:rFonts w:ascii="Arial" w:hAnsi="Arial" w:cs="Arial"/>
          <w:sz w:val="20"/>
          <w:szCs w:val="20"/>
        </w:rPr>
        <w:t xml:space="preserve">Poměrně vyrovnané bylo čerpání zahraničních </w:t>
      </w:r>
      <w:r w:rsidR="006A4CB7">
        <w:rPr>
          <w:rFonts w:ascii="Arial" w:hAnsi="Arial" w:cs="Arial"/>
          <w:sz w:val="20"/>
          <w:szCs w:val="20"/>
        </w:rPr>
        <w:t>veřejných zdrojů</w:t>
      </w:r>
      <w:r w:rsidR="0063257F">
        <w:rPr>
          <w:rFonts w:ascii="Arial" w:hAnsi="Arial" w:cs="Arial"/>
          <w:sz w:val="20"/>
          <w:szCs w:val="20"/>
        </w:rPr>
        <w:t>, pokud jde o velikostní skupiny podniků. Nejvíce v roce 2019 čerpaly velké podniky (642 mil. Kč), za nimiž následovaly střední podniky (605 mil. Kč) a malé podniky (546 mil. Kč).</w:t>
      </w:r>
    </w:p>
    <w:p w14:paraId="401C8D19" w14:textId="684FA288" w:rsidR="009A7969" w:rsidRDefault="006A4CB7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rámci výdajů</w:t>
      </w:r>
      <w:r w:rsidR="00DE059B">
        <w:rPr>
          <w:rFonts w:ascii="Arial" w:hAnsi="Arial" w:cs="Arial"/>
          <w:sz w:val="20"/>
          <w:szCs w:val="20"/>
        </w:rPr>
        <w:t xml:space="preserve"> na VaV</w:t>
      </w:r>
      <w:r>
        <w:rPr>
          <w:rFonts w:ascii="Arial" w:hAnsi="Arial" w:cs="Arial"/>
          <w:sz w:val="20"/>
          <w:szCs w:val="20"/>
        </w:rPr>
        <w:t xml:space="preserve"> v podnicích</w:t>
      </w:r>
      <w:r w:rsidR="00DE059B">
        <w:rPr>
          <w:rFonts w:ascii="Arial" w:hAnsi="Arial" w:cs="Arial"/>
          <w:sz w:val="20"/>
          <w:szCs w:val="20"/>
        </w:rPr>
        <w:t xml:space="preserve"> se nejvíce navyšují prostředky na mzdy. Od roku 2012 na</w:t>
      </w:r>
      <w:r>
        <w:rPr>
          <w:rFonts w:ascii="Arial" w:hAnsi="Arial" w:cs="Arial"/>
          <w:sz w:val="20"/>
          <w:szCs w:val="20"/>
        </w:rPr>
        <w:t xml:space="preserve">rostly o 100 % a v roce 2019 </w:t>
      </w:r>
      <w:r w:rsidR="00DF68E7">
        <w:rPr>
          <w:rFonts w:ascii="Arial" w:hAnsi="Arial" w:cs="Arial"/>
          <w:sz w:val="20"/>
          <w:szCs w:val="20"/>
        </w:rPr>
        <w:t xml:space="preserve">tak </w:t>
      </w:r>
      <w:r>
        <w:rPr>
          <w:rFonts w:ascii="Arial" w:hAnsi="Arial" w:cs="Arial"/>
          <w:sz w:val="20"/>
          <w:szCs w:val="20"/>
        </w:rPr>
        <w:t>dosáhly částky</w:t>
      </w:r>
      <w:r w:rsidR="00DE059B">
        <w:rPr>
          <w:rFonts w:ascii="Arial" w:hAnsi="Arial" w:cs="Arial"/>
          <w:sz w:val="20"/>
          <w:szCs w:val="20"/>
        </w:rPr>
        <w:t xml:space="preserve"> 63,1 mld. Kč. Stále t</w:t>
      </w:r>
      <w:r w:rsidR="00DF68E7">
        <w:rPr>
          <w:rFonts w:ascii="Arial" w:hAnsi="Arial" w:cs="Arial"/>
          <w:sz w:val="20"/>
          <w:szCs w:val="20"/>
        </w:rPr>
        <w:t>edy</w:t>
      </w:r>
      <w:r w:rsidR="00DE059B">
        <w:rPr>
          <w:rFonts w:ascii="Arial" w:hAnsi="Arial" w:cs="Arial"/>
          <w:sz w:val="20"/>
          <w:szCs w:val="20"/>
        </w:rPr>
        <w:t xml:space="preserve"> narůstá podíl mezd na výdajích na VaV v podnicích. Do roku 2015 byl podíl mezd méně než 50 %, v roce 2019 je již 56 %. Naopak stagnují investiční náklady na VaV, které byly v roce 2019 nižší než 6 mld. Kč a tvořily pouhých 8 %, přičemž v letech 2011–2014 šlo na investice v podnicích v</w:t>
      </w:r>
      <w:r w:rsidR="00E65F80">
        <w:rPr>
          <w:rFonts w:ascii="Arial" w:hAnsi="Arial" w:cs="Arial"/>
          <w:sz w:val="20"/>
          <w:szCs w:val="20"/>
        </w:rPr>
        <w:t>íce než 15 % prostředků</w:t>
      </w:r>
      <w:r w:rsidR="00DF68E7">
        <w:rPr>
          <w:rFonts w:ascii="Arial" w:hAnsi="Arial" w:cs="Arial"/>
          <w:sz w:val="20"/>
          <w:szCs w:val="20"/>
        </w:rPr>
        <w:t xml:space="preserve"> směřujících do VaV</w:t>
      </w:r>
      <w:r w:rsidR="00E65F80">
        <w:rPr>
          <w:rFonts w:ascii="Arial" w:hAnsi="Arial" w:cs="Arial"/>
          <w:sz w:val="20"/>
          <w:szCs w:val="20"/>
        </w:rPr>
        <w:t>. Většinu</w:t>
      </w:r>
      <w:r w:rsidR="00DE059B">
        <w:rPr>
          <w:rFonts w:ascii="Arial" w:hAnsi="Arial" w:cs="Arial"/>
          <w:sz w:val="20"/>
          <w:szCs w:val="20"/>
        </w:rPr>
        <w:t xml:space="preserve"> investic</w:t>
      </w:r>
      <w:r w:rsidR="00E65F80">
        <w:rPr>
          <w:rFonts w:ascii="Arial" w:hAnsi="Arial" w:cs="Arial"/>
          <w:sz w:val="20"/>
          <w:szCs w:val="20"/>
        </w:rPr>
        <w:t xml:space="preserve"> financují zahraniční podniky</w:t>
      </w:r>
      <w:r w:rsidR="00DE059B">
        <w:rPr>
          <w:rFonts w:ascii="Arial" w:hAnsi="Arial" w:cs="Arial"/>
          <w:sz w:val="20"/>
          <w:szCs w:val="20"/>
        </w:rPr>
        <w:t>, v posledních letech to je okolo 70 % investic do VaV v podnicích.</w:t>
      </w:r>
    </w:p>
    <w:p w14:paraId="182FF9B9" w14:textId="4E196130" w:rsidR="000E2FD1" w:rsidRDefault="004A402C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BA686E" wp14:editId="46E83A76">
            <wp:simplePos x="0" y="0"/>
            <wp:positionH relativeFrom="column">
              <wp:posOffset>3566160</wp:posOffset>
            </wp:positionH>
            <wp:positionV relativeFrom="paragraph">
              <wp:posOffset>447675</wp:posOffset>
            </wp:positionV>
            <wp:extent cx="2133601" cy="1762125"/>
            <wp:effectExtent l="0" t="0" r="0" b="9525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6F586070" wp14:editId="44413FEF">
            <wp:extent cx="6120000" cy="4676774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0E2FD1">
        <w:rPr>
          <w:rFonts w:ascii="Arial" w:hAnsi="Arial" w:cs="Arial"/>
          <w:sz w:val="20"/>
          <w:szCs w:val="20"/>
        </w:rPr>
        <w:t xml:space="preserve">V Evropské </w:t>
      </w:r>
      <w:r w:rsidR="00A76680">
        <w:rPr>
          <w:rFonts w:ascii="Arial" w:hAnsi="Arial" w:cs="Arial"/>
          <w:sz w:val="20"/>
          <w:szCs w:val="20"/>
        </w:rPr>
        <w:t xml:space="preserve">unii </w:t>
      </w:r>
      <w:r w:rsidR="000E2FD1">
        <w:rPr>
          <w:rFonts w:ascii="Arial" w:hAnsi="Arial" w:cs="Arial"/>
          <w:sz w:val="20"/>
          <w:szCs w:val="20"/>
        </w:rPr>
        <w:t xml:space="preserve">se v roce 2019 vynaložilo na VaV v podnikatelském sektoru celkem 233 mld. EUR, což </w:t>
      </w:r>
      <w:r w:rsidR="000E2FD1">
        <w:rPr>
          <w:rFonts w:ascii="Arial" w:hAnsi="Arial" w:cs="Arial"/>
          <w:sz w:val="20"/>
          <w:szCs w:val="20"/>
        </w:rPr>
        <w:lastRenderedPageBreak/>
        <w:t xml:space="preserve">tvořilo 2/3 celkových výdajů na VaV. </w:t>
      </w:r>
      <w:r w:rsidR="00E65F80">
        <w:rPr>
          <w:rFonts w:ascii="Arial" w:hAnsi="Arial" w:cs="Arial"/>
          <w:sz w:val="20"/>
          <w:szCs w:val="20"/>
        </w:rPr>
        <w:t xml:space="preserve">Podíl </w:t>
      </w:r>
      <w:r w:rsidR="000E2FD1">
        <w:rPr>
          <w:rFonts w:ascii="Arial" w:hAnsi="Arial" w:cs="Arial"/>
          <w:sz w:val="20"/>
          <w:szCs w:val="20"/>
        </w:rPr>
        <w:t>podnikatelského sektoru v</w:t>
      </w:r>
      <w:r w:rsidR="00E65F80">
        <w:rPr>
          <w:rFonts w:ascii="Arial" w:hAnsi="Arial" w:cs="Arial"/>
          <w:sz w:val="20"/>
          <w:szCs w:val="20"/>
        </w:rPr>
        <w:t> </w:t>
      </w:r>
      <w:r w:rsidR="000E2FD1">
        <w:rPr>
          <w:rFonts w:ascii="Arial" w:hAnsi="Arial" w:cs="Arial"/>
          <w:sz w:val="20"/>
          <w:szCs w:val="20"/>
        </w:rPr>
        <w:t>Česku</w:t>
      </w:r>
      <w:r w:rsidR="00E65F80">
        <w:rPr>
          <w:rFonts w:ascii="Arial" w:hAnsi="Arial" w:cs="Arial"/>
          <w:sz w:val="20"/>
          <w:szCs w:val="20"/>
        </w:rPr>
        <w:t xml:space="preserve"> (62 %) je tudíž </w:t>
      </w:r>
      <w:r w:rsidR="000E2FD1">
        <w:rPr>
          <w:rFonts w:ascii="Arial" w:hAnsi="Arial" w:cs="Arial"/>
          <w:sz w:val="20"/>
          <w:szCs w:val="20"/>
        </w:rPr>
        <w:t>nižší</w:t>
      </w:r>
      <w:r w:rsidR="00E65F80">
        <w:rPr>
          <w:rFonts w:ascii="Arial" w:hAnsi="Arial" w:cs="Arial"/>
          <w:sz w:val="20"/>
          <w:szCs w:val="20"/>
        </w:rPr>
        <w:t>,</w:t>
      </w:r>
      <w:r w:rsidR="000E2FD1">
        <w:rPr>
          <w:rFonts w:ascii="Arial" w:hAnsi="Arial" w:cs="Arial"/>
          <w:sz w:val="20"/>
          <w:szCs w:val="20"/>
        </w:rPr>
        <w:t xml:space="preserve"> než kolik je průměr EU. Nejvíce se v podnicích dává na VaV v Německu, v roce 2019 to bylo 76 mld. Eur, téměř třetina celé EU a více než dvojnásobek ve srovnání s Francií (36 mld. Eur) a Spojeným královstvím (30 mld. Eur). Česká republika s 2,7 mld. </w:t>
      </w:r>
      <w:proofErr w:type="gramStart"/>
      <w:r w:rsidR="000E2FD1">
        <w:rPr>
          <w:rFonts w:ascii="Arial" w:hAnsi="Arial" w:cs="Arial"/>
          <w:sz w:val="20"/>
          <w:szCs w:val="20"/>
        </w:rPr>
        <w:t>Eur</w:t>
      </w:r>
      <w:proofErr w:type="gramEnd"/>
      <w:r w:rsidR="000E2FD1">
        <w:rPr>
          <w:rFonts w:ascii="Arial" w:hAnsi="Arial" w:cs="Arial"/>
          <w:sz w:val="20"/>
          <w:szCs w:val="20"/>
        </w:rPr>
        <w:t xml:space="preserve"> (1,1 % EU) byla </w:t>
      </w:r>
      <w:r w:rsidR="00A76680">
        <w:rPr>
          <w:rFonts w:ascii="Arial" w:hAnsi="Arial" w:cs="Arial"/>
          <w:sz w:val="20"/>
          <w:szCs w:val="20"/>
        </w:rPr>
        <w:t xml:space="preserve">v rámci celé EU </w:t>
      </w:r>
      <w:r w:rsidR="000E2FD1">
        <w:rPr>
          <w:rFonts w:ascii="Arial" w:hAnsi="Arial" w:cs="Arial"/>
          <w:sz w:val="20"/>
          <w:szCs w:val="20"/>
        </w:rPr>
        <w:t xml:space="preserve">na 13. místě. </w:t>
      </w:r>
      <w:r w:rsidR="00703CDD">
        <w:rPr>
          <w:rFonts w:ascii="Arial" w:hAnsi="Arial" w:cs="Arial"/>
          <w:sz w:val="20"/>
          <w:szCs w:val="20"/>
        </w:rPr>
        <w:t xml:space="preserve">V ukazateli podílu výdajů na VaV v podnikatelském sektoru na HDP byl </w:t>
      </w:r>
      <w:r w:rsidR="00E65F80">
        <w:rPr>
          <w:rFonts w:ascii="Arial" w:hAnsi="Arial" w:cs="Arial"/>
          <w:sz w:val="20"/>
          <w:szCs w:val="20"/>
        </w:rPr>
        <w:t xml:space="preserve">v roce 2019 </w:t>
      </w:r>
      <w:r w:rsidR="00703CDD">
        <w:rPr>
          <w:rFonts w:ascii="Arial" w:hAnsi="Arial" w:cs="Arial"/>
          <w:sz w:val="20"/>
          <w:szCs w:val="20"/>
        </w:rPr>
        <w:t>průměr EU 1,42 %. Tento průměr překonalo 9 států EU, přičemž Švédsko, Rakousko, Německo a Belgie</w:t>
      </w:r>
      <w:r w:rsidR="00E65F80">
        <w:rPr>
          <w:rFonts w:ascii="Arial" w:hAnsi="Arial" w:cs="Arial"/>
          <w:sz w:val="20"/>
          <w:szCs w:val="20"/>
        </w:rPr>
        <w:t xml:space="preserve"> překonalo dokonce </w:t>
      </w:r>
      <w:r w:rsidR="001F246F">
        <w:rPr>
          <w:rFonts w:ascii="Arial" w:hAnsi="Arial" w:cs="Arial"/>
          <w:sz w:val="20"/>
          <w:szCs w:val="20"/>
        </w:rPr>
        <w:t xml:space="preserve">hranici </w:t>
      </w:r>
      <w:r w:rsidR="00E65F80">
        <w:rPr>
          <w:rFonts w:ascii="Arial" w:hAnsi="Arial" w:cs="Arial"/>
          <w:sz w:val="20"/>
          <w:szCs w:val="20"/>
        </w:rPr>
        <w:t>2</w:t>
      </w:r>
      <w:r w:rsidR="001F246F">
        <w:rPr>
          <w:rFonts w:ascii="Arial" w:hAnsi="Arial" w:cs="Arial"/>
          <w:sz w:val="20"/>
          <w:szCs w:val="20"/>
        </w:rPr>
        <w:t> </w:t>
      </w:r>
      <w:r w:rsidR="00E65F80">
        <w:rPr>
          <w:rFonts w:ascii="Arial" w:hAnsi="Arial" w:cs="Arial"/>
          <w:sz w:val="20"/>
          <w:szCs w:val="20"/>
        </w:rPr>
        <w:t>%</w:t>
      </w:r>
      <w:r w:rsidR="00703CDD">
        <w:rPr>
          <w:rFonts w:ascii="Arial" w:hAnsi="Arial" w:cs="Arial"/>
          <w:sz w:val="20"/>
          <w:szCs w:val="20"/>
        </w:rPr>
        <w:t xml:space="preserve">. Česká republika je s 1,2 % HDP na děleném desátém místě spolu se Spojeným královstvím. </w:t>
      </w:r>
      <w:r w:rsidR="006934D9">
        <w:rPr>
          <w:rFonts w:ascii="Arial" w:hAnsi="Arial" w:cs="Arial"/>
          <w:sz w:val="20"/>
          <w:szCs w:val="20"/>
        </w:rPr>
        <w:t>Šestnáct</w:t>
      </w:r>
      <w:r w:rsidR="002C3C6D">
        <w:rPr>
          <w:rFonts w:ascii="Arial" w:hAnsi="Arial" w:cs="Arial"/>
          <w:sz w:val="20"/>
          <w:szCs w:val="20"/>
        </w:rPr>
        <w:t xml:space="preserve"> států EU nedosahuje v tomto ukazateli ani na 1 % HDP, u šesti států EU </w:t>
      </w:r>
      <w:r w:rsidR="006934D9">
        <w:rPr>
          <w:rFonts w:ascii="Arial" w:hAnsi="Arial" w:cs="Arial"/>
          <w:sz w:val="20"/>
          <w:szCs w:val="20"/>
        </w:rPr>
        <w:t xml:space="preserve">je to </w:t>
      </w:r>
      <w:r w:rsidR="002C3C6D">
        <w:rPr>
          <w:rFonts w:ascii="Arial" w:hAnsi="Arial" w:cs="Arial"/>
          <w:sz w:val="20"/>
          <w:szCs w:val="20"/>
        </w:rPr>
        <w:t>dokonce méně než 0,5 % HDP.</w:t>
      </w:r>
    </w:p>
    <w:p w14:paraId="1FA38B94" w14:textId="337FBC90" w:rsidR="00FC02C2" w:rsidRDefault="00E7130F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Dlouhodobě přesahuje podíl zpracovatelského průmyslu na výdajích na VaV podnikatelského sektoru 50 %. V roce 2019 to bylo 54 %. V rámci zpracovatelského sektoru je jednoznačně nejdůležitějším odvětvím automobilový průmysl. V roce 2019 se v tomto odvětví vynaložilo na VaV celkem 13,3 mld. Kč, což tvořilo 19</w:t>
      </w:r>
      <w:r w:rsidR="00904A9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% veškerých výdajů na VaV v podnicích. Z dalších důležitých průmyslových odvětví s vysokými výdaji na VaV v roce 2019 stojí za zmínku elektrotechnický průmysl (4,6 mld. Kč), strojírenství (4,5 mld. Kč) a elektronický průmysl (3,5 mld. Kč). Vyjma průmyslu je v Česku významný VaV v oblasti </w:t>
      </w:r>
      <w:r w:rsidR="000A0CDB">
        <w:rPr>
          <w:rFonts w:ascii="Arial" w:hAnsi="Arial" w:cs="Arial"/>
          <w:sz w:val="20"/>
          <w:szCs w:val="20"/>
        </w:rPr>
        <w:t>informačních a komunikačních technologií</w:t>
      </w:r>
      <w:r>
        <w:rPr>
          <w:rFonts w:ascii="Arial" w:hAnsi="Arial" w:cs="Arial"/>
          <w:sz w:val="20"/>
          <w:szCs w:val="20"/>
        </w:rPr>
        <w:t>. Podniky v ICT odvětvích vynaložily v</w:t>
      </w:r>
      <w:r w:rsidR="000A0CD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roce</w:t>
      </w:r>
      <w:r w:rsidR="000A0CDB">
        <w:rPr>
          <w:rFonts w:ascii="Arial" w:hAnsi="Arial" w:cs="Arial"/>
          <w:sz w:val="20"/>
          <w:szCs w:val="20"/>
        </w:rPr>
        <w:t xml:space="preserve"> 2019 na VaV celkem 13,5 mld. Kč (20</w:t>
      </w:r>
      <w:r w:rsidR="00904A90">
        <w:rPr>
          <w:rFonts w:ascii="Arial" w:hAnsi="Arial" w:cs="Arial"/>
          <w:sz w:val="20"/>
          <w:szCs w:val="20"/>
        </w:rPr>
        <w:t> </w:t>
      </w:r>
      <w:r w:rsidR="000A0CDB">
        <w:rPr>
          <w:rFonts w:ascii="Arial" w:hAnsi="Arial" w:cs="Arial"/>
          <w:sz w:val="20"/>
          <w:szCs w:val="20"/>
        </w:rPr>
        <w:t>% podnikatelského sektoru). Informační a komunikační technologie jsou oblastí</w:t>
      </w:r>
      <w:r w:rsidR="007A6DE7">
        <w:rPr>
          <w:rFonts w:ascii="Arial" w:hAnsi="Arial" w:cs="Arial"/>
          <w:sz w:val="20"/>
          <w:szCs w:val="20"/>
        </w:rPr>
        <w:t>,</w:t>
      </w:r>
      <w:r w:rsidR="000A0CDB">
        <w:rPr>
          <w:rFonts w:ascii="Arial" w:hAnsi="Arial" w:cs="Arial"/>
          <w:sz w:val="20"/>
          <w:szCs w:val="20"/>
        </w:rPr>
        <w:t xml:space="preserve"> v níž výdaje na </w:t>
      </w:r>
      <w:proofErr w:type="spellStart"/>
      <w:r w:rsidR="000A0CDB">
        <w:rPr>
          <w:rFonts w:ascii="Arial" w:hAnsi="Arial" w:cs="Arial"/>
          <w:sz w:val="20"/>
          <w:szCs w:val="20"/>
        </w:rPr>
        <w:t>VaV</w:t>
      </w:r>
      <w:proofErr w:type="spellEnd"/>
      <w:r w:rsidR="000A0CDB">
        <w:rPr>
          <w:rFonts w:ascii="Arial" w:hAnsi="Arial" w:cs="Arial"/>
          <w:sz w:val="20"/>
          <w:szCs w:val="20"/>
        </w:rPr>
        <w:t xml:space="preserve"> velmi výrazně rostou</w:t>
      </w:r>
      <w:r w:rsidR="00904A90">
        <w:rPr>
          <w:rFonts w:ascii="Arial" w:hAnsi="Arial" w:cs="Arial"/>
          <w:sz w:val="20"/>
          <w:szCs w:val="20"/>
        </w:rPr>
        <w:t>, když</w:t>
      </w:r>
      <w:r w:rsidR="000A0CDB">
        <w:rPr>
          <w:rFonts w:ascii="Arial" w:hAnsi="Arial" w:cs="Arial"/>
          <w:sz w:val="20"/>
          <w:szCs w:val="20"/>
        </w:rPr>
        <w:t xml:space="preserve"> za posledních deset let vzrostly více než </w:t>
      </w:r>
      <w:r w:rsidR="00207CE1">
        <w:rPr>
          <w:rFonts w:ascii="Arial" w:hAnsi="Arial" w:cs="Arial"/>
          <w:sz w:val="20"/>
          <w:szCs w:val="20"/>
        </w:rPr>
        <w:t>trojnásobně</w:t>
      </w:r>
      <w:r w:rsidR="000A0CDB">
        <w:rPr>
          <w:rFonts w:ascii="Arial" w:hAnsi="Arial" w:cs="Arial"/>
          <w:sz w:val="20"/>
          <w:szCs w:val="20"/>
        </w:rPr>
        <w:t>.</w:t>
      </w:r>
      <w:r w:rsidR="00F87435">
        <w:rPr>
          <w:rFonts w:ascii="Arial" w:hAnsi="Arial" w:cs="Arial"/>
          <w:sz w:val="20"/>
          <w:szCs w:val="20"/>
        </w:rPr>
        <w:t xml:space="preserve"> Dalším významným odvětví</w:t>
      </w:r>
      <w:r w:rsidR="00207CE1">
        <w:rPr>
          <w:rFonts w:ascii="Arial" w:hAnsi="Arial" w:cs="Arial"/>
          <w:sz w:val="20"/>
          <w:szCs w:val="20"/>
        </w:rPr>
        <w:t>m</w:t>
      </w:r>
      <w:r w:rsidR="00F87435">
        <w:rPr>
          <w:rFonts w:ascii="Arial" w:hAnsi="Arial" w:cs="Arial"/>
          <w:sz w:val="20"/>
          <w:szCs w:val="20"/>
        </w:rPr>
        <w:t xml:space="preserve"> je odvětví výzkum a vývoj, ve kterém se v roce 2019 vynaložilo na VaV celkem 9,2 mld. Kč (</w:t>
      </w:r>
      <w:r w:rsidR="00FC02C2">
        <w:rPr>
          <w:rFonts w:ascii="Arial" w:hAnsi="Arial" w:cs="Arial"/>
          <w:sz w:val="20"/>
          <w:szCs w:val="20"/>
        </w:rPr>
        <w:t>13 %</w:t>
      </w:r>
      <w:r w:rsidR="00207CE1">
        <w:rPr>
          <w:rFonts w:ascii="Arial" w:hAnsi="Arial" w:cs="Arial"/>
          <w:sz w:val="20"/>
          <w:szCs w:val="20"/>
        </w:rPr>
        <w:t xml:space="preserve"> podnikatelského sektoru</w:t>
      </w:r>
      <w:r w:rsidR="00FC02C2">
        <w:rPr>
          <w:rFonts w:ascii="Arial" w:hAnsi="Arial" w:cs="Arial"/>
          <w:sz w:val="20"/>
          <w:szCs w:val="20"/>
        </w:rPr>
        <w:t xml:space="preserve">). </w:t>
      </w:r>
    </w:p>
    <w:p w14:paraId="6ED19488" w14:textId="5B755D30" w:rsidR="00E7130F" w:rsidRDefault="00FC02C2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hlediska regionálního rozdělení výdajů na VaV v podnicích je, stejně jako ve všech ostatních sektorech provádění, na prvním místě Hlavní město Praha, kde se v roce 2019 </w:t>
      </w:r>
      <w:r w:rsidR="00904A9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 tuto činnost </w:t>
      </w:r>
      <w:r w:rsidR="00904A90">
        <w:rPr>
          <w:rFonts w:ascii="Arial" w:hAnsi="Arial" w:cs="Arial"/>
          <w:sz w:val="20"/>
          <w:szCs w:val="20"/>
        </w:rPr>
        <w:t xml:space="preserve">utratilo </w:t>
      </w:r>
      <w:r>
        <w:rPr>
          <w:rFonts w:ascii="Arial" w:hAnsi="Arial" w:cs="Arial"/>
          <w:sz w:val="20"/>
          <w:szCs w:val="20"/>
        </w:rPr>
        <w:t>celkem 18,9 mld. Kč. Praha tak měla 27% podíl</w:t>
      </w:r>
      <w:r w:rsidR="004F52A9">
        <w:rPr>
          <w:rFonts w:ascii="Arial" w:hAnsi="Arial" w:cs="Arial"/>
          <w:sz w:val="20"/>
          <w:szCs w:val="20"/>
        </w:rPr>
        <w:t xml:space="preserve"> na podnikatelském sektoru</w:t>
      </w:r>
      <w:r>
        <w:rPr>
          <w:rFonts w:ascii="Arial" w:hAnsi="Arial" w:cs="Arial"/>
          <w:sz w:val="20"/>
          <w:szCs w:val="20"/>
        </w:rPr>
        <w:t>. Nejdůležitějším odvětví</w:t>
      </w:r>
      <w:r w:rsidR="004F52A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v Praze jsou informační</w:t>
      </w:r>
      <w:r w:rsidR="004F5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komunikační technologie, v nich</w:t>
      </w:r>
      <w:r w:rsidR="004F52A9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se </w:t>
      </w:r>
      <w:r w:rsidR="00904A90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904A90">
        <w:rPr>
          <w:rFonts w:ascii="Arial" w:hAnsi="Arial" w:cs="Arial"/>
          <w:sz w:val="20"/>
          <w:szCs w:val="20"/>
        </w:rPr>
        <w:t>VaV</w:t>
      </w:r>
      <w:proofErr w:type="spellEnd"/>
      <w:r w:rsidR="00904A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vynaložilo 7,6 mld. Kč (40 % výdajů na VaV v pražských podnicích a 56 % výdajů na VaV v ICT v celé ČR). Na druhém místě za Prahou je Středočeský kraj </w:t>
      </w:r>
      <w:r w:rsidR="008D1C37">
        <w:rPr>
          <w:rFonts w:ascii="Arial" w:hAnsi="Arial" w:cs="Arial"/>
          <w:sz w:val="20"/>
          <w:szCs w:val="20"/>
        </w:rPr>
        <w:t xml:space="preserve">se 13,2 mld. Kč v roce 2019 (19 % podnikatelského sektoru v Česku). Ve Středočeském kraji dominuje VaV ve zpracovatelském průmyslu s 10,8 mld. Kč v roce 2019 (82 % výdajů na VaV středočeských </w:t>
      </w:r>
      <w:r w:rsidR="006A283B">
        <w:rPr>
          <w:rFonts w:ascii="Arial" w:hAnsi="Arial" w:cs="Arial"/>
          <w:sz w:val="20"/>
          <w:szCs w:val="20"/>
        </w:rPr>
        <w:t xml:space="preserve">podniků). Hlavním průmyslovým odvětvím v kraji je automobilový průmysl. Na třetím místě se nachází Jihomoravský kraj, v jehož podnicích </w:t>
      </w:r>
      <w:r w:rsidR="00904A90">
        <w:rPr>
          <w:rFonts w:ascii="Arial" w:hAnsi="Arial" w:cs="Arial"/>
          <w:sz w:val="20"/>
          <w:szCs w:val="20"/>
        </w:rPr>
        <w:t xml:space="preserve">bylo do </w:t>
      </w:r>
      <w:proofErr w:type="spellStart"/>
      <w:r w:rsidR="00904A90">
        <w:rPr>
          <w:rFonts w:ascii="Arial" w:hAnsi="Arial" w:cs="Arial"/>
          <w:sz w:val="20"/>
          <w:szCs w:val="20"/>
        </w:rPr>
        <w:t>VaV</w:t>
      </w:r>
      <w:proofErr w:type="spellEnd"/>
      <w:r w:rsidR="00904A90">
        <w:rPr>
          <w:rFonts w:ascii="Arial" w:hAnsi="Arial" w:cs="Arial"/>
          <w:sz w:val="20"/>
          <w:szCs w:val="20"/>
        </w:rPr>
        <w:t xml:space="preserve"> </w:t>
      </w:r>
      <w:r w:rsidR="006A283B">
        <w:rPr>
          <w:rFonts w:ascii="Arial" w:hAnsi="Arial" w:cs="Arial"/>
          <w:sz w:val="20"/>
          <w:szCs w:val="20"/>
        </w:rPr>
        <w:t xml:space="preserve">v roce 2019 </w:t>
      </w:r>
      <w:r w:rsidR="00904A90">
        <w:rPr>
          <w:rFonts w:ascii="Arial" w:hAnsi="Arial" w:cs="Arial"/>
          <w:sz w:val="20"/>
          <w:szCs w:val="20"/>
        </w:rPr>
        <w:t>alokováno</w:t>
      </w:r>
      <w:r w:rsidR="006A283B">
        <w:rPr>
          <w:rFonts w:ascii="Arial" w:hAnsi="Arial" w:cs="Arial"/>
          <w:sz w:val="20"/>
          <w:szCs w:val="20"/>
        </w:rPr>
        <w:t xml:space="preserve"> celkem 10,4 mld. Kč (</w:t>
      </w:r>
      <w:r w:rsidR="002138B8">
        <w:rPr>
          <w:rFonts w:ascii="Arial" w:hAnsi="Arial" w:cs="Arial"/>
          <w:sz w:val="20"/>
          <w:szCs w:val="20"/>
        </w:rPr>
        <w:t>15 % podnikatelského sektoru). V Jihomoravském kraji</w:t>
      </w:r>
      <w:r w:rsidR="004F52A9">
        <w:rPr>
          <w:rFonts w:ascii="Arial" w:hAnsi="Arial" w:cs="Arial"/>
          <w:sz w:val="20"/>
          <w:szCs w:val="20"/>
        </w:rPr>
        <w:t xml:space="preserve"> se</w:t>
      </w:r>
      <w:r w:rsidR="00904A90">
        <w:rPr>
          <w:rFonts w:ascii="Arial" w:hAnsi="Arial" w:cs="Arial"/>
          <w:sz w:val="20"/>
          <w:szCs w:val="20"/>
        </w:rPr>
        <w:t>,</w:t>
      </w:r>
      <w:r w:rsidR="002138B8">
        <w:rPr>
          <w:rFonts w:ascii="Arial" w:hAnsi="Arial" w:cs="Arial"/>
          <w:sz w:val="20"/>
          <w:szCs w:val="20"/>
        </w:rPr>
        <w:t xml:space="preserve"> obdobně jako v Praze (jako jediných dvou krajích v </w:t>
      </w:r>
      <w:r w:rsidR="004F52A9">
        <w:rPr>
          <w:rFonts w:ascii="Arial" w:hAnsi="Arial" w:cs="Arial"/>
          <w:sz w:val="20"/>
          <w:szCs w:val="20"/>
        </w:rPr>
        <w:t>Česku</w:t>
      </w:r>
      <w:r w:rsidR="002138B8">
        <w:rPr>
          <w:rFonts w:ascii="Arial" w:hAnsi="Arial" w:cs="Arial"/>
          <w:sz w:val="20"/>
          <w:szCs w:val="20"/>
        </w:rPr>
        <w:t>)</w:t>
      </w:r>
      <w:r w:rsidR="00904A90">
        <w:rPr>
          <w:rFonts w:ascii="Arial" w:hAnsi="Arial" w:cs="Arial"/>
          <w:sz w:val="20"/>
          <w:szCs w:val="20"/>
        </w:rPr>
        <w:t>,</w:t>
      </w:r>
      <w:r w:rsidR="002138B8">
        <w:rPr>
          <w:rFonts w:ascii="Arial" w:hAnsi="Arial" w:cs="Arial"/>
          <w:sz w:val="20"/>
          <w:szCs w:val="20"/>
        </w:rPr>
        <w:t xml:space="preserve"> vynalo</w:t>
      </w:r>
      <w:r w:rsidR="004F52A9">
        <w:rPr>
          <w:rFonts w:ascii="Arial" w:hAnsi="Arial" w:cs="Arial"/>
          <w:sz w:val="20"/>
          <w:szCs w:val="20"/>
        </w:rPr>
        <w:t>žil</w:t>
      </w:r>
      <w:r w:rsidR="002138B8">
        <w:rPr>
          <w:rFonts w:ascii="Arial" w:hAnsi="Arial" w:cs="Arial"/>
          <w:sz w:val="20"/>
          <w:szCs w:val="20"/>
        </w:rPr>
        <w:t xml:space="preserve">o </w:t>
      </w:r>
      <w:r w:rsidR="00904A90">
        <w:rPr>
          <w:rFonts w:ascii="Arial" w:hAnsi="Arial" w:cs="Arial"/>
          <w:sz w:val="20"/>
          <w:szCs w:val="20"/>
        </w:rPr>
        <w:t xml:space="preserve">v roce 2019 </w:t>
      </w:r>
      <w:r w:rsidR="002138B8">
        <w:rPr>
          <w:rFonts w:ascii="Arial" w:hAnsi="Arial" w:cs="Arial"/>
          <w:sz w:val="20"/>
          <w:szCs w:val="20"/>
        </w:rPr>
        <w:t xml:space="preserve">více prostředků na VaV v oblasti ICT než </w:t>
      </w:r>
      <w:r w:rsidR="004F52A9">
        <w:rPr>
          <w:rFonts w:ascii="Arial" w:hAnsi="Arial" w:cs="Arial"/>
          <w:sz w:val="20"/>
          <w:szCs w:val="20"/>
        </w:rPr>
        <w:t>v</w:t>
      </w:r>
      <w:r w:rsidR="00904A90">
        <w:rPr>
          <w:rFonts w:ascii="Arial" w:hAnsi="Arial" w:cs="Arial"/>
          <w:sz w:val="20"/>
          <w:szCs w:val="20"/>
        </w:rPr>
        <w:t> </w:t>
      </w:r>
      <w:r w:rsidR="004F52A9">
        <w:rPr>
          <w:rFonts w:ascii="Arial" w:hAnsi="Arial" w:cs="Arial"/>
          <w:sz w:val="20"/>
          <w:szCs w:val="20"/>
        </w:rPr>
        <w:t>průmyslu</w:t>
      </w:r>
      <w:r w:rsidR="00904A90">
        <w:rPr>
          <w:rFonts w:ascii="Arial" w:hAnsi="Arial" w:cs="Arial"/>
          <w:sz w:val="20"/>
          <w:szCs w:val="20"/>
        </w:rPr>
        <w:t xml:space="preserve">, když do podniků z odvětví ICT směřovalo v tomto kraji </w:t>
      </w:r>
      <w:r w:rsidR="00A85042">
        <w:rPr>
          <w:rFonts w:ascii="Arial" w:hAnsi="Arial" w:cs="Arial"/>
          <w:sz w:val="20"/>
          <w:szCs w:val="20"/>
        </w:rPr>
        <w:t xml:space="preserve">3,8 mld. Kč (36 % výdajů na VaV v jihomoravských podnicích a 28 % výdajů na VaV v ICT v celé ČR). V žádném dalším kraji se v podnicích </w:t>
      </w:r>
      <w:r w:rsidR="00904A90">
        <w:rPr>
          <w:rFonts w:ascii="Arial" w:hAnsi="Arial" w:cs="Arial"/>
          <w:sz w:val="20"/>
          <w:szCs w:val="20"/>
        </w:rPr>
        <w:t xml:space="preserve">nevynaložily </w:t>
      </w:r>
      <w:r w:rsidR="00A85042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A85042">
        <w:rPr>
          <w:rFonts w:ascii="Arial" w:hAnsi="Arial" w:cs="Arial"/>
          <w:sz w:val="20"/>
          <w:szCs w:val="20"/>
        </w:rPr>
        <w:t>VaV</w:t>
      </w:r>
      <w:proofErr w:type="spellEnd"/>
      <w:r w:rsidR="00A85042">
        <w:rPr>
          <w:rFonts w:ascii="Arial" w:hAnsi="Arial" w:cs="Arial"/>
          <w:sz w:val="20"/>
          <w:szCs w:val="20"/>
        </w:rPr>
        <w:t xml:space="preserve"> více než 4 mld. Kč. Mezi třemi a čtyřmi mld. Kč to bylo v Plzeňském, Zlínském a Moravskoslezském kraji. V pěti krajích to bylo mezi dvěma a třemi mld. Kč, ve dvou krajích mezi 1 a 2 mld. Kč a v posledním Karlovarském kraji méně než 0,5 mld. Kč.</w:t>
      </w:r>
    </w:p>
    <w:p w14:paraId="063F9D7E" w14:textId="0B6735B7" w:rsidR="002C3C6D" w:rsidRDefault="00A85042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podnikatelském sektoru </w:t>
      </w:r>
      <w:r w:rsidR="004F52A9">
        <w:rPr>
          <w:rFonts w:ascii="Arial" w:hAnsi="Arial" w:cs="Arial"/>
          <w:sz w:val="20"/>
          <w:szCs w:val="20"/>
        </w:rPr>
        <w:t>je zaměstnán</w:t>
      </w:r>
      <w:r>
        <w:rPr>
          <w:rFonts w:ascii="Arial" w:hAnsi="Arial" w:cs="Arial"/>
          <w:sz w:val="20"/>
          <w:szCs w:val="20"/>
        </w:rPr>
        <w:t xml:space="preserve"> nadpoloviční počet pracovníků VaV na území ČR. Celkem </w:t>
      </w:r>
      <w:r w:rsidR="004F52A9">
        <w:rPr>
          <w:rFonts w:ascii="Arial" w:hAnsi="Arial" w:cs="Arial"/>
          <w:sz w:val="20"/>
          <w:szCs w:val="20"/>
        </w:rPr>
        <w:t xml:space="preserve">v roce 2019 provádělo VaV v podnicích </w:t>
      </w:r>
      <w:r>
        <w:rPr>
          <w:rFonts w:ascii="Arial" w:hAnsi="Arial" w:cs="Arial"/>
          <w:sz w:val="20"/>
          <w:szCs w:val="20"/>
        </w:rPr>
        <w:t xml:space="preserve">60,2 tis. osob (HC). V ukazateli přepočtených osob (FTE) se jednalo o 44,8 tis. osob, které tvořily </w:t>
      </w:r>
      <w:r w:rsidR="00D32AAB">
        <w:rPr>
          <w:rFonts w:ascii="Arial" w:hAnsi="Arial" w:cs="Arial"/>
          <w:sz w:val="20"/>
          <w:szCs w:val="20"/>
        </w:rPr>
        <w:t>57 </w:t>
      </w:r>
      <w:r>
        <w:rPr>
          <w:rFonts w:ascii="Arial" w:hAnsi="Arial" w:cs="Arial"/>
          <w:sz w:val="20"/>
          <w:szCs w:val="20"/>
        </w:rPr>
        <w:t>% pracovníků</w:t>
      </w:r>
      <w:r w:rsidR="004F4C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4C11">
        <w:rPr>
          <w:rFonts w:ascii="Arial" w:hAnsi="Arial" w:cs="Arial"/>
          <w:sz w:val="20"/>
          <w:szCs w:val="20"/>
        </w:rPr>
        <w:t>VaV</w:t>
      </w:r>
      <w:proofErr w:type="spellEnd"/>
      <w:r w:rsidR="004F4C11">
        <w:rPr>
          <w:rFonts w:ascii="Arial" w:hAnsi="Arial" w:cs="Arial"/>
          <w:sz w:val="20"/>
          <w:szCs w:val="20"/>
        </w:rPr>
        <w:t xml:space="preserve"> v České republice. </w:t>
      </w:r>
      <w:r w:rsidR="00D32AAB">
        <w:rPr>
          <w:rFonts w:ascii="Arial" w:hAnsi="Arial" w:cs="Arial"/>
          <w:sz w:val="20"/>
          <w:szCs w:val="20"/>
        </w:rPr>
        <w:t xml:space="preserve">Ze všech sektorů provádění </w:t>
      </w:r>
      <w:proofErr w:type="spellStart"/>
      <w:r w:rsidR="00D32AAB">
        <w:rPr>
          <w:rFonts w:ascii="Arial" w:hAnsi="Arial" w:cs="Arial"/>
          <w:sz w:val="20"/>
          <w:szCs w:val="20"/>
        </w:rPr>
        <w:t>VaV</w:t>
      </w:r>
      <w:proofErr w:type="spellEnd"/>
      <w:r w:rsidR="00D32AAB">
        <w:rPr>
          <w:rFonts w:ascii="Arial" w:hAnsi="Arial" w:cs="Arial"/>
          <w:sz w:val="20"/>
          <w:szCs w:val="20"/>
        </w:rPr>
        <w:t xml:space="preserve"> roste p</w:t>
      </w:r>
      <w:r w:rsidR="004F4C11">
        <w:rPr>
          <w:rFonts w:ascii="Arial" w:hAnsi="Arial" w:cs="Arial"/>
          <w:sz w:val="20"/>
          <w:szCs w:val="20"/>
        </w:rPr>
        <w:t xml:space="preserve">očet pracovníků ve </w:t>
      </w:r>
      <w:proofErr w:type="spellStart"/>
      <w:r w:rsidR="004F4C11">
        <w:rPr>
          <w:rFonts w:ascii="Arial" w:hAnsi="Arial" w:cs="Arial"/>
          <w:sz w:val="20"/>
          <w:szCs w:val="20"/>
        </w:rPr>
        <w:t>VaV</w:t>
      </w:r>
      <w:proofErr w:type="spellEnd"/>
      <w:r w:rsidR="004F4C11">
        <w:rPr>
          <w:rFonts w:ascii="Arial" w:hAnsi="Arial" w:cs="Arial"/>
          <w:sz w:val="20"/>
          <w:szCs w:val="20"/>
        </w:rPr>
        <w:t xml:space="preserve"> v podnikatelském sektoru nejrychleji. </w:t>
      </w:r>
      <w:r w:rsidR="00384615">
        <w:rPr>
          <w:rFonts w:ascii="Arial" w:hAnsi="Arial" w:cs="Arial"/>
          <w:sz w:val="20"/>
          <w:szCs w:val="20"/>
        </w:rPr>
        <w:t>Obdobně jako v případě výdajů na VaV, nalezneme nejvíce pracovníků v podnicích pod zahraniční kontrolou, i když jejich náskok není tak v</w:t>
      </w:r>
      <w:r w:rsidR="004F52A9">
        <w:rPr>
          <w:rFonts w:ascii="Arial" w:hAnsi="Arial" w:cs="Arial"/>
          <w:sz w:val="20"/>
          <w:szCs w:val="20"/>
        </w:rPr>
        <w:t>ýrazn</w:t>
      </w:r>
      <w:r w:rsidR="00384615">
        <w:rPr>
          <w:rFonts w:ascii="Arial" w:hAnsi="Arial" w:cs="Arial"/>
          <w:sz w:val="20"/>
          <w:szCs w:val="20"/>
        </w:rPr>
        <w:t xml:space="preserve">ý. V posledních pěti letech se podíl zahraničních podniků na pracovnících ve VaV pohybuje kolem 55 %. </w:t>
      </w:r>
      <w:r w:rsidR="009C1BE4">
        <w:rPr>
          <w:rFonts w:ascii="Arial" w:hAnsi="Arial" w:cs="Arial"/>
          <w:sz w:val="20"/>
          <w:szCs w:val="20"/>
        </w:rPr>
        <w:t>V roce 2019 se jednalo o více</w:t>
      </w:r>
      <w:r w:rsidR="00D32AAB">
        <w:rPr>
          <w:rFonts w:ascii="Arial" w:hAnsi="Arial" w:cs="Arial"/>
          <w:sz w:val="20"/>
          <w:szCs w:val="20"/>
        </w:rPr>
        <w:t xml:space="preserve"> než</w:t>
      </w:r>
      <w:r w:rsidR="009C1BE4">
        <w:rPr>
          <w:rFonts w:ascii="Arial" w:hAnsi="Arial" w:cs="Arial"/>
          <w:sz w:val="20"/>
          <w:szCs w:val="20"/>
        </w:rPr>
        <w:t xml:space="preserve"> 24 tis. osob (FTE). V soukromých domácích podnicích se VaV činností zabývalo necelých 19 tis. osob (FTE), což tvořilo 42 % podnikatelského sektoru. Nejméně pracovníků nalezneme ve veřejných podnicích, kde jich pracuje okolo 1,</w:t>
      </w:r>
      <w:r w:rsidR="008C7131">
        <w:rPr>
          <w:rFonts w:ascii="Arial" w:hAnsi="Arial" w:cs="Arial"/>
          <w:sz w:val="20"/>
          <w:szCs w:val="20"/>
        </w:rPr>
        <w:t>5 </w:t>
      </w:r>
      <w:r w:rsidR="009C1BE4">
        <w:rPr>
          <w:rFonts w:ascii="Arial" w:hAnsi="Arial" w:cs="Arial"/>
          <w:sz w:val="20"/>
          <w:szCs w:val="20"/>
        </w:rPr>
        <w:t xml:space="preserve">tis. (FTE). </w:t>
      </w:r>
    </w:p>
    <w:p w14:paraId="17A87DD5" w14:textId="6C40B0B9" w:rsidR="008A34FF" w:rsidRDefault="004F6E50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české podnikové prostředí je typické velmi nízké zastoupení žen. Žen je mezi pracovníky VaV v podnicích dlouhodobě méně než 1/5, v posledních letech se jejich podíl pohybuje okolo 17 %. Nízký podíl žen souvisí s oborovým zaměřením českého výzkumu, který se v největší míře provádí ve zpracovatelském průmyslu a v IT, tedy v oblastech, které jsou velmi často doménou mužů.</w:t>
      </w:r>
      <w:r w:rsidR="00E51E35">
        <w:rPr>
          <w:rFonts w:ascii="Arial" w:hAnsi="Arial" w:cs="Arial"/>
          <w:sz w:val="20"/>
          <w:szCs w:val="20"/>
        </w:rPr>
        <w:t xml:space="preserve"> </w:t>
      </w:r>
      <w:r w:rsidR="005B3F59">
        <w:rPr>
          <w:rFonts w:ascii="Arial" w:hAnsi="Arial" w:cs="Arial"/>
          <w:sz w:val="20"/>
          <w:szCs w:val="20"/>
        </w:rPr>
        <w:t>Ve zpracovatelském průmyslu</w:t>
      </w:r>
      <w:r w:rsidR="00E51E35">
        <w:rPr>
          <w:rFonts w:ascii="Arial" w:hAnsi="Arial" w:cs="Arial"/>
          <w:sz w:val="20"/>
          <w:szCs w:val="20"/>
        </w:rPr>
        <w:t xml:space="preserve"> je mezi pracovníky </w:t>
      </w:r>
      <w:proofErr w:type="spellStart"/>
      <w:r w:rsidR="008C7131">
        <w:rPr>
          <w:rFonts w:ascii="Arial" w:hAnsi="Arial" w:cs="Arial"/>
          <w:sz w:val="20"/>
          <w:szCs w:val="20"/>
        </w:rPr>
        <w:t>VaV</w:t>
      </w:r>
      <w:proofErr w:type="spellEnd"/>
      <w:r w:rsidR="008C7131">
        <w:rPr>
          <w:rFonts w:ascii="Arial" w:hAnsi="Arial" w:cs="Arial"/>
          <w:sz w:val="20"/>
          <w:szCs w:val="20"/>
        </w:rPr>
        <w:t xml:space="preserve"> dokonce </w:t>
      </w:r>
      <w:r w:rsidR="00E51E35">
        <w:rPr>
          <w:rFonts w:ascii="Arial" w:hAnsi="Arial" w:cs="Arial"/>
          <w:sz w:val="20"/>
          <w:szCs w:val="20"/>
        </w:rPr>
        <w:t>pouze 15 % žen</w:t>
      </w:r>
      <w:r w:rsidR="008C7131">
        <w:rPr>
          <w:rFonts w:ascii="Arial" w:hAnsi="Arial" w:cs="Arial"/>
          <w:sz w:val="20"/>
          <w:szCs w:val="20"/>
        </w:rPr>
        <w:t xml:space="preserve"> a</w:t>
      </w:r>
      <w:r w:rsidR="00E51E35">
        <w:rPr>
          <w:rFonts w:ascii="Arial" w:hAnsi="Arial" w:cs="Arial"/>
          <w:sz w:val="20"/>
          <w:szCs w:val="20"/>
        </w:rPr>
        <w:t xml:space="preserve"> </w:t>
      </w:r>
      <w:r w:rsidR="008C7131">
        <w:rPr>
          <w:rFonts w:ascii="Arial" w:hAnsi="Arial" w:cs="Arial"/>
          <w:sz w:val="20"/>
          <w:szCs w:val="20"/>
        </w:rPr>
        <w:t>v</w:t>
      </w:r>
      <w:r w:rsidR="00E51E35">
        <w:rPr>
          <w:rFonts w:ascii="Arial" w:hAnsi="Arial" w:cs="Arial"/>
          <w:sz w:val="20"/>
          <w:szCs w:val="20"/>
        </w:rPr>
        <w:t xml:space="preserve"> některých průmyslových odvětvích </w:t>
      </w:r>
      <w:r w:rsidR="008C7131">
        <w:rPr>
          <w:rFonts w:ascii="Arial" w:hAnsi="Arial" w:cs="Arial"/>
          <w:sz w:val="20"/>
          <w:szCs w:val="20"/>
        </w:rPr>
        <w:t>pak nacházíme</w:t>
      </w:r>
      <w:r w:rsidR="00E51E35">
        <w:rPr>
          <w:rFonts w:ascii="Arial" w:hAnsi="Arial" w:cs="Arial"/>
          <w:sz w:val="20"/>
          <w:szCs w:val="20"/>
        </w:rPr>
        <w:t xml:space="preserve"> i méně než 10 %</w:t>
      </w:r>
      <w:r w:rsidR="008C7131">
        <w:rPr>
          <w:rFonts w:ascii="Arial" w:hAnsi="Arial" w:cs="Arial"/>
          <w:sz w:val="20"/>
          <w:szCs w:val="20"/>
        </w:rPr>
        <w:t xml:space="preserve"> žen pracujících ve výzkumu</w:t>
      </w:r>
      <w:r w:rsidR="00E51E35">
        <w:rPr>
          <w:rFonts w:ascii="Arial" w:hAnsi="Arial" w:cs="Arial"/>
          <w:sz w:val="20"/>
          <w:szCs w:val="20"/>
        </w:rPr>
        <w:t xml:space="preserve">. Vysoké podíly žen (vyšší než 40 %) </w:t>
      </w:r>
      <w:r w:rsidR="008C7131">
        <w:rPr>
          <w:rFonts w:ascii="Arial" w:hAnsi="Arial" w:cs="Arial"/>
          <w:sz w:val="20"/>
          <w:szCs w:val="20"/>
        </w:rPr>
        <w:t xml:space="preserve">zaznamenáváme </w:t>
      </w:r>
      <w:r w:rsidR="00E51E35">
        <w:rPr>
          <w:rFonts w:ascii="Arial" w:hAnsi="Arial" w:cs="Arial"/>
          <w:sz w:val="20"/>
          <w:szCs w:val="20"/>
        </w:rPr>
        <w:t xml:space="preserve">pouze </w:t>
      </w:r>
      <w:r w:rsidR="00E51E35">
        <w:rPr>
          <w:rFonts w:ascii="Arial" w:hAnsi="Arial" w:cs="Arial"/>
          <w:sz w:val="20"/>
          <w:szCs w:val="20"/>
        </w:rPr>
        <w:lastRenderedPageBreak/>
        <w:t>v potravinářském, textilním, chemickém a farmaceutickém průmyslu. V oblasti IT nalezneme taktéž velmi málo žen, v roce 2019 zde pracovalo 1,2 tis. osob (FTE), které tvořily pouze 12 %</w:t>
      </w:r>
      <w:r w:rsidR="008A34FF">
        <w:rPr>
          <w:rFonts w:ascii="Arial" w:hAnsi="Arial" w:cs="Arial"/>
          <w:sz w:val="20"/>
          <w:szCs w:val="20"/>
        </w:rPr>
        <w:t xml:space="preserve"> pracovníků VaV v IT. </w:t>
      </w:r>
    </w:p>
    <w:p w14:paraId="632A4B0D" w14:textId="08C88F30" w:rsidR="00344458" w:rsidRDefault="008A34FF" w:rsidP="003218DA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jde o zaměstnanost ve VaV, tak trvale narůstá význam velkých podniků, které zaměstnávají již 62 % podnikových pracovníků ve VaV. V roce 2019 s jednalo téměř o 28 tis. osob (FTE). </w:t>
      </w:r>
      <w:r w:rsidR="00E1080E">
        <w:rPr>
          <w:rFonts w:ascii="Arial" w:hAnsi="Arial" w:cs="Arial"/>
          <w:sz w:val="20"/>
          <w:szCs w:val="20"/>
        </w:rPr>
        <w:t>Počty pracovníků ve VaV v ostatních velikostních skupinách</w:t>
      </w:r>
      <w:r w:rsidR="004F52A9">
        <w:rPr>
          <w:rFonts w:ascii="Arial" w:hAnsi="Arial" w:cs="Arial"/>
          <w:sz w:val="20"/>
          <w:szCs w:val="20"/>
        </w:rPr>
        <w:t xml:space="preserve"> podniků</w:t>
      </w:r>
      <w:r w:rsidR="00E1080E">
        <w:rPr>
          <w:rFonts w:ascii="Arial" w:hAnsi="Arial" w:cs="Arial"/>
          <w:sz w:val="20"/>
          <w:szCs w:val="20"/>
        </w:rPr>
        <w:t xml:space="preserve"> jsou dlouhodobě poměrně konstantní. Ve středních podnicích pracuje ve VaV okolo 11 tis. osob (FTE) a jejich podíl se snížil na méně než </w:t>
      </w:r>
      <w:r w:rsidR="00B62DA6">
        <w:rPr>
          <w:rFonts w:ascii="Arial" w:hAnsi="Arial" w:cs="Arial"/>
          <w:sz w:val="20"/>
          <w:szCs w:val="20"/>
        </w:rPr>
        <w:t xml:space="preserve">čtvrtina. </w:t>
      </w:r>
      <w:r w:rsidR="00E1080E">
        <w:rPr>
          <w:rFonts w:ascii="Arial" w:hAnsi="Arial" w:cs="Arial"/>
          <w:sz w:val="20"/>
          <w:szCs w:val="20"/>
        </w:rPr>
        <w:t xml:space="preserve">V posledních letech drobně narostl počet pracovníků ve VaV v malých podnicích. V roce 2019 jich bylo 6 tis. (FTE) a tvořili 13 </w:t>
      </w:r>
      <w:r w:rsidR="004F52A9">
        <w:rPr>
          <w:rFonts w:ascii="Arial" w:hAnsi="Arial" w:cs="Arial"/>
          <w:sz w:val="20"/>
          <w:szCs w:val="20"/>
        </w:rPr>
        <w:t xml:space="preserve">% </w:t>
      </w:r>
      <w:r w:rsidR="00E1080E">
        <w:rPr>
          <w:rFonts w:ascii="Arial" w:hAnsi="Arial" w:cs="Arial"/>
          <w:sz w:val="20"/>
          <w:szCs w:val="20"/>
        </w:rPr>
        <w:t xml:space="preserve">pracovníků </w:t>
      </w:r>
      <w:r w:rsidR="004F52A9">
        <w:rPr>
          <w:rFonts w:ascii="Arial" w:hAnsi="Arial" w:cs="Arial"/>
          <w:sz w:val="20"/>
          <w:szCs w:val="20"/>
        </w:rPr>
        <w:t xml:space="preserve">ve </w:t>
      </w:r>
      <w:r w:rsidR="00E1080E">
        <w:rPr>
          <w:rFonts w:ascii="Arial" w:hAnsi="Arial" w:cs="Arial"/>
          <w:sz w:val="20"/>
          <w:szCs w:val="20"/>
        </w:rPr>
        <w:t>VaV v podnikatelském sektoru.</w:t>
      </w:r>
    </w:p>
    <w:p w14:paraId="104C5DB7" w14:textId="77777777" w:rsidR="00746408" w:rsidRPr="00456552" w:rsidRDefault="00746408" w:rsidP="00746408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ve vládním sektoru</w:t>
      </w:r>
    </w:p>
    <w:p w14:paraId="5CB3FB76" w14:textId="5BBC6724" w:rsidR="00746408" w:rsidRDefault="00746408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0D62BD">
        <w:rPr>
          <w:rFonts w:ascii="Arial" w:hAnsi="Arial" w:cs="Arial"/>
          <w:sz w:val="20"/>
          <w:szCs w:val="20"/>
        </w:rPr>
        <w:t xml:space="preserve">Výdaje na VaV ve vládním sektoru meziročně vzrostly o 8 % a dosáhly </w:t>
      </w:r>
      <w:r w:rsidR="003F283F">
        <w:rPr>
          <w:rFonts w:ascii="Arial" w:hAnsi="Arial" w:cs="Arial"/>
          <w:sz w:val="20"/>
          <w:szCs w:val="20"/>
        </w:rPr>
        <w:t>rekordních 18,2 mld. Kč. Doposud byly</w:t>
      </w:r>
      <w:r w:rsidR="000C58F7">
        <w:rPr>
          <w:rFonts w:ascii="Arial" w:hAnsi="Arial" w:cs="Arial"/>
          <w:sz w:val="20"/>
          <w:szCs w:val="20"/>
        </w:rPr>
        <w:t xml:space="preserve"> v tomto sektoru</w:t>
      </w:r>
      <w:r w:rsidR="003F283F">
        <w:rPr>
          <w:rFonts w:ascii="Arial" w:hAnsi="Arial" w:cs="Arial"/>
          <w:sz w:val="20"/>
          <w:szCs w:val="20"/>
        </w:rPr>
        <w:t xml:space="preserve"> nejvyšší výdaje na VaV v roce 2015, </w:t>
      </w:r>
      <w:r w:rsidR="000C58F7">
        <w:rPr>
          <w:rFonts w:ascii="Arial" w:hAnsi="Arial" w:cs="Arial"/>
          <w:sz w:val="20"/>
          <w:szCs w:val="20"/>
        </w:rPr>
        <w:t>a to</w:t>
      </w:r>
      <w:r w:rsidR="003F283F">
        <w:rPr>
          <w:rFonts w:ascii="Arial" w:hAnsi="Arial" w:cs="Arial"/>
          <w:sz w:val="20"/>
          <w:szCs w:val="20"/>
        </w:rPr>
        <w:t xml:space="preserve"> 18,1 mld. Kč. V roce 2015 ve vládním sektoru vrcholil příliv prostředků z EU. Následoval velmi výrazný 20% pokles výdajů na VaV v roce 2016</w:t>
      </w:r>
      <w:r w:rsidR="00D67958">
        <w:rPr>
          <w:rFonts w:ascii="Arial" w:hAnsi="Arial" w:cs="Arial"/>
          <w:sz w:val="20"/>
          <w:szCs w:val="20"/>
        </w:rPr>
        <w:t xml:space="preserve"> na hodnotu </w:t>
      </w:r>
      <w:r w:rsidR="00ED2D9E">
        <w:rPr>
          <w:rFonts w:ascii="Arial" w:hAnsi="Arial" w:cs="Arial"/>
          <w:sz w:val="20"/>
          <w:szCs w:val="20"/>
        </w:rPr>
        <w:t>14,5</w:t>
      </w:r>
      <w:r w:rsidR="00D67958">
        <w:rPr>
          <w:rFonts w:ascii="Arial" w:hAnsi="Arial" w:cs="Arial"/>
          <w:sz w:val="20"/>
          <w:szCs w:val="20"/>
        </w:rPr>
        <w:t> mld. Kč.</w:t>
      </w:r>
      <w:r w:rsidR="003F283F">
        <w:rPr>
          <w:rFonts w:ascii="Arial" w:hAnsi="Arial" w:cs="Arial"/>
          <w:sz w:val="20"/>
          <w:szCs w:val="20"/>
        </w:rPr>
        <w:t xml:space="preserve"> Poté začaly výdaje na VaV opět růst, a to průměrným meziročním tempem </w:t>
      </w:r>
      <w:r w:rsidR="00F5547F">
        <w:rPr>
          <w:rFonts w:ascii="Arial" w:hAnsi="Arial" w:cs="Arial"/>
          <w:sz w:val="20"/>
          <w:szCs w:val="20"/>
        </w:rPr>
        <w:t>8 </w:t>
      </w:r>
      <w:r w:rsidR="003F283F">
        <w:rPr>
          <w:rFonts w:ascii="Arial" w:hAnsi="Arial" w:cs="Arial"/>
          <w:sz w:val="20"/>
          <w:szCs w:val="20"/>
        </w:rPr>
        <w:t>%</w:t>
      </w:r>
      <w:r w:rsidR="006E4203">
        <w:rPr>
          <w:rFonts w:ascii="Arial" w:hAnsi="Arial" w:cs="Arial"/>
          <w:sz w:val="20"/>
          <w:szCs w:val="20"/>
        </w:rPr>
        <w:t>, až na zmíněných</w:t>
      </w:r>
      <w:r w:rsidR="00350D54">
        <w:rPr>
          <w:rFonts w:ascii="Arial" w:hAnsi="Arial" w:cs="Arial"/>
          <w:sz w:val="20"/>
          <w:szCs w:val="20"/>
        </w:rPr>
        <w:t xml:space="preserve"> 18,2 mld. Kč v roce 2019. Výdaje na VaV ve vládním sektoru však rostou pomaleji než v ostatních sektorech provádění, a tak v průběhu let klesá podíl vládního sektoru na celku. </w:t>
      </w:r>
      <w:r w:rsidR="000C58F7">
        <w:rPr>
          <w:rFonts w:ascii="Arial" w:hAnsi="Arial" w:cs="Arial"/>
          <w:sz w:val="20"/>
          <w:szCs w:val="20"/>
        </w:rPr>
        <w:t>V roce 2015 byl podíl</w:t>
      </w:r>
      <w:r w:rsidR="004549AD">
        <w:rPr>
          <w:rFonts w:ascii="Arial" w:hAnsi="Arial" w:cs="Arial"/>
          <w:sz w:val="20"/>
          <w:szCs w:val="20"/>
        </w:rPr>
        <w:t xml:space="preserve"> výdajů vládního sektoru na </w:t>
      </w:r>
      <w:r w:rsidR="000C58F7">
        <w:rPr>
          <w:rFonts w:ascii="Arial" w:hAnsi="Arial" w:cs="Arial"/>
          <w:sz w:val="20"/>
          <w:szCs w:val="20"/>
        </w:rPr>
        <w:t>celkových výdajích na VaV</w:t>
      </w:r>
      <w:r w:rsidR="004549AD">
        <w:rPr>
          <w:rFonts w:ascii="Arial" w:hAnsi="Arial" w:cs="Arial"/>
          <w:sz w:val="20"/>
          <w:szCs w:val="20"/>
        </w:rPr>
        <w:t xml:space="preserve"> 20 %, do roku 2019 klesl </w:t>
      </w:r>
      <w:r w:rsidR="000C58F7">
        <w:rPr>
          <w:rFonts w:ascii="Arial" w:hAnsi="Arial" w:cs="Arial"/>
          <w:sz w:val="20"/>
          <w:szCs w:val="20"/>
        </w:rPr>
        <w:t xml:space="preserve">tento podíl </w:t>
      </w:r>
      <w:r w:rsidR="004549AD">
        <w:rPr>
          <w:rFonts w:ascii="Arial" w:hAnsi="Arial" w:cs="Arial"/>
          <w:sz w:val="20"/>
          <w:szCs w:val="20"/>
        </w:rPr>
        <w:t>na 16 %.</w:t>
      </w:r>
    </w:p>
    <w:p w14:paraId="47660109" w14:textId="648C09F8" w:rsidR="004549AD" w:rsidRDefault="000C58F7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Vládní sektor zahrnuje širok</w:t>
      </w:r>
      <w:r w:rsidR="004549AD">
        <w:rPr>
          <w:rFonts w:ascii="Arial" w:hAnsi="Arial" w:cs="Arial"/>
          <w:sz w:val="20"/>
          <w:szCs w:val="20"/>
        </w:rPr>
        <w:t xml:space="preserve">é spektrum institucí, z nichž z hlediska VaV činnosti jsou nejvýznamnější ústavy Akademie věd ČR. </w:t>
      </w:r>
      <w:r w:rsidR="00BD7CB9">
        <w:rPr>
          <w:rFonts w:ascii="Arial" w:hAnsi="Arial" w:cs="Arial"/>
          <w:sz w:val="20"/>
          <w:szCs w:val="20"/>
        </w:rPr>
        <w:t xml:space="preserve">V </w:t>
      </w:r>
      <w:r w:rsidR="004549AD">
        <w:rPr>
          <w:rFonts w:ascii="Arial" w:hAnsi="Arial" w:cs="Arial"/>
          <w:sz w:val="20"/>
          <w:szCs w:val="20"/>
        </w:rPr>
        <w:t>53 ústavech AV ČR se v roce 2019 vynaložilo na VaV celkem 13,1 mld</w:t>
      </w:r>
      <w:r>
        <w:rPr>
          <w:rFonts w:ascii="Arial" w:hAnsi="Arial" w:cs="Arial"/>
          <w:sz w:val="20"/>
          <w:szCs w:val="20"/>
        </w:rPr>
        <w:t>.</w:t>
      </w:r>
      <w:r w:rsidR="004549AD">
        <w:rPr>
          <w:rFonts w:ascii="Arial" w:hAnsi="Arial" w:cs="Arial"/>
          <w:sz w:val="20"/>
          <w:szCs w:val="20"/>
        </w:rPr>
        <w:t xml:space="preserve"> Kč. A</w:t>
      </w:r>
      <w:r>
        <w:rPr>
          <w:rFonts w:ascii="Arial" w:hAnsi="Arial" w:cs="Arial"/>
          <w:sz w:val="20"/>
          <w:szCs w:val="20"/>
        </w:rPr>
        <w:t>kademie věd</w:t>
      </w:r>
      <w:r w:rsidR="004549AD">
        <w:rPr>
          <w:rFonts w:ascii="Arial" w:hAnsi="Arial" w:cs="Arial"/>
          <w:sz w:val="20"/>
          <w:szCs w:val="20"/>
        </w:rPr>
        <w:t xml:space="preserve"> ČR má dlouhodobě více než 70% podíl na výdajích na VaV vládního sektoru. Pokud srovnáme AV ČR</w:t>
      </w:r>
      <w:r>
        <w:rPr>
          <w:rFonts w:ascii="Arial" w:hAnsi="Arial" w:cs="Arial"/>
          <w:sz w:val="20"/>
          <w:szCs w:val="20"/>
        </w:rPr>
        <w:t xml:space="preserve"> s</w:t>
      </w:r>
      <w:r w:rsidR="004549AD">
        <w:rPr>
          <w:rFonts w:ascii="Arial" w:hAnsi="Arial" w:cs="Arial"/>
          <w:sz w:val="20"/>
          <w:szCs w:val="20"/>
        </w:rPr>
        <w:t xml:space="preserve"> veřejnými a státními vysokými školami, tak v roce 2019 dosáhly výdaje na VaV </w:t>
      </w:r>
      <w:r>
        <w:rPr>
          <w:rFonts w:ascii="Arial" w:hAnsi="Arial" w:cs="Arial"/>
          <w:sz w:val="20"/>
          <w:szCs w:val="20"/>
        </w:rPr>
        <w:t xml:space="preserve">v </w:t>
      </w:r>
      <w:r w:rsidR="004549AD">
        <w:rPr>
          <w:rFonts w:ascii="Arial" w:hAnsi="Arial" w:cs="Arial"/>
          <w:sz w:val="20"/>
          <w:szCs w:val="20"/>
        </w:rPr>
        <w:t>AV ČR necelých 60</w:t>
      </w:r>
      <w:r w:rsidR="00275189">
        <w:rPr>
          <w:rFonts w:ascii="Arial" w:hAnsi="Arial" w:cs="Arial"/>
          <w:sz w:val="20"/>
          <w:szCs w:val="20"/>
        </w:rPr>
        <w:t xml:space="preserve"> </w:t>
      </w:r>
      <w:r w:rsidR="004549AD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částky </w:t>
      </w:r>
      <w:r w:rsidR="00BD7CB9">
        <w:rPr>
          <w:rFonts w:ascii="Arial" w:hAnsi="Arial" w:cs="Arial"/>
          <w:sz w:val="20"/>
          <w:szCs w:val="20"/>
        </w:rPr>
        <w:t xml:space="preserve">utracené za </w:t>
      </w:r>
      <w:proofErr w:type="spellStart"/>
      <w:r w:rsidR="00BD7CB9">
        <w:rPr>
          <w:rFonts w:ascii="Arial" w:hAnsi="Arial" w:cs="Arial"/>
          <w:sz w:val="20"/>
          <w:szCs w:val="20"/>
        </w:rPr>
        <w:t>VaV</w:t>
      </w:r>
      <w:proofErr w:type="spellEnd"/>
      <w:r w:rsidR="00BD7C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4549AD">
        <w:rPr>
          <w:rFonts w:ascii="Arial" w:hAnsi="Arial" w:cs="Arial"/>
          <w:sz w:val="20"/>
          <w:szCs w:val="20"/>
        </w:rPr>
        <w:t xml:space="preserve"> vysokých školách, přičemž před deseti lety v roce 2009 byly výdaje na VaV </w:t>
      </w:r>
      <w:r>
        <w:rPr>
          <w:rFonts w:ascii="Arial" w:hAnsi="Arial" w:cs="Arial"/>
          <w:sz w:val="20"/>
          <w:szCs w:val="20"/>
        </w:rPr>
        <w:t xml:space="preserve">v AV ČR </w:t>
      </w:r>
      <w:r w:rsidR="004549AD">
        <w:rPr>
          <w:rFonts w:ascii="Arial" w:hAnsi="Arial" w:cs="Arial"/>
          <w:sz w:val="20"/>
          <w:szCs w:val="20"/>
        </w:rPr>
        <w:t xml:space="preserve">srovnatelné </w:t>
      </w:r>
      <w:r>
        <w:rPr>
          <w:rFonts w:ascii="Arial" w:hAnsi="Arial" w:cs="Arial"/>
          <w:sz w:val="20"/>
          <w:szCs w:val="20"/>
        </w:rPr>
        <w:t>s výdaji na VaV</w:t>
      </w:r>
      <w:r w:rsidR="004549AD">
        <w:rPr>
          <w:rFonts w:ascii="Arial" w:hAnsi="Arial" w:cs="Arial"/>
          <w:sz w:val="20"/>
          <w:szCs w:val="20"/>
        </w:rPr>
        <w:t xml:space="preserve"> na veřejných a státních vysokých školách.</w:t>
      </w:r>
      <w:r w:rsidR="007F7599">
        <w:rPr>
          <w:rFonts w:ascii="Arial" w:hAnsi="Arial" w:cs="Arial"/>
          <w:sz w:val="20"/>
          <w:szCs w:val="20"/>
        </w:rPr>
        <w:t xml:space="preserve"> </w:t>
      </w:r>
      <w:r w:rsidR="00275189">
        <w:rPr>
          <w:rFonts w:ascii="Arial" w:hAnsi="Arial" w:cs="Arial"/>
          <w:sz w:val="20"/>
          <w:szCs w:val="20"/>
        </w:rPr>
        <w:t xml:space="preserve">Vyjma AV ČR se v roce 2019 prováděl </w:t>
      </w:r>
      <w:proofErr w:type="spellStart"/>
      <w:r w:rsidR="00275189">
        <w:rPr>
          <w:rFonts w:ascii="Arial" w:hAnsi="Arial" w:cs="Arial"/>
          <w:sz w:val="20"/>
          <w:szCs w:val="20"/>
        </w:rPr>
        <w:t>VaV</w:t>
      </w:r>
      <w:proofErr w:type="spellEnd"/>
      <w:r w:rsidR="00275189">
        <w:rPr>
          <w:rFonts w:ascii="Arial" w:hAnsi="Arial" w:cs="Arial"/>
          <w:sz w:val="20"/>
          <w:szCs w:val="20"/>
        </w:rPr>
        <w:t xml:space="preserve"> </w:t>
      </w:r>
      <w:r w:rsidR="00BD7CB9">
        <w:rPr>
          <w:rFonts w:ascii="Arial" w:hAnsi="Arial" w:cs="Arial"/>
          <w:sz w:val="20"/>
          <w:szCs w:val="20"/>
        </w:rPr>
        <w:t xml:space="preserve">v </w:t>
      </w:r>
      <w:r w:rsidR="00275189">
        <w:rPr>
          <w:rFonts w:ascii="Arial" w:hAnsi="Arial" w:cs="Arial"/>
          <w:sz w:val="20"/>
          <w:szCs w:val="20"/>
        </w:rPr>
        <w:t>dalších 21 veřejných výzkumných institucích</w:t>
      </w:r>
      <w:r>
        <w:rPr>
          <w:rFonts w:ascii="Arial" w:hAnsi="Arial" w:cs="Arial"/>
          <w:sz w:val="20"/>
          <w:szCs w:val="20"/>
        </w:rPr>
        <w:t xml:space="preserve">, </w:t>
      </w:r>
      <w:r w:rsidR="00BD7CB9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nichž se</w:t>
      </w:r>
      <w:r w:rsidR="00BD7CB9">
        <w:rPr>
          <w:rFonts w:ascii="Arial" w:hAnsi="Arial" w:cs="Arial"/>
          <w:sz w:val="20"/>
          <w:szCs w:val="20"/>
        </w:rPr>
        <w:t xml:space="preserve"> na VaV</w:t>
      </w:r>
      <w:r>
        <w:rPr>
          <w:rFonts w:ascii="Arial" w:hAnsi="Arial" w:cs="Arial"/>
          <w:sz w:val="20"/>
          <w:szCs w:val="20"/>
        </w:rPr>
        <w:t xml:space="preserve"> </w:t>
      </w:r>
      <w:r w:rsidR="00275189">
        <w:rPr>
          <w:rFonts w:ascii="Arial" w:hAnsi="Arial" w:cs="Arial"/>
          <w:sz w:val="20"/>
          <w:szCs w:val="20"/>
        </w:rPr>
        <w:t xml:space="preserve">vynaložilo celkem 1,7 mld. Kč, což tvořilo 9 % </w:t>
      </w:r>
      <w:r>
        <w:rPr>
          <w:rFonts w:ascii="Arial" w:hAnsi="Arial" w:cs="Arial"/>
          <w:sz w:val="20"/>
          <w:szCs w:val="20"/>
        </w:rPr>
        <w:t xml:space="preserve">výdajů na VaV </w:t>
      </w:r>
      <w:r w:rsidR="00275189">
        <w:rPr>
          <w:rFonts w:ascii="Arial" w:hAnsi="Arial" w:cs="Arial"/>
          <w:sz w:val="20"/>
          <w:szCs w:val="20"/>
        </w:rPr>
        <w:t xml:space="preserve">vládního sektoru. Výzkum se provádí též v muzeích, archivech a knihovnách. Touto činností se v roce 2019 zabývalo 49 </w:t>
      </w:r>
      <w:r>
        <w:rPr>
          <w:rFonts w:ascii="Arial" w:hAnsi="Arial" w:cs="Arial"/>
          <w:sz w:val="20"/>
          <w:szCs w:val="20"/>
        </w:rPr>
        <w:t xml:space="preserve">těchto </w:t>
      </w:r>
      <w:r w:rsidR="00275189">
        <w:rPr>
          <w:rFonts w:ascii="Arial" w:hAnsi="Arial" w:cs="Arial"/>
          <w:sz w:val="20"/>
          <w:szCs w:val="20"/>
        </w:rPr>
        <w:t xml:space="preserve">institucí a souhrnně vynaložily na VaV 1,2 mld. Kč (7 % vládního sektoru). Do vládního sektoru řadíme taktéž všechna veřejná zdravotnická zařízení vyjma fakultních nemocnic, </w:t>
      </w:r>
      <w:r w:rsidR="000A3E61">
        <w:rPr>
          <w:rFonts w:ascii="Arial" w:hAnsi="Arial" w:cs="Arial"/>
          <w:sz w:val="20"/>
          <w:szCs w:val="20"/>
        </w:rPr>
        <w:t xml:space="preserve">které </w:t>
      </w:r>
      <w:r w:rsidR="00275189">
        <w:rPr>
          <w:rFonts w:ascii="Arial" w:hAnsi="Arial" w:cs="Arial"/>
          <w:sz w:val="20"/>
          <w:szCs w:val="20"/>
        </w:rPr>
        <w:t xml:space="preserve">spadají do vysokoškolského sektoru. Na 20 zdravotnických zařízeních se v roce 2019 vynaložilo na </w:t>
      </w:r>
      <w:proofErr w:type="spellStart"/>
      <w:r w:rsidR="00275189">
        <w:rPr>
          <w:rFonts w:ascii="Arial" w:hAnsi="Arial" w:cs="Arial"/>
          <w:sz w:val="20"/>
          <w:szCs w:val="20"/>
        </w:rPr>
        <w:t>VaV</w:t>
      </w:r>
      <w:proofErr w:type="spellEnd"/>
      <w:r w:rsidR="00275189">
        <w:rPr>
          <w:rFonts w:ascii="Arial" w:hAnsi="Arial" w:cs="Arial"/>
          <w:sz w:val="20"/>
          <w:szCs w:val="20"/>
        </w:rPr>
        <w:t xml:space="preserve"> celkem 0,9 mld. Kč (5 % vládního sektoru).</w:t>
      </w:r>
    </w:p>
    <w:p w14:paraId="11F73FC7" w14:textId="5853F4FD" w:rsidR="008F5B73" w:rsidRDefault="004A402C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AB7147E" wp14:editId="3E081D83">
            <wp:extent cx="6120000" cy="356235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275189">
        <w:rPr>
          <w:rFonts w:ascii="Arial" w:hAnsi="Arial" w:cs="Arial"/>
          <w:sz w:val="20"/>
          <w:szCs w:val="20"/>
        </w:rPr>
        <w:t xml:space="preserve">Výzkum ve vládním sektoru je v prvé řadě financován z veřejných domácích zdrojů. Do roku </w:t>
      </w:r>
      <w:r w:rsidR="00750D00">
        <w:rPr>
          <w:rFonts w:ascii="Arial" w:hAnsi="Arial" w:cs="Arial"/>
          <w:sz w:val="20"/>
          <w:szCs w:val="20"/>
        </w:rPr>
        <w:t xml:space="preserve">2014 se veřejné </w:t>
      </w:r>
      <w:r w:rsidR="00750D00">
        <w:rPr>
          <w:rFonts w:ascii="Arial" w:hAnsi="Arial" w:cs="Arial"/>
          <w:sz w:val="20"/>
          <w:szCs w:val="20"/>
        </w:rPr>
        <w:lastRenderedPageBreak/>
        <w:t xml:space="preserve">domácí </w:t>
      </w:r>
      <w:r w:rsidR="000C58F7">
        <w:rPr>
          <w:rFonts w:ascii="Arial" w:hAnsi="Arial" w:cs="Arial"/>
          <w:sz w:val="20"/>
          <w:szCs w:val="20"/>
        </w:rPr>
        <w:t>zdroje ve vládním sektoru</w:t>
      </w:r>
      <w:r w:rsidR="00750D00">
        <w:rPr>
          <w:rFonts w:ascii="Arial" w:hAnsi="Arial" w:cs="Arial"/>
          <w:sz w:val="20"/>
          <w:szCs w:val="20"/>
        </w:rPr>
        <w:t xml:space="preserve"> několik let pohybovaly okolo 10 mld. Kč</w:t>
      </w:r>
      <w:r w:rsidR="000C58F7">
        <w:rPr>
          <w:rFonts w:ascii="Arial" w:hAnsi="Arial" w:cs="Arial"/>
          <w:sz w:val="20"/>
          <w:szCs w:val="20"/>
        </w:rPr>
        <w:t xml:space="preserve"> za rok</w:t>
      </w:r>
      <w:r w:rsidR="00750D00">
        <w:rPr>
          <w:rFonts w:ascii="Arial" w:hAnsi="Arial" w:cs="Arial"/>
          <w:sz w:val="20"/>
          <w:szCs w:val="20"/>
        </w:rPr>
        <w:t xml:space="preserve">. Poté začaly narůstat, přičemž v posledních třech letech narostly prostředky státu </w:t>
      </w:r>
      <w:r w:rsidR="000C58F7">
        <w:rPr>
          <w:rFonts w:ascii="Arial" w:hAnsi="Arial" w:cs="Arial"/>
          <w:sz w:val="20"/>
          <w:szCs w:val="20"/>
        </w:rPr>
        <w:t>směřující</w:t>
      </w:r>
      <w:r w:rsidR="00750D00">
        <w:rPr>
          <w:rFonts w:ascii="Arial" w:hAnsi="Arial" w:cs="Arial"/>
          <w:sz w:val="20"/>
          <w:szCs w:val="20"/>
        </w:rPr>
        <w:t xml:space="preserve"> do vládního sektoru poměrně výrazně. V roce 2019 dosáhly veřejné výdaje na VaV </w:t>
      </w:r>
      <w:r w:rsidR="000F62ED">
        <w:rPr>
          <w:rFonts w:ascii="Arial" w:hAnsi="Arial" w:cs="Arial"/>
          <w:sz w:val="20"/>
          <w:szCs w:val="20"/>
        </w:rPr>
        <w:t xml:space="preserve">14,6 mld. Kč a tvořily 80 % veškerých výdajů na VaV vládního sektoru. Necelých 40 % </w:t>
      </w:r>
      <w:r w:rsidR="000C58F7">
        <w:rPr>
          <w:rFonts w:ascii="Arial" w:hAnsi="Arial" w:cs="Arial"/>
          <w:sz w:val="20"/>
          <w:szCs w:val="20"/>
        </w:rPr>
        <w:t xml:space="preserve">celkových </w:t>
      </w:r>
      <w:r w:rsidR="000F62ED">
        <w:rPr>
          <w:rFonts w:ascii="Arial" w:hAnsi="Arial" w:cs="Arial"/>
          <w:sz w:val="20"/>
          <w:szCs w:val="20"/>
        </w:rPr>
        <w:t xml:space="preserve">prostředků, které na VaV vynakládá český stát, tak směřuje do vládního sektoru. Druhým nejvýznamnějším zdrojem financování </w:t>
      </w:r>
      <w:r w:rsidR="000C58F7">
        <w:rPr>
          <w:rFonts w:ascii="Arial" w:hAnsi="Arial" w:cs="Arial"/>
          <w:sz w:val="20"/>
          <w:szCs w:val="20"/>
        </w:rPr>
        <w:t xml:space="preserve">jsou veřejné zahraniční zdroje zahrnující </w:t>
      </w:r>
      <w:r w:rsidR="000F62ED">
        <w:rPr>
          <w:rFonts w:ascii="Arial" w:hAnsi="Arial" w:cs="Arial"/>
          <w:sz w:val="20"/>
          <w:szCs w:val="20"/>
        </w:rPr>
        <w:t xml:space="preserve">především dotace na VaV z EU. Ty byly ve vládním sektoru </w:t>
      </w:r>
      <w:r w:rsidR="000C58F7">
        <w:rPr>
          <w:rFonts w:ascii="Arial" w:hAnsi="Arial" w:cs="Arial"/>
          <w:sz w:val="20"/>
          <w:szCs w:val="20"/>
        </w:rPr>
        <w:t xml:space="preserve">nejvyšší v letech </w:t>
      </w:r>
      <w:r w:rsidR="000F62ED">
        <w:rPr>
          <w:rFonts w:ascii="Arial" w:hAnsi="Arial" w:cs="Arial"/>
          <w:sz w:val="20"/>
          <w:szCs w:val="20"/>
        </w:rPr>
        <w:t xml:space="preserve">2014 a 2015, kdy tvořily dokonce </w:t>
      </w:r>
      <w:r w:rsidR="00F958C0">
        <w:rPr>
          <w:rFonts w:ascii="Arial" w:hAnsi="Arial" w:cs="Arial"/>
          <w:sz w:val="20"/>
          <w:szCs w:val="20"/>
        </w:rPr>
        <w:t xml:space="preserve">jednu čtvrtinu </w:t>
      </w:r>
      <w:r w:rsidR="000F62ED">
        <w:rPr>
          <w:rFonts w:ascii="Arial" w:hAnsi="Arial" w:cs="Arial"/>
          <w:sz w:val="20"/>
          <w:szCs w:val="20"/>
        </w:rPr>
        <w:t xml:space="preserve">výdajů na VaV vládního sektoru. V roce 2015 </w:t>
      </w:r>
      <w:r w:rsidR="00F958C0">
        <w:rPr>
          <w:rFonts w:ascii="Arial" w:hAnsi="Arial" w:cs="Arial"/>
          <w:sz w:val="20"/>
          <w:szCs w:val="20"/>
        </w:rPr>
        <w:t xml:space="preserve">činily </w:t>
      </w:r>
      <w:r w:rsidR="000F62ED">
        <w:rPr>
          <w:rFonts w:ascii="Arial" w:hAnsi="Arial" w:cs="Arial"/>
          <w:sz w:val="20"/>
          <w:szCs w:val="20"/>
        </w:rPr>
        <w:t>veřejné zahraniční zdroje 4,7 mld. Kč</w:t>
      </w:r>
      <w:r w:rsidR="00F958C0">
        <w:rPr>
          <w:rFonts w:ascii="Arial" w:hAnsi="Arial" w:cs="Arial"/>
          <w:sz w:val="20"/>
          <w:szCs w:val="20"/>
        </w:rPr>
        <w:t xml:space="preserve"> a </w:t>
      </w:r>
      <w:r w:rsidR="000F62ED">
        <w:rPr>
          <w:rFonts w:ascii="Arial" w:hAnsi="Arial" w:cs="Arial"/>
          <w:sz w:val="20"/>
          <w:szCs w:val="20"/>
        </w:rPr>
        <w:t>o rok později</w:t>
      </w:r>
      <w:r w:rsidR="00F958C0">
        <w:rPr>
          <w:rFonts w:ascii="Arial" w:hAnsi="Arial" w:cs="Arial"/>
          <w:sz w:val="20"/>
          <w:szCs w:val="20"/>
        </w:rPr>
        <w:t xml:space="preserve"> pak</w:t>
      </w:r>
      <w:r w:rsidR="000F62ED">
        <w:rPr>
          <w:rFonts w:ascii="Arial" w:hAnsi="Arial" w:cs="Arial"/>
          <w:sz w:val="20"/>
          <w:szCs w:val="20"/>
        </w:rPr>
        <w:t xml:space="preserve"> poklesly na pouhých 1,2 mld. Kč. Následoval drobný každoroční nárůst až na 2,1 mld. Kč v roce 2019. Aktuálně se veřejné zahraniční zdroje podílejí na financování vládního výzkumu z 12 %. </w:t>
      </w:r>
      <w:r w:rsidR="000E04FB">
        <w:rPr>
          <w:rFonts w:ascii="Arial" w:hAnsi="Arial" w:cs="Arial"/>
          <w:sz w:val="20"/>
          <w:szCs w:val="20"/>
        </w:rPr>
        <w:t>Z domácích podnikových zdrojů míří do vládního sektoru dlouhodobě mezi</w:t>
      </w:r>
      <w:r w:rsidR="000F62ED">
        <w:rPr>
          <w:rFonts w:ascii="Arial" w:hAnsi="Arial" w:cs="Arial"/>
          <w:sz w:val="20"/>
          <w:szCs w:val="20"/>
        </w:rPr>
        <w:t xml:space="preserve"> </w:t>
      </w:r>
      <w:r w:rsidR="000E04FB">
        <w:rPr>
          <w:rFonts w:ascii="Arial" w:hAnsi="Arial" w:cs="Arial"/>
          <w:sz w:val="20"/>
          <w:szCs w:val="20"/>
        </w:rPr>
        <w:t>0,5 až 0,7 mld. Kč za rok. J</w:t>
      </w:r>
      <w:r w:rsidR="00F958C0">
        <w:rPr>
          <w:rFonts w:ascii="Arial" w:hAnsi="Arial" w:cs="Arial"/>
          <w:sz w:val="20"/>
          <w:szCs w:val="20"/>
        </w:rPr>
        <w:t>edná se</w:t>
      </w:r>
      <w:r w:rsidR="000E04FB">
        <w:rPr>
          <w:rFonts w:ascii="Arial" w:hAnsi="Arial" w:cs="Arial"/>
          <w:sz w:val="20"/>
          <w:szCs w:val="20"/>
        </w:rPr>
        <w:t xml:space="preserve"> především o prostředky ze smluvního výzkumu veřejných výzkumných institucí. Podíl </w:t>
      </w:r>
      <w:r w:rsidR="007E77C6">
        <w:rPr>
          <w:rFonts w:ascii="Arial" w:hAnsi="Arial" w:cs="Arial"/>
          <w:sz w:val="20"/>
          <w:szCs w:val="20"/>
        </w:rPr>
        <w:t>podnikových</w:t>
      </w:r>
      <w:r w:rsidR="000E04FB">
        <w:rPr>
          <w:rFonts w:ascii="Arial" w:hAnsi="Arial" w:cs="Arial"/>
          <w:sz w:val="20"/>
          <w:szCs w:val="20"/>
        </w:rPr>
        <w:t xml:space="preserve"> domácích výdajů na financování vládního sektoru se v posledních letech pohybuje okolo 4 %. </w:t>
      </w:r>
      <w:r w:rsidR="007E77C6">
        <w:rPr>
          <w:rFonts w:ascii="Arial" w:hAnsi="Arial" w:cs="Arial"/>
          <w:sz w:val="20"/>
          <w:szCs w:val="20"/>
        </w:rPr>
        <w:t xml:space="preserve">Specifikem vládního sektoru jsou poměrně vysoké prostředky z podnikových zahraničních zdrojů, které byly v letech 2010 až 2016 vyšší než 1 mld. Kč ročně. Následně poněkud klesly a v roce 2019 z toho zdroje přišlo do VaV </w:t>
      </w:r>
      <w:r w:rsidR="00B36BD2">
        <w:rPr>
          <w:rFonts w:ascii="Arial" w:hAnsi="Arial" w:cs="Arial"/>
          <w:sz w:val="20"/>
          <w:szCs w:val="20"/>
        </w:rPr>
        <w:t>ve vládním sektoru 0,7 mld. Kč</w:t>
      </w:r>
      <w:r w:rsidR="007E77C6">
        <w:rPr>
          <w:rFonts w:ascii="Arial" w:hAnsi="Arial" w:cs="Arial"/>
          <w:sz w:val="20"/>
          <w:szCs w:val="20"/>
        </w:rPr>
        <w:t xml:space="preserve"> (4 %</w:t>
      </w:r>
      <w:r w:rsidR="00B36BD2">
        <w:rPr>
          <w:rFonts w:ascii="Arial" w:hAnsi="Arial" w:cs="Arial"/>
          <w:sz w:val="20"/>
          <w:szCs w:val="20"/>
        </w:rPr>
        <w:t xml:space="preserve"> výdajů na VaV vládního sektoru</w:t>
      </w:r>
      <w:r w:rsidR="007E77C6">
        <w:rPr>
          <w:rFonts w:ascii="Arial" w:hAnsi="Arial" w:cs="Arial"/>
          <w:sz w:val="20"/>
          <w:szCs w:val="20"/>
        </w:rPr>
        <w:t xml:space="preserve">). Prostředky ze zahraničních podnikových zdrojů tvoří především příjmy z licenčních poplatků. </w:t>
      </w:r>
    </w:p>
    <w:p w14:paraId="4AE4213E" w14:textId="67169CDC" w:rsidR="002D72F8" w:rsidRDefault="00F043CA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Nárůst veřejných domácích zdrojů směřoval především do navýšení mezd. Mzdové náklady tvořily mezi lety 2005–2015 okolo 40 % výdajů na VaV vládního sektoru. V roce 2019 tvořily mzdy již 53 % výdajů na VaV </w:t>
      </w:r>
      <w:bookmarkStart w:id="0" w:name="_Hlk61510856"/>
      <w:r>
        <w:rPr>
          <w:rFonts w:ascii="Arial" w:hAnsi="Arial" w:cs="Arial"/>
          <w:sz w:val="20"/>
          <w:szCs w:val="20"/>
        </w:rPr>
        <w:t xml:space="preserve">vládního sektoru a vzrostly ze 6,8 mld. Kč v roce 2015 na 9,6 mld. Kč </w:t>
      </w:r>
      <w:bookmarkEnd w:id="0"/>
      <w:r w:rsidR="002D72F8">
        <w:rPr>
          <w:rFonts w:ascii="Arial" w:hAnsi="Arial" w:cs="Arial"/>
          <w:sz w:val="20"/>
          <w:szCs w:val="20"/>
        </w:rPr>
        <w:t>v roce 2019. Investiční náklady na VaV jsou ve veřejném sektoru poměrně úzce spjaty s dotacemi</w:t>
      </w:r>
      <w:r w:rsidR="00F461BB" w:rsidRPr="00F461BB">
        <w:rPr>
          <w:rFonts w:ascii="Arial" w:hAnsi="Arial" w:cs="Arial"/>
          <w:sz w:val="20"/>
          <w:szCs w:val="20"/>
        </w:rPr>
        <w:t xml:space="preserve"> </w:t>
      </w:r>
      <w:r w:rsidR="00F461BB">
        <w:rPr>
          <w:rFonts w:ascii="Arial" w:hAnsi="Arial" w:cs="Arial"/>
          <w:sz w:val="20"/>
          <w:szCs w:val="20"/>
        </w:rPr>
        <w:t>EU</w:t>
      </w:r>
      <w:r w:rsidR="002D72F8">
        <w:rPr>
          <w:rFonts w:ascii="Arial" w:hAnsi="Arial" w:cs="Arial"/>
          <w:sz w:val="20"/>
          <w:szCs w:val="20"/>
        </w:rPr>
        <w:t xml:space="preserve">. Ve vládním sektoru byly proto nejvyšší investice mezi lety 2012–2015. V roce 2015 dosáhly 5,9 mld. Kč a tvořily 1/3 výdajů na VaV vládního sektoru. V roce 2016 následoval sice výrazný pokles, ale nebyl tak dramatický jako v případě vysokých škol. </w:t>
      </w:r>
      <w:r w:rsidR="00B9440C">
        <w:rPr>
          <w:rFonts w:ascii="Arial" w:hAnsi="Arial" w:cs="Arial"/>
          <w:sz w:val="20"/>
          <w:szCs w:val="20"/>
        </w:rPr>
        <w:t>V posledních třech letech se investiční náklady na VaV vládního sektoru pohybují okolo 2,</w:t>
      </w:r>
      <w:r w:rsidR="00F461BB">
        <w:rPr>
          <w:rFonts w:ascii="Arial" w:hAnsi="Arial" w:cs="Arial"/>
          <w:sz w:val="20"/>
          <w:szCs w:val="20"/>
        </w:rPr>
        <w:t>6 </w:t>
      </w:r>
      <w:r w:rsidR="00B9440C">
        <w:rPr>
          <w:rFonts w:ascii="Arial" w:hAnsi="Arial" w:cs="Arial"/>
          <w:sz w:val="20"/>
          <w:szCs w:val="20"/>
        </w:rPr>
        <w:t>mld. Kč, což v roce 2019 tvořilo 14 % výdajů na VaV vládního sektoru.</w:t>
      </w:r>
    </w:p>
    <w:p w14:paraId="139D7EF2" w14:textId="67A4A612" w:rsidR="00B9440C" w:rsidRDefault="00511F15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ve vládním sektor</w:t>
      </w:r>
      <w:r w:rsidR="00B36BD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se v nejvyšší míře provádí na území </w:t>
      </w:r>
      <w:r w:rsidR="00B36BD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lavního města Prahy. Celkem 46 % pracovišť vládního sektoru nalezneme v Praze. Především zde sídlí velká většina ústavů AV ČR a několik dalších velkých vládních institucí provádějících VaV. V Praze se v roce 2019 vynaložilo ve vládním sektoru na VaV celkem 11,6 mld. Kč, což tvořilo dominantních 64 % celého sektoru. V Praze jsou nejvyšší výdaje na VaV ve všech hlavních sektorech provádění, ale </w:t>
      </w:r>
      <w:r w:rsidR="00B36BD2">
        <w:rPr>
          <w:rFonts w:ascii="Arial" w:hAnsi="Arial" w:cs="Arial"/>
          <w:sz w:val="20"/>
          <w:szCs w:val="20"/>
        </w:rPr>
        <w:t>v žádném není</w:t>
      </w:r>
      <w:r>
        <w:rPr>
          <w:rFonts w:ascii="Arial" w:hAnsi="Arial" w:cs="Arial"/>
          <w:sz w:val="20"/>
          <w:szCs w:val="20"/>
        </w:rPr>
        <w:t xml:space="preserve"> pozice</w:t>
      </w:r>
      <w:r w:rsidR="00B36BD2">
        <w:rPr>
          <w:rFonts w:ascii="Arial" w:hAnsi="Arial" w:cs="Arial"/>
          <w:sz w:val="20"/>
          <w:szCs w:val="20"/>
        </w:rPr>
        <w:t xml:space="preserve"> Prahy tak dominantní,</w:t>
      </w:r>
      <w:r>
        <w:rPr>
          <w:rFonts w:ascii="Arial" w:hAnsi="Arial" w:cs="Arial"/>
          <w:sz w:val="20"/>
          <w:szCs w:val="20"/>
        </w:rPr>
        <w:t xml:space="preserve"> jako právě ve vládním sektoru. S velkým odstupem následuje za Prahou Středočeský kraj, </w:t>
      </w:r>
      <w:r w:rsidR="001D01CF">
        <w:rPr>
          <w:rFonts w:ascii="Arial" w:hAnsi="Arial" w:cs="Arial"/>
          <w:sz w:val="20"/>
          <w:szCs w:val="20"/>
        </w:rPr>
        <w:t>kde se v roce 2019 vynaložilo na VaV ve vládním sektoru celkem 3,1 mld. Kč (17 %). Ve Středočeském kraji nalezneme několik pracovišť Akademie věd ČR včetně velkých výzkumných center. Na třetím místě je Jihomoravský kraj s 2,2 mld. Kč v roce 2019 (12 %). V Brně nalezneme několik pracovišť AV ČR, sídlí zde i další veřejné výzkumné</w:t>
      </w:r>
      <w:r w:rsidR="00B36BD2">
        <w:rPr>
          <w:rFonts w:ascii="Arial" w:hAnsi="Arial" w:cs="Arial"/>
          <w:sz w:val="20"/>
          <w:szCs w:val="20"/>
        </w:rPr>
        <w:t xml:space="preserve"> instituce, muzea a zdravotnická</w:t>
      </w:r>
      <w:r w:rsidR="001D01CF">
        <w:rPr>
          <w:rFonts w:ascii="Arial" w:hAnsi="Arial" w:cs="Arial"/>
          <w:sz w:val="20"/>
          <w:szCs w:val="20"/>
        </w:rPr>
        <w:t xml:space="preserve"> zařízení. </w:t>
      </w:r>
      <w:r w:rsidR="00814002">
        <w:rPr>
          <w:rFonts w:ascii="Arial" w:hAnsi="Arial" w:cs="Arial"/>
          <w:sz w:val="20"/>
          <w:szCs w:val="20"/>
        </w:rPr>
        <w:t xml:space="preserve">Za zmínku stojí ještě čtvrtý Jihočeský kraj, kde se na VaV ve vládním sektoru v roce 2019 </w:t>
      </w:r>
      <w:r w:rsidR="00F461BB">
        <w:rPr>
          <w:rFonts w:ascii="Arial" w:hAnsi="Arial" w:cs="Arial"/>
          <w:sz w:val="20"/>
          <w:szCs w:val="20"/>
        </w:rPr>
        <w:t xml:space="preserve">utratilo </w:t>
      </w:r>
      <w:r w:rsidR="00814002">
        <w:rPr>
          <w:rFonts w:ascii="Arial" w:hAnsi="Arial" w:cs="Arial"/>
          <w:sz w:val="20"/>
          <w:szCs w:val="20"/>
        </w:rPr>
        <w:t xml:space="preserve">0,8 mld. Kč (4 %). V ostatních krajích ČR je VaV ve vládním sektoru zanedbatelný. </w:t>
      </w:r>
      <w:r w:rsidR="00F461BB">
        <w:rPr>
          <w:rFonts w:ascii="Arial" w:hAnsi="Arial" w:cs="Arial"/>
          <w:sz w:val="20"/>
          <w:szCs w:val="20"/>
        </w:rPr>
        <w:t xml:space="preserve">Ve </w:t>
      </w:r>
      <w:r w:rsidR="00814002">
        <w:rPr>
          <w:rFonts w:ascii="Arial" w:hAnsi="Arial" w:cs="Arial"/>
          <w:sz w:val="20"/>
          <w:szCs w:val="20"/>
        </w:rPr>
        <w:t>zbylých 10 krajích</w:t>
      </w:r>
      <w:r w:rsidR="00F461BB">
        <w:rPr>
          <w:rFonts w:ascii="Arial" w:hAnsi="Arial" w:cs="Arial"/>
          <w:sz w:val="20"/>
          <w:szCs w:val="20"/>
        </w:rPr>
        <w:t xml:space="preserve"> směřovalo do</w:t>
      </w:r>
      <w:r w:rsidR="00814002">
        <w:rPr>
          <w:rFonts w:ascii="Arial" w:hAnsi="Arial" w:cs="Arial"/>
          <w:sz w:val="20"/>
          <w:szCs w:val="20"/>
        </w:rPr>
        <w:t xml:space="preserve"> vládní</w:t>
      </w:r>
      <w:r w:rsidR="00F461BB">
        <w:rPr>
          <w:rFonts w:ascii="Arial" w:hAnsi="Arial" w:cs="Arial"/>
          <w:sz w:val="20"/>
          <w:szCs w:val="20"/>
        </w:rPr>
        <w:t>ho</w:t>
      </w:r>
      <w:r w:rsidR="00814002">
        <w:rPr>
          <w:rFonts w:ascii="Arial" w:hAnsi="Arial" w:cs="Arial"/>
          <w:sz w:val="20"/>
          <w:szCs w:val="20"/>
        </w:rPr>
        <w:t xml:space="preserve"> sektoru přibližně 0,5 mld. Kč (pouhá 3 %).</w:t>
      </w:r>
    </w:p>
    <w:p w14:paraId="40F471CA" w14:textId="6583F145" w:rsidR="00814002" w:rsidRDefault="00D651E5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celé EU se v roce 2019 vynaložilo na VaV ve vládním sektoru celkem </w:t>
      </w:r>
      <w:r w:rsidR="00A72098">
        <w:rPr>
          <w:rFonts w:ascii="Arial" w:hAnsi="Arial" w:cs="Arial"/>
          <w:sz w:val="20"/>
          <w:szCs w:val="20"/>
        </w:rPr>
        <w:t>38 mld. Eur, což tvořilo 11 % celkových výdajů na VaV v EU. V Česku je VaV ve vládním sektoru významnější než ve většině státu EU, na vládní sektor u nás připadalo 16 % celkových výdajů na VaV. Jako ve všech sektorech provádění, i ve vládním sektoru vynakládá největší prostředky na VaV ze všech států EU Německo. V roce 2019 to bylo 14,8 mld. Eur (39 % EU). S velkým odstupem a méně než polovi</w:t>
      </w:r>
      <w:r w:rsidR="00B36BD2">
        <w:rPr>
          <w:rFonts w:ascii="Arial" w:hAnsi="Arial" w:cs="Arial"/>
          <w:sz w:val="20"/>
          <w:szCs w:val="20"/>
        </w:rPr>
        <w:t>ční částkou</w:t>
      </w:r>
      <w:r w:rsidR="00A72098">
        <w:rPr>
          <w:rFonts w:ascii="Arial" w:hAnsi="Arial" w:cs="Arial"/>
          <w:sz w:val="20"/>
          <w:szCs w:val="20"/>
        </w:rPr>
        <w:t xml:space="preserve"> oproti Německu byla na druhém místě Francie s 6,6 mld. Eur</w:t>
      </w:r>
      <w:r>
        <w:rPr>
          <w:rFonts w:ascii="Arial" w:hAnsi="Arial" w:cs="Arial"/>
          <w:sz w:val="20"/>
          <w:szCs w:val="20"/>
        </w:rPr>
        <w:t xml:space="preserve"> </w:t>
      </w:r>
      <w:r w:rsidR="00A72098">
        <w:rPr>
          <w:rFonts w:ascii="Arial" w:hAnsi="Arial" w:cs="Arial"/>
          <w:sz w:val="20"/>
          <w:szCs w:val="20"/>
        </w:rPr>
        <w:t>(</w:t>
      </w:r>
      <w:r w:rsidR="000D2581">
        <w:rPr>
          <w:rFonts w:ascii="Arial" w:hAnsi="Arial" w:cs="Arial"/>
          <w:sz w:val="20"/>
          <w:szCs w:val="20"/>
        </w:rPr>
        <w:t>17 %). Česko bylo ve výši výdajů na VaV ve vládním sektoru na 10. místě v EU. Vynaložilo se zde 0,7 mld. EU, což tvořilo necelá 2 % EU</w:t>
      </w:r>
      <w:r w:rsidR="001D690A">
        <w:rPr>
          <w:rFonts w:ascii="Arial" w:hAnsi="Arial" w:cs="Arial"/>
          <w:sz w:val="20"/>
          <w:szCs w:val="20"/>
        </w:rPr>
        <w:t>.</w:t>
      </w:r>
      <w:r w:rsidR="000D2581">
        <w:rPr>
          <w:rFonts w:ascii="Arial" w:hAnsi="Arial" w:cs="Arial"/>
          <w:sz w:val="20"/>
          <w:szCs w:val="20"/>
        </w:rPr>
        <w:t xml:space="preserve"> V ukazateli </w:t>
      </w:r>
      <w:r w:rsidR="001D690A">
        <w:rPr>
          <w:rFonts w:ascii="Arial" w:hAnsi="Arial" w:cs="Arial"/>
          <w:sz w:val="20"/>
          <w:szCs w:val="20"/>
        </w:rPr>
        <w:t xml:space="preserve">podílu výdajů na VaV ve vládním sektoru dosahuje Česko dlouhodobě jedny z nejvyšších hodnot v celé EU. V roce 2019 byla s 0,32 % HDP na třetím místě </w:t>
      </w:r>
      <w:r w:rsidR="009B22AE">
        <w:rPr>
          <w:rFonts w:ascii="Arial" w:hAnsi="Arial" w:cs="Arial"/>
          <w:sz w:val="20"/>
          <w:szCs w:val="20"/>
        </w:rPr>
        <w:t>EU jen těsně za druhým Lucemburskem. Jasně v tomto ukazateli vede Německo s 0,43 % HDP v roce 2019. Průměr EU byl 0,23 % HDP.</w:t>
      </w:r>
    </w:p>
    <w:p w14:paraId="15CEF7D6" w14:textId="08B0BDA7" w:rsidR="00C01456" w:rsidRDefault="00C01456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vládním sektoru pracovalo ve VaV v roce 2019 celkem 19 tis. osob</w:t>
      </w:r>
      <w:r w:rsidR="006D391F">
        <w:rPr>
          <w:rFonts w:ascii="Arial" w:hAnsi="Arial" w:cs="Arial"/>
          <w:sz w:val="20"/>
          <w:szCs w:val="20"/>
        </w:rPr>
        <w:t xml:space="preserve"> (HC)</w:t>
      </w:r>
      <w:r>
        <w:rPr>
          <w:rFonts w:ascii="Arial" w:hAnsi="Arial" w:cs="Arial"/>
          <w:sz w:val="20"/>
          <w:szCs w:val="20"/>
        </w:rPr>
        <w:t xml:space="preserve">. Přepočtených osob bylo 14,5 tisíce. Počet pracovníků VaV ve vládním sektoru sice narůstá, ale pomaleji než v ostatních </w:t>
      </w:r>
      <w:r w:rsidR="00B36BD2">
        <w:rPr>
          <w:rFonts w:ascii="Arial" w:hAnsi="Arial" w:cs="Arial"/>
          <w:sz w:val="20"/>
          <w:szCs w:val="20"/>
        </w:rPr>
        <w:t xml:space="preserve">sektorech </w:t>
      </w:r>
      <w:r>
        <w:rPr>
          <w:rFonts w:ascii="Arial" w:hAnsi="Arial" w:cs="Arial"/>
          <w:sz w:val="20"/>
          <w:szCs w:val="20"/>
        </w:rPr>
        <w:t xml:space="preserve">provádění, a tak podíl vládního sektoru </w:t>
      </w:r>
      <w:r w:rsidR="006D391F">
        <w:rPr>
          <w:rFonts w:ascii="Arial" w:hAnsi="Arial" w:cs="Arial"/>
          <w:sz w:val="20"/>
          <w:szCs w:val="20"/>
        </w:rPr>
        <w:t xml:space="preserve">na celkovém počtu pracovníků ve VaV </w:t>
      </w:r>
      <w:r>
        <w:rPr>
          <w:rFonts w:ascii="Arial" w:hAnsi="Arial" w:cs="Arial"/>
          <w:sz w:val="20"/>
          <w:szCs w:val="20"/>
        </w:rPr>
        <w:t>postupně</w:t>
      </w:r>
      <w:r w:rsidR="006D3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klesá. V roce 2019 se podíl</w:t>
      </w:r>
      <w:r w:rsidR="00B36BD2">
        <w:rPr>
          <w:rFonts w:ascii="Arial" w:hAnsi="Arial" w:cs="Arial"/>
          <w:sz w:val="20"/>
          <w:szCs w:val="20"/>
        </w:rPr>
        <w:t xml:space="preserve"> vládního sektoru</w:t>
      </w:r>
      <w:r>
        <w:rPr>
          <w:rFonts w:ascii="Arial" w:hAnsi="Arial" w:cs="Arial"/>
          <w:sz w:val="20"/>
          <w:szCs w:val="20"/>
        </w:rPr>
        <w:t xml:space="preserve"> pohyboval okolo 18 %. Téměř 2/3 pracovníků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pracuje </w:t>
      </w:r>
      <w:r w:rsidR="00804351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ústavech AV ČR. </w:t>
      </w:r>
      <w:r>
        <w:rPr>
          <w:rFonts w:ascii="Arial" w:hAnsi="Arial" w:cs="Arial"/>
          <w:sz w:val="20"/>
          <w:szCs w:val="20"/>
        </w:rPr>
        <w:lastRenderedPageBreak/>
        <w:t>V roce 2019 se jednalo o 9,5 tis. osob (FTE). Ve vládním sek</w:t>
      </w:r>
      <w:r w:rsidR="006D391F">
        <w:rPr>
          <w:rFonts w:ascii="Arial" w:hAnsi="Arial" w:cs="Arial"/>
          <w:sz w:val="20"/>
          <w:szCs w:val="20"/>
        </w:rPr>
        <w:t>toru je nejvyšší zastoupení žen</w:t>
      </w:r>
      <w:r>
        <w:rPr>
          <w:rFonts w:ascii="Arial" w:hAnsi="Arial" w:cs="Arial"/>
          <w:sz w:val="20"/>
          <w:szCs w:val="20"/>
        </w:rPr>
        <w:t xml:space="preserve"> ze všech sektorů provádění. Dlouhodobě se pohybuje okolo 48 %.</w:t>
      </w:r>
    </w:p>
    <w:p w14:paraId="71C288FA" w14:textId="7F686F21" w:rsidR="009F2292" w:rsidRDefault="00B8108F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38D3D91" wp14:editId="1DB22D1D">
            <wp:simplePos x="0" y="0"/>
            <wp:positionH relativeFrom="column">
              <wp:posOffset>3766185</wp:posOffset>
            </wp:positionH>
            <wp:positionV relativeFrom="paragraph">
              <wp:posOffset>443865</wp:posOffset>
            </wp:positionV>
            <wp:extent cx="1943101" cy="1771650"/>
            <wp:effectExtent l="0" t="0" r="0" b="0"/>
            <wp:wrapNone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51C8B197" wp14:editId="73D4ACAA">
            <wp:extent cx="6120000" cy="459105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C01456">
        <w:rPr>
          <w:rFonts w:ascii="Arial" w:hAnsi="Arial" w:cs="Arial"/>
          <w:sz w:val="20"/>
          <w:szCs w:val="20"/>
        </w:rPr>
        <w:t xml:space="preserve">Hlavní </w:t>
      </w:r>
      <w:r w:rsidR="00804351">
        <w:rPr>
          <w:rFonts w:ascii="Arial" w:hAnsi="Arial" w:cs="Arial"/>
          <w:sz w:val="20"/>
          <w:szCs w:val="20"/>
        </w:rPr>
        <w:t xml:space="preserve">skupinou </w:t>
      </w:r>
      <w:r w:rsidR="00C01456">
        <w:rPr>
          <w:rFonts w:ascii="Arial" w:hAnsi="Arial" w:cs="Arial"/>
          <w:sz w:val="20"/>
          <w:szCs w:val="20"/>
        </w:rPr>
        <w:t xml:space="preserve">pracovníků ve </w:t>
      </w:r>
      <w:proofErr w:type="spellStart"/>
      <w:r w:rsidR="00C01456">
        <w:rPr>
          <w:rFonts w:ascii="Arial" w:hAnsi="Arial" w:cs="Arial"/>
          <w:sz w:val="20"/>
          <w:szCs w:val="20"/>
        </w:rPr>
        <w:t>VaV</w:t>
      </w:r>
      <w:proofErr w:type="spellEnd"/>
      <w:r w:rsidR="00C01456">
        <w:rPr>
          <w:rFonts w:ascii="Arial" w:hAnsi="Arial" w:cs="Arial"/>
          <w:sz w:val="20"/>
          <w:szCs w:val="20"/>
        </w:rPr>
        <w:t xml:space="preserve"> jsou výzkumní pracovníci. Těch bylo v</w:t>
      </w:r>
      <w:r w:rsidR="009F2292">
        <w:rPr>
          <w:rFonts w:ascii="Arial" w:hAnsi="Arial" w:cs="Arial"/>
          <w:sz w:val="20"/>
          <w:szCs w:val="20"/>
        </w:rPr>
        <w:t> </w:t>
      </w:r>
      <w:r w:rsidR="00C01456">
        <w:rPr>
          <w:rFonts w:ascii="Arial" w:hAnsi="Arial" w:cs="Arial"/>
          <w:sz w:val="20"/>
          <w:szCs w:val="20"/>
        </w:rPr>
        <w:t>roce</w:t>
      </w:r>
      <w:r w:rsidR="009F2292">
        <w:rPr>
          <w:rFonts w:ascii="Arial" w:hAnsi="Arial" w:cs="Arial"/>
          <w:sz w:val="20"/>
          <w:szCs w:val="20"/>
        </w:rPr>
        <w:t xml:space="preserve"> 2019 </w:t>
      </w:r>
      <w:r w:rsidR="006D391F">
        <w:rPr>
          <w:rFonts w:ascii="Arial" w:hAnsi="Arial" w:cs="Arial"/>
          <w:sz w:val="20"/>
          <w:szCs w:val="20"/>
        </w:rPr>
        <w:t xml:space="preserve">ve vládním sektoru </w:t>
      </w:r>
      <w:r w:rsidR="009F2292">
        <w:rPr>
          <w:rFonts w:ascii="Arial" w:hAnsi="Arial" w:cs="Arial"/>
          <w:sz w:val="20"/>
          <w:szCs w:val="20"/>
        </w:rPr>
        <w:t>celkem 10,8 tis.</w:t>
      </w:r>
      <w:r w:rsidR="006D391F">
        <w:rPr>
          <w:rFonts w:ascii="Arial" w:hAnsi="Arial" w:cs="Arial"/>
          <w:sz w:val="20"/>
          <w:szCs w:val="20"/>
        </w:rPr>
        <w:t xml:space="preserve"> osob</w:t>
      </w:r>
      <w:r w:rsidR="009F2292">
        <w:rPr>
          <w:rFonts w:ascii="Arial" w:hAnsi="Arial" w:cs="Arial"/>
          <w:sz w:val="20"/>
          <w:szCs w:val="20"/>
        </w:rPr>
        <w:t xml:space="preserve"> (HC). V ukazateli přepočtených osob se jednalo o 8 tis. výzkumníků (FTE), z nichž 39 % tvořily ženy. Na AV ČR se v největší míře provádí VaV v přírodních vědách, a proto je tato oblast pro vládní sektor nejvýznamnější. V přírodních vědách </w:t>
      </w:r>
      <w:r w:rsidR="006D391F">
        <w:rPr>
          <w:rFonts w:ascii="Arial" w:hAnsi="Arial" w:cs="Arial"/>
          <w:sz w:val="20"/>
          <w:szCs w:val="20"/>
        </w:rPr>
        <w:t xml:space="preserve">v roce 2019 </w:t>
      </w:r>
      <w:r w:rsidR="009F2292">
        <w:rPr>
          <w:rFonts w:ascii="Arial" w:hAnsi="Arial" w:cs="Arial"/>
          <w:sz w:val="20"/>
          <w:szCs w:val="20"/>
        </w:rPr>
        <w:t>bádalo 60 % výzkumníků vládního sektou. S velkým odstupem následovaly humanitní vědy, v nichž působilo 14 % výzkumníků. Na lékařské vědy připadalo 9 %, na zemědělské vědy 7 %, sociální vědy 6 % a technické vědy 4 % výzkumníků vládního sektoru.</w:t>
      </w:r>
    </w:p>
    <w:p w14:paraId="6EA2BB93" w14:textId="647C3F6B" w:rsidR="00C01456" w:rsidRDefault="00B8108F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2292">
        <w:rPr>
          <w:rFonts w:ascii="Arial" w:hAnsi="Arial" w:cs="Arial"/>
          <w:sz w:val="20"/>
          <w:szCs w:val="20"/>
        </w:rPr>
        <w:t>V roce 2019 pracovalo ve vládním sektoru celkem 1,8 tis. zahraničních výzkumníků</w:t>
      </w:r>
      <w:r w:rsidR="007F451C">
        <w:rPr>
          <w:rFonts w:ascii="Arial" w:hAnsi="Arial" w:cs="Arial"/>
          <w:sz w:val="20"/>
          <w:szCs w:val="20"/>
        </w:rPr>
        <w:t xml:space="preserve"> (HC)</w:t>
      </w:r>
      <w:r w:rsidR="009F2292">
        <w:rPr>
          <w:rFonts w:ascii="Arial" w:hAnsi="Arial" w:cs="Arial"/>
          <w:sz w:val="20"/>
          <w:szCs w:val="20"/>
        </w:rPr>
        <w:t>, kteří zaujímali 17% pod</w:t>
      </w:r>
      <w:r w:rsidR="003C4712">
        <w:rPr>
          <w:rFonts w:ascii="Arial" w:hAnsi="Arial" w:cs="Arial"/>
          <w:sz w:val="20"/>
          <w:szCs w:val="20"/>
        </w:rPr>
        <w:t>íl na celkovém počtu výzkumníků</w:t>
      </w:r>
      <w:r w:rsidR="006D391F">
        <w:rPr>
          <w:rFonts w:ascii="Arial" w:hAnsi="Arial" w:cs="Arial"/>
          <w:sz w:val="20"/>
          <w:szCs w:val="20"/>
        </w:rPr>
        <w:t xml:space="preserve"> vládního sektoru</w:t>
      </w:r>
      <w:r w:rsidR="003C4712">
        <w:rPr>
          <w:rFonts w:ascii="Arial" w:hAnsi="Arial" w:cs="Arial"/>
          <w:sz w:val="20"/>
          <w:szCs w:val="20"/>
        </w:rPr>
        <w:t>. Nejvíce cizinců</w:t>
      </w:r>
      <w:r w:rsidR="007F451C">
        <w:rPr>
          <w:rFonts w:ascii="Arial" w:hAnsi="Arial" w:cs="Arial"/>
          <w:sz w:val="20"/>
          <w:szCs w:val="20"/>
        </w:rPr>
        <w:t xml:space="preserve"> </w:t>
      </w:r>
      <w:r w:rsidR="006D391F">
        <w:rPr>
          <w:rFonts w:ascii="Arial" w:hAnsi="Arial" w:cs="Arial"/>
          <w:sz w:val="20"/>
          <w:szCs w:val="20"/>
        </w:rPr>
        <w:t>pocház</w:t>
      </w:r>
      <w:r w:rsidR="00E04ED0">
        <w:rPr>
          <w:rFonts w:ascii="Arial" w:hAnsi="Arial" w:cs="Arial"/>
          <w:sz w:val="20"/>
          <w:szCs w:val="20"/>
        </w:rPr>
        <w:t>elo</w:t>
      </w:r>
      <w:r w:rsidR="007F451C">
        <w:rPr>
          <w:rFonts w:ascii="Arial" w:hAnsi="Arial" w:cs="Arial"/>
          <w:sz w:val="20"/>
          <w:szCs w:val="20"/>
        </w:rPr>
        <w:t xml:space="preserve"> ze Slovenska. V roce</w:t>
      </w:r>
      <w:r w:rsidR="006D391F">
        <w:rPr>
          <w:rFonts w:ascii="Arial" w:hAnsi="Arial" w:cs="Arial"/>
          <w:sz w:val="20"/>
          <w:szCs w:val="20"/>
        </w:rPr>
        <w:t xml:space="preserve"> 2019 šlo o 548 osob (HC), které tvořily</w:t>
      </w:r>
      <w:r w:rsidR="007F451C">
        <w:rPr>
          <w:rFonts w:ascii="Arial" w:hAnsi="Arial" w:cs="Arial"/>
          <w:sz w:val="20"/>
          <w:szCs w:val="20"/>
        </w:rPr>
        <w:t xml:space="preserve"> 30 % zahraničních výzkumníků. S velkým odstupem následovali Ukrajinci (116 výzkumníků) a Indové (107 výzkumníků). Celkem ve vládním </w:t>
      </w:r>
      <w:r w:rsidR="006D391F">
        <w:rPr>
          <w:rFonts w:ascii="Arial" w:hAnsi="Arial" w:cs="Arial"/>
          <w:sz w:val="20"/>
          <w:szCs w:val="20"/>
        </w:rPr>
        <w:t>sektoru pracovali výzkumníci z</w:t>
      </w:r>
      <w:r w:rsidR="007F451C">
        <w:rPr>
          <w:rFonts w:ascii="Arial" w:hAnsi="Arial" w:cs="Arial"/>
          <w:sz w:val="20"/>
          <w:szCs w:val="20"/>
        </w:rPr>
        <w:t xml:space="preserve"> 84 </w:t>
      </w:r>
      <w:r w:rsidR="006D391F">
        <w:rPr>
          <w:rFonts w:ascii="Arial" w:hAnsi="Arial" w:cs="Arial"/>
          <w:sz w:val="20"/>
          <w:szCs w:val="20"/>
        </w:rPr>
        <w:t>států světa</w:t>
      </w:r>
      <w:r w:rsidR="007F451C">
        <w:rPr>
          <w:rFonts w:ascii="Arial" w:hAnsi="Arial" w:cs="Arial"/>
          <w:sz w:val="20"/>
          <w:szCs w:val="20"/>
        </w:rPr>
        <w:t xml:space="preserve">. Ženy tvořily mezi zahraničními výzkumníky </w:t>
      </w:r>
      <w:r w:rsidR="006D391F">
        <w:rPr>
          <w:rFonts w:ascii="Arial" w:hAnsi="Arial" w:cs="Arial"/>
          <w:sz w:val="20"/>
          <w:szCs w:val="20"/>
        </w:rPr>
        <w:t xml:space="preserve">vládního sektoru </w:t>
      </w:r>
      <w:r w:rsidR="007F451C">
        <w:rPr>
          <w:rFonts w:ascii="Arial" w:hAnsi="Arial" w:cs="Arial"/>
          <w:sz w:val="20"/>
          <w:szCs w:val="20"/>
        </w:rPr>
        <w:t xml:space="preserve">39 %. </w:t>
      </w:r>
      <w:r w:rsidR="003C4712">
        <w:rPr>
          <w:rFonts w:ascii="Arial" w:hAnsi="Arial" w:cs="Arial"/>
          <w:sz w:val="20"/>
          <w:szCs w:val="20"/>
        </w:rPr>
        <w:t xml:space="preserve"> </w:t>
      </w:r>
      <w:r w:rsidR="009F2292">
        <w:rPr>
          <w:rFonts w:ascii="Arial" w:hAnsi="Arial" w:cs="Arial"/>
          <w:sz w:val="20"/>
          <w:szCs w:val="20"/>
        </w:rPr>
        <w:t xml:space="preserve"> </w:t>
      </w:r>
    </w:p>
    <w:p w14:paraId="5E0408FF" w14:textId="19F3ADBA" w:rsidR="009B22AE" w:rsidRDefault="009B22AE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A1129DD" w14:textId="2EA50438" w:rsidR="00963004" w:rsidRPr="00456552" w:rsidRDefault="00963004" w:rsidP="00963004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ve vysokoškolském sektoru</w:t>
      </w:r>
    </w:p>
    <w:p w14:paraId="5F7FF2A1" w14:textId="0383C5FA" w:rsidR="00963004" w:rsidRDefault="00963004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0D62BD">
        <w:rPr>
          <w:rFonts w:ascii="Arial" w:hAnsi="Arial" w:cs="Arial"/>
          <w:sz w:val="20"/>
          <w:szCs w:val="20"/>
        </w:rPr>
        <w:t>Výdaje na VaV ve v</w:t>
      </w:r>
      <w:r w:rsidR="00926C9B">
        <w:rPr>
          <w:rFonts w:ascii="Arial" w:hAnsi="Arial" w:cs="Arial"/>
          <w:sz w:val="20"/>
          <w:szCs w:val="20"/>
        </w:rPr>
        <w:t xml:space="preserve">ysokoškolském </w:t>
      </w:r>
      <w:r w:rsidRPr="000D62BD">
        <w:rPr>
          <w:rFonts w:ascii="Arial" w:hAnsi="Arial" w:cs="Arial"/>
          <w:sz w:val="20"/>
          <w:szCs w:val="20"/>
        </w:rPr>
        <w:t xml:space="preserve">sektoru meziročně vzrostly o 8 % a dosáhly </w:t>
      </w:r>
      <w:r w:rsidR="009475F6">
        <w:rPr>
          <w:rFonts w:ascii="Arial" w:hAnsi="Arial" w:cs="Arial"/>
          <w:sz w:val="20"/>
          <w:szCs w:val="20"/>
        </w:rPr>
        <w:t xml:space="preserve">hodnoty </w:t>
      </w:r>
      <w:r w:rsidR="00926C9B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,</w:t>
      </w:r>
      <w:r w:rsidR="00926C9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mld. Kč</w:t>
      </w:r>
      <w:r w:rsidR="009475F6">
        <w:rPr>
          <w:rFonts w:ascii="Arial" w:hAnsi="Arial" w:cs="Arial"/>
          <w:sz w:val="20"/>
          <w:szCs w:val="20"/>
        </w:rPr>
        <w:t>, což je zatím nejvyšší hodnota výdajů na VaV v tomto sektoru</w:t>
      </w:r>
      <w:r>
        <w:rPr>
          <w:rFonts w:ascii="Arial" w:hAnsi="Arial" w:cs="Arial"/>
          <w:sz w:val="20"/>
          <w:szCs w:val="20"/>
        </w:rPr>
        <w:t>. Doposud byly nejvyšší výdaje na VaV v </w:t>
      </w:r>
      <w:r w:rsidR="00926C9B">
        <w:rPr>
          <w:rFonts w:ascii="Arial" w:hAnsi="Arial" w:cs="Arial"/>
          <w:sz w:val="20"/>
          <w:szCs w:val="20"/>
        </w:rPr>
        <w:t>letech</w:t>
      </w:r>
      <w:r>
        <w:rPr>
          <w:rFonts w:ascii="Arial" w:hAnsi="Arial" w:cs="Arial"/>
          <w:sz w:val="20"/>
          <w:szCs w:val="20"/>
        </w:rPr>
        <w:t xml:space="preserve"> 2015</w:t>
      </w:r>
      <w:r w:rsidR="00926C9B">
        <w:rPr>
          <w:rFonts w:ascii="Arial" w:hAnsi="Arial" w:cs="Arial"/>
          <w:sz w:val="20"/>
          <w:szCs w:val="20"/>
        </w:rPr>
        <w:t xml:space="preserve"> a 2018</w:t>
      </w:r>
      <w:r>
        <w:rPr>
          <w:rFonts w:ascii="Arial" w:hAnsi="Arial" w:cs="Arial"/>
          <w:sz w:val="20"/>
          <w:szCs w:val="20"/>
        </w:rPr>
        <w:t xml:space="preserve">, kdy byly </w:t>
      </w:r>
      <w:r w:rsidR="00A00711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mld. Kč</w:t>
      </w:r>
      <w:r w:rsidR="00A00711">
        <w:rPr>
          <w:rFonts w:ascii="Arial" w:hAnsi="Arial" w:cs="Arial"/>
          <w:sz w:val="20"/>
          <w:szCs w:val="20"/>
        </w:rPr>
        <w:t>. Obdobně jako v případě vládního sektoru byly výdaje na VaV ve vysokoškolském sektoru v posledních deseti letech výrazně ovlivněny evropskými fondy. Nejvýrazněji se EU dotace</w:t>
      </w:r>
      <w:r>
        <w:rPr>
          <w:rFonts w:ascii="Arial" w:hAnsi="Arial" w:cs="Arial"/>
          <w:sz w:val="20"/>
          <w:szCs w:val="20"/>
        </w:rPr>
        <w:t xml:space="preserve"> </w:t>
      </w:r>
      <w:r w:rsidR="00A00711">
        <w:rPr>
          <w:rFonts w:ascii="Arial" w:hAnsi="Arial" w:cs="Arial"/>
          <w:sz w:val="20"/>
          <w:szCs w:val="20"/>
        </w:rPr>
        <w:t>čerpaly mezi lety 2012</w:t>
      </w:r>
      <w:r w:rsidR="0059129A">
        <w:rPr>
          <w:rFonts w:ascii="Arial" w:hAnsi="Arial" w:cs="Arial"/>
          <w:sz w:val="20"/>
          <w:szCs w:val="20"/>
        </w:rPr>
        <w:t>–</w:t>
      </w:r>
      <w:r w:rsidR="00A00711">
        <w:rPr>
          <w:rFonts w:ascii="Arial" w:hAnsi="Arial" w:cs="Arial"/>
          <w:sz w:val="20"/>
          <w:szCs w:val="20"/>
        </w:rPr>
        <w:t xml:space="preserve">2015. V roce 2015 </w:t>
      </w:r>
      <w:r w:rsidR="0059129A">
        <w:rPr>
          <w:rFonts w:ascii="Arial" w:hAnsi="Arial" w:cs="Arial"/>
          <w:sz w:val="20"/>
          <w:szCs w:val="20"/>
        </w:rPr>
        <w:t>vy</w:t>
      </w:r>
      <w:r w:rsidR="00A00711">
        <w:rPr>
          <w:rFonts w:ascii="Arial" w:hAnsi="Arial" w:cs="Arial"/>
          <w:sz w:val="20"/>
          <w:szCs w:val="20"/>
        </w:rPr>
        <w:t>stoupaly výdaje na VaV ve vysokoškolském sektoru až na</w:t>
      </w:r>
      <w:r w:rsidR="009475F6">
        <w:rPr>
          <w:rFonts w:ascii="Arial" w:hAnsi="Arial" w:cs="Arial"/>
          <w:sz w:val="20"/>
          <w:szCs w:val="20"/>
        </w:rPr>
        <w:t xml:space="preserve"> již</w:t>
      </w:r>
      <w:r w:rsidR="00A00711">
        <w:rPr>
          <w:rFonts w:ascii="Arial" w:hAnsi="Arial" w:cs="Arial"/>
          <w:sz w:val="20"/>
          <w:szCs w:val="20"/>
        </w:rPr>
        <w:t xml:space="preserve"> zmíněných 22 mld. Kč. S koncem programového období nastal dramatický pokles v přílivu dotací </w:t>
      </w:r>
      <w:r w:rsidR="009475F6">
        <w:rPr>
          <w:rFonts w:ascii="Arial" w:hAnsi="Arial" w:cs="Arial"/>
          <w:sz w:val="20"/>
          <w:szCs w:val="20"/>
        </w:rPr>
        <w:t xml:space="preserve">EU </w:t>
      </w:r>
      <w:r w:rsidR="00A00711">
        <w:rPr>
          <w:rFonts w:ascii="Arial" w:hAnsi="Arial" w:cs="Arial"/>
          <w:sz w:val="20"/>
          <w:szCs w:val="20"/>
        </w:rPr>
        <w:t xml:space="preserve">a s tím i výrazný pokles ve výdajích na VaV. Ve vysokoškolském sektoru došlo v roce 2016 k meziročnímu </w:t>
      </w:r>
      <w:r w:rsidR="00A00711">
        <w:rPr>
          <w:rFonts w:ascii="Arial" w:hAnsi="Arial" w:cs="Arial"/>
          <w:sz w:val="20"/>
          <w:szCs w:val="20"/>
        </w:rPr>
        <w:lastRenderedPageBreak/>
        <w:t xml:space="preserve">26% poklesu výdajů na VaV. </w:t>
      </w:r>
      <w:r w:rsidR="003C4F0E">
        <w:rPr>
          <w:rFonts w:ascii="Arial" w:hAnsi="Arial" w:cs="Arial"/>
          <w:sz w:val="20"/>
          <w:szCs w:val="20"/>
        </w:rPr>
        <w:t xml:space="preserve">Po roce 2016 ovšem zaznamenáváme opětovný </w:t>
      </w:r>
      <w:r w:rsidR="0059129A">
        <w:rPr>
          <w:rFonts w:ascii="Arial" w:hAnsi="Arial" w:cs="Arial"/>
          <w:sz w:val="20"/>
          <w:szCs w:val="20"/>
        </w:rPr>
        <w:t>ná</w:t>
      </w:r>
      <w:r w:rsidR="003C4F0E">
        <w:rPr>
          <w:rFonts w:ascii="Arial" w:hAnsi="Arial" w:cs="Arial"/>
          <w:sz w:val="20"/>
          <w:szCs w:val="20"/>
        </w:rPr>
        <w:t xml:space="preserve">růst výdajů na </w:t>
      </w:r>
      <w:proofErr w:type="spellStart"/>
      <w:r w:rsidR="003C4F0E">
        <w:rPr>
          <w:rFonts w:ascii="Arial" w:hAnsi="Arial" w:cs="Arial"/>
          <w:sz w:val="20"/>
          <w:szCs w:val="20"/>
        </w:rPr>
        <w:t>VaV</w:t>
      </w:r>
      <w:proofErr w:type="spellEnd"/>
      <w:r w:rsidR="009475F6">
        <w:rPr>
          <w:rFonts w:ascii="Arial" w:hAnsi="Arial" w:cs="Arial"/>
          <w:sz w:val="20"/>
          <w:szCs w:val="20"/>
        </w:rPr>
        <w:t xml:space="preserve"> a</w:t>
      </w:r>
      <w:r w:rsidR="003C4F0E">
        <w:rPr>
          <w:rFonts w:ascii="Arial" w:hAnsi="Arial" w:cs="Arial"/>
          <w:sz w:val="20"/>
          <w:szCs w:val="20"/>
        </w:rPr>
        <w:t xml:space="preserve"> po roce 2017 </w:t>
      </w:r>
      <w:r w:rsidR="009475F6">
        <w:rPr>
          <w:rFonts w:ascii="Arial" w:hAnsi="Arial" w:cs="Arial"/>
          <w:sz w:val="20"/>
          <w:szCs w:val="20"/>
        </w:rPr>
        <w:t>lze tento nárůst označit za významn</w:t>
      </w:r>
      <w:r w:rsidR="00776604">
        <w:rPr>
          <w:rFonts w:ascii="Arial" w:hAnsi="Arial" w:cs="Arial"/>
          <w:sz w:val="20"/>
          <w:szCs w:val="20"/>
        </w:rPr>
        <w:t>ý</w:t>
      </w:r>
      <w:r w:rsidR="003C4F0E">
        <w:rPr>
          <w:rFonts w:ascii="Arial" w:hAnsi="Arial" w:cs="Arial"/>
          <w:sz w:val="20"/>
          <w:szCs w:val="20"/>
        </w:rPr>
        <w:t>. V posledních dvou letech se výrazně navýšily jak prostředky státu vynakládané do VaV na vysokých škol</w:t>
      </w:r>
      <w:r w:rsidR="0059129A">
        <w:rPr>
          <w:rFonts w:ascii="Arial" w:hAnsi="Arial" w:cs="Arial"/>
          <w:sz w:val="20"/>
          <w:szCs w:val="20"/>
        </w:rPr>
        <w:t>ách</w:t>
      </w:r>
      <w:r w:rsidR="003C4F0E">
        <w:rPr>
          <w:rFonts w:ascii="Arial" w:hAnsi="Arial" w:cs="Arial"/>
          <w:sz w:val="20"/>
          <w:szCs w:val="20"/>
        </w:rPr>
        <w:t>, tak se opětovně rozběhlo intenzivnější čerpání EU dotací na výzkum a vývoj.</w:t>
      </w:r>
    </w:p>
    <w:p w14:paraId="1D7D3E46" w14:textId="71CAE2EE" w:rsidR="003C4F0E" w:rsidRDefault="00086C99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Vysokoškolský sektor zahrnuje všechny subjekty, které p</w:t>
      </w:r>
      <w:r w:rsidR="0059129A">
        <w:rPr>
          <w:rFonts w:ascii="Arial" w:hAnsi="Arial" w:cs="Arial"/>
          <w:sz w:val="20"/>
          <w:szCs w:val="20"/>
        </w:rPr>
        <w:t>oskytují</w:t>
      </w:r>
      <w:r>
        <w:rPr>
          <w:rFonts w:ascii="Arial" w:hAnsi="Arial" w:cs="Arial"/>
          <w:sz w:val="20"/>
          <w:szCs w:val="20"/>
        </w:rPr>
        <w:t xml:space="preserve"> vysokoškolské studium. Řadíme sem především veřejné a státní vysoké školy. Na 28 těchto subjektech v ČR se v roce 2019 vynaložilo na VaV celkem 22,8 mld. Kč. Veřejné a státní vysoké školy mají dlouhodobě dominantní podíl na vysokoškolském sektoru, v roce 2019 to bylo 94 %. </w:t>
      </w:r>
      <w:r w:rsidR="006F57A4">
        <w:rPr>
          <w:rFonts w:ascii="Arial" w:hAnsi="Arial" w:cs="Arial"/>
          <w:sz w:val="20"/>
          <w:szCs w:val="20"/>
        </w:rPr>
        <w:t xml:space="preserve">Naopak soukromé vysoké školy, nejsou z hlediska výzkumné činnosti v Česku </w:t>
      </w:r>
      <w:r w:rsidR="003C2CFD">
        <w:rPr>
          <w:rFonts w:ascii="Arial" w:hAnsi="Arial" w:cs="Arial"/>
          <w:sz w:val="20"/>
          <w:szCs w:val="20"/>
        </w:rPr>
        <w:t xml:space="preserve">nikterak </w:t>
      </w:r>
      <w:r w:rsidR="006F57A4">
        <w:rPr>
          <w:rFonts w:ascii="Arial" w:hAnsi="Arial" w:cs="Arial"/>
          <w:sz w:val="20"/>
          <w:szCs w:val="20"/>
        </w:rPr>
        <w:t xml:space="preserve">významné. V roce 2019 provádělo VaV celkem 23 soukromých vysokých škol, na kterých se na VaV vynaložilo přibližně 200 mil. Kč, což tvořilo necelé 1 % výdajů na VaV ve vysokoškolském sektoru. Do vysokoškolského sektoru řadíme </w:t>
      </w:r>
      <w:r w:rsidR="003C2CFD">
        <w:rPr>
          <w:rFonts w:ascii="Arial" w:hAnsi="Arial" w:cs="Arial"/>
          <w:sz w:val="20"/>
          <w:szCs w:val="20"/>
        </w:rPr>
        <w:t>také</w:t>
      </w:r>
      <w:r w:rsidR="006F57A4">
        <w:rPr>
          <w:rFonts w:ascii="Arial" w:hAnsi="Arial" w:cs="Arial"/>
          <w:sz w:val="20"/>
          <w:szCs w:val="20"/>
        </w:rPr>
        <w:t xml:space="preserve"> fakultní nemocnice, </w:t>
      </w:r>
      <w:r w:rsidR="003C2CFD">
        <w:rPr>
          <w:rFonts w:ascii="Arial" w:hAnsi="Arial" w:cs="Arial"/>
          <w:sz w:val="20"/>
          <w:szCs w:val="20"/>
        </w:rPr>
        <w:t xml:space="preserve">ve </w:t>
      </w:r>
      <w:r w:rsidR="006F57A4">
        <w:rPr>
          <w:rFonts w:ascii="Arial" w:hAnsi="Arial" w:cs="Arial"/>
          <w:sz w:val="20"/>
          <w:szCs w:val="20"/>
        </w:rPr>
        <w:t>kterých se v roce 2019 vynaložilo</w:t>
      </w:r>
      <w:r w:rsidR="0059129A">
        <w:rPr>
          <w:rFonts w:ascii="Arial" w:hAnsi="Arial" w:cs="Arial"/>
          <w:sz w:val="20"/>
          <w:szCs w:val="20"/>
        </w:rPr>
        <w:t xml:space="preserve"> na VaV</w:t>
      </w:r>
      <w:r w:rsidR="006F57A4">
        <w:rPr>
          <w:rFonts w:ascii="Arial" w:hAnsi="Arial" w:cs="Arial"/>
          <w:sz w:val="20"/>
          <w:szCs w:val="20"/>
        </w:rPr>
        <w:t xml:space="preserve"> celkem 1,3 mld. Kč, přibližně 5 % vysokoškolského sektoru.</w:t>
      </w:r>
    </w:p>
    <w:p w14:paraId="45155520" w14:textId="1959F3A2" w:rsidR="006F57A4" w:rsidRDefault="00B8108F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748B1DC" wp14:editId="3B255BE9">
            <wp:extent cx="6120000" cy="352425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F13035">
        <w:rPr>
          <w:rFonts w:ascii="Arial" w:hAnsi="Arial" w:cs="Arial"/>
          <w:sz w:val="20"/>
          <w:szCs w:val="20"/>
        </w:rPr>
        <w:t xml:space="preserve">Hlavním zdrojem financování vysokoškolského výzkumu jsou prostředky od českého státu. Veřejné domácí zdroje dosáhly v roce 2019 celkové výše 18,2 mld. Kč a tvořily </w:t>
      </w:r>
      <w:r w:rsidR="002304B6">
        <w:rPr>
          <w:rFonts w:ascii="Arial" w:hAnsi="Arial" w:cs="Arial"/>
          <w:sz w:val="20"/>
          <w:szCs w:val="20"/>
        </w:rPr>
        <w:t xml:space="preserve">3/4 </w:t>
      </w:r>
      <w:r w:rsidR="00F13035">
        <w:rPr>
          <w:rFonts w:ascii="Arial" w:hAnsi="Arial" w:cs="Arial"/>
          <w:sz w:val="20"/>
          <w:szCs w:val="20"/>
        </w:rPr>
        <w:t xml:space="preserve">výdajů na </w:t>
      </w:r>
      <w:proofErr w:type="spellStart"/>
      <w:r w:rsidR="00F13035">
        <w:rPr>
          <w:rFonts w:ascii="Arial" w:hAnsi="Arial" w:cs="Arial"/>
          <w:sz w:val="20"/>
          <w:szCs w:val="20"/>
        </w:rPr>
        <w:t>VaV</w:t>
      </w:r>
      <w:proofErr w:type="spellEnd"/>
      <w:r w:rsidR="00F13035">
        <w:rPr>
          <w:rFonts w:ascii="Arial" w:hAnsi="Arial" w:cs="Arial"/>
          <w:sz w:val="20"/>
          <w:szCs w:val="20"/>
        </w:rPr>
        <w:t xml:space="preserve"> ve vysokoškolském sektoru. Za posledních deset </w:t>
      </w:r>
      <w:r w:rsidR="0059129A">
        <w:rPr>
          <w:rFonts w:ascii="Arial" w:hAnsi="Arial" w:cs="Arial"/>
          <w:sz w:val="20"/>
          <w:szCs w:val="20"/>
        </w:rPr>
        <w:t xml:space="preserve">let </w:t>
      </w:r>
      <w:r w:rsidR="00F13035">
        <w:rPr>
          <w:rFonts w:ascii="Arial" w:hAnsi="Arial" w:cs="Arial"/>
          <w:sz w:val="20"/>
          <w:szCs w:val="20"/>
        </w:rPr>
        <w:t xml:space="preserve">se </w:t>
      </w:r>
      <w:r w:rsidR="0059129A">
        <w:rPr>
          <w:rFonts w:ascii="Arial" w:hAnsi="Arial" w:cs="Arial"/>
          <w:sz w:val="20"/>
          <w:szCs w:val="20"/>
        </w:rPr>
        <w:t>státní</w:t>
      </w:r>
      <w:r w:rsidR="00F13035">
        <w:rPr>
          <w:rFonts w:ascii="Arial" w:hAnsi="Arial" w:cs="Arial"/>
          <w:sz w:val="20"/>
          <w:szCs w:val="20"/>
        </w:rPr>
        <w:t xml:space="preserve"> </w:t>
      </w:r>
      <w:r w:rsidR="0059129A">
        <w:rPr>
          <w:rFonts w:ascii="Arial" w:hAnsi="Arial" w:cs="Arial"/>
          <w:sz w:val="20"/>
          <w:szCs w:val="20"/>
        </w:rPr>
        <w:t xml:space="preserve">podpora </w:t>
      </w:r>
      <w:r w:rsidR="00F13035">
        <w:rPr>
          <w:rFonts w:ascii="Arial" w:hAnsi="Arial" w:cs="Arial"/>
          <w:sz w:val="20"/>
          <w:szCs w:val="20"/>
        </w:rPr>
        <w:t>vysokoškolsk</w:t>
      </w:r>
      <w:r w:rsidR="0059129A">
        <w:rPr>
          <w:rFonts w:ascii="Arial" w:hAnsi="Arial" w:cs="Arial"/>
          <w:sz w:val="20"/>
          <w:szCs w:val="20"/>
        </w:rPr>
        <w:t>ého</w:t>
      </w:r>
      <w:r w:rsidR="00F13035">
        <w:rPr>
          <w:rFonts w:ascii="Arial" w:hAnsi="Arial" w:cs="Arial"/>
          <w:sz w:val="20"/>
          <w:szCs w:val="20"/>
        </w:rPr>
        <w:t xml:space="preserve"> výzkum</w:t>
      </w:r>
      <w:r w:rsidR="0059129A">
        <w:rPr>
          <w:rFonts w:ascii="Arial" w:hAnsi="Arial" w:cs="Arial"/>
          <w:sz w:val="20"/>
          <w:szCs w:val="20"/>
        </w:rPr>
        <w:t>u</w:t>
      </w:r>
      <w:r w:rsidR="00F13035">
        <w:rPr>
          <w:rFonts w:ascii="Arial" w:hAnsi="Arial" w:cs="Arial"/>
          <w:sz w:val="20"/>
          <w:szCs w:val="20"/>
        </w:rPr>
        <w:t xml:space="preserve"> zdvojnásobil</w:t>
      </w:r>
      <w:r w:rsidR="0059129A">
        <w:rPr>
          <w:rFonts w:ascii="Arial" w:hAnsi="Arial" w:cs="Arial"/>
          <w:sz w:val="20"/>
          <w:szCs w:val="20"/>
        </w:rPr>
        <w:t>a</w:t>
      </w:r>
      <w:r w:rsidR="00F13035">
        <w:rPr>
          <w:rFonts w:ascii="Arial" w:hAnsi="Arial" w:cs="Arial"/>
          <w:sz w:val="20"/>
          <w:szCs w:val="20"/>
        </w:rPr>
        <w:t xml:space="preserve">. Peníze státu na vysokoškolský výzkum </w:t>
      </w:r>
      <w:r w:rsidR="0059129A">
        <w:rPr>
          <w:rFonts w:ascii="Arial" w:hAnsi="Arial" w:cs="Arial"/>
          <w:sz w:val="20"/>
          <w:szCs w:val="20"/>
        </w:rPr>
        <w:t>trvale</w:t>
      </w:r>
      <w:r w:rsidR="00F13035">
        <w:rPr>
          <w:rFonts w:ascii="Arial" w:hAnsi="Arial" w:cs="Arial"/>
          <w:sz w:val="20"/>
          <w:szCs w:val="20"/>
        </w:rPr>
        <w:t xml:space="preserve"> narůstají</w:t>
      </w:r>
      <w:r w:rsidR="002304B6">
        <w:rPr>
          <w:rFonts w:ascii="Arial" w:hAnsi="Arial" w:cs="Arial"/>
          <w:sz w:val="20"/>
          <w:szCs w:val="20"/>
        </w:rPr>
        <w:t xml:space="preserve"> a</w:t>
      </w:r>
      <w:r w:rsidR="00F13035">
        <w:rPr>
          <w:rFonts w:ascii="Arial" w:hAnsi="Arial" w:cs="Arial"/>
          <w:sz w:val="20"/>
          <w:szCs w:val="20"/>
        </w:rPr>
        <w:t xml:space="preserve"> </w:t>
      </w:r>
      <w:r w:rsidR="00A6476A">
        <w:rPr>
          <w:rFonts w:ascii="Arial" w:hAnsi="Arial" w:cs="Arial"/>
          <w:sz w:val="20"/>
          <w:szCs w:val="20"/>
        </w:rPr>
        <w:t xml:space="preserve">ve srovnání s rokem 2016 se navýšily dokonce o 4 miliardy korun. Veřejné domácí zdroje jsou nejdůležitějším zdrojem financování VaV </w:t>
      </w:r>
      <w:r w:rsidR="0059129A">
        <w:rPr>
          <w:rFonts w:ascii="Arial" w:hAnsi="Arial" w:cs="Arial"/>
          <w:sz w:val="20"/>
          <w:szCs w:val="20"/>
        </w:rPr>
        <w:t xml:space="preserve">na </w:t>
      </w:r>
      <w:r w:rsidR="00A94862">
        <w:rPr>
          <w:rFonts w:ascii="Arial" w:hAnsi="Arial" w:cs="Arial"/>
          <w:sz w:val="20"/>
          <w:szCs w:val="20"/>
        </w:rPr>
        <w:t>veřejných a státních vysok</w:t>
      </w:r>
      <w:r w:rsidR="0059129A">
        <w:rPr>
          <w:rFonts w:ascii="Arial" w:hAnsi="Arial" w:cs="Arial"/>
          <w:sz w:val="20"/>
          <w:szCs w:val="20"/>
        </w:rPr>
        <w:t xml:space="preserve">ých škol i </w:t>
      </w:r>
      <w:r w:rsidR="002304B6">
        <w:rPr>
          <w:rFonts w:ascii="Arial" w:hAnsi="Arial" w:cs="Arial"/>
          <w:sz w:val="20"/>
          <w:szCs w:val="20"/>
        </w:rPr>
        <w:t xml:space="preserve">ve </w:t>
      </w:r>
      <w:r w:rsidR="00A6476A">
        <w:rPr>
          <w:rFonts w:ascii="Arial" w:hAnsi="Arial" w:cs="Arial"/>
          <w:sz w:val="20"/>
          <w:szCs w:val="20"/>
        </w:rPr>
        <w:t>fakultních nemocni</w:t>
      </w:r>
      <w:r w:rsidR="0059129A">
        <w:rPr>
          <w:rFonts w:ascii="Arial" w:hAnsi="Arial" w:cs="Arial"/>
          <w:sz w:val="20"/>
          <w:szCs w:val="20"/>
        </w:rPr>
        <w:t>cích</w:t>
      </w:r>
      <w:r w:rsidR="00A6476A">
        <w:rPr>
          <w:rFonts w:ascii="Arial" w:hAnsi="Arial" w:cs="Arial"/>
          <w:sz w:val="20"/>
          <w:szCs w:val="20"/>
        </w:rPr>
        <w:t xml:space="preserve">. V případě soukromých vysokých škol se </w:t>
      </w:r>
      <w:r w:rsidR="0059129A">
        <w:rPr>
          <w:rFonts w:ascii="Arial" w:hAnsi="Arial" w:cs="Arial"/>
          <w:sz w:val="20"/>
          <w:szCs w:val="20"/>
        </w:rPr>
        <w:t xml:space="preserve">český stát </w:t>
      </w:r>
      <w:r w:rsidR="00A6476A">
        <w:rPr>
          <w:rFonts w:ascii="Arial" w:hAnsi="Arial" w:cs="Arial"/>
          <w:sz w:val="20"/>
          <w:szCs w:val="20"/>
        </w:rPr>
        <w:t>na financování jejich VaV činnosti podílí přibližně z 20 %.</w:t>
      </w:r>
    </w:p>
    <w:p w14:paraId="04693420" w14:textId="33BA6D46" w:rsidR="00A6476A" w:rsidRDefault="00A6476A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Druhým nejvýznamnějším zdrojem financováním jsou veřejné zahraniční zdroje, které zahrnují především prostředky</w:t>
      </w:r>
      <w:r w:rsidR="0059129A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EU. Od roku 2010 doputovalo z veřejných zahraničních zdrojů do vysokoškolského výzkumu více než 40 mld. Kč. Největší objem prostředků přicházel mezi lety 2012–2015, kdy to bylo v průměru více než 7 mld. Kč za rok. </w:t>
      </w:r>
      <w:r w:rsidR="00C4091F">
        <w:rPr>
          <w:rFonts w:ascii="Arial" w:hAnsi="Arial" w:cs="Arial"/>
          <w:sz w:val="20"/>
          <w:szCs w:val="20"/>
        </w:rPr>
        <w:t>S koncem čerpání prostředků z programového období EU došlo v roce 2016 k </w:t>
      </w:r>
      <w:r w:rsidR="0059129A">
        <w:rPr>
          <w:rFonts w:ascii="Arial" w:hAnsi="Arial" w:cs="Arial"/>
          <w:sz w:val="20"/>
          <w:szCs w:val="20"/>
        </w:rPr>
        <w:t>velkému</w:t>
      </w:r>
      <w:r w:rsidR="00C4091F">
        <w:rPr>
          <w:rFonts w:ascii="Arial" w:hAnsi="Arial" w:cs="Arial"/>
          <w:sz w:val="20"/>
          <w:szCs w:val="20"/>
        </w:rPr>
        <w:t xml:space="preserve"> poklesu</w:t>
      </w:r>
      <w:r w:rsidR="0059129A">
        <w:rPr>
          <w:rFonts w:ascii="Arial" w:hAnsi="Arial" w:cs="Arial"/>
          <w:sz w:val="20"/>
          <w:szCs w:val="20"/>
        </w:rPr>
        <w:t xml:space="preserve"> veřejných zahraničních zdrojů, a to z </w:t>
      </w:r>
      <w:r w:rsidR="00C4091F">
        <w:rPr>
          <w:rFonts w:ascii="Arial" w:hAnsi="Arial" w:cs="Arial"/>
          <w:sz w:val="20"/>
          <w:szCs w:val="20"/>
        </w:rPr>
        <w:t xml:space="preserve">téměř 7 mld. Kč v roce 2015 na méně než 1 mld. Kč v roce 2016. Čerpání prostředků na VaV z nového programového období bylo na vysokých školách pomalé a i v roce 2017 se veřejné zahraniční zdroje pohybovaly pouze okolo 1 mld. Kč. K nárůstu došlo až v následujících 2 letech, kdy v roce 2018 to byly přibližně 3 mld. Kč a o rok později 4 mld. Kč. Ve srovnání s rekordními roky 2013–2015 </w:t>
      </w:r>
      <w:r w:rsidR="002304B6">
        <w:rPr>
          <w:rFonts w:ascii="Arial" w:hAnsi="Arial" w:cs="Arial"/>
          <w:sz w:val="20"/>
          <w:szCs w:val="20"/>
        </w:rPr>
        <w:t xml:space="preserve">se </w:t>
      </w:r>
      <w:r w:rsidR="0059129A">
        <w:rPr>
          <w:rFonts w:ascii="Arial" w:hAnsi="Arial" w:cs="Arial"/>
          <w:sz w:val="20"/>
          <w:szCs w:val="20"/>
        </w:rPr>
        <w:t>v roce 2019</w:t>
      </w:r>
      <w:r w:rsidR="002304B6">
        <w:rPr>
          <w:rFonts w:ascii="Arial" w:hAnsi="Arial" w:cs="Arial"/>
          <w:sz w:val="20"/>
          <w:szCs w:val="20"/>
        </w:rPr>
        <w:t xml:space="preserve"> jednalo</w:t>
      </w:r>
      <w:r w:rsidR="0059129A">
        <w:rPr>
          <w:rFonts w:ascii="Arial" w:hAnsi="Arial" w:cs="Arial"/>
          <w:sz w:val="20"/>
          <w:szCs w:val="20"/>
        </w:rPr>
        <w:t xml:space="preserve"> přibližně </w:t>
      </w:r>
      <w:r w:rsidR="002304B6">
        <w:rPr>
          <w:rFonts w:ascii="Arial" w:hAnsi="Arial" w:cs="Arial"/>
          <w:sz w:val="20"/>
          <w:szCs w:val="20"/>
        </w:rPr>
        <w:t xml:space="preserve">o </w:t>
      </w:r>
      <w:proofErr w:type="gramStart"/>
      <w:r w:rsidR="00C4091F">
        <w:rPr>
          <w:rFonts w:ascii="Arial" w:hAnsi="Arial" w:cs="Arial"/>
          <w:sz w:val="20"/>
          <w:szCs w:val="20"/>
        </w:rPr>
        <w:t>55%</w:t>
      </w:r>
      <w:proofErr w:type="gramEnd"/>
      <w:r w:rsidR="00C4091F">
        <w:rPr>
          <w:rFonts w:ascii="Arial" w:hAnsi="Arial" w:cs="Arial"/>
          <w:sz w:val="20"/>
          <w:szCs w:val="20"/>
        </w:rPr>
        <w:t xml:space="preserve"> </w:t>
      </w:r>
      <w:r w:rsidR="0059129A">
        <w:rPr>
          <w:rFonts w:ascii="Arial" w:hAnsi="Arial" w:cs="Arial"/>
          <w:sz w:val="20"/>
          <w:szCs w:val="20"/>
        </w:rPr>
        <w:t>částku</w:t>
      </w:r>
      <w:r w:rsidR="00C4091F">
        <w:rPr>
          <w:rFonts w:ascii="Arial" w:hAnsi="Arial" w:cs="Arial"/>
          <w:sz w:val="20"/>
          <w:szCs w:val="20"/>
        </w:rPr>
        <w:t xml:space="preserve">. V roce 2019 tvořily veřejné zahraniční zdroje </w:t>
      </w:r>
      <w:r w:rsidR="000A4DF3">
        <w:rPr>
          <w:rFonts w:ascii="Arial" w:hAnsi="Arial" w:cs="Arial"/>
          <w:sz w:val="20"/>
          <w:szCs w:val="20"/>
        </w:rPr>
        <w:t>17 % výdajů na VaV ve vysokoškolském sektoru, v letech 2012–2015 to</w:t>
      </w:r>
      <w:r w:rsidR="002304B6">
        <w:rPr>
          <w:rFonts w:ascii="Arial" w:hAnsi="Arial" w:cs="Arial"/>
          <w:sz w:val="20"/>
          <w:szCs w:val="20"/>
        </w:rPr>
        <w:t xml:space="preserve"> však</w:t>
      </w:r>
      <w:r w:rsidR="000A4DF3">
        <w:rPr>
          <w:rFonts w:ascii="Arial" w:hAnsi="Arial" w:cs="Arial"/>
          <w:sz w:val="20"/>
          <w:szCs w:val="20"/>
        </w:rPr>
        <w:t xml:space="preserve"> bylo </w:t>
      </w:r>
      <w:r w:rsidR="002304B6">
        <w:rPr>
          <w:rFonts w:ascii="Arial" w:hAnsi="Arial" w:cs="Arial"/>
          <w:sz w:val="20"/>
          <w:szCs w:val="20"/>
        </w:rPr>
        <w:t>více než 30 % každý rok.</w:t>
      </w:r>
    </w:p>
    <w:p w14:paraId="40E07686" w14:textId="626A8375" w:rsidR="009F77AB" w:rsidRDefault="00AD77E0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Podnikové zdroje jsou spíše doplňkovým zdrojem financování vysokoškolského výzkumu a v posledních 5 letech zaujímají přibližně 4 až 5% podíl. V roce 2014 dosahoval tento zdroj celkové výše 0,5 mld. Kč. Následovalo navýšení podnikových prostředků ve vysokoškolském výzkumu až na 1 mld. Kč v roce 2017. V posledních letech zača</w:t>
      </w:r>
      <w:r w:rsidR="0059129A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zdroje z podniků </w:t>
      </w:r>
      <w:proofErr w:type="gramStart"/>
      <w:r>
        <w:rPr>
          <w:rFonts w:ascii="Arial" w:hAnsi="Arial" w:cs="Arial"/>
          <w:sz w:val="20"/>
          <w:szCs w:val="20"/>
        </w:rPr>
        <w:t>stagnovat</w:t>
      </w:r>
      <w:proofErr w:type="gramEnd"/>
      <w:r>
        <w:rPr>
          <w:rFonts w:ascii="Arial" w:hAnsi="Arial" w:cs="Arial"/>
          <w:sz w:val="20"/>
          <w:szCs w:val="20"/>
        </w:rPr>
        <w:t xml:space="preserve"> a i v roce 2019 se celková částka </w:t>
      </w:r>
      <w:r w:rsidR="00FE7707">
        <w:rPr>
          <w:rFonts w:ascii="Arial" w:hAnsi="Arial" w:cs="Arial"/>
          <w:sz w:val="20"/>
          <w:szCs w:val="20"/>
        </w:rPr>
        <w:t>investovaná podniky do vysokoškolského výzkumu</w:t>
      </w:r>
      <w:r>
        <w:rPr>
          <w:rFonts w:ascii="Arial" w:hAnsi="Arial" w:cs="Arial"/>
          <w:sz w:val="20"/>
          <w:szCs w:val="20"/>
        </w:rPr>
        <w:t xml:space="preserve"> rovnala 1 mld. Kč. Podnikové zdroje financování</w:t>
      </w:r>
      <w:r w:rsidR="002F215A">
        <w:rPr>
          <w:rFonts w:ascii="Arial" w:hAnsi="Arial" w:cs="Arial"/>
          <w:sz w:val="20"/>
          <w:szCs w:val="20"/>
        </w:rPr>
        <w:t xml:space="preserve"> vy</w:t>
      </w:r>
      <w:r w:rsidR="00A94862">
        <w:rPr>
          <w:rFonts w:ascii="Arial" w:hAnsi="Arial" w:cs="Arial"/>
          <w:sz w:val="20"/>
          <w:szCs w:val="20"/>
        </w:rPr>
        <w:t>sokoškolského výzkumu zahrnují</w:t>
      </w:r>
      <w:r w:rsidR="002F215A">
        <w:rPr>
          <w:rFonts w:ascii="Arial" w:hAnsi="Arial" w:cs="Arial"/>
          <w:sz w:val="20"/>
          <w:szCs w:val="20"/>
        </w:rPr>
        <w:t> </w:t>
      </w:r>
      <w:r w:rsidR="00A94862">
        <w:rPr>
          <w:rFonts w:ascii="Arial" w:hAnsi="Arial" w:cs="Arial"/>
          <w:sz w:val="20"/>
          <w:szCs w:val="20"/>
        </w:rPr>
        <w:t>především</w:t>
      </w:r>
      <w:r w:rsidR="002F215A">
        <w:rPr>
          <w:rFonts w:ascii="Arial" w:hAnsi="Arial" w:cs="Arial"/>
          <w:sz w:val="20"/>
          <w:szCs w:val="20"/>
        </w:rPr>
        <w:t xml:space="preserve"> prostředky z výzkumu prováděného na zakázku. V největší míře získávají tyto prostředky technicky zam</w:t>
      </w:r>
      <w:r w:rsidR="00A94862">
        <w:rPr>
          <w:rFonts w:ascii="Arial" w:hAnsi="Arial" w:cs="Arial"/>
          <w:sz w:val="20"/>
          <w:szCs w:val="20"/>
        </w:rPr>
        <w:t>ě</w:t>
      </w:r>
      <w:r w:rsidR="002F215A">
        <w:rPr>
          <w:rFonts w:ascii="Arial" w:hAnsi="Arial" w:cs="Arial"/>
          <w:sz w:val="20"/>
          <w:szCs w:val="20"/>
        </w:rPr>
        <w:t xml:space="preserve">řené vysoké školy. </w:t>
      </w:r>
    </w:p>
    <w:p w14:paraId="52320BDC" w14:textId="157D65AD" w:rsidR="00D6143B" w:rsidRDefault="00A24D87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Mzdové náklady tvoří největší výdajovou položkou vysokoškolského vý</w:t>
      </w:r>
      <w:r w:rsidR="00A94862">
        <w:rPr>
          <w:rFonts w:ascii="Arial" w:hAnsi="Arial" w:cs="Arial"/>
          <w:sz w:val="20"/>
          <w:szCs w:val="20"/>
        </w:rPr>
        <w:t>zkumu, v posledních letech se</w:t>
      </w:r>
      <w:r>
        <w:rPr>
          <w:rFonts w:ascii="Arial" w:hAnsi="Arial" w:cs="Arial"/>
          <w:sz w:val="20"/>
          <w:szCs w:val="20"/>
        </w:rPr>
        <w:t xml:space="preserve"> jejich podíl pohybuje okolo 52 % </w:t>
      </w:r>
      <w:r w:rsidR="00A94862">
        <w:rPr>
          <w:rFonts w:ascii="Arial" w:hAnsi="Arial" w:cs="Arial"/>
          <w:sz w:val="20"/>
          <w:szCs w:val="20"/>
        </w:rPr>
        <w:t xml:space="preserve">celkových </w:t>
      </w:r>
      <w:r>
        <w:rPr>
          <w:rFonts w:ascii="Arial" w:hAnsi="Arial" w:cs="Arial"/>
          <w:sz w:val="20"/>
          <w:szCs w:val="20"/>
        </w:rPr>
        <w:t>výdajů na VaV</w:t>
      </w:r>
      <w:r w:rsidR="00A94862">
        <w:rPr>
          <w:rFonts w:ascii="Arial" w:hAnsi="Arial" w:cs="Arial"/>
          <w:sz w:val="20"/>
          <w:szCs w:val="20"/>
        </w:rPr>
        <w:t xml:space="preserve"> ve vysokoškolském sektoru</w:t>
      </w:r>
      <w:r>
        <w:rPr>
          <w:rFonts w:ascii="Arial" w:hAnsi="Arial" w:cs="Arial"/>
          <w:sz w:val="20"/>
          <w:szCs w:val="20"/>
        </w:rPr>
        <w:t xml:space="preserve">. V roce 2019 to bylo 12,5 mld. Kč, což je </w:t>
      </w:r>
      <w:r w:rsidR="001910E1">
        <w:rPr>
          <w:rFonts w:ascii="Arial" w:hAnsi="Arial" w:cs="Arial"/>
          <w:sz w:val="20"/>
          <w:szCs w:val="20"/>
        </w:rPr>
        <w:t xml:space="preserve">oproti roku 2010 </w:t>
      </w:r>
      <w:r>
        <w:rPr>
          <w:rFonts w:ascii="Arial" w:hAnsi="Arial" w:cs="Arial"/>
          <w:sz w:val="20"/>
          <w:szCs w:val="20"/>
        </w:rPr>
        <w:t>přibližně dvouapůlnásobek. Ve srovnání s vládním sektorem můžeme ve vysokoškolském sektoru</w:t>
      </w:r>
      <w:r w:rsidR="001910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vyjma nárůst</w:t>
      </w:r>
      <w:r w:rsidR="00A9486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mez</w:t>
      </w:r>
      <w:r w:rsidR="00A94862">
        <w:rPr>
          <w:rFonts w:ascii="Arial" w:hAnsi="Arial" w:cs="Arial"/>
          <w:sz w:val="20"/>
          <w:szCs w:val="20"/>
        </w:rPr>
        <w:t>d</w:t>
      </w:r>
      <w:r w:rsidR="001910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pozorovat i výrazný nárůst ostatních běžných nákladů, které ve srovnání s rokem 2010 vzrostly dvojnásobně a dosáhly v roce 2019 částky 9,5</w:t>
      </w:r>
      <w:r w:rsidR="001910E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mld. Kč. Výše investičních nákladů se ve vysokoškolském výzkumu výrazně odvíjí od čerpán</w:t>
      </w:r>
      <w:r w:rsidR="00A94862">
        <w:rPr>
          <w:rFonts w:ascii="Arial" w:hAnsi="Arial" w:cs="Arial"/>
          <w:sz w:val="20"/>
          <w:szCs w:val="20"/>
        </w:rPr>
        <w:t>í EU dotací. V letech 2012–201</w:t>
      </w:r>
      <w:r>
        <w:rPr>
          <w:rFonts w:ascii="Arial" w:hAnsi="Arial" w:cs="Arial"/>
          <w:sz w:val="20"/>
          <w:szCs w:val="20"/>
        </w:rPr>
        <w:t xml:space="preserve">5 šlo na investice do výzkumu ve vysokoškolském sektoru 25 mld. Kč, tj. </w:t>
      </w:r>
      <w:r w:rsidR="001910E1">
        <w:rPr>
          <w:rFonts w:ascii="Arial" w:hAnsi="Arial" w:cs="Arial"/>
          <w:sz w:val="20"/>
          <w:szCs w:val="20"/>
        </w:rPr>
        <w:t xml:space="preserve">v průměru </w:t>
      </w:r>
      <w:r>
        <w:rPr>
          <w:rFonts w:ascii="Arial" w:hAnsi="Arial" w:cs="Arial"/>
          <w:sz w:val="20"/>
          <w:szCs w:val="20"/>
        </w:rPr>
        <w:t>více než 6 mld.</w:t>
      </w:r>
      <w:r w:rsidR="001910E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Kč za rok. </w:t>
      </w:r>
      <w:r w:rsidR="00883917">
        <w:rPr>
          <w:rFonts w:ascii="Arial" w:hAnsi="Arial" w:cs="Arial"/>
          <w:sz w:val="20"/>
          <w:szCs w:val="20"/>
        </w:rPr>
        <w:t xml:space="preserve">Ve zmíněných letech tvořily investice více než 25 % výdajů na VaV vysokoškolského sektoru. V roce 2016 a 2017 se roční investice do </w:t>
      </w:r>
      <w:proofErr w:type="spellStart"/>
      <w:r w:rsidR="00883917">
        <w:rPr>
          <w:rFonts w:ascii="Arial" w:hAnsi="Arial" w:cs="Arial"/>
          <w:sz w:val="20"/>
          <w:szCs w:val="20"/>
        </w:rPr>
        <w:t>VaV</w:t>
      </w:r>
      <w:proofErr w:type="spellEnd"/>
      <w:r w:rsidR="00883917">
        <w:rPr>
          <w:rFonts w:ascii="Arial" w:hAnsi="Arial" w:cs="Arial"/>
          <w:sz w:val="20"/>
          <w:szCs w:val="20"/>
        </w:rPr>
        <w:t xml:space="preserve"> propadly na </w:t>
      </w:r>
      <w:r w:rsidR="001910E1">
        <w:rPr>
          <w:rFonts w:ascii="Arial" w:hAnsi="Arial" w:cs="Arial"/>
          <w:sz w:val="20"/>
          <w:szCs w:val="20"/>
        </w:rPr>
        <w:t xml:space="preserve">pouhých </w:t>
      </w:r>
      <w:r w:rsidR="00883917">
        <w:rPr>
          <w:rFonts w:ascii="Arial" w:hAnsi="Arial" w:cs="Arial"/>
          <w:sz w:val="20"/>
          <w:szCs w:val="20"/>
        </w:rPr>
        <w:t>0,6 mld. Kč a tvořily méně než 4% podíl. V letech 2018 a 2019 jsme zaznamenaly nárůst investic a to na 2,2 mld. Kč za rok. Investice jsou tedy přibližně na třetinové výši oproti rokům 2012–2015 a tvoří necelých 10 % výdajů na VaV ve vysokoškolském sektoru.</w:t>
      </w:r>
    </w:p>
    <w:p w14:paraId="52EE1316" w14:textId="33E0F899" w:rsidR="00F329E2" w:rsidRDefault="00B8108F" w:rsidP="0096300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6F36093" wp14:editId="3F5C0C69">
            <wp:simplePos x="0" y="0"/>
            <wp:positionH relativeFrom="column">
              <wp:posOffset>3937635</wp:posOffset>
            </wp:positionH>
            <wp:positionV relativeFrom="paragraph">
              <wp:posOffset>440055</wp:posOffset>
            </wp:positionV>
            <wp:extent cx="1762126" cy="1695450"/>
            <wp:effectExtent l="0" t="0" r="9525" b="0"/>
            <wp:wrapNone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D17D2F7" wp14:editId="1D52EC1A">
            <wp:extent cx="6120000" cy="45720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F329E2">
        <w:rPr>
          <w:rFonts w:ascii="Arial" w:hAnsi="Arial" w:cs="Arial"/>
          <w:sz w:val="20"/>
          <w:szCs w:val="20"/>
        </w:rPr>
        <w:t>Nejvíce vysokých škol nalezneme v Praze a v Brně, a tak nepřekvapí, že na tato 2 města připadá dlouhodobě okolo 65 % výdajů na VaV ve vysokoškolsk</w:t>
      </w:r>
      <w:r w:rsidR="00A94862">
        <w:rPr>
          <w:rFonts w:ascii="Arial" w:hAnsi="Arial" w:cs="Arial"/>
          <w:sz w:val="20"/>
          <w:szCs w:val="20"/>
        </w:rPr>
        <w:t>ém sektoru. Na prvním místě je H</w:t>
      </w:r>
      <w:r w:rsidR="00F329E2">
        <w:rPr>
          <w:rFonts w:ascii="Arial" w:hAnsi="Arial" w:cs="Arial"/>
          <w:sz w:val="20"/>
          <w:szCs w:val="20"/>
        </w:rPr>
        <w:t xml:space="preserve">lavní město Praha, kde se v roce 2019 vynaložilo </w:t>
      </w:r>
      <w:r w:rsidR="00A94862">
        <w:rPr>
          <w:rFonts w:ascii="Arial" w:hAnsi="Arial" w:cs="Arial"/>
          <w:sz w:val="20"/>
          <w:szCs w:val="20"/>
        </w:rPr>
        <w:t>9,5 m</w:t>
      </w:r>
      <w:r w:rsidR="00F329E2">
        <w:rPr>
          <w:rFonts w:ascii="Arial" w:hAnsi="Arial" w:cs="Arial"/>
          <w:sz w:val="20"/>
          <w:szCs w:val="20"/>
        </w:rPr>
        <w:t>l</w:t>
      </w:r>
      <w:r w:rsidR="00A94862">
        <w:rPr>
          <w:rFonts w:ascii="Arial" w:hAnsi="Arial" w:cs="Arial"/>
          <w:sz w:val="20"/>
          <w:szCs w:val="20"/>
        </w:rPr>
        <w:t>d</w:t>
      </w:r>
      <w:r w:rsidR="00F329E2">
        <w:rPr>
          <w:rFonts w:ascii="Arial" w:hAnsi="Arial" w:cs="Arial"/>
          <w:sz w:val="20"/>
          <w:szCs w:val="20"/>
        </w:rPr>
        <w:t xml:space="preserve">. Kč, což tvořilo 39 % výdajů na VaV vysokoškolského sektoru. V Jihomoravském kraji se v roce 2019 </w:t>
      </w:r>
      <w:r w:rsidR="00954DEC">
        <w:rPr>
          <w:rFonts w:ascii="Arial" w:hAnsi="Arial" w:cs="Arial"/>
          <w:sz w:val="20"/>
          <w:szCs w:val="20"/>
        </w:rPr>
        <w:t>utratilo za</w:t>
      </w:r>
      <w:r w:rsidR="00F329E2">
        <w:rPr>
          <w:rFonts w:ascii="Arial" w:hAnsi="Arial" w:cs="Arial"/>
          <w:sz w:val="20"/>
          <w:szCs w:val="20"/>
        </w:rPr>
        <w:t xml:space="preserve"> vysokoškolský výzkum 6,2 mld. Kč. V Jihomoravském kraji se v letech 2012–2015 výrazně </w:t>
      </w:r>
      <w:r w:rsidR="00954DEC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954DEC">
        <w:rPr>
          <w:rFonts w:ascii="Arial" w:hAnsi="Arial" w:cs="Arial"/>
          <w:sz w:val="20"/>
          <w:szCs w:val="20"/>
        </w:rPr>
        <w:t>VaV</w:t>
      </w:r>
      <w:proofErr w:type="spellEnd"/>
      <w:r w:rsidR="00954DEC">
        <w:rPr>
          <w:rFonts w:ascii="Arial" w:hAnsi="Arial" w:cs="Arial"/>
          <w:sz w:val="20"/>
          <w:szCs w:val="20"/>
        </w:rPr>
        <w:t xml:space="preserve"> </w:t>
      </w:r>
      <w:r w:rsidR="00F329E2">
        <w:rPr>
          <w:rFonts w:ascii="Arial" w:hAnsi="Arial" w:cs="Arial"/>
          <w:sz w:val="20"/>
          <w:szCs w:val="20"/>
        </w:rPr>
        <w:t xml:space="preserve">čerpaly dotace </w:t>
      </w:r>
      <w:r w:rsidR="00954DEC">
        <w:rPr>
          <w:rFonts w:ascii="Arial" w:hAnsi="Arial" w:cs="Arial"/>
          <w:sz w:val="20"/>
          <w:szCs w:val="20"/>
        </w:rPr>
        <w:t xml:space="preserve">EU </w:t>
      </w:r>
      <w:r w:rsidR="00F329E2">
        <w:rPr>
          <w:rFonts w:ascii="Arial" w:hAnsi="Arial" w:cs="Arial"/>
          <w:sz w:val="20"/>
          <w:szCs w:val="20"/>
        </w:rPr>
        <w:t xml:space="preserve">a v těchto letech byly výdaje na vysokoškolský VaV dokonce vyšší než v roce 2019, přičemž nejvíce, 7,1 mld. Kč, to bylo v roce 2015. Ve zmíněných letech </w:t>
      </w:r>
      <w:r w:rsidR="00F329E2">
        <w:rPr>
          <w:rFonts w:ascii="Arial" w:hAnsi="Arial" w:cs="Arial"/>
          <w:sz w:val="20"/>
          <w:szCs w:val="20"/>
        </w:rPr>
        <w:lastRenderedPageBreak/>
        <w:t>byly výdaje na VaV</w:t>
      </w:r>
      <w:r w:rsidR="00F14EBF">
        <w:rPr>
          <w:rFonts w:ascii="Arial" w:hAnsi="Arial" w:cs="Arial"/>
          <w:sz w:val="20"/>
          <w:szCs w:val="20"/>
        </w:rPr>
        <w:t xml:space="preserve"> </w:t>
      </w:r>
      <w:r w:rsidR="00A94862">
        <w:rPr>
          <w:rFonts w:ascii="Arial" w:hAnsi="Arial" w:cs="Arial"/>
          <w:sz w:val="20"/>
          <w:szCs w:val="20"/>
        </w:rPr>
        <w:t xml:space="preserve">v Jihomoravském kraji </w:t>
      </w:r>
      <w:r w:rsidR="00F14EBF">
        <w:rPr>
          <w:rFonts w:ascii="Arial" w:hAnsi="Arial" w:cs="Arial"/>
          <w:sz w:val="20"/>
          <w:szCs w:val="20"/>
        </w:rPr>
        <w:t>přibližně na úrovni výdajů</w:t>
      </w:r>
      <w:r w:rsidR="00A94862">
        <w:rPr>
          <w:rFonts w:ascii="Arial" w:hAnsi="Arial" w:cs="Arial"/>
          <w:sz w:val="20"/>
          <w:szCs w:val="20"/>
        </w:rPr>
        <w:t xml:space="preserve"> na VaV</w:t>
      </w:r>
      <w:r w:rsidR="00F14EBF">
        <w:rPr>
          <w:rFonts w:ascii="Arial" w:hAnsi="Arial" w:cs="Arial"/>
          <w:sz w:val="20"/>
          <w:szCs w:val="20"/>
        </w:rPr>
        <w:t xml:space="preserve"> v Praze. Na dalších místech</w:t>
      </w:r>
      <w:r w:rsidR="00954DEC">
        <w:rPr>
          <w:rFonts w:ascii="Arial" w:hAnsi="Arial" w:cs="Arial"/>
          <w:sz w:val="20"/>
          <w:szCs w:val="20"/>
        </w:rPr>
        <w:t>,</w:t>
      </w:r>
      <w:r w:rsidR="00F14EBF">
        <w:rPr>
          <w:rFonts w:ascii="Arial" w:hAnsi="Arial" w:cs="Arial"/>
          <w:sz w:val="20"/>
          <w:szCs w:val="20"/>
        </w:rPr>
        <w:t xml:space="preserve"> s již velkým odstupem za první dvojicí</w:t>
      </w:r>
      <w:r w:rsidR="00954DEC">
        <w:rPr>
          <w:rFonts w:ascii="Arial" w:hAnsi="Arial" w:cs="Arial"/>
          <w:sz w:val="20"/>
          <w:szCs w:val="20"/>
        </w:rPr>
        <w:t>,</w:t>
      </w:r>
      <w:r w:rsidR="00F14EBF">
        <w:rPr>
          <w:rFonts w:ascii="Arial" w:hAnsi="Arial" w:cs="Arial"/>
          <w:sz w:val="20"/>
          <w:szCs w:val="20"/>
        </w:rPr>
        <w:t xml:space="preserve"> následují kraje, v nichž sídlí další velké české univerzity. Na třetím místě je Moravskoslezský kraj se 2 mld. Kč v roce 2019, následuje Olomoucký kraj s 1,8 mld. Kč a Plzeňský kraj s 1,2 mld. Kč v roce 2019. V</w:t>
      </w:r>
      <w:r w:rsidR="00A94862">
        <w:rPr>
          <w:rFonts w:ascii="Arial" w:hAnsi="Arial" w:cs="Arial"/>
          <w:sz w:val="20"/>
          <w:szCs w:val="20"/>
        </w:rPr>
        <w:t> žádném dalším kraji</w:t>
      </w:r>
      <w:r w:rsidR="00954DEC">
        <w:rPr>
          <w:rFonts w:ascii="Arial" w:hAnsi="Arial" w:cs="Arial"/>
          <w:sz w:val="20"/>
          <w:szCs w:val="20"/>
        </w:rPr>
        <w:t xml:space="preserve"> nesměřovalo</w:t>
      </w:r>
      <w:r w:rsidR="00F14EBF">
        <w:rPr>
          <w:rFonts w:ascii="Arial" w:hAnsi="Arial" w:cs="Arial"/>
          <w:sz w:val="20"/>
          <w:szCs w:val="20"/>
        </w:rPr>
        <w:t xml:space="preserve"> v roce 2019 </w:t>
      </w:r>
      <w:r w:rsidR="00954DEC">
        <w:rPr>
          <w:rFonts w:ascii="Arial" w:hAnsi="Arial" w:cs="Arial"/>
          <w:sz w:val="20"/>
          <w:szCs w:val="20"/>
        </w:rPr>
        <w:t>do</w:t>
      </w:r>
      <w:r w:rsidR="00F14E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4EBF">
        <w:rPr>
          <w:rFonts w:ascii="Arial" w:hAnsi="Arial" w:cs="Arial"/>
          <w:sz w:val="20"/>
          <w:szCs w:val="20"/>
        </w:rPr>
        <w:t>VaV</w:t>
      </w:r>
      <w:proofErr w:type="spellEnd"/>
      <w:r w:rsidR="00F14EBF">
        <w:rPr>
          <w:rFonts w:ascii="Arial" w:hAnsi="Arial" w:cs="Arial"/>
          <w:sz w:val="20"/>
          <w:szCs w:val="20"/>
        </w:rPr>
        <w:t xml:space="preserve"> </w:t>
      </w:r>
      <w:r w:rsidR="00A94862">
        <w:rPr>
          <w:rFonts w:ascii="Arial" w:hAnsi="Arial" w:cs="Arial"/>
          <w:sz w:val="20"/>
          <w:szCs w:val="20"/>
        </w:rPr>
        <w:t>ve vysokoškolském sektoru více</w:t>
      </w:r>
      <w:r w:rsidR="00F14EBF">
        <w:rPr>
          <w:rFonts w:ascii="Arial" w:hAnsi="Arial" w:cs="Arial"/>
          <w:sz w:val="20"/>
          <w:szCs w:val="20"/>
        </w:rPr>
        <w:t xml:space="preserve"> než 1 mld. Kč.</w:t>
      </w:r>
    </w:p>
    <w:p w14:paraId="345C756A" w14:textId="42E699BF" w:rsidR="00963004" w:rsidRDefault="00B8108F" w:rsidP="00746408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2155B">
        <w:rPr>
          <w:rFonts w:ascii="Arial" w:hAnsi="Arial" w:cs="Arial"/>
          <w:sz w:val="20"/>
          <w:szCs w:val="20"/>
        </w:rPr>
        <w:t xml:space="preserve">V celé EU se v roce 2019 vynaložilo na VaV ve vysokoškolském sektoru celkem 76 mld. EUR. </w:t>
      </w:r>
      <w:r w:rsidR="00F663BD">
        <w:rPr>
          <w:rFonts w:ascii="Arial" w:hAnsi="Arial" w:cs="Arial"/>
          <w:sz w:val="20"/>
          <w:szCs w:val="20"/>
        </w:rPr>
        <w:t xml:space="preserve">Ve srovnání s vládním sektorem se jedná </w:t>
      </w:r>
      <w:r w:rsidR="0052155B">
        <w:rPr>
          <w:rFonts w:ascii="Arial" w:hAnsi="Arial" w:cs="Arial"/>
          <w:sz w:val="20"/>
          <w:szCs w:val="20"/>
        </w:rPr>
        <w:t>o dvojnásobnou částku</w:t>
      </w:r>
      <w:r w:rsidR="00F663BD">
        <w:rPr>
          <w:rFonts w:ascii="Arial" w:hAnsi="Arial" w:cs="Arial"/>
          <w:sz w:val="20"/>
          <w:szCs w:val="20"/>
        </w:rPr>
        <w:t>.</w:t>
      </w:r>
      <w:r w:rsidR="0052155B">
        <w:rPr>
          <w:rFonts w:ascii="Arial" w:hAnsi="Arial" w:cs="Arial"/>
          <w:sz w:val="20"/>
          <w:szCs w:val="20"/>
        </w:rPr>
        <w:t xml:space="preserve"> Podíl vysokoškolského sektoru na celkových výdajích na VaV byl v EU 22 %</w:t>
      </w:r>
      <w:r w:rsidR="00F663BD">
        <w:rPr>
          <w:rFonts w:ascii="Arial" w:hAnsi="Arial" w:cs="Arial"/>
          <w:sz w:val="20"/>
          <w:szCs w:val="20"/>
        </w:rPr>
        <w:t>, což je stejný</w:t>
      </w:r>
      <w:r w:rsidR="0052155B">
        <w:rPr>
          <w:rFonts w:ascii="Arial" w:hAnsi="Arial" w:cs="Arial"/>
          <w:sz w:val="20"/>
          <w:szCs w:val="20"/>
        </w:rPr>
        <w:t xml:space="preserve"> podíl</w:t>
      </w:r>
      <w:r w:rsidR="007F35FA">
        <w:rPr>
          <w:rFonts w:ascii="Arial" w:hAnsi="Arial" w:cs="Arial"/>
          <w:sz w:val="20"/>
          <w:szCs w:val="20"/>
        </w:rPr>
        <w:t>,</w:t>
      </w:r>
      <w:r w:rsidR="0052155B">
        <w:rPr>
          <w:rFonts w:ascii="Arial" w:hAnsi="Arial" w:cs="Arial"/>
          <w:sz w:val="20"/>
          <w:szCs w:val="20"/>
        </w:rPr>
        <w:t xml:space="preserve"> </w:t>
      </w:r>
      <w:r w:rsidR="00F663BD">
        <w:rPr>
          <w:rFonts w:ascii="Arial" w:hAnsi="Arial" w:cs="Arial"/>
          <w:sz w:val="20"/>
          <w:szCs w:val="20"/>
        </w:rPr>
        <w:t xml:space="preserve">jaký </w:t>
      </w:r>
      <w:r w:rsidR="0052155B">
        <w:rPr>
          <w:rFonts w:ascii="Arial" w:hAnsi="Arial" w:cs="Arial"/>
          <w:sz w:val="20"/>
          <w:szCs w:val="20"/>
        </w:rPr>
        <w:t>zaujímá vysokoškolský sektor i v Česku. V Lotyšsku měl vysokoškolsk</w:t>
      </w:r>
      <w:r w:rsidR="00A94862">
        <w:rPr>
          <w:rFonts w:ascii="Arial" w:hAnsi="Arial" w:cs="Arial"/>
          <w:sz w:val="20"/>
          <w:szCs w:val="20"/>
        </w:rPr>
        <w:t>ý sektor v roce 2019 dokonce 55% podíl, v Portugalsku a na Kypru 40</w:t>
      </w:r>
      <w:r w:rsidR="0052155B">
        <w:rPr>
          <w:rFonts w:ascii="Arial" w:hAnsi="Arial" w:cs="Arial"/>
          <w:sz w:val="20"/>
          <w:szCs w:val="20"/>
        </w:rPr>
        <w:t>% podíl na celkových výdajích na VaV. Největší částka v celé EU se na vysokoškolský výzkum vynakládá</w:t>
      </w:r>
      <w:r w:rsidR="00F663BD">
        <w:rPr>
          <w:rFonts w:ascii="Arial" w:hAnsi="Arial" w:cs="Arial"/>
          <w:sz w:val="20"/>
          <w:szCs w:val="20"/>
        </w:rPr>
        <w:t xml:space="preserve"> opět</w:t>
      </w:r>
      <w:r w:rsidR="0052155B">
        <w:rPr>
          <w:rFonts w:ascii="Arial" w:hAnsi="Arial" w:cs="Arial"/>
          <w:sz w:val="20"/>
          <w:szCs w:val="20"/>
        </w:rPr>
        <w:t xml:space="preserve"> v Německu, v roce 2019 to bylo 19 mld. Eur. Za Německem následovaly Francie s</w:t>
      </w:r>
      <w:r w:rsidR="00D4262D">
        <w:rPr>
          <w:rFonts w:ascii="Arial" w:hAnsi="Arial" w:cs="Arial"/>
          <w:sz w:val="20"/>
          <w:szCs w:val="20"/>
        </w:rPr>
        <w:t> </w:t>
      </w:r>
      <w:r w:rsidR="0052155B">
        <w:rPr>
          <w:rFonts w:ascii="Arial" w:hAnsi="Arial" w:cs="Arial"/>
          <w:sz w:val="20"/>
          <w:szCs w:val="20"/>
        </w:rPr>
        <w:t>11</w:t>
      </w:r>
      <w:r w:rsidR="00D4262D">
        <w:rPr>
          <w:rFonts w:ascii="Arial" w:hAnsi="Arial" w:cs="Arial"/>
          <w:sz w:val="20"/>
          <w:szCs w:val="20"/>
        </w:rPr>
        <w:t xml:space="preserve"> mld. Eur</w:t>
      </w:r>
      <w:r w:rsidR="0052155B">
        <w:rPr>
          <w:rFonts w:ascii="Arial" w:hAnsi="Arial" w:cs="Arial"/>
          <w:sz w:val="20"/>
          <w:szCs w:val="20"/>
        </w:rPr>
        <w:t xml:space="preserve"> a Velká Británie s 10 mld. Eur. Celkem se v těchto třech státech vynaložilo na vysokoškolský výzkum 40 mld. Eur, více než 50 % celé EU.</w:t>
      </w:r>
      <w:r w:rsidR="0009738A">
        <w:rPr>
          <w:rFonts w:ascii="Arial" w:hAnsi="Arial" w:cs="Arial"/>
          <w:sz w:val="20"/>
          <w:szCs w:val="20"/>
        </w:rPr>
        <w:t xml:space="preserve"> V Česku se vynaložila necelá 1 mld. Eur, což </w:t>
      </w:r>
      <w:r w:rsidR="00D4262D">
        <w:rPr>
          <w:rFonts w:ascii="Arial" w:hAnsi="Arial" w:cs="Arial"/>
          <w:sz w:val="20"/>
          <w:szCs w:val="20"/>
        </w:rPr>
        <w:t>znamenalo</w:t>
      </w:r>
      <w:r w:rsidR="0009738A">
        <w:rPr>
          <w:rFonts w:ascii="Arial" w:hAnsi="Arial" w:cs="Arial"/>
          <w:sz w:val="20"/>
          <w:szCs w:val="20"/>
        </w:rPr>
        <w:t xml:space="preserve"> 14. místo v pořadí států EU</w:t>
      </w:r>
      <w:r w:rsidR="00AA6585">
        <w:rPr>
          <w:rFonts w:ascii="Arial" w:hAnsi="Arial" w:cs="Arial"/>
          <w:sz w:val="20"/>
          <w:szCs w:val="20"/>
        </w:rPr>
        <w:t xml:space="preserve"> a tvořilo 1,2 % celkov</w:t>
      </w:r>
      <w:r w:rsidR="00D4262D">
        <w:rPr>
          <w:rFonts w:ascii="Arial" w:hAnsi="Arial" w:cs="Arial"/>
          <w:sz w:val="20"/>
          <w:szCs w:val="20"/>
        </w:rPr>
        <w:t xml:space="preserve">ých výdajů na VaV </w:t>
      </w:r>
      <w:r w:rsidR="00AA6585">
        <w:rPr>
          <w:rFonts w:ascii="Arial" w:hAnsi="Arial" w:cs="Arial"/>
          <w:sz w:val="20"/>
          <w:szCs w:val="20"/>
        </w:rPr>
        <w:t>v</w:t>
      </w:r>
      <w:r w:rsidR="00D4262D">
        <w:rPr>
          <w:rFonts w:ascii="Arial" w:hAnsi="Arial" w:cs="Arial"/>
          <w:sz w:val="20"/>
          <w:szCs w:val="20"/>
        </w:rPr>
        <w:t>e vysokoškolském sektoru v</w:t>
      </w:r>
      <w:r w:rsidR="00AA6585">
        <w:rPr>
          <w:rFonts w:ascii="Arial" w:hAnsi="Arial" w:cs="Arial"/>
          <w:sz w:val="20"/>
          <w:szCs w:val="20"/>
        </w:rPr>
        <w:t xml:space="preserve"> EU. </w:t>
      </w:r>
      <w:r w:rsidR="00D4262D">
        <w:rPr>
          <w:rFonts w:ascii="Arial" w:hAnsi="Arial" w:cs="Arial"/>
          <w:sz w:val="20"/>
          <w:szCs w:val="20"/>
        </w:rPr>
        <w:t xml:space="preserve">Průměr EU v roce 2019 v podílu </w:t>
      </w:r>
      <w:r w:rsidR="00AA6585">
        <w:rPr>
          <w:rFonts w:ascii="Arial" w:hAnsi="Arial" w:cs="Arial"/>
          <w:sz w:val="20"/>
          <w:szCs w:val="20"/>
        </w:rPr>
        <w:t xml:space="preserve">výdajů na VaV ve vysokoškolském sektoru na HDP </w:t>
      </w:r>
      <w:r w:rsidR="00D4262D">
        <w:rPr>
          <w:rFonts w:ascii="Arial" w:hAnsi="Arial" w:cs="Arial"/>
          <w:sz w:val="20"/>
          <w:szCs w:val="20"/>
        </w:rPr>
        <w:t xml:space="preserve">byl </w:t>
      </w:r>
      <w:r w:rsidR="00AA6585">
        <w:rPr>
          <w:rFonts w:ascii="Arial" w:hAnsi="Arial" w:cs="Arial"/>
          <w:sz w:val="20"/>
          <w:szCs w:val="20"/>
        </w:rPr>
        <w:t xml:space="preserve">0,46 %. Česko bylo s 0,42 % HDP pod průměrem EU na 12. místě. V tomto ukazateli jsme byli dokonce o jedno místo před </w:t>
      </w:r>
      <w:r w:rsidR="002D2035">
        <w:rPr>
          <w:rFonts w:ascii="Arial" w:hAnsi="Arial" w:cs="Arial"/>
          <w:sz w:val="20"/>
          <w:szCs w:val="20"/>
        </w:rPr>
        <w:t xml:space="preserve">Velkou Británií s 0,41 %. </w:t>
      </w:r>
      <w:r w:rsidR="00245D17">
        <w:rPr>
          <w:rFonts w:ascii="Arial" w:hAnsi="Arial" w:cs="Arial"/>
          <w:sz w:val="20"/>
          <w:szCs w:val="20"/>
        </w:rPr>
        <w:t>Jednoznačně n</w:t>
      </w:r>
      <w:r w:rsidR="009343A4">
        <w:rPr>
          <w:rFonts w:ascii="Arial" w:hAnsi="Arial" w:cs="Arial"/>
          <w:sz w:val="20"/>
          <w:szCs w:val="20"/>
        </w:rPr>
        <w:t xml:space="preserve">ejvyšší </w:t>
      </w:r>
      <w:r w:rsidR="00245D17">
        <w:rPr>
          <w:rFonts w:ascii="Arial" w:hAnsi="Arial" w:cs="Arial"/>
          <w:sz w:val="20"/>
          <w:szCs w:val="20"/>
        </w:rPr>
        <w:t>podíl je v Dánsku s 1</w:t>
      </w:r>
      <w:r w:rsidR="00954DEC">
        <w:rPr>
          <w:rFonts w:ascii="Arial" w:hAnsi="Arial" w:cs="Arial"/>
          <w:sz w:val="20"/>
          <w:szCs w:val="20"/>
        </w:rPr>
        <w:t> </w:t>
      </w:r>
      <w:r w:rsidR="00245D17">
        <w:rPr>
          <w:rFonts w:ascii="Arial" w:hAnsi="Arial" w:cs="Arial"/>
          <w:sz w:val="20"/>
          <w:szCs w:val="20"/>
        </w:rPr>
        <w:t xml:space="preserve">%, následuje Švédsko (0,79 %), Rakousko (0,72 %) a Finsko (0,71 %). </w:t>
      </w:r>
    </w:p>
    <w:p w14:paraId="457C7560" w14:textId="0DB53D88" w:rsidR="002968AB" w:rsidRDefault="000278F5" w:rsidP="002968AB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vysokoškolském sektoru </w:t>
      </w:r>
      <w:r w:rsidR="00D4262D">
        <w:rPr>
          <w:rFonts w:ascii="Arial" w:hAnsi="Arial" w:cs="Arial"/>
          <w:sz w:val="20"/>
          <w:szCs w:val="20"/>
        </w:rPr>
        <w:t xml:space="preserve">v Česku </w:t>
      </w:r>
      <w:r w:rsidR="008268F8">
        <w:rPr>
          <w:rFonts w:ascii="Arial" w:hAnsi="Arial" w:cs="Arial"/>
          <w:sz w:val="20"/>
          <w:szCs w:val="20"/>
        </w:rPr>
        <w:t>pracovalo</w:t>
      </w:r>
      <w:r w:rsidR="00D4262D">
        <w:rPr>
          <w:rFonts w:ascii="Arial" w:hAnsi="Arial" w:cs="Arial"/>
          <w:sz w:val="20"/>
          <w:szCs w:val="20"/>
        </w:rPr>
        <w:t xml:space="preserve"> </w:t>
      </w:r>
      <w:r w:rsidR="008268F8">
        <w:rPr>
          <w:rFonts w:ascii="Arial" w:hAnsi="Arial" w:cs="Arial"/>
          <w:sz w:val="20"/>
          <w:szCs w:val="20"/>
        </w:rPr>
        <w:t>v roce 2019 celkem 37,4 tis. osob (HC). Přepočtených osob (FTE) bylo v témže r</w:t>
      </w:r>
      <w:r w:rsidR="00D4262D">
        <w:rPr>
          <w:rFonts w:ascii="Arial" w:hAnsi="Arial" w:cs="Arial"/>
          <w:sz w:val="20"/>
          <w:szCs w:val="20"/>
        </w:rPr>
        <w:t>oce celkem 19,6 tis</w:t>
      </w:r>
      <w:r w:rsidR="008C41CD">
        <w:rPr>
          <w:rFonts w:ascii="Arial" w:hAnsi="Arial" w:cs="Arial"/>
          <w:sz w:val="20"/>
          <w:szCs w:val="20"/>
        </w:rPr>
        <w:t>íc</w:t>
      </w:r>
      <w:r w:rsidR="00D4262D">
        <w:rPr>
          <w:rFonts w:ascii="Arial" w:hAnsi="Arial" w:cs="Arial"/>
          <w:sz w:val="20"/>
          <w:szCs w:val="20"/>
        </w:rPr>
        <w:t>. Pro vysokoškolský</w:t>
      </w:r>
      <w:r w:rsidR="008268F8">
        <w:rPr>
          <w:rFonts w:ascii="Arial" w:hAnsi="Arial" w:cs="Arial"/>
          <w:sz w:val="20"/>
          <w:szCs w:val="20"/>
        </w:rPr>
        <w:t xml:space="preserve"> sektor je charakteristický nižší podíl přepočtených osob na fyzických osobách, který je způsoben tím, že pracovníci na vysokých školách se většinou věnují VaV jen část své pracovní doby a zároveň mnozí nejsou zaměstnáni na plný pracovní úvazek. Podíl žen (FTE) se dlouhodobě pohybuje okolo </w:t>
      </w:r>
      <w:r w:rsidR="008C41CD">
        <w:rPr>
          <w:rFonts w:ascii="Arial" w:hAnsi="Arial" w:cs="Arial"/>
          <w:sz w:val="20"/>
          <w:szCs w:val="20"/>
        </w:rPr>
        <w:t>40 </w:t>
      </w:r>
      <w:r w:rsidR="008268F8">
        <w:rPr>
          <w:rFonts w:ascii="Arial" w:hAnsi="Arial" w:cs="Arial"/>
          <w:sz w:val="20"/>
          <w:szCs w:val="20"/>
        </w:rPr>
        <w:t>%. Je tak nižší než ve vládním sektoru. Nepřekvapí, že velkou většinu pracovníků VaV nalezneme ve veřejných a státních vysokých školách. V roce 2019 se jednalo o 18,4 tis. osob (FTE) a tvořily 94 % pracovníků VaV vysokoškolského sektoru.</w:t>
      </w:r>
    </w:p>
    <w:p w14:paraId="30F12A4F" w14:textId="0AC90507" w:rsidR="008268F8" w:rsidRDefault="008268F8" w:rsidP="002968AB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Přibližně 2/3 pracovníků VaV na vysokých školách jsou výzkumníci. V roce 2019 se jednalo o 12,7 tis. osob</w:t>
      </w:r>
      <w:r w:rsidR="009105DD">
        <w:rPr>
          <w:rFonts w:ascii="Arial" w:hAnsi="Arial" w:cs="Arial"/>
          <w:sz w:val="20"/>
          <w:szCs w:val="20"/>
        </w:rPr>
        <w:t xml:space="preserve"> (FTE)</w:t>
      </w:r>
      <w:r>
        <w:rPr>
          <w:rFonts w:ascii="Arial" w:hAnsi="Arial" w:cs="Arial"/>
          <w:sz w:val="20"/>
          <w:szCs w:val="20"/>
        </w:rPr>
        <w:t xml:space="preserve">. </w:t>
      </w:r>
      <w:r w:rsidR="009603A6">
        <w:rPr>
          <w:rFonts w:ascii="Arial" w:hAnsi="Arial" w:cs="Arial"/>
          <w:sz w:val="20"/>
          <w:szCs w:val="20"/>
        </w:rPr>
        <w:t>Nejvíce vysokoškolských výzkumníků (FTE) působilo v roce 2019 v technických (3,8 tis. osob; 30 %</w:t>
      </w:r>
      <w:r w:rsidR="009105DD">
        <w:rPr>
          <w:rFonts w:ascii="Arial" w:hAnsi="Arial" w:cs="Arial"/>
          <w:sz w:val="20"/>
          <w:szCs w:val="20"/>
        </w:rPr>
        <w:t xml:space="preserve"> vysokoškolského sektoru</w:t>
      </w:r>
      <w:r w:rsidR="009603A6">
        <w:rPr>
          <w:rFonts w:ascii="Arial" w:hAnsi="Arial" w:cs="Arial"/>
          <w:sz w:val="20"/>
          <w:szCs w:val="20"/>
        </w:rPr>
        <w:t>) a přírodních vědách (3,5 tis. osob; 27 %</w:t>
      </w:r>
      <w:r w:rsidR="009105DD">
        <w:rPr>
          <w:rFonts w:ascii="Arial" w:hAnsi="Arial" w:cs="Arial"/>
          <w:sz w:val="20"/>
          <w:szCs w:val="20"/>
        </w:rPr>
        <w:t xml:space="preserve"> vysokoškolského sektoru</w:t>
      </w:r>
      <w:r w:rsidR="009603A6">
        <w:rPr>
          <w:rFonts w:ascii="Arial" w:hAnsi="Arial" w:cs="Arial"/>
          <w:sz w:val="20"/>
          <w:szCs w:val="20"/>
        </w:rPr>
        <w:t xml:space="preserve">). S výraznějším odstupem následovali výzkumníci v lékařských (1,9 tis. osob; </w:t>
      </w:r>
      <w:proofErr w:type="gramStart"/>
      <w:r w:rsidR="009603A6">
        <w:rPr>
          <w:rFonts w:ascii="Arial" w:hAnsi="Arial" w:cs="Arial"/>
          <w:sz w:val="20"/>
          <w:szCs w:val="20"/>
        </w:rPr>
        <w:t>15%</w:t>
      </w:r>
      <w:proofErr w:type="gramEnd"/>
      <w:r w:rsidR="009105DD">
        <w:rPr>
          <w:rFonts w:ascii="Arial" w:hAnsi="Arial" w:cs="Arial"/>
          <w:sz w:val="20"/>
          <w:szCs w:val="20"/>
        </w:rPr>
        <w:t xml:space="preserve"> vysokoškolského sektoru</w:t>
      </w:r>
      <w:r w:rsidR="009603A6">
        <w:rPr>
          <w:rFonts w:ascii="Arial" w:hAnsi="Arial" w:cs="Arial"/>
          <w:sz w:val="20"/>
          <w:szCs w:val="20"/>
        </w:rPr>
        <w:t>), sociálních (1,6 tis. osob; 13 %</w:t>
      </w:r>
      <w:r w:rsidR="009105DD">
        <w:rPr>
          <w:rFonts w:ascii="Arial" w:hAnsi="Arial" w:cs="Arial"/>
          <w:sz w:val="20"/>
          <w:szCs w:val="20"/>
        </w:rPr>
        <w:t xml:space="preserve"> vysokoškolského sektoru</w:t>
      </w:r>
      <w:r w:rsidR="009603A6">
        <w:rPr>
          <w:rFonts w:ascii="Arial" w:hAnsi="Arial" w:cs="Arial"/>
          <w:sz w:val="20"/>
          <w:szCs w:val="20"/>
        </w:rPr>
        <w:t>), humanitních (1,2 tis. osob; 10 %</w:t>
      </w:r>
      <w:r w:rsidR="009105DD">
        <w:rPr>
          <w:rFonts w:ascii="Arial" w:hAnsi="Arial" w:cs="Arial"/>
          <w:sz w:val="20"/>
          <w:szCs w:val="20"/>
        </w:rPr>
        <w:t xml:space="preserve"> vysokoškolského sektoru</w:t>
      </w:r>
      <w:r w:rsidR="009603A6">
        <w:rPr>
          <w:rFonts w:ascii="Arial" w:hAnsi="Arial" w:cs="Arial"/>
          <w:sz w:val="20"/>
          <w:szCs w:val="20"/>
        </w:rPr>
        <w:t>) a zemědělských vědách (0,7 tis. osob; 5 %</w:t>
      </w:r>
      <w:r w:rsidR="009105DD">
        <w:rPr>
          <w:rFonts w:ascii="Arial" w:hAnsi="Arial" w:cs="Arial"/>
          <w:sz w:val="20"/>
          <w:szCs w:val="20"/>
        </w:rPr>
        <w:t xml:space="preserve"> vysokoškolského sektoru</w:t>
      </w:r>
      <w:r w:rsidR="009603A6">
        <w:rPr>
          <w:rFonts w:ascii="Arial" w:hAnsi="Arial" w:cs="Arial"/>
          <w:sz w:val="20"/>
          <w:szCs w:val="20"/>
        </w:rPr>
        <w:t>).</w:t>
      </w:r>
    </w:p>
    <w:p w14:paraId="2C06DCAF" w14:textId="43EBDE02" w:rsidR="00D4262D" w:rsidRDefault="00DA1CE7" w:rsidP="00D4262D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vysokoškolském sektoru pracovalo v roce 2019 celkem 2 932 zahraničních výzkumníků (HC). Na celkovém počtu vysokoškolských výzkumníků se podíleli z 11 %. Nejvíce zahraničních výzkumníků bylo ze Slovenska. Jednalo se o 1 246 os</w:t>
      </w:r>
      <w:r w:rsidR="003866CA">
        <w:rPr>
          <w:rFonts w:ascii="Arial" w:hAnsi="Arial" w:cs="Arial"/>
          <w:sz w:val="20"/>
          <w:szCs w:val="20"/>
        </w:rPr>
        <w:t>ob, které tvořily</w:t>
      </w:r>
      <w:r>
        <w:rPr>
          <w:rFonts w:ascii="Arial" w:hAnsi="Arial" w:cs="Arial"/>
          <w:sz w:val="20"/>
          <w:szCs w:val="20"/>
        </w:rPr>
        <w:t xml:space="preserve"> 42 % výzkumníků vysokoškolského sektor</w:t>
      </w:r>
      <w:r w:rsidR="003866CA">
        <w:rPr>
          <w:rFonts w:ascii="Arial" w:hAnsi="Arial" w:cs="Arial"/>
          <w:sz w:val="20"/>
          <w:szCs w:val="20"/>
        </w:rPr>
        <w:t>u. S velkým odstupem následovaly</w:t>
      </w:r>
      <w:r>
        <w:rPr>
          <w:rFonts w:ascii="Arial" w:hAnsi="Arial" w:cs="Arial"/>
          <w:sz w:val="20"/>
          <w:szCs w:val="20"/>
        </w:rPr>
        <w:t xml:space="preserve"> státy, ze kterých </w:t>
      </w:r>
      <w:r w:rsidR="003866CA">
        <w:rPr>
          <w:rFonts w:ascii="Arial" w:hAnsi="Arial" w:cs="Arial"/>
          <w:sz w:val="20"/>
          <w:szCs w:val="20"/>
        </w:rPr>
        <w:t>pocházelo</w:t>
      </w:r>
      <w:r>
        <w:rPr>
          <w:rFonts w:ascii="Arial" w:hAnsi="Arial" w:cs="Arial"/>
          <w:sz w:val="20"/>
          <w:szCs w:val="20"/>
        </w:rPr>
        <w:t xml:space="preserve"> </w:t>
      </w:r>
      <w:r w:rsidR="003866CA">
        <w:rPr>
          <w:rFonts w:ascii="Arial" w:hAnsi="Arial" w:cs="Arial"/>
          <w:sz w:val="20"/>
          <w:szCs w:val="20"/>
        </w:rPr>
        <w:t xml:space="preserve">již jen </w:t>
      </w:r>
      <w:r w:rsidR="002563E6">
        <w:rPr>
          <w:rFonts w:ascii="Arial" w:hAnsi="Arial" w:cs="Arial"/>
          <w:sz w:val="20"/>
          <w:szCs w:val="20"/>
        </w:rPr>
        <w:t xml:space="preserve">něco málo </w:t>
      </w:r>
      <w:r>
        <w:rPr>
          <w:rFonts w:ascii="Arial" w:hAnsi="Arial" w:cs="Arial"/>
          <w:sz w:val="20"/>
          <w:szCs w:val="20"/>
        </w:rPr>
        <w:t xml:space="preserve">přes 100 výzkumníků. Z Indie bylo 146 osob, </w:t>
      </w:r>
      <w:r w:rsidR="002968AB">
        <w:rPr>
          <w:rFonts w:ascii="Arial" w:hAnsi="Arial" w:cs="Arial"/>
          <w:sz w:val="20"/>
          <w:szCs w:val="20"/>
        </w:rPr>
        <w:t>z Ukrajiny 143, z Ruska 135, z Itálie 117 a z Německa 107. Celkem ve vysokoškolském sektoru pra</w:t>
      </w:r>
      <w:r w:rsidR="00333AD8">
        <w:rPr>
          <w:rFonts w:ascii="Arial" w:hAnsi="Arial" w:cs="Arial"/>
          <w:sz w:val="20"/>
          <w:szCs w:val="20"/>
        </w:rPr>
        <w:t>covali výzkumníci z</w:t>
      </w:r>
      <w:r w:rsidR="002968AB">
        <w:rPr>
          <w:rFonts w:ascii="Arial" w:hAnsi="Arial" w:cs="Arial"/>
          <w:sz w:val="20"/>
          <w:szCs w:val="20"/>
        </w:rPr>
        <w:t xml:space="preserve"> 97 </w:t>
      </w:r>
      <w:r w:rsidR="00A6338D">
        <w:rPr>
          <w:rFonts w:ascii="Arial" w:hAnsi="Arial" w:cs="Arial"/>
          <w:sz w:val="20"/>
          <w:szCs w:val="20"/>
        </w:rPr>
        <w:t>států světa</w:t>
      </w:r>
      <w:r w:rsidR="002968AB">
        <w:rPr>
          <w:rFonts w:ascii="Arial" w:hAnsi="Arial" w:cs="Arial"/>
          <w:sz w:val="20"/>
          <w:szCs w:val="20"/>
        </w:rPr>
        <w:t>. Ženy tvořily mezi zahraničními výzkumníky</w:t>
      </w:r>
      <w:r w:rsidR="00A6338D">
        <w:rPr>
          <w:rFonts w:ascii="Arial" w:hAnsi="Arial" w:cs="Arial"/>
          <w:sz w:val="20"/>
          <w:szCs w:val="20"/>
        </w:rPr>
        <w:t xml:space="preserve"> vysokoškolského sektoru</w:t>
      </w:r>
      <w:r w:rsidR="002968AB">
        <w:rPr>
          <w:rFonts w:ascii="Arial" w:hAnsi="Arial" w:cs="Arial"/>
          <w:sz w:val="20"/>
          <w:szCs w:val="20"/>
        </w:rPr>
        <w:t xml:space="preserve"> 39 %.   </w:t>
      </w:r>
    </w:p>
    <w:sectPr w:rsidR="00D4262D" w:rsidSect="00456552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9E5"/>
    <w:rsid w:val="00000B2F"/>
    <w:rsid w:val="00002C31"/>
    <w:rsid w:val="000130FC"/>
    <w:rsid w:val="00013DD7"/>
    <w:rsid w:val="00014476"/>
    <w:rsid w:val="00016348"/>
    <w:rsid w:val="000165CB"/>
    <w:rsid w:val="00016DBC"/>
    <w:rsid w:val="000170CA"/>
    <w:rsid w:val="00020B74"/>
    <w:rsid w:val="00020F15"/>
    <w:rsid w:val="000212E5"/>
    <w:rsid w:val="00023B33"/>
    <w:rsid w:val="000278F5"/>
    <w:rsid w:val="00031A92"/>
    <w:rsid w:val="00033AAE"/>
    <w:rsid w:val="000352AF"/>
    <w:rsid w:val="00035A5C"/>
    <w:rsid w:val="00043FA4"/>
    <w:rsid w:val="000467E4"/>
    <w:rsid w:val="0005449D"/>
    <w:rsid w:val="00063BDD"/>
    <w:rsid w:val="000642EA"/>
    <w:rsid w:val="00074173"/>
    <w:rsid w:val="00075B10"/>
    <w:rsid w:val="00084361"/>
    <w:rsid w:val="000860AE"/>
    <w:rsid w:val="00086C99"/>
    <w:rsid w:val="00091ED7"/>
    <w:rsid w:val="0009738A"/>
    <w:rsid w:val="000A0CDB"/>
    <w:rsid w:val="000A1146"/>
    <w:rsid w:val="000A3E61"/>
    <w:rsid w:val="000A4B8F"/>
    <w:rsid w:val="000A4DF3"/>
    <w:rsid w:val="000A58B7"/>
    <w:rsid w:val="000B0076"/>
    <w:rsid w:val="000B4812"/>
    <w:rsid w:val="000C23A6"/>
    <w:rsid w:val="000C3548"/>
    <w:rsid w:val="000C58F7"/>
    <w:rsid w:val="000C68D4"/>
    <w:rsid w:val="000D156A"/>
    <w:rsid w:val="000D15B6"/>
    <w:rsid w:val="000D1F72"/>
    <w:rsid w:val="000D2581"/>
    <w:rsid w:val="000D3254"/>
    <w:rsid w:val="000D62BD"/>
    <w:rsid w:val="000D77E5"/>
    <w:rsid w:val="000E04FB"/>
    <w:rsid w:val="000E2FD1"/>
    <w:rsid w:val="000E4309"/>
    <w:rsid w:val="000E70A6"/>
    <w:rsid w:val="000F4385"/>
    <w:rsid w:val="000F62ED"/>
    <w:rsid w:val="000F764C"/>
    <w:rsid w:val="0010180C"/>
    <w:rsid w:val="001072ED"/>
    <w:rsid w:val="00113178"/>
    <w:rsid w:val="00130E2E"/>
    <w:rsid w:val="00144E8B"/>
    <w:rsid w:val="00154648"/>
    <w:rsid w:val="001672B2"/>
    <w:rsid w:val="00167AF5"/>
    <w:rsid w:val="00173B82"/>
    <w:rsid w:val="001808D6"/>
    <w:rsid w:val="00183555"/>
    <w:rsid w:val="001908C9"/>
    <w:rsid w:val="001910E1"/>
    <w:rsid w:val="00192FAE"/>
    <w:rsid w:val="0019672D"/>
    <w:rsid w:val="001968E6"/>
    <w:rsid w:val="001A26B3"/>
    <w:rsid w:val="001A28EE"/>
    <w:rsid w:val="001A3EDD"/>
    <w:rsid w:val="001A4BD3"/>
    <w:rsid w:val="001B4658"/>
    <w:rsid w:val="001C3F76"/>
    <w:rsid w:val="001C5497"/>
    <w:rsid w:val="001D01CF"/>
    <w:rsid w:val="001D06BF"/>
    <w:rsid w:val="001D1DD8"/>
    <w:rsid w:val="001D4DB3"/>
    <w:rsid w:val="001D53CA"/>
    <w:rsid w:val="001D618F"/>
    <w:rsid w:val="001D690A"/>
    <w:rsid w:val="001F246F"/>
    <w:rsid w:val="001F5ED0"/>
    <w:rsid w:val="00200398"/>
    <w:rsid w:val="0020261D"/>
    <w:rsid w:val="00207CE1"/>
    <w:rsid w:val="002102BE"/>
    <w:rsid w:val="0021255B"/>
    <w:rsid w:val="00212869"/>
    <w:rsid w:val="002138B8"/>
    <w:rsid w:val="00215294"/>
    <w:rsid w:val="002222C9"/>
    <w:rsid w:val="002244AA"/>
    <w:rsid w:val="0022649E"/>
    <w:rsid w:val="002304B6"/>
    <w:rsid w:val="00235ADC"/>
    <w:rsid w:val="00243F9E"/>
    <w:rsid w:val="00244017"/>
    <w:rsid w:val="00245D17"/>
    <w:rsid w:val="0024616B"/>
    <w:rsid w:val="00247707"/>
    <w:rsid w:val="00251933"/>
    <w:rsid w:val="00252899"/>
    <w:rsid w:val="002563E6"/>
    <w:rsid w:val="00257C9B"/>
    <w:rsid w:val="00266EAB"/>
    <w:rsid w:val="00266FC7"/>
    <w:rsid w:val="002670AD"/>
    <w:rsid w:val="002708C5"/>
    <w:rsid w:val="00271E4D"/>
    <w:rsid w:val="00274226"/>
    <w:rsid w:val="00275189"/>
    <w:rsid w:val="00275F9B"/>
    <w:rsid w:val="002764A8"/>
    <w:rsid w:val="00281DAB"/>
    <w:rsid w:val="002853D6"/>
    <w:rsid w:val="0028617E"/>
    <w:rsid w:val="00290D97"/>
    <w:rsid w:val="002968AB"/>
    <w:rsid w:val="00297CD3"/>
    <w:rsid w:val="002A10F5"/>
    <w:rsid w:val="002A2C21"/>
    <w:rsid w:val="002A5BB5"/>
    <w:rsid w:val="002B1288"/>
    <w:rsid w:val="002B6362"/>
    <w:rsid w:val="002C17C9"/>
    <w:rsid w:val="002C3C6D"/>
    <w:rsid w:val="002C3DA2"/>
    <w:rsid w:val="002D2035"/>
    <w:rsid w:val="002D322A"/>
    <w:rsid w:val="002D72F8"/>
    <w:rsid w:val="002E4BDB"/>
    <w:rsid w:val="002E5197"/>
    <w:rsid w:val="002E5407"/>
    <w:rsid w:val="002E5BD7"/>
    <w:rsid w:val="002F215A"/>
    <w:rsid w:val="00302E57"/>
    <w:rsid w:val="00305BD7"/>
    <w:rsid w:val="003115C7"/>
    <w:rsid w:val="003146F0"/>
    <w:rsid w:val="00316617"/>
    <w:rsid w:val="0031734F"/>
    <w:rsid w:val="00320705"/>
    <w:rsid w:val="003218DA"/>
    <w:rsid w:val="00323136"/>
    <w:rsid w:val="00325859"/>
    <w:rsid w:val="00330D20"/>
    <w:rsid w:val="00333AD8"/>
    <w:rsid w:val="00335AB6"/>
    <w:rsid w:val="0034242F"/>
    <w:rsid w:val="00344458"/>
    <w:rsid w:val="0034458E"/>
    <w:rsid w:val="00345C9D"/>
    <w:rsid w:val="00345F14"/>
    <w:rsid w:val="00350D54"/>
    <w:rsid w:val="003526D6"/>
    <w:rsid w:val="003540AA"/>
    <w:rsid w:val="00355925"/>
    <w:rsid w:val="003579D3"/>
    <w:rsid w:val="0036199C"/>
    <w:rsid w:val="00362222"/>
    <w:rsid w:val="003638D1"/>
    <w:rsid w:val="00363FFE"/>
    <w:rsid w:val="00364975"/>
    <w:rsid w:val="003709DA"/>
    <w:rsid w:val="00370D57"/>
    <w:rsid w:val="003729E6"/>
    <w:rsid w:val="00377888"/>
    <w:rsid w:val="00377EED"/>
    <w:rsid w:val="00377F18"/>
    <w:rsid w:val="0038013E"/>
    <w:rsid w:val="00380CE0"/>
    <w:rsid w:val="00384615"/>
    <w:rsid w:val="003866CA"/>
    <w:rsid w:val="00386C72"/>
    <w:rsid w:val="00391925"/>
    <w:rsid w:val="003957A1"/>
    <w:rsid w:val="003A2982"/>
    <w:rsid w:val="003A646A"/>
    <w:rsid w:val="003B0B56"/>
    <w:rsid w:val="003B1373"/>
    <w:rsid w:val="003B6E79"/>
    <w:rsid w:val="003C2CFD"/>
    <w:rsid w:val="003C4712"/>
    <w:rsid w:val="003C4F0E"/>
    <w:rsid w:val="003D1EC0"/>
    <w:rsid w:val="003D363A"/>
    <w:rsid w:val="003D37EB"/>
    <w:rsid w:val="003D60EF"/>
    <w:rsid w:val="003D7888"/>
    <w:rsid w:val="003E3D18"/>
    <w:rsid w:val="003F15E5"/>
    <w:rsid w:val="003F2220"/>
    <w:rsid w:val="003F283F"/>
    <w:rsid w:val="004004D2"/>
    <w:rsid w:val="004019D8"/>
    <w:rsid w:val="00405739"/>
    <w:rsid w:val="0041627E"/>
    <w:rsid w:val="00417FA4"/>
    <w:rsid w:val="004262D9"/>
    <w:rsid w:val="00431726"/>
    <w:rsid w:val="004410EE"/>
    <w:rsid w:val="0044621F"/>
    <w:rsid w:val="00452ED0"/>
    <w:rsid w:val="004549AD"/>
    <w:rsid w:val="00456552"/>
    <w:rsid w:val="00461F39"/>
    <w:rsid w:val="004626F7"/>
    <w:rsid w:val="004664D5"/>
    <w:rsid w:val="00466903"/>
    <w:rsid w:val="00466FF4"/>
    <w:rsid w:val="00476C41"/>
    <w:rsid w:val="00480ECE"/>
    <w:rsid w:val="00482BB3"/>
    <w:rsid w:val="00485123"/>
    <w:rsid w:val="00486978"/>
    <w:rsid w:val="004912E1"/>
    <w:rsid w:val="00493158"/>
    <w:rsid w:val="004970EE"/>
    <w:rsid w:val="00497532"/>
    <w:rsid w:val="004979E5"/>
    <w:rsid w:val="004A1886"/>
    <w:rsid w:val="004A24DE"/>
    <w:rsid w:val="004A402C"/>
    <w:rsid w:val="004A6732"/>
    <w:rsid w:val="004A6CF1"/>
    <w:rsid w:val="004B5336"/>
    <w:rsid w:val="004C08E5"/>
    <w:rsid w:val="004C7EB8"/>
    <w:rsid w:val="004D619F"/>
    <w:rsid w:val="004E6B0A"/>
    <w:rsid w:val="004F4C11"/>
    <w:rsid w:val="004F52A9"/>
    <w:rsid w:val="004F6E50"/>
    <w:rsid w:val="00502413"/>
    <w:rsid w:val="00507FC4"/>
    <w:rsid w:val="00511F15"/>
    <w:rsid w:val="00516399"/>
    <w:rsid w:val="00521228"/>
    <w:rsid w:val="0052155B"/>
    <w:rsid w:val="00522AE4"/>
    <w:rsid w:val="0053456A"/>
    <w:rsid w:val="005403BD"/>
    <w:rsid w:val="005429DB"/>
    <w:rsid w:val="00544C9F"/>
    <w:rsid w:val="00555117"/>
    <w:rsid w:val="0055619C"/>
    <w:rsid w:val="00560ABA"/>
    <w:rsid w:val="005634C8"/>
    <w:rsid w:val="00564A3C"/>
    <w:rsid w:val="0057055F"/>
    <w:rsid w:val="00570751"/>
    <w:rsid w:val="005766DB"/>
    <w:rsid w:val="00576788"/>
    <w:rsid w:val="005835AF"/>
    <w:rsid w:val="0059129A"/>
    <w:rsid w:val="005918AB"/>
    <w:rsid w:val="00593297"/>
    <w:rsid w:val="0059448F"/>
    <w:rsid w:val="00595A84"/>
    <w:rsid w:val="005A1D5D"/>
    <w:rsid w:val="005A3A21"/>
    <w:rsid w:val="005A6887"/>
    <w:rsid w:val="005B3567"/>
    <w:rsid w:val="005B3F59"/>
    <w:rsid w:val="005D38CE"/>
    <w:rsid w:val="005D78D2"/>
    <w:rsid w:val="005E23F5"/>
    <w:rsid w:val="005F12CD"/>
    <w:rsid w:val="005F716D"/>
    <w:rsid w:val="006001CA"/>
    <w:rsid w:val="00601546"/>
    <w:rsid w:val="00603AB1"/>
    <w:rsid w:val="00610AB5"/>
    <w:rsid w:val="00610BC8"/>
    <w:rsid w:val="006161CC"/>
    <w:rsid w:val="006204D5"/>
    <w:rsid w:val="00622B9B"/>
    <w:rsid w:val="00627C5B"/>
    <w:rsid w:val="00630A85"/>
    <w:rsid w:val="0063257F"/>
    <w:rsid w:val="006368F3"/>
    <w:rsid w:val="00637627"/>
    <w:rsid w:val="00637882"/>
    <w:rsid w:val="00637C1B"/>
    <w:rsid w:val="006400B1"/>
    <w:rsid w:val="00641F0F"/>
    <w:rsid w:val="00646032"/>
    <w:rsid w:val="00646187"/>
    <w:rsid w:val="00646E32"/>
    <w:rsid w:val="00650AB4"/>
    <w:rsid w:val="0065111B"/>
    <w:rsid w:val="0065281E"/>
    <w:rsid w:val="00652DE7"/>
    <w:rsid w:val="00655677"/>
    <w:rsid w:val="00655986"/>
    <w:rsid w:val="006610B0"/>
    <w:rsid w:val="006721CE"/>
    <w:rsid w:val="00677122"/>
    <w:rsid w:val="00681A7D"/>
    <w:rsid w:val="00681C6A"/>
    <w:rsid w:val="00682887"/>
    <w:rsid w:val="00683DB9"/>
    <w:rsid w:val="0068580E"/>
    <w:rsid w:val="00685E5B"/>
    <w:rsid w:val="006934D9"/>
    <w:rsid w:val="006936AB"/>
    <w:rsid w:val="00697C36"/>
    <w:rsid w:val="006A1270"/>
    <w:rsid w:val="006A1550"/>
    <w:rsid w:val="006A1664"/>
    <w:rsid w:val="006A262A"/>
    <w:rsid w:val="006A283B"/>
    <w:rsid w:val="006A4CB7"/>
    <w:rsid w:val="006A6221"/>
    <w:rsid w:val="006B0F6E"/>
    <w:rsid w:val="006B1D97"/>
    <w:rsid w:val="006C06E3"/>
    <w:rsid w:val="006C4F4A"/>
    <w:rsid w:val="006D1AA3"/>
    <w:rsid w:val="006D391F"/>
    <w:rsid w:val="006D4D91"/>
    <w:rsid w:val="006D7976"/>
    <w:rsid w:val="006E4203"/>
    <w:rsid w:val="006F0AD2"/>
    <w:rsid w:val="006F49C6"/>
    <w:rsid w:val="006F57A4"/>
    <w:rsid w:val="006F5B17"/>
    <w:rsid w:val="006F6D52"/>
    <w:rsid w:val="006F7BC2"/>
    <w:rsid w:val="00701192"/>
    <w:rsid w:val="00703CDD"/>
    <w:rsid w:val="00711092"/>
    <w:rsid w:val="00715D0C"/>
    <w:rsid w:val="007239ED"/>
    <w:rsid w:val="007248FC"/>
    <w:rsid w:val="00724A7B"/>
    <w:rsid w:val="00726C95"/>
    <w:rsid w:val="007345B8"/>
    <w:rsid w:val="00740D71"/>
    <w:rsid w:val="00740E90"/>
    <w:rsid w:val="00746408"/>
    <w:rsid w:val="00750D00"/>
    <w:rsid w:val="007530CC"/>
    <w:rsid w:val="007607BB"/>
    <w:rsid w:val="00761605"/>
    <w:rsid w:val="00770DE5"/>
    <w:rsid w:val="007715DC"/>
    <w:rsid w:val="007725DA"/>
    <w:rsid w:val="00776604"/>
    <w:rsid w:val="007820B8"/>
    <w:rsid w:val="00784B9C"/>
    <w:rsid w:val="00785E5C"/>
    <w:rsid w:val="00790859"/>
    <w:rsid w:val="00793DD5"/>
    <w:rsid w:val="007952F9"/>
    <w:rsid w:val="00795CE0"/>
    <w:rsid w:val="007971DF"/>
    <w:rsid w:val="007A2D7A"/>
    <w:rsid w:val="007A50FB"/>
    <w:rsid w:val="007A5C8E"/>
    <w:rsid w:val="007A6DE7"/>
    <w:rsid w:val="007B2E32"/>
    <w:rsid w:val="007B4F17"/>
    <w:rsid w:val="007B6D4C"/>
    <w:rsid w:val="007C182E"/>
    <w:rsid w:val="007E0646"/>
    <w:rsid w:val="007E3730"/>
    <w:rsid w:val="007E77C6"/>
    <w:rsid w:val="007E7DC1"/>
    <w:rsid w:val="007F2966"/>
    <w:rsid w:val="007F35FA"/>
    <w:rsid w:val="007F451C"/>
    <w:rsid w:val="007F7599"/>
    <w:rsid w:val="007F7702"/>
    <w:rsid w:val="008015A7"/>
    <w:rsid w:val="00802788"/>
    <w:rsid w:val="00804351"/>
    <w:rsid w:val="0080461D"/>
    <w:rsid w:val="00813AFB"/>
    <w:rsid w:val="00814002"/>
    <w:rsid w:val="0081506A"/>
    <w:rsid w:val="008268F8"/>
    <w:rsid w:val="00830A1D"/>
    <w:rsid w:val="0084099F"/>
    <w:rsid w:val="00841BFD"/>
    <w:rsid w:val="00843783"/>
    <w:rsid w:val="0084737A"/>
    <w:rsid w:val="0084752C"/>
    <w:rsid w:val="00850EE9"/>
    <w:rsid w:val="0085129A"/>
    <w:rsid w:val="00851826"/>
    <w:rsid w:val="00860E20"/>
    <w:rsid w:val="00861B24"/>
    <w:rsid w:val="00862BCE"/>
    <w:rsid w:val="00862F03"/>
    <w:rsid w:val="00863713"/>
    <w:rsid w:val="00867AD5"/>
    <w:rsid w:val="00870396"/>
    <w:rsid w:val="008755C4"/>
    <w:rsid w:val="00877BD7"/>
    <w:rsid w:val="008813FE"/>
    <w:rsid w:val="00883917"/>
    <w:rsid w:val="008863DD"/>
    <w:rsid w:val="00887B4D"/>
    <w:rsid w:val="00890D15"/>
    <w:rsid w:val="00892DD6"/>
    <w:rsid w:val="008A34FF"/>
    <w:rsid w:val="008A6CA2"/>
    <w:rsid w:val="008B7DB6"/>
    <w:rsid w:val="008C41CD"/>
    <w:rsid w:val="008C7131"/>
    <w:rsid w:val="008D1C37"/>
    <w:rsid w:val="008D3728"/>
    <w:rsid w:val="008D66EE"/>
    <w:rsid w:val="008D7A90"/>
    <w:rsid w:val="008E1EEF"/>
    <w:rsid w:val="008E57DA"/>
    <w:rsid w:val="008F0D5B"/>
    <w:rsid w:val="008F378A"/>
    <w:rsid w:val="008F5B73"/>
    <w:rsid w:val="00901C6B"/>
    <w:rsid w:val="00902736"/>
    <w:rsid w:val="009030D4"/>
    <w:rsid w:val="00904A90"/>
    <w:rsid w:val="009067D4"/>
    <w:rsid w:val="009105DD"/>
    <w:rsid w:val="009126B1"/>
    <w:rsid w:val="00912AF8"/>
    <w:rsid w:val="00913726"/>
    <w:rsid w:val="00917815"/>
    <w:rsid w:val="0092065C"/>
    <w:rsid w:val="009211F2"/>
    <w:rsid w:val="00921496"/>
    <w:rsid w:val="0092300A"/>
    <w:rsid w:val="00926C9B"/>
    <w:rsid w:val="00931679"/>
    <w:rsid w:val="009343A4"/>
    <w:rsid w:val="009401E4"/>
    <w:rsid w:val="00943148"/>
    <w:rsid w:val="0094507E"/>
    <w:rsid w:val="009475F6"/>
    <w:rsid w:val="009501FC"/>
    <w:rsid w:val="00950B10"/>
    <w:rsid w:val="00953670"/>
    <w:rsid w:val="00954BFB"/>
    <w:rsid w:val="00954DEC"/>
    <w:rsid w:val="009603A6"/>
    <w:rsid w:val="00960616"/>
    <w:rsid w:val="00963004"/>
    <w:rsid w:val="0097464D"/>
    <w:rsid w:val="00980722"/>
    <w:rsid w:val="00984289"/>
    <w:rsid w:val="0099038A"/>
    <w:rsid w:val="00992788"/>
    <w:rsid w:val="0099417D"/>
    <w:rsid w:val="009A1129"/>
    <w:rsid w:val="009A3C0B"/>
    <w:rsid w:val="009A50F0"/>
    <w:rsid w:val="009A6451"/>
    <w:rsid w:val="009A7969"/>
    <w:rsid w:val="009B22AE"/>
    <w:rsid w:val="009B52FC"/>
    <w:rsid w:val="009C1BE4"/>
    <w:rsid w:val="009C4DD1"/>
    <w:rsid w:val="009C60A6"/>
    <w:rsid w:val="009C6772"/>
    <w:rsid w:val="009C7B92"/>
    <w:rsid w:val="009D1918"/>
    <w:rsid w:val="009D324F"/>
    <w:rsid w:val="009D507C"/>
    <w:rsid w:val="009D79B6"/>
    <w:rsid w:val="009E706F"/>
    <w:rsid w:val="009E7FCC"/>
    <w:rsid w:val="009F2292"/>
    <w:rsid w:val="009F2B53"/>
    <w:rsid w:val="009F65CC"/>
    <w:rsid w:val="009F77AB"/>
    <w:rsid w:val="00A00711"/>
    <w:rsid w:val="00A01377"/>
    <w:rsid w:val="00A0379F"/>
    <w:rsid w:val="00A1402A"/>
    <w:rsid w:val="00A157A6"/>
    <w:rsid w:val="00A21ECF"/>
    <w:rsid w:val="00A24D87"/>
    <w:rsid w:val="00A375E7"/>
    <w:rsid w:val="00A47A50"/>
    <w:rsid w:val="00A51245"/>
    <w:rsid w:val="00A55739"/>
    <w:rsid w:val="00A57F71"/>
    <w:rsid w:val="00A62A1E"/>
    <w:rsid w:val="00A6338D"/>
    <w:rsid w:val="00A6476A"/>
    <w:rsid w:val="00A67169"/>
    <w:rsid w:val="00A71ECF"/>
    <w:rsid w:val="00A72098"/>
    <w:rsid w:val="00A75C9D"/>
    <w:rsid w:val="00A76680"/>
    <w:rsid w:val="00A76FD5"/>
    <w:rsid w:val="00A85042"/>
    <w:rsid w:val="00A85D5A"/>
    <w:rsid w:val="00A8730A"/>
    <w:rsid w:val="00A87967"/>
    <w:rsid w:val="00A94862"/>
    <w:rsid w:val="00A97579"/>
    <w:rsid w:val="00AA26EF"/>
    <w:rsid w:val="00AA55AE"/>
    <w:rsid w:val="00AA58E0"/>
    <w:rsid w:val="00AA6585"/>
    <w:rsid w:val="00AB58FF"/>
    <w:rsid w:val="00AB671B"/>
    <w:rsid w:val="00AB6B13"/>
    <w:rsid w:val="00AC214F"/>
    <w:rsid w:val="00AC2A2F"/>
    <w:rsid w:val="00AD1737"/>
    <w:rsid w:val="00AD1B36"/>
    <w:rsid w:val="00AD77E0"/>
    <w:rsid w:val="00AE0D4A"/>
    <w:rsid w:val="00AE1C26"/>
    <w:rsid w:val="00AE4DE7"/>
    <w:rsid w:val="00AE74C4"/>
    <w:rsid w:val="00AF0F24"/>
    <w:rsid w:val="00B02F20"/>
    <w:rsid w:val="00B03F4D"/>
    <w:rsid w:val="00B05FC1"/>
    <w:rsid w:val="00B10982"/>
    <w:rsid w:val="00B136C8"/>
    <w:rsid w:val="00B16E33"/>
    <w:rsid w:val="00B32088"/>
    <w:rsid w:val="00B340DE"/>
    <w:rsid w:val="00B36BD2"/>
    <w:rsid w:val="00B40C78"/>
    <w:rsid w:val="00B41494"/>
    <w:rsid w:val="00B4277E"/>
    <w:rsid w:val="00B51703"/>
    <w:rsid w:val="00B5546A"/>
    <w:rsid w:val="00B62DA6"/>
    <w:rsid w:val="00B65BDA"/>
    <w:rsid w:val="00B65F7E"/>
    <w:rsid w:val="00B66F3E"/>
    <w:rsid w:val="00B76344"/>
    <w:rsid w:val="00B8108F"/>
    <w:rsid w:val="00B82539"/>
    <w:rsid w:val="00B83F14"/>
    <w:rsid w:val="00B85D7C"/>
    <w:rsid w:val="00B90558"/>
    <w:rsid w:val="00B9440C"/>
    <w:rsid w:val="00B955B4"/>
    <w:rsid w:val="00B96743"/>
    <w:rsid w:val="00BB354B"/>
    <w:rsid w:val="00BC2359"/>
    <w:rsid w:val="00BD615F"/>
    <w:rsid w:val="00BD7CB9"/>
    <w:rsid w:val="00BE3BFE"/>
    <w:rsid w:val="00BF0097"/>
    <w:rsid w:val="00BF0F85"/>
    <w:rsid w:val="00BF11CC"/>
    <w:rsid w:val="00BF4AA3"/>
    <w:rsid w:val="00C01456"/>
    <w:rsid w:val="00C05624"/>
    <w:rsid w:val="00C11A9D"/>
    <w:rsid w:val="00C1462C"/>
    <w:rsid w:val="00C2163A"/>
    <w:rsid w:val="00C23AA4"/>
    <w:rsid w:val="00C30EAE"/>
    <w:rsid w:val="00C354B2"/>
    <w:rsid w:val="00C4091F"/>
    <w:rsid w:val="00C45CCD"/>
    <w:rsid w:val="00C47CD4"/>
    <w:rsid w:val="00C5042B"/>
    <w:rsid w:val="00C51EE5"/>
    <w:rsid w:val="00C563C7"/>
    <w:rsid w:val="00C630F5"/>
    <w:rsid w:val="00C65435"/>
    <w:rsid w:val="00C6550A"/>
    <w:rsid w:val="00C66A8A"/>
    <w:rsid w:val="00C70F14"/>
    <w:rsid w:val="00C726A8"/>
    <w:rsid w:val="00C77471"/>
    <w:rsid w:val="00C86924"/>
    <w:rsid w:val="00C9002B"/>
    <w:rsid w:val="00CA007C"/>
    <w:rsid w:val="00CA4E1F"/>
    <w:rsid w:val="00CA553D"/>
    <w:rsid w:val="00CA5DD3"/>
    <w:rsid w:val="00CA6DB1"/>
    <w:rsid w:val="00CC0027"/>
    <w:rsid w:val="00CC696B"/>
    <w:rsid w:val="00CD0798"/>
    <w:rsid w:val="00CD428F"/>
    <w:rsid w:val="00CF22CC"/>
    <w:rsid w:val="00CF3979"/>
    <w:rsid w:val="00CF6ECD"/>
    <w:rsid w:val="00D00506"/>
    <w:rsid w:val="00D02246"/>
    <w:rsid w:val="00D07790"/>
    <w:rsid w:val="00D12152"/>
    <w:rsid w:val="00D125A5"/>
    <w:rsid w:val="00D16151"/>
    <w:rsid w:val="00D20810"/>
    <w:rsid w:val="00D210AD"/>
    <w:rsid w:val="00D22014"/>
    <w:rsid w:val="00D25A91"/>
    <w:rsid w:val="00D32AAB"/>
    <w:rsid w:val="00D32E8B"/>
    <w:rsid w:val="00D4262D"/>
    <w:rsid w:val="00D44C61"/>
    <w:rsid w:val="00D45269"/>
    <w:rsid w:val="00D458B7"/>
    <w:rsid w:val="00D50A5C"/>
    <w:rsid w:val="00D50C6E"/>
    <w:rsid w:val="00D604E5"/>
    <w:rsid w:val="00D6143B"/>
    <w:rsid w:val="00D6467B"/>
    <w:rsid w:val="00D651E5"/>
    <w:rsid w:val="00D65B3D"/>
    <w:rsid w:val="00D67958"/>
    <w:rsid w:val="00D67AF4"/>
    <w:rsid w:val="00D72116"/>
    <w:rsid w:val="00D7335D"/>
    <w:rsid w:val="00D811AE"/>
    <w:rsid w:val="00D84287"/>
    <w:rsid w:val="00D9698C"/>
    <w:rsid w:val="00D972AF"/>
    <w:rsid w:val="00DA1CE7"/>
    <w:rsid w:val="00DA2883"/>
    <w:rsid w:val="00DA3914"/>
    <w:rsid w:val="00DB302F"/>
    <w:rsid w:val="00DB4778"/>
    <w:rsid w:val="00DC1E2D"/>
    <w:rsid w:val="00DC41F1"/>
    <w:rsid w:val="00DC51F8"/>
    <w:rsid w:val="00DC7A27"/>
    <w:rsid w:val="00DD0973"/>
    <w:rsid w:val="00DD4F07"/>
    <w:rsid w:val="00DD5DBE"/>
    <w:rsid w:val="00DD637B"/>
    <w:rsid w:val="00DE059B"/>
    <w:rsid w:val="00DE075F"/>
    <w:rsid w:val="00DE6458"/>
    <w:rsid w:val="00DF36FA"/>
    <w:rsid w:val="00DF68E7"/>
    <w:rsid w:val="00DF6A53"/>
    <w:rsid w:val="00DF710F"/>
    <w:rsid w:val="00DF7444"/>
    <w:rsid w:val="00DF7C0A"/>
    <w:rsid w:val="00E0240E"/>
    <w:rsid w:val="00E02B3A"/>
    <w:rsid w:val="00E0400F"/>
    <w:rsid w:val="00E04ED0"/>
    <w:rsid w:val="00E1080E"/>
    <w:rsid w:val="00E11FC7"/>
    <w:rsid w:val="00E13511"/>
    <w:rsid w:val="00E14BEF"/>
    <w:rsid w:val="00E21C42"/>
    <w:rsid w:val="00E22577"/>
    <w:rsid w:val="00E25458"/>
    <w:rsid w:val="00E26113"/>
    <w:rsid w:val="00E3038D"/>
    <w:rsid w:val="00E41AFF"/>
    <w:rsid w:val="00E51E35"/>
    <w:rsid w:val="00E51FF4"/>
    <w:rsid w:val="00E52D7B"/>
    <w:rsid w:val="00E554F5"/>
    <w:rsid w:val="00E55506"/>
    <w:rsid w:val="00E65F80"/>
    <w:rsid w:val="00E7130F"/>
    <w:rsid w:val="00E7448A"/>
    <w:rsid w:val="00E7583F"/>
    <w:rsid w:val="00E76270"/>
    <w:rsid w:val="00E85069"/>
    <w:rsid w:val="00E921A0"/>
    <w:rsid w:val="00E92EAB"/>
    <w:rsid w:val="00E962A6"/>
    <w:rsid w:val="00EA089B"/>
    <w:rsid w:val="00EA7B95"/>
    <w:rsid w:val="00EC3481"/>
    <w:rsid w:val="00EC3D93"/>
    <w:rsid w:val="00EC4B16"/>
    <w:rsid w:val="00ED2D9E"/>
    <w:rsid w:val="00ED51A9"/>
    <w:rsid w:val="00EE6079"/>
    <w:rsid w:val="00EF4D30"/>
    <w:rsid w:val="00EF6F9D"/>
    <w:rsid w:val="00F043CA"/>
    <w:rsid w:val="00F051FC"/>
    <w:rsid w:val="00F101EE"/>
    <w:rsid w:val="00F13035"/>
    <w:rsid w:val="00F14EBF"/>
    <w:rsid w:val="00F17AEA"/>
    <w:rsid w:val="00F214F7"/>
    <w:rsid w:val="00F21AE7"/>
    <w:rsid w:val="00F2230B"/>
    <w:rsid w:val="00F318E8"/>
    <w:rsid w:val="00F31945"/>
    <w:rsid w:val="00F31EDE"/>
    <w:rsid w:val="00F329E2"/>
    <w:rsid w:val="00F33A6A"/>
    <w:rsid w:val="00F43623"/>
    <w:rsid w:val="00F445D6"/>
    <w:rsid w:val="00F461BB"/>
    <w:rsid w:val="00F51CEE"/>
    <w:rsid w:val="00F5547F"/>
    <w:rsid w:val="00F56369"/>
    <w:rsid w:val="00F62514"/>
    <w:rsid w:val="00F65404"/>
    <w:rsid w:val="00F663BD"/>
    <w:rsid w:val="00F6731D"/>
    <w:rsid w:val="00F73AB0"/>
    <w:rsid w:val="00F81E40"/>
    <w:rsid w:val="00F83C47"/>
    <w:rsid w:val="00F864AE"/>
    <w:rsid w:val="00F87435"/>
    <w:rsid w:val="00F8773A"/>
    <w:rsid w:val="00F92C63"/>
    <w:rsid w:val="00F93005"/>
    <w:rsid w:val="00F958C0"/>
    <w:rsid w:val="00FA5BDF"/>
    <w:rsid w:val="00FB1808"/>
    <w:rsid w:val="00FC02C2"/>
    <w:rsid w:val="00FC2F5B"/>
    <w:rsid w:val="00FD2FC1"/>
    <w:rsid w:val="00FD49FD"/>
    <w:rsid w:val="00FE1963"/>
    <w:rsid w:val="00FE3756"/>
    <w:rsid w:val="00FE71AA"/>
    <w:rsid w:val="00FE7707"/>
    <w:rsid w:val="00FF631C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B20F"/>
  <w15:docId w15:val="{E3A144DD-DE3E-4B1A-9359-3267D777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F1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17"/>
    <w:rPr>
      <w:rFonts w:ascii="Calibri" w:hAnsi="Calibr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50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VTR\publikace\publikace_2020\analytick&#225;%20&#269;&#225;st\Analytick&#225;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Graf</a:t>
            </a:r>
            <a:r>
              <a:rPr lang="cs-CZ" sz="1100"/>
              <a:t> 1. Výzkum a vývoj v České</a:t>
            </a:r>
            <a:r>
              <a:rPr lang="cs-CZ" sz="1100" baseline="0"/>
              <a:t> republice - základní ukazatele</a:t>
            </a:r>
            <a:endParaRPr lang="en-US" sz="1100"/>
          </a:p>
        </c:rich>
      </c:tx>
      <c:layout>
        <c:manualLayout>
          <c:xMode val="edge"/>
          <c:yMode val="edge"/>
          <c:x val="0.18604008721895296"/>
          <c:y val="0.0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34159953410079058"/>
          <c:w val="0.93656099999999931"/>
          <c:h val="0.53431128608923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'1'!$M$2</c:f>
              <c:strCache>
                <c:ptCount val="1"/>
                <c:pt idx="0">
                  <c:v>Výdaje na VaV (GERD)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'1'!$N$1:$X$1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'1'!$N$2:$X$2</c:f>
              <c:numCache>
                <c:formatCode>0.0</c:formatCode>
                <c:ptCount val="11"/>
                <c:pt idx="0">
                  <c:v>50.874619020000019</c:v>
                </c:pt>
                <c:pt idx="1">
                  <c:v>52.973567630000005</c:v>
                </c:pt>
                <c:pt idx="2">
                  <c:v>62.75340296000001</c:v>
                </c:pt>
                <c:pt idx="3">
                  <c:v>72.360307379999952</c:v>
                </c:pt>
                <c:pt idx="4">
                  <c:v>77.853386010000008</c:v>
                </c:pt>
                <c:pt idx="5">
                  <c:v>85.104466859999988</c:v>
                </c:pt>
                <c:pt idx="6">
                  <c:v>88.663389590000008</c:v>
                </c:pt>
                <c:pt idx="7">
                  <c:v>80.109157268128598</c:v>
                </c:pt>
                <c:pt idx="8">
                  <c:v>90.3860247819769</c:v>
                </c:pt>
                <c:pt idx="9">
                  <c:v>102.75372947535163</c:v>
                </c:pt>
                <c:pt idx="10">
                  <c:v>111.62204681941262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D-4858-A5D1-3BD10FED3B14}"/>
            </c:ext>
          </c:extLst>
        </c:ser>
        <c:ser>
          <c:idx val="1"/>
          <c:order val="1"/>
          <c:tx>
            <c:strRef>
              <c:f>'1'!$M$3</c:f>
              <c:strCache>
                <c:ptCount val="1"/>
                <c:pt idx="0">
                  <c:v>Pracovníci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'1'!$N$1:$X$1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'1'!$N$3:$X$3</c:f>
              <c:numCache>
                <c:formatCode>0.0</c:formatCode>
                <c:ptCount val="11"/>
                <c:pt idx="0">
                  <c:v>50.960834404999986</c:v>
                </c:pt>
                <c:pt idx="1">
                  <c:v>52.290130920000024</c:v>
                </c:pt>
                <c:pt idx="2">
                  <c:v>55.696942279999931</c:v>
                </c:pt>
                <c:pt idx="3">
                  <c:v>60.329443785000002</c:v>
                </c:pt>
                <c:pt idx="4">
                  <c:v>61.975855934999991</c:v>
                </c:pt>
                <c:pt idx="5">
                  <c:v>64.443451844999998</c:v>
                </c:pt>
                <c:pt idx="6">
                  <c:v>66.433399944999991</c:v>
                </c:pt>
                <c:pt idx="7">
                  <c:v>65.782994585719791</c:v>
                </c:pt>
                <c:pt idx="8">
                  <c:v>69.735652770939808</c:v>
                </c:pt>
                <c:pt idx="9">
                  <c:v>74.969488901048067</c:v>
                </c:pt>
                <c:pt idx="10">
                  <c:v>79.245004599164446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D-4858-A5D1-3BD10FED3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1137280"/>
        <c:axId val="61138816"/>
      </c:barChart>
      <c:lineChart>
        <c:grouping val="standard"/>
        <c:varyColors val="0"/>
        <c:ser>
          <c:idx val="2"/>
          <c:order val="2"/>
          <c:tx>
            <c:strRef>
              <c:f>'1'!$M$4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'1'!$N$1:$X$1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'1'!$N$4:$X$4</c:f>
              <c:numCache>
                <c:formatCode>0.00%</c:formatCode>
                <c:ptCount val="11"/>
                <c:pt idx="0">
                  <c:v>1.2865579674887218E-2</c:v>
                </c:pt>
                <c:pt idx="1">
                  <c:v>1.3267040407025523E-2</c:v>
                </c:pt>
                <c:pt idx="2">
                  <c:v>1.5447664540707375E-2</c:v>
                </c:pt>
                <c:pt idx="3">
                  <c:v>1.7696714279984493E-2</c:v>
                </c:pt>
                <c:pt idx="4">
                  <c:v>1.8792405931624689E-2</c:v>
                </c:pt>
                <c:pt idx="5">
                  <c:v>1.9583306340010022E-2</c:v>
                </c:pt>
                <c:pt idx="6">
                  <c:v>1.9168895945369222E-2</c:v>
                </c:pt>
                <c:pt idx="7">
                  <c:v>1.6700287305527705E-2</c:v>
                </c:pt>
                <c:pt idx="8">
                  <c:v>1.7685495980129876E-2</c:v>
                </c:pt>
                <c:pt idx="9">
                  <c:v>1.8997628937053597E-2</c:v>
                </c:pt>
                <c:pt idx="10">
                  <c:v>1.941702787835593E-2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5D-4858-A5D1-3BD10FED3B14}"/>
            </c:ext>
          </c:extLst>
        </c:ser>
        <c:ser>
          <c:idx val="3"/>
          <c:order val="3"/>
          <c:tx>
            <c:strRef>
              <c:f>'1'!$M$5</c:f>
              <c:strCache>
                <c:ptCount val="1"/>
                <c:pt idx="0">
                  <c:v>Podíl pracovníků ve VaV (FTE) na zaměstnaných v ČR celkem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diamond"/>
            <c:size val="10"/>
            <c:spPr>
              <a:solidFill>
                <a:schemeClr val="accent2"/>
              </a:solidFill>
              <a:ln w="15875"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'1'!$N$1:$X$1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'1'!$N$5:$X$5</c:f>
              <c:numCache>
                <c:formatCode>0.00%</c:formatCode>
                <c:ptCount val="11"/>
                <c:pt idx="0">
                  <c:v>9.7924790159795785E-3</c:v>
                </c:pt>
                <c:pt idx="1">
                  <c:v>1.0232702084107948E-2</c:v>
                </c:pt>
                <c:pt idx="2">
                  <c:v>1.1013305927085526E-2</c:v>
                </c:pt>
                <c:pt idx="3">
                  <c:v>1.1961967964114955E-2</c:v>
                </c:pt>
                <c:pt idx="4">
                  <c:v>1.2237012692751266E-2</c:v>
                </c:pt>
                <c:pt idx="5">
                  <c:v>1.268339690666866E-2</c:v>
                </c:pt>
                <c:pt idx="6">
                  <c:v>1.3003294001507543E-2</c:v>
                </c:pt>
                <c:pt idx="7">
                  <c:v>1.2694731576103227E-2</c:v>
                </c:pt>
                <c:pt idx="8">
                  <c:v>1.3246896932933698E-2</c:v>
                </c:pt>
                <c:pt idx="9">
                  <c:v>1.4023961346400765E-2</c:v>
                </c:pt>
                <c:pt idx="10">
                  <c:v>1.4628649704208416E-2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5D-4858-A5D1-3BD10FED3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42144"/>
        <c:axId val="61140352"/>
      </c:lineChart>
      <c:catAx>
        <c:axId val="611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61138816"/>
        <c:crosses val="autoZero"/>
        <c:auto val="1"/>
        <c:lblAlgn val="ctr"/>
        <c:lblOffset val="100"/>
        <c:noMultiLvlLbl val="0"/>
      </c:catAx>
      <c:valAx>
        <c:axId val="61138816"/>
        <c:scaling>
          <c:orientation val="minMax"/>
          <c:max val="120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61137280"/>
        <c:crosses val="autoZero"/>
        <c:crossBetween val="between"/>
        <c:majorUnit val="10"/>
        <c:minorUnit val="1"/>
      </c:valAx>
      <c:valAx>
        <c:axId val="61140352"/>
        <c:scaling>
          <c:orientation val="minMax"/>
          <c:max val="2.2000000000000006E-2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61142144"/>
        <c:crosses val="max"/>
        <c:crossBetween val="between"/>
        <c:majorUnit val="1.0000000000000002E-3"/>
        <c:minorUnit val="1.0000000000000013E-4"/>
      </c:valAx>
      <c:catAx>
        <c:axId val="61142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61140352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4.0852941176470585E-3"/>
          <c:y val="0.12014461942257218"/>
          <c:w val="0.62430612546671094"/>
          <c:h val="0.20047164317226304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 i="0" baseline="0">
                <a:effectLst/>
              </a:rPr>
              <a:t>Graf 7. VaV ve vysokoškolském sektoru v ČR - základní ukazatele</a:t>
            </a:r>
            <a:endParaRPr lang="cs-CZ" sz="11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31690487337731432"/>
          <c:w val="0.93656099999999931"/>
          <c:h val="0.49889536780875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'7'!$M$3</c:f>
              <c:strCache>
                <c:ptCount val="1"/>
                <c:pt idx="0">
                  <c:v>Výdaje na VaV (HERD)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'7'!$N$2:$X$2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'7'!$N$3:$X$3</c:f>
              <c:numCache>
                <c:formatCode>0.0</c:formatCode>
                <c:ptCount val="11"/>
                <c:pt idx="0">
                  <c:v>10.173039000000001</c:v>
                </c:pt>
                <c:pt idx="1">
                  <c:v>10.616061</c:v>
                </c:pt>
                <c:pt idx="2">
                  <c:v>15.288401000000006</c:v>
                </c:pt>
                <c:pt idx="3">
                  <c:v>19.878533000000008</c:v>
                </c:pt>
                <c:pt idx="4">
                  <c:v>21.197760999999993</c:v>
                </c:pt>
                <c:pt idx="5">
                  <c:v>21.627737000000007</c:v>
                </c:pt>
                <c:pt idx="6">
                  <c:v>22.082697000000014</c:v>
                </c:pt>
                <c:pt idx="7">
                  <c:v>16.382228999999995</c:v>
                </c:pt>
                <c:pt idx="8">
                  <c:v>17.741251999999996</c:v>
                </c:pt>
                <c:pt idx="9">
                  <c:v>22.072658840950869</c:v>
                </c:pt>
                <c:pt idx="10">
                  <c:v>24.326300000000003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F-4620-B860-EBADB2630FE3}"/>
            </c:ext>
          </c:extLst>
        </c:ser>
        <c:ser>
          <c:idx val="1"/>
          <c:order val="1"/>
          <c:tx>
            <c:strRef>
              <c:f>'7'!$M$4</c:f>
              <c:strCache>
                <c:ptCount val="1"/>
                <c:pt idx="0">
                  <c:v>Pracovníci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'7'!$N$2:$X$2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'7'!$N$4:$X$4</c:f>
              <c:numCache>
                <c:formatCode>0.0</c:formatCode>
                <c:ptCount val="11"/>
                <c:pt idx="0">
                  <c:v>13.811537500000002</c:v>
                </c:pt>
                <c:pt idx="1">
                  <c:v>14.055616000000006</c:v>
                </c:pt>
                <c:pt idx="2">
                  <c:v>14.723644499999994</c:v>
                </c:pt>
                <c:pt idx="3">
                  <c:v>16.4412445</c:v>
                </c:pt>
                <c:pt idx="4">
                  <c:v>16.240071</c:v>
                </c:pt>
                <c:pt idx="5">
                  <c:v>16.525383500000011</c:v>
                </c:pt>
                <c:pt idx="6">
                  <c:v>16.86785600000001</c:v>
                </c:pt>
                <c:pt idx="7">
                  <c:v>15.200775500000001</c:v>
                </c:pt>
                <c:pt idx="8">
                  <c:v>15.802936499999998</c:v>
                </c:pt>
                <c:pt idx="9">
                  <c:v>18.225543236944269</c:v>
                </c:pt>
                <c:pt idx="10">
                  <c:v>19.646888000000004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CF-4620-B860-EBADB2630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946560"/>
        <c:axId val="108948096"/>
      </c:barChart>
      <c:lineChart>
        <c:grouping val="standard"/>
        <c:varyColors val="0"/>
        <c:ser>
          <c:idx val="2"/>
          <c:order val="2"/>
          <c:tx>
            <c:strRef>
              <c:f>'7'!$M$5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'7'!$N$2:$X$2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'7'!$N$5:$X$5</c:f>
              <c:numCache>
                <c:formatCode>0.00%</c:formatCode>
                <c:ptCount val="11"/>
                <c:pt idx="0">
                  <c:v>2.5726392906997918E-3</c:v>
                </c:pt>
                <c:pt idx="1">
                  <c:v>2.6587544798603508E-3</c:v>
                </c:pt>
                <c:pt idx="2">
                  <c:v>3.7634626788662557E-3</c:v>
                </c:pt>
                <c:pt idx="3">
                  <c:v>4.8615702661245841E-3</c:v>
                </c:pt>
                <c:pt idx="4">
                  <c:v>5.1167579211313262E-3</c:v>
                </c:pt>
                <c:pt idx="5">
                  <c:v>4.9767375878038552E-3</c:v>
                </c:pt>
                <c:pt idx="6">
                  <c:v>4.7742469912729329E-3</c:v>
                </c:pt>
                <c:pt idx="7">
                  <c:v>3.4151892284828042E-3</c:v>
                </c:pt>
                <c:pt idx="8">
                  <c:v>3.4713645354501285E-3</c:v>
                </c:pt>
                <c:pt idx="9">
                  <c:v>4.0809047462860969E-3</c:v>
                </c:pt>
                <c:pt idx="10">
                  <c:v>4.231641138434156E-3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CF-4620-B860-EBADB2630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59616"/>
        <c:axId val="108958080"/>
      </c:lineChart>
      <c:catAx>
        <c:axId val="10894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8948096"/>
        <c:crossesAt val="0"/>
        <c:auto val="1"/>
        <c:lblAlgn val="ctr"/>
        <c:lblOffset val="100"/>
        <c:noMultiLvlLbl val="0"/>
      </c:catAx>
      <c:valAx>
        <c:axId val="108948096"/>
        <c:scaling>
          <c:orientation val="minMax"/>
          <c:max val="34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08946560"/>
        <c:crosses val="autoZero"/>
        <c:crossBetween val="between"/>
      </c:valAx>
      <c:valAx>
        <c:axId val="108958080"/>
        <c:scaling>
          <c:orientation val="minMax"/>
          <c:max val="5.5000000000000014E-3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08959616"/>
        <c:crosses val="max"/>
        <c:crossBetween val="between"/>
        <c:majorUnit val="1.0000000000000002E-3"/>
        <c:minorUnit val="1.0000000000000013E-4"/>
      </c:valAx>
      <c:catAx>
        <c:axId val="10895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8958080"/>
        <c:crossesAt val="0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6627450980392168E-3"/>
          <c:y val="9.8873235440164575E-2"/>
          <c:w val="0.43487452022052481"/>
          <c:h val="0.17410411198600176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C74B-46D1-BC07-84C8FE55880C}"/>
              </c:ext>
            </c:extLst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C74B-46D1-BC07-84C8FE55880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74B-46D1-BC07-84C8FE55880C}"/>
              </c:ext>
            </c:extLst>
          </c:dPt>
          <c:cat>
            <c:strRef>
              <c:f>'8'!$M$2:$M$5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'8'!$N$2:$N$5</c:f>
              <c:numCache>
                <c:formatCode>General</c:formatCode>
                <c:ptCount val="4"/>
                <c:pt idx="0">
                  <c:v>18.9588</c:v>
                </c:pt>
                <c:pt idx="1">
                  <c:v>10.8011</c:v>
                </c:pt>
                <c:pt idx="2">
                  <c:v>10.239234</c:v>
                </c:pt>
                <c:pt idx="3">
                  <c:v>5.9641200000000003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4B-46D1-BC07-84C8FE558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9103360"/>
        <c:axId val="109109248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'8'!$M$2:$M$5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'8'!$O$2:$O$5</c:f>
              <c:numCache>
                <c:formatCode>0.00%</c:formatCode>
                <c:ptCount val="4"/>
                <c:pt idx="0">
                  <c:v>5.5000000000000005E-3</c:v>
                </c:pt>
                <c:pt idx="1">
                  <c:v>4.5000000000000005E-3</c:v>
                </c:pt>
                <c:pt idx="2">
                  <c:v>4.0999999999999995E-3</c:v>
                </c:pt>
                <c:pt idx="3">
                  <c:v>3.3E-3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74B-46D1-BC07-84C8FE558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10784"/>
        <c:axId val="109112320"/>
      </c:lineChart>
      <c:catAx>
        <c:axId val="109103360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910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109248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9103360"/>
        <c:crosses val="autoZero"/>
        <c:crossBetween val="between"/>
        <c:majorUnit val="4"/>
        <c:minorUnit val="0.1"/>
      </c:valAx>
      <c:catAx>
        <c:axId val="109110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9112320"/>
        <c:crosses val="autoZero"/>
        <c:auto val="1"/>
        <c:lblAlgn val="ctr"/>
        <c:lblOffset val="100"/>
        <c:noMultiLvlLbl val="0"/>
      </c:catAx>
      <c:valAx>
        <c:axId val="109112320"/>
        <c:scaling>
          <c:orientation val="minMax"/>
          <c:max val="2.0000000000000004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09110784"/>
        <c:crosses val="max"/>
        <c:crossBetween val="between"/>
        <c:majorUnit val="4.000000000000001E-3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8. Výdaje na VaV ve vysokoškolském sektoru (HERD), 2019 -</a:t>
            </a:r>
          </a:p>
          <a:p>
            <a:pPr>
              <a:defRPr sz="1100"/>
            </a:pPr>
            <a:r>
              <a:rPr lang="cs-CZ" sz="1100" b="1" baseline="0"/>
              <a:t> 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19324003267973855"/>
          <c:y val="2.812924246538148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684777107939632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0D1-407A-945E-E61050FF157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0D1-407A-945E-E61050FF157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0D1-407A-945E-E61050FF157F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4-D0D1-407A-945E-E61050FF157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0D1-407A-945E-E61050FF157F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D0D1-407A-945E-E61050FF157F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0D1-407A-945E-E61050FF157F}"/>
              </c:ext>
            </c:extLst>
          </c:dPt>
          <c:cat>
            <c:strRef>
              <c:f>'8'!$M$6:$M$29</c:f>
              <c:strCache>
                <c:ptCount val="24"/>
                <c:pt idx="0">
                  <c:v>Nizozemsko</c:v>
                </c:pt>
                <c:pt idx="1">
                  <c:v>Španělsko</c:v>
                </c:pt>
                <c:pt idx="2">
                  <c:v>Švédsko</c:v>
                </c:pt>
                <c:pt idx="3">
                  <c:v>Dánsko</c:v>
                </c:pt>
                <c:pt idx="4">
                  <c:v>Rakousko</c:v>
                </c:pt>
                <c:pt idx="5">
                  <c:v>Belgie</c:v>
                </c:pt>
                <c:pt idx="6">
                  <c:v>Polsko</c:v>
                </c:pt>
                <c:pt idx="7">
                  <c:v>Finsko</c:v>
                </c:pt>
                <c:pt idx="8">
                  <c:v>Portugalsko</c:v>
                </c:pt>
                <c:pt idx="9">
                  <c:v>Česko</c:v>
                </c:pt>
                <c:pt idx="10">
                  <c:v>Irsko</c:v>
                </c:pt>
                <c:pt idx="11">
                  <c:v>Řecko</c:v>
                </c:pt>
                <c:pt idx="12">
                  <c:v>Maďarsko</c:v>
                </c:pt>
                <c:pt idx="13">
                  <c:v>Slovensko</c:v>
                </c:pt>
                <c:pt idx="14">
                  <c:v>Chorvatsko</c:v>
                </c:pt>
                <c:pt idx="15">
                  <c:v>Litva</c:v>
                </c:pt>
                <c:pt idx="16">
                  <c:v>Lucembursko</c:v>
                </c:pt>
                <c:pt idx="17">
                  <c:v>Estonsko</c:v>
                </c:pt>
                <c:pt idx="18">
                  <c:v>Slovinsko</c:v>
                </c:pt>
                <c:pt idx="19">
                  <c:v>Rumunsko</c:v>
                </c:pt>
                <c:pt idx="20">
                  <c:v>Lotyšsko</c:v>
                </c:pt>
                <c:pt idx="21">
                  <c:v>Kypr</c:v>
                </c:pt>
                <c:pt idx="22">
                  <c:v>Bulharsko</c:v>
                </c:pt>
                <c:pt idx="23">
                  <c:v>Malta</c:v>
                </c:pt>
              </c:strCache>
            </c:strRef>
          </c:cat>
          <c:val>
            <c:numRef>
              <c:f>'8'!$N$6:$N$29</c:f>
              <c:numCache>
                <c:formatCode>General</c:formatCode>
                <c:ptCount val="24"/>
                <c:pt idx="0">
                  <c:v>4.6749999999999998</c:v>
                </c:pt>
                <c:pt idx="1">
                  <c:v>3.9460000000000002</c:v>
                </c:pt>
                <c:pt idx="2">
                  <c:v>3.747344</c:v>
                </c:pt>
                <c:pt idx="3">
                  <c:v>3.124657</c:v>
                </c:pt>
                <c:pt idx="4">
                  <c:v>2.8470900000000001</c:v>
                </c:pt>
                <c:pt idx="5">
                  <c:v>2.6440039999999998</c:v>
                </c:pt>
                <c:pt idx="6">
                  <c:v>2.5082370000000003</c:v>
                </c:pt>
                <c:pt idx="7">
                  <c:v>1.7045999999999999</c:v>
                </c:pt>
                <c:pt idx="8">
                  <c:v>1.2087999999999999</c:v>
                </c:pt>
                <c:pt idx="9">
                  <c:v>0.94765500000000003</c:v>
                </c:pt>
                <c:pt idx="10">
                  <c:v>0.80310000000000004</c:v>
                </c:pt>
                <c:pt idx="11">
                  <c:v>0.71654999999999991</c:v>
                </c:pt>
                <c:pt idx="12">
                  <c:v>0.30647099999999999</c:v>
                </c:pt>
                <c:pt idx="13">
                  <c:v>0.19559700000000002</c:v>
                </c:pt>
                <c:pt idx="14">
                  <c:v>0.19431700000000002</c:v>
                </c:pt>
                <c:pt idx="15">
                  <c:v>0.17676</c:v>
                </c:pt>
                <c:pt idx="16">
                  <c:v>0.16589999999999999</c:v>
                </c:pt>
                <c:pt idx="17">
                  <c:v>0.1598</c:v>
                </c:pt>
                <c:pt idx="18">
                  <c:v>0.11673600000000001</c:v>
                </c:pt>
                <c:pt idx="19">
                  <c:v>0.10893800000000001</c:v>
                </c:pt>
                <c:pt idx="20">
                  <c:v>0.107</c:v>
                </c:pt>
                <c:pt idx="21">
                  <c:v>5.6500000000000002E-2</c:v>
                </c:pt>
                <c:pt idx="22">
                  <c:v>3.7475000000000001E-2</c:v>
                </c:pt>
                <c:pt idx="23">
                  <c:v>2.9689E-2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0D1-407A-945E-E61050FF1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9042304"/>
        <c:axId val="109044096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'8'!$M$6:$M$29</c:f>
              <c:strCache>
                <c:ptCount val="24"/>
                <c:pt idx="0">
                  <c:v>Nizozemsko</c:v>
                </c:pt>
                <c:pt idx="1">
                  <c:v>Španělsko</c:v>
                </c:pt>
                <c:pt idx="2">
                  <c:v>Švédsko</c:v>
                </c:pt>
                <c:pt idx="3">
                  <c:v>Dánsko</c:v>
                </c:pt>
                <c:pt idx="4">
                  <c:v>Rakousko</c:v>
                </c:pt>
                <c:pt idx="5">
                  <c:v>Belgie</c:v>
                </c:pt>
                <c:pt idx="6">
                  <c:v>Polsko</c:v>
                </c:pt>
                <c:pt idx="7">
                  <c:v>Finsko</c:v>
                </c:pt>
                <c:pt idx="8">
                  <c:v>Portugalsko</c:v>
                </c:pt>
                <c:pt idx="9">
                  <c:v>Česko</c:v>
                </c:pt>
                <c:pt idx="10">
                  <c:v>Irsko</c:v>
                </c:pt>
                <c:pt idx="11">
                  <c:v>Řecko</c:v>
                </c:pt>
                <c:pt idx="12">
                  <c:v>Maďarsko</c:v>
                </c:pt>
                <c:pt idx="13">
                  <c:v>Slovensko</c:v>
                </c:pt>
                <c:pt idx="14">
                  <c:v>Chorvatsko</c:v>
                </c:pt>
                <c:pt idx="15">
                  <c:v>Litva</c:v>
                </c:pt>
                <c:pt idx="16">
                  <c:v>Lucembursko</c:v>
                </c:pt>
                <c:pt idx="17">
                  <c:v>Estonsko</c:v>
                </c:pt>
                <c:pt idx="18">
                  <c:v>Slovinsko</c:v>
                </c:pt>
                <c:pt idx="19">
                  <c:v>Rumunsko</c:v>
                </c:pt>
                <c:pt idx="20">
                  <c:v>Lotyšsko</c:v>
                </c:pt>
                <c:pt idx="21">
                  <c:v>Kypr</c:v>
                </c:pt>
                <c:pt idx="22">
                  <c:v>Bulharsko</c:v>
                </c:pt>
                <c:pt idx="23">
                  <c:v>Malta</c:v>
                </c:pt>
              </c:strCache>
            </c:strRef>
          </c:cat>
          <c:val>
            <c:numRef>
              <c:f>'8'!$O$6:$O$29</c:f>
              <c:numCache>
                <c:formatCode>0.00%</c:formatCode>
                <c:ptCount val="24"/>
                <c:pt idx="0">
                  <c:v>5.7999999999999996E-3</c:v>
                </c:pt>
                <c:pt idx="1">
                  <c:v>3.2000000000000002E-3</c:v>
                </c:pt>
                <c:pt idx="2">
                  <c:v>7.9000000000000008E-3</c:v>
                </c:pt>
                <c:pt idx="3">
                  <c:v>0.01</c:v>
                </c:pt>
                <c:pt idx="4">
                  <c:v>7.1999999999999998E-3</c:v>
                </c:pt>
                <c:pt idx="5">
                  <c:v>5.6000000000000008E-3</c:v>
                </c:pt>
                <c:pt idx="6">
                  <c:v>4.6999999999999993E-3</c:v>
                </c:pt>
                <c:pt idx="7">
                  <c:v>7.0999999999999995E-3</c:v>
                </c:pt>
                <c:pt idx="8">
                  <c:v>5.6999999999999993E-3</c:v>
                </c:pt>
                <c:pt idx="9">
                  <c:v>4.1999999999999997E-3</c:v>
                </c:pt>
                <c:pt idx="10">
                  <c:v>2.3E-3</c:v>
                </c:pt>
                <c:pt idx="11">
                  <c:v>3.9000000000000003E-3</c:v>
                </c:pt>
                <c:pt idx="12">
                  <c:v>2.0999999999999999E-3</c:v>
                </c:pt>
                <c:pt idx="13">
                  <c:v>2.0999999999999999E-3</c:v>
                </c:pt>
                <c:pt idx="14">
                  <c:v>3.5999999999999999E-3</c:v>
                </c:pt>
                <c:pt idx="15">
                  <c:v>3.5999999999999999E-3</c:v>
                </c:pt>
                <c:pt idx="16">
                  <c:v>2.5999999999999999E-3</c:v>
                </c:pt>
                <c:pt idx="17">
                  <c:v>5.6999999999999993E-3</c:v>
                </c:pt>
                <c:pt idx="18">
                  <c:v>2.3999999999999998E-3</c:v>
                </c:pt>
                <c:pt idx="19">
                  <c:v>5.0000000000000001E-4</c:v>
                </c:pt>
                <c:pt idx="20">
                  <c:v>3.4999999999999996E-3</c:v>
                </c:pt>
                <c:pt idx="21">
                  <c:v>2.5000000000000001E-3</c:v>
                </c:pt>
                <c:pt idx="22">
                  <c:v>5.9999999999999995E-4</c:v>
                </c:pt>
                <c:pt idx="23">
                  <c:v>2.2000000000000001E-3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0D1-407A-945E-E61050FF1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045632"/>
        <c:axId val="109047168"/>
      </c:lineChart>
      <c:catAx>
        <c:axId val="109042304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904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044096"/>
        <c:scaling>
          <c:orientation val="minMax"/>
          <c:max val="5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9042304"/>
        <c:crosses val="autoZero"/>
        <c:crossBetween val="between"/>
        <c:majorUnit val="1"/>
      </c:valAx>
      <c:catAx>
        <c:axId val="109045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9047168"/>
        <c:crosses val="autoZero"/>
        <c:auto val="1"/>
        <c:lblAlgn val="ctr"/>
        <c:lblOffset val="100"/>
        <c:noMultiLvlLbl val="0"/>
      </c:catAx>
      <c:valAx>
        <c:axId val="109047168"/>
        <c:scaling>
          <c:orientation val="minMax"/>
          <c:max val="2.0000000000000004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09045632"/>
        <c:crosses val="max"/>
        <c:crossBetween val="between"/>
        <c:majorUnit val="4.000000000000001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4E4-4678-BE87-677788B89AD8}"/>
              </c:ext>
            </c:extLst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4E4-4678-BE87-677788B89AD8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4E4-4678-BE87-677788B89AD8}"/>
              </c:ext>
            </c:extLst>
          </c:dPt>
          <c:cat>
            <c:strRef>
              <c:f>'2'!$N$3:$N$6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'2'!$O$3:$O$6</c:f>
              <c:numCache>
                <c:formatCode>0.0</c:formatCode>
                <c:ptCount val="4"/>
                <c:pt idx="0">
                  <c:v>109.3222</c:v>
                </c:pt>
                <c:pt idx="1">
                  <c:v>53.158313999999997</c:v>
                </c:pt>
                <c:pt idx="2">
                  <c:v>44.364319999999999</c:v>
                </c:pt>
                <c:pt idx="3">
                  <c:v>25.909551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E4-4678-BE87-677788B89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5613568"/>
        <c:axId val="105615360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4"/>
              <c:layout>
                <c:manualLayout>
                  <c:x val="-7.6551505131620734E-2"/>
                  <c:y val="9.9616858237547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E4-4678-BE87-677788B89A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'2'!$N$3:$N$6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'2'!$P$3:$P$6</c:f>
              <c:numCache>
                <c:formatCode>0.00%</c:formatCode>
                <c:ptCount val="4"/>
                <c:pt idx="0">
                  <c:v>3.1699999999999999E-2</c:v>
                </c:pt>
                <c:pt idx="1">
                  <c:v>2.1899999999999999E-2</c:v>
                </c:pt>
                <c:pt idx="2">
                  <c:v>1.7600000000000001E-2</c:v>
                </c:pt>
                <c:pt idx="3">
                  <c:v>1.4499999999999999E-2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4E4-4678-BE87-677788B89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16896"/>
        <c:axId val="105618432"/>
      </c:lineChart>
      <c:catAx>
        <c:axId val="105613568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615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615360"/>
        <c:scaling>
          <c:orientation val="minMax"/>
          <c:max val="12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613568"/>
        <c:crosses val="autoZero"/>
        <c:crossBetween val="between"/>
        <c:majorUnit val="20"/>
        <c:minorUnit val="0.1"/>
      </c:valAx>
      <c:catAx>
        <c:axId val="105616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5618432"/>
        <c:crosses val="autoZero"/>
        <c:auto val="1"/>
        <c:lblAlgn val="ctr"/>
        <c:lblOffset val="100"/>
        <c:noMultiLvlLbl val="0"/>
      </c:catAx>
      <c:valAx>
        <c:axId val="105618432"/>
        <c:scaling>
          <c:orientation val="minMax"/>
          <c:max val="6.0000000000000012E-2"/>
          <c:min val="0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05616896"/>
        <c:crosses val="max"/>
        <c:crossBetween val="between"/>
        <c:majorUnit val="1.0000000000000002E-2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2. Celkové výdaje na VaV (GERD), 2019 -</a:t>
            </a:r>
          </a:p>
          <a:p>
            <a:pPr>
              <a:defRPr sz="1100"/>
            </a:pPr>
            <a:r>
              <a:rPr lang="cs-CZ" sz="1100" b="1" baseline="0"/>
              <a:t>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23059304703476483"/>
          <c:y val="2.812939521800281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398039215686275E-2"/>
          <c:y val="8.9342060090589939E-2"/>
          <c:w val="0.88586568627450979"/>
          <c:h val="0.689212750140336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CB2-4A90-AB6C-8E00B150DAE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2-5CB2-4A90-AB6C-8E00B150DAE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CB2-4A90-AB6C-8E00B150DAEB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CB2-4A90-AB6C-8E00B150DAE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CB2-4A90-AB6C-8E00B150DAEB}"/>
              </c:ext>
            </c:extLst>
          </c:dPt>
          <c:cat>
            <c:strRef>
              <c:f>'2'!$N$7:$N$30</c:f>
              <c:strCache>
                <c:ptCount val="24"/>
                <c:pt idx="0">
                  <c:v>Nizozemsko</c:v>
                </c:pt>
                <c:pt idx="1">
                  <c:v>Švédsko</c:v>
                </c:pt>
                <c:pt idx="2">
                  <c:v>Španělsko</c:v>
                </c:pt>
                <c:pt idx="3">
                  <c:v>Belgie</c:v>
                </c:pt>
                <c:pt idx="4">
                  <c:v>Rakousko</c:v>
                </c:pt>
                <c:pt idx="5">
                  <c:v>Dánsko</c:v>
                </c:pt>
                <c:pt idx="6">
                  <c:v>Polsko</c:v>
                </c:pt>
                <c:pt idx="7">
                  <c:v>Finsko</c:v>
                </c:pt>
                <c:pt idx="8">
                  <c:v>Česko</c:v>
                </c:pt>
                <c:pt idx="9">
                  <c:v>Portugalsko</c:v>
                </c:pt>
                <c:pt idx="10">
                  <c:v>Irsko</c:v>
                </c:pt>
                <c:pt idx="11">
                  <c:v>Řecko</c:v>
                </c:pt>
                <c:pt idx="12">
                  <c:v>Maďarsko</c:v>
                </c:pt>
                <c:pt idx="13">
                  <c:v>Rumunsko</c:v>
                </c:pt>
                <c:pt idx="14">
                  <c:v>Slovinsko</c:v>
                </c:pt>
                <c:pt idx="15">
                  <c:v>Slovensko</c:v>
                </c:pt>
                <c:pt idx="16">
                  <c:v>Lucembursko</c:v>
                </c:pt>
                <c:pt idx="17">
                  <c:v>Chorvatsko</c:v>
                </c:pt>
                <c:pt idx="18">
                  <c:v>Bulharsko</c:v>
                </c:pt>
                <c:pt idx="19">
                  <c:v>Litva</c:v>
                </c:pt>
                <c:pt idx="20">
                  <c:v>Estonsko</c:v>
                </c:pt>
                <c:pt idx="21">
                  <c:v>Lotyšsko</c:v>
                </c:pt>
                <c:pt idx="22">
                  <c:v>Kypr</c:v>
                </c:pt>
                <c:pt idx="23">
                  <c:v>Malta</c:v>
                </c:pt>
              </c:strCache>
            </c:strRef>
          </c:cat>
          <c:val>
            <c:numRef>
              <c:f>'2'!$O$7:$O$30</c:f>
              <c:numCache>
                <c:formatCode>0.0</c:formatCode>
                <c:ptCount val="24"/>
                <c:pt idx="0">
                  <c:v>17.524000000000001</c:v>
                </c:pt>
                <c:pt idx="1">
                  <c:v>16.077853999999999</c:v>
                </c:pt>
                <c:pt idx="2">
                  <c:v>14.228999999999999</c:v>
                </c:pt>
                <c:pt idx="3">
                  <c:v>13.760706000000001</c:v>
                </c:pt>
                <c:pt idx="4">
                  <c:v>12.688780000000001</c:v>
                </c:pt>
                <c:pt idx="5">
                  <c:v>9.2453889999999994</c:v>
                </c:pt>
                <c:pt idx="6">
                  <c:v>7.0462349999999994</c:v>
                </c:pt>
                <c:pt idx="7">
                  <c:v>6.7151000000000005</c:v>
                </c:pt>
                <c:pt idx="8">
                  <c:v>4.3483459999999994</c:v>
                </c:pt>
                <c:pt idx="9">
                  <c:v>2.9865999999999997</c:v>
                </c:pt>
                <c:pt idx="10">
                  <c:v>2.7713000000000001</c:v>
                </c:pt>
                <c:pt idx="11">
                  <c:v>2.3365800000000001</c:v>
                </c:pt>
                <c:pt idx="12">
                  <c:v>2.1586210000000001</c:v>
                </c:pt>
                <c:pt idx="13">
                  <c:v>1.067442</c:v>
                </c:pt>
                <c:pt idx="14">
                  <c:v>0.98925600000000002</c:v>
                </c:pt>
                <c:pt idx="15">
                  <c:v>0.77659</c:v>
                </c:pt>
                <c:pt idx="16">
                  <c:v>0.75700000000000001</c:v>
                </c:pt>
                <c:pt idx="17">
                  <c:v>0.60075400000000001</c:v>
                </c:pt>
                <c:pt idx="18">
                  <c:v>0.51239000000000001</c:v>
                </c:pt>
                <c:pt idx="19">
                  <c:v>0.48386800000000002</c:v>
                </c:pt>
                <c:pt idx="20">
                  <c:v>0.45295999999999997</c:v>
                </c:pt>
                <c:pt idx="21">
                  <c:v>0.1951</c:v>
                </c:pt>
                <c:pt idx="22">
                  <c:v>0.13969999999999999</c:v>
                </c:pt>
                <c:pt idx="23">
                  <c:v>8.1477000000000008E-2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B2-4A90-AB6C-8E00B150D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5261696"/>
        <c:axId val="105271680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'2'!$N$7:$N$30</c:f>
              <c:strCache>
                <c:ptCount val="24"/>
                <c:pt idx="0">
                  <c:v>Nizozemsko</c:v>
                </c:pt>
                <c:pt idx="1">
                  <c:v>Švédsko</c:v>
                </c:pt>
                <c:pt idx="2">
                  <c:v>Španělsko</c:v>
                </c:pt>
                <c:pt idx="3">
                  <c:v>Belgie</c:v>
                </c:pt>
                <c:pt idx="4">
                  <c:v>Rakousko</c:v>
                </c:pt>
                <c:pt idx="5">
                  <c:v>Dánsko</c:v>
                </c:pt>
                <c:pt idx="6">
                  <c:v>Polsko</c:v>
                </c:pt>
                <c:pt idx="7">
                  <c:v>Finsko</c:v>
                </c:pt>
                <c:pt idx="8">
                  <c:v>Česko</c:v>
                </c:pt>
                <c:pt idx="9">
                  <c:v>Portugalsko</c:v>
                </c:pt>
                <c:pt idx="10">
                  <c:v>Irsko</c:v>
                </c:pt>
                <c:pt idx="11">
                  <c:v>Řecko</c:v>
                </c:pt>
                <c:pt idx="12">
                  <c:v>Maďarsko</c:v>
                </c:pt>
                <c:pt idx="13">
                  <c:v>Rumunsko</c:v>
                </c:pt>
                <c:pt idx="14">
                  <c:v>Slovinsko</c:v>
                </c:pt>
                <c:pt idx="15">
                  <c:v>Slovensko</c:v>
                </c:pt>
                <c:pt idx="16">
                  <c:v>Lucembursko</c:v>
                </c:pt>
                <c:pt idx="17">
                  <c:v>Chorvatsko</c:v>
                </c:pt>
                <c:pt idx="18">
                  <c:v>Bulharsko</c:v>
                </c:pt>
                <c:pt idx="19">
                  <c:v>Litva</c:v>
                </c:pt>
                <c:pt idx="20">
                  <c:v>Estonsko</c:v>
                </c:pt>
                <c:pt idx="21">
                  <c:v>Lotyšsko</c:v>
                </c:pt>
                <c:pt idx="22">
                  <c:v>Kypr</c:v>
                </c:pt>
                <c:pt idx="23">
                  <c:v>Malta</c:v>
                </c:pt>
              </c:strCache>
            </c:strRef>
          </c:cat>
          <c:val>
            <c:numRef>
              <c:f>'2'!$P$7:$P$30</c:f>
              <c:numCache>
                <c:formatCode>0.00%</c:formatCode>
                <c:ptCount val="24"/>
                <c:pt idx="0">
                  <c:v>2.1600000000000001E-2</c:v>
                </c:pt>
                <c:pt idx="1">
                  <c:v>3.39E-2</c:v>
                </c:pt>
                <c:pt idx="2">
                  <c:v>1.1399999999999999E-2</c:v>
                </c:pt>
                <c:pt idx="3">
                  <c:v>2.8900000000000002E-2</c:v>
                </c:pt>
                <c:pt idx="4">
                  <c:v>3.1899999999999998E-2</c:v>
                </c:pt>
                <c:pt idx="5">
                  <c:v>2.9600000000000001E-2</c:v>
                </c:pt>
                <c:pt idx="6">
                  <c:v>1.32E-2</c:v>
                </c:pt>
                <c:pt idx="7">
                  <c:v>2.7900000000000001E-2</c:v>
                </c:pt>
                <c:pt idx="8">
                  <c:v>1.9400000000000001E-2</c:v>
                </c:pt>
                <c:pt idx="9">
                  <c:v>1.3999999999999999E-2</c:v>
                </c:pt>
                <c:pt idx="10">
                  <c:v>7.8000000000000005E-3</c:v>
                </c:pt>
                <c:pt idx="11">
                  <c:v>1.2699999999999999E-2</c:v>
                </c:pt>
                <c:pt idx="12">
                  <c:v>1.4800000000000001E-2</c:v>
                </c:pt>
                <c:pt idx="13">
                  <c:v>4.7999999999999996E-3</c:v>
                </c:pt>
                <c:pt idx="14">
                  <c:v>2.0400000000000001E-2</c:v>
                </c:pt>
                <c:pt idx="15">
                  <c:v>8.3000000000000001E-3</c:v>
                </c:pt>
                <c:pt idx="16">
                  <c:v>1.1899999999999999E-2</c:v>
                </c:pt>
                <c:pt idx="17">
                  <c:v>1.11E-2</c:v>
                </c:pt>
                <c:pt idx="18">
                  <c:v>8.3999999999999995E-3</c:v>
                </c:pt>
                <c:pt idx="19">
                  <c:v>9.8999999999999991E-3</c:v>
                </c:pt>
                <c:pt idx="20">
                  <c:v>1.61E-2</c:v>
                </c:pt>
                <c:pt idx="21">
                  <c:v>6.4000000000000003E-3</c:v>
                </c:pt>
                <c:pt idx="22">
                  <c:v>6.3E-3</c:v>
                </c:pt>
                <c:pt idx="23">
                  <c:v>6.0999999999999995E-3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CB2-4A90-AB6C-8E00B150D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273216"/>
        <c:axId val="105274752"/>
      </c:lineChart>
      <c:catAx>
        <c:axId val="105261696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27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271680"/>
        <c:scaling>
          <c:orientation val="minMax"/>
          <c:max val="2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261696"/>
        <c:crosses val="autoZero"/>
        <c:crossBetween val="between"/>
        <c:majorUnit val="2"/>
      </c:valAx>
      <c:catAx>
        <c:axId val="105273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5274752"/>
        <c:crosses val="autoZero"/>
        <c:auto val="1"/>
        <c:lblAlgn val="ctr"/>
        <c:lblOffset val="100"/>
        <c:noMultiLvlLbl val="0"/>
      </c:catAx>
      <c:valAx>
        <c:axId val="105274752"/>
        <c:scaling>
          <c:orientation val="minMax"/>
          <c:max val="5.000000000000001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05273216"/>
        <c:crosses val="max"/>
        <c:crossBetween val="between"/>
        <c:majorUnit val="5.000000000000001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>
                <a:latin typeface="Arial" panose="020B0604020202020204" pitchFamily="34" charset="0"/>
                <a:cs typeface="Arial" panose="020B0604020202020204" pitchFamily="34" charset="0"/>
              </a:rPr>
              <a:t>Graf.</a:t>
            </a:r>
            <a:r>
              <a:rPr lang="cs-CZ" sz="1100" baseline="0">
                <a:latin typeface="Arial" panose="020B0604020202020204" pitchFamily="34" charset="0"/>
                <a:cs typeface="Arial" panose="020B0604020202020204" pitchFamily="34" charset="0"/>
              </a:rPr>
              <a:t> 3 VaV v podnikatelském sektoru v ČR - základní ukazatele</a:t>
            </a:r>
            <a:endParaRPr lang="cs-CZ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22802434436839808"/>
          <c:w val="0.93656099999999931"/>
          <c:h val="0.602117187667618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'3'!$M$3</c:f>
              <c:strCache>
                <c:ptCount val="1"/>
                <c:pt idx="0">
                  <c:v>Výdaje na VaV (BERD)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'3'!$N$2:$X$2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'3'!$N$3:$X$3</c:f>
              <c:numCache>
                <c:formatCode>0.0</c:formatCode>
                <c:ptCount val="11"/>
                <c:pt idx="0">
                  <c:v>28.125531299999992</c:v>
                </c:pt>
                <c:pt idx="1">
                  <c:v>30.013273679999994</c:v>
                </c:pt>
                <c:pt idx="2">
                  <c:v>34.148021219999968</c:v>
                </c:pt>
                <c:pt idx="3">
                  <c:v>38.227991750000008</c:v>
                </c:pt>
                <c:pt idx="4">
                  <c:v>41.512703839999986</c:v>
                </c:pt>
                <c:pt idx="5">
                  <c:v>46.980508809999925</c:v>
                </c:pt>
                <c:pt idx="6">
                  <c:v>48.147505049999921</c:v>
                </c:pt>
                <c:pt idx="7">
                  <c:v>48.980262270849536</c:v>
                </c:pt>
                <c:pt idx="8">
                  <c:v>56.810126667346175</c:v>
                </c:pt>
                <c:pt idx="9">
                  <c:v>63.653606783896386</c:v>
                </c:pt>
                <c:pt idx="10">
                  <c:v>68.808243328201158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E-476C-8148-8176EEEDFBB9}"/>
            </c:ext>
          </c:extLst>
        </c:ser>
        <c:ser>
          <c:idx val="1"/>
          <c:order val="1"/>
          <c:tx>
            <c:strRef>
              <c:f>'3'!$M$4</c:f>
              <c:strCache>
                <c:ptCount val="1"/>
                <c:pt idx="0">
                  <c:v>Pracovníci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'3'!$N$2:$X$2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'3'!$N$4:$X$4</c:f>
              <c:numCache>
                <c:formatCode>0.0</c:formatCode>
                <c:ptCount val="11"/>
                <c:pt idx="0">
                  <c:v>25.382320524999976</c:v>
                </c:pt>
                <c:pt idx="1">
                  <c:v>26.540851345000014</c:v>
                </c:pt>
                <c:pt idx="2">
                  <c:v>29.01449732999993</c:v>
                </c:pt>
                <c:pt idx="3">
                  <c:v>31.705078565000001</c:v>
                </c:pt>
                <c:pt idx="4">
                  <c:v>33.18782908999998</c:v>
                </c:pt>
                <c:pt idx="5">
                  <c:v>35.25638820999999</c:v>
                </c:pt>
                <c:pt idx="6">
                  <c:v>36.365329954999972</c:v>
                </c:pt>
                <c:pt idx="7">
                  <c:v>37.263212953067367</c:v>
                </c:pt>
                <c:pt idx="8">
                  <c:v>39.967771617079876</c:v>
                </c:pt>
                <c:pt idx="9">
                  <c:v>42.349352351701832</c:v>
                </c:pt>
                <c:pt idx="10">
                  <c:v>44.792423282076221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DE-476C-8148-8176EEEDF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5654912"/>
        <c:axId val="105660800"/>
      </c:barChart>
      <c:lineChart>
        <c:grouping val="standard"/>
        <c:varyColors val="0"/>
        <c:ser>
          <c:idx val="2"/>
          <c:order val="2"/>
          <c:tx>
            <c:strRef>
              <c:f>'3'!$M$5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'3'!$N$2:$X$2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'3'!$N$5:$X$5</c:f>
              <c:numCache>
                <c:formatCode>0.00%</c:formatCode>
                <c:ptCount val="11"/>
                <c:pt idx="0">
                  <c:v>7.11260881769811E-3</c:v>
                </c:pt>
                <c:pt idx="1">
                  <c:v>7.5167169679954508E-3</c:v>
                </c:pt>
                <c:pt idx="2">
                  <c:v>8.4060330062380485E-3</c:v>
                </c:pt>
                <c:pt idx="3">
                  <c:v>9.3491842695563043E-3</c:v>
                </c:pt>
                <c:pt idx="4">
                  <c:v>1.0020419430188823E-2</c:v>
                </c:pt>
                <c:pt idx="5">
                  <c:v>1.0810639323424208E-2</c:v>
                </c:pt>
                <c:pt idx="6">
                  <c:v>1.0409420603029617E-2</c:v>
                </c:pt>
                <c:pt idx="7">
                  <c:v>1.021087326490602E-2</c:v>
                </c:pt>
                <c:pt idx="8">
                  <c:v>1.1115825363816214E-2</c:v>
                </c:pt>
                <c:pt idx="9">
                  <c:v>1.1768600598342836E-2</c:v>
                </c:pt>
                <c:pt idx="10">
                  <c:v>1.1969423756633913E-2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DE-476C-8148-8176EEEDF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63872"/>
        <c:axId val="105662336"/>
      </c:lineChart>
      <c:catAx>
        <c:axId val="10565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5660800"/>
        <c:crosses val="autoZero"/>
        <c:auto val="1"/>
        <c:lblAlgn val="ctr"/>
        <c:lblOffset val="100"/>
        <c:noMultiLvlLbl val="0"/>
      </c:catAx>
      <c:valAx>
        <c:axId val="105660800"/>
        <c:scaling>
          <c:orientation val="minMax"/>
          <c:max val="75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05654912"/>
        <c:crosses val="autoZero"/>
        <c:crossBetween val="between"/>
        <c:majorUnit val="10"/>
        <c:minorUnit val="1"/>
      </c:valAx>
      <c:valAx>
        <c:axId val="105662336"/>
        <c:scaling>
          <c:orientation val="minMax"/>
          <c:max val="1.2500000000000002E-2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05663872"/>
        <c:crosses val="max"/>
        <c:crossBetween val="between"/>
        <c:majorUnit val="1.0000000000000002E-3"/>
        <c:minorUnit val="1.0000000000000013E-4"/>
      </c:valAx>
      <c:catAx>
        <c:axId val="105663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566233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1.2893300653594772E-2"/>
          <c:y val="0.10145165096869703"/>
          <c:w val="0.44525873791035853"/>
          <c:h val="0.14770680912842299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6.8234092360076617E-2"/>
          <c:w val="0.70064403239917594"/>
          <c:h val="0.5571432219621195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B0B0-4048-AF0C-A8715DAE771F}"/>
              </c:ext>
            </c:extLst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B0B0-4048-AF0C-A8715DAE771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0B0-4048-AF0C-A8715DAE771F}"/>
              </c:ext>
            </c:extLst>
          </c:dPt>
          <c:cat>
            <c:strRef>
              <c:f>'4'!$M$2:$M$7</c:f>
              <c:strCache>
                <c:ptCount val="6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  <c:pt idx="4">
                  <c:v>Nizozemsko</c:v>
                </c:pt>
                <c:pt idx="5">
                  <c:v>Švédsko</c:v>
                </c:pt>
              </c:strCache>
            </c:strRef>
          </c:cat>
          <c:val>
            <c:numRef>
              <c:f>'4'!$N$2:$N$7</c:f>
              <c:numCache>
                <c:formatCode>General</c:formatCode>
                <c:ptCount val="6"/>
                <c:pt idx="0">
                  <c:v>75.563399999999987</c:v>
                </c:pt>
                <c:pt idx="1">
                  <c:v>34.916512000000004</c:v>
                </c:pt>
                <c:pt idx="2">
                  <c:v>30.177717000000001</c:v>
                </c:pt>
                <c:pt idx="3">
                  <c:v>16.233639</c:v>
                </c:pt>
                <c:pt idx="4">
                  <c:v>11.847</c:v>
                </c:pt>
                <c:pt idx="5">
                  <c:v>11.58276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0B0-4048-AF0C-A8715DAE7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5891328"/>
        <c:axId val="105892864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7.6551505131620734E-2"/>
                  <c:y val="0.13151778441487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0-4048-AF0C-A8715DAE771F}"/>
                </c:ext>
              </c:extLst>
            </c:dLbl>
            <c:dLbl>
              <c:idx val="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B0-4048-AF0C-A8715DAE77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'4'!$M$2:$M$7</c:f>
              <c:strCache>
                <c:ptCount val="6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  <c:pt idx="4">
                  <c:v>Nizozemsko</c:v>
                </c:pt>
                <c:pt idx="5">
                  <c:v>Švédsko</c:v>
                </c:pt>
              </c:strCache>
            </c:strRef>
          </c:cat>
          <c:val>
            <c:numRef>
              <c:f>'4'!$O$2:$O$7</c:f>
              <c:numCache>
                <c:formatCode>0.00%</c:formatCode>
                <c:ptCount val="6"/>
                <c:pt idx="0">
                  <c:v>2.1899999999999999E-2</c:v>
                </c:pt>
                <c:pt idx="1">
                  <c:v>1.44E-2</c:v>
                </c:pt>
                <c:pt idx="2">
                  <c:v>1.2E-2</c:v>
                </c:pt>
                <c:pt idx="3">
                  <c:v>9.1000000000000004E-3</c:v>
                </c:pt>
                <c:pt idx="4">
                  <c:v>1.46E-2</c:v>
                </c:pt>
                <c:pt idx="5">
                  <c:v>2.4399999999999998E-2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B0B0-4048-AF0C-A8715DAE7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902848"/>
        <c:axId val="105904384"/>
      </c:lineChart>
      <c:catAx>
        <c:axId val="105891328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892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892864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891328"/>
        <c:crosses val="autoZero"/>
        <c:crossBetween val="between"/>
        <c:majorUnit val="20"/>
        <c:minorUnit val="0.1"/>
      </c:valAx>
      <c:catAx>
        <c:axId val="105902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5904384"/>
        <c:crosses val="autoZero"/>
        <c:auto val="1"/>
        <c:lblAlgn val="ctr"/>
        <c:lblOffset val="100"/>
        <c:noMultiLvlLbl val="0"/>
      </c:catAx>
      <c:valAx>
        <c:axId val="105904384"/>
        <c:scaling>
          <c:orientation val="minMax"/>
          <c:max val="2.5000000000000005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05902848"/>
        <c:crosses val="max"/>
        <c:crossBetween val="between"/>
        <c:majorUnit val="5.000000000000001E-3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4. Výdaje na VaV v podnikatelském sektoru (BERD), 2019 -</a:t>
            </a:r>
          </a:p>
          <a:p>
            <a:pPr>
              <a:defRPr sz="1100"/>
            </a:pPr>
            <a:r>
              <a:rPr lang="cs-CZ" sz="1100" b="1" baseline="0"/>
              <a:t> 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19946552287581698"/>
          <c:y val="2.812924246538148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702304408979351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47B-4409-8123-2C79B9BC9158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2-647B-4409-8123-2C79B9BC9158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47B-4409-8123-2C79B9BC915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47B-4409-8123-2C79B9BC915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47B-4409-8123-2C79B9BC9158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47B-4409-8123-2C79B9BC915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47B-4409-8123-2C79B9BC9158}"/>
              </c:ext>
            </c:extLst>
          </c:dPt>
          <c:cat>
            <c:strRef>
              <c:f>'4'!$M$8:$M$29</c:f>
              <c:strCache>
                <c:ptCount val="22"/>
                <c:pt idx="0">
                  <c:v>Belgie</c:v>
                </c:pt>
                <c:pt idx="1">
                  <c:v>Rakousko</c:v>
                </c:pt>
                <c:pt idx="2">
                  <c:v>Španělsko</c:v>
                </c:pt>
                <c:pt idx="3">
                  <c:v>Dánsko</c:v>
                </c:pt>
                <c:pt idx="4">
                  <c:v>Polsko</c:v>
                </c:pt>
                <c:pt idx="5">
                  <c:v>Finsko</c:v>
                </c:pt>
                <c:pt idx="6">
                  <c:v>Česko</c:v>
                </c:pt>
                <c:pt idx="7">
                  <c:v>Irsko</c:v>
                </c:pt>
                <c:pt idx="8">
                  <c:v>Maďarsko</c:v>
                </c:pt>
                <c:pt idx="9">
                  <c:v>Portugalsko</c:v>
                </c:pt>
                <c:pt idx="10">
                  <c:v>Řecko</c:v>
                </c:pt>
                <c:pt idx="11">
                  <c:v>Slovinsko</c:v>
                </c:pt>
                <c:pt idx="12">
                  <c:v>Rumunsko</c:v>
                </c:pt>
                <c:pt idx="13">
                  <c:v>Slovensko</c:v>
                </c:pt>
                <c:pt idx="14">
                  <c:v>Lucembursko</c:v>
                </c:pt>
                <c:pt idx="15">
                  <c:v>Bulharsko</c:v>
                </c:pt>
                <c:pt idx="16">
                  <c:v>Chorvatsko</c:v>
                </c:pt>
                <c:pt idx="17">
                  <c:v>Estonsko</c:v>
                </c:pt>
                <c:pt idx="18">
                  <c:v>Litva</c:v>
                </c:pt>
                <c:pt idx="19">
                  <c:v>Kypr</c:v>
                </c:pt>
                <c:pt idx="20">
                  <c:v>Lotyšsko</c:v>
                </c:pt>
                <c:pt idx="21">
                  <c:v>Malta</c:v>
                </c:pt>
              </c:strCache>
            </c:strRef>
          </c:cat>
          <c:val>
            <c:numRef>
              <c:f>'4'!$N$8:$N$29</c:f>
              <c:numCache>
                <c:formatCode>General</c:formatCode>
                <c:ptCount val="22"/>
                <c:pt idx="0">
                  <c:v>9.7059699999999989</c:v>
                </c:pt>
                <c:pt idx="1">
                  <c:v>8.8659599999999994</c:v>
                </c:pt>
                <c:pt idx="2">
                  <c:v>7.7290000000000001</c:v>
                </c:pt>
                <c:pt idx="3">
                  <c:v>5.8248620000000004</c:v>
                </c:pt>
                <c:pt idx="4">
                  <c:v>4.4275880000000001</c:v>
                </c:pt>
                <c:pt idx="5">
                  <c:v>4.4078999999999997</c:v>
                </c:pt>
                <c:pt idx="6">
                  <c:v>2.6804929999999998</c:v>
                </c:pt>
                <c:pt idx="7">
                  <c:v>1.8037999999999998</c:v>
                </c:pt>
                <c:pt idx="8">
                  <c:v>1.620933</c:v>
                </c:pt>
                <c:pt idx="9">
                  <c:v>1.569</c:v>
                </c:pt>
                <c:pt idx="10">
                  <c:v>1.0732200000000001</c:v>
                </c:pt>
                <c:pt idx="11">
                  <c:v>0.72981399999999996</c:v>
                </c:pt>
                <c:pt idx="12">
                  <c:v>0.61696699999999993</c:v>
                </c:pt>
                <c:pt idx="13">
                  <c:v>0.42582299999999995</c:v>
                </c:pt>
                <c:pt idx="14">
                  <c:v>0.38230000000000003</c:v>
                </c:pt>
                <c:pt idx="15">
                  <c:v>0.344167</c:v>
                </c:pt>
                <c:pt idx="16">
                  <c:v>0.29419299999999998</c:v>
                </c:pt>
                <c:pt idx="17">
                  <c:v>0.24149999999999999</c:v>
                </c:pt>
                <c:pt idx="18">
                  <c:v>0.20805000000000001</c:v>
                </c:pt>
                <c:pt idx="19">
                  <c:v>5.7000000000000002E-2</c:v>
                </c:pt>
                <c:pt idx="20">
                  <c:v>5.1200000000000002E-2</c:v>
                </c:pt>
                <c:pt idx="21">
                  <c:v>5.1137000000000002E-2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7B-4409-8123-2C79B9BC9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5768448"/>
        <c:axId val="105769984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7B-4409-8123-2C79B9BC91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'4'!$M$8:$M$29</c:f>
              <c:strCache>
                <c:ptCount val="22"/>
                <c:pt idx="0">
                  <c:v>Belgie</c:v>
                </c:pt>
                <c:pt idx="1">
                  <c:v>Rakousko</c:v>
                </c:pt>
                <c:pt idx="2">
                  <c:v>Španělsko</c:v>
                </c:pt>
                <c:pt idx="3">
                  <c:v>Dánsko</c:v>
                </c:pt>
                <c:pt idx="4">
                  <c:v>Polsko</c:v>
                </c:pt>
                <c:pt idx="5">
                  <c:v>Finsko</c:v>
                </c:pt>
                <c:pt idx="6">
                  <c:v>Česko</c:v>
                </c:pt>
                <c:pt idx="7">
                  <c:v>Irsko</c:v>
                </c:pt>
                <c:pt idx="8">
                  <c:v>Maďarsko</c:v>
                </c:pt>
                <c:pt idx="9">
                  <c:v>Portugalsko</c:v>
                </c:pt>
                <c:pt idx="10">
                  <c:v>Řecko</c:v>
                </c:pt>
                <c:pt idx="11">
                  <c:v>Slovinsko</c:v>
                </c:pt>
                <c:pt idx="12">
                  <c:v>Rumunsko</c:v>
                </c:pt>
                <c:pt idx="13">
                  <c:v>Slovensko</c:v>
                </c:pt>
                <c:pt idx="14">
                  <c:v>Lucembursko</c:v>
                </c:pt>
                <c:pt idx="15">
                  <c:v>Bulharsko</c:v>
                </c:pt>
                <c:pt idx="16">
                  <c:v>Chorvatsko</c:v>
                </c:pt>
                <c:pt idx="17">
                  <c:v>Estonsko</c:v>
                </c:pt>
                <c:pt idx="18">
                  <c:v>Litva</c:v>
                </c:pt>
                <c:pt idx="19">
                  <c:v>Kypr</c:v>
                </c:pt>
                <c:pt idx="20">
                  <c:v>Lotyšsko</c:v>
                </c:pt>
                <c:pt idx="21">
                  <c:v>Malta</c:v>
                </c:pt>
              </c:strCache>
            </c:strRef>
          </c:cat>
          <c:val>
            <c:numRef>
              <c:f>'4'!$O$8:$O$29</c:f>
              <c:numCache>
                <c:formatCode>0.00%</c:formatCode>
                <c:ptCount val="22"/>
                <c:pt idx="0">
                  <c:v>2.0400000000000001E-2</c:v>
                </c:pt>
                <c:pt idx="1">
                  <c:v>2.23E-2</c:v>
                </c:pt>
                <c:pt idx="2">
                  <c:v>6.1999999999999998E-3</c:v>
                </c:pt>
                <c:pt idx="3">
                  <c:v>1.8600000000000002E-2</c:v>
                </c:pt>
                <c:pt idx="4">
                  <c:v>8.3000000000000001E-3</c:v>
                </c:pt>
                <c:pt idx="5">
                  <c:v>1.83E-2</c:v>
                </c:pt>
                <c:pt idx="6">
                  <c:v>1.2E-2</c:v>
                </c:pt>
                <c:pt idx="7">
                  <c:v>5.1000000000000004E-3</c:v>
                </c:pt>
                <c:pt idx="8">
                  <c:v>1.11E-2</c:v>
                </c:pt>
                <c:pt idx="9">
                  <c:v>7.4000000000000003E-3</c:v>
                </c:pt>
                <c:pt idx="10">
                  <c:v>5.8999999999999999E-3</c:v>
                </c:pt>
                <c:pt idx="11">
                  <c:v>1.5100000000000001E-2</c:v>
                </c:pt>
                <c:pt idx="12">
                  <c:v>2.8000000000000004E-3</c:v>
                </c:pt>
                <c:pt idx="13">
                  <c:v>4.5000000000000005E-3</c:v>
                </c:pt>
                <c:pt idx="14">
                  <c:v>6.0000000000000001E-3</c:v>
                </c:pt>
                <c:pt idx="15">
                  <c:v>5.6000000000000008E-3</c:v>
                </c:pt>
                <c:pt idx="16">
                  <c:v>5.4000000000000003E-3</c:v>
                </c:pt>
                <c:pt idx="17">
                  <c:v>8.6E-3</c:v>
                </c:pt>
                <c:pt idx="18">
                  <c:v>4.3E-3</c:v>
                </c:pt>
                <c:pt idx="19">
                  <c:v>2.5999999999999999E-3</c:v>
                </c:pt>
                <c:pt idx="20">
                  <c:v>1.7000000000000001E-3</c:v>
                </c:pt>
                <c:pt idx="21">
                  <c:v>3.8E-3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47B-4409-8123-2C79B9BC9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841408"/>
        <c:axId val="105842944"/>
      </c:lineChart>
      <c:catAx>
        <c:axId val="105768448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76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769984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05768448"/>
        <c:crosses val="autoZero"/>
        <c:crossBetween val="between"/>
        <c:majorUnit val="2"/>
      </c:valAx>
      <c:catAx>
        <c:axId val="105841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5842944"/>
        <c:crosses val="autoZero"/>
        <c:auto val="1"/>
        <c:lblAlgn val="ctr"/>
        <c:lblOffset val="100"/>
        <c:noMultiLvlLbl val="0"/>
      </c:catAx>
      <c:valAx>
        <c:axId val="105842944"/>
        <c:scaling>
          <c:orientation val="minMax"/>
          <c:max val="2.5000000000000005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05841408"/>
        <c:crosses val="max"/>
        <c:crossBetween val="between"/>
        <c:majorUnit val="5.000000000000001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Graf 5. VaV ve vládním sektoru v ČR - základní ukazatele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18371075273344842"/>
          <c:w val="0.93656099999999931"/>
          <c:h val="0.666085870282257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'5'!$M$3</c:f>
              <c:strCache>
                <c:ptCount val="1"/>
                <c:pt idx="0">
                  <c:v>Výdaje na VaV (GOVERD)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'5'!$N$2:$X$2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'5'!$N$3:$X$3</c:f>
              <c:numCache>
                <c:formatCode>0.0</c:formatCode>
                <c:ptCount val="11"/>
                <c:pt idx="0">
                  <c:v>12.302210680000002</c:v>
                </c:pt>
                <c:pt idx="1">
                  <c:v>12.020049999999999</c:v>
                </c:pt>
                <c:pt idx="2">
                  <c:v>12.971688390000002</c:v>
                </c:pt>
                <c:pt idx="3">
                  <c:v>13.884387999999996</c:v>
                </c:pt>
                <c:pt idx="4">
                  <c:v>14.875443690000003</c:v>
                </c:pt>
                <c:pt idx="5">
                  <c:v>16.145349639999996</c:v>
                </c:pt>
                <c:pt idx="6">
                  <c:v>18.090630999999988</c:v>
                </c:pt>
                <c:pt idx="7">
                  <c:v>14.549474000000004</c:v>
                </c:pt>
                <c:pt idx="8">
                  <c:v>15.582298000000003</c:v>
                </c:pt>
                <c:pt idx="9">
                  <c:v>16.800321999999998</c:v>
                </c:pt>
                <c:pt idx="10">
                  <c:v>18.170614999999998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54-4D54-A4A1-3BA6B8DA6F9A}"/>
            </c:ext>
          </c:extLst>
        </c:ser>
        <c:ser>
          <c:idx val="1"/>
          <c:order val="1"/>
          <c:tx>
            <c:strRef>
              <c:f>'5'!$M$4</c:f>
              <c:strCache>
                <c:ptCount val="1"/>
                <c:pt idx="0">
                  <c:v>Pracovníci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'5'!$N$2:$X$2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'5'!$N$4:$X$4</c:f>
              <c:numCache>
                <c:formatCode>0.0</c:formatCode>
                <c:ptCount val="11"/>
                <c:pt idx="0">
                  <c:v>11.518050285000006</c:v>
                </c:pt>
                <c:pt idx="1">
                  <c:v>11.383917499999997</c:v>
                </c:pt>
                <c:pt idx="2">
                  <c:v>11.627284345000007</c:v>
                </c:pt>
                <c:pt idx="3">
                  <c:v>11.864140000000001</c:v>
                </c:pt>
                <c:pt idx="4">
                  <c:v>12.275075000000012</c:v>
                </c:pt>
                <c:pt idx="5">
                  <c:v>12.379623670000003</c:v>
                </c:pt>
                <c:pt idx="6">
                  <c:v>12.953131000000003</c:v>
                </c:pt>
                <c:pt idx="7">
                  <c:v>13.098984500000004</c:v>
                </c:pt>
                <c:pt idx="8">
                  <c:v>13.6893505</c:v>
                </c:pt>
                <c:pt idx="9">
                  <c:v>14.162782499999995</c:v>
                </c:pt>
                <c:pt idx="10">
                  <c:v>14.530082999999999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54-4D54-A4A1-3BA6B8DA6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8713856"/>
        <c:axId val="108715392"/>
      </c:barChart>
      <c:lineChart>
        <c:grouping val="standard"/>
        <c:varyColors val="0"/>
        <c:ser>
          <c:idx val="2"/>
          <c:order val="2"/>
          <c:tx>
            <c:strRef>
              <c:f>'5'!$M$5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'5'!$N$2:$X$2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'5'!$N$5:$X$5</c:f>
              <c:numCache>
                <c:formatCode>0.00%</c:formatCode>
                <c:ptCount val="11"/>
                <c:pt idx="0">
                  <c:v>3.111081217503895E-3</c:v>
                </c:pt>
                <c:pt idx="1">
                  <c:v>3.0103784996756717E-3</c:v>
                </c:pt>
                <c:pt idx="2">
                  <c:v>3.1931701122732002E-3</c:v>
                </c:pt>
                <c:pt idx="3">
                  <c:v>3.3956191769350858E-3</c:v>
                </c:pt>
                <c:pt idx="4">
                  <c:v>3.5906643315372104E-3</c:v>
                </c:pt>
                <c:pt idx="5">
                  <c:v>3.7151907488806339E-3</c:v>
                </c:pt>
                <c:pt idx="6">
                  <c:v>3.9111681250699913E-3</c:v>
                </c:pt>
                <c:pt idx="7">
                  <c:v>3.0331163655990066E-3</c:v>
                </c:pt>
                <c:pt idx="8">
                  <c:v>3.0489300675068188E-3</c:v>
                </c:pt>
                <c:pt idx="9">
                  <c:v>3.1061284588758315E-3</c:v>
                </c:pt>
                <c:pt idx="10">
                  <c:v>3.1608391717872727E-3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54-4D54-A4A1-3BA6B8DA6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726912"/>
        <c:axId val="108725376"/>
      </c:lineChart>
      <c:catAx>
        <c:axId val="10871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08715392"/>
        <c:crossesAt val="0"/>
        <c:auto val="1"/>
        <c:lblAlgn val="ctr"/>
        <c:lblOffset val="100"/>
        <c:noMultiLvlLbl val="0"/>
      </c:catAx>
      <c:valAx>
        <c:axId val="108715392"/>
        <c:scaling>
          <c:orientation val="minMax"/>
          <c:max val="30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08713856"/>
        <c:crosses val="autoZero"/>
        <c:crossBetween val="between"/>
        <c:minorUnit val="1"/>
      </c:valAx>
      <c:valAx>
        <c:axId val="108725376"/>
        <c:scaling>
          <c:orientation val="minMax"/>
          <c:max val="5.000000000000001E-3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08726912"/>
        <c:crosses val="max"/>
        <c:crossBetween val="between"/>
        <c:majorUnit val="1.0000000000000002E-3"/>
        <c:minorUnit val="1.0000000000000013E-4"/>
      </c:valAx>
      <c:catAx>
        <c:axId val="108726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872537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6678104575163388E-3"/>
          <c:y val="0.11974960349207686"/>
          <c:w val="0.48887245220766012"/>
          <c:h val="0.16418965009053013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F1B-446C-AD43-7DE8ECC8A6EF}"/>
              </c:ext>
            </c:extLst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F1B-446C-AD43-7DE8ECC8A6E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F1B-446C-AD43-7DE8ECC8A6EF}"/>
              </c:ext>
            </c:extLst>
          </c:dPt>
          <c:cat>
            <c:strRef>
              <c:f>'6'!$M$2:$M$6</c:f>
              <c:strCache>
                <c:ptCount val="5"/>
                <c:pt idx="0">
                  <c:v>Německo</c:v>
                </c:pt>
                <c:pt idx="1">
                  <c:v>Francie</c:v>
                </c:pt>
                <c:pt idx="2">
                  <c:v>Itálie</c:v>
                </c:pt>
                <c:pt idx="3">
                  <c:v>V. Británie</c:v>
                </c:pt>
                <c:pt idx="4">
                  <c:v>Španělsko</c:v>
                </c:pt>
              </c:strCache>
            </c:strRef>
          </c:cat>
          <c:val>
            <c:numRef>
              <c:f>'6'!$N$2:$N$6</c:f>
              <c:numCache>
                <c:formatCode>General</c:formatCode>
                <c:ptCount val="5"/>
                <c:pt idx="0">
                  <c:v>14.8</c:v>
                </c:pt>
                <c:pt idx="1">
                  <c:v>6.6059030000000005</c:v>
                </c:pt>
                <c:pt idx="2">
                  <c:v>3.2837420000000002</c:v>
                </c:pt>
                <c:pt idx="3">
                  <c:v>2.922078</c:v>
                </c:pt>
                <c:pt idx="4">
                  <c:v>2.5150000000000001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B-446C-AD43-7DE8ECC8A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670912"/>
        <c:axId val="167672448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'6'!$M$2:$M$6</c:f>
              <c:strCache>
                <c:ptCount val="5"/>
                <c:pt idx="0">
                  <c:v>Německo</c:v>
                </c:pt>
                <c:pt idx="1">
                  <c:v>Francie</c:v>
                </c:pt>
                <c:pt idx="2">
                  <c:v>Itálie</c:v>
                </c:pt>
                <c:pt idx="3">
                  <c:v>V. Británie</c:v>
                </c:pt>
                <c:pt idx="4">
                  <c:v>Španělsko</c:v>
                </c:pt>
              </c:strCache>
            </c:strRef>
          </c:cat>
          <c:val>
            <c:numRef>
              <c:f>'6'!$O$2:$O$6</c:f>
              <c:numCache>
                <c:formatCode>0.00%</c:formatCode>
                <c:ptCount val="5"/>
                <c:pt idx="0">
                  <c:v>4.3E-3</c:v>
                </c:pt>
                <c:pt idx="1">
                  <c:v>2.7000000000000001E-3</c:v>
                </c:pt>
                <c:pt idx="2">
                  <c:v>1.8E-3</c:v>
                </c:pt>
                <c:pt idx="3">
                  <c:v>1.1999999999999999E-3</c:v>
                </c:pt>
                <c:pt idx="4">
                  <c:v>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F1B-446C-AD43-7DE8ECC8A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794240"/>
        <c:axId val="108795776"/>
      </c:lineChart>
      <c:catAx>
        <c:axId val="167670912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672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672448"/>
        <c:scaling>
          <c:orientation val="minMax"/>
          <c:max val="1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670912"/>
        <c:crosses val="autoZero"/>
        <c:crossBetween val="between"/>
        <c:majorUnit val="3"/>
        <c:minorUnit val="0.1"/>
      </c:valAx>
      <c:catAx>
        <c:axId val="108794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8795776"/>
        <c:crosses val="autoZero"/>
        <c:auto val="1"/>
        <c:lblAlgn val="ctr"/>
        <c:lblOffset val="100"/>
        <c:noMultiLvlLbl val="0"/>
      </c:catAx>
      <c:valAx>
        <c:axId val="108795776"/>
        <c:scaling>
          <c:orientation val="minMax"/>
          <c:max val="1.0000000000000002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08794240"/>
        <c:crosses val="max"/>
        <c:crossBetween val="between"/>
        <c:majorUnit val="2.0000000000000005E-3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6. Výdaje na VaV ve vládním sektoru (GOVERD), 2019 -</a:t>
            </a:r>
          </a:p>
          <a:p>
            <a:pPr>
              <a:defRPr sz="1100"/>
            </a:pPr>
            <a:r>
              <a:rPr lang="cs-CZ" sz="1100" b="1" baseline="0"/>
              <a:t> 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2015406862745098"/>
          <c:y val="2.812924246538148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6914421616838125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E04-452C-B508-3F648D359EE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E04-452C-B508-3F648D359EE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E04-452C-B508-3F648D359EE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4-0E04-452C-B508-3F648D359EE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E04-452C-B508-3F648D359EEB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E04-452C-B508-3F648D359EE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E04-452C-B508-3F648D359EEB}"/>
              </c:ext>
            </c:extLst>
          </c:dPt>
          <c:cat>
            <c:strRef>
              <c:f>'6'!$M$7:$M$29</c:f>
              <c:strCache>
                <c:ptCount val="23"/>
                <c:pt idx="0">
                  <c:v>Belgie</c:v>
                </c:pt>
                <c:pt idx="1">
                  <c:v>Nizozemsko</c:v>
                </c:pt>
                <c:pt idx="2">
                  <c:v>Rakousko</c:v>
                </c:pt>
                <c:pt idx="3">
                  <c:v>Švédsko</c:v>
                </c:pt>
                <c:pt idx="4">
                  <c:v>Česko</c:v>
                </c:pt>
                <c:pt idx="5">
                  <c:v>Finsko</c:v>
                </c:pt>
                <c:pt idx="6">
                  <c:v>Řecko</c:v>
                </c:pt>
                <c:pt idx="7">
                  <c:v>Rumunsko</c:v>
                </c:pt>
                <c:pt idx="8">
                  <c:v>Dánsko</c:v>
                </c:pt>
                <c:pt idx="9">
                  <c:v>Maďarsko</c:v>
                </c:pt>
                <c:pt idx="10">
                  <c:v>Lucembursko</c:v>
                </c:pt>
                <c:pt idx="11">
                  <c:v>Irsko</c:v>
                </c:pt>
                <c:pt idx="12">
                  <c:v>Slovensko</c:v>
                </c:pt>
                <c:pt idx="13">
                  <c:v>Portugalsko</c:v>
                </c:pt>
                <c:pt idx="14">
                  <c:v>Slovinsko</c:v>
                </c:pt>
                <c:pt idx="15">
                  <c:v>Bulharsko</c:v>
                </c:pt>
                <c:pt idx="16">
                  <c:v>Chorvatsko</c:v>
                </c:pt>
                <c:pt idx="17">
                  <c:v>Litva</c:v>
                </c:pt>
                <c:pt idx="18">
                  <c:v>Polsko</c:v>
                </c:pt>
                <c:pt idx="19">
                  <c:v>Estonsko</c:v>
                </c:pt>
                <c:pt idx="20">
                  <c:v>Lotyšsko</c:v>
                </c:pt>
                <c:pt idx="21">
                  <c:v>Kypr</c:v>
                </c:pt>
                <c:pt idx="22">
                  <c:v>Malta</c:v>
                </c:pt>
              </c:strCache>
            </c:strRef>
          </c:cat>
          <c:val>
            <c:numRef>
              <c:f>'6'!$N$7:$N$29</c:f>
              <c:numCache>
                <c:formatCode>General</c:formatCode>
                <c:ptCount val="23"/>
                <c:pt idx="0">
                  <c:v>1.3234490000000001</c:v>
                </c:pt>
                <c:pt idx="1">
                  <c:v>1.002</c:v>
                </c:pt>
                <c:pt idx="2">
                  <c:v>0.90655999999999992</c:v>
                </c:pt>
                <c:pt idx="3">
                  <c:v>0.72895699999999997</c:v>
                </c:pt>
                <c:pt idx="4">
                  <c:v>0.70785400000000009</c:v>
                </c:pt>
                <c:pt idx="5">
                  <c:v>0.54310000000000003</c:v>
                </c:pt>
                <c:pt idx="6">
                  <c:v>0.52705999999999997</c:v>
                </c:pt>
                <c:pt idx="7">
                  <c:v>0.33931499999999998</c:v>
                </c:pt>
                <c:pt idx="8">
                  <c:v>0.263324</c:v>
                </c:pt>
                <c:pt idx="9">
                  <c:v>0.21584899999999999</c:v>
                </c:pt>
                <c:pt idx="10">
                  <c:v>0.2087</c:v>
                </c:pt>
                <c:pt idx="11">
                  <c:v>0.16450000000000001</c:v>
                </c:pt>
                <c:pt idx="12">
                  <c:v>0.15493899999999999</c:v>
                </c:pt>
                <c:pt idx="13">
                  <c:v>0.15209999999999999</c:v>
                </c:pt>
                <c:pt idx="14">
                  <c:v>0.13663800000000001</c:v>
                </c:pt>
                <c:pt idx="15">
                  <c:v>0.127528</c:v>
                </c:pt>
                <c:pt idx="16">
                  <c:v>0.112244</c:v>
                </c:pt>
                <c:pt idx="17">
                  <c:v>9.9058000000000007E-2</c:v>
                </c:pt>
                <c:pt idx="18">
                  <c:v>8.9399000000000006E-2</c:v>
                </c:pt>
                <c:pt idx="19">
                  <c:v>4.641E-2</c:v>
                </c:pt>
                <c:pt idx="20">
                  <c:v>3.6899999999999995E-2</c:v>
                </c:pt>
                <c:pt idx="21">
                  <c:v>1.12E-2</c:v>
                </c:pt>
                <c:pt idx="22">
                  <c:v>6.4999999999999997E-4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04-452C-B508-3F648D359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5359744"/>
        <c:axId val="35365632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'6'!$M$7:$M$29</c:f>
              <c:strCache>
                <c:ptCount val="23"/>
                <c:pt idx="0">
                  <c:v>Belgie</c:v>
                </c:pt>
                <c:pt idx="1">
                  <c:v>Nizozemsko</c:v>
                </c:pt>
                <c:pt idx="2">
                  <c:v>Rakousko</c:v>
                </c:pt>
                <c:pt idx="3">
                  <c:v>Švédsko</c:v>
                </c:pt>
                <c:pt idx="4">
                  <c:v>Česko</c:v>
                </c:pt>
                <c:pt idx="5">
                  <c:v>Finsko</c:v>
                </c:pt>
                <c:pt idx="6">
                  <c:v>Řecko</c:v>
                </c:pt>
                <c:pt idx="7">
                  <c:v>Rumunsko</c:v>
                </c:pt>
                <c:pt idx="8">
                  <c:v>Dánsko</c:v>
                </c:pt>
                <c:pt idx="9">
                  <c:v>Maďarsko</c:v>
                </c:pt>
                <c:pt idx="10">
                  <c:v>Lucembursko</c:v>
                </c:pt>
                <c:pt idx="11">
                  <c:v>Irsko</c:v>
                </c:pt>
                <c:pt idx="12">
                  <c:v>Slovensko</c:v>
                </c:pt>
                <c:pt idx="13">
                  <c:v>Portugalsko</c:v>
                </c:pt>
                <c:pt idx="14">
                  <c:v>Slovinsko</c:v>
                </c:pt>
                <c:pt idx="15">
                  <c:v>Bulharsko</c:v>
                </c:pt>
                <c:pt idx="16">
                  <c:v>Chorvatsko</c:v>
                </c:pt>
                <c:pt idx="17">
                  <c:v>Litva</c:v>
                </c:pt>
                <c:pt idx="18">
                  <c:v>Polsko</c:v>
                </c:pt>
                <c:pt idx="19">
                  <c:v>Estonsko</c:v>
                </c:pt>
                <c:pt idx="20">
                  <c:v>Lotyšsko</c:v>
                </c:pt>
                <c:pt idx="21">
                  <c:v>Kypr</c:v>
                </c:pt>
                <c:pt idx="22">
                  <c:v>Malta</c:v>
                </c:pt>
              </c:strCache>
            </c:strRef>
          </c:cat>
          <c:val>
            <c:numRef>
              <c:f>'6'!$O$7:$O$29</c:f>
              <c:numCache>
                <c:formatCode>0.00%</c:formatCode>
                <c:ptCount val="23"/>
                <c:pt idx="0">
                  <c:v>2.8000000000000004E-3</c:v>
                </c:pt>
                <c:pt idx="1">
                  <c:v>1.1999999999999999E-3</c:v>
                </c:pt>
                <c:pt idx="2">
                  <c:v>2.3E-3</c:v>
                </c:pt>
                <c:pt idx="3">
                  <c:v>1.5E-3</c:v>
                </c:pt>
                <c:pt idx="4">
                  <c:v>3.2000000000000002E-3</c:v>
                </c:pt>
                <c:pt idx="5">
                  <c:v>2.3E-3</c:v>
                </c:pt>
                <c:pt idx="6">
                  <c:v>2.8999999999999998E-3</c:v>
                </c:pt>
                <c:pt idx="7">
                  <c:v>1.5E-3</c:v>
                </c:pt>
                <c:pt idx="8">
                  <c:v>8.0000000000000004E-4</c:v>
                </c:pt>
                <c:pt idx="9">
                  <c:v>1.5E-3</c:v>
                </c:pt>
                <c:pt idx="10">
                  <c:v>3.3E-3</c:v>
                </c:pt>
                <c:pt idx="11">
                  <c:v>5.0000000000000001E-4</c:v>
                </c:pt>
                <c:pt idx="12">
                  <c:v>1.7000000000000001E-3</c:v>
                </c:pt>
                <c:pt idx="13">
                  <c:v>7.000000000000001E-4</c:v>
                </c:pt>
                <c:pt idx="14">
                  <c:v>2.8000000000000004E-3</c:v>
                </c:pt>
                <c:pt idx="15">
                  <c:v>2.0999999999999999E-3</c:v>
                </c:pt>
                <c:pt idx="16">
                  <c:v>2.0999999999999999E-3</c:v>
                </c:pt>
                <c:pt idx="17">
                  <c:v>2E-3</c:v>
                </c:pt>
                <c:pt idx="18">
                  <c:v>2.0000000000000001E-4</c:v>
                </c:pt>
                <c:pt idx="19">
                  <c:v>1.7000000000000001E-3</c:v>
                </c:pt>
                <c:pt idx="20">
                  <c:v>1.1999999999999999E-3</c:v>
                </c:pt>
                <c:pt idx="21">
                  <c:v>5.0000000000000001E-4</c:v>
                </c:pt>
                <c:pt idx="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0E04-452C-B508-3F648D359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67168"/>
        <c:axId val="35368960"/>
      </c:lineChart>
      <c:catAx>
        <c:axId val="35359744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536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65632"/>
        <c:scaling>
          <c:orientation val="minMax"/>
          <c:max val="1.5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.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5359744"/>
        <c:crosses val="autoZero"/>
        <c:crossBetween val="between"/>
        <c:majorUnit val="0.30000000000000004"/>
      </c:valAx>
      <c:catAx>
        <c:axId val="35367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5368960"/>
        <c:crosses val="autoZero"/>
        <c:auto val="1"/>
        <c:lblAlgn val="ctr"/>
        <c:lblOffset val="100"/>
        <c:noMultiLvlLbl val="0"/>
      </c:catAx>
      <c:valAx>
        <c:axId val="35368960"/>
        <c:scaling>
          <c:orientation val="minMax"/>
          <c:max val="1.0000000000000002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35367168"/>
        <c:crosses val="max"/>
        <c:crossBetween val="between"/>
        <c:majorUnit val="2.0000000000000005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0.34424</cdr:x>
      <cdr:y>0.92954</cdr:y>
    </cdr:from>
    <cdr:to>
      <cdr:x>0.9704</cdr:x>
      <cdr:y>0.98374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05024" y="3267075"/>
          <a:ext cx="38290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  <cdr:relSizeAnchor xmlns:cdr="http://schemas.openxmlformats.org/drawingml/2006/chartDrawing">
    <cdr:from>
      <cdr:x>0.04401</cdr:x>
      <cdr:y>0.00912</cdr:y>
    </cdr:from>
    <cdr:to>
      <cdr:x>0.88556</cdr:x>
      <cdr:y>0.09726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38125" y="28575"/>
          <a:ext cx="45529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0.65991</cdr:x>
      <cdr:y>0.92682</cdr:y>
    </cdr:from>
    <cdr:to>
      <cdr:x>0.99222</cdr:x>
      <cdr:y>0.98458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4038627" y="4581722"/>
          <a:ext cx="2033737" cy="285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0.35098</cdr:x>
      <cdr:y>0.89464</cdr:y>
    </cdr:from>
    <cdr:to>
      <cdr:x>0.97714</cdr:x>
      <cdr:y>0.94914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48020" y="3127364"/>
          <a:ext cx="3832099" cy="1905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0.65056</cdr:x>
      <cdr:y>0.931</cdr:y>
    </cdr:from>
    <cdr:to>
      <cdr:x>1</cdr:x>
      <cdr:y>0.97737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3981427" y="4354077"/>
          <a:ext cx="2138573" cy="2168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0.34632</cdr:x>
      <cdr:y>0.92068</cdr:y>
    </cdr:from>
    <cdr:to>
      <cdr:x>0.97248</cdr:x>
      <cdr:y>0.97416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19456" y="3279774"/>
          <a:ext cx="3832099" cy="190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0.68948</cdr:x>
      <cdr:y>0.92681</cdr:y>
    </cdr:from>
    <cdr:to>
      <cdr:x>0.99689</cdr:x>
      <cdr:y>0.97318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4219595" y="4608160"/>
          <a:ext cx="1881350" cy="2305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0.35721</cdr:x>
      <cdr:y>0.8935</cdr:y>
    </cdr:from>
    <cdr:to>
      <cdr:x>0.98337</cdr:x>
      <cdr:y>0.94905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86120" y="3148909"/>
          <a:ext cx="3832099" cy="195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0.62566</cdr:x>
      <cdr:y>0.93523</cdr:y>
    </cdr:from>
    <cdr:to>
      <cdr:x>0.99533</cdr:x>
      <cdr:y>0.98159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3829039" y="4560917"/>
          <a:ext cx="2262381" cy="2260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1467-CEBE-4091-925B-331A0473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9170</TotalTime>
  <Pages>12</Pages>
  <Words>5611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Štampach</dc:creator>
  <cp:lastModifiedBy>marek.stampach@seznam.cz</cp:lastModifiedBy>
  <cp:revision>266</cp:revision>
  <cp:lastPrinted>2018-01-19T13:29:00Z</cp:lastPrinted>
  <dcterms:created xsi:type="dcterms:W3CDTF">2018-01-19T10:37:00Z</dcterms:created>
  <dcterms:modified xsi:type="dcterms:W3CDTF">2021-01-29T08:59:00Z</dcterms:modified>
</cp:coreProperties>
</file>