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ED9BD" w14:textId="77777777" w:rsidR="00BA7B1E" w:rsidRPr="00176553" w:rsidRDefault="002C3CC8" w:rsidP="002C3CC8">
      <w:pPr>
        <w:spacing w:line="288" w:lineRule="auto"/>
        <w:ind w:left="360"/>
        <w:outlineLvl w:val="0"/>
        <w:rPr>
          <w:rFonts w:ascii="Arial" w:hAnsi="Arial" w:cs="Arial"/>
          <w:b/>
          <w:color w:val="0071BC"/>
          <w:sz w:val="32"/>
          <w:szCs w:val="32"/>
          <w:lang w:val="cs-CZ"/>
        </w:rPr>
      </w:pPr>
      <w:bookmarkStart w:id="0" w:name="_Toc403568305"/>
      <w:bookmarkStart w:id="1" w:name="_Hlk497822533"/>
      <w:bookmarkStart w:id="2" w:name="_GoBack"/>
      <w:bookmarkEnd w:id="2"/>
      <w:r w:rsidRPr="00176553">
        <w:rPr>
          <w:rFonts w:ascii="Arial" w:hAnsi="Arial" w:cs="Arial"/>
          <w:b/>
          <w:color w:val="0071BC"/>
          <w:sz w:val="32"/>
          <w:szCs w:val="32"/>
          <w:lang w:val="cs-CZ"/>
        </w:rPr>
        <w:t>Závěrečné shrnutí</w:t>
      </w:r>
      <w:bookmarkEnd w:id="0"/>
    </w:p>
    <w:p w14:paraId="261418CE" w14:textId="77777777" w:rsidR="00BA7B1E" w:rsidRPr="008A11B4" w:rsidRDefault="00BA7B1E" w:rsidP="002C3CC8">
      <w:pPr>
        <w:spacing w:line="288" w:lineRule="auto"/>
        <w:ind w:left="360"/>
        <w:rPr>
          <w:rFonts w:ascii="Arial" w:hAnsi="Arial" w:cs="Arial"/>
          <w:b/>
          <w:sz w:val="20"/>
          <w:szCs w:val="20"/>
          <w:lang w:val="cs-CZ"/>
        </w:rPr>
      </w:pPr>
    </w:p>
    <w:p w14:paraId="6C0854F3" w14:textId="1553E4CD" w:rsidR="00BA7B1E" w:rsidRPr="00AF01F8" w:rsidRDefault="001279E5" w:rsidP="0022682C">
      <w:pPr>
        <w:pStyle w:val="Sodrkami2"/>
        <w:numPr>
          <w:ilvl w:val="0"/>
          <w:numId w:val="3"/>
        </w:numPr>
        <w:tabs>
          <w:tab w:val="num" w:pos="540"/>
        </w:tabs>
        <w:spacing w:before="80" w:line="288" w:lineRule="auto"/>
        <w:ind w:left="540" w:hanging="540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>Pro hodnocení Integrovaného šetření v zemědělství 202</w:t>
      </w:r>
      <w:r w:rsidR="009A3B72" w:rsidRPr="00AF01F8">
        <w:rPr>
          <w:rFonts w:ascii="Arial" w:hAnsi="Arial" w:cs="Arial"/>
          <w:sz w:val="20"/>
          <w:szCs w:val="20"/>
        </w:rPr>
        <w:t>3</w:t>
      </w:r>
      <w:r w:rsidRPr="00AF01F8">
        <w:rPr>
          <w:rFonts w:ascii="Arial" w:hAnsi="Arial" w:cs="Arial"/>
          <w:sz w:val="20"/>
          <w:szCs w:val="20"/>
        </w:rPr>
        <w:t xml:space="preserve"> byl využit</w:t>
      </w:r>
      <w:r w:rsidR="00BA7B1E" w:rsidRPr="00AF01F8">
        <w:rPr>
          <w:rFonts w:ascii="Arial" w:hAnsi="Arial" w:cs="Arial"/>
          <w:sz w:val="20"/>
          <w:szCs w:val="20"/>
        </w:rPr>
        <w:t xml:space="preserve"> klasifikační systém zemědělských podniků EU platný od účetního roku 2010.</w:t>
      </w:r>
    </w:p>
    <w:p w14:paraId="16AFDE5F" w14:textId="3062D9A2" w:rsidR="00BA7B1E" w:rsidRPr="00AF01F8" w:rsidRDefault="00270FA0" w:rsidP="0022682C">
      <w:pPr>
        <w:pStyle w:val="Sodrkami2"/>
        <w:numPr>
          <w:ilvl w:val="0"/>
          <w:numId w:val="3"/>
        </w:numPr>
        <w:tabs>
          <w:tab w:val="num" w:pos="540"/>
        </w:tabs>
        <w:spacing w:before="80" w:line="288" w:lineRule="auto"/>
        <w:ind w:left="540" w:hanging="540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>T</w:t>
      </w:r>
      <w:r w:rsidR="00BA7B1E" w:rsidRPr="00AF01F8">
        <w:rPr>
          <w:rFonts w:ascii="Arial" w:hAnsi="Arial" w:cs="Arial"/>
          <w:sz w:val="20"/>
          <w:szCs w:val="20"/>
        </w:rPr>
        <w:t xml:space="preserve">ypologie </w:t>
      </w:r>
      <w:r w:rsidRPr="00AF01F8">
        <w:rPr>
          <w:rFonts w:ascii="Arial" w:hAnsi="Arial" w:cs="Arial"/>
          <w:sz w:val="20"/>
          <w:szCs w:val="20"/>
        </w:rPr>
        <w:t>zemědělských podniků je založena na hodnotě</w:t>
      </w:r>
      <w:r w:rsidR="00BA7B1E" w:rsidRPr="00AF01F8">
        <w:rPr>
          <w:rFonts w:ascii="Arial" w:hAnsi="Arial" w:cs="Arial"/>
          <w:sz w:val="20"/>
          <w:szCs w:val="20"/>
        </w:rPr>
        <w:t xml:space="preserve"> standardní produkce, kter</w:t>
      </w:r>
      <w:r w:rsidRPr="00AF01F8">
        <w:rPr>
          <w:rFonts w:ascii="Arial" w:hAnsi="Arial" w:cs="Arial"/>
          <w:sz w:val="20"/>
          <w:szCs w:val="20"/>
        </w:rPr>
        <w:t>á</w:t>
      </w:r>
      <w:r w:rsidR="00BA7B1E" w:rsidRPr="00AF01F8">
        <w:rPr>
          <w:rFonts w:ascii="Arial" w:hAnsi="Arial" w:cs="Arial"/>
          <w:sz w:val="20"/>
          <w:szCs w:val="20"/>
        </w:rPr>
        <w:t xml:space="preserve"> slouží jako klasifikační kritérium pro zatřídění</w:t>
      </w:r>
      <w:r w:rsidR="008304AF" w:rsidRPr="00AF01F8">
        <w:rPr>
          <w:rFonts w:ascii="Arial" w:hAnsi="Arial" w:cs="Arial"/>
          <w:sz w:val="20"/>
          <w:szCs w:val="20"/>
        </w:rPr>
        <w:t xml:space="preserve"> podniků</w:t>
      </w:r>
      <w:r w:rsidR="00BA7B1E" w:rsidRPr="00AF01F8">
        <w:rPr>
          <w:rFonts w:ascii="Arial" w:hAnsi="Arial" w:cs="Arial"/>
          <w:sz w:val="20"/>
          <w:szCs w:val="20"/>
        </w:rPr>
        <w:t>. Standardní produkce vyjadřuje průměrnou finanční hodnotu hrubé produkce za</w:t>
      </w:r>
      <w:r w:rsidR="001437B3" w:rsidRPr="00AF01F8">
        <w:rPr>
          <w:rFonts w:ascii="Arial" w:hAnsi="Arial" w:cs="Arial"/>
          <w:sz w:val="20"/>
          <w:szCs w:val="20"/>
        </w:rPr>
        <w:t xml:space="preserve"> období </w:t>
      </w:r>
      <w:r w:rsidR="00BA7B1E" w:rsidRPr="00AF01F8">
        <w:rPr>
          <w:rFonts w:ascii="Arial" w:hAnsi="Arial" w:cs="Arial"/>
          <w:sz w:val="20"/>
          <w:szCs w:val="20"/>
        </w:rPr>
        <w:t xml:space="preserve">pěti po sobě jdoucích let. Koeficienty standardní produkce jsou </w:t>
      </w:r>
      <w:r w:rsidR="001437B3" w:rsidRPr="00AF01F8">
        <w:rPr>
          <w:rFonts w:ascii="Arial" w:hAnsi="Arial" w:cs="Arial"/>
          <w:sz w:val="20"/>
          <w:szCs w:val="20"/>
        </w:rPr>
        <w:t xml:space="preserve">vypočítávány </w:t>
      </w:r>
      <w:r w:rsidR="00BA7B1E" w:rsidRPr="00AF01F8">
        <w:rPr>
          <w:rFonts w:ascii="Arial" w:hAnsi="Arial" w:cs="Arial"/>
          <w:sz w:val="20"/>
          <w:szCs w:val="20"/>
        </w:rPr>
        <w:t xml:space="preserve">za všechny významné zemědělské výrobky. </w:t>
      </w:r>
    </w:p>
    <w:p w14:paraId="73F2B228" w14:textId="6F2BBBEC" w:rsidR="00BA7B1E" w:rsidRPr="00AF01F8" w:rsidRDefault="00BA7B1E" w:rsidP="0022682C">
      <w:pPr>
        <w:pStyle w:val="Sodrkami2"/>
        <w:numPr>
          <w:ilvl w:val="0"/>
          <w:numId w:val="3"/>
        </w:numPr>
        <w:tabs>
          <w:tab w:val="num" w:pos="540"/>
        </w:tabs>
        <w:spacing w:before="80" w:line="288" w:lineRule="auto"/>
        <w:ind w:left="540" w:hanging="540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 xml:space="preserve">Klasifikační systém </w:t>
      </w:r>
      <w:r w:rsidR="001279E5" w:rsidRPr="00AF01F8">
        <w:rPr>
          <w:rFonts w:ascii="Arial" w:hAnsi="Arial" w:cs="Arial"/>
          <w:sz w:val="20"/>
          <w:szCs w:val="20"/>
        </w:rPr>
        <w:t>umožňuje roztřídění</w:t>
      </w:r>
      <w:r w:rsidRPr="00AF01F8">
        <w:rPr>
          <w:rFonts w:ascii="Arial" w:hAnsi="Arial" w:cs="Arial"/>
          <w:sz w:val="20"/>
          <w:szCs w:val="20"/>
        </w:rPr>
        <w:t xml:space="preserve"> zemědělských podniků </w:t>
      </w:r>
      <w:r w:rsidR="001279E5" w:rsidRPr="00AF01F8">
        <w:rPr>
          <w:rFonts w:ascii="Arial" w:hAnsi="Arial" w:cs="Arial"/>
          <w:sz w:val="20"/>
          <w:szCs w:val="20"/>
        </w:rPr>
        <w:t>do</w:t>
      </w:r>
      <w:r w:rsidRPr="00AF01F8">
        <w:rPr>
          <w:rFonts w:ascii="Arial" w:hAnsi="Arial" w:cs="Arial"/>
          <w:sz w:val="20"/>
          <w:szCs w:val="20"/>
        </w:rPr>
        <w:t xml:space="preserve"> tříd </w:t>
      </w:r>
      <w:r w:rsidR="001279E5" w:rsidRPr="00AF01F8">
        <w:rPr>
          <w:rFonts w:ascii="Arial" w:hAnsi="Arial" w:cs="Arial"/>
          <w:sz w:val="20"/>
          <w:szCs w:val="20"/>
        </w:rPr>
        <w:t xml:space="preserve">podle </w:t>
      </w:r>
      <w:r w:rsidRPr="00AF01F8">
        <w:rPr>
          <w:rFonts w:ascii="Arial" w:hAnsi="Arial" w:cs="Arial"/>
          <w:sz w:val="20"/>
          <w:szCs w:val="20"/>
        </w:rPr>
        <w:t xml:space="preserve">ekonomické velikosti, typů výrobního zaměření a podílu jiných výdělečných činností v rámci šetření </w:t>
      </w:r>
      <w:r w:rsidR="008304AF" w:rsidRPr="00AF01F8">
        <w:rPr>
          <w:rFonts w:ascii="Arial" w:hAnsi="Arial" w:cs="Arial"/>
          <w:sz w:val="20"/>
          <w:szCs w:val="20"/>
        </w:rPr>
        <w:t>Z</w:t>
      </w:r>
      <w:r w:rsidRPr="00AF01F8">
        <w:rPr>
          <w:rFonts w:ascii="Arial" w:hAnsi="Arial" w:cs="Arial"/>
          <w:sz w:val="20"/>
          <w:szCs w:val="20"/>
        </w:rPr>
        <w:t xml:space="preserve">emědělské účetní datové sítě </w:t>
      </w:r>
      <w:r w:rsidR="00270FA0" w:rsidRPr="00AF01F8">
        <w:rPr>
          <w:rFonts w:ascii="Arial" w:hAnsi="Arial" w:cs="Arial"/>
          <w:sz w:val="20"/>
          <w:szCs w:val="20"/>
        </w:rPr>
        <w:t>(</w:t>
      </w:r>
      <w:r w:rsidRPr="00AF01F8">
        <w:rPr>
          <w:rFonts w:ascii="Arial" w:hAnsi="Arial" w:cs="Arial"/>
          <w:sz w:val="20"/>
          <w:szCs w:val="20"/>
        </w:rPr>
        <w:t>FADN</w:t>
      </w:r>
      <w:r w:rsidR="00270FA0" w:rsidRPr="00AF01F8">
        <w:rPr>
          <w:rFonts w:ascii="Arial" w:hAnsi="Arial" w:cs="Arial"/>
          <w:sz w:val="20"/>
          <w:szCs w:val="20"/>
        </w:rPr>
        <w:t>)</w:t>
      </w:r>
      <w:r w:rsidRPr="00AF01F8">
        <w:rPr>
          <w:rFonts w:ascii="Arial" w:hAnsi="Arial" w:cs="Arial"/>
          <w:sz w:val="20"/>
          <w:szCs w:val="20"/>
        </w:rPr>
        <w:t xml:space="preserve"> a </w:t>
      </w:r>
      <w:r w:rsidR="008304AF" w:rsidRPr="00AF01F8">
        <w:rPr>
          <w:rFonts w:ascii="Arial" w:hAnsi="Arial" w:cs="Arial"/>
          <w:sz w:val="20"/>
          <w:szCs w:val="20"/>
        </w:rPr>
        <w:t>I</w:t>
      </w:r>
      <w:r w:rsidR="00D54AD4" w:rsidRPr="00AF01F8">
        <w:rPr>
          <w:rFonts w:ascii="Arial" w:hAnsi="Arial" w:cs="Arial"/>
          <w:sz w:val="20"/>
          <w:szCs w:val="20"/>
        </w:rPr>
        <w:t>ntegrované</w:t>
      </w:r>
      <w:r w:rsidR="00910B5C" w:rsidRPr="00AF01F8">
        <w:rPr>
          <w:rFonts w:ascii="Arial" w:hAnsi="Arial" w:cs="Arial"/>
          <w:sz w:val="20"/>
          <w:szCs w:val="20"/>
        </w:rPr>
        <w:t>ho šetření v</w:t>
      </w:r>
      <w:r w:rsidR="001279E5" w:rsidRPr="00AF01F8">
        <w:rPr>
          <w:rFonts w:ascii="Arial" w:hAnsi="Arial" w:cs="Arial"/>
          <w:sz w:val="20"/>
          <w:szCs w:val="20"/>
        </w:rPr>
        <w:t> </w:t>
      </w:r>
      <w:r w:rsidR="00D54AD4" w:rsidRPr="00AF01F8">
        <w:rPr>
          <w:rFonts w:ascii="Arial" w:hAnsi="Arial" w:cs="Arial"/>
          <w:sz w:val="20"/>
          <w:szCs w:val="20"/>
        </w:rPr>
        <w:t>zeměděls</w:t>
      </w:r>
      <w:r w:rsidR="00910B5C" w:rsidRPr="00AF01F8">
        <w:rPr>
          <w:rFonts w:ascii="Arial" w:hAnsi="Arial" w:cs="Arial"/>
          <w:sz w:val="20"/>
          <w:szCs w:val="20"/>
        </w:rPr>
        <w:t>tví</w:t>
      </w:r>
      <w:r w:rsidR="001279E5" w:rsidRPr="00AF01F8">
        <w:rPr>
          <w:rFonts w:ascii="Arial" w:hAnsi="Arial" w:cs="Arial"/>
          <w:sz w:val="20"/>
          <w:szCs w:val="20"/>
        </w:rPr>
        <w:t xml:space="preserve"> (IFS)</w:t>
      </w:r>
      <w:r w:rsidR="00B64962" w:rsidRPr="00AF01F8">
        <w:rPr>
          <w:rFonts w:ascii="Arial" w:hAnsi="Arial" w:cs="Arial"/>
          <w:sz w:val="20"/>
          <w:szCs w:val="20"/>
        </w:rPr>
        <w:t xml:space="preserve">, kde jiné výdělečné činnosti nejsou </w:t>
      </w:r>
      <w:r w:rsidR="007718F2" w:rsidRPr="00AF01F8">
        <w:rPr>
          <w:rFonts w:ascii="Arial" w:hAnsi="Arial" w:cs="Arial"/>
          <w:sz w:val="20"/>
          <w:szCs w:val="20"/>
        </w:rPr>
        <w:t>zahrnuty.</w:t>
      </w:r>
      <w:r w:rsidR="00B64962" w:rsidRPr="00AF01F8">
        <w:rPr>
          <w:rFonts w:ascii="Arial" w:hAnsi="Arial" w:cs="Arial"/>
          <w:sz w:val="20"/>
          <w:szCs w:val="20"/>
        </w:rPr>
        <w:t xml:space="preserve"> </w:t>
      </w:r>
    </w:p>
    <w:p w14:paraId="4836A08F" w14:textId="281654EC" w:rsidR="00BA7B1E" w:rsidRPr="00AF01F8" w:rsidRDefault="001279E5" w:rsidP="0022682C">
      <w:pPr>
        <w:pStyle w:val="Sodrkami2"/>
        <w:numPr>
          <w:ilvl w:val="0"/>
          <w:numId w:val="3"/>
        </w:numPr>
        <w:tabs>
          <w:tab w:val="num" w:pos="540"/>
        </w:tabs>
        <w:spacing w:before="80" w:line="288" w:lineRule="auto"/>
        <w:ind w:left="540" w:hanging="540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 xml:space="preserve">Největší část </w:t>
      </w:r>
      <w:r w:rsidR="00BA7B1E" w:rsidRPr="00AF01F8">
        <w:rPr>
          <w:rFonts w:ascii="Arial" w:hAnsi="Arial" w:cs="Arial"/>
          <w:sz w:val="20"/>
          <w:szCs w:val="20"/>
        </w:rPr>
        <w:t xml:space="preserve">zemědělské produkce je </w:t>
      </w:r>
      <w:r w:rsidRPr="00AF01F8">
        <w:rPr>
          <w:rFonts w:ascii="Arial" w:hAnsi="Arial" w:cs="Arial"/>
          <w:sz w:val="20"/>
          <w:szCs w:val="20"/>
        </w:rPr>
        <w:t>tvořena ve skupině</w:t>
      </w:r>
      <w:r w:rsidR="00BA7B1E" w:rsidRPr="00AF01F8">
        <w:rPr>
          <w:rFonts w:ascii="Arial" w:hAnsi="Arial" w:cs="Arial"/>
          <w:sz w:val="20"/>
          <w:szCs w:val="20"/>
        </w:rPr>
        <w:t xml:space="preserve"> velkých zemědělských podniků (třída ekonomické </w:t>
      </w:r>
      <w:proofErr w:type="gramStart"/>
      <w:r w:rsidR="00BA7B1E" w:rsidRPr="00AF01F8">
        <w:rPr>
          <w:rFonts w:ascii="Arial" w:hAnsi="Arial" w:cs="Arial"/>
          <w:sz w:val="20"/>
          <w:szCs w:val="20"/>
        </w:rPr>
        <w:t>velikosti X.-XIV</w:t>
      </w:r>
      <w:proofErr w:type="gramEnd"/>
      <w:r w:rsidR="00BA7B1E" w:rsidRPr="00AF01F8">
        <w:rPr>
          <w:rFonts w:ascii="Arial" w:hAnsi="Arial" w:cs="Arial"/>
          <w:sz w:val="20"/>
          <w:szCs w:val="20"/>
        </w:rPr>
        <w:t>.), které obhospodařují 6</w:t>
      </w:r>
      <w:r w:rsidR="001437B3" w:rsidRPr="00AF01F8">
        <w:rPr>
          <w:rFonts w:ascii="Arial" w:hAnsi="Arial" w:cs="Arial"/>
          <w:sz w:val="20"/>
          <w:szCs w:val="20"/>
        </w:rPr>
        <w:t>1</w:t>
      </w:r>
      <w:r w:rsidR="00EC49A7" w:rsidRPr="00AF01F8">
        <w:rPr>
          <w:rFonts w:ascii="Arial" w:hAnsi="Arial" w:cs="Arial"/>
          <w:sz w:val="20"/>
          <w:szCs w:val="20"/>
        </w:rPr>
        <w:t> </w:t>
      </w:r>
      <w:r w:rsidR="00BA7B1E" w:rsidRPr="00AF01F8">
        <w:rPr>
          <w:rFonts w:ascii="Arial" w:hAnsi="Arial" w:cs="Arial"/>
          <w:sz w:val="20"/>
          <w:szCs w:val="20"/>
        </w:rPr>
        <w:t>% zemědělského půdního fondu ČR a na celkovém počtu chovaných hospodářských zvířat se podíl</w:t>
      </w:r>
      <w:r w:rsidR="00396760" w:rsidRPr="00AF01F8">
        <w:rPr>
          <w:rFonts w:ascii="Arial" w:hAnsi="Arial" w:cs="Arial"/>
          <w:sz w:val="20"/>
          <w:szCs w:val="20"/>
        </w:rPr>
        <w:t>ejí</w:t>
      </w:r>
      <w:r w:rsidR="00BA7B1E" w:rsidRPr="00AF01F8">
        <w:rPr>
          <w:rFonts w:ascii="Arial" w:hAnsi="Arial" w:cs="Arial"/>
          <w:sz w:val="20"/>
          <w:szCs w:val="20"/>
        </w:rPr>
        <w:t xml:space="preserve"> 7</w:t>
      </w:r>
      <w:r w:rsidR="001437B3" w:rsidRPr="00AF01F8">
        <w:rPr>
          <w:rFonts w:ascii="Arial" w:hAnsi="Arial" w:cs="Arial"/>
          <w:sz w:val="20"/>
          <w:szCs w:val="20"/>
        </w:rPr>
        <w:t>6</w:t>
      </w:r>
      <w:r w:rsidR="00EC49A7" w:rsidRPr="00AF01F8">
        <w:rPr>
          <w:rFonts w:ascii="Arial" w:hAnsi="Arial" w:cs="Arial"/>
          <w:sz w:val="20"/>
          <w:szCs w:val="20"/>
        </w:rPr>
        <w:t> </w:t>
      </w:r>
      <w:r w:rsidR="00BA7B1E" w:rsidRPr="00AF01F8">
        <w:rPr>
          <w:rFonts w:ascii="Arial" w:hAnsi="Arial" w:cs="Arial"/>
          <w:sz w:val="20"/>
          <w:szCs w:val="20"/>
        </w:rPr>
        <w:t xml:space="preserve">%. </w:t>
      </w:r>
    </w:p>
    <w:p w14:paraId="72BA5D85" w14:textId="713F00A8" w:rsidR="00BA7B1E" w:rsidRPr="00AF01F8" w:rsidRDefault="00396760" w:rsidP="0022682C">
      <w:pPr>
        <w:pStyle w:val="Sodrkami2"/>
        <w:numPr>
          <w:ilvl w:val="0"/>
          <w:numId w:val="3"/>
        </w:numPr>
        <w:tabs>
          <w:tab w:val="num" w:pos="540"/>
        </w:tabs>
        <w:spacing w:before="80" w:line="288" w:lineRule="auto"/>
        <w:ind w:left="540" w:hanging="540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 xml:space="preserve">Nejpočetnější </w:t>
      </w:r>
      <w:r w:rsidR="00BA7B1E" w:rsidRPr="00AF01F8">
        <w:rPr>
          <w:rFonts w:ascii="Arial" w:hAnsi="Arial" w:cs="Arial"/>
          <w:sz w:val="20"/>
          <w:szCs w:val="20"/>
        </w:rPr>
        <w:t xml:space="preserve">skupinu českého zemědělství představují podniky malé ekonomické velikosti (třída ekonomické </w:t>
      </w:r>
      <w:proofErr w:type="gramStart"/>
      <w:r w:rsidR="00BA7B1E" w:rsidRPr="00AF01F8">
        <w:rPr>
          <w:rFonts w:ascii="Arial" w:hAnsi="Arial" w:cs="Arial"/>
          <w:sz w:val="20"/>
          <w:szCs w:val="20"/>
        </w:rPr>
        <w:t>velikosti I.-V.), které</w:t>
      </w:r>
      <w:proofErr w:type="gramEnd"/>
      <w:r w:rsidR="00BA7B1E" w:rsidRPr="00AF01F8">
        <w:rPr>
          <w:rFonts w:ascii="Arial" w:hAnsi="Arial" w:cs="Arial"/>
          <w:sz w:val="20"/>
          <w:szCs w:val="20"/>
        </w:rPr>
        <w:t xml:space="preserve"> tvoří 60</w:t>
      </w:r>
      <w:r w:rsidR="00EC49A7" w:rsidRPr="00AF01F8">
        <w:rPr>
          <w:rFonts w:ascii="Arial" w:hAnsi="Arial" w:cs="Arial"/>
          <w:sz w:val="20"/>
          <w:szCs w:val="20"/>
        </w:rPr>
        <w:t> </w:t>
      </w:r>
      <w:r w:rsidR="00BA7B1E" w:rsidRPr="00AF01F8">
        <w:rPr>
          <w:rFonts w:ascii="Arial" w:hAnsi="Arial" w:cs="Arial"/>
          <w:sz w:val="20"/>
          <w:szCs w:val="20"/>
        </w:rPr>
        <w:t>% všech zemědělských su</w:t>
      </w:r>
      <w:r w:rsidR="00D54AD4" w:rsidRPr="00AF01F8">
        <w:rPr>
          <w:rFonts w:ascii="Arial" w:hAnsi="Arial" w:cs="Arial"/>
          <w:sz w:val="20"/>
          <w:szCs w:val="20"/>
        </w:rPr>
        <w:t>bjektů, ale hospodaří pouze na 6</w:t>
      </w:r>
      <w:r w:rsidR="00EC49A7" w:rsidRPr="00AF01F8">
        <w:rPr>
          <w:rFonts w:ascii="Arial" w:hAnsi="Arial" w:cs="Arial"/>
          <w:sz w:val="20"/>
          <w:szCs w:val="20"/>
        </w:rPr>
        <w:t> </w:t>
      </w:r>
      <w:r w:rsidR="00BA7B1E" w:rsidRPr="00AF01F8">
        <w:rPr>
          <w:rFonts w:ascii="Arial" w:hAnsi="Arial" w:cs="Arial"/>
          <w:sz w:val="20"/>
          <w:szCs w:val="20"/>
        </w:rPr>
        <w:t>% zemědělské půdy ČR s</w:t>
      </w:r>
      <w:r w:rsidRPr="00AF01F8">
        <w:rPr>
          <w:rFonts w:ascii="Arial" w:hAnsi="Arial" w:cs="Arial"/>
          <w:sz w:val="20"/>
          <w:szCs w:val="20"/>
        </w:rPr>
        <w:t xml:space="preserve">e </w:t>
      </w:r>
      <w:r w:rsidR="00BA7B1E" w:rsidRPr="00AF01F8">
        <w:rPr>
          <w:rFonts w:ascii="Arial" w:hAnsi="Arial" w:cs="Arial"/>
          <w:sz w:val="20"/>
          <w:szCs w:val="20"/>
        </w:rPr>
        <w:t>4% podílem na celkovém počtu chovaných hospodářských zvířat.</w:t>
      </w:r>
    </w:p>
    <w:p w14:paraId="72A2B3C5" w14:textId="5D715013" w:rsidR="00BA7B1E" w:rsidRPr="00AF01F8" w:rsidRDefault="001279E5" w:rsidP="0022682C">
      <w:pPr>
        <w:pStyle w:val="Sodrkami2"/>
        <w:numPr>
          <w:ilvl w:val="0"/>
          <w:numId w:val="3"/>
        </w:numPr>
        <w:spacing w:before="80" w:line="288" w:lineRule="auto"/>
        <w:ind w:left="567" w:hanging="567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>V</w:t>
      </w:r>
      <w:r w:rsidR="00BA7B1E" w:rsidRPr="00AF01F8">
        <w:rPr>
          <w:rFonts w:ascii="Arial" w:hAnsi="Arial" w:cs="Arial"/>
          <w:sz w:val="20"/>
          <w:szCs w:val="20"/>
        </w:rPr>
        <w:t xml:space="preserve">ýrobní zaměření </w:t>
      </w:r>
      <w:r w:rsidRPr="00AF01F8">
        <w:rPr>
          <w:rFonts w:ascii="Arial" w:hAnsi="Arial" w:cs="Arial"/>
          <w:sz w:val="20"/>
          <w:szCs w:val="20"/>
        </w:rPr>
        <w:t>s nejvyšším počtem podniků</w:t>
      </w:r>
      <w:r w:rsidR="00BA7B1E" w:rsidRPr="00AF01F8">
        <w:rPr>
          <w:rFonts w:ascii="Arial" w:hAnsi="Arial" w:cs="Arial"/>
          <w:sz w:val="20"/>
          <w:szCs w:val="20"/>
        </w:rPr>
        <w:t xml:space="preserve"> představují </w:t>
      </w:r>
      <w:r w:rsidR="00D54AD4" w:rsidRPr="00AF01F8">
        <w:rPr>
          <w:rFonts w:ascii="Arial" w:hAnsi="Arial" w:cs="Arial"/>
          <w:sz w:val="20"/>
          <w:szCs w:val="20"/>
        </w:rPr>
        <w:t xml:space="preserve">specializace polní výroba, </w:t>
      </w:r>
      <w:r w:rsidR="00BA7B1E" w:rsidRPr="00AF01F8">
        <w:rPr>
          <w:rFonts w:ascii="Arial" w:hAnsi="Arial" w:cs="Arial"/>
          <w:sz w:val="20"/>
          <w:szCs w:val="20"/>
        </w:rPr>
        <w:t xml:space="preserve">chov </w:t>
      </w:r>
      <w:r w:rsidR="00396760" w:rsidRPr="00AF01F8">
        <w:rPr>
          <w:rFonts w:ascii="Arial" w:hAnsi="Arial" w:cs="Arial"/>
          <w:sz w:val="20"/>
          <w:szCs w:val="20"/>
        </w:rPr>
        <w:t>skotu a zvířat zkrmujících objemnou píci</w:t>
      </w:r>
      <w:r w:rsidR="0022349C" w:rsidRPr="00AF01F8">
        <w:rPr>
          <w:rFonts w:ascii="Arial" w:hAnsi="Arial" w:cs="Arial"/>
          <w:sz w:val="20"/>
          <w:szCs w:val="20"/>
        </w:rPr>
        <w:t>,</w:t>
      </w:r>
      <w:r w:rsidR="00BA7B1E" w:rsidRPr="00AF01F8">
        <w:rPr>
          <w:rFonts w:ascii="Arial" w:hAnsi="Arial" w:cs="Arial"/>
          <w:sz w:val="20"/>
          <w:szCs w:val="20"/>
        </w:rPr>
        <w:t xml:space="preserve"> </w:t>
      </w:r>
      <w:r w:rsidR="00D54AD4" w:rsidRPr="00AF01F8">
        <w:rPr>
          <w:rFonts w:ascii="Arial" w:hAnsi="Arial" w:cs="Arial"/>
          <w:sz w:val="20"/>
          <w:szCs w:val="20"/>
        </w:rPr>
        <w:t>zahradnictví a trvalé kultury</w:t>
      </w:r>
      <w:r w:rsidR="0022349C" w:rsidRPr="00AF01F8">
        <w:rPr>
          <w:rFonts w:ascii="Arial" w:hAnsi="Arial" w:cs="Arial"/>
          <w:sz w:val="20"/>
          <w:szCs w:val="20"/>
        </w:rPr>
        <w:t xml:space="preserve"> a smíšená výroba</w:t>
      </w:r>
      <w:r w:rsidR="00BA7B1E" w:rsidRPr="00AF01F8">
        <w:rPr>
          <w:rFonts w:ascii="Arial" w:hAnsi="Arial" w:cs="Arial"/>
          <w:sz w:val="20"/>
          <w:szCs w:val="20"/>
        </w:rPr>
        <w:t>. Celkově podniky těchto převažujících výrobní</w:t>
      </w:r>
      <w:r w:rsidR="002D2D7D" w:rsidRPr="00AF01F8">
        <w:rPr>
          <w:rFonts w:ascii="Arial" w:hAnsi="Arial" w:cs="Arial"/>
          <w:sz w:val="20"/>
          <w:szCs w:val="20"/>
        </w:rPr>
        <w:t>ch</w:t>
      </w:r>
      <w:r w:rsidR="00BA7B1E" w:rsidRPr="00AF01F8">
        <w:rPr>
          <w:rFonts w:ascii="Arial" w:hAnsi="Arial" w:cs="Arial"/>
          <w:sz w:val="20"/>
          <w:szCs w:val="20"/>
        </w:rPr>
        <w:t xml:space="preserve"> specializací soustřeďují </w:t>
      </w:r>
      <w:r w:rsidR="00966EAC" w:rsidRPr="00AF01F8">
        <w:rPr>
          <w:rFonts w:ascii="Arial" w:hAnsi="Arial" w:cs="Arial"/>
          <w:sz w:val="20"/>
          <w:szCs w:val="20"/>
        </w:rPr>
        <w:t>90</w:t>
      </w:r>
      <w:r w:rsidR="00EC49A7" w:rsidRPr="00AF01F8">
        <w:rPr>
          <w:rFonts w:ascii="Arial" w:hAnsi="Arial" w:cs="Arial"/>
          <w:sz w:val="20"/>
          <w:szCs w:val="20"/>
        </w:rPr>
        <w:t> </w:t>
      </w:r>
      <w:r w:rsidR="00BA7B1E" w:rsidRPr="00AF01F8">
        <w:rPr>
          <w:rFonts w:ascii="Arial" w:hAnsi="Arial" w:cs="Arial"/>
          <w:sz w:val="20"/>
          <w:szCs w:val="20"/>
        </w:rPr>
        <w:t xml:space="preserve">% </w:t>
      </w:r>
      <w:r w:rsidR="002E6E2D" w:rsidRPr="00AF01F8">
        <w:rPr>
          <w:rFonts w:ascii="Arial" w:hAnsi="Arial" w:cs="Arial"/>
          <w:sz w:val="20"/>
          <w:szCs w:val="20"/>
        </w:rPr>
        <w:t xml:space="preserve">zemědělského půdního fondu ČR a </w:t>
      </w:r>
      <w:r w:rsidR="00966EAC" w:rsidRPr="00AF01F8">
        <w:rPr>
          <w:rFonts w:ascii="Arial" w:hAnsi="Arial" w:cs="Arial"/>
          <w:sz w:val="20"/>
          <w:szCs w:val="20"/>
        </w:rPr>
        <w:t>58</w:t>
      </w:r>
      <w:r w:rsidR="002E6E2D" w:rsidRPr="00AF01F8">
        <w:rPr>
          <w:rFonts w:ascii="Arial" w:hAnsi="Arial" w:cs="Arial"/>
          <w:sz w:val="20"/>
          <w:szCs w:val="20"/>
        </w:rPr>
        <w:t> % chovaných zvířat.</w:t>
      </w:r>
    </w:p>
    <w:p w14:paraId="66D78187" w14:textId="29C75F23" w:rsidR="002E6E2D" w:rsidRPr="00AF01F8" w:rsidRDefault="0022682C" w:rsidP="0022682C">
      <w:pPr>
        <w:pStyle w:val="Sodrkami2"/>
        <w:numPr>
          <w:ilvl w:val="0"/>
          <w:numId w:val="3"/>
        </w:numPr>
        <w:tabs>
          <w:tab w:val="num" w:pos="540"/>
        </w:tabs>
        <w:spacing w:before="80" w:line="288" w:lineRule="auto"/>
        <w:ind w:left="540" w:hanging="540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>N</w:t>
      </w:r>
      <w:r w:rsidR="00720A07" w:rsidRPr="00AF01F8">
        <w:rPr>
          <w:rFonts w:ascii="Arial" w:hAnsi="Arial" w:cs="Arial"/>
          <w:sz w:val="20"/>
          <w:szCs w:val="20"/>
        </w:rPr>
        <w:t xml:space="preserve">ejpočetnější zastoupení </w:t>
      </w:r>
      <w:r w:rsidRPr="00AF01F8">
        <w:rPr>
          <w:rFonts w:ascii="Arial" w:hAnsi="Arial" w:cs="Arial"/>
          <w:sz w:val="20"/>
          <w:szCs w:val="20"/>
        </w:rPr>
        <w:t>má</w:t>
      </w:r>
      <w:r w:rsidR="002E6E2D" w:rsidRPr="00AF01F8">
        <w:rPr>
          <w:rFonts w:ascii="Arial" w:hAnsi="Arial" w:cs="Arial"/>
          <w:sz w:val="20"/>
          <w:szCs w:val="20"/>
        </w:rPr>
        <w:t xml:space="preserve"> </w:t>
      </w:r>
      <w:r w:rsidRPr="00AF01F8">
        <w:rPr>
          <w:rFonts w:ascii="Arial" w:hAnsi="Arial" w:cs="Arial"/>
          <w:sz w:val="20"/>
          <w:szCs w:val="20"/>
        </w:rPr>
        <w:t xml:space="preserve">výrobní zaměření </w:t>
      </w:r>
      <w:r w:rsidR="002E6E2D" w:rsidRPr="00AF01F8">
        <w:rPr>
          <w:rFonts w:ascii="Arial" w:hAnsi="Arial" w:cs="Arial"/>
          <w:sz w:val="20"/>
          <w:szCs w:val="20"/>
        </w:rPr>
        <w:t xml:space="preserve">polní výroba, </w:t>
      </w:r>
      <w:r w:rsidR="005E6F56" w:rsidRPr="00AF01F8">
        <w:rPr>
          <w:rFonts w:ascii="Arial" w:hAnsi="Arial" w:cs="Arial"/>
          <w:sz w:val="20"/>
          <w:szCs w:val="20"/>
        </w:rPr>
        <w:t xml:space="preserve">na kterou se specializuje více než třetina </w:t>
      </w:r>
      <w:r w:rsidR="002E6E2D" w:rsidRPr="00AF01F8">
        <w:rPr>
          <w:rFonts w:ascii="Arial" w:hAnsi="Arial" w:cs="Arial"/>
          <w:sz w:val="20"/>
          <w:szCs w:val="20"/>
        </w:rPr>
        <w:t>všech zemědělských podniků v ČR s podílem výměry celkové obhospodařované půdy 3</w:t>
      </w:r>
      <w:r w:rsidR="005E6F56" w:rsidRPr="00AF01F8">
        <w:rPr>
          <w:rFonts w:ascii="Arial" w:hAnsi="Arial" w:cs="Arial"/>
          <w:sz w:val="20"/>
          <w:szCs w:val="20"/>
        </w:rPr>
        <w:t>8</w:t>
      </w:r>
      <w:r w:rsidR="002E6E2D" w:rsidRPr="00AF01F8">
        <w:rPr>
          <w:rFonts w:ascii="Arial" w:hAnsi="Arial" w:cs="Arial"/>
          <w:sz w:val="20"/>
          <w:szCs w:val="20"/>
        </w:rPr>
        <w:t> %. V rámci této skupiny převládá specializace na pěstování obilovin</w:t>
      </w:r>
      <w:r w:rsidR="005E6F56" w:rsidRPr="00AF01F8">
        <w:rPr>
          <w:rFonts w:ascii="Arial" w:hAnsi="Arial" w:cs="Arial"/>
          <w:sz w:val="20"/>
          <w:szCs w:val="20"/>
        </w:rPr>
        <w:t>,</w:t>
      </w:r>
      <w:r w:rsidR="002E6E2D" w:rsidRPr="00AF01F8">
        <w:rPr>
          <w:rFonts w:ascii="Arial" w:hAnsi="Arial" w:cs="Arial"/>
          <w:sz w:val="20"/>
          <w:szCs w:val="20"/>
        </w:rPr>
        <w:t xml:space="preserve"> olejnin</w:t>
      </w:r>
      <w:r w:rsidR="005E6F56" w:rsidRPr="00AF01F8">
        <w:rPr>
          <w:rFonts w:ascii="Arial" w:hAnsi="Arial" w:cs="Arial"/>
          <w:sz w:val="20"/>
          <w:szCs w:val="20"/>
        </w:rPr>
        <w:t xml:space="preserve"> a bílkovinných plodin</w:t>
      </w:r>
      <w:r w:rsidR="002E6E2D" w:rsidRPr="00AF01F8">
        <w:rPr>
          <w:rFonts w:ascii="Arial" w:hAnsi="Arial" w:cs="Arial"/>
          <w:sz w:val="20"/>
          <w:szCs w:val="20"/>
        </w:rPr>
        <w:t>. Polní výroba je v největší míře soustředěna ve</w:t>
      </w:r>
      <w:r w:rsidR="005E6F56" w:rsidRPr="00AF01F8">
        <w:rPr>
          <w:rFonts w:ascii="Arial" w:hAnsi="Arial" w:cs="Arial"/>
          <w:sz w:val="20"/>
          <w:szCs w:val="20"/>
        </w:rPr>
        <w:t xml:space="preserve"> </w:t>
      </w:r>
      <w:r w:rsidR="002E6E2D" w:rsidRPr="00AF01F8">
        <w:rPr>
          <w:rFonts w:ascii="Arial" w:hAnsi="Arial" w:cs="Arial"/>
          <w:sz w:val="20"/>
          <w:szCs w:val="20"/>
        </w:rPr>
        <w:t xml:space="preserve">Středočeském kraji, Ústeckém kraji a na Vysočině. </w:t>
      </w:r>
    </w:p>
    <w:p w14:paraId="5F39F481" w14:textId="5F19D89E" w:rsidR="00BA7B1E" w:rsidRPr="00AF01F8" w:rsidRDefault="002E6E2D" w:rsidP="0022682C">
      <w:pPr>
        <w:pStyle w:val="Sodrkami2"/>
        <w:numPr>
          <w:ilvl w:val="0"/>
          <w:numId w:val="3"/>
        </w:numPr>
        <w:tabs>
          <w:tab w:val="num" w:pos="540"/>
        </w:tabs>
        <w:spacing w:before="80" w:line="288" w:lineRule="auto"/>
        <w:ind w:left="540" w:hanging="540"/>
        <w:rPr>
          <w:rFonts w:ascii="Arial" w:hAnsi="Arial" w:cs="Arial"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 xml:space="preserve">Druhým nejčastějším výrobním zaměřením je </w:t>
      </w:r>
      <w:r w:rsidR="005E6F56" w:rsidRPr="00AF01F8">
        <w:rPr>
          <w:rFonts w:ascii="Arial" w:hAnsi="Arial" w:cs="Arial"/>
          <w:sz w:val="20"/>
          <w:szCs w:val="20"/>
        </w:rPr>
        <w:t>chov skotu a zvířat zkrmujících objemnou píci</w:t>
      </w:r>
      <w:r w:rsidR="00720A07" w:rsidRPr="00AF01F8">
        <w:rPr>
          <w:rFonts w:ascii="Arial" w:hAnsi="Arial" w:cs="Arial"/>
          <w:sz w:val="20"/>
          <w:szCs w:val="20"/>
        </w:rPr>
        <w:t xml:space="preserve">. Tyto podniky jsou lokalizovány </w:t>
      </w:r>
      <w:r w:rsidR="00BA7B1E" w:rsidRPr="00AF01F8">
        <w:rPr>
          <w:rFonts w:ascii="Arial" w:hAnsi="Arial" w:cs="Arial"/>
          <w:sz w:val="20"/>
          <w:szCs w:val="20"/>
        </w:rPr>
        <w:t>především v </w:t>
      </w:r>
      <w:r w:rsidR="001416B7" w:rsidRPr="00AF01F8">
        <w:rPr>
          <w:rFonts w:ascii="Arial" w:hAnsi="Arial" w:cs="Arial"/>
          <w:sz w:val="20"/>
          <w:szCs w:val="20"/>
        </w:rPr>
        <w:t>oblastech s přírodními nebo jinými zvláštními omezeními</w:t>
      </w:r>
      <w:r w:rsidR="00720A07" w:rsidRPr="00AF01F8">
        <w:rPr>
          <w:rFonts w:ascii="Arial" w:hAnsi="Arial" w:cs="Arial"/>
          <w:sz w:val="20"/>
          <w:szCs w:val="20"/>
        </w:rPr>
        <w:t xml:space="preserve"> a</w:t>
      </w:r>
      <w:r w:rsidR="005E6F56" w:rsidRPr="00AF01F8">
        <w:rPr>
          <w:rFonts w:ascii="Arial" w:hAnsi="Arial" w:cs="Arial"/>
          <w:sz w:val="20"/>
          <w:szCs w:val="20"/>
        </w:rPr>
        <w:t> </w:t>
      </w:r>
      <w:r w:rsidR="00720A07" w:rsidRPr="00AF01F8">
        <w:rPr>
          <w:rFonts w:ascii="Arial" w:hAnsi="Arial" w:cs="Arial"/>
          <w:sz w:val="20"/>
          <w:szCs w:val="20"/>
        </w:rPr>
        <w:t>jsou charakteristické</w:t>
      </w:r>
      <w:r w:rsidR="008304AF" w:rsidRPr="00AF01F8">
        <w:rPr>
          <w:rFonts w:ascii="Arial" w:hAnsi="Arial" w:cs="Arial"/>
          <w:sz w:val="20"/>
          <w:szCs w:val="20"/>
        </w:rPr>
        <w:t xml:space="preserve"> </w:t>
      </w:r>
      <w:r w:rsidR="00720A07" w:rsidRPr="00AF01F8">
        <w:rPr>
          <w:rFonts w:ascii="Arial" w:hAnsi="Arial" w:cs="Arial"/>
          <w:sz w:val="20"/>
          <w:szCs w:val="20"/>
        </w:rPr>
        <w:t>extenzivnější formou hospodaření</w:t>
      </w:r>
      <w:r w:rsidR="008304AF" w:rsidRPr="00AF01F8">
        <w:rPr>
          <w:rFonts w:ascii="Arial" w:hAnsi="Arial" w:cs="Arial"/>
          <w:sz w:val="20"/>
          <w:szCs w:val="20"/>
        </w:rPr>
        <w:t>.</w:t>
      </w:r>
      <w:r w:rsidR="00720A07" w:rsidRPr="00AF01F8">
        <w:rPr>
          <w:rFonts w:ascii="Arial" w:hAnsi="Arial" w:cs="Arial"/>
          <w:sz w:val="20"/>
          <w:szCs w:val="20"/>
        </w:rPr>
        <w:t xml:space="preserve"> </w:t>
      </w:r>
      <w:r w:rsidR="00BA7B1E" w:rsidRPr="00AF01F8">
        <w:rPr>
          <w:rFonts w:ascii="Arial" w:hAnsi="Arial" w:cs="Arial"/>
          <w:sz w:val="20"/>
          <w:szCs w:val="20"/>
        </w:rPr>
        <w:t xml:space="preserve">Toto zaměření zahrnuje především subjekty specializované na chov </w:t>
      </w:r>
      <w:r w:rsidRPr="00AF01F8">
        <w:rPr>
          <w:rFonts w:ascii="Arial" w:hAnsi="Arial" w:cs="Arial"/>
          <w:sz w:val="20"/>
          <w:szCs w:val="20"/>
        </w:rPr>
        <w:t>skotu bez tržní produkce mléka</w:t>
      </w:r>
      <w:r w:rsidR="00BA7B1E" w:rsidRPr="00AF01F8">
        <w:rPr>
          <w:rFonts w:ascii="Arial" w:hAnsi="Arial" w:cs="Arial"/>
          <w:sz w:val="20"/>
          <w:szCs w:val="20"/>
        </w:rPr>
        <w:t xml:space="preserve">, ale i </w:t>
      </w:r>
      <w:r w:rsidR="005E6F56" w:rsidRPr="00AF01F8">
        <w:rPr>
          <w:rFonts w:ascii="Arial" w:hAnsi="Arial" w:cs="Arial"/>
          <w:sz w:val="20"/>
          <w:szCs w:val="20"/>
        </w:rPr>
        <w:t>ovce, kozy a ostatní chovy zvířat zkrmujících objemnou píci</w:t>
      </w:r>
      <w:r w:rsidR="00BA7B1E" w:rsidRPr="00AF01F8">
        <w:rPr>
          <w:rFonts w:ascii="Arial" w:hAnsi="Arial" w:cs="Arial"/>
          <w:sz w:val="20"/>
          <w:szCs w:val="20"/>
        </w:rPr>
        <w:t>. Charakteristickým rysem je velké zastoupení malých hospodářství fyzických osob. Z regionálního pohledu hraje chov zvířat zkrmujících objemnou píci nejvýznamnější roli především v příhraničních oblastech, největší počet takto orientovaných zemědělců hospodaří v</w:t>
      </w:r>
      <w:r w:rsidR="00106DE7" w:rsidRPr="00AF01F8">
        <w:rPr>
          <w:rFonts w:ascii="Arial" w:hAnsi="Arial" w:cs="Arial"/>
          <w:sz w:val="20"/>
          <w:szCs w:val="20"/>
        </w:rPr>
        <w:t> Karlovarském a</w:t>
      </w:r>
      <w:r w:rsidR="000F2068" w:rsidRPr="00AF01F8">
        <w:rPr>
          <w:rFonts w:ascii="Arial" w:hAnsi="Arial" w:cs="Arial"/>
          <w:sz w:val="20"/>
          <w:szCs w:val="20"/>
        </w:rPr>
        <w:t> </w:t>
      </w:r>
      <w:r w:rsidR="00106DE7" w:rsidRPr="00AF01F8">
        <w:rPr>
          <w:rFonts w:ascii="Arial" w:hAnsi="Arial" w:cs="Arial"/>
          <w:sz w:val="20"/>
          <w:szCs w:val="20"/>
        </w:rPr>
        <w:t>Libereckém</w:t>
      </w:r>
      <w:r w:rsidR="00BA7B1E" w:rsidRPr="00AF01F8">
        <w:rPr>
          <w:rFonts w:ascii="Arial" w:hAnsi="Arial" w:cs="Arial"/>
          <w:sz w:val="20"/>
          <w:szCs w:val="20"/>
        </w:rPr>
        <w:t xml:space="preserve"> kraji. </w:t>
      </w:r>
    </w:p>
    <w:p w14:paraId="7ABB58D1" w14:textId="45AE6727" w:rsidR="00DF2BD8" w:rsidRPr="00AF01F8" w:rsidRDefault="00106DE7" w:rsidP="0022682C">
      <w:pPr>
        <w:pStyle w:val="Sodrkami2"/>
        <w:numPr>
          <w:ilvl w:val="0"/>
          <w:numId w:val="3"/>
        </w:numPr>
        <w:spacing w:before="80" w:line="288" w:lineRule="auto"/>
        <w:ind w:left="567" w:hanging="567"/>
        <w:rPr>
          <w:strike/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>T</w:t>
      </w:r>
      <w:r w:rsidR="00BA7B1E" w:rsidRPr="00AF01F8">
        <w:rPr>
          <w:rFonts w:ascii="Arial" w:hAnsi="Arial" w:cs="Arial"/>
          <w:sz w:val="20"/>
          <w:szCs w:val="20"/>
        </w:rPr>
        <w:t xml:space="preserve">řetí </w:t>
      </w:r>
      <w:r w:rsidR="00966EAC" w:rsidRPr="00AF01F8">
        <w:rPr>
          <w:rFonts w:ascii="Arial" w:hAnsi="Arial" w:cs="Arial"/>
          <w:sz w:val="20"/>
          <w:szCs w:val="20"/>
        </w:rPr>
        <w:t>v</w:t>
      </w:r>
      <w:r w:rsidR="00AD4FA3" w:rsidRPr="00AF01F8">
        <w:rPr>
          <w:rFonts w:ascii="Arial" w:hAnsi="Arial" w:cs="Arial"/>
          <w:sz w:val="20"/>
          <w:szCs w:val="20"/>
        </w:rPr>
        <w:t> </w:t>
      </w:r>
      <w:r w:rsidR="00966EAC" w:rsidRPr="00AF01F8">
        <w:rPr>
          <w:rFonts w:ascii="Arial" w:hAnsi="Arial" w:cs="Arial"/>
          <w:sz w:val="20"/>
          <w:szCs w:val="20"/>
        </w:rPr>
        <w:t>pořadí</w:t>
      </w:r>
      <w:r w:rsidR="00AD4FA3" w:rsidRPr="00AF01F8">
        <w:rPr>
          <w:rFonts w:ascii="Arial" w:hAnsi="Arial" w:cs="Arial"/>
          <w:sz w:val="20"/>
          <w:szCs w:val="20"/>
        </w:rPr>
        <w:t>,</w:t>
      </w:r>
      <w:r w:rsidR="00966EAC" w:rsidRPr="00AF01F8">
        <w:rPr>
          <w:rFonts w:ascii="Arial" w:hAnsi="Arial" w:cs="Arial"/>
          <w:sz w:val="20"/>
          <w:szCs w:val="20"/>
        </w:rPr>
        <w:t xml:space="preserve"> co do počtu podniků v</w:t>
      </w:r>
      <w:r w:rsidR="00AD4FA3" w:rsidRPr="00AF01F8">
        <w:rPr>
          <w:rFonts w:ascii="Arial" w:hAnsi="Arial" w:cs="Arial"/>
          <w:sz w:val="20"/>
          <w:szCs w:val="20"/>
        </w:rPr>
        <w:t> </w:t>
      </w:r>
      <w:r w:rsidR="00966EAC" w:rsidRPr="00AF01F8">
        <w:rPr>
          <w:rFonts w:ascii="Arial" w:hAnsi="Arial" w:cs="Arial"/>
          <w:sz w:val="20"/>
          <w:szCs w:val="20"/>
        </w:rPr>
        <w:t>ČR</w:t>
      </w:r>
      <w:r w:rsidR="00AD4FA3" w:rsidRPr="00AF01F8">
        <w:rPr>
          <w:rFonts w:ascii="Arial" w:hAnsi="Arial" w:cs="Arial"/>
          <w:sz w:val="20"/>
          <w:szCs w:val="20"/>
        </w:rPr>
        <w:t>,</w:t>
      </w:r>
      <w:r w:rsidR="00966EAC" w:rsidRPr="00AF01F8">
        <w:rPr>
          <w:rFonts w:ascii="Arial" w:hAnsi="Arial" w:cs="Arial"/>
          <w:sz w:val="20"/>
          <w:szCs w:val="20"/>
        </w:rPr>
        <w:t xml:space="preserve"> představuje </w:t>
      </w:r>
      <w:r w:rsidR="00BA7B1E" w:rsidRPr="00AF01F8">
        <w:rPr>
          <w:rFonts w:ascii="Arial" w:hAnsi="Arial" w:cs="Arial"/>
          <w:sz w:val="20"/>
          <w:szCs w:val="20"/>
        </w:rPr>
        <w:t xml:space="preserve">výrobní zaměření </w:t>
      </w:r>
      <w:r w:rsidRPr="00AF01F8">
        <w:rPr>
          <w:rFonts w:ascii="Arial" w:hAnsi="Arial" w:cs="Arial"/>
          <w:sz w:val="20"/>
          <w:szCs w:val="20"/>
        </w:rPr>
        <w:t>zahradnictví a trvalé kultury</w:t>
      </w:r>
      <w:r w:rsidR="00BA7B1E" w:rsidRPr="00AF01F8">
        <w:rPr>
          <w:rFonts w:ascii="Arial" w:hAnsi="Arial" w:cs="Arial"/>
          <w:sz w:val="20"/>
          <w:szCs w:val="20"/>
        </w:rPr>
        <w:t xml:space="preserve">, </w:t>
      </w:r>
      <w:r w:rsidR="000F2068" w:rsidRPr="00AF01F8">
        <w:rPr>
          <w:rFonts w:ascii="Arial" w:hAnsi="Arial" w:cs="Arial"/>
          <w:sz w:val="20"/>
          <w:szCs w:val="20"/>
        </w:rPr>
        <w:t xml:space="preserve">s významným podílem na tvorbě zemědělské produkce i přes malý, pouze dvouprocentní, podíl na celkové výměře zemědělské půdy v ČR. Charakteristický pro tuto specializaci je také velký počet malých podniků fyzických osob. </w:t>
      </w:r>
      <w:r w:rsidRPr="00AF01F8">
        <w:rPr>
          <w:rFonts w:ascii="Arial" w:hAnsi="Arial" w:cs="Arial"/>
          <w:sz w:val="20"/>
          <w:szCs w:val="20"/>
        </w:rPr>
        <w:t>Regionální rozmístění je ovlivněno půdně-klimatickými podmínkami. Nejvíce jsou podniky situovány v</w:t>
      </w:r>
      <w:r w:rsidR="0012215E" w:rsidRPr="00AF01F8">
        <w:rPr>
          <w:rFonts w:ascii="Arial" w:hAnsi="Arial" w:cs="Arial"/>
          <w:sz w:val="20"/>
          <w:szCs w:val="20"/>
        </w:rPr>
        <w:t> </w:t>
      </w:r>
      <w:r w:rsidRPr="00AF01F8">
        <w:rPr>
          <w:rFonts w:ascii="Arial" w:hAnsi="Arial" w:cs="Arial"/>
          <w:sz w:val="20"/>
          <w:szCs w:val="20"/>
        </w:rPr>
        <w:t xml:space="preserve">Jihomoravském kraji. </w:t>
      </w:r>
      <w:r w:rsidR="000D56E0" w:rsidRPr="00AF01F8">
        <w:rPr>
          <w:rFonts w:ascii="Arial" w:hAnsi="Arial" w:cs="Arial"/>
          <w:sz w:val="20"/>
          <w:szCs w:val="20"/>
        </w:rPr>
        <w:t xml:space="preserve">Podniků orientovaných na zahradnictví je v tomto výrobním zaměření pouze 7 %. </w:t>
      </w:r>
      <w:r w:rsidRPr="00AF01F8">
        <w:rPr>
          <w:rFonts w:ascii="Arial" w:hAnsi="Arial" w:cs="Arial"/>
          <w:sz w:val="20"/>
          <w:szCs w:val="20"/>
        </w:rPr>
        <w:t>Většina subjektů spadá do kategorie pěstování trvalých kultur</w:t>
      </w:r>
      <w:r w:rsidR="000D56E0" w:rsidRPr="00AF01F8">
        <w:rPr>
          <w:rFonts w:ascii="Arial" w:hAnsi="Arial" w:cs="Arial"/>
          <w:sz w:val="20"/>
          <w:szCs w:val="20"/>
        </w:rPr>
        <w:t xml:space="preserve">, z nichž více než dvě třetiny jsou vinařské podniky, </w:t>
      </w:r>
      <w:r w:rsidR="00603C62" w:rsidRPr="00AF01F8">
        <w:rPr>
          <w:rFonts w:ascii="Arial" w:hAnsi="Arial" w:cs="Arial"/>
          <w:sz w:val="20"/>
          <w:szCs w:val="20"/>
        </w:rPr>
        <w:t xml:space="preserve">zbývající třetina jsou </w:t>
      </w:r>
      <w:r w:rsidR="000D56E0" w:rsidRPr="00AF01F8">
        <w:rPr>
          <w:rFonts w:ascii="Arial" w:hAnsi="Arial" w:cs="Arial"/>
          <w:sz w:val="20"/>
          <w:szCs w:val="20"/>
        </w:rPr>
        <w:t xml:space="preserve">ovocnářské podniky a podniky </w:t>
      </w:r>
      <w:r w:rsidR="00603C62" w:rsidRPr="00AF01F8">
        <w:rPr>
          <w:rFonts w:ascii="Arial" w:hAnsi="Arial" w:cs="Arial"/>
          <w:sz w:val="20"/>
          <w:szCs w:val="20"/>
        </w:rPr>
        <w:t>s kombinací různých trvalých kultur</w:t>
      </w:r>
      <w:r w:rsidR="0022682C" w:rsidRPr="00AF01F8">
        <w:rPr>
          <w:rFonts w:ascii="Arial" w:hAnsi="Arial" w:cs="Arial"/>
          <w:sz w:val="20"/>
          <w:szCs w:val="20"/>
        </w:rPr>
        <w:t>, a to</w:t>
      </w:r>
      <w:r w:rsidR="00603C62" w:rsidRPr="00AF01F8">
        <w:rPr>
          <w:rFonts w:ascii="Arial" w:hAnsi="Arial" w:cs="Arial"/>
          <w:sz w:val="20"/>
          <w:szCs w:val="20"/>
        </w:rPr>
        <w:t xml:space="preserve"> v obdobném zastoupení</w:t>
      </w:r>
      <w:r w:rsidRPr="00AF01F8">
        <w:rPr>
          <w:rFonts w:ascii="Arial" w:hAnsi="Arial" w:cs="Arial"/>
          <w:sz w:val="20"/>
          <w:szCs w:val="20"/>
        </w:rPr>
        <w:t>.</w:t>
      </w:r>
      <w:bookmarkEnd w:id="1"/>
    </w:p>
    <w:p w14:paraId="32F964FC" w14:textId="46519287" w:rsidR="00F730ED" w:rsidRPr="00AF01F8" w:rsidRDefault="00F730ED" w:rsidP="0022682C">
      <w:pPr>
        <w:pStyle w:val="Sodrkami2"/>
        <w:numPr>
          <w:ilvl w:val="0"/>
          <w:numId w:val="3"/>
        </w:numPr>
        <w:spacing w:before="80" w:line="288" w:lineRule="auto"/>
        <w:ind w:left="567" w:hanging="567"/>
        <w:rPr>
          <w:sz w:val="20"/>
          <w:szCs w:val="20"/>
        </w:rPr>
      </w:pPr>
      <w:r w:rsidRPr="00AF01F8">
        <w:rPr>
          <w:rFonts w:ascii="Arial" w:hAnsi="Arial" w:cs="Arial"/>
          <w:sz w:val="20"/>
          <w:szCs w:val="20"/>
        </w:rPr>
        <w:t xml:space="preserve">Významné je i zastoupení podniků výrobního zaměření smíšená produkce, které hospodaří na </w:t>
      </w:r>
      <w:r w:rsidR="00603C62" w:rsidRPr="00AF01F8">
        <w:rPr>
          <w:rFonts w:ascii="Arial" w:hAnsi="Arial" w:cs="Arial"/>
          <w:sz w:val="20"/>
          <w:szCs w:val="20"/>
        </w:rPr>
        <w:t>35</w:t>
      </w:r>
      <w:r w:rsidRPr="00AF01F8">
        <w:rPr>
          <w:rFonts w:ascii="Arial" w:hAnsi="Arial" w:cs="Arial"/>
          <w:sz w:val="20"/>
          <w:szCs w:val="20"/>
        </w:rPr>
        <w:t xml:space="preserve"> % z celkové výměry </w:t>
      </w:r>
      <w:r w:rsidR="00603C62" w:rsidRPr="00AF01F8">
        <w:rPr>
          <w:rFonts w:ascii="Arial" w:hAnsi="Arial" w:cs="Arial"/>
          <w:sz w:val="20"/>
          <w:szCs w:val="20"/>
        </w:rPr>
        <w:t xml:space="preserve">zemědělské </w:t>
      </w:r>
      <w:r w:rsidRPr="00AF01F8">
        <w:rPr>
          <w:rFonts w:ascii="Arial" w:hAnsi="Arial" w:cs="Arial"/>
          <w:sz w:val="20"/>
          <w:szCs w:val="20"/>
        </w:rPr>
        <w:t xml:space="preserve">půdy </w:t>
      </w:r>
      <w:r w:rsidR="00603C62" w:rsidRPr="00AF01F8">
        <w:rPr>
          <w:rFonts w:ascii="Arial" w:hAnsi="Arial" w:cs="Arial"/>
          <w:sz w:val="20"/>
          <w:szCs w:val="20"/>
        </w:rPr>
        <w:t xml:space="preserve">v ČR </w:t>
      </w:r>
      <w:r w:rsidRPr="00AF01F8">
        <w:rPr>
          <w:rFonts w:ascii="Arial" w:hAnsi="Arial" w:cs="Arial"/>
          <w:sz w:val="20"/>
          <w:szCs w:val="20"/>
        </w:rPr>
        <w:t>a chov</w:t>
      </w:r>
      <w:r w:rsidR="00603C62" w:rsidRPr="00AF01F8">
        <w:rPr>
          <w:rFonts w:ascii="Arial" w:hAnsi="Arial" w:cs="Arial"/>
          <w:sz w:val="20"/>
          <w:szCs w:val="20"/>
        </w:rPr>
        <w:t>ají</w:t>
      </w:r>
      <w:r w:rsidRPr="00AF01F8">
        <w:rPr>
          <w:rFonts w:ascii="Arial" w:hAnsi="Arial" w:cs="Arial"/>
          <w:sz w:val="20"/>
          <w:szCs w:val="20"/>
        </w:rPr>
        <w:t xml:space="preserve"> </w:t>
      </w:r>
      <w:r w:rsidR="00603C62" w:rsidRPr="00AF01F8">
        <w:rPr>
          <w:rFonts w:ascii="Arial" w:hAnsi="Arial" w:cs="Arial"/>
          <w:sz w:val="20"/>
          <w:szCs w:val="20"/>
        </w:rPr>
        <w:t>37</w:t>
      </w:r>
      <w:r w:rsidRPr="00AF01F8">
        <w:rPr>
          <w:rFonts w:ascii="Arial" w:hAnsi="Arial" w:cs="Arial"/>
          <w:sz w:val="20"/>
          <w:szCs w:val="20"/>
        </w:rPr>
        <w:t xml:space="preserve"> % z celkového počtu dobytčích jednotek. Vzhledem k významnému podílu velkých podniků právnických osob má toto výrobní zaměření </w:t>
      </w:r>
      <w:r w:rsidR="00603C62" w:rsidRPr="00AF01F8">
        <w:rPr>
          <w:rFonts w:ascii="Arial" w:hAnsi="Arial" w:cs="Arial"/>
          <w:sz w:val="20"/>
          <w:szCs w:val="20"/>
        </w:rPr>
        <w:t xml:space="preserve">podstatný </w:t>
      </w:r>
      <w:r w:rsidRPr="00AF01F8">
        <w:rPr>
          <w:rFonts w:ascii="Arial" w:hAnsi="Arial" w:cs="Arial"/>
          <w:sz w:val="20"/>
          <w:szCs w:val="20"/>
        </w:rPr>
        <w:t xml:space="preserve">vliv na tvorbu zemědělské produkce v ČR. Převažující specializací je polní výroba a chov zvířat zkrmujících objemnou píci. </w:t>
      </w:r>
      <w:r w:rsidR="0012215E" w:rsidRPr="00AF01F8">
        <w:rPr>
          <w:rFonts w:ascii="Arial" w:hAnsi="Arial" w:cs="Arial"/>
          <w:sz w:val="20"/>
          <w:szCs w:val="20"/>
        </w:rPr>
        <w:t>Nejv</w:t>
      </w:r>
      <w:r w:rsidR="001B047C" w:rsidRPr="00AF01F8">
        <w:rPr>
          <w:rFonts w:ascii="Arial" w:hAnsi="Arial" w:cs="Arial"/>
          <w:sz w:val="20"/>
          <w:szCs w:val="20"/>
        </w:rPr>
        <w:t xml:space="preserve">ětší počet podniků daného výrobního zaměření je </w:t>
      </w:r>
      <w:r w:rsidR="0012215E" w:rsidRPr="00AF01F8">
        <w:rPr>
          <w:rFonts w:ascii="Arial" w:hAnsi="Arial" w:cs="Arial"/>
          <w:sz w:val="20"/>
          <w:szCs w:val="20"/>
        </w:rPr>
        <w:t>dlouhodobě zastoupen na Vysočině</w:t>
      </w:r>
      <w:r w:rsidR="004E56C4" w:rsidRPr="00AF01F8">
        <w:rPr>
          <w:rFonts w:ascii="Arial" w:hAnsi="Arial" w:cs="Arial"/>
          <w:sz w:val="20"/>
          <w:szCs w:val="20"/>
        </w:rPr>
        <w:t>, v</w:t>
      </w:r>
      <w:r w:rsidR="00603C62" w:rsidRPr="00AF01F8">
        <w:rPr>
          <w:rFonts w:ascii="Arial" w:hAnsi="Arial" w:cs="Arial"/>
          <w:sz w:val="20"/>
          <w:szCs w:val="20"/>
        </w:rPr>
        <w:t xml:space="preserve">e Středočeském a </w:t>
      </w:r>
      <w:r w:rsidR="004E56C4" w:rsidRPr="00AF01F8">
        <w:rPr>
          <w:rFonts w:ascii="Arial" w:hAnsi="Arial" w:cs="Arial"/>
          <w:sz w:val="20"/>
          <w:szCs w:val="20"/>
        </w:rPr>
        <w:t>Jihočeském kraji.</w:t>
      </w:r>
    </w:p>
    <w:sectPr w:rsidR="00F730ED" w:rsidRPr="00AF01F8" w:rsidSect="00886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22AC" w14:textId="77777777" w:rsidR="00E209EC" w:rsidRDefault="00E209EC" w:rsidP="007C7A1F">
      <w:r>
        <w:separator/>
      </w:r>
    </w:p>
  </w:endnote>
  <w:endnote w:type="continuationSeparator" w:id="0">
    <w:p w14:paraId="43E64270" w14:textId="77777777" w:rsidR="00E209EC" w:rsidRDefault="00E209EC" w:rsidP="007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E30F" w14:textId="06CDF36B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2DB7A08D" wp14:editId="7896FC7D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AF01F8">
      <w:rPr>
        <w:rFonts w:ascii="Arial" w:eastAsia="Calibri" w:hAnsi="Arial" w:cs="Arial"/>
        <w:noProof/>
        <w:sz w:val="16"/>
        <w:szCs w:val="16"/>
        <w:lang w:val="cs-CZ" w:eastAsia="en-US"/>
      </w:rPr>
      <w:t>2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0058" w14:textId="2E72A285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508D107A" wp14:editId="4EBDF05C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8744A8">
      <w:rPr>
        <w:rFonts w:ascii="Arial" w:eastAsia="Calibri" w:hAnsi="Arial" w:cs="Arial"/>
        <w:noProof/>
        <w:sz w:val="16"/>
        <w:szCs w:val="16"/>
        <w:lang w:val="cs-CZ" w:eastAsia="en-US"/>
      </w:rPr>
      <w:t>1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2F6F" w14:textId="77777777" w:rsidR="00886DD0" w:rsidRDefault="00886D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1D314" w14:textId="77777777" w:rsidR="00E209EC" w:rsidRDefault="00E209EC" w:rsidP="007C7A1F">
      <w:r>
        <w:separator/>
      </w:r>
    </w:p>
  </w:footnote>
  <w:footnote w:type="continuationSeparator" w:id="0">
    <w:p w14:paraId="0AC412D3" w14:textId="77777777" w:rsidR="00E209EC" w:rsidRDefault="00E209EC" w:rsidP="007C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2278" w14:textId="77777777" w:rsidR="00886DD0" w:rsidRPr="00886DD0" w:rsidRDefault="00886DD0" w:rsidP="00886DD0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1AD82FBC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72371192" w14:textId="77777777" w:rsidR="00886DD0" w:rsidRDefault="00886D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14218" w14:textId="0B6EE266" w:rsidR="00886DD0" w:rsidRPr="00886DD0" w:rsidRDefault="00886DD0" w:rsidP="00886DD0">
    <w:pPr>
      <w:pStyle w:val="Zhlav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2F816DC2" w14:textId="37F015EF" w:rsid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1086321E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E82F" w14:textId="77777777" w:rsidR="00886DD0" w:rsidRDefault="00886D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484"/>
    <w:multiLevelType w:val="hybridMultilevel"/>
    <w:tmpl w:val="3B36E646"/>
    <w:lvl w:ilvl="0" w:tplc="B49A00E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575"/>
    <w:multiLevelType w:val="hybridMultilevel"/>
    <w:tmpl w:val="CEA08090"/>
    <w:lvl w:ilvl="0" w:tplc="BAA4B9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E"/>
    <w:rsid w:val="00033CF6"/>
    <w:rsid w:val="00035911"/>
    <w:rsid w:val="000826C2"/>
    <w:rsid w:val="000D56E0"/>
    <w:rsid w:val="000F2068"/>
    <w:rsid w:val="00106DE7"/>
    <w:rsid w:val="0012215E"/>
    <w:rsid w:val="001279E5"/>
    <w:rsid w:val="001416B7"/>
    <w:rsid w:val="001437B3"/>
    <w:rsid w:val="001762C5"/>
    <w:rsid w:val="00176553"/>
    <w:rsid w:val="00176E40"/>
    <w:rsid w:val="001A71CE"/>
    <w:rsid w:val="001B047C"/>
    <w:rsid w:val="001D5AA3"/>
    <w:rsid w:val="001E2070"/>
    <w:rsid w:val="001E3B9B"/>
    <w:rsid w:val="0020273C"/>
    <w:rsid w:val="00206970"/>
    <w:rsid w:val="0022153C"/>
    <w:rsid w:val="002220CC"/>
    <w:rsid w:val="0022349C"/>
    <w:rsid w:val="0022682C"/>
    <w:rsid w:val="002513EE"/>
    <w:rsid w:val="00251827"/>
    <w:rsid w:val="00270FA0"/>
    <w:rsid w:val="002B3F63"/>
    <w:rsid w:val="002C3CC8"/>
    <w:rsid w:val="002D2D7D"/>
    <w:rsid w:val="002E6E2D"/>
    <w:rsid w:val="002E7DAA"/>
    <w:rsid w:val="00371D34"/>
    <w:rsid w:val="00394250"/>
    <w:rsid w:val="00396760"/>
    <w:rsid w:val="003E55C8"/>
    <w:rsid w:val="00437B49"/>
    <w:rsid w:val="00494E54"/>
    <w:rsid w:val="004E569F"/>
    <w:rsid w:val="004E56C4"/>
    <w:rsid w:val="004F4E2E"/>
    <w:rsid w:val="004F5E38"/>
    <w:rsid w:val="00553F98"/>
    <w:rsid w:val="005666FA"/>
    <w:rsid w:val="00572787"/>
    <w:rsid w:val="005E6F56"/>
    <w:rsid w:val="00603C62"/>
    <w:rsid w:val="00680306"/>
    <w:rsid w:val="006E1E5B"/>
    <w:rsid w:val="006E6F9D"/>
    <w:rsid w:val="00720A07"/>
    <w:rsid w:val="007718F2"/>
    <w:rsid w:val="007C7A1F"/>
    <w:rsid w:val="008304AF"/>
    <w:rsid w:val="00860207"/>
    <w:rsid w:val="008744A8"/>
    <w:rsid w:val="00886DD0"/>
    <w:rsid w:val="00910B5C"/>
    <w:rsid w:val="00963BA8"/>
    <w:rsid w:val="00966EAC"/>
    <w:rsid w:val="009A3B72"/>
    <w:rsid w:val="009A47E5"/>
    <w:rsid w:val="00A62BD7"/>
    <w:rsid w:val="00A74E69"/>
    <w:rsid w:val="00A93455"/>
    <w:rsid w:val="00A93850"/>
    <w:rsid w:val="00AB6248"/>
    <w:rsid w:val="00AB62F4"/>
    <w:rsid w:val="00AC360D"/>
    <w:rsid w:val="00AD4FA3"/>
    <w:rsid w:val="00AF01F8"/>
    <w:rsid w:val="00B64962"/>
    <w:rsid w:val="00BA7B1E"/>
    <w:rsid w:val="00BE6563"/>
    <w:rsid w:val="00D54AD4"/>
    <w:rsid w:val="00D623DF"/>
    <w:rsid w:val="00DA0DB4"/>
    <w:rsid w:val="00DC3FCB"/>
    <w:rsid w:val="00DF0ABD"/>
    <w:rsid w:val="00DF2BD8"/>
    <w:rsid w:val="00E01DC7"/>
    <w:rsid w:val="00E209EC"/>
    <w:rsid w:val="00E237C6"/>
    <w:rsid w:val="00E3085B"/>
    <w:rsid w:val="00E60DB4"/>
    <w:rsid w:val="00E65111"/>
    <w:rsid w:val="00EC49A7"/>
    <w:rsid w:val="00ED1A24"/>
    <w:rsid w:val="00ED56CA"/>
    <w:rsid w:val="00EE4252"/>
    <w:rsid w:val="00F023E6"/>
    <w:rsid w:val="00F449AB"/>
    <w:rsid w:val="00F61F54"/>
    <w:rsid w:val="00F730ED"/>
    <w:rsid w:val="00F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37A"/>
  <w15:docId w15:val="{FB2E706E-D060-4C19-92B6-F0FEAC73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BA7B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A7B1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B1E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BA7B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rsid w:val="00BA7B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7B1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semiHidden/>
    <w:rsid w:val="00BA7B1E"/>
    <w:rPr>
      <w:vertAlign w:val="superscript"/>
    </w:rPr>
  </w:style>
  <w:style w:type="paragraph" w:styleId="Zpat">
    <w:name w:val="footer"/>
    <w:basedOn w:val="Normln"/>
    <w:link w:val="ZpatChar"/>
    <w:rsid w:val="00BA7B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BA7B1E"/>
  </w:style>
  <w:style w:type="paragraph" w:styleId="Normlnweb">
    <w:name w:val="Normal (Web)"/>
    <w:basedOn w:val="Normln"/>
    <w:rsid w:val="00BA7B1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BA7B1E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BA7B1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BA7B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1">
    <w:name w:val="toc 1"/>
    <w:basedOn w:val="Normln"/>
    <w:next w:val="Normln"/>
    <w:autoRedefine/>
    <w:uiPriority w:val="39"/>
    <w:rsid w:val="00BA7B1E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A7B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6B7"/>
    <w:rPr>
      <w:rFonts w:ascii="Segoe UI" w:eastAsia="Times New Roman" w:hAnsi="Segoe UI" w:cs="Segoe UI"/>
      <w:sz w:val="18"/>
      <w:szCs w:val="18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Závěrečné shrnutí</dc:title>
  <dc:creator>macova4870</dc:creator>
  <cp:lastModifiedBy>Olšovská Jelínková Lucie</cp:lastModifiedBy>
  <cp:revision>14</cp:revision>
  <cp:lastPrinted>2025-05-26T11:32:00Z</cp:lastPrinted>
  <dcterms:created xsi:type="dcterms:W3CDTF">2025-01-27T18:33:00Z</dcterms:created>
  <dcterms:modified xsi:type="dcterms:W3CDTF">2025-05-26T11:32:00Z</dcterms:modified>
</cp:coreProperties>
</file>