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F3830" w14:textId="348CEE03" w:rsidR="0073261D" w:rsidRPr="00B177DF" w:rsidRDefault="0073261D" w:rsidP="0073261D">
      <w:pPr>
        <w:pStyle w:val="Nadpis11"/>
        <w:rPr>
          <w:lang w:val="en-GB"/>
        </w:rPr>
      </w:pPr>
      <w:bookmarkStart w:id="0" w:name="_Toc58605374"/>
      <w:bookmarkStart w:id="1" w:name="_Toc66719930"/>
      <w:bookmarkStart w:id="2" w:name="_Toc532558287"/>
      <w:bookmarkStart w:id="3" w:name="_Toc58605375"/>
      <w:bookmarkStart w:id="4" w:name="_Toc82508186"/>
      <w:bookmarkStart w:id="5" w:name="_Toc98756079"/>
      <w:r>
        <w:t>3</w:t>
      </w:r>
      <w:r w:rsidRPr="00B43216">
        <w:t>. </w:t>
      </w:r>
      <w:r w:rsidR="0064200D" w:rsidRPr="00B177DF">
        <w:rPr>
          <w:lang w:val="en-GB"/>
        </w:rPr>
        <w:t>Branches Performance</w:t>
      </w:r>
      <w:bookmarkEnd w:id="4"/>
      <w:bookmarkEnd w:id="5"/>
    </w:p>
    <w:tbl>
      <w:tblPr>
        <w:tblW w:w="9664" w:type="dxa"/>
        <w:tblInd w:w="-30" w:type="dxa"/>
        <w:tblCellMar>
          <w:left w:w="0" w:type="dxa"/>
          <w:right w:w="0" w:type="dxa"/>
        </w:tblCellMar>
        <w:tblLook w:val="00A0" w:firstRow="1" w:lastRow="0" w:firstColumn="1" w:lastColumn="0" w:noHBand="0" w:noVBand="0"/>
      </w:tblPr>
      <w:tblGrid>
        <w:gridCol w:w="1728"/>
        <w:gridCol w:w="206"/>
        <w:gridCol w:w="7730"/>
      </w:tblGrid>
      <w:tr w:rsidR="00F77A50" w:rsidRPr="00B177DF" w14:paraId="58F15F29" w14:textId="77777777" w:rsidTr="00B3385E">
        <w:trPr>
          <w:trHeight w:val="155"/>
        </w:trPr>
        <w:tc>
          <w:tcPr>
            <w:tcW w:w="1728" w:type="dxa"/>
            <w:shd w:val="clear" w:color="auto" w:fill="auto"/>
            <w:tcMar>
              <w:left w:w="0" w:type="dxa"/>
            </w:tcMar>
          </w:tcPr>
          <w:p w14:paraId="7C3DC5B1" w14:textId="45EA9F5A" w:rsidR="00F77A50" w:rsidRPr="00B177DF" w:rsidRDefault="00AF1866" w:rsidP="00B3385E">
            <w:pPr>
              <w:pStyle w:val="Marginlie"/>
              <w:rPr>
                <w:lang w:val="en-GB"/>
              </w:rPr>
            </w:pPr>
            <w:r>
              <w:rPr>
                <w:lang w:val="en-GB"/>
              </w:rPr>
              <w:t xml:space="preserve">The after crisis recovery continued in services for a major part of the last year. It was not significantly disrupted during the worsening of epidemic situation in Q4. </w:t>
            </w:r>
          </w:p>
        </w:tc>
        <w:tc>
          <w:tcPr>
            <w:tcW w:w="206" w:type="dxa"/>
            <w:shd w:val="clear" w:color="auto" w:fill="auto"/>
            <w:tcMar>
              <w:left w:w="0" w:type="dxa"/>
            </w:tcMar>
          </w:tcPr>
          <w:p w14:paraId="68D621B1" w14:textId="77777777" w:rsidR="00F77A50" w:rsidRPr="00B177DF" w:rsidRDefault="00F77A50" w:rsidP="00B3385E">
            <w:pPr>
              <w:pStyle w:val="Textpoznpodarou"/>
              <w:jc w:val="both"/>
              <w:rPr>
                <w:spacing w:val="-4"/>
                <w:lang w:val="en-GB"/>
              </w:rPr>
            </w:pPr>
          </w:p>
        </w:tc>
        <w:tc>
          <w:tcPr>
            <w:tcW w:w="7730" w:type="dxa"/>
            <w:shd w:val="clear" w:color="auto" w:fill="auto"/>
            <w:tcMar>
              <w:left w:w="0" w:type="dxa"/>
            </w:tcMar>
          </w:tcPr>
          <w:p w14:paraId="79D77005" w14:textId="7924D30D" w:rsidR="00F77A50" w:rsidRPr="00B177DF" w:rsidRDefault="00655BD0" w:rsidP="00B3385E">
            <w:pPr>
              <w:spacing w:after="200"/>
              <w:rPr>
                <w:spacing w:val="-4"/>
                <w:lang w:val="en-GB"/>
              </w:rPr>
            </w:pPr>
            <w:r>
              <w:rPr>
                <w:spacing w:val="-4"/>
                <w:lang w:val="en-GB"/>
              </w:rPr>
              <w:t xml:space="preserve">The domestic economy continued in recovery in the second half of the year, which had been started already during the Spring period, when the epidemic situation substantially improved, and the restrictive measures clutching part of the economy were thus gradually abolished. </w:t>
            </w:r>
            <w:r w:rsidR="00932782">
              <w:rPr>
                <w:spacing w:val="-4"/>
                <w:lang w:val="en-GB"/>
              </w:rPr>
              <w:t xml:space="preserve">Quarter-on-quarter growth of the gross value added </w:t>
            </w:r>
            <w:r w:rsidR="00F77A50" w:rsidRPr="00B177DF">
              <w:rPr>
                <w:spacing w:val="-4"/>
                <w:lang w:val="en-GB"/>
              </w:rPr>
              <w:t>(</w:t>
            </w:r>
            <w:r w:rsidR="00932782">
              <w:rPr>
                <w:spacing w:val="-4"/>
                <w:lang w:val="en-GB"/>
              </w:rPr>
              <w:t>GVA</w:t>
            </w:r>
            <w:r w:rsidR="00F77A50" w:rsidRPr="00B177DF">
              <w:rPr>
                <w:spacing w:val="-4"/>
                <w:lang w:val="en-GB"/>
              </w:rPr>
              <w:t>)</w:t>
            </w:r>
            <w:r w:rsidR="00F77A50" w:rsidRPr="00B177DF">
              <w:rPr>
                <w:rStyle w:val="Znakapoznpodarou"/>
                <w:spacing w:val="-4"/>
                <w:lang w:val="en-GB"/>
              </w:rPr>
              <w:footnoteReference w:id="1"/>
            </w:r>
            <w:r w:rsidR="00F77A50" w:rsidRPr="00B177DF">
              <w:rPr>
                <w:spacing w:val="-4"/>
                <w:lang w:val="en-GB"/>
              </w:rPr>
              <w:t xml:space="preserve"> </w:t>
            </w:r>
            <w:r w:rsidR="00932782">
              <w:rPr>
                <w:spacing w:val="-4"/>
                <w:lang w:val="en-GB"/>
              </w:rPr>
              <w:t xml:space="preserve">recorded </w:t>
            </w:r>
            <w:r w:rsidR="00F77A50" w:rsidRPr="00B177DF">
              <w:rPr>
                <w:spacing w:val="-4"/>
                <w:lang w:val="en-GB"/>
              </w:rPr>
              <w:t>1</w:t>
            </w:r>
            <w:r w:rsidR="00932782">
              <w:rPr>
                <w:spacing w:val="-4"/>
                <w:lang w:val="en-GB"/>
              </w:rPr>
              <w:t>.</w:t>
            </w:r>
            <w:r w:rsidR="00F77A50" w:rsidRPr="00B177DF">
              <w:rPr>
                <w:spacing w:val="-4"/>
                <w:lang w:val="en-GB"/>
              </w:rPr>
              <w:t>0%</w:t>
            </w:r>
            <w:r w:rsidR="00932782">
              <w:rPr>
                <w:spacing w:val="-4"/>
                <w:lang w:val="en-GB"/>
              </w:rPr>
              <w:t xml:space="preserve"> in Q2 and it accelerated to </w:t>
            </w:r>
            <w:r w:rsidR="00F77A50" w:rsidRPr="00B177DF">
              <w:rPr>
                <w:spacing w:val="-4"/>
                <w:lang w:val="en-GB"/>
              </w:rPr>
              <w:t>1</w:t>
            </w:r>
            <w:r w:rsidR="00932782">
              <w:rPr>
                <w:spacing w:val="-4"/>
                <w:lang w:val="en-GB"/>
              </w:rPr>
              <w:t>.</w:t>
            </w:r>
            <w:r w:rsidR="00F77A50" w:rsidRPr="00B177DF">
              <w:rPr>
                <w:spacing w:val="-4"/>
                <w:lang w:val="en-GB"/>
              </w:rPr>
              <w:t>5%</w:t>
            </w:r>
            <w:r w:rsidR="00932782">
              <w:rPr>
                <w:spacing w:val="-4"/>
                <w:lang w:val="en-GB"/>
              </w:rPr>
              <w:t xml:space="preserve"> in the subsequent period</w:t>
            </w:r>
            <w:r w:rsidR="00F77A50" w:rsidRPr="00B177DF">
              <w:rPr>
                <w:spacing w:val="-4"/>
                <w:lang w:val="en-GB"/>
              </w:rPr>
              <w:t xml:space="preserve">. </w:t>
            </w:r>
            <w:r w:rsidR="00752330">
              <w:rPr>
                <w:spacing w:val="-4"/>
                <w:lang w:val="en-GB"/>
              </w:rPr>
              <w:t>Mainly trade, transportation and further activities linked to tourism assisted this result</w:t>
            </w:r>
            <w:r w:rsidR="00E852EE">
              <w:rPr>
                <w:spacing w:val="-4"/>
                <w:lang w:val="en-GB"/>
              </w:rPr>
              <w:t xml:space="preserve">, </w:t>
            </w:r>
            <w:r w:rsidR="00752330">
              <w:rPr>
                <w:spacing w:val="-4"/>
                <w:lang w:val="en-GB"/>
              </w:rPr>
              <w:t>public services also had a stimulating effect</w:t>
            </w:r>
            <w:r w:rsidR="00F77A50" w:rsidRPr="00B177DF">
              <w:rPr>
                <w:rStyle w:val="Znakapoznpodarou"/>
                <w:spacing w:val="-4"/>
                <w:lang w:val="en-GB"/>
              </w:rPr>
              <w:footnoteReference w:id="2"/>
            </w:r>
            <w:r w:rsidR="00F77A50" w:rsidRPr="00B177DF">
              <w:rPr>
                <w:spacing w:val="-4"/>
                <w:lang w:val="en-GB"/>
              </w:rPr>
              <w:t xml:space="preserve">. </w:t>
            </w:r>
            <w:r w:rsidR="00CB1857">
              <w:rPr>
                <w:spacing w:val="-4"/>
                <w:lang w:val="en-GB"/>
              </w:rPr>
              <w:t xml:space="preserve">The total growth of performance of all branches slowed down to </w:t>
            </w:r>
            <w:r w:rsidR="00F77A50" w:rsidRPr="00B177DF">
              <w:rPr>
                <w:spacing w:val="-4"/>
                <w:lang w:val="en-GB"/>
              </w:rPr>
              <w:t>0</w:t>
            </w:r>
            <w:r w:rsidR="00CB1857">
              <w:rPr>
                <w:spacing w:val="-4"/>
                <w:lang w:val="en-GB"/>
              </w:rPr>
              <w:t>.</w:t>
            </w:r>
            <w:r w:rsidR="00F77A50" w:rsidRPr="00B177DF">
              <w:rPr>
                <w:spacing w:val="-4"/>
                <w:lang w:val="en-GB"/>
              </w:rPr>
              <w:t>7%</w:t>
            </w:r>
            <w:r w:rsidR="00CB1857">
              <w:rPr>
                <w:spacing w:val="-4"/>
                <w:lang w:val="en-GB"/>
              </w:rPr>
              <w:t xml:space="preserve"> in Q4</w:t>
            </w:r>
            <w:r w:rsidR="00F77A50" w:rsidRPr="00B177DF">
              <w:rPr>
                <w:spacing w:val="-4"/>
                <w:lang w:val="en-GB"/>
              </w:rPr>
              <w:t xml:space="preserve">. </w:t>
            </w:r>
            <w:r w:rsidR="00A36F76">
              <w:rPr>
                <w:spacing w:val="-4"/>
                <w:lang w:val="en-GB"/>
              </w:rPr>
              <w:t xml:space="preserve">Deepening supplier difficulties subdued the output of manufacturing </w:t>
            </w:r>
            <w:r w:rsidR="00F77A50" w:rsidRPr="00B177DF">
              <w:rPr>
                <w:spacing w:val="-4"/>
                <w:lang w:val="en-GB"/>
              </w:rPr>
              <w:t>(–1</w:t>
            </w:r>
            <w:r w:rsidR="00A36F76">
              <w:rPr>
                <w:spacing w:val="-4"/>
                <w:lang w:val="en-GB"/>
              </w:rPr>
              <w:t>.</w:t>
            </w:r>
            <w:r w:rsidR="00F77A50" w:rsidRPr="00B177DF">
              <w:rPr>
                <w:spacing w:val="-4"/>
                <w:lang w:val="en-GB"/>
              </w:rPr>
              <w:t>6%),</w:t>
            </w:r>
            <w:r w:rsidR="00A36F76">
              <w:rPr>
                <w:spacing w:val="-4"/>
                <w:lang w:val="en-GB"/>
              </w:rPr>
              <w:t xml:space="preserve"> the growth also ceased in construction. </w:t>
            </w:r>
            <w:r w:rsidR="007E239D">
              <w:rPr>
                <w:spacing w:val="-4"/>
                <w:lang w:val="en-GB"/>
              </w:rPr>
              <w:t xml:space="preserve">The unexpected substantial deterioration of the epidemic situation however did not lead to the </w:t>
            </w:r>
            <w:r w:rsidR="00215602">
              <w:rPr>
                <w:spacing w:val="-4"/>
                <w:lang w:val="en-GB"/>
              </w:rPr>
              <w:t>shutdown</w:t>
            </w:r>
            <w:r w:rsidR="007E239D">
              <w:rPr>
                <w:spacing w:val="-4"/>
                <w:lang w:val="en-GB"/>
              </w:rPr>
              <w:t xml:space="preserve"> of shops </w:t>
            </w:r>
            <w:r w:rsidR="00215602">
              <w:rPr>
                <w:spacing w:val="-4"/>
                <w:lang w:val="en-GB"/>
              </w:rPr>
              <w:t>anymore</w:t>
            </w:r>
            <w:r w:rsidR="007E239D">
              <w:rPr>
                <w:spacing w:val="-4"/>
                <w:lang w:val="en-GB"/>
              </w:rPr>
              <w:t xml:space="preserve"> and all key </w:t>
            </w:r>
            <w:r w:rsidR="00215602">
              <w:rPr>
                <w:spacing w:val="-4"/>
                <w:lang w:val="en-GB"/>
              </w:rPr>
              <w:t>branches of services continued to grow – especially the financial sector and real estate activities</w:t>
            </w:r>
            <w:r w:rsidR="00904FA3">
              <w:rPr>
                <w:spacing w:val="-4"/>
                <w:lang w:val="en-GB"/>
              </w:rPr>
              <w:t xml:space="preserve"> </w:t>
            </w:r>
            <w:r w:rsidR="00215602">
              <w:rPr>
                <w:spacing w:val="-4"/>
                <w:lang w:val="en-GB"/>
              </w:rPr>
              <w:t xml:space="preserve">fared well. </w:t>
            </w:r>
            <w:r w:rsidR="00E03E1E">
              <w:rPr>
                <w:spacing w:val="-4"/>
                <w:lang w:val="en-GB"/>
              </w:rPr>
              <w:t xml:space="preserve">The GVA in the whole economy still lagged behind its pre-crisis maximum </w:t>
            </w:r>
            <w:r w:rsidR="00F77A50" w:rsidRPr="00B177DF">
              <w:rPr>
                <w:spacing w:val="-4"/>
                <w:lang w:val="en-GB"/>
              </w:rPr>
              <w:t>(</w:t>
            </w:r>
            <w:r w:rsidR="00E03E1E">
              <w:rPr>
                <w:spacing w:val="-4"/>
                <w:lang w:val="en-GB"/>
              </w:rPr>
              <w:t xml:space="preserve">by </w:t>
            </w:r>
            <w:r w:rsidR="00F77A50" w:rsidRPr="00B177DF">
              <w:rPr>
                <w:spacing w:val="-4"/>
                <w:lang w:val="en-GB"/>
              </w:rPr>
              <w:t>2</w:t>
            </w:r>
            <w:r w:rsidR="00E03E1E">
              <w:rPr>
                <w:spacing w:val="-4"/>
                <w:lang w:val="en-GB"/>
              </w:rPr>
              <w:t>.</w:t>
            </w:r>
            <w:r w:rsidR="00F77A50" w:rsidRPr="00B177DF">
              <w:rPr>
                <w:spacing w:val="-4"/>
                <w:lang w:val="en-GB"/>
              </w:rPr>
              <w:t>2%)</w:t>
            </w:r>
            <w:r w:rsidR="00F77A50" w:rsidRPr="00B177DF">
              <w:rPr>
                <w:rStyle w:val="Znakapoznpodarou"/>
                <w:spacing w:val="-4"/>
                <w:lang w:val="en-GB"/>
              </w:rPr>
              <w:footnoteReference w:id="3"/>
            </w:r>
            <w:r w:rsidR="00F77A50" w:rsidRPr="00B177DF">
              <w:rPr>
                <w:spacing w:val="-4"/>
                <w:lang w:val="en-GB"/>
              </w:rPr>
              <w:t xml:space="preserve">, </w:t>
            </w:r>
            <w:r w:rsidR="00904FA3">
              <w:rPr>
                <w:spacing w:val="-4"/>
                <w:lang w:val="en-GB"/>
              </w:rPr>
              <w:t xml:space="preserve">number of branches of services nevertheless already overtook their record performance from year </w:t>
            </w:r>
            <w:r w:rsidR="00F77A50" w:rsidRPr="00B177DF">
              <w:rPr>
                <w:spacing w:val="-4"/>
                <w:lang w:val="en-GB"/>
              </w:rPr>
              <w:t>2019</w:t>
            </w:r>
            <w:r w:rsidR="00F77A50" w:rsidRPr="00B177DF">
              <w:rPr>
                <w:rStyle w:val="Znakapoznpodarou"/>
                <w:spacing w:val="-4"/>
                <w:lang w:val="en-GB"/>
              </w:rPr>
              <w:footnoteReference w:id="4"/>
            </w:r>
            <w:r w:rsidR="00F77A50" w:rsidRPr="00B177DF">
              <w:rPr>
                <w:spacing w:val="-4"/>
                <w:lang w:val="en-GB"/>
              </w:rPr>
              <w:t>.</w:t>
            </w:r>
          </w:p>
        </w:tc>
      </w:tr>
      <w:tr w:rsidR="00F77A50" w:rsidRPr="006237E6" w14:paraId="0FDE1C2A" w14:textId="77777777" w:rsidTr="00B3385E">
        <w:trPr>
          <w:trHeight w:val="155"/>
        </w:trPr>
        <w:tc>
          <w:tcPr>
            <w:tcW w:w="1728" w:type="dxa"/>
            <w:shd w:val="clear" w:color="auto" w:fill="auto"/>
            <w:tcMar>
              <w:left w:w="0" w:type="dxa"/>
            </w:tcMar>
          </w:tcPr>
          <w:p w14:paraId="3EDC7EBD" w14:textId="07BC5B48" w:rsidR="00F77A50" w:rsidRPr="00E03E1E" w:rsidRDefault="00B7188C" w:rsidP="00B3385E">
            <w:pPr>
              <w:pStyle w:val="Marginlie"/>
              <w:rPr>
                <w:lang w:val="en-GB"/>
              </w:rPr>
            </w:pPr>
            <w:r>
              <w:rPr>
                <w:lang w:val="en-GB"/>
              </w:rPr>
              <w:t xml:space="preserve">From the </w:t>
            </w:r>
            <w:r w:rsidR="00B4776F">
              <w:rPr>
                <w:lang w:val="en-GB"/>
              </w:rPr>
              <w:t>view of the whole year, manufacturing still contributed the most to the GVA growth. Agriculture kept</w:t>
            </w:r>
            <w:r w:rsidR="009328EE">
              <w:rPr>
                <w:lang w:val="en-GB"/>
              </w:rPr>
              <w:t xml:space="preserve"> reaching good results, majority of services, especially the public services also prospered. </w:t>
            </w:r>
          </w:p>
        </w:tc>
        <w:tc>
          <w:tcPr>
            <w:tcW w:w="206" w:type="dxa"/>
            <w:shd w:val="clear" w:color="auto" w:fill="auto"/>
            <w:tcMar>
              <w:left w:w="0" w:type="dxa"/>
            </w:tcMar>
          </w:tcPr>
          <w:p w14:paraId="2BF6E025" w14:textId="77777777" w:rsidR="00F77A50" w:rsidRPr="00E03E1E" w:rsidRDefault="00F77A50" w:rsidP="00B3385E">
            <w:pPr>
              <w:pStyle w:val="Textpoznpodarou"/>
              <w:jc w:val="both"/>
              <w:rPr>
                <w:spacing w:val="-4"/>
                <w:lang w:val="en-GB"/>
              </w:rPr>
            </w:pPr>
          </w:p>
        </w:tc>
        <w:tc>
          <w:tcPr>
            <w:tcW w:w="7730" w:type="dxa"/>
            <w:shd w:val="clear" w:color="auto" w:fill="auto"/>
            <w:tcMar>
              <w:left w:w="0" w:type="dxa"/>
            </w:tcMar>
          </w:tcPr>
          <w:p w14:paraId="3901A9DC" w14:textId="35C6AFCD" w:rsidR="00F77A50" w:rsidRPr="00E03E1E" w:rsidRDefault="00B816E5" w:rsidP="00B3385E">
            <w:pPr>
              <w:spacing w:after="200"/>
              <w:rPr>
                <w:spacing w:val="-5"/>
                <w:lang w:val="en-GB"/>
              </w:rPr>
            </w:pPr>
            <w:r>
              <w:rPr>
                <w:spacing w:val="-7"/>
                <w:lang w:val="en-GB"/>
              </w:rPr>
              <w:t xml:space="preserve">In year </w:t>
            </w:r>
            <w:r w:rsidR="00F77A50" w:rsidRPr="00E03E1E">
              <w:rPr>
                <w:spacing w:val="-7"/>
                <w:lang w:val="en-GB"/>
              </w:rPr>
              <w:t>2021</w:t>
            </w:r>
            <w:r>
              <w:rPr>
                <w:spacing w:val="-7"/>
                <w:lang w:val="en-GB"/>
              </w:rPr>
              <w:t xml:space="preserve">, the GVA </w:t>
            </w:r>
            <w:r w:rsidR="0015462F">
              <w:rPr>
                <w:spacing w:val="-7"/>
                <w:lang w:val="en-GB"/>
              </w:rPr>
              <w:t>increased b</w:t>
            </w:r>
            <w:r w:rsidR="0015462F">
              <w:rPr>
                <w:spacing w:val="-7"/>
              </w:rPr>
              <w:t xml:space="preserve">y </w:t>
            </w:r>
            <w:r w:rsidR="00F77A50" w:rsidRPr="00E03E1E">
              <w:rPr>
                <w:spacing w:val="-7"/>
                <w:lang w:val="en-GB"/>
              </w:rPr>
              <w:t>3</w:t>
            </w:r>
            <w:r w:rsidR="0015462F">
              <w:rPr>
                <w:spacing w:val="-7"/>
                <w:lang w:val="en-GB"/>
              </w:rPr>
              <w:t>.</w:t>
            </w:r>
            <w:r w:rsidR="00F77A50" w:rsidRPr="00E03E1E">
              <w:rPr>
                <w:spacing w:val="-7"/>
                <w:lang w:val="en-GB"/>
              </w:rPr>
              <w:t>0%</w:t>
            </w:r>
            <w:r w:rsidR="0015462F">
              <w:rPr>
                <w:spacing w:val="-7"/>
                <w:lang w:val="en-GB"/>
              </w:rPr>
              <w:t xml:space="preserve"> in the whole economy year-on-year</w:t>
            </w:r>
            <w:r w:rsidR="00F77A50" w:rsidRPr="00E03E1E">
              <w:rPr>
                <w:spacing w:val="-7"/>
                <w:lang w:val="en-GB"/>
              </w:rPr>
              <w:t>.</w:t>
            </w:r>
            <w:r w:rsidR="009C667A">
              <w:rPr>
                <w:spacing w:val="-7"/>
                <w:lang w:val="en-GB"/>
              </w:rPr>
              <w:t xml:space="preserve"> Manufacturing contributed to the growth the most </w:t>
            </w:r>
            <w:r w:rsidR="00F77A50" w:rsidRPr="00E03E1E">
              <w:rPr>
                <w:spacing w:val="-7"/>
                <w:lang w:val="en-GB"/>
              </w:rPr>
              <w:t>(+1</w:t>
            </w:r>
            <w:r w:rsidR="009C667A">
              <w:rPr>
                <w:spacing w:val="-7"/>
                <w:lang w:val="en-GB"/>
              </w:rPr>
              <w:t>.</w:t>
            </w:r>
            <w:r w:rsidR="00F77A50" w:rsidRPr="00E03E1E">
              <w:rPr>
                <w:spacing w:val="-7"/>
                <w:lang w:val="en-GB"/>
              </w:rPr>
              <w:t>1 p.</w:t>
            </w:r>
            <w:r w:rsidR="009C667A">
              <w:rPr>
                <w:spacing w:val="-7"/>
                <w:lang w:val="en-GB"/>
              </w:rPr>
              <w:t>p</w:t>
            </w:r>
            <w:r w:rsidR="00F77A50" w:rsidRPr="00E03E1E">
              <w:rPr>
                <w:spacing w:val="-7"/>
                <w:lang w:val="en-GB"/>
              </w:rPr>
              <w:t>.)</w:t>
            </w:r>
            <w:r w:rsidR="009C667A">
              <w:rPr>
                <w:spacing w:val="-7"/>
                <w:lang w:val="en-GB"/>
              </w:rPr>
              <w:t xml:space="preserve"> even despite growing logistic difficulties</w:t>
            </w:r>
            <w:r w:rsidR="00F77A50" w:rsidRPr="00E03E1E">
              <w:rPr>
                <w:spacing w:val="-7"/>
                <w:lang w:val="en-GB"/>
              </w:rPr>
              <w:t xml:space="preserve">. </w:t>
            </w:r>
            <w:r w:rsidR="00C06F2F">
              <w:rPr>
                <w:spacing w:val="-7"/>
                <w:lang w:val="en-GB"/>
              </w:rPr>
              <w:t>Branch agriculture, forestry and fishing, experiencing increasing labour productivity and rising value added for the fourth year in a row, fared well. Last year</w:t>
            </w:r>
            <w:r w:rsidR="00C06F2F">
              <w:rPr>
                <w:spacing w:val="-7"/>
                <w:lang w:val="en-US"/>
              </w:rPr>
              <w:t xml:space="preserve">’s harvest of agricultural crops was comparable to the good harvest of year </w:t>
            </w:r>
            <w:r w:rsidR="00F77A50" w:rsidRPr="00E03E1E">
              <w:rPr>
                <w:spacing w:val="-6"/>
                <w:lang w:val="en-GB"/>
              </w:rPr>
              <w:t>2020</w:t>
            </w:r>
            <w:r w:rsidR="00F77A50" w:rsidRPr="00E03E1E">
              <w:rPr>
                <w:rStyle w:val="Znakapoznpodarou"/>
                <w:spacing w:val="-6"/>
                <w:lang w:val="en-GB"/>
              </w:rPr>
              <w:footnoteReference w:id="5"/>
            </w:r>
            <w:r w:rsidR="00F77A50" w:rsidRPr="00E03E1E">
              <w:rPr>
                <w:spacing w:val="-6"/>
                <w:lang w:val="en-GB"/>
              </w:rPr>
              <w:t xml:space="preserve">, </w:t>
            </w:r>
            <w:r w:rsidR="00C06F2F">
              <w:rPr>
                <w:spacing w:val="-6"/>
                <w:lang w:val="en-GB"/>
              </w:rPr>
              <w:t>definitely above average then in the context of the last decade</w:t>
            </w:r>
            <w:r w:rsidR="00F77A50" w:rsidRPr="00E03E1E">
              <w:rPr>
                <w:rStyle w:val="Znakapoznpodarou"/>
                <w:spacing w:val="-6"/>
                <w:lang w:val="en-GB"/>
              </w:rPr>
              <w:footnoteReference w:id="6"/>
            </w:r>
            <w:r w:rsidR="00F77A50" w:rsidRPr="00E03E1E">
              <w:rPr>
                <w:spacing w:val="-6"/>
                <w:lang w:val="en-GB"/>
              </w:rPr>
              <w:t xml:space="preserve">. </w:t>
            </w:r>
            <w:r w:rsidR="007C3418">
              <w:rPr>
                <w:spacing w:val="-6"/>
                <w:lang w:val="en-GB"/>
              </w:rPr>
              <w:t xml:space="preserve">Mild </w:t>
            </w:r>
            <w:r w:rsidR="007C3418" w:rsidRPr="007C3418">
              <w:rPr>
                <w:spacing w:val="-6"/>
                <w:lang w:val="en-GB"/>
              </w:rPr>
              <w:t>growth of meat production (+2.6%) continued in the animal production for the fourth year in a row</w:t>
            </w:r>
            <w:r w:rsidR="00F77A50" w:rsidRPr="007C3418">
              <w:rPr>
                <w:spacing w:val="-6"/>
                <w:lang w:val="en-GB"/>
              </w:rPr>
              <w:t xml:space="preserve">, </w:t>
            </w:r>
            <w:r w:rsidR="007C3418" w:rsidRPr="007C3418">
              <w:rPr>
                <w:spacing w:val="-6"/>
                <w:lang w:val="en-GB"/>
              </w:rPr>
              <w:t xml:space="preserve">the direct purchase of milk from domestic producers however lowered by 2.0% in comparison to the record level from year </w:t>
            </w:r>
            <w:r w:rsidR="00F77A50" w:rsidRPr="007C3418">
              <w:rPr>
                <w:spacing w:val="-6"/>
                <w:lang w:val="en-GB"/>
              </w:rPr>
              <w:t xml:space="preserve">2020. </w:t>
            </w:r>
            <w:r w:rsidR="00C37491">
              <w:rPr>
                <w:spacing w:val="-6"/>
                <w:lang w:val="en-GB"/>
              </w:rPr>
              <w:t xml:space="preserve">In addition, the weakening bark beetle outbreak had also likely had an effect on the output of the whole primary sector </w:t>
            </w:r>
            <w:r w:rsidR="00F77A50" w:rsidRPr="007C3418">
              <w:rPr>
                <w:spacing w:val="-6"/>
                <w:lang w:val="en-GB"/>
              </w:rPr>
              <w:t>(re</w:t>
            </w:r>
            <w:r w:rsidR="00C37491">
              <w:rPr>
                <w:spacing w:val="-6"/>
                <w:lang w:val="en-GB"/>
              </w:rPr>
              <w:t xml:space="preserve">cord </w:t>
            </w:r>
            <w:r w:rsidR="00E25391">
              <w:rPr>
                <w:spacing w:val="-6"/>
                <w:lang w:val="en-GB"/>
              </w:rPr>
              <w:t>natural</w:t>
            </w:r>
            <w:r w:rsidR="00CF60B8">
              <w:rPr>
                <w:spacing w:val="-6"/>
                <w:lang w:val="en-GB"/>
              </w:rPr>
              <w:t xml:space="preserve"> wood </w:t>
            </w:r>
            <w:r w:rsidR="0043271A">
              <w:rPr>
                <w:spacing w:val="-6"/>
                <w:lang w:val="en-GB"/>
              </w:rPr>
              <w:t>harvesting</w:t>
            </w:r>
            <w:r w:rsidR="00E51229">
              <w:rPr>
                <w:spacing w:val="-6"/>
                <w:lang w:val="en-GB"/>
              </w:rPr>
              <w:t xml:space="preserve"> from year </w:t>
            </w:r>
            <w:r w:rsidR="00F77A50" w:rsidRPr="007C3418">
              <w:rPr>
                <w:spacing w:val="-6"/>
                <w:lang w:val="en-GB"/>
              </w:rPr>
              <w:t>2020</w:t>
            </w:r>
            <w:r w:rsidR="00E51229">
              <w:rPr>
                <w:spacing w:val="-6"/>
                <w:lang w:val="en-GB"/>
              </w:rPr>
              <w:t xml:space="preserve"> did not repeat last year any more</w:t>
            </w:r>
            <w:r w:rsidR="00F77A50" w:rsidRPr="007C3418">
              <w:rPr>
                <w:spacing w:val="-6"/>
                <w:lang w:val="en-GB"/>
              </w:rPr>
              <w:t xml:space="preserve">). </w:t>
            </w:r>
            <w:r w:rsidR="00C06F2F" w:rsidRPr="007C3418">
              <w:rPr>
                <w:spacing w:val="-6"/>
                <w:lang w:val="en-GB"/>
              </w:rPr>
              <w:t xml:space="preserve">Among services, the GVA grew the most in financial activities last year and it contributed to the growth of the whole economy by </w:t>
            </w:r>
            <w:r w:rsidR="00F77A50" w:rsidRPr="007C3418">
              <w:rPr>
                <w:spacing w:val="-6"/>
                <w:lang w:val="en-GB"/>
              </w:rPr>
              <w:t>0</w:t>
            </w:r>
            <w:r w:rsidR="00C06F2F" w:rsidRPr="007C3418">
              <w:rPr>
                <w:spacing w:val="-6"/>
                <w:lang w:val="en-GB"/>
              </w:rPr>
              <w:t>.</w:t>
            </w:r>
            <w:r w:rsidR="00F77A50" w:rsidRPr="007C3418">
              <w:rPr>
                <w:spacing w:val="-6"/>
                <w:lang w:val="en-GB"/>
              </w:rPr>
              <w:t>4 p.</w:t>
            </w:r>
            <w:r w:rsidR="00C06F2F" w:rsidRPr="007C3418">
              <w:rPr>
                <w:spacing w:val="-6"/>
                <w:lang w:val="en-GB"/>
              </w:rPr>
              <w:t xml:space="preserve">p. The recovering branch trade, transportation, accommodation and food service also had a similar effect and </w:t>
            </w:r>
            <w:r w:rsidR="0043271A">
              <w:rPr>
                <w:spacing w:val="-6"/>
                <w:lang w:val="en-GB"/>
              </w:rPr>
              <w:t xml:space="preserve">also </w:t>
            </w:r>
            <w:r w:rsidR="00C06F2F" w:rsidRPr="007C3418">
              <w:rPr>
                <w:spacing w:val="-6"/>
                <w:lang w:val="en-GB"/>
              </w:rPr>
              <w:t xml:space="preserve">public services, </w:t>
            </w:r>
            <w:r w:rsidR="0043271A">
              <w:rPr>
                <w:spacing w:val="-6"/>
                <w:lang w:val="en-GB"/>
              </w:rPr>
              <w:t xml:space="preserve">where the higher number of hours worked significantly contributed to the GVA growth </w:t>
            </w:r>
            <w:r w:rsidR="00F77A50" w:rsidRPr="007C3418">
              <w:rPr>
                <w:spacing w:val="-6"/>
                <w:lang w:val="en-GB"/>
              </w:rPr>
              <w:t>(</w:t>
            </w:r>
            <w:r w:rsidR="0043271A">
              <w:rPr>
                <w:spacing w:val="-6"/>
                <w:lang w:val="en-GB"/>
              </w:rPr>
              <w:t xml:space="preserve">by </w:t>
            </w:r>
            <w:r w:rsidR="00F77A50" w:rsidRPr="007C3418">
              <w:rPr>
                <w:spacing w:val="-6"/>
                <w:lang w:val="en-GB"/>
              </w:rPr>
              <w:t>2</w:t>
            </w:r>
            <w:r w:rsidR="0043271A">
              <w:rPr>
                <w:spacing w:val="-6"/>
                <w:lang w:val="en-GB"/>
              </w:rPr>
              <w:t>.</w:t>
            </w:r>
            <w:r w:rsidR="00F77A50" w:rsidRPr="007C3418">
              <w:rPr>
                <w:spacing w:val="-6"/>
                <w:lang w:val="en-GB"/>
              </w:rPr>
              <w:t>9%)</w:t>
            </w:r>
            <w:r w:rsidR="0043271A">
              <w:rPr>
                <w:spacing w:val="-6"/>
                <w:lang w:val="en-GB"/>
              </w:rPr>
              <w:t xml:space="preserve">. </w:t>
            </w:r>
          </w:p>
        </w:tc>
      </w:tr>
      <w:tr w:rsidR="00F77A50" w:rsidRPr="006237E6" w14:paraId="4D9CD0E7" w14:textId="77777777" w:rsidTr="00B3385E">
        <w:trPr>
          <w:trHeight w:val="155"/>
        </w:trPr>
        <w:tc>
          <w:tcPr>
            <w:tcW w:w="1728" w:type="dxa"/>
            <w:shd w:val="clear" w:color="auto" w:fill="auto"/>
            <w:tcMar>
              <w:left w:w="0" w:type="dxa"/>
            </w:tcMar>
          </w:tcPr>
          <w:p w14:paraId="56EB366C" w14:textId="7BF9FC6D" w:rsidR="00F77A50" w:rsidRDefault="009328EE" w:rsidP="00B3385E">
            <w:pPr>
              <w:pStyle w:val="Marginlie"/>
              <w:rPr>
                <w:spacing w:val="-4"/>
              </w:rPr>
            </w:pPr>
            <w:r w:rsidRPr="009328EE">
              <w:rPr>
                <w:spacing w:val="-4"/>
                <w:lang w:val="en-GB"/>
              </w:rPr>
              <w:t>After-crisis recovery of industry displayed uneven development last year.</w:t>
            </w:r>
            <w:r>
              <w:rPr>
                <w:spacing w:val="-4"/>
              </w:rPr>
              <w:t xml:space="preserve"> </w:t>
            </w:r>
          </w:p>
        </w:tc>
        <w:tc>
          <w:tcPr>
            <w:tcW w:w="206" w:type="dxa"/>
            <w:shd w:val="clear" w:color="auto" w:fill="auto"/>
            <w:tcMar>
              <w:left w:w="0" w:type="dxa"/>
            </w:tcMar>
          </w:tcPr>
          <w:p w14:paraId="1893ABCC" w14:textId="77777777" w:rsidR="00F77A50" w:rsidRPr="003B1401" w:rsidRDefault="00F77A50" w:rsidP="00B3385E">
            <w:pPr>
              <w:pStyle w:val="Textpoznpodarou"/>
              <w:jc w:val="both"/>
              <w:rPr>
                <w:spacing w:val="-4"/>
              </w:rPr>
            </w:pPr>
          </w:p>
        </w:tc>
        <w:tc>
          <w:tcPr>
            <w:tcW w:w="7730" w:type="dxa"/>
            <w:shd w:val="clear" w:color="auto" w:fill="auto"/>
            <w:tcMar>
              <w:left w:w="0" w:type="dxa"/>
            </w:tcMar>
          </w:tcPr>
          <w:p w14:paraId="74326D6C" w14:textId="6622502A" w:rsidR="00F77A50" w:rsidRPr="0067657E" w:rsidRDefault="006A01C3" w:rsidP="00B3385E">
            <w:pPr>
              <w:spacing w:after="200"/>
              <w:rPr>
                <w:color w:val="0D0D0D" w:themeColor="text1" w:themeTint="F2"/>
                <w:spacing w:val="-4"/>
                <w:lang w:val="en-GB"/>
              </w:rPr>
            </w:pPr>
            <w:r>
              <w:rPr>
                <w:color w:val="0D0D0D" w:themeColor="text1" w:themeTint="F2"/>
                <w:spacing w:val="-4"/>
                <w:lang w:val="en-GB"/>
              </w:rPr>
              <w:t xml:space="preserve">Next to the data regarding the value added, the more detailed data from the business statistics also evidence the ongoing recovery of industry in year </w:t>
            </w:r>
            <w:r w:rsidR="00F77A50" w:rsidRPr="0067657E">
              <w:rPr>
                <w:color w:val="0D0D0D" w:themeColor="text1" w:themeTint="F2"/>
                <w:spacing w:val="-4"/>
                <w:lang w:val="en-GB"/>
              </w:rPr>
              <w:t>2021</w:t>
            </w:r>
            <w:r>
              <w:rPr>
                <w:color w:val="0D0D0D" w:themeColor="text1" w:themeTint="F2"/>
                <w:spacing w:val="-4"/>
                <w:lang w:val="en-GB"/>
              </w:rPr>
              <w:t xml:space="preserve">. This recovery however followed an uneven path, both from the view of individual parts of the year and </w:t>
            </w:r>
            <w:r w:rsidR="0018690D">
              <w:rPr>
                <w:color w:val="0D0D0D" w:themeColor="text1" w:themeTint="F2"/>
                <w:spacing w:val="-4"/>
                <w:lang w:val="en-GB"/>
              </w:rPr>
              <w:t>the branches. The motor vehicle industry faced supplier difficulties throughout the whole year, stemming from the fast revival of the most developed world economies accompanie</w:t>
            </w:r>
            <w:r w:rsidR="00990257">
              <w:rPr>
                <w:color w:val="0D0D0D" w:themeColor="text1" w:themeTint="F2"/>
                <w:spacing w:val="-4"/>
                <w:lang w:val="en-GB"/>
              </w:rPr>
              <w:t>d</w:t>
            </w:r>
            <w:r w:rsidR="0018690D">
              <w:rPr>
                <w:color w:val="0D0D0D" w:themeColor="text1" w:themeTint="F2"/>
                <w:spacing w:val="-4"/>
                <w:lang w:val="en-GB"/>
              </w:rPr>
              <w:t xml:space="preserve"> by production as well as logistic struggles in Asian regions</w:t>
            </w:r>
            <w:r w:rsidR="00F77A50" w:rsidRPr="0067657E">
              <w:rPr>
                <w:color w:val="0D0D0D" w:themeColor="text1" w:themeTint="F2"/>
                <w:spacing w:val="-4"/>
                <w:lang w:val="en-GB"/>
              </w:rPr>
              <w:t xml:space="preserve">. </w:t>
            </w:r>
            <w:r w:rsidR="0018690D">
              <w:rPr>
                <w:color w:val="0D0D0D" w:themeColor="text1" w:themeTint="F2"/>
                <w:spacing w:val="-4"/>
                <w:lang w:val="en-GB"/>
              </w:rPr>
              <w:t>In addition, some types of economic activities strongly hit during the pandemics (e.g.</w:t>
            </w:r>
            <w:r w:rsidR="00A8331C">
              <w:rPr>
                <w:color w:val="0D0D0D" w:themeColor="text1" w:themeTint="F2"/>
                <w:spacing w:val="-4"/>
                <w:lang w:val="en-GB"/>
              </w:rPr>
              <w:t xml:space="preserve"> manufacture of clothing, beverages</w:t>
            </w:r>
            <w:r w:rsidR="0018690D">
              <w:rPr>
                <w:color w:val="0D0D0D" w:themeColor="text1" w:themeTint="F2"/>
                <w:spacing w:val="-4"/>
                <w:lang w:val="en-GB"/>
              </w:rPr>
              <w:t xml:space="preserve">) still experienced inadequate demand. </w:t>
            </w:r>
          </w:p>
        </w:tc>
      </w:tr>
      <w:tr w:rsidR="00F77A50" w:rsidRPr="006237E6" w14:paraId="44F812E8" w14:textId="77777777" w:rsidTr="00B3385E">
        <w:trPr>
          <w:trHeight w:val="155"/>
        </w:trPr>
        <w:tc>
          <w:tcPr>
            <w:tcW w:w="1728" w:type="dxa"/>
            <w:shd w:val="clear" w:color="auto" w:fill="auto"/>
            <w:tcMar>
              <w:left w:w="0" w:type="dxa"/>
            </w:tcMar>
          </w:tcPr>
          <w:p w14:paraId="140713C0" w14:textId="1EE799F1" w:rsidR="00F77A50" w:rsidRPr="00185CB1" w:rsidRDefault="0018690D" w:rsidP="00B3385E">
            <w:pPr>
              <w:pStyle w:val="Marginlie"/>
              <w:rPr>
                <w:spacing w:val="-4"/>
                <w:lang w:val="en-GB"/>
              </w:rPr>
            </w:pPr>
            <w:r w:rsidRPr="00185CB1">
              <w:rPr>
                <w:spacing w:val="-4"/>
                <w:lang w:val="en-GB"/>
              </w:rPr>
              <w:lastRenderedPageBreak/>
              <w:t>In Q</w:t>
            </w:r>
            <w:r w:rsidR="00F77A50" w:rsidRPr="00185CB1">
              <w:rPr>
                <w:spacing w:val="-4"/>
                <w:lang w:val="en-GB"/>
              </w:rPr>
              <w:t>2</w:t>
            </w:r>
            <w:r w:rsidRPr="00185CB1">
              <w:rPr>
                <w:spacing w:val="-4"/>
                <w:lang w:val="en-GB"/>
              </w:rPr>
              <w:t xml:space="preserve">, the industry performance was </w:t>
            </w:r>
            <w:r w:rsidR="00185CB1" w:rsidRPr="00185CB1">
              <w:rPr>
                <w:spacing w:val="-4"/>
                <w:lang w:val="en-GB"/>
              </w:rPr>
              <w:t xml:space="preserve">on its last year’s peak, when it benefited from the overall revival of the economy in the euro area. </w:t>
            </w:r>
          </w:p>
        </w:tc>
        <w:tc>
          <w:tcPr>
            <w:tcW w:w="206" w:type="dxa"/>
            <w:shd w:val="clear" w:color="auto" w:fill="auto"/>
            <w:tcMar>
              <w:left w:w="0" w:type="dxa"/>
            </w:tcMar>
          </w:tcPr>
          <w:p w14:paraId="6E8D5A74" w14:textId="77777777" w:rsidR="00F77A50" w:rsidRPr="00185CB1" w:rsidRDefault="00F77A50" w:rsidP="00B3385E">
            <w:pPr>
              <w:pStyle w:val="Textpoznpodarou"/>
              <w:jc w:val="both"/>
              <w:rPr>
                <w:spacing w:val="-4"/>
                <w:lang w:val="en-GB"/>
              </w:rPr>
            </w:pPr>
          </w:p>
        </w:tc>
        <w:tc>
          <w:tcPr>
            <w:tcW w:w="7730" w:type="dxa"/>
            <w:shd w:val="clear" w:color="auto" w:fill="auto"/>
            <w:tcMar>
              <w:left w:w="0" w:type="dxa"/>
            </w:tcMar>
          </w:tcPr>
          <w:p w14:paraId="3FD40CB3" w14:textId="2EB613C4" w:rsidR="00F77A50" w:rsidRPr="00185CB1" w:rsidRDefault="00F529FB" w:rsidP="00B3385E">
            <w:pPr>
              <w:spacing w:after="200"/>
              <w:rPr>
                <w:color w:val="0D0D0D" w:themeColor="text1" w:themeTint="F2"/>
                <w:spacing w:val="-4"/>
                <w:lang w:val="en-GB"/>
              </w:rPr>
            </w:pPr>
            <w:r>
              <w:rPr>
                <w:color w:val="0D0D0D" w:themeColor="text1" w:themeTint="F2"/>
                <w:spacing w:val="-4"/>
                <w:lang w:val="en-GB"/>
              </w:rPr>
              <w:t xml:space="preserve">After the fast restart of industry in the second half of year </w:t>
            </w:r>
            <w:r w:rsidR="00F77A50" w:rsidRPr="00185CB1">
              <w:rPr>
                <w:color w:val="0D0D0D" w:themeColor="text1" w:themeTint="F2"/>
                <w:spacing w:val="-4"/>
                <w:lang w:val="en-GB"/>
              </w:rPr>
              <w:t xml:space="preserve">2020, </w:t>
            </w:r>
            <w:r>
              <w:rPr>
                <w:color w:val="0D0D0D" w:themeColor="text1" w:themeTint="F2"/>
                <w:spacing w:val="-4"/>
                <w:lang w:val="en-GB"/>
              </w:rPr>
              <w:t>with participation apart f</w:t>
            </w:r>
            <w:r w:rsidR="00990257">
              <w:rPr>
                <w:color w:val="0D0D0D" w:themeColor="text1" w:themeTint="F2"/>
                <w:spacing w:val="-4"/>
                <w:lang w:val="en-GB"/>
              </w:rPr>
              <w:t>ro</w:t>
            </w:r>
            <w:r>
              <w:rPr>
                <w:color w:val="0D0D0D" w:themeColor="text1" w:themeTint="F2"/>
                <w:spacing w:val="-4"/>
                <w:lang w:val="en-GB"/>
              </w:rPr>
              <w:t>m the key export branches from wide spectrum of sub-branches</w:t>
            </w:r>
            <w:r w:rsidR="00F77A50" w:rsidRPr="00185CB1">
              <w:rPr>
                <w:color w:val="0D0D0D" w:themeColor="text1" w:themeTint="F2"/>
                <w:spacing w:val="-4"/>
                <w:lang w:val="en-GB"/>
              </w:rPr>
              <w:t xml:space="preserve">, </w:t>
            </w:r>
            <w:r w:rsidR="00D6014A">
              <w:rPr>
                <w:color w:val="0D0D0D" w:themeColor="text1" w:themeTint="F2"/>
                <w:spacing w:val="-4"/>
                <w:lang w:val="en-GB"/>
              </w:rPr>
              <w:t xml:space="preserve">the output of the whole industry temporarily dropped at the beginning of year </w:t>
            </w:r>
            <w:r w:rsidR="00F77A50" w:rsidRPr="00185CB1">
              <w:rPr>
                <w:color w:val="0D0D0D" w:themeColor="text1" w:themeTint="F2"/>
                <w:spacing w:val="-4"/>
                <w:lang w:val="en-GB"/>
              </w:rPr>
              <w:t xml:space="preserve">2021. </w:t>
            </w:r>
            <w:r w:rsidR="00BB657B">
              <w:rPr>
                <w:color w:val="0D0D0D" w:themeColor="text1" w:themeTint="F2"/>
                <w:spacing w:val="-4"/>
                <w:lang w:val="en-GB"/>
              </w:rPr>
              <w:t>The industrial production</w:t>
            </w:r>
            <w:r w:rsidR="00F77A50" w:rsidRPr="00185CB1">
              <w:rPr>
                <w:color w:val="0D0D0D" w:themeColor="text1" w:themeTint="F2"/>
                <w:spacing w:val="-4"/>
                <w:vertAlign w:val="superscript"/>
                <w:lang w:val="en-GB"/>
              </w:rPr>
              <w:footnoteReference w:id="7"/>
            </w:r>
            <w:r w:rsidR="00F77A50" w:rsidRPr="00185CB1">
              <w:rPr>
                <w:color w:val="0D0D0D" w:themeColor="text1" w:themeTint="F2"/>
                <w:spacing w:val="-4"/>
                <w:lang w:val="en-GB"/>
              </w:rPr>
              <w:t xml:space="preserve"> </w:t>
            </w:r>
            <w:r w:rsidR="00BB657B">
              <w:rPr>
                <w:color w:val="0D0D0D" w:themeColor="text1" w:themeTint="F2"/>
                <w:spacing w:val="-4"/>
                <w:lang w:val="en-GB"/>
              </w:rPr>
              <w:t>decreased b</w:t>
            </w:r>
            <w:r w:rsidR="00BB657B">
              <w:rPr>
                <w:color w:val="0D0D0D" w:themeColor="text1" w:themeTint="F2"/>
                <w:spacing w:val="-4"/>
              </w:rPr>
              <w:t xml:space="preserve">y </w:t>
            </w:r>
            <w:r w:rsidR="00F77A50" w:rsidRPr="00185CB1">
              <w:rPr>
                <w:color w:val="0D0D0D" w:themeColor="text1" w:themeTint="F2"/>
                <w:spacing w:val="-4"/>
                <w:lang w:val="en-GB"/>
              </w:rPr>
              <w:t>1</w:t>
            </w:r>
            <w:r w:rsidR="00BB657B">
              <w:rPr>
                <w:color w:val="0D0D0D" w:themeColor="text1" w:themeTint="F2"/>
                <w:spacing w:val="-4"/>
                <w:lang w:val="en-GB"/>
              </w:rPr>
              <w:t>.</w:t>
            </w:r>
            <w:r w:rsidR="00F77A50" w:rsidRPr="00185CB1">
              <w:rPr>
                <w:color w:val="0D0D0D" w:themeColor="text1" w:themeTint="F2"/>
                <w:spacing w:val="-4"/>
                <w:lang w:val="en-GB"/>
              </w:rPr>
              <w:t>1%</w:t>
            </w:r>
            <w:r w:rsidR="00BB657B">
              <w:rPr>
                <w:color w:val="0D0D0D" w:themeColor="text1" w:themeTint="F2"/>
                <w:spacing w:val="-4"/>
                <w:lang w:val="en-GB"/>
              </w:rPr>
              <w:t xml:space="preserve"> quarter-on-quarter in Q</w:t>
            </w:r>
            <w:r w:rsidR="00BB657B">
              <w:rPr>
                <w:color w:val="0D0D0D" w:themeColor="text1" w:themeTint="F2"/>
                <w:spacing w:val="-4"/>
              </w:rPr>
              <w:t>1</w:t>
            </w:r>
            <w:r w:rsidR="00F77A50" w:rsidRPr="00185CB1">
              <w:rPr>
                <w:color w:val="0D0D0D" w:themeColor="text1" w:themeTint="F2"/>
                <w:spacing w:val="-4"/>
                <w:lang w:val="en-GB"/>
              </w:rPr>
              <w:t xml:space="preserve">, </w:t>
            </w:r>
            <w:r w:rsidR="00BB657B">
              <w:rPr>
                <w:color w:val="0D0D0D" w:themeColor="text1" w:themeTint="F2"/>
                <w:spacing w:val="-4"/>
                <w:lang w:val="en-GB"/>
              </w:rPr>
              <w:t xml:space="preserve">since the swift after crisis recovery of motor vehicle producers (including their closest domestic sub-suppliers) and of the chemical industry halted. In the subsequent quarter, the mild growth of the industrial production renewed </w:t>
            </w:r>
            <w:r w:rsidR="00F77A50" w:rsidRPr="00185CB1">
              <w:rPr>
                <w:color w:val="0D0D0D" w:themeColor="text1" w:themeTint="F2"/>
                <w:spacing w:val="-4"/>
                <w:lang w:val="en-GB"/>
              </w:rPr>
              <w:t>(0</w:t>
            </w:r>
            <w:r w:rsidR="00BB657B">
              <w:rPr>
                <w:color w:val="0D0D0D" w:themeColor="text1" w:themeTint="F2"/>
                <w:spacing w:val="-4"/>
                <w:lang w:val="en-GB"/>
              </w:rPr>
              <w:t>.</w:t>
            </w:r>
            <w:r w:rsidR="00F77A50" w:rsidRPr="00185CB1">
              <w:rPr>
                <w:color w:val="0D0D0D" w:themeColor="text1" w:themeTint="F2"/>
                <w:spacing w:val="-4"/>
                <w:lang w:val="en-GB"/>
              </w:rPr>
              <w:t>9%). „</w:t>
            </w:r>
            <w:r w:rsidR="00D6014A">
              <w:rPr>
                <w:color w:val="0D0D0D" w:themeColor="text1" w:themeTint="F2"/>
                <w:spacing w:val="-4"/>
                <w:lang w:val="en-GB"/>
              </w:rPr>
              <w:t>Reopening</w:t>
            </w:r>
            <w:r w:rsidR="00F77A50" w:rsidRPr="00185CB1">
              <w:rPr>
                <w:color w:val="0D0D0D" w:themeColor="text1" w:themeTint="F2"/>
                <w:spacing w:val="-4"/>
                <w:lang w:val="en-GB"/>
              </w:rPr>
              <w:t>“</w:t>
            </w:r>
            <w:r w:rsidR="00D6014A">
              <w:rPr>
                <w:color w:val="0D0D0D" w:themeColor="text1" w:themeTint="F2"/>
                <w:spacing w:val="-4"/>
                <w:lang w:val="en-GB"/>
              </w:rPr>
              <w:t xml:space="preserve"> of the economy after the retreat of the pandemic wage returns part of the lost consumer and entrepreneur confidence both in the CR and in the EU, which led to the revival of consumption and investment activity. </w:t>
            </w:r>
            <w:r>
              <w:rPr>
                <w:color w:val="0D0D0D" w:themeColor="text1" w:themeTint="F2"/>
                <w:spacing w:val="-4"/>
                <w:lang w:val="en-GB"/>
              </w:rPr>
              <w:t xml:space="preserve">Strongly export oriented domestic industry benefited mainly from the favourable economic development of the key export territories – Germany, </w:t>
            </w:r>
            <w:r w:rsidR="00F77A50" w:rsidRPr="00185CB1">
              <w:rPr>
                <w:color w:val="0D0D0D" w:themeColor="text1" w:themeTint="F2"/>
                <w:spacing w:val="-4"/>
                <w:lang w:val="en-GB"/>
              </w:rPr>
              <w:t xml:space="preserve">resp. </w:t>
            </w:r>
            <w:r>
              <w:rPr>
                <w:color w:val="0D0D0D" w:themeColor="text1" w:themeTint="F2"/>
                <w:spacing w:val="-4"/>
                <w:lang w:val="en-GB"/>
              </w:rPr>
              <w:t xml:space="preserve">the whole </w:t>
            </w:r>
            <w:r w:rsidR="00F77A50" w:rsidRPr="00185CB1">
              <w:rPr>
                <w:color w:val="0D0D0D" w:themeColor="text1" w:themeTint="F2"/>
                <w:spacing w:val="-4"/>
                <w:lang w:val="en-GB"/>
              </w:rPr>
              <w:t>EU</w:t>
            </w:r>
            <w:r w:rsidR="00F77A50" w:rsidRPr="00185CB1">
              <w:rPr>
                <w:rStyle w:val="Znakapoznpodarou"/>
                <w:color w:val="0D0D0D" w:themeColor="text1" w:themeTint="F2"/>
                <w:spacing w:val="-4"/>
                <w:lang w:val="en-GB"/>
              </w:rPr>
              <w:footnoteReference w:id="8"/>
            </w:r>
            <w:r>
              <w:rPr>
                <w:color w:val="0D0D0D" w:themeColor="text1" w:themeTint="F2"/>
                <w:spacing w:val="-4"/>
                <w:lang w:val="en-GB"/>
              </w:rPr>
              <w:t xml:space="preserve"> in Spring</w:t>
            </w:r>
            <w:r w:rsidR="00F77A50" w:rsidRPr="00185CB1">
              <w:rPr>
                <w:color w:val="0D0D0D" w:themeColor="text1" w:themeTint="F2"/>
                <w:spacing w:val="-4"/>
                <w:lang w:val="en-GB"/>
              </w:rPr>
              <w:t>.</w:t>
            </w:r>
          </w:p>
        </w:tc>
      </w:tr>
      <w:tr w:rsidR="00F77A50" w:rsidRPr="006237E6" w14:paraId="0D587942" w14:textId="77777777" w:rsidTr="00B3385E">
        <w:trPr>
          <w:trHeight w:val="155"/>
        </w:trPr>
        <w:tc>
          <w:tcPr>
            <w:tcW w:w="1728" w:type="dxa"/>
            <w:shd w:val="clear" w:color="auto" w:fill="auto"/>
            <w:tcMar>
              <w:left w:w="0" w:type="dxa"/>
            </w:tcMar>
          </w:tcPr>
          <w:p w14:paraId="7BFA2CFD" w14:textId="27029A87" w:rsidR="00F77A50" w:rsidRPr="00F529FB" w:rsidRDefault="000D7082" w:rsidP="00B3385E">
            <w:pPr>
              <w:pStyle w:val="Marginlie"/>
              <w:rPr>
                <w:spacing w:val="-4"/>
                <w:lang w:val="en-GB"/>
              </w:rPr>
            </w:pPr>
            <w:r>
              <w:rPr>
                <w:spacing w:val="-4"/>
                <w:lang w:val="en-GB"/>
              </w:rPr>
              <w:t>In H</w:t>
            </w:r>
            <w:r w:rsidR="00F77A50" w:rsidRPr="00F529FB">
              <w:rPr>
                <w:spacing w:val="-4"/>
                <w:lang w:val="en-GB"/>
              </w:rPr>
              <w:t>2</w:t>
            </w:r>
            <w:r>
              <w:rPr>
                <w:spacing w:val="-4"/>
                <w:lang w:val="en-GB"/>
              </w:rPr>
              <w:t xml:space="preserve">, the industry was hindered by growing difficulties with availability of components </w:t>
            </w:r>
            <w:r w:rsidR="007A011D">
              <w:rPr>
                <w:spacing w:val="-4"/>
                <w:lang w:val="en-GB"/>
              </w:rPr>
              <w:t>for</w:t>
            </w:r>
            <w:r>
              <w:rPr>
                <w:spacing w:val="-4"/>
                <w:lang w:val="en-GB"/>
              </w:rPr>
              <w:t xml:space="preserve"> the manufacturing of motor vehicles and also the strong growth of prices of energies and material inputs in the whole industry just at the end of the year. </w:t>
            </w:r>
          </w:p>
        </w:tc>
        <w:tc>
          <w:tcPr>
            <w:tcW w:w="206" w:type="dxa"/>
            <w:shd w:val="clear" w:color="auto" w:fill="auto"/>
            <w:tcMar>
              <w:left w:w="0" w:type="dxa"/>
            </w:tcMar>
          </w:tcPr>
          <w:p w14:paraId="479CD687" w14:textId="77777777" w:rsidR="00F77A50" w:rsidRPr="00F529FB" w:rsidRDefault="00F77A50" w:rsidP="00B3385E">
            <w:pPr>
              <w:pStyle w:val="Textpoznpodarou"/>
              <w:jc w:val="both"/>
              <w:rPr>
                <w:spacing w:val="-4"/>
                <w:lang w:val="en-GB"/>
              </w:rPr>
            </w:pPr>
          </w:p>
        </w:tc>
        <w:tc>
          <w:tcPr>
            <w:tcW w:w="7730" w:type="dxa"/>
            <w:shd w:val="clear" w:color="auto" w:fill="auto"/>
            <w:tcMar>
              <w:left w:w="0" w:type="dxa"/>
            </w:tcMar>
          </w:tcPr>
          <w:p w14:paraId="66DED32E" w14:textId="27EF91FB" w:rsidR="00F77A50" w:rsidRPr="00F529FB" w:rsidRDefault="00F77A50" w:rsidP="00B3385E">
            <w:pPr>
              <w:spacing w:after="200"/>
              <w:rPr>
                <w:color w:val="0D0D0D" w:themeColor="text1" w:themeTint="F2"/>
                <w:spacing w:val="-4"/>
                <w:lang w:val="en-GB"/>
              </w:rPr>
            </w:pPr>
            <w:r w:rsidRPr="00F529FB">
              <w:rPr>
                <w:color w:val="0D0D0D" w:themeColor="text1" w:themeTint="F2"/>
                <w:spacing w:val="-4"/>
                <w:lang w:val="en-GB"/>
              </w:rPr>
              <w:t>T</w:t>
            </w:r>
            <w:r w:rsidR="000D7082">
              <w:rPr>
                <w:color w:val="0D0D0D" w:themeColor="text1" w:themeTint="F2"/>
                <w:spacing w:val="-4"/>
                <w:lang w:val="en-GB"/>
              </w:rPr>
              <w:t xml:space="preserve">his promising development was nevertheless in the second half of the year overshadowed by the deepening difficulties in the global supplier chains, which considerably disrupted the continuity of production, mainly in the dominant motor vehicle manufacturing branch. </w:t>
            </w:r>
            <w:r w:rsidR="007A011D">
              <w:rPr>
                <w:color w:val="0D0D0D" w:themeColor="text1" w:themeTint="F2"/>
                <w:spacing w:val="-4"/>
                <w:lang w:val="en-GB"/>
              </w:rPr>
              <w:t>Output in the whole industry thus dropped by 2.2% quarter-on-quarter in Q</w:t>
            </w:r>
            <w:r w:rsidRPr="00F529FB">
              <w:rPr>
                <w:color w:val="0D0D0D" w:themeColor="text1" w:themeTint="F2"/>
                <w:spacing w:val="-4"/>
                <w:lang w:val="en-GB"/>
              </w:rPr>
              <w:t>3.</w:t>
            </w:r>
            <w:r w:rsidR="00605A97">
              <w:rPr>
                <w:color w:val="0D0D0D" w:themeColor="text1" w:themeTint="F2"/>
                <w:spacing w:val="-4"/>
                <w:lang w:val="en-GB"/>
              </w:rPr>
              <w:t xml:space="preserve"> Difficulties with the shortage production components slightly eased up at the end of the last year</w:t>
            </w:r>
            <w:r w:rsidRPr="00F529FB">
              <w:rPr>
                <w:color w:val="0D0D0D" w:themeColor="text1" w:themeTint="F2"/>
                <w:spacing w:val="-4"/>
                <w:lang w:val="en-GB"/>
              </w:rPr>
              <w:t xml:space="preserve">, </w:t>
            </w:r>
            <w:r w:rsidR="00E77B7A">
              <w:rPr>
                <w:color w:val="0D0D0D" w:themeColor="text1" w:themeTint="F2"/>
                <w:spacing w:val="-4"/>
                <w:lang w:val="en-GB"/>
              </w:rPr>
              <w:t>the majority of industrial businesses however had to face a strong price growth of mat</w:t>
            </w:r>
            <w:r w:rsidR="00605A97">
              <w:rPr>
                <w:color w:val="0D0D0D" w:themeColor="text1" w:themeTint="F2"/>
                <w:spacing w:val="-4"/>
                <w:lang w:val="en-GB"/>
              </w:rPr>
              <w:t>e</w:t>
            </w:r>
            <w:r w:rsidR="00E77B7A">
              <w:rPr>
                <w:color w:val="0D0D0D" w:themeColor="text1" w:themeTint="F2"/>
                <w:spacing w:val="-4"/>
                <w:lang w:val="en-GB"/>
              </w:rPr>
              <w:t>rial inputs augmented by the unexpected escalation of the energy prices. Compared to Q</w:t>
            </w:r>
            <w:r w:rsidRPr="00F529FB">
              <w:rPr>
                <w:color w:val="0D0D0D" w:themeColor="text1" w:themeTint="F2"/>
                <w:spacing w:val="-4"/>
                <w:lang w:val="en-GB"/>
              </w:rPr>
              <w:t>3</w:t>
            </w:r>
            <w:r w:rsidR="00E77B7A">
              <w:rPr>
                <w:color w:val="0D0D0D" w:themeColor="text1" w:themeTint="F2"/>
                <w:spacing w:val="-4"/>
                <w:lang w:val="en-GB"/>
              </w:rPr>
              <w:t xml:space="preserve">, the volume of the industrial production thus stagnated at the end of the year, and it even slightly decreased in the majority of significant branches (except for energy and chemical industries). </w:t>
            </w:r>
            <w:r w:rsidR="00605A97">
              <w:rPr>
                <w:color w:val="0D0D0D" w:themeColor="text1" w:themeTint="F2"/>
                <w:spacing w:val="-4"/>
                <w:lang w:val="en-GB"/>
              </w:rPr>
              <w:t xml:space="preserve">In comparison to the pre-pandemic maximum from May </w:t>
            </w:r>
            <w:r w:rsidRPr="00F529FB">
              <w:rPr>
                <w:color w:val="0D0D0D" w:themeColor="text1" w:themeTint="F2"/>
                <w:spacing w:val="-4"/>
                <w:lang w:val="en-GB"/>
              </w:rPr>
              <w:t>2019</w:t>
            </w:r>
            <w:r w:rsidR="00605A97">
              <w:rPr>
                <w:color w:val="0D0D0D" w:themeColor="text1" w:themeTint="F2"/>
                <w:spacing w:val="-4"/>
                <w:lang w:val="en-GB"/>
              </w:rPr>
              <w:t>, the industrial production was still significantly falling behind in the last month of the last year</w:t>
            </w:r>
            <w:r w:rsidRPr="00F529FB">
              <w:rPr>
                <w:color w:val="0D0D0D" w:themeColor="text1" w:themeTint="F2"/>
                <w:spacing w:val="-4"/>
                <w:lang w:val="en-GB"/>
              </w:rPr>
              <w:t xml:space="preserve"> (</w:t>
            </w:r>
            <w:r w:rsidR="00605A97">
              <w:rPr>
                <w:color w:val="0D0D0D" w:themeColor="text1" w:themeTint="F2"/>
                <w:spacing w:val="-4"/>
                <w:lang w:val="en-GB"/>
              </w:rPr>
              <w:t xml:space="preserve">by </w:t>
            </w:r>
            <w:r w:rsidRPr="00F529FB">
              <w:rPr>
                <w:color w:val="0D0D0D" w:themeColor="text1" w:themeTint="F2"/>
                <w:spacing w:val="-4"/>
                <w:lang w:val="en-GB"/>
              </w:rPr>
              <w:t>6</w:t>
            </w:r>
            <w:r w:rsidR="00605A97">
              <w:rPr>
                <w:color w:val="0D0D0D" w:themeColor="text1" w:themeTint="F2"/>
                <w:spacing w:val="-4"/>
                <w:lang w:val="en-GB"/>
              </w:rPr>
              <w:t>.</w:t>
            </w:r>
            <w:r w:rsidRPr="00F529FB">
              <w:rPr>
                <w:color w:val="0D0D0D" w:themeColor="text1" w:themeTint="F2"/>
                <w:spacing w:val="-4"/>
                <w:lang w:val="en-GB"/>
              </w:rPr>
              <w:t>1%).</w:t>
            </w:r>
          </w:p>
        </w:tc>
      </w:tr>
      <w:tr w:rsidR="00F77A50" w:rsidRPr="006237E6" w14:paraId="15B833DC" w14:textId="77777777" w:rsidTr="00B3385E">
        <w:trPr>
          <w:trHeight w:val="155"/>
        </w:trPr>
        <w:tc>
          <w:tcPr>
            <w:tcW w:w="1728" w:type="dxa"/>
            <w:shd w:val="clear" w:color="auto" w:fill="auto"/>
            <w:tcMar>
              <w:left w:w="0" w:type="dxa"/>
            </w:tcMar>
          </w:tcPr>
          <w:p w14:paraId="1630A1E2" w14:textId="02116793" w:rsidR="00F77A50" w:rsidRPr="000D7082" w:rsidRDefault="008D62D6" w:rsidP="00B3385E">
            <w:pPr>
              <w:pStyle w:val="Marginlie"/>
              <w:rPr>
                <w:spacing w:val="-4"/>
                <w:lang w:val="en-GB"/>
              </w:rPr>
            </w:pPr>
            <w:r>
              <w:rPr>
                <w:spacing w:val="-4"/>
                <w:lang w:val="en-GB"/>
              </w:rPr>
              <w:t>Without including the manufacture of motor vehicles, the year-on-year growth of the industrial production would also continue in H</w:t>
            </w:r>
            <w:r w:rsidR="00F77A50" w:rsidRPr="000D7082">
              <w:rPr>
                <w:spacing w:val="-4"/>
                <w:lang w:val="en-GB"/>
              </w:rPr>
              <w:t>2</w:t>
            </w:r>
            <w:r>
              <w:rPr>
                <w:spacing w:val="-4"/>
                <w:lang w:val="en-GB"/>
              </w:rPr>
              <w:t xml:space="preserve"> </w:t>
            </w:r>
            <w:r w:rsidR="00F77A50" w:rsidRPr="000D7082">
              <w:rPr>
                <w:spacing w:val="-4"/>
                <w:lang w:val="en-GB"/>
              </w:rPr>
              <w:t>2021.</w:t>
            </w:r>
          </w:p>
        </w:tc>
        <w:tc>
          <w:tcPr>
            <w:tcW w:w="206" w:type="dxa"/>
            <w:shd w:val="clear" w:color="auto" w:fill="auto"/>
            <w:tcMar>
              <w:left w:w="0" w:type="dxa"/>
            </w:tcMar>
          </w:tcPr>
          <w:p w14:paraId="62BF2AD3" w14:textId="77777777" w:rsidR="00F77A50" w:rsidRPr="000D7082" w:rsidRDefault="00F77A50" w:rsidP="00B3385E">
            <w:pPr>
              <w:pStyle w:val="Textpoznpodarou"/>
              <w:jc w:val="both"/>
              <w:rPr>
                <w:spacing w:val="-4"/>
                <w:lang w:val="en-GB"/>
              </w:rPr>
            </w:pPr>
          </w:p>
        </w:tc>
        <w:tc>
          <w:tcPr>
            <w:tcW w:w="7730" w:type="dxa"/>
            <w:shd w:val="clear" w:color="auto" w:fill="auto"/>
            <w:tcMar>
              <w:left w:w="0" w:type="dxa"/>
            </w:tcMar>
          </w:tcPr>
          <w:p w14:paraId="5ADAC4AE" w14:textId="1C4A3B8C" w:rsidR="00F77A50" w:rsidRPr="000D7082" w:rsidRDefault="00680443" w:rsidP="00B3385E">
            <w:pPr>
              <w:spacing w:after="200"/>
              <w:rPr>
                <w:spacing w:val="-4"/>
                <w:lang w:val="en-GB"/>
              </w:rPr>
            </w:pPr>
            <w:r>
              <w:rPr>
                <w:color w:val="0D0D0D" w:themeColor="text1" w:themeTint="F2"/>
                <w:spacing w:val="-4"/>
                <w:lang w:val="en-GB"/>
              </w:rPr>
              <w:t xml:space="preserve">The industrial production went up by </w:t>
            </w:r>
            <w:r w:rsidR="00F77A50" w:rsidRPr="000D7082">
              <w:rPr>
                <w:spacing w:val="-4"/>
                <w:lang w:val="en-GB"/>
              </w:rPr>
              <w:t>6</w:t>
            </w:r>
            <w:r>
              <w:rPr>
                <w:spacing w:val="-4"/>
                <w:lang w:val="en-GB"/>
              </w:rPr>
              <w:t>.</w:t>
            </w:r>
            <w:r w:rsidR="00F77A50" w:rsidRPr="000D7082">
              <w:rPr>
                <w:spacing w:val="-4"/>
                <w:lang w:val="en-GB"/>
              </w:rPr>
              <w:t>6%</w:t>
            </w:r>
            <w:r>
              <w:rPr>
                <w:spacing w:val="-4"/>
                <w:lang w:val="en-GB"/>
              </w:rPr>
              <w:t xml:space="preserve"> year-on-year for the whole last year</w:t>
            </w:r>
            <w:r w:rsidR="00F77A50" w:rsidRPr="000D7082">
              <w:rPr>
                <w:spacing w:val="-4"/>
                <w:lang w:val="en-GB"/>
              </w:rPr>
              <w:t xml:space="preserve"> (</w:t>
            </w:r>
            <w:r>
              <w:rPr>
                <w:spacing w:val="-4"/>
                <w:lang w:val="en-GB"/>
              </w:rPr>
              <w:t xml:space="preserve">it slumped by 7.2% mainly due to the Spring temporary shutdowns for year </w:t>
            </w:r>
            <w:r w:rsidR="00F77A50" w:rsidRPr="000D7082">
              <w:rPr>
                <w:spacing w:val="-4"/>
                <w:lang w:val="en-GB"/>
              </w:rPr>
              <w:t>2020).</w:t>
            </w:r>
            <w:r>
              <w:rPr>
                <w:spacing w:val="-4"/>
                <w:lang w:val="en-GB"/>
              </w:rPr>
              <w:t xml:space="preserve"> The industry performance however slightly shrank </w:t>
            </w:r>
            <w:r w:rsidR="00F77A50" w:rsidRPr="000D7082">
              <w:rPr>
                <w:spacing w:val="-4"/>
                <w:lang w:val="en-GB"/>
              </w:rPr>
              <w:t>(</w:t>
            </w:r>
            <w:r>
              <w:rPr>
                <w:spacing w:val="-4"/>
                <w:lang w:val="en-GB"/>
              </w:rPr>
              <w:t xml:space="preserve">by </w:t>
            </w:r>
            <w:r w:rsidR="00F77A50" w:rsidRPr="00680443">
              <w:rPr>
                <w:spacing w:val="-4"/>
                <w:lang w:val="en-GB"/>
              </w:rPr>
              <w:t>0</w:t>
            </w:r>
            <w:r w:rsidRPr="00680443">
              <w:rPr>
                <w:spacing w:val="-4"/>
                <w:lang w:val="en-GB"/>
              </w:rPr>
              <w:t>.</w:t>
            </w:r>
            <w:r w:rsidR="00F77A50" w:rsidRPr="00680443">
              <w:rPr>
                <w:spacing w:val="-4"/>
                <w:lang w:val="en-GB"/>
              </w:rPr>
              <w:t>1%, resp. 1</w:t>
            </w:r>
            <w:r w:rsidRPr="00680443">
              <w:rPr>
                <w:spacing w:val="-4"/>
                <w:lang w:val="en-GB"/>
              </w:rPr>
              <w:t>.</w:t>
            </w:r>
            <w:r w:rsidR="00F77A50" w:rsidRPr="00680443">
              <w:rPr>
                <w:spacing w:val="-4"/>
                <w:lang w:val="en-GB"/>
              </w:rPr>
              <w:t>9%)</w:t>
            </w:r>
            <w:r w:rsidRPr="00680443">
              <w:rPr>
                <w:spacing w:val="-4"/>
                <w:lang w:val="en-GB"/>
              </w:rPr>
              <w:t xml:space="preserve"> in both Q3 and 4</w:t>
            </w:r>
            <w:r w:rsidR="00F77A50" w:rsidRPr="00680443">
              <w:rPr>
                <w:spacing w:val="-4"/>
                <w:lang w:val="en-GB"/>
              </w:rPr>
              <w:t xml:space="preserve">. </w:t>
            </w:r>
            <w:r>
              <w:rPr>
                <w:spacing w:val="-4"/>
                <w:lang w:val="en-GB"/>
              </w:rPr>
              <w:t>It was to a large extent due to the effect of motor vehicle industry,</w:t>
            </w:r>
            <w:r w:rsidR="00F77A50" w:rsidRPr="00680443">
              <w:rPr>
                <w:spacing w:val="-4"/>
                <w:lang w:val="en-GB"/>
              </w:rPr>
              <w:t xml:space="preserve"> </w:t>
            </w:r>
            <w:r w:rsidRPr="00680443">
              <w:rPr>
                <w:spacing w:val="-4"/>
                <w:lang w:val="en-GB"/>
              </w:rPr>
              <w:t xml:space="preserve">whose dynamics was except for the above stated factors also affected by the high last year‘s comparative basis. </w:t>
            </w:r>
            <w:r>
              <w:rPr>
                <w:spacing w:val="-4"/>
                <w:lang w:val="en-GB"/>
              </w:rPr>
              <w:t xml:space="preserve">Excluding this branch, the industry would thus continue to grow in the second half of the last year </w:t>
            </w:r>
            <w:r w:rsidR="00F77A50" w:rsidRPr="00680443">
              <w:rPr>
                <w:spacing w:val="-4"/>
                <w:lang w:val="en-GB"/>
              </w:rPr>
              <w:t>(+4</w:t>
            </w:r>
            <w:r>
              <w:rPr>
                <w:spacing w:val="-4"/>
                <w:lang w:val="en-GB"/>
              </w:rPr>
              <w:t>.</w:t>
            </w:r>
            <w:r w:rsidR="00F77A50" w:rsidRPr="00680443">
              <w:rPr>
                <w:spacing w:val="-4"/>
                <w:lang w:val="en-GB"/>
              </w:rPr>
              <w:t>1%, resp. +1</w:t>
            </w:r>
            <w:r>
              <w:rPr>
                <w:spacing w:val="-4"/>
                <w:lang w:val="en-GB"/>
              </w:rPr>
              <w:t>.</w:t>
            </w:r>
            <w:r w:rsidR="00F77A50" w:rsidRPr="00680443">
              <w:rPr>
                <w:spacing w:val="-4"/>
                <w:lang w:val="en-GB"/>
              </w:rPr>
              <w:t>8%)</w:t>
            </w:r>
            <w:r w:rsidR="00F77A50" w:rsidRPr="00680443">
              <w:rPr>
                <w:rStyle w:val="Znakapoznpodarou"/>
                <w:spacing w:val="-4"/>
                <w:lang w:val="en-GB"/>
              </w:rPr>
              <w:footnoteReference w:id="9"/>
            </w:r>
            <w:r w:rsidR="00F77A50" w:rsidRPr="00680443">
              <w:rPr>
                <w:spacing w:val="-4"/>
                <w:lang w:val="en-GB"/>
              </w:rPr>
              <w:t>.</w:t>
            </w:r>
          </w:p>
        </w:tc>
      </w:tr>
      <w:tr w:rsidR="00F77A50" w:rsidRPr="006237E6" w14:paraId="5F76AB5A" w14:textId="77777777" w:rsidTr="00B3385E">
        <w:trPr>
          <w:trHeight w:val="155"/>
        </w:trPr>
        <w:tc>
          <w:tcPr>
            <w:tcW w:w="1728" w:type="dxa"/>
            <w:shd w:val="clear" w:color="auto" w:fill="auto"/>
            <w:tcMar>
              <w:left w:w="0" w:type="dxa"/>
            </w:tcMar>
          </w:tcPr>
          <w:p w14:paraId="3221ABC0" w14:textId="4479EA1C" w:rsidR="00F77A50" w:rsidRPr="002511CC" w:rsidRDefault="002511CC" w:rsidP="002511CC">
            <w:pPr>
              <w:pStyle w:val="Marginlie"/>
              <w:rPr>
                <w:spacing w:val="-4"/>
                <w:lang w:val="en-GB"/>
              </w:rPr>
            </w:pPr>
            <w:r>
              <w:rPr>
                <w:spacing w:val="-4"/>
                <w:lang w:val="en-GB"/>
              </w:rPr>
              <w:t xml:space="preserve">Manufacture of metal products contributed the </w:t>
            </w:r>
            <w:r w:rsidRPr="002511CC">
              <w:rPr>
                <w:spacing w:val="-4"/>
                <w:lang w:val="en-GB"/>
              </w:rPr>
              <w:t>most to the last year’s growth of the industrial output. Metallurg</w:t>
            </w:r>
            <w:r>
              <w:rPr>
                <w:spacing w:val="-4"/>
                <w:lang w:val="en-GB"/>
              </w:rPr>
              <w:t>y</w:t>
            </w:r>
            <w:r w:rsidRPr="002511CC">
              <w:rPr>
                <w:spacing w:val="-4"/>
                <w:lang w:val="en-GB"/>
              </w:rPr>
              <w:t xml:space="preserve">, chemical industry, machinery or electrotechnical engineering also prospered. </w:t>
            </w:r>
          </w:p>
          <w:p w14:paraId="50C6AEEE" w14:textId="77777777" w:rsidR="00F77A50" w:rsidRPr="00680443" w:rsidRDefault="00F77A50" w:rsidP="00B3385E">
            <w:pPr>
              <w:pStyle w:val="Marginlie"/>
              <w:rPr>
                <w:spacing w:val="-4"/>
                <w:lang w:val="en-GB"/>
              </w:rPr>
            </w:pPr>
          </w:p>
          <w:p w14:paraId="7131B38E" w14:textId="77777777" w:rsidR="00F77A50" w:rsidRPr="00680443" w:rsidRDefault="00F77A50" w:rsidP="00B3385E">
            <w:pPr>
              <w:pStyle w:val="Marginlie"/>
              <w:rPr>
                <w:spacing w:val="-4"/>
                <w:lang w:val="en-GB"/>
              </w:rPr>
            </w:pPr>
          </w:p>
          <w:p w14:paraId="1AC23949" w14:textId="30185593" w:rsidR="00F77A50" w:rsidRPr="00680443" w:rsidRDefault="000F3669" w:rsidP="00B3385E">
            <w:pPr>
              <w:pStyle w:val="Marginlie"/>
              <w:rPr>
                <w:spacing w:val="-4"/>
                <w:lang w:val="en-GB"/>
              </w:rPr>
            </w:pPr>
            <w:r>
              <w:rPr>
                <w:spacing w:val="-4"/>
                <w:lang w:val="en-GB"/>
              </w:rPr>
              <w:t xml:space="preserve">Recovery of the motor vehicle industry was subdued by the difficulties with the availability of production components during the whole year. </w:t>
            </w:r>
          </w:p>
        </w:tc>
        <w:tc>
          <w:tcPr>
            <w:tcW w:w="206" w:type="dxa"/>
            <w:shd w:val="clear" w:color="auto" w:fill="auto"/>
            <w:tcMar>
              <w:left w:w="0" w:type="dxa"/>
            </w:tcMar>
          </w:tcPr>
          <w:p w14:paraId="281C722C" w14:textId="77777777" w:rsidR="00F77A50" w:rsidRPr="00680443" w:rsidRDefault="00F77A50" w:rsidP="00B3385E">
            <w:pPr>
              <w:pStyle w:val="Textpoznpodarou"/>
              <w:jc w:val="both"/>
              <w:rPr>
                <w:spacing w:val="-4"/>
                <w:lang w:val="en-GB"/>
              </w:rPr>
            </w:pPr>
          </w:p>
        </w:tc>
        <w:tc>
          <w:tcPr>
            <w:tcW w:w="7730" w:type="dxa"/>
            <w:shd w:val="clear" w:color="auto" w:fill="auto"/>
            <w:tcMar>
              <w:left w:w="0" w:type="dxa"/>
            </w:tcMar>
          </w:tcPr>
          <w:p w14:paraId="6654D4DA" w14:textId="5DFC623F" w:rsidR="00F77A50" w:rsidRPr="00680443" w:rsidRDefault="00424877" w:rsidP="00B3385E">
            <w:pPr>
              <w:spacing w:after="200"/>
              <w:rPr>
                <w:color w:val="0D0D0D" w:themeColor="text1" w:themeTint="F2"/>
                <w:spacing w:val="-5"/>
                <w:lang w:val="en-GB"/>
              </w:rPr>
            </w:pPr>
            <w:r>
              <w:rPr>
                <w:spacing w:val="-5"/>
                <w:lang w:val="en-GB"/>
              </w:rPr>
              <w:t xml:space="preserve">The industry growth was driven the most by the manufacture of metal constructions and metal products for the whole year </w:t>
            </w:r>
            <w:r w:rsidR="00F77A50" w:rsidRPr="00680443">
              <w:rPr>
                <w:spacing w:val="-5"/>
                <w:lang w:val="en-GB"/>
              </w:rPr>
              <w:t>2021</w:t>
            </w:r>
            <w:r>
              <w:rPr>
                <w:spacing w:val="-5"/>
                <w:lang w:val="en-GB"/>
              </w:rPr>
              <w:t xml:space="preserve"> </w:t>
            </w:r>
            <w:r w:rsidR="00F77A50" w:rsidRPr="00680443">
              <w:rPr>
                <w:spacing w:val="-5"/>
                <w:lang w:val="en-GB"/>
              </w:rPr>
              <w:t>(</w:t>
            </w:r>
            <w:r w:rsidR="002511CC">
              <w:rPr>
                <w:spacing w:val="-5"/>
                <w:lang w:val="en-GB"/>
              </w:rPr>
              <w:t xml:space="preserve">contribution </w:t>
            </w:r>
            <w:r w:rsidR="00F77A50" w:rsidRPr="00680443">
              <w:rPr>
                <w:spacing w:val="-5"/>
                <w:lang w:val="en-GB"/>
              </w:rPr>
              <w:t>+0</w:t>
            </w:r>
            <w:r w:rsidR="002511CC">
              <w:rPr>
                <w:spacing w:val="-5"/>
                <w:lang w:val="en-GB"/>
              </w:rPr>
              <w:t>.</w:t>
            </w:r>
            <w:r w:rsidR="00F77A50" w:rsidRPr="00680443">
              <w:rPr>
                <w:spacing w:val="-5"/>
                <w:lang w:val="en-GB"/>
              </w:rPr>
              <w:t>9 p.</w:t>
            </w:r>
            <w:r w:rsidR="002511CC">
              <w:rPr>
                <w:spacing w:val="-5"/>
                <w:lang w:val="en-GB"/>
              </w:rPr>
              <w:t xml:space="preserve">p., branch growth </w:t>
            </w:r>
            <w:r w:rsidR="00F77A50" w:rsidRPr="00680443">
              <w:rPr>
                <w:spacing w:val="-5"/>
                <w:lang w:val="en-GB"/>
              </w:rPr>
              <w:t>+9</w:t>
            </w:r>
            <w:r w:rsidR="002511CC">
              <w:rPr>
                <w:spacing w:val="-5"/>
                <w:lang w:val="en-GB"/>
              </w:rPr>
              <w:t>.</w:t>
            </w:r>
            <w:r w:rsidR="00F77A50" w:rsidRPr="00680443">
              <w:rPr>
                <w:spacing w:val="-5"/>
                <w:lang w:val="en-GB"/>
              </w:rPr>
              <w:t xml:space="preserve">1%). </w:t>
            </w:r>
            <w:r>
              <w:rPr>
                <w:spacing w:val="-5"/>
                <w:lang w:val="en-GB"/>
              </w:rPr>
              <w:t xml:space="preserve">It was also associated with the revival of both domestic and foreign demand in the long-term subdued branch of metallurgy, whose performance expanded last year the most after year </w:t>
            </w:r>
            <w:r w:rsidR="00F77A50" w:rsidRPr="00680443">
              <w:rPr>
                <w:spacing w:val="-5"/>
                <w:lang w:val="en-GB"/>
              </w:rPr>
              <w:t>2010 (+11</w:t>
            </w:r>
            <w:r>
              <w:rPr>
                <w:spacing w:val="-5"/>
                <w:lang w:val="en-GB"/>
              </w:rPr>
              <w:t>.</w:t>
            </w:r>
            <w:r w:rsidR="00F77A50" w:rsidRPr="00680443">
              <w:rPr>
                <w:spacing w:val="-5"/>
                <w:lang w:val="en-GB"/>
              </w:rPr>
              <w:t xml:space="preserve">4%). </w:t>
            </w:r>
            <w:r w:rsidR="007D1AA7">
              <w:rPr>
                <w:spacing w:val="-5"/>
                <w:lang w:val="en-GB"/>
              </w:rPr>
              <w:t xml:space="preserve">Machinery strengthened by roughly one tenth last year, but also branches partially linked to the manufacture of transport equipment </w:t>
            </w:r>
            <w:r w:rsidR="00F77A50" w:rsidRPr="00680443">
              <w:rPr>
                <w:spacing w:val="-5"/>
                <w:lang w:val="en-GB"/>
              </w:rPr>
              <w:t xml:space="preserve">– </w:t>
            </w:r>
            <w:r w:rsidR="007D1AA7">
              <w:rPr>
                <w:spacing w:val="-5"/>
                <w:lang w:val="en-GB"/>
              </w:rPr>
              <w:t>manufacture of rubber and plastic product or electrotechnical engineering industry</w:t>
            </w:r>
            <w:r w:rsidR="00F77A50" w:rsidRPr="00680443">
              <w:rPr>
                <w:rStyle w:val="Znakapoznpodarou"/>
                <w:spacing w:val="-5"/>
                <w:lang w:val="en-GB"/>
              </w:rPr>
              <w:footnoteReference w:id="10"/>
            </w:r>
            <w:r w:rsidR="00F77A50" w:rsidRPr="00680443">
              <w:rPr>
                <w:spacing w:val="-5"/>
                <w:lang w:val="en-GB"/>
              </w:rPr>
              <w:t xml:space="preserve">. </w:t>
            </w:r>
            <w:r w:rsidR="007D1AA7">
              <w:rPr>
                <w:spacing w:val="-5"/>
                <w:lang w:val="en-GB"/>
              </w:rPr>
              <w:t xml:space="preserve">Among other more significant activities, the chemical industry prospered </w:t>
            </w:r>
            <w:r w:rsidR="00F77A50" w:rsidRPr="00680443">
              <w:rPr>
                <w:spacing w:val="-5"/>
                <w:lang w:val="en-GB"/>
              </w:rPr>
              <w:t>(+8</w:t>
            </w:r>
            <w:r w:rsidR="007D1AA7">
              <w:rPr>
                <w:spacing w:val="-5"/>
                <w:lang w:val="en-GB"/>
              </w:rPr>
              <w:t>.</w:t>
            </w:r>
            <w:r w:rsidR="00F77A50" w:rsidRPr="00680443">
              <w:rPr>
                <w:spacing w:val="-5"/>
                <w:lang w:val="en-GB"/>
              </w:rPr>
              <w:t>3%),</w:t>
            </w:r>
            <w:r w:rsidR="007D1AA7">
              <w:rPr>
                <w:spacing w:val="-5"/>
                <w:lang w:val="en-GB"/>
              </w:rPr>
              <w:t xml:space="preserve"> benefiting from the expansion of its production capacities. More than </w:t>
            </w:r>
            <w:r w:rsidR="00F77A50" w:rsidRPr="00680443">
              <w:rPr>
                <w:spacing w:val="-5"/>
                <w:lang w:val="en-GB"/>
              </w:rPr>
              <w:t xml:space="preserve">10% </w:t>
            </w:r>
            <w:r w:rsidR="007D1AA7">
              <w:rPr>
                <w:spacing w:val="-5"/>
                <w:lang w:val="en-GB"/>
              </w:rPr>
              <w:t xml:space="preserve">growth was achieved by the manufacture of construction materials, which tried to respond to the surging demand especially on the domestic market. </w:t>
            </w:r>
            <w:r w:rsidR="00E96F8D">
              <w:rPr>
                <w:spacing w:val="-5"/>
                <w:lang w:val="en-GB"/>
              </w:rPr>
              <w:t xml:space="preserve">Output of food industry </w:t>
            </w:r>
            <w:r w:rsidR="00F77A50" w:rsidRPr="00680443">
              <w:rPr>
                <w:spacing w:val="-5"/>
                <w:lang w:val="en-GB"/>
              </w:rPr>
              <w:t>(+4</w:t>
            </w:r>
            <w:r w:rsidR="00714D3E">
              <w:rPr>
                <w:spacing w:val="-5"/>
                <w:lang w:val="en-GB"/>
              </w:rPr>
              <w:t>.</w:t>
            </w:r>
            <w:r w:rsidR="00F77A50" w:rsidRPr="00680443">
              <w:rPr>
                <w:spacing w:val="-5"/>
                <w:lang w:val="en-GB"/>
              </w:rPr>
              <w:t xml:space="preserve">7%) </w:t>
            </w:r>
            <w:r w:rsidR="00714D3E">
              <w:rPr>
                <w:spacing w:val="-5"/>
                <w:lang w:val="en-GB"/>
              </w:rPr>
              <w:t xml:space="preserve">as well as manufacturing of computers, electronic and optical appliances </w:t>
            </w:r>
            <w:r w:rsidR="00F77A50" w:rsidRPr="00680443">
              <w:rPr>
                <w:spacing w:val="-5"/>
                <w:lang w:val="en-GB"/>
              </w:rPr>
              <w:t>(+1</w:t>
            </w:r>
            <w:r w:rsidR="00714D3E">
              <w:rPr>
                <w:spacing w:val="-5"/>
                <w:lang w:val="en-GB"/>
              </w:rPr>
              <w:t>.</w:t>
            </w:r>
            <w:r w:rsidR="00F77A50" w:rsidRPr="00680443">
              <w:rPr>
                <w:spacing w:val="-5"/>
                <w:lang w:val="en-GB"/>
              </w:rPr>
              <w:t>8 %)</w:t>
            </w:r>
            <w:r w:rsidR="00907F11">
              <w:rPr>
                <w:spacing w:val="-5"/>
                <w:lang w:val="en-GB"/>
              </w:rPr>
              <w:t xml:space="preserve"> grew slower</w:t>
            </w:r>
            <w:r w:rsidR="00F77A50" w:rsidRPr="00680443">
              <w:rPr>
                <w:spacing w:val="-5"/>
                <w:lang w:val="en-GB"/>
              </w:rPr>
              <w:t>.</w:t>
            </w:r>
            <w:r w:rsidR="00907F11">
              <w:rPr>
                <w:spacing w:val="-5"/>
                <w:lang w:val="en-GB"/>
              </w:rPr>
              <w:t xml:space="preserve"> While the food industry could rely on the relatively stable domestic demand, which was not more significantly affected even by the pandemics, the second mentioned branch had to overcome more long-term fluctuations of the foreign demand, which </w:t>
            </w:r>
            <w:r w:rsidR="00E96F8D">
              <w:rPr>
                <w:spacing w:val="-5"/>
                <w:lang w:val="en-GB"/>
              </w:rPr>
              <w:t>did not revive more even in the second “pandemic” year. The tradition</w:t>
            </w:r>
            <w:r w:rsidR="008C1D39">
              <w:rPr>
                <w:spacing w:val="-5"/>
                <w:lang w:val="en-GB"/>
              </w:rPr>
              <w:t>al</w:t>
            </w:r>
            <w:r w:rsidR="00E96F8D">
              <w:rPr>
                <w:spacing w:val="-5"/>
                <w:lang w:val="en-GB"/>
              </w:rPr>
              <w:t xml:space="preserve"> </w:t>
            </w:r>
            <w:r w:rsidR="00E96F8D">
              <w:rPr>
                <w:spacing w:val="-5"/>
                <w:lang w:val="en-GB"/>
              </w:rPr>
              <w:lastRenderedPageBreak/>
              <w:t>industry driver – manufacture of motor vehicles</w:t>
            </w:r>
            <w:r w:rsidR="00F77A50" w:rsidRPr="00680443">
              <w:rPr>
                <w:rStyle w:val="Znakapoznpodarou"/>
                <w:spacing w:val="-5"/>
                <w:lang w:val="en-GB"/>
              </w:rPr>
              <w:footnoteReference w:id="11"/>
            </w:r>
            <w:r w:rsidR="00F77A50" w:rsidRPr="00680443">
              <w:rPr>
                <w:spacing w:val="-5"/>
                <w:lang w:val="en-GB"/>
              </w:rPr>
              <w:t xml:space="preserve"> – </w:t>
            </w:r>
            <w:r w:rsidR="00714D3E">
              <w:rPr>
                <w:spacing w:val="-5"/>
                <w:lang w:val="en-GB"/>
              </w:rPr>
              <w:t>recorded</w:t>
            </w:r>
            <w:r w:rsidR="00E96F8D">
              <w:rPr>
                <w:spacing w:val="-5"/>
                <w:lang w:val="en-GB"/>
              </w:rPr>
              <w:t xml:space="preserve"> due to the variable production</w:t>
            </w:r>
            <w:r w:rsidR="00F77A50" w:rsidRPr="00680443">
              <w:rPr>
                <w:rStyle w:val="Znakapoznpodarou"/>
                <w:spacing w:val="-5"/>
                <w:lang w:val="en-GB"/>
              </w:rPr>
              <w:footnoteReference w:id="12"/>
            </w:r>
            <w:r w:rsidR="00F77A50" w:rsidRPr="00680443">
              <w:rPr>
                <w:spacing w:val="-5"/>
                <w:lang w:val="en-GB"/>
              </w:rPr>
              <w:t xml:space="preserve"> </w:t>
            </w:r>
            <w:r w:rsidR="00E96F8D">
              <w:rPr>
                <w:spacing w:val="-5"/>
                <w:lang w:val="en-GB"/>
              </w:rPr>
              <w:t xml:space="preserve">only </w:t>
            </w:r>
            <w:r w:rsidR="00F77A50" w:rsidRPr="00680443">
              <w:rPr>
                <w:spacing w:val="-5"/>
                <w:lang w:val="en-GB"/>
              </w:rPr>
              <w:t>3</w:t>
            </w:r>
            <w:r w:rsidR="00E96F8D">
              <w:rPr>
                <w:spacing w:val="-5"/>
                <w:lang w:val="en-GB"/>
              </w:rPr>
              <w:t>.</w:t>
            </w:r>
            <w:r w:rsidR="00F77A50" w:rsidRPr="00680443">
              <w:rPr>
                <w:spacing w:val="-5"/>
                <w:lang w:val="en-GB"/>
              </w:rPr>
              <w:t>9%</w:t>
            </w:r>
            <w:r w:rsidR="00E96F8D">
              <w:rPr>
                <w:spacing w:val="-5"/>
                <w:lang w:val="en-GB"/>
              </w:rPr>
              <w:t xml:space="preserve"> production growth last year </w:t>
            </w:r>
            <w:r w:rsidR="00F77A50" w:rsidRPr="00680443">
              <w:rPr>
                <w:spacing w:val="-5"/>
                <w:lang w:val="en-GB"/>
              </w:rPr>
              <w:t>(</w:t>
            </w:r>
            <w:r w:rsidR="00E96F8D">
              <w:rPr>
                <w:spacing w:val="-5"/>
                <w:lang w:val="en-GB"/>
              </w:rPr>
              <w:t xml:space="preserve">after </w:t>
            </w:r>
            <w:r w:rsidR="00F77A50" w:rsidRPr="00680443">
              <w:rPr>
                <w:spacing w:val="-5"/>
                <w:lang w:val="en-GB"/>
              </w:rPr>
              <w:t xml:space="preserve">12% </w:t>
            </w:r>
            <w:r w:rsidR="00E96F8D">
              <w:rPr>
                <w:spacing w:val="-5"/>
                <w:lang w:val="en-GB"/>
              </w:rPr>
              <w:t xml:space="preserve">slump in year </w:t>
            </w:r>
            <w:r w:rsidR="00F77A50" w:rsidRPr="00680443">
              <w:rPr>
                <w:spacing w:val="-5"/>
                <w:lang w:val="en-GB"/>
              </w:rPr>
              <w:t>2020) a</w:t>
            </w:r>
            <w:r w:rsidR="00E96F8D">
              <w:rPr>
                <w:spacing w:val="-5"/>
                <w:lang w:val="en-GB"/>
              </w:rPr>
              <w:t xml:space="preserve">nd it lagged behind the pre-pandemic peak </w:t>
            </w:r>
            <w:r w:rsidR="004F3ECA">
              <w:rPr>
                <w:spacing w:val="-5"/>
                <w:lang w:val="en-GB"/>
              </w:rPr>
              <w:t>(</w:t>
            </w:r>
            <w:r w:rsidR="00E96F8D">
              <w:rPr>
                <w:spacing w:val="-5"/>
                <w:lang w:val="en-GB"/>
              </w:rPr>
              <w:t>from May</w:t>
            </w:r>
            <w:r w:rsidR="00714D3E">
              <w:rPr>
                <w:spacing w:val="-5"/>
                <w:lang w:val="en-GB"/>
              </w:rPr>
              <w:t xml:space="preserve"> </w:t>
            </w:r>
            <w:r w:rsidR="00F77A50" w:rsidRPr="00680443">
              <w:rPr>
                <w:spacing w:val="-5"/>
                <w:lang w:val="en-GB"/>
              </w:rPr>
              <w:t>2019</w:t>
            </w:r>
            <w:r w:rsidR="004F3ECA">
              <w:rPr>
                <w:spacing w:val="-5"/>
                <w:lang w:val="en-GB"/>
              </w:rPr>
              <w:t>)</w:t>
            </w:r>
            <w:r w:rsidR="00714D3E">
              <w:rPr>
                <w:spacing w:val="-5"/>
                <w:lang w:val="en-GB"/>
              </w:rPr>
              <w:t xml:space="preserve"> by nearly one fifth at the end of the last year. </w:t>
            </w:r>
          </w:p>
        </w:tc>
      </w:tr>
      <w:tr w:rsidR="00F77A50" w:rsidRPr="006237E6" w14:paraId="1A9E1D0D" w14:textId="77777777" w:rsidTr="00B3385E">
        <w:trPr>
          <w:trHeight w:val="155"/>
        </w:trPr>
        <w:tc>
          <w:tcPr>
            <w:tcW w:w="1728" w:type="dxa"/>
            <w:shd w:val="clear" w:color="auto" w:fill="auto"/>
            <w:tcMar>
              <w:left w:w="0" w:type="dxa"/>
            </w:tcMar>
          </w:tcPr>
          <w:p w14:paraId="669874B5" w14:textId="504A65DF" w:rsidR="00F77A50" w:rsidRPr="00714D3E" w:rsidRDefault="00714D3E" w:rsidP="00B3385E">
            <w:pPr>
              <w:pStyle w:val="Marginlie"/>
              <w:rPr>
                <w:spacing w:val="-4"/>
                <w:lang w:val="en-GB"/>
              </w:rPr>
            </w:pPr>
            <w:r>
              <w:rPr>
                <w:spacing w:val="-4"/>
                <w:lang w:val="en-GB"/>
              </w:rPr>
              <w:lastRenderedPageBreak/>
              <w:t xml:space="preserve">Manufacturing of paper, pharmaceutical, furniture products or rail transport equipment thrived further and their output exceeded the level from year </w:t>
            </w:r>
            <w:r w:rsidR="00F77A50" w:rsidRPr="00714D3E">
              <w:rPr>
                <w:spacing w:val="-4"/>
                <w:lang w:val="en-GB"/>
              </w:rPr>
              <w:t>2019.</w:t>
            </w:r>
          </w:p>
        </w:tc>
        <w:tc>
          <w:tcPr>
            <w:tcW w:w="206" w:type="dxa"/>
            <w:shd w:val="clear" w:color="auto" w:fill="auto"/>
            <w:tcMar>
              <w:left w:w="0" w:type="dxa"/>
            </w:tcMar>
          </w:tcPr>
          <w:p w14:paraId="01C23BDE" w14:textId="77777777" w:rsidR="00F77A50" w:rsidRPr="00714D3E" w:rsidRDefault="00F77A50" w:rsidP="00B3385E">
            <w:pPr>
              <w:pStyle w:val="Textpoznpodarou"/>
              <w:jc w:val="both"/>
              <w:rPr>
                <w:spacing w:val="-4"/>
                <w:lang w:val="en-GB"/>
              </w:rPr>
            </w:pPr>
          </w:p>
        </w:tc>
        <w:tc>
          <w:tcPr>
            <w:tcW w:w="7730" w:type="dxa"/>
            <w:shd w:val="clear" w:color="auto" w:fill="auto"/>
            <w:tcMar>
              <w:left w:w="0" w:type="dxa"/>
            </w:tcMar>
          </w:tcPr>
          <w:p w14:paraId="137F6DA5" w14:textId="04391FC7" w:rsidR="00F77A50" w:rsidRPr="00714D3E" w:rsidRDefault="00714D3E" w:rsidP="00B3385E">
            <w:pPr>
              <w:spacing w:after="200"/>
              <w:rPr>
                <w:color w:val="0D0D0D" w:themeColor="text1" w:themeTint="F2"/>
                <w:spacing w:val="-4"/>
                <w:lang w:val="en-GB"/>
              </w:rPr>
            </w:pPr>
            <w:r>
              <w:rPr>
                <w:color w:val="0D0D0D" w:themeColor="text1" w:themeTint="F2"/>
                <w:spacing w:val="-4"/>
                <w:lang w:val="en-GB"/>
              </w:rPr>
              <w:t xml:space="preserve">Some smaller manufacturing subbranches flourished last year and their production already exceeded the level from year </w:t>
            </w:r>
            <w:r w:rsidR="00F77A50" w:rsidRPr="00714D3E">
              <w:rPr>
                <w:color w:val="0D0D0D" w:themeColor="text1" w:themeTint="F2"/>
                <w:spacing w:val="-4"/>
                <w:lang w:val="en-GB"/>
              </w:rPr>
              <w:t xml:space="preserve">2019. </w:t>
            </w:r>
            <w:r w:rsidR="00C139A8">
              <w:rPr>
                <w:color w:val="0D0D0D" w:themeColor="text1" w:themeTint="F2"/>
                <w:spacing w:val="-4"/>
                <w:lang w:val="en-GB"/>
              </w:rPr>
              <w:t xml:space="preserve">The example is manufacturing of other (especially rail) transport equipment </w:t>
            </w:r>
            <w:r w:rsidR="00F77A50" w:rsidRPr="00714D3E">
              <w:rPr>
                <w:color w:val="0D0D0D" w:themeColor="text1" w:themeTint="F2"/>
                <w:spacing w:val="-4"/>
                <w:lang w:val="en-GB"/>
              </w:rPr>
              <w:t>(+21</w:t>
            </w:r>
            <w:r>
              <w:rPr>
                <w:color w:val="0D0D0D" w:themeColor="text1" w:themeTint="F2"/>
                <w:spacing w:val="-4"/>
                <w:lang w:val="en-GB"/>
              </w:rPr>
              <w:t>.</w:t>
            </w:r>
            <w:r w:rsidR="00F77A50" w:rsidRPr="00714D3E">
              <w:rPr>
                <w:color w:val="0D0D0D" w:themeColor="text1" w:themeTint="F2"/>
                <w:spacing w:val="-4"/>
                <w:lang w:val="en-GB"/>
              </w:rPr>
              <w:t>4%</w:t>
            </w:r>
            <w:r>
              <w:rPr>
                <w:color w:val="0D0D0D" w:themeColor="text1" w:themeTint="F2"/>
                <w:spacing w:val="-4"/>
                <w:lang w:val="en-GB"/>
              </w:rPr>
              <w:t xml:space="preserve"> year-on-year, the most after year </w:t>
            </w:r>
            <w:r w:rsidR="00F77A50" w:rsidRPr="00714D3E">
              <w:rPr>
                <w:color w:val="0D0D0D" w:themeColor="text1" w:themeTint="F2"/>
                <w:spacing w:val="-4"/>
                <w:lang w:val="en-GB"/>
              </w:rPr>
              <w:t xml:space="preserve">2011), </w:t>
            </w:r>
            <w:r w:rsidR="00D04E27">
              <w:rPr>
                <w:color w:val="0D0D0D" w:themeColor="text1" w:themeTint="F2"/>
                <w:spacing w:val="-4"/>
                <w:lang w:val="en-GB"/>
              </w:rPr>
              <w:t>wh</w:t>
            </w:r>
            <w:r w:rsidR="00C139A8">
              <w:rPr>
                <w:color w:val="0D0D0D" w:themeColor="text1" w:themeTint="F2"/>
                <w:spacing w:val="-4"/>
                <w:lang w:val="en-GB"/>
              </w:rPr>
              <w:t>ere the high volume of domestic orders negotiated in year 2020 was apparent. Both domestic and foreign demand assisted the manufacturers of furniture, whose output increased by more than one tenth last year and continued thus in the swift growth during the period of pre-pandemic business cycle peak</w:t>
            </w:r>
            <w:r w:rsidR="007A50A1">
              <w:rPr>
                <w:color w:val="0D0D0D" w:themeColor="text1" w:themeTint="F2"/>
                <w:spacing w:val="-4"/>
                <w:lang w:val="en-GB"/>
              </w:rPr>
              <w:t>.</w:t>
            </w:r>
            <w:r w:rsidR="00F77A50" w:rsidRPr="00714D3E">
              <w:rPr>
                <w:color w:val="0D0D0D" w:themeColor="text1" w:themeTint="F2"/>
                <w:spacing w:val="-4"/>
                <w:lang w:val="en-GB"/>
              </w:rPr>
              <w:t xml:space="preserve"> </w:t>
            </w:r>
            <w:r w:rsidR="00FD66A4">
              <w:rPr>
                <w:color w:val="0D0D0D" w:themeColor="text1" w:themeTint="F2"/>
                <w:spacing w:val="-4"/>
                <w:lang w:val="en-GB"/>
              </w:rPr>
              <w:t xml:space="preserve">Pharmaceutical, paper and other manufacturing industry (including for instance manufacturing of medical instruments, sports equipment, games and toys) </w:t>
            </w:r>
            <w:r w:rsidR="00FD66A4">
              <w:rPr>
                <w:color w:val="000000" w:themeColor="text1"/>
                <w:spacing w:val="-4"/>
                <w:lang w:val="en-GB"/>
              </w:rPr>
              <w:t xml:space="preserve">belong to the long-time growth branches, where the demand was expanding also during the pandemics. </w:t>
            </w:r>
            <w:r w:rsidR="009E3A31">
              <w:rPr>
                <w:color w:val="000000" w:themeColor="text1"/>
                <w:spacing w:val="-4"/>
                <w:lang w:val="en-GB"/>
              </w:rPr>
              <w:t xml:space="preserve">Manufacture of clothing, which was limited by the persisting weaker foreign demand, on the contrary still faced difficulties. Output of wood industry also decreased last year </w:t>
            </w:r>
            <w:r w:rsidR="00F77A50" w:rsidRPr="00714D3E">
              <w:rPr>
                <w:color w:val="000000" w:themeColor="text1"/>
                <w:spacing w:val="-4"/>
                <w:lang w:val="en-GB"/>
              </w:rPr>
              <w:t>(</w:t>
            </w:r>
            <w:r w:rsidR="009E3A31">
              <w:rPr>
                <w:color w:val="000000" w:themeColor="text1"/>
                <w:spacing w:val="-4"/>
                <w:lang w:val="en-GB"/>
              </w:rPr>
              <w:t xml:space="preserve">by </w:t>
            </w:r>
            <w:r w:rsidR="00F77A50" w:rsidRPr="00714D3E">
              <w:rPr>
                <w:color w:val="000000" w:themeColor="text1"/>
                <w:spacing w:val="-4"/>
                <w:lang w:val="en-GB"/>
              </w:rPr>
              <w:t>5</w:t>
            </w:r>
            <w:r w:rsidR="009E3A31">
              <w:rPr>
                <w:color w:val="000000" w:themeColor="text1"/>
                <w:spacing w:val="-4"/>
                <w:lang w:val="en-GB"/>
              </w:rPr>
              <w:t>.</w:t>
            </w:r>
            <w:r w:rsidR="00F77A50" w:rsidRPr="00714D3E">
              <w:rPr>
                <w:color w:val="000000" w:themeColor="text1"/>
                <w:spacing w:val="-4"/>
                <w:lang w:val="en-GB"/>
              </w:rPr>
              <w:t xml:space="preserve">5%), </w:t>
            </w:r>
            <w:r w:rsidR="009E3A31">
              <w:rPr>
                <w:color w:val="000000" w:themeColor="text1"/>
                <w:spacing w:val="-4"/>
                <w:lang w:val="en-GB"/>
              </w:rPr>
              <w:t xml:space="preserve">which was connected to the retreat of the bark beetle outbreak. </w:t>
            </w:r>
          </w:p>
        </w:tc>
      </w:tr>
      <w:tr w:rsidR="00F77A50" w:rsidRPr="006237E6" w14:paraId="72734BCB" w14:textId="77777777" w:rsidTr="00B3385E">
        <w:trPr>
          <w:trHeight w:val="155"/>
        </w:trPr>
        <w:tc>
          <w:tcPr>
            <w:tcW w:w="1728" w:type="dxa"/>
            <w:shd w:val="clear" w:color="auto" w:fill="auto"/>
            <w:tcMar>
              <w:left w:w="0" w:type="dxa"/>
            </w:tcMar>
          </w:tcPr>
          <w:p w14:paraId="719DAE16" w14:textId="77777777" w:rsidR="00F77A50" w:rsidRPr="00BE54BF" w:rsidRDefault="00F77A50" w:rsidP="00B3385E">
            <w:pPr>
              <w:pStyle w:val="Marginlie"/>
            </w:pPr>
          </w:p>
        </w:tc>
        <w:tc>
          <w:tcPr>
            <w:tcW w:w="206" w:type="dxa"/>
            <w:shd w:val="clear" w:color="auto" w:fill="auto"/>
            <w:tcMar>
              <w:left w:w="0" w:type="dxa"/>
            </w:tcMar>
          </w:tcPr>
          <w:p w14:paraId="492C839E" w14:textId="77777777" w:rsidR="00F77A50" w:rsidRPr="003B1401" w:rsidRDefault="00F77A50" w:rsidP="00B3385E">
            <w:pPr>
              <w:pStyle w:val="Textpoznpodarou"/>
              <w:jc w:val="both"/>
              <w:rPr>
                <w:spacing w:val="-4"/>
              </w:rPr>
            </w:pPr>
          </w:p>
        </w:tc>
        <w:tc>
          <w:tcPr>
            <w:tcW w:w="7730" w:type="dxa"/>
            <w:shd w:val="clear" w:color="auto" w:fill="auto"/>
            <w:tcMar>
              <w:left w:w="0" w:type="dxa"/>
            </w:tcMar>
          </w:tcPr>
          <w:p w14:paraId="4BC22787" w14:textId="5488C887" w:rsidR="00F77A50" w:rsidRPr="00965AD0" w:rsidRDefault="00FD66A4" w:rsidP="00B3385E">
            <w:pPr>
              <w:spacing w:after="0"/>
              <w:rPr>
                <w:spacing w:val="-4"/>
              </w:rPr>
            </w:pPr>
            <w:r>
              <w:rPr>
                <w:rFonts w:cs="Arial"/>
                <w:b/>
                <w:bCs/>
                <w:color w:val="000000"/>
                <w:szCs w:val="20"/>
              </w:rPr>
              <w:t xml:space="preserve">Chart </w:t>
            </w:r>
            <w:r w:rsidR="00F77A50" w:rsidRPr="00883202">
              <w:rPr>
                <w:rFonts w:cs="Arial"/>
                <w:b/>
                <w:bCs/>
                <w:color w:val="000000"/>
                <w:szCs w:val="20"/>
              </w:rPr>
              <w:t>4</w:t>
            </w:r>
            <w:r w:rsidR="00F77A50">
              <w:rPr>
                <w:rFonts w:cs="Arial"/>
                <w:b/>
                <w:bCs/>
                <w:color w:val="000000"/>
                <w:szCs w:val="20"/>
              </w:rPr>
              <w:t xml:space="preserve"> </w:t>
            </w:r>
            <w:r w:rsidR="00F77A50" w:rsidRPr="00883202">
              <w:rPr>
                <w:rFonts w:cs="Arial"/>
                <w:b/>
                <w:bCs/>
                <w:color w:val="000000"/>
                <w:szCs w:val="20"/>
              </w:rPr>
              <w:t xml:space="preserve"> </w:t>
            </w:r>
            <w:r w:rsidR="00C02B16" w:rsidRPr="00D970F7">
              <w:rPr>
                <w:b/>
                <w:spacing w:val="-2"/>
                <w:lang w:val="en-GB"/>
              </w:rPr>
              <w:t xml:space="preserve">Contributions of sub-branches to the year-on-year change of the industrial </w:t>
            </w:r>
            <w:r w:rsidR="00C02B16" w:rsidRPr="00C02B16">
              <w:rPr>
                <w:b/>
                <w:spacing w:val="-2"/>
                <w:lang w:val="en-GB"/>
              </w:rPr>
              <w:t xml:space="preserve">production </w:t>
            </w:r>
            <w:r w:rsidR="00C02B16" w:rsidRPr="00C02B16">
              <w:rPr>
                <w:spacing w:val="-2"/>
                <w:lang w:val="en-GB"/>
              </w:rPr>
              <w:t xml:space="preserve">(in percentage points, in real terms) </w:t>
            </w:r>
            <w:r w:rsidR="00C02B16" w:rsidRPr="00C02B16">
              <w:rPr>
                <w:b/>
                <w:bCs/>
                <w:spacing w:val="-2"/>
                <w:lang w:val="en-GB"/>
              </w:rPr>
              <w:t>and sales in the whole industry</w:t>
            </w:r>
            <w:r w:rsidR="00F77A50" w:rsidRPr="00C02B16">
              <w:rPr>
                <w:b/>
                <w:lang w:val="en-GB"/>
              </w:rPr>
              <w:t xml:space="preserve"> </w:t>
            </w:r>
            <w:r w:rsidR="00F77A50" w:rsidRPr="00C02B16">
              <w:rPr>
                <w:lang w:val="en-GB"/>
              </w:rPr>
              <w:t>(</w:t>
            </w:r>
            <w:r w:rsidR="00C02B16" w:rsidRPr="00C02B16">
              <w:rPr>
                <w:lang w:val="en-GB"/>
              </w:rPr>
              <w:t xml:space="preserve">in </w:t>
            </w:r>
            <w:r w:rsidR="00F77A50" w:rsidRPr="00C02B16">
              <w:rPr>
                <w:lang w:val="en-GB"/>
              </w:rPr>
              <w:t>nomin</w:t>
            </w:r>
            <w:r w:rsidR="00C02B16" w:rsidRPr="00C02B16">
              <w:rPr>
                <w:lang w:val="en-GB"/>
              </w:rPr>
              <w:t xml:space="preserve">al terms, year-on-year, in </w:t>
            </w:r>
            <w:r w:rsidR="00F77A50" w:rsidRPr="00C02B16">
              <w:rPr>
                <w:lang w:val="en-GB"/>
              </w:rPr>
              <w:t>%)</w:t>
            </w:r>
          </w:p>
        </w:tc>
      </w:tr>
      <w:tr w:rsidR="00F77A50" w:rsidRPr="00B43216" w14:paraId="188B91C5" w14:textId="77777777" w:rsidTr="00C12FCC">
        <w:tblPrEx>
          <w:tblCellMar>
            <w:left w:w="70" w:type="dxa"/>
            <w:right w:w="70" w:type="dxa"/>
          </w:tblCellMar>
        </w:tblPrEx>
        <w:trPr>
          <w:trHeight w:val="145"/>
        </w:trPr>
        <w:tc>
          <w:tcPr>
            <w:tcW w:w="1728" w:type="dxa"/>
            <w:shd w:val="clear" w:color="auto" w:fill="auto"/>
          </w:tcPr>
          <w:p w14:paraId="4C2F9E36" w14:textId="77777777" w:rsidR="00F77A50" w:rsidRDefault="00F77A50" w:rsidP="00B3385E">
            <w:pPr>
              <w:pStyle w:val="Marginlie"/>
              <w:rPr>
                <w:spacing w:val="-4"/>
              </w:rPr>
            </w:pPr>
          </w:p>
        </w:tc>
        <w:tc>
          <w:tcPr>
            <w:tcW w:w="206" w:type="dxa"/>
            <w:shd w:val="clear" w:color="auto" w:fill="auto"/>
          </w:tcPr>
          <w:p w14:paraId="59D55402" w14:textId="77777777" w:rsidR="00F77A50" w:rsidRPr="00B43216" w:rsidRDefault="00F77A50" w:rsidP="00B3385E">
            <w:pPr>
              <w:pStyle w:val="Textpoznpodarou"/>
              <w:jc w:val="both"/>
              <w:rPr>
                <w:spacing w:val="-4"/>
              </w:rPr>
            </w:pPr>
          </w:p>
        </w:tc>
        <w:tc>
          <w:tcPr>
            <w:tcW w:w="7730" w:type="dxa"/>
            <w:shd w:val="clear" w:color="auto" w:fill="auto"/>
          </w:tcPr>
          <w:p w14:paraId="6804BB1F" w14:textId="5854C3D2" w:rsidR="00F77A50" w:rsidRPr="00241E62" w:rsidRDefault="00C12FCC" w:rsidP="00B3385E">
            <w:pPr>
              <w:spacing w:after="0"/>
              <w:rPr>
                <w:rFonts w:cs="Arial"/>
                <w:bCs/>
                <w:color w:val="000000"/>
                <w:szCs w:val="20"/>
              </w:rPr>
            </w:pPr>
            <w:r>
              <w:rPr>
                <w:noProof/>
              </w:rPr>
              <w:drawing>
                <wp:inline distT="0" distB="0" distL="0" distR="0" wp14:anchorId="46E93198" wp14:editId="1AE2BFE8">
                  <wp:extent cx="4817745" cy="3600450"/>
                  <wp:effectExtent l="0" t="0" r="1905" b="0"/>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F77A50" w:rsidRPr="00B43216" w14:paraId="56C61B91" w14:textId="77777777" w:rsidTr="00B3385E">
        <w:trPr>
          <w:trHeight w:val="145"/>
        </w:trPr>
        <w:tc>
          <w:tcPr>
            <w:tcW w:w="1728" w:type="dxa"/>
            <w:shd w:val="clear" w:color="auto" w:fill="auto"/>
            <w:tcMar>
              <w:left w:w="0" w:type="dxa"/>
            </w:tcMar>
          </w:tcPr>
          <w:p w14:paraId="3D63EF8F" w14:textId="77777777" w:rsidR="00F77A50" w:rsidRDefault="00F77A50" w:rsidP="00B3385E">
            <w:pPr>
              <w:pStyle w:val="Marginlie"/>
              <w:rPr>
                <w:spacing w:val="-4"/>
              </w:rPr>
            </w:pPr>
          </w:p>
        </w:tc>
        <w:tc>
          <w:tcPr>
            <w:tcW w:w="206" w:type="dxa"/>
            <w:shd w:val="clear" w:color="auto" w:fill="auto"/>
            <w:tcMar>
              <w:left w:w="0" w:type="dxa"/>
            </w:tcMar>
          </w:tcPr>
          <w:p w14:paraId="3DEA153E" w14:textId="77777777" w:rsidR="00F77A50" w:rsidRPr="00B43216" w:rsidRDefault="00F77A50" w:rsidP="00B3385E">
            <w:pPr>
              <w:pStyle w:val="Textpoznpodarou"/>
              <w:jc w:val="both"/>
              <w:rPr>
                <w:spacing w:val="-4"/>
              </w:rPr>
            </w:pPr>
          </w:p>
        </w:tc>
        <w:tc>
          <w:tcPr>
            <w:tcW w:w="7730" w:type="dxa"/>
            <w:shd w:val="clear" w:color="auto" w:fill="auto"/>
            <w:tcMar>
              <w:left w:w="0" w:type="dxa"/>
            </w:tcMar>
          </w:tcPr>
          <w:p w14:paraId="583DD2A0" w14:textId="017AE59F" w:rsidR="00764231" w:rsidRPr="00C12FCC" w:rsidRDefault="00C02B16" w:rsidP="00C12FCC">
            <w:pPr>
              <w:tabs>
                <w:tab w:val="right" w:pos="7711"/>
              </w:tabs>
              <w:spacing w:after="160"/>
              <w:jc w:val="left"/>
              <w:rPr>
                <w:rFonts w:cs="Arial"/>
                <w:sz w:val="14"/>
                <w:szCs w:val="14"/>
              </w:rPr>
            </w:pPr>
            <w:r w:rsidRPr="00C02B16">
              <w:rPr>
                <w:rFonts w:cs="Arial"/>
                <w:sz w:val="14"/>
                <w:szCs w:val="14"/>
                <w:lang w:val="en-GB"/>
              </w:rPr>
              <w:t>Note</w:t>
            </w:r>
            <w:r w:rsidR="00F77A50" w:rsidRPr="00C02B16">
              <w:rPr>
                <w:rFonts w:cs="Arial"/>
                <w:sz w:val="14"/>
                <w:szCs w:val="14"/>
                <w:lang w:val="en-GB"/>
              </w:rPr>
              <w:t xml:space="preserve">: </w:t>
            </w:r>
            <w:r w:rsidRPr="00C02B16">
              <w:rPr>
                <w:rFonts w:cs="Arial"/>
                <w:sz w:val="14"/>
                <w:szCs w:val="14"/>
                <w:lang w:val="en-GB"/>
              </w:rPr>
              <w:t xml:space="preserve">Both industrial output and sales are adjusted for calendar effects. </w:t>
            </w:r>
            <w:r w:rsidR="00F77A50">
              <w:rPr>
                <w:rFonts w:cs="Arial"/>
                <w:sz w:val="14"/>
                <w:szCs w:val="14"/>
              </w:rPr>
              <w:tab/>
            </w:r>
            <w:r w:rsidR="000A1F6A">
              <w:rPr>
                <w:rFonts w:cs="Arial"/>
                <w:sz w:val="14"/>
                <w:szCs w:val="14"/>
              </w:rPr>
              <w:t>Source</w:t>
            </w:r>
            <w:r w:rsidR="00F77A50" w:rsidRPr="00883202">
              <w:rPr>
                <w:rFonts w:cs="Arial"/>
                <w:sz w:val="14"/>
                <w:szCs w:val="14"/>
              </w:rPr>
              <w:t xml:space="preserve">: </w:t>
            </w:r>
            <w:r w:rsidR="000A1F6A">
              <w:rPr>
                <w:rFonts w:cs="Arial"/>
                <w:sz w:val="14"/>
                <w:szCs w:val="14"/>
              </w:rPr>
              <w:t>CZSO</w:t>
            </w:r>
          </w:p>
        </w:tc>
      </w:tr>
      <w:tr w:rsidR="00C12FCC" w:rsidRPr="00B43216" w14:paraId="35FA6377" w14:textId="77777777" w:rsidTr="00B3385E">
        <w:trPr>
          <w:trHeight w:val="145"/>
        </w:trPr>
        <w:tc>
          <w:tcPr>
            <w:tcW w:w="1728" w:type="dxa"/>
            <w:shd w:val="clear" w:color="auto" w:fill="auto"/>
            <w:tcMar>
              <w:left w:w="0" w:type="dxa"/>
            </w:tcMar>
          </w:tcPr>
          <w:p w14:paraId="549716CD" w14:textId="6E69CA2C" w:rsidR="00C12FCC" w:rsidRPr="0037076B" w:rsidRDefault="00C12FCC" w:rsidP="00C12FCC">
            <w:pPr>
              <w:pStyle w:val="Marginlie"/>
              <w:rPr>
                <w:lang w:val="en-GB"/>
              </w:rPr>
            </w:pPr>
            <w:r>
              <w:rPr>
                <w:spacing w:val="-4"/>
                <w:lang w:val="en-GB"/>
              </w:rPr>
              <w:t xml:space="preserve">In both mining and energy industry the output mildly increased last year, however it was far from offsetting the </w:t>
            </w:r>
            <w:r>
              <w:rPr>
                <w:spacing w:val="-4"/>
                <w:lang w:val="en-GB"/>
              </w:rPr>
              <w:lastRenderedPageBreak/>
              <w:t xml:space="preserve">slump from year </w:t>
            </w:r>
            <w:r w:rsidRPr="00FD66A4">
              <w:rPr>
                <w:spacing w:val="-4"/>
                <w:lang w:val="en-GB"/>
              </w:rPr>
              <w:t>2020</w:t>
            </w:r>
            <w:r>
              <w:rPr>
                <w:spacing w:val="-4"/>
                <w:lang w:val="en-GB"/>
              </w:rPr>
              <w:t xml:space="preserve"> yet. </w:t>
            </w:r>
          </w:p>
        </w:tc>
        <w:tc>
          <w:tcPr>
            <w:tcW w:w="206" w:type="dxa"/>
            <w:shd w:val="clear" w:color="auto" w:fill="auto"/>
            <w:tcMar>
              <w:left w:w="0" w:type="dxa"/>
            </w:tcMar>
          </w:tcPr>
          <w:p w14:paraId="4352A7C4" w14:textId="77777777" w:rsidR="00C12FCC" w:rsidRPr="0037076B" w:rsidRDefault="00C12FCC" w:rsidP="00C12FCC">
            <w:pPr>
              <w:pStyle w:val="Textpoznpodarou"/>
              <w:jc w:val="both"/>
              <w:rPr>
                <w:spacing w:val="-4"/>
                <w:lang w:val="en-GB"/>
              </w:rPr>
            </w:pPr>
          </w:p>
        </w:tc>
        <w:tc>
          <w:tcPr>
            <w:tcW w:w="7730" w:type="dxa"/>
            <w:shd w:val="clear" w:color="auto" w:fill="auto"/>
            <w:tcMar>
              <w:left w:w="0" w:type="dxa"/>
            </w:tcMar>
          </w:tcPr>
          <w:p w14:paraId="54FAD641" w14:textId="6B7DE714" w:rsidR="00C12FCC" w:rsidRPr="0037076B" w:rsidRDefault="00C12FCC" w:rsidP="00C12FCC">
            <w:pPr>
              <w:spacing w:after="200"/>
              <w:rPr>
                <w:rFonts w:cs="Arial"/>
                <w:bCs/>
                <w:color w:val="0D0D0D" w:themeColor="text1" w:themeTint="F2"/>
                <w:spacing w:val="-4"/>
                <w:szCs w:val="20"/>
                <w:lang w:val="en-GB"/>
              </w:rPr>
            </w:pPr>
            <w:r>
              <w:rPr>
                <w:spacing w:val="-5"/>
                <w:lang w:val="en-GB"/>
              </w:rPr>
              <w:t>In mining and quarrying, the production expanded by even 4% year-on-year in 2021 after the record slump of the year before last</w:t>
            </w:r>
            <w:r w:rsidRPr="00FD66A4">
              <w:rPr>
                <w:rStyle w:val="Znakapoznpodarou"/>
                <w:spacing w:val="-5"/>
                <w:szCs w:val="20"/>
                <w:lang w:val="en-GB"/>
              </w:rPr>
              <w:footnoteReference w:id="13"/>
            </w:r>
            <w:r>
              <w:rPr>
                <w:spacing w:val="-5"/>
                <w:lang w:val="en-GB"/>
              </w:rPr>
              <w:t xml:space="preserve">. While the still dominant activity of coal mining continued to decline for the tenth year in a row </w:t>
            </w:r>
            <w:r w:rsidRPr="00FD66A4">
              <w:rPr>
                <w:spacing w:val="-5"/>
                <w:lang w:val="en-GB"/>
              </w:rPr>
              <w:t>(</w:t>
            </w:r>
            <w:r>
              <w:rPr>
                <w:spacing w:val="-5"/>
                <w:lang w:val="en-GB"/>
              </w:rPr>
              <w:t>the production decreased by 53% in total for this time period</w:t>
            </w:r>
            <w:r w:rsidRPr="00FD66A4">
              <w:rPr>
                <w:spacing w:val="-5"/>
                <w:lang w:val="en-GB"/>
              </w:rPr>
              <w:t xml:space="preserve">), </w:t>
            </w:r>
            <w:r>
              <w:rPr>
                <w:spacing w:val="-5"/>
                <w:lang w:val="en-GB"/>
              </w:rPr>
              <w:t xml:space="preserve">output in mining of construction materials went up by </w:t>
            </w:r>
            <w:r w:rsidRPr="00FD66A4">
              <w:rPr>
                <w:spacing w:val="-5"/>
                <w:lang w:val="en-GB"/>
              </w:rPr>
              <w:t>11</w:t>
            </w:r>
            <w:r>
              <w:rPr>
                <w:spacing w:val="-5"/>
                <w:lang w:val="en-GB"/>
              </w:rPr>
              <w:t>.</w:t>
            </w:r>
            <w:r w:rsidRPr="00FD66A4">
              <w:rPr>
                <w:spacing w:val="-5"/>
                <w:lang w:val="en-GB"/>
              </w:rPr>
              <w:t>1%</w:t>
            </w:r>
            <w:r>
              <w:rPr>
                <w:spacing w:val="-5"/>
                <w:lang w:val="en-GB"/>
              </w:rPr>
              <w:t xml:space="preserve"> last year and it mildly </w:t>
            </w:r>
            <w:r>
              <w:rPr>
                <w:spacing w:val="-5"/>
                <w:lang w:val="en-GB"/>
              </w:rPr>
              <w:lastRenderedPageBreak/>
              <w:t xml:space="preserve">exceeded the dive from year </w:t>
            </w:r>
            <w:r w:rsidRPr="00FD66A4">
              <w:rPr>
                <w:spacing w:val="-5"/>
                <w:lang w:val="en-GB"/>
              </w:rPr>
              <w:t xml:space="preserve">2020. </w:t>
            </w:r>
            <w:r>
              <w:rPr>
                <w:spacing w:val="-5"/>
                <w:lang w:val="en-GB"/>
              </w:rPr>
              <w:t>The same on the contrary did not succeed in the energy industry, even though its production increased by even 4% last year</w:t>
            </w:r>
            <w:r w:rsidRPr="00FD66A4">
              <w:rPr>
                <w:rStyle w:val="Znakapoznpodarou"/>
                <w:spacing w:val="-5"/>
                <w:lang w:val="en-GB"/>
              </w:rPr>
              <w:footnoteReference w:id="14"/>
            </w:r>
            <w:r w:rsidRPr="00FD66A4">
              <w:rPr>
                <w:spacing w:val="-5"/>
                <w:lang w:val="en-GB"/>
              </w:rPr>
              <w:t xml:space="preserve">. </w:t>
            </w:r>
            <w:r>
              <w:rPr>
                <w:spacing w:val="-5"/>
                <w:lang w:val="en-GB"/>
              </w:rPr>
              <w:t>Restrictions of shops in trade and services at the beginning of year 2021 as well as the fluctuation of year-round development of manufacturing of motor vehicles prevented the return to pre-pandemic level</w:t>
            </w:r>
            <w:r w:rsidRPr="00FD66A4">
              <w:rPr>
                <w:spacing w:val="-5"/>
                <w:lang w:val="en-GB"/>
              </w:rPr>
              <w:t>.</w:t>
            </w:r>
          </w:p>
        </w:tc>
      </w:tr>
      <w:tr w:rsidR="00C12FCC" w:rsidRPr="00B43216" w14:paraId="3C663A8B" w14:textId="77777777" w:rsidTr="00B3385E">
        <w:trPr>
          <w:trHeight w:val="145"/>
        </w:trPr>
        <w:tc>
          <w:tcPr>
            <w:tcW w:w="1728" w:type="dxa"/>
            <w:shd w:val="clear" w:color="auto" w:fill="auto"/>
            <w:tcMar>
              <w:left w:w="0" w:type="dxa"/>
            </w:tcMar>
          </w:tcPr>
          <w:p w14:paraId="091C628B" w14:textId="5AB3A899" w:rsidR="00C12FCC" w:rsidRPr="0037076B" w:rsidRDefault="00C12FCC" w:rsidP="00C12FCC">
            <w:pPr>
              <w:pStyle w:val="Marginlie"/>
              <w:rPr>
                <w:spacing w:val="0"/>
                <w:lang w:val="en-GB"/>
              </w:rPr>
            </w:pPr>
            <w:r w:rsidRPr="0037076B">
              <w:rPr>
                <w:lang w:val="en-GB"/>
              </w:rPr>
              <w:lastRenderedPageBreak/>
              <w:t>S</w:t>
            </w:r>
            <w:r>
              <w:rPr>
                <w:lang w:val="en-GB"/>
              </w:rPr>
              <w:t>trong growth of sales in coal mining, metallurgy, wood industry or manufacture of metal products was result exclusively of price growth in Q</w:t>
            </w:r>
            <w:r w:rsidRPr="0037076B">
              <w:rPr>
                <w:lang w:val="en-GB"/>
              </w:rPr>
              <w:t>4.</w:t>
            </w:r>
          </w:p>
        </w:tc>
        <w:tc>
          <w:tcPr>
            <w:tcW w:w="206" w:type="dxa"/>
            <w:shd w:val="clear" w:color="auto" w:fill="auto"/>
            <w:tcMar>
              <w:left w:w="0" w:type="dxa"/>
            </w:tcMar>
          </w:tcPr>
          <w:p w14:paraId="20FD324F" w14:textId="77777777" w:rsidR="00C12FCC" w:rsidRPr="0037076B" w:rsidRDefault="00C12FCC" w:rsidP="00C12FCC">
            <w:pPr>
              <w:pStyle w:val="Textpoznpodarou"/>
              <w:jc w:val="both"/>
              <w:rPr>
                <w:spacing w:val="-4"/>
                <w:lang w:val="en-GB"/>
              </w:rPr>
            </w:pPr>
          </w:p>
        </w:tc>
        <w:tc>
          <w:tcPr>
            <w:tcW w:w="7730" w:type="dxa"/>
            <w:shd w:val="clear" w:color="auto" w:fill="auto"/>
            <w:tcMar>
              <w:left w:w="0" w:type="dxa"/>
            </w:tcMar>
          </w:tcPr>
          <w:p w14:paraId="2C7FC2F0" w14:textId="2D4DEA22" w:rsidR="00C12FCC" w:rsidRPr="00C12FCC" w:rsidRDefault="00C12FCC" w:rsidP="00C12FCC">
            <w:pPr>
              <w:spacing w:after="200"/>
              <w:rPr>
                <w:color w:val="0D0D0D" w:themeColor="text1" w:themeTint="F2"/>
                <w:spacing w:val="-4"/>
                <w:lang w:val="en-GB"/>
              </w:rPr>
            </w:pPr>
            <w:r w:rsidRPr="00C12FCC">
              <w:rPr>
                <w:rFonts w:cs="Arial"/>
                <w:bCs/>
                <w:color w:val="0D0D0D" w:themeColor="text1" w:themeTint="F2"/>
                <w:spacing w:val="-4"/>
                <w:szCs w:val="20"/>
                <w:lang w:val="en-GB"/>
              </w:rPr>
              <w:t>The nominal sales of industrial businesses</w:t>
            </w:r>
            <w:r w:rsidRPr="00C12FCC">
              <w:rPr>
                <w:rStyle w:val="Znakapoznpodarou"/>
                <w:bCs/>
                <w:color w:val="0D0D0D" w:themeColor="text1" w:themeTint="F2"/>
                <w:spacing w:val="-4"/>
                <w:szCs w:val="20"/>
                <w:lang w:val="en-GB"/>
              </w:rPr>
              <w:footnoteReference w:id="15"/>
            </w:r>
            <w:r w:rsidRPr="00C12FCC">
              <w:rPr>
                <w:rFonts w:cs="Arial"/>
                <w:bCs/>
                <w:color w:val="0D0D0D" w:themeColor="text1" w:themeTint="F2"/>
                <w:spacing w:val="-4"/>
                <w:szCs w:val="20"/>
                <w:lang w:val="en-GB"/>
              </w:rPr>
              <w:t xml:space="preserve"> rose by 10.8% year-on-year in 2021. In Q4 itself, they grew only by 3.1%, i.e. considerably less than the production costs expressed via prices of industrial producers. Sales from direct export even ended slightly below the level from the end of year 2020, partially also for the reason that the weakening of the manufacturers of motor vehicles was more apparent here. Total sales grew the most in metallurgy (by 41.0%) in Q4, but similarly to the mining of coal (+26.3%), wood industry (+21.8%) as well as manufacturing of metal products (+13.1%) it was strictly the result of sharp price growth. It also considerably influenced the high rates of growth of sales in the chemical and paper industries. In contrast, the nearly 20% growth of sales for rail transport equipment as well as manufacturing of beverages accurately copied the growth of volume of production at the end of the last year. It was also valid in case of slump of sales of motor vehicle manufacturers, which reached nearly one fifth.</w:t>
            </w:r>
          </w:p>
        </w:tc>
      </w:tr>
      <w:tr w:rsidR="00C12FCC" w:rsidRPr="00B43216" w14:paraId="14D71409" w14:textId="77777777" w:rsidTr="00B3385E">
        <w:trPr>
          <w:trHeight w:val="155"/>
        </w:trPr>
        <w:tc>
          <w:tcPr>
            <w:tcW w:w="1728" w:type="dxa"/>
            <w:vMerge w:val="restart"/>
            <w:shd w:val="clear" w:color="auto" w:fill="auto"/>
            <w:tcMar>
              <w:left w:w="0" w:type="dxa"/>
            </w:tcMar>
          </w:tcPr>
          <w:p w14:paraId="75090F11" w14:textId="77777777" w:rsidR="00C12FCC" w:rsidRPr="00B43216" w:rsidRDefault="00C12FCC" w:rsidP="00C12FCC">
            <w:pPr>
              <w:pStyle w:val="Marginlie"/>
              <w:rPr>
                <w:spacing w:val="-4"/>
              </w:rPr>
            </w:pPr>
          </w:p>
        </w:tc>
        <w:tc>
          <w:tcPr>
            <w:tcW w:w="206" w:type="dxa"/>
            <w:vMerge w:val="restart"/>
            <w:shd w:val="clear" w:color="auto" w:fill="auto"/>
            <w:tcMar>
              <w:left w:w="0" w:type="dxa"/>
            </w:tcMar>
          </w:tcPr>
          <w:p w14:paraId="7793EA18" w14:textId="77777777" w:rsidR="00C12FCC" w:rsidRPr="00B43216" w:rsidRDefault="00C12FCC" w:rsidP="00C12FCC">
            <w:pPr>
              <w:pStyle w:val="Textpoznpodarou"/>
              <w:jc w:val="both"/>
              <w:rPr>
                <w:spacing w:val="-4"/>
              </w:rPr>
            </w:pPr>
          </w:p>
        </w:tc>
        <w:tc>
          <w:tcPr>
            <w:tcW w:w="7730" w:type="dxa"/>
            <w:shd w:val="clear" w:color="auto" w:fill="auto"/>
            <w:tcMar>
              <w:left w:w="0" w:type="dxa"/>
            </w:tcMar>
          </w:tcPr>
          <w:p w14:paraId="0088A2B8" w14:textId="0EC9270B" w:rsidR="00C12FCC" w:rsidRPr="00760356" w:rsidRDefault="00C12FCC" w:rsidP="00C12FCC">
            <w:pPr>
              <w:pStyle w:val="Textpoznpodarou"/>
              <w:spacing w:line="276" w:lineRule="auto"/>
              <w:jc w:val="both"/>
              <w:rPr>
                <w:b/>
                <w:spacing w:val="-2"/>
              </w:rPr>
            </w:pPr>
            <w:r>
              <w:rPr>
                <w:b/>
                <w:spacing w:val="-2"/>
              </w:rPr>
              <w:t xml:space="preserve">Chart </w:t>
            </w:r>
            <w:r w:rsidRPr="00760356">
              <w:rPr>
                <w:b/>
                <w:spacing w:val="-2"/>
              </w:rPr>
              <w:t>5</w:t>
            </w:r>
            <w:r>
              <w:rPr>
                <w:b/>
                <w:spacing w:val="-2"/>
              </w:rPr>
              <w:t xml:space="preserve">  </w:t>
            </w:r>
            <w:r w:rsidRPr="000A5DBC">
              <w:rPr>
                <w:b/>
                <w:lang w:val="en-GB"/>
              </w:rPr>
              <w:t xml:space="preserve">New orders in </w:t>
            </w:r>
            <w:r>
              <w:rPr>
                <w:b/>
                <w:lang w:val="en-GB"/>
              </w:rPr>
              <w:t xml:space="preserve">industry  </w:t>
            </w:r>
            <w:r w:rsidRPr="000A5DBC">
              <w:rPr>
                <w:bCs/>
                <w:lang w:val="en-GB"/>
              </w:rPr>
              <w:t xml:space="preserve">(in </w:t>
            </w:r>
            <w:r>
              <w:rPr>
                <w:bCs/>
                <w:lang w:val="en-GB"/>
              </w:rPr>
              <w:t>nominal terms, y</w:t>
            </w:r>
            <w:r w:rsidRPr="000A5DBC">
              <w:rPr>
                <w:bCs/>
                <w:lang w:val="en-GB"/>
              </w:rPr>
              <w:t>ear-on-year change in %)</w:t>
            </w:r>
            <w:r w:rsidRPr="000A5DBC">
              <w:rPr>
                <w:b/>
                <w:lang w:val="en-GB"/>
              </w:rPr>
              <w:t>, utilisation of production capacities in industry</w:t>
            </w:r>
            <w:r>
              <w:rPr>
                <w:b/>
                <w:lang w:val="en-GB"/>
              </w:rPr>
              <w:t>, selected growth barriers</w:t>
            </w:r>
            <w:r w:rsidRPr="000A5DBC">
              <w:rPr>
                <w:b/>
                <w:lang w:val="en-GB"/>
              </w:rPr>
              <w:t xml:space="preserve">* </w:t>
            </w:r>
            <w:r w:rsidRPr="004135F4">
              <w:rPr>
                <w:bCs/>
                <w:lang w:val="en-GB"/>
              </w:rPr>
              <w:t>(in %, right axis)</w:t>
            </w:r>
            <w:r>
              <w:rPr>
                <w:b/>
                <w:lang w:val="en-GB"/>
              </w:rPr>
              <w:t xml:space="preserve"> and </w:t>
            </w:r>
            <w:r w:rsidRPr="000A5DBC">
              <w:rPr>
                <w:b/>
                <w:lang w:val="en-GB"/>
              </w:rPr>
              <w:t xml:space="preserve">balance of confidence indicator in industry* </w:t>
            </w:r>
            <w:r w:rsidRPr="000A5DBC">
              <w:rPr>
                <w:lang w:val="en-GB"/>
              </w:rPr>
              <w:t>(in points</w:t>
            </w:r>
            <w:r>
              <w:rPr>
                <w:lang w:val="en-GB"/>
              </w:rPr>
              <w:t>, right axis</w:t>
            </w:r>
            <w:r w:rsidRPr="000A5DBC">
              <w:rPr>
                <w:lang w:val="en-GB"/>
              </w:rPr>
              <w:t xml:space="preserve">) </w:t>
            </w:r>
          </w:p>
        </w:tc>
      </w:tr>
      <w:tr w:rsidR="00C12FCC" w:rsidRPr="00B43216" w14:paraId="75653557" w14:textId="77777777" w:rsidTr="00861816">
        <w:tblPrEx>
          <w:tblCellMar>
            <w:left w:w="70" w:type="dxa"/>
            <w:right w:w="70" w:type="dxa"/>
          </w:tblCellMar>
        </w:tblPrEx>
        <w:trPr>
          <w:trHeight w:val="155"/>
        </w:trPr>
        <w:tc>
          <w:tcPr>
            <w:tcW w:w="1728" w:type="dxa"/>
            <w:vMerge/>
            <w:shd w:val="clear" w:color="auto" w:fill="auto"/>
          </w:tcPr>
          <w:p w14:paraId="1A2850AD" w14:textId="77777777" w:rsidR="00C12FCC" w:rsidRPr="00B43216" w:rsidRDefault="00C12FCC" w:rsidP="00C12FCC">
            <w:pPr>
              <w:pStyle w:val="Marginlie"/>
              <w:rPr>
                <w:spacing w:val="-4"/>
              </w:rPr>
            </w:pPr>
          </w:p>
        </w:tc>
        <w:tc>
          <w:tcPr>
            <w:tcW w:w="206" w:type="dxa"/>
            <w:vMerge/>
            <w:shd w:val="clear" w:color="auto" w:fill="auto"/>
          </w:tcPr>
          <w:p w14:paraId="17ABACB1" w14:textId="77777777" w:rsidR="00C12FCC" w:rsidRPr="00B43216" w:rsidRDefault="00C12FCC" w:rsidP="00C12FCC">
            <w:pPr>
              <w:pStyle w:val="Textpoznpodarou"/>
              <w:jc w:val="both"/>
              <w:rPr>
                <w:spacing w:val="-4"/>
              </w:rPr>
            </w:pPr>
          </w:p>
        </w:tc>
        <w:tc>
          <w:tcPr>
            <w:tcW w:w="7730" w:type="dxa"/>
            <w:shd w:val="clear" w:color="auto" w:fill="auto"/>
          </w:tcPr>
          <w:p w14:paraId="300CC819" w14:textId="3B011118" w:rsidR="00C12FCC" w:rsidRPr="00B43216" w:rsidRDefault="00C12FCC" w:rsidP="00C12FCC">
            <w:pPr>
              <w:spacing w:after="0"/>
              <w:rPr>
                <w:spacing w:val="-4"/>
              </w:rPr>
            </w:pPr>
            <w:r>
              <w:rPr>
                <w:noProof/>
              </w:rPr>
              <w:drawing>
                <wp:inline distT="0" distB="0" distL="0" distR="0" wp14:anchorId="32F99884" wp14:editId="1B4D1F1D">
                  <wp:extent cx="4817745" cy="3600450"/>
                  <wp:effectExtent l="0" t="0" r="1905"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C12FCC" w:rsidRPr="00B43216" w14:paraId="041D268D" w14:textId="77777777" w:rsidTr="00B3385E">
        <w:trPr>
          <w:trHeight w:val="152"/>
        </w:trPr>
        <w:tc>
          <w:tcPr>
            <w:tcW w:w="1728" w:type="dxa"/>
            <w:vMerge/>
            <w:shd w:val="clear" w:color="auto" w:fill="auto"/>
            <w:tcMar>
              <w:left w:w="0" w:type="dxa"/>
            </w:tcMar>
          </w:tcPr>
          <w:p w14:paraId="46BC5363" w14:textId="77777777" w:rsidR="00C12FCC" w:rsidRPr="00B43216" w:rsidRDefault="00C12FCC" w:rsidP="00C12FCC">
            <w:pPr>
              <w:pStyle w:val="Marginlie"/>
              <w:rPr>
                <w:spacing w:val="-4"/>
              </w:rPr>
            </w:pPr>
          </w:p>
        </w:tc>
        <w:tc>
          <w:tcPr>
            <w:tcW w:w="206" w:type="dxa"/>
            <w:vMerge/>
            <w:shd w:val="clear" w:color="auto" w:fill="auto"/>
            <w:tcMar>
              <w:left w:w="0" w:type="dxa"/>
            </w:tcMar>
          </w:tcPr>
          <w:p w14:paraId="41D7DA1A" w14:textId="77777777" w:rsidR="00C12FCC" w:rsidRPr="00B43216" w:rsidRDefault="00C12FCC" w:rsidP="00C12FCC">
            <w:pPr>
              <w:pStyle w:val="Textpoznpodarou"/>
              <w:jc w:val="both"/>
              <w:rPr>
                <w:spacing w:val="-4"/>
              </w:rPr>
            </w:pPr>
          </w:p>
        </w:tc>
        <w:tc>
          <w:tcPr>
            <w:tcW w:w="7730" w:type="dxa"/>
            <w:shd w:val="clear" w:color="auto" w:fill="auto"/>
            <w:tcMar>
              <w:left w:w="0" w:type="dxa"/>
            </w:tcMar>
          </w:tcPr>
          <w:p w14:paraId="1FAE7DCF" w14:textId="62E7F936" w:rsidR="00C12FCC" w:rsidRPr="008C5037" w:rsidRDefault="00C12FCC" w:rsidP="00C12FCC">
            <w:pPr>
              <w:tabs>
                <w:tab w:val="right" w:pos="7711"/>
              </w:tabs>
              <w:spacing w:after="0"/>
              <w:rPr>
                <w:rFonts w:cs="Arial"/>
                <w:sz w:val="14"/>
                <w:szCs w:val="14"/>
              </w:rPr>
            </w:pPr>
            <w:r w:rsidRPr="00883202">
              <w:rPr>
                <w:rFonts w:cs="Arial"/>
                <w:sz w:val="14"/>
                <w:szCs w:val="14"/>
              </w:rPr>
              <w:t>*</w:t>
            </w:r>
            <w:r w:rsidRPr="000E27AC">
              <w:rPr>
                <w:rFonts w:cs="Arial"/>
                <w:sz w:val="14"/>
                <w:szCs w:val="14"/>
                <w:lang w:val="en-GB"/>
              </w:rPr>
              <w:t xml:space="preserve"> Both utilisation of production capacities and growth barriers express the situation in the first</w:t>
            </w:r>
            <w:r>
              <w:rPr>
                <w:rFonts w:cs="Arial"/>
                <w:sz w:val="14"/>
                <w:szCs w:val="14"/>
                <w:lang w:val="en-GB"/>
              </w:rPr>
              <w:t xml:space="preserve"> </w:t>
            </w:r>
            <w:r w:rsidRPr="000E27AC">
              <w:rPr>
                <w:rFonts w:cs="Arial"/>
                <w:sz w:val="14"/>
                <w:szCs w:val="14"/>
                <w:lang w:val="en-GB"/>
              </w:rPr>
              <w:t>month of the given quarter</w:t>
            </w:r>
            <w:r>
              <w:rPr>
                <w:rFonts w:cs="Arial"/>
                <w:sz w:val="14"/>
                <w:szCs w:val="14"/>
                <w:lang w:val="en-GB"/>
              </w:rPr>
              <w:t xml:space="preserve">, confidence balance relates to the second month of the quarter. Orders are adjusted for calendar effects; other indicators are seasonally adjusted. </w:t>
            </w:r>
            <w:r w:rsidRPr="000E27AC">
              <w:rPr>
                <w:rFonts w:cs="Arial"/>
                <w:sz w:val="14"/>
                <w:szCs w:val="14"/>
                <w:lang w:val="en-GB"/>
              </w:rPr>
              <w:t xml:space="preserve">Businesses could have stated more main barriers simultaneously. </w:t>
            </w:r>
            <w:r>
              <w:rPr>
                <w:rFonts w:cs="Arial"/>
                <w:sz w:val="14"/>
                <w:szCs w:val="14"/>
              </w:rPr>
              <w:tab/>
              <w:t>Source</w:t>
            </w:r>
            <w:r w:rsidRPr="00883202">
              <w:rPr>
                <w:rFonts w:cs="Arial"/>
                <w:sz w:val="14"/>
                <w:szCs w:val="14"/>
              </w:rPr>
              <w:t xml:space="preserve">: </w:t>
            </w:r>
            <w:r>
              <w:rPr>
                <w:rFonts w:cs="Arial"/>
                <w:sz w:val="14"/>
                <w:szCs w:val="14"/>
              </w:rPr>
              <w:t>CZSO, Eurostat</w:t>
            </w:r>
          </w:p>
        </w:tc>
      </w:tr>
      <w:tr w:rsidR="00C12FCC" w:rsidRPr="00191C35" w14:paraId="3FCF99F3" w14:textId="77777777" w:rsidTr="00B3385E">
        <w:trPr>
          <w:trHeight w:val="145"/>
        </w:trPr>
        <w:tc>
          <w:tcPr>
            <w:tcW w:w="1728" w:type="dxa"/>
            <w:shd w:val="clear" w:color="auto" w:fill="auto"/>
            <w:tcMar>
              <w:left w:w="0" w:type="dxa"/>
            </w:tcMar>
          </w:tcPr>
          <w:p w14:paraId="07C9C61A" w14:textId="1BB74E72" w:rsidR="00C12FCC" w:rsidRDefault="00C12FCC" w:rsidP="00C12FCC">
            <w:pPr>
              <w:pStyle w:val="Marginlie"/>
              <w:rPr>
                <w:spacing w:val="0"/>
                <w:lang w:val="en-GB"/>
              </w:rPr>
            </w:pPr>
            <w:r>
              <w:rPr>
                <w:spacing w:val="0"/>
                <w:lang w:val="en-GB"/>
              </w:rPr>
              <w:lastRenderedPageBreak/>
              <w:t>Growth of new orders in construction presented a positive signal indicating a possible increase of production volume in Q</w:t>
            </w:r>
            <w:r w:rsidRPr="00CA6BE6">
              <w:rPr>
                <w:spacing w:val="0"/>
                <w:lang w:val="en-GB"/>
              </w:rPr>
              <w:t>4.</w:t>
            </w:r>
          </w:p>
        </w:tc>
        <w:tc>
          <w:tcPr>
            <w:tcW w:w="206" w:type="dxa"/>
            <w:shd w:val="clear" w:color="auto" w:fill="auto"/>
            <w:tcMar>
              <w:left w:w="0" w:type="dxa"/>
            </w:tcMar>
          </w:tcPr>
          <w:p w14:paraId="62C17D7A" w14:textId="77777777" w:rsidR="00C12FCC" w:rsidRPr="001977EB" w:rsidRDefault="00C12FCC" w:rsidP="00C12FCC">
            <w:pPr>
              <w:pStyle w:val="Textpoznpodarou"/>
              <w:jc w:val="both"/>
              <w:rPr>
                <w:spacing w:val="-4"/>
                <w:lang w:val="en-GB"/>
              </w:rPr>
            </w:pPr>
          </w:p>
        </w:tc>
        <w:tc>
          <w:tcPr>
            <w:tcW w:w="7730" w:type="dxa"/>
            <w:shd w:val="clear" w:color="auto" w:fill="auto"/>
            <w:tcMar>
              <w:left w:w="0" w:type="dxa"/>
            </w:tcMar>
          </w:tcPr>
          <w:p w14:paraId="33F7ADB4" w14:textId="62493943" w:rsidR="00C12FCC" w:rsidRDefault="00C12FCC" w:rsidP="00C12FCC">
            <w:pPr>
              <w:spacing w:after="160"/>
              <w:rPr>
                <w:color w:val="0D0D0D" w:themeColor="text1" w:themeTint="F2"/>
                <w:spacing w:val="-4"/>
                <w:lang w:val="en-GB"/>
              </w:rPr>
            </w:pPr>
            <w:r w:rsidRPr="00CA6BE6">
              <w:rPr>
                <w:color w:val="0D0D0D" w:themeColor="text1" w:themeTint="F2"/>
                <w:spacing w:val="-4"/>
                <w:lang w:val="en-GB"/>
              </w:rPr>
              <w:t>Value of new industrial orders</w:t>
            </w:r>
            <w:r w:rsidRPr="00CA6BE6">
              <w:rPr>
                <w:rStyle w:val="Znakapoznpodarou"/>
                <w:spacing w:val="-4"/>
                <w:lang w:val="en-GB"/>
              </w:rPr>
              <w:footnoteReference w:id="16"/>
            </w:r>
            <w:r w:rsidRPr="00CA6BE6">
              <w:rPr>
                <w:color w:val="0D0D0D" w:themeColor="text1" w:themeTint="F2"/>
                <w:spacing w:val="-4"/>
                <w:lang w:val="en-GB"/>
              </w:rPr>
              <w:t xml:space="preserve"> </w:t>
            </w:r>
            <w:r>
              <w:rPr>
                <w:color w:val="0D0D0D" w:themeColor="text1" w:themeTint="F2"/>
                <w:spacing w:val="-4"/>
                <w:lang w:val="en-GB"/>
              </w:rPr>
              <w:t>increased by 3.6% year-on-year in Q</w:t>
            </w:r>
            <w:r w:rsidRPr="00CA6BE6">
              <w:rPr>
                <w:color w:val="0D0D0D" w:themeColor="text1" w:themeTint="F2"/>
                <w:spacing w:val="-4"/>
                <w:lang w:val="en-GB"/>
              </w:rPr>
              <w:t>4</w:t>
            </w:r>
            <w:r>
              <w:rPr>
                <w:color w:val="0D0D0D" w:themeColor="text1" w:themeTint="F2"/>
                <w:spacing w:val="-4"/>
                <w:lang w:val="en-GB"/>
              </w:rPr>
              <w:t xml:space="preserve"> </w:t>
            </w:r>
            <w:r w:rsidRPr="00CA6BE6">
              <w:rPr>
                <w:color w:val="0D0D0D" w:themeColor="text1" w:themeTint="F2"/>
                <w:spacing w:val="-4"/>
                <w:lang w:val="en-GB"/>
              </w:rPr>
              <w:t>2021</w:t>
            </w:r>
            <w:r>
              <w:rPr>
                <w:color w:val="0D0D0D" w:themeColor="text1" w:themeTint="F2"/>
                <w:spacing w:val="-4"/>
                <w:lang w:val="en-GB"/>
              </w:rPr>
              <w:t xml:space="preserve">, the domestic demand was rising slightly faster compared to the foreign demand. The swift growth of orders in metallurgy </w:t>
            </w:r>
            <w:r w:rsidRPr="00CA6BE6">
              <w:rPr>
                <w:color w:val="0D0D0D" w:themeColor="text1" w:themeTint="F2"/>
                <w:spacing w:val="-4"/>
                <w:lang w:val="en-GB"/>
              </w:rPr>
              <w:t>(36</w:t>
            </w:r>
            <w:r>
              <w:rPr>
                <w:color w:val="0D0D0D" w:themeColor="text1" w:themeTint="F2"/>
                <w:spacing w:val="-4"/>
                <w:lang w:val="en-GB"/>
              </w:rPr>
              <w:t>.</w:t>
            </w:r>
            <w:r w:rsidRPr="00CA6BE6">
              <w:rPr>
                <w:color w:val="0D0D0D" w:themeColor="text1" w:themeTint="F2"/>
                <w:spacing w:val="-4"/>
                <w:lang w:val="en-GB"/>
              </w:rPr>
              <w:t>5%),</w:t>
            </w:r>
            <w:r>
              <w:rPr>
                <w:color w:val="0D0D0D" w:themeColor="text1" w:themeTint="F2"/>
                <w:spacing w:val="-4"/>
                <w:lang w:val="en-GB"/>
              </w:rPr>
              <w:t xml:space="preserve"> chemical </w:t>
            </w:r>
            <w:r w:rsidRPr="00CA6BE6">
              <w:rPr>
                <w:color w:val="0D0D0D" w:themeColor="text1" w:themeTint="F2"/>
                <w:spacing w:val="-4"/>
                <w:lang w:val="en-GB"/>
              </w:rPr>
              <w:t>(46</w:t>
            </w:r>
            <w:r>
              <w:rPr>
                <w:color w:val="0D0D0D" w:themeColor="text1" w:themeTint="F2"/>
                <w:spacing w:val="-4"/>
                <w:lang w:val="en-GB"/>
              </w:rPr>
              <w:t>.</w:t>
            </w:r>
            <w:r w:rsidRPr="00CA6BE6">
              <w:rPr>
                <w:color w:val="0D0D0D" w:themeColor="text1" w:themeTint="F2"/>
                <w:spacing w:val="-4"/>
                <w:lang w:val="en-GB"/>
              </w:rPr>
              <w:t>0%)</w:t>
            </w:r>
            <w:r>
              <w:rPr>
                <w:color w:val="0D0D0D" w:themeColor="text1" w:themeTint="F2"/>
                <w:spacing w:val="-4"/>
                <w:lang w:val="en-GB"/>
              </w:rPr>
              <w:t xml:space="preserve"> as well as manufacturing of paper products </w:t>
            </w:r>
            <w:r w:rsidRPr="00CA6BE6">
              <w:rPr>
                <w:color w:val="0D0D0D" w:themeColor="text1" w:themeTint="F2"/>
                <w:spacing w:val="-4"/>
                <w:lang w:val="en-GB"/>
              </w:rPr>
              <w:t>(18</w:t>
            </w:r>
            <w:r>
              <w:rPr>
                <w:color w:val="0D0D0D" w:themeColor="text1" w:themeTint="F2"/>
                <w:spacing w:val="-4"/>
                <w:lang w:val="en-GB"/>
              </w:rPr>
              <w:t>.</w:t>
            </w:r>
            <w:r w:rsidRPr="00CA6BE6">
              <w:rPr>
                <w:color w:val="0D0D0D" w:themeColor="text1" w:themeTint="F2"/>
                <w:spacing w:val="-4"/>
                <w:lang w:val="en-GB"/>
              </w:rPr>
              <w:t>0%)</w:t>
            </w:r>
            <w:r>
              <w:rPr>
                <w:color w:val="0D0D0D" w:themeColor="text1" w:themeTint="F2"/>
                <w:spacing w:val="-4"/>
                <w:lang w:val="en-GB"/>
              </w:rPr>
              <w:t xml:space="preserve"> </w:t>
            </w:r>
            <w:r w:rsidRPr="00CA6BE6">
              <w:rPr>
                <w:color w:val="0D0D0D" w:themeColor="text1" w:themeTint="F2"/>
                <w:spacing w:val="-4"/>
                <w:lang w:val="en-GB"/>
              </w:rPr>
              <w:t>will</w:t>
            </w:r>
            <w:r>
              <w:rPr>
                <w:color w:val="0D0D0D" w:themeColor="text1" w:themeTint="F2"/>
                <w:spacing w:val="-4"/>
                <w:lang w:val="en-GB"/>
              </w:rPr>
              <w:t xml:space="preserve"> be swallowed to a large extent by the growing production costs of businesses. The more modest 13.2% increase of orders in machinery, with in addition a large share of domestic businesses, is thus a bigger promise with respect to the future growth of the production volume. Deteriorated short-term outlooks are on the contrary connected to the manufacturing of motor vehicles, where the lower volume of contracted orders </w:t>
            </w:r>
            <w:r w:rsidRPr="00CA6BE6">
              <w:rPr>
                <w:color w:val="0D0D0D" w:themeColor="text1" w:themeTint="F2"/>
                <w:spacing w:val="-4"/>
                <w:lang w:val="en-GB"/>
              </w:rPr>
              <w:t>(</w:t>
            </w:r>
            <w:r>
              <w:rPr>
                <w:color w:val="0D0D0D" w:themeColor="text1" w:themeTint="F2"/>
                <w:spacing w:val="-4"/>
                <w:lang w:val="en-GB"/>
              </w:rPr>
              <w:t xml:space="preserve">by </w:t>
            </w:r>
            <w:r w:rsidRPr="00CA6BE6">
              <w:rPr>
                <w:color w:val="0D0D0D" w:themeColor="text1" w:themeTint="F2"/>
                <w:spacing w:val="-4"/>
                <w:lang w:val="en-GB"/>
              </w:rPr>
              <w:t>9</w:t>
            </w:r>
            <w:r>
              <w:rPr>
                <w:color w:val="0D0D0D" w:themeColor="text1" w:themeTint="F2"/>
                <w:spacing w:val="-4"/>
                <w:lang w:val="en-GB"/>
              </w:rPr>
              <w:t>.</w:t>
            </w:r>
            <w:r w:rsidRPr="00CA6BE6">
              <w:rPr>
                <w:color w:val="0D0D0D" w:themeColor="text1" w:themeTint="F2"/>
                <w:spacing w:val="-4"/>
                <w:lang w:val="en-GB"/>
              </w:rPr>
              <w:t xml:space="preserve">8%, resp. </w:t>
            </w:r>
            <w:r>
              <w:rPr>
                <w:color w:val="0D0D0D" w:themeColor="text1" w:themeTint="F2"/>
                <w:spacing w:val="-4"/>
                <w:lang w:val="en-GB"/>
              </w:rPr>
              <w:t xml:space="preserve">by </w:t>
            </w:r>
            <w:r w:rsidRPr="00CA6BE6">
              <w:rPr>
                <w:color w:val="0D0D0D" w:themeColor="text1" w:themeTint="F2"/>
                <w:spacing w:val="-4"/>
                <w:lang w:val="en-GB"/>
              </w:rPr>
              <w:t>2</w:t>
            </w:r>
            <w:r>
              <w:rPr>
                <w:color w:val="0D0D0D" w:themeColor="text1" w:themeTint="F2"/>
                <w:spacing w:val="-4"/>
                <w:lang w:val="en-GB"/>
              </w:rPr>
              <w:t>.</w:t>
            </w:r>
            <w:r w:rsidRPr="00CA6BE6">
              <w:rPr>
                <w:color w:val="0D0D0D" w:themeColor="text1" w:themeTint="F2"/>
                <w:spacing w:val="-4"/>
                <w:lang w:val="en-GB"/>
              </w:rPr>
              <w:t>1%</w:t>
            </w:r>
            <w:r>
              <w:rPr>
                <w:color w:val="0D0D0D" w:themeColor="text1" w:themeTint="F2"/>
                <w:spacing w:val="-4"/>
                <w:lang w:val="en-GB"/>
              </w:rPr>
              <w:t xml:space="preserve"> compared to Q</w:t>
            </w:r>
            <w:r w:rsidRPr="00CA6BE6">
              <w:rPr>
                <w:color w:val="0D0D0D" w:themeColor="text1" w:themeTint="F2"/>
                <w:spacing w:val="-4"/>
                <w:lang w:val="en-GB"/>
              </w:rPr>
              <w:t>4</w:t>
            </w:r>
            <w:r>
              <w:rPr>
                <w:color w:val="0D0D0D" w:themeColor="text1" w:themeTint="F2"/>
                <w:spacing w:val="-4"/>
                <w:lang w:val="en-GB"/>
              </w:rPr>
              <w:t xml:space="preserve"> </w:t>
            </w:r>
            <w:r w:rsidRPr="00CA6BE6">
              <w:rPr>
                <w:color w:val="0D0D0D" w:themeColor="text1" w:themeTint="F2"/>
                <w:spacing w:val="-4"/>
                <w:lang w:val="en-GB"/>
              </w:rPr>
              <w:t xml:space="preserve">2019) </w:t>
            </w:r>
            <w:r>
              <w:rPr>
                <w:color w:val="0D0D0D" w:themeColor="text1" w:themeTint="F2"/>
                <w:spacing w:val="-4"/>
                <w:lang w:val="en-GB"/>
              </w:rPr>
              <w:t>reflects the persisting doubts regarding the increase of production capacities to the standard level. Utilisation of production capacities thus stayed below 80% in this branch also in January 2022</w:t>
            </w:r>
            <w:r w:rsidRPr="00CA6BE6">
              <w:rPr>
                <w:color w:val="0D0D0D" w:themeColor="text1" w:themeTint="F2"/>
                <w:spacing w:val="-4"/>
                <w:lang w:val="en-GB"/>
              </w:rPr>
              <w:t xml:space="preserve"> (</w:t>
            </w:r>
            <w:r>
              <w:rPr>
                <w:color w:val="0D0D0D" w:themeColor="text1" w:themeTint="F2"/>
                <w:spacing w:val="-4"/>
                <w:lang w:val="en-GB"/>
              </w:rPr>
              <w:t xml:space="preserve">while it reached </w:t>
            </w:r>
            <w:r w:rsidRPr="00CA6BE6">
              <w:rPr>
                <w:color w:val="0D0D0D" w:themeColor="text1" w:themeTint="F2"/>
                <w:spacing w:val="-4"/>
                <w:lang w:val="en-GB"/>
              </w:rPr>
              <w:t>93%</w:t>
            </w:r>
            <w:r>
              <w:rPr>
                <w:color w:val="0D0D0D" w:themeColor="text1" w:themeTint="F2"/>
                <w:spacing w:val="-4"/>
                <w:lang w:val="en-GB"/>
              </w:rPr>
              <w:t xml:space="preserve"> for the whole year 2019</w:t>
            </w:r>
            <w:r w:rsidRPr="00CA6BE6">
              <w:rPr>
                <w:color w:val="0D0D0D" w:themeColor="text1" w:themeTint="F2"/>
                <w:spacing w:val="-4"/>
                <w:lang w:val="en-GB"/>
              </w:rPr>
              <w:t>)</w:t>
            </w:r>
            <w:r w:rsidRPr="00CA6BE6">
              <w:rPr>
                <w:rStyle w:val="Znakapoznpodarou"/>
                <w:color w:val="0D0D0D" w:themeColor="text1" w:themeTint="F2"/>
                <w:spacing w:val="-4"/>
                <w:lang w:val="en-GB"/>
              </w:rPr>
              <w:footnoteReference w:id="17"/>
            </w:r>
            <w:r w:rsidRPr="00CA6BE6">
              <w:rPr>
                <w:color w:val="0D0D0D" w:themeColor="text1" w:themeTint="F2"/>
                <w:spacing w:val="-4"/>
                <w:lang w:val="en-GB"/>
              </w:rPr>
              <w:t>.</w:t>
            </w:r>
          </w:p>
        </w:tc>
      </w:tr>
      <w:tr w:rsidR="00C12FCC" w:rsidRPr="00191C35" w14:paraId="5574EA56" w14:textId="77777777" w:rsidTr="00B3385E">
        <w:trPr>
          <w:trHeight w:val="145"/>
        </w:trPr>
        <w:tc>
          <w:tcPr>
            <w:tcW w:w="1728" w:type="dxa"/>
            <w:shd w:val="clear" w:color="auto" w:fill="auto"/>
            <w:tcMar>
              <w:left w:w="0" w:type="dxa"/>
            </w:tcMar>
          </w:tcPr>
          <w:p w14:paraId="6D5C931C" w14:textId="2D30DD6C" w:rsidR="00C12FCC" w:rsidRPr="001977EB" w:rsidRDefault="00C12FCC" w:rsidP="00C12FCC">
            <w:pPr>
              <w:pStyle w:val="Marginlie"/>
              <w:rPr>
                <w:spacing w:val="0"/>
                <w:lang w:val="en-GB"/>
              </w:rPr>
            </w:pPr>
            <w:r>
              <w:rPr>
                <w:spacing w:val="0"/>
                <w:lang w:val="en-GB"/>
              </w:rPr>
              <w:t>Entrepreneur confidence in industry weakened during Q</w:t>
            </w:r>
            <w:r w:rsidRPr="001977EB">
              <w:rPr>
                <w:spacing w:val="0"/>
                <w:lang w:val="en-GB"/>
              </w:rPr>
              <w:t>2</w:t>
            </w:r>
            <w:r>
              <w:rPr>
                <w:spacing w:val="0"/>
                <w:lang w:val="en-GB"/>
              </w:rPr>
              <w:t xml:space="preserve"> and </w:t>
            </w:r>
            <w:r w:rsidRPr="001977EB">
              <w:rPr>
                <w:spacing w:val="0"/>
                <w:lang w:val="en-GB"/>
              </w:rPr>
              <w:t>3</w:t>
            </w:r>
            <w:r>
              <w:rPr>
                <w:spacing w:val="0"/>
                <w:lang w:val="en-GB"/>
              </w:rPr>
              <w:t xml:space="preserve">, a positive turnaround however occurred at the end of the year. </w:t>
            </w:r>
          </w:p>
          <w:p w14:paraId="1384999A" w14:textId="77777777" w:rsidR="00C12FCC" w:rsidRPr="001977EB" w:rsidRDefault="00C12FCC" w:rsidP="00C12FCC">
            <w:pPr>
              <w:pStyle w:val="Marginlie"/>
              <w:rPr>
                <w:spacing w:val="0"/>
                <w:lang w:val="en-GB"/>
              </w:rPr>
            </w:pPr>
          </w:p>
          <w:p w14:paraId="6105694F" w14:textId="77777777" w:rsidR="00C12FCC" w:rsidRPr="001977EB" w:rsidRDefault="00C12FCC" w:rsidP="00C12FCC">
            <w:pPr>
              <w:pStyle w:val="Marginlie"/>
              <w:rPr>
                <w:spacing w:val="0"/>
                <w:lang w:val="en-GB"/>
              </w:rPr>
            </w:pPr>
          </w:p>
          <w:p w14:paraId="27A5D6AA" w14:textId="328196B8" w:rsidR="00C12FCC" w:rsidRPr="001977EB" w:rsidRDefault="00C12FCC" w:rsidP="00C12FCC">
            <w:pPr>
              <w:pStyle w:val="Marginlie"/>
              <w:rPr>
                <w:lang w:val="en-GB"/>
              </w:rPr>
            </w:pPr>
            <w:r w:rsidRPr="001977EB">
              <w:rPr>
                <w:spacing w:val="0"/>
                <w:lang w:val="en-GB"/>
              </w:rPr>
              <w:t>Shortage of material and equipment troubled already 40% of businesses in January 2022.</w:t>
            </w:r>
          </w:p>
        </w:tc>
        <w:tc>
          <w:tcPr>
            <w:tcW w:w="206" w:type="dxa"/>
            <w:shd w:val="clear" w:color="auto" w:fill="auto"/>
            <w:tcMar>
              <w:left w:w="0" w:type="dxa"/>
            </w:tcMar>
          </w:tcPr>
          <w:p w14:paraId="2028FEDE" w14:textId="77777777" w:rsidR="00C12FCC" w:rsidRPr="001977EB" w:rsidRDefault="00C12FCC" w:rsidP="00C12FCC">
            <w:pPr>
              <w:pStyle w:val="Textpoznpodarou"/>
              <w:jc w:val="both"/>
              <w:rPr>
                <w:spacing w:val="-4"/>
                <w:lang w:val="en-GB"/>
              </w:rPr>
            </w:pPr>
          </w:p>
        </w:tc>
        <w:tc>
          <w:tcPr>
            <w:tcW w:w="7730" w:type="dxa"/>
            <w:shd w:val="clear" w:color="auto" w:fill="auto"/>
            <w:tcMar>
              <w:left w:w="0" w:type="dxa"/>
            </w:tcMar>
          </w:tcPr>
          <w:p w14:paraId="5FC64C95" w14:textId="2318A73B" w:rsidR="00C12FCC" w:rsidRPr="001977EB" w:rsidRDefault="00C12FCC" w:rsidP="00C12FCC">
            <w:pPr>
              <w:spacing w:after="160"/>
              <w:rPr>
                <w:spacing w:val="-4"/>
                <w:lang w:val="en-GB"/>
              </w:rPr>
            </w:pPr>
            <w:r>
              <w:rPr>
                <w:color w:val="0D0D0D" w:themeColor="text1" w:themeTint="F2"/>
                <w:spacing w:val="-4"/>
                <w:lang w:val="en-GB"/>
              </w:rPr>
              <w:t xml:space="preserve">Entrepreneur confidence in industry was changing significantly during the year </w:t>
            </w:r>
            <w:r w:rsidRPr="001977EB">
              <w:rPr>
                <w:color w:val="0D0D0D" w:themeColor="text1" w:themeTint="F2"/>
                <w:spacing w:val="-4"/>
                <w:lang w:val="en-GB"/>
              </w:rPr>
              <w:t>2021</w:t>
            </w:r>
            <w:r>
              <w:rPr>
                <w:color w:val="0D0D0D" w:themeColor="text1" w:themeTint="F2"/>
                <w:spacing w:val="-4"/>
                <w:lang w:val="en-GB"/>
              </w:rPr>
              <w:t xml:space="preserve">. It continuously weakened after the June maximum </w:t>
            </w:r>
            <w:r w:rsidRPr="001977EB">
              <w:rPr>
                <w:color w:val="0D0D0D" w:themeColor="text1" w:themeTint="F2"/>
                <w:spacing w:val="-4"/>
                <w:lang w:val="en-GB"/>
              </w:rPr>
              <w:t>(</w:t>
            </w:r>
            <w:r>
              <w:rPr>
                <w:color w:val="0D0D0D" w:themeColor="text1" w:themeTint="F2"/>
                <w:spacing w:val="-4"/>
                <w:lang w:val="en-GB"/>
              </w:rPr>
              <w:t xml:space="preserve">with the highest value in the last ten years) until October, when the pessimism was the </w:t>
            </w:r>
            <w:r w:rsidRPr="002426C9">
              <w:rPr>
                <w:color w:val="0D0D0D" w:themeColor="text1" w:themeTint="F2"/>
                <w:spacing w:val="-4"/>
                <w:lang w:val="en-GB"/>
              </w:rPr>
              <w:t xml:space="preserve">deepest since last year’s Spring. Subsequently a revival occurred due to the partial renewal of production in the motor vehicle industry and the total confidence in industry returned to the average level for year 2021 (and slightly higher than before the onset of pandemics). The expectations of the production activity in the next months improved. </w:t>
            </w:r>
            <w:r w:rsidRPr="002426C9">
              <w:rPr>
                <w:spacing w:val="-5"/>
                <w:lang w:val="en-GB"/>
              </w:rPr>
              <w:t xml:space="preserve">27% of businesses in the whole industry anticipated its growth in January 15% then decrease. </w:t>
            </w:r>
            <w:r>
              <w:rPr>
                <w:spacing w:val="-5"/>
                <w:lang w:val="en-GB"/>
              </w:rPr>
              <w:t xml:space="preserve">The outlook of the overall economic situation of businesses in industry for the upcoming six months remained similarly to the expectations in the area of employment mildly positive. Number of employees registered in industry lowered by 1.2% for the whole last year, however its year-on-year reduction halted in Q4 itself. The shortage of material and </w:t>
            </w:r>
            <w:r w:rsidRPr="00F96E43">
              <w:rPr>
                <w:spacing w:val="-5"/>
                <w:lang w:val="en-GB"/>
              </w:rPr>
              <w:t>equipment remains the main barrier growth</w:t>
            </w:r>
            <w:r w:rsidRPr="00F96E43">
              <w:rPr>
                <w:rStyle w:val="Znakapoznpodarou"/>
                <w:color w:val="0D0D0D" w:themeColor="text1" w:themeTint="F2"/>
                <w:spacing w:val="-4"/>
                <w:lang w:val="en-GB"/>
              </w:rPr>
              <w:footnoteReference w:id="18"/>
            </w:r>
            <w:r w:rsidRPr="00F96E43">
              <w:rPr>
                <w:spacing w:val="-5"/>
                <w:lang w:val="en-GB"/>
              </w:rPr>
              <w:t xml:space="preserve"> since the half of the last year, it limited 40% of domestic industrial businesses </w:t>
            </w:r>
            <w:r w:rsidRPr="00F96E43">
              <w:rPr>
                <w:color w:val="0D0D0D" w:themeColor="text1" w:themeTint="F2"/>
                <w:spacing w:val="-4"/>
                <w:lang w:val="en-GB"/>
              </w:rPr>
              <w:t xml:space="preserve">(51% in the EU) in </w:t>
            </w:r>
            <w:r>
              <w:rPr>
                <w:color w:val="0D0D0D" w:themeColor="text1" w:themeTint="F2"/>
                <w:spacing w:val="-4"/>
                <w:lang w:val="en-GB"/>
              </w:rPr>
              <w:t>J</w:t>
            </w:r>
            <w:r w:rsidRPr="00F96E43">
              <w:rPr>
                <w:color w:val="0D0D0D" w:themeColor="text1" w:themeTint="F2"/>
                <w:spacing w:val="-4"/>
                <w:lang w:val="en-GB"/>
              </w:rPr>
              <w:t>anuary 2022. Approximately one quarter of businesses faced inadequate demand similarly to the shortage of labour.</w:t>
            </w:r>
          </w:p>
        </w:tc>
      </w:tr>
      <w:tr w:rsidR="00C12FCC" w:rsidRPr="00191C35" w14:paraId="0C5B750A" w14:textId="77777777" w:rsidTr="00B3385E">
        <w:trPr>
          <w:trHeight w:val="145"/>
        </w:trPr>
        <w:tc>
          <w:tcPr>
            <w:tcW w:w="1728" w:type="dxa"/>
            <w:shd w:val="clear" w:color="auto" w:fill="auto"/>
            <w:tcMar>
              <w:left w:w="0" w:type="dxa"/>
            </w:tcMar>
          </w:tcPr>
          <w:p w14:paraId="014EC8E7" w14:textId="24ABD4AF" w:rsidR="00C12FCC" w:rsidRPr="0044546A" w:rsidRDefault="00C12FCC" w:rsidP="00C12FCC">
            <w:pPr>
              <w:pStyle w:val="Marginlie"/>
              <w:rPr>
                <w:lang w:val="en-GB"/>
              </w:rPr>
            </w:pPr>
            <w:r>
              <w:rPr>
                <w:lang w:val="en-GB"/>
              </w:rPr>
              <w:t xml:space="preserve">Quarter-on-quarter growth of the construction output halted in Q3, however it experienced a turnaround also thanks to the building construction towards the end of the year. </w:t>
            </w:r>
          </w:p>
        </w:tc>
        <w:tc>
          <w:tcPr>
            <w:tcW w:w="206" w:type="dxa"/>
            <w:shd w:val="clear" w:color="auto" w:fill="auto"/>
            <w:tcMar>
              <w:left w:w="0" w:type="dxa"/>
            </w:tcMar>
          </w:tcPr>
          <w:p w14:paraId="467DE95C" w14:textId="77777777" w:rsidR="00C12FCC" w:rsidRPr="0044546A" w:rsidRDefault="00C12FCC" w:rsidP="00C12FCC">
            <w:pPr>
              <w:pStyle w:val="Textpoznpodarou"/>
              <w:jc w:val="both"/>
              <w:rPr>
                <w:spacing w:val="-4"/>
                <w:lang w:val="en-GB"/>
              </w:rPr>
            </w:pPr>
          </w:p>
        </w:tc>
        <w:tc>
          <w:tcPr>
            <w:tcW w:w="7730" w:type="dxa"/>
            <w:shd w:val="clear" w:color="auto" w:fill="auto"/>
            <w:tcMar>
              <w:left w:w="0" w:type="dxa"/>
            </w:tcMar>
          </w:tcPr>
          <w:p w14:paraId="676E450A" w14:textId="18E04610" w:rsidR="00C12FCC" w:rsidRPr="0044546A" w:rsidRDefault="00C12FCC" w:rsidP="00C12FCC">
            <w:pPr>
              <w:spacing w:after="160"/>
              <w:rPr>
                <w:rFonts w:cs="Arial"/>
                <w:color w:val="0D0D0D" w:themeColor="text1" w:themeTint="F2"/>
                <w:spacing w:val="-4"/>
                <w:lang w:val="en-GB"/>
              </w:rPr>
            </w:pPr>
            <w:r>
              <w:rPr>
                <w:spacing w:val="-4"/>
                <w:lang w:val="en-GB"/>
              </w:rPr>
              <w:t>Construction despite some growth supporting conditions (e.g. planned public investment into the transportation infrastructure</w:t>
            </w:r>
            <w:r w:rsidRPr="0044546A">
              <w:rPr>
                <w:rStyle w:val="Znakapoznpodarou"/>
                <w:spacing w:val="-4"/>
                <w:lang w:val="en-GB"/>
              </w:rPr>
              <w:footnoteReference w:id="19"/>
            </w:r>
            <w:r w:rsidRPr="0044546A">
              <w:rPr>
                <w:spacing w:val="-4"/>
                <w:lang w:val="en-GB"/>
              </w:rPr>
              <w:t xml:space="preserve">) </w:t>
            </w:r>
            <w:r>
              <w:rPr>
                <w:spacing w:val="-4"/>
                <w:lang w:val="en-GB"/>
              </w:rPr>
              <w:t>revived slowly. Quarter-on-quarter rate of growth of the construction output</w:t>
            </w:r>
            <w:r w:rsidRPr="0044546A">
              <w:rPr>
                <w:rStyle w:val="Znakapoznpodarou"/>
                <w:color w:val="0D0D0D" w:themeColor="text1" w:themeTint="F2"/>
                <w:spacing w:val="-2"/>
                <w:lang w:val="en-GB"/>
              </w:rPr>
              <w:footnoteReference w:id="20"/>
            </w:r>
            <w:r w:rsidRPr="0044546A">
              <w:rPr>
                <w:rFonts w:cs="Arial"/>
                <w:color w:val="0D0D0D" w:themeColor="text1" w:themeTint="F2"/>
                <w:spacing w:val="-4"/>
                <w:lang w:val="en-GB"/>
              </w:rPr>
              <w:t xml:space="preserve"> </w:t>
            </w:r>
            <w:r>
              <w:rPr>
                <w:rFonts w:cs="Arial"/>
                <w:color w:val="0D0D0D" w:themeColor="text1" w:themeTint="F2"/>
                <w:spacing w:val="-4"/>
                <w:lang w:val="en-GB"/>
              </w:rPr>
              <w:t>exceeded 2% in both Q</w:t>
            </w:r>
            <w:r w:rsidRPr="0044546A">
              <w:rPr>
                <w:rFonts w:cs="Arial"/>
                <w:color w:val="0D0D0D" w:themeColor="text1" w:themeTint="F2"/>
                <w:spacing w:val="-4"/>
                <w:lang w:val="en-GB"/>
              </w:rPr>
              <w:t>1</w:t>
            </w:r>
            <w:r>
              <w:rPr>
                <w:rFonts w:cs="Arial"/>
                <w:color w:val="0D0D0D" w:themeColor="text1" w:themeTint="F2"/>
                <w:spacing w:val="-4"/>
                <w:lang w:val="en-GB"/>
              </w:rPr>
              <w:t xml:space="preserve"> and </w:t>
            </w:r>
            <w:r w:rsidRPr="0044546A">
              <w:rPr>
                <w:rFonts w:cs="Arial"/>
                <w:color w:val="0D0D0D" w:themeColor="text1" w:themeTint="F2"/>
                <w:spacing w:val="-4"/>
                <w:lang w:val="en-GB"/>
              </w:rPr>
              <w:t>2</w:t>
            </w:r>
            <w:r>
              <w:rPr>
                <w:rFonts w:cs="Arial"/>
                <w:color w:val="0D0D0D" w:themeColor="text1" w:themeTint="F2"/>
                <w:spacing w:val="-4"/>
                <w:lang w:val="en-GB"/>
              </w:rPr>
              <w:t xml:space="preserve"> of year </w:t>
            </w:r>
            <w:r w:rsidRPr="0044546A">
              <w:rPr>
                <w:rFonts w:cs="Arial"/>
                <w:color w:val="0D0D0D" w:themeColor="text1" w:themeTint="F2"/>
                <w:spacing w:val="-4"/>
                <w:lang w:val="en-GB"/>
              </w:rPr>
              <w:t>2021</w:t>
            </w:r>
            <w:r>
              <w:rPr>
                <w:rFonts w:cs="Arial"/>
                <w:color w:val="0D0D0D" w:themeColor="text1" w:themeTint="F2"/>
                <w:spacing w:val="-4"/>
                <w:lang w:val="en-GB"/>
              </w:rPr>
              <w:t xml:space="preserve">, however the output of the whole branch dropped by </w:t>
            </w:r>
            <w:r w:rsidRPr="0044546A">
              <w:rPr>
                <w:rFonts w:cs="Arial"/>
                <w:color w:val="0D0D0D" w:themeColor="text1" w:themeTint="F2"/>
                <w:spacing w:val="-4"/>
                <w:lang w:val="en-GB"/>
              </w:rPr>
              <w:t>1</w:t>
            </w:r>
            <w:r>
              <w:rPr>
                <w:rFonts w:cs="Arial"/>
                <w:color w:val="0D0D0D" w:themeColor="text1" w:themeTint="F2"/>
                <w:spacing w:val="-4"/>
                <w:lang w:val="en-GB"/>
              </w:rPr>
              <w:t>.</w:t>
            </w:r>
            <w:r w:rsidRPr="0044546A">
              <w:rPr>
                <w:rFonts w:cs="Arial"/>
                <w:color w:val="0D0D0D" w:themeColor="text1" w:themeTint="F2"/>
                <w:spacing w:val="-4"/>
                <w:lang w:val="en-GB"/>
              </w:rPr>
              <w:t>0%</w:t>
            </w:r>
            <w:r>
              <w:rPr>
                <w:rFonts w:cs="Arial"/>
                <w:color w:val="0D0D0D" w:themeColor="text1" w:themeTint="F2"/>
                <w:spacing w:val="-4"/>
                <w:lang w:val="en-GB"/>
              </w:rPr>
              <w:t xml:space="preserve"> in Q3</w:t>
            </w:r>
            <w:r w:rsidRPr="0044546A">
              <w:rPr>
                <w:rFonts w:cs="Arial"/>
                <w:color w:val="0D0D0D" w:themeColor="text1" w:themeTint="F2"/>
                <w:spacing w:val="-4"/>
                <w:lang w:val="en-GB"/>
              </w:rPr>
              <w:t xml:space="preserve">. </w:t>
            </w:r>
            <w:r>
              <w:rPr>
                <w:rFonts w:cs="Arial"/>
                <w:color w:val="0D0D0D" w:themeColor="text1" w:themeTint="F2"/>
                <w:spacing w:val="-4"/>
                <w:lang w:val="en-GB"/>
              </w:rPr>
              <w:t>Civil engineering construction, impacted by slower drawing of public investment in the first two thirds of the year, primarily stood behind it</w:t>
            </w:r>
            <w:r w:rsidRPr="0044546A">
              <w:rPr>
                <w:rFonts w:cs="Arial"/>
                <w:color w:val="0D0D0D" w:themeColor="text1" w:themeTint="F2"/>
                <w:spacing w:val="-4"/>
                <w:lang w:val="en-GB"/>
              </w:rPr>
              <w:t xml:space="preserve">. </w:t>
            </w:r>
            <w:r>
              <w:rPr>
                <w:rFonts w:cs="Arial"/>
                <w:color w:val="0D0D0D" w:themeColor="text1" w:themeTint="F2"/>
                <w:spacing w:val="-4"/>
                <w:lang w:val="en-GB"/>
              </w:rPr>
              <w:t xml:space="preserve">In Q4, a positive turn occurred in construction </w:t>
            </w:r>
            <w:r w:rsidRPr="0044546A">
              <w:rPr>
                <w:rFonts w:cs="Arial"/>
                <w:color w:val="0D0D0D" w:themeColor="text1" w:themeTint="F2"/>
                <w:spacing w:val="-4"/>
                <w:lang w:val="en-GB"/>
              </w:rPr>
              <w:t>(+2</w:t>
            </w:r>
            <w:r>
              <w:rPr>
                <w:rFonts w:cs="Arial"/>
                <w:color w:val="0D0D0D" w:themeColor="text1" w:themeTint="F2"/>
                <w:spacing w:val="-4"/>
                <w:lang w:val="en-GB"/>
              </w:rPr>
              <w:t>.</w:t>
            </w:r>
            <w:r w:rsidRPr="0044546A">
              <w:rPr>
                <w:rFonts w:cs="Arial"/>
                <w:color w:val="0D0D0D" w:themeColor="text1" w:themeTint="F2"/>
                <w:spacing w:val="-4"/>
                <w:lang w:val="en-GB"/>
              </w:rPr>
              <w:t xml:space="preserve">2%), </w:t>
            </w:r>
            <w:r>
              <w:rPr>
                <w:rFonts w:cs="Arial"/>
                <w:color w:val="0D0D0D" w:themeColor="text1" w:themeTint="F2"/>
                <w:spacing w:val="-4"/>
                <w:lang w:val="en-GB"/>
              </w:rPr>
              <w:t xml:space="preserve">caused mainly by the building construction benefiting from the favourable development of residential construction. </w:t>
            </w:r>
          </w:p>
        </w:tc>
      </w:tr>
      <w:tr w:rsidR="00C12FCC" w:rsidRPr="00191C35" w14:paraId="09038984" w14:textId="77777777" w:rsidTr="00B3385E">
        <w:trPr>
          <w:trHeight w:val="145"/>
        </w:trPr>
        <w:tc>
          <w:tcPr>
            <w:tcW w:w="1728" w:type="dxa"/>
            <w:shd w:val="clear" w:color="auto" w:fill="auto"/>
            <w:tcMar>
              <w:left w:w="0" w:type="dxa"/>
            </w:tcMar>
          </w:tcPr>
          <w:p w14:paraId="2BA5C365" w14:textId="50E68BCC" w:rsidR="00C12FCC" w:rsidRPr="0044546A" w:rsidRDefault="00C12FCC" w:rsidP="00C12FCC">
            <w:pPr>
              <w:pStyle w:val="Marginlie"/>
              <w:rPr>
                <w:lang w:val="en-GB"/>
              </w:rPr>
            </w:pPr>
            <w:r w:rsidRPr="0044546A">
              <w:rPr>
                <w:lang w:val="en-GB"/>
              </w:rPr>
              <w:t>T</w:t>
            </w:r>
            <w:r>
              <w:rPr>
                <w:lang w:val="en-GB"/>
              </w:rPr>
              <w:t xml:space="preserve">hree years lasting growth of the civil engineering construction did not continue last year any more. Building construction was gradually regenerating. </w:t>
            </w:r>
          </w:p>
        </w:tc>
        <w:tc>
          <w:tcPr>
            <w:tcW w:w="206" w:type="dxa"/>
            <w:shd w:val="clear" w:color="auto" w:fill="auto"/>
            <w:tcMar>
              <w:left w:w="0" w:type="dxa"/>
            </w:tcMar>
          </w:tcPr>
          <w:p w14:paraId="1145CD77" w14:textId="77777777" w:rsidR="00C12FCC" w:rsidRPr="0044546A" w:rsidRDefault="00C12FCC" w:rsidP="00C12FCC">
            <w:pPr>
              <w:pStyle w:val="Textpoznpodarou"/>
              <w:jc w:val="both"/>
              <w:rPr>
                <w:spacing w:val="-4"/>
                <w:lang w:val="en-GB"/>
              </w:rPr>
            </w:pPr>
          </w:p>
        </w:tc>
        <w:tc>
          <w:tcPr>
            <w:tcW w:w="7730" w:type="dxa"/>
            <w:shd w:val="clear" w:color="auto" w:fill="auto"/>
            <w:tcMar>
              <w:left w:w="0" w:type="dxa"/>
            </w:tcMar>
          </w:tcPr>
          <w:p w14:paraId="3DE8048E" w14:textId="5DCA1312" w:rsidR="00C12FCC" w:rsidRPr="0044546A" w:rsidRDefault="00C12FCC" w:rsidP="00C12FCC">
            <w:pPr>
              <w:spacing w:after="160"/>
              <w:rPr>
                <w:rFonts w:cs="Arial"/>
                <w:color w:val="0D0D0D" w:themeColor="text1" w:themeTint="F2"/>
                <w:spacing w:val="-2"/>
                <w:lang w:val="en-GB"/>
              </w:rPr>
            </w:pPr>
            <w:r>
              <w:rPr>
                <w:rFonts w:cs="Arial"/>
                <w:color w:val="0D0D0D" w:themeColor="text1" w:themeTint="F2"/>
                <w:spacing w:val="-2"/>
                <w:lang w:val="en-GB"/>
              </w:rPr>
              <w:t>Also thanks to the development in the last months the construction output mildly grew for the whole last year</w:t>
            </w:r>
            <w:r w:rsidRPr="0044546A">
              <w:rPr>
                <w:rFonts w:cs="Arial"/>
                <w:color w:val="0D0D0D" w:themeColor="text1" w:themeTint="F2"/>
                <w:spacing w:val="-2"/>
                <w:lang w:val="en-GB"/>
              </w:rPr>
              <w:t>,</w:t>
            </w:r>
            <w:r>
              <w:rPr>
                <w:rFonts w:cs="Arial"/>
                <w:color w:val="0D0D0D" w:themeColor="text1" w:themeTint="F2"/>
                <w:spacing w:val="-2"/>
                <w:lang w:val="en-GB"/>
              </w:rPr>
              <w:t xml:space="preserve"> however exclusively due to the building construction, which strengthened by </w:t>
            </w:r>
            <w:r w:rsidRPr="0044546A">
              <w:rPr>
                <w:rFonts w:cs="Arial"/>
                <w:color w:val="0D0D0D" w:themeColor="text1" w:themeTint="F2"/>
                <w:spacing w:val="-2"/>
                <w:lang w:val="en-GB"/>
              </w:rPr>
              <w:t xml:space="preserve"> 3</w:t>
            </w:r>
            <w:r>
              <w:rPr>
                <w:rFonts w:cs="Arial"/>
                <w:color w:val="0D0D0D" w:themeColor="text1" w:themeTint="F2"/>
                <w:spacing w:val="-2"/>
                <w:lang w:val="en-GB"/>
              </w:rPr>
              <w:t>.</w:t>
            </w:r>
            <w:r w:rsidRPr="0044546A">
              <w:rPr>
                <w:rFonts w:cs="Arial"/>
                <w:color w:val="0D0D0D" w:themeColor="text1" w:themeTint="F2"/>
                <w:spacing w:val="-2"/>
                <w:lang w:val="en-GB"/>
              </w:rPr>
              <w:t>5%.</w:t>
            </w:r>
            <w:r>
              <w:rPr>
                <w:rFonts w:cs="Arial"/>
                <w:color w:val="0D0D0D" w:themeColor="text1" w:themeTint="F2"/>
                <w:spacing w:val="-2"/>
                <w:lang w:val="en-GB"/>
              </w:rPr>
              <w:t xml:space="preserve"> In contrast, the three years lasting growth of the civil engineering construction, supported by rising drawing on the European funds, halted last year </w:t>
            </w:r>
            <w:r w:rsidRPr="0044546A">
              <w:rPr>
                <w:rFonts w:cs="Arial"/>
                <w:color w:val="0D0D0D" w:themeColor="text1" w:themeTint="F2"/>
                <w:spacing w:val="-2"/>
                <w:lang w:val="en-GB"/>
              </w:rPr>
              <w:t>(–0</w:t>
            </w:r>
            <w:r>
              <w:rPr>
                <w:rFonts w:cs="Arial"/>
                <w:color w:val="0D0D0D" w:themeColor="text1" w:themeTint="F2"/>
                <w:spacing w:val="-2"/>
                <w:lang w:val="en-GB"/>
              </w:rPr>
              <w:t>.</w:t>
            </w:r>
            <w:r w:rsidRPr="0044546A">
              <w:rPr>
                <w:rFonts w:cs="Arial"/>
                <w:color w:val="0D0D0D" w:themeColor="text1" w:themeTint="F2"/>
                <w:spacing w:val="-2"/>
                <w:lang w:val="en-GB"/>
              </w:rPr>
              <w:t xml:space="preserve">2%). </w:t>
            </w:r>
            <w:r>
              <w:rPr>
                <w:rFonts w:cs="Arial"/>
                <w:color w:val="0D0D0D" w:themeColor="text1" w:themeTint="F2"/>
                <w:spacing w:val="-2"/>
                <w:lang w:val="en-GB"/>
              </w:rPr>
              <w:t>Building construction however continued in slump from year 2</w:t>
            </w:r>
            <w:r w:rsidRPr="0044546A">
              <w:rPr>
                <w:rFonts w:cs="Arial"/>
                <w:color w:val="0D0D0D" w:themeColor="text1" w:themeTint="F2"/>
                <w:spacing w:val="-2"/>
                <w:lang w:val="en-GB"/>
              </w:rPr>
              <w:t>020 (</w:t>
            </w:r>
            <w:r w:rsidRPr="0044546A">
              <w:rPr>
                <w:color w:val="0D0D0D" w:themeColor="text1" w:themeTint="F2"/>
                <w:spacing w:val="-2"/>
                <w:lang w:val="en-GB"/>
              </w:rPr>
              <w:t>–</w:t>
            </w:r>
            <w:r w:rsidRPr="0044546A">
              <w:rPr>
                <w:rFonts w:cs="Arial"/>
                <w:color w:val="0D0D0D" w:themeColor="text1" w:themeTint="F2"/>
                <w:spacing w:val="-2"/>
                <w:lang w:val="en-GB"/>
              </w:rPr>
              <w:t>9</w:t>
            </w:r>
            <w:r>
              <w:rPr>
                <w:rFonts w:cs="Arial"/>
                <w:color w:val="0D0D0D" w:themeColor="text1" w:themeTint="F2"/>
                <w:spacing w:val="-2"/>
                <w:lang w:val="en-GB"/>
              </w:rPr>
              <w:t>.</w:t>
            </w:r>
            <w:r w:rsidRPr="0044546A">
              <w:rPr>
                <w:rFonts w:cs="Arial"/>
                <w:color w:val="0D0D0D" w:themeColor="text1" w:themeTint="F2"/>
                <w:spacing w:val="-2"/>
                <w:lang w:val="en-GB"/>
              </w:rPr>
              <w:t xml:space="preserve">0%), </w:t>
            </w:r>
            <w:r>
              <w:rPr>
                <w:rFonts w:cs="Arial"/>
                <w:color w:val="0D0D0D" w:themeColor="text1" w:themeTint="F2"/>
                <w:spacing w:val="-2"/>
                <w:lang w:val="en-GB"/>
              </w:rPr>
              <w:t xml:space="preserve">which was the deepest in the comparable 20year time series. </w:t>
            </w:r>
          </w:p>
        </w:tc>
      </w:tr>
      <w:tr w:rsidR="00C12FCC" w:rsidRPr="00191C35" w14:paraId="3EFF082A" w14:textId="77777777" w:rsidTr="00B3385E">
        <w:trPr>
          <w:trHeight w:val="145"/>
        </w:trPr>
        <w:tc>
          <w:tcPr>
            <w:tcW w:w="1728" w:type="dxa"/>
            <w:shd w:val="clear" w:color="auto" w:fill="auto"/>
            <w:tcMar>
              <w:left w:w="0" w:type="dxa"/>
            </w:tcMar>
          </w:tcPr>
          <w:p w14:paraId="594D448C" w14:textId="77777777" w:rsidR="00C12FCC" w:rsidRPr="00DA21B0" w:rsidRDefault="00C12FCC" w:rsidP="00C12FCC">
            <w:pPr>
              <w:pStyle w:val="Marginlie"/>
              <w:rPr>
                <w:lang w:val="en-GB"/>
              </w:rPr>
            </w:pPr>
            <w:r>
              <w:rPr>
                <w:lang w:val="en-GB"/>
              </w:rPr>
              <w:t>Number of commenced flats slightly exceeded the so far record construction from year 2</w:t>
            </w:r>
            <w:r w:rsidRPr="00DA21B0">
              <w:rPr>
                <w:lang w:val="en-GB"/>
              </w:rPr>
              <w:t xml:space="preserve">007. </w:t>
            </w:r>
            <w:r>
              <w:rPr>
                <w:lang w:val="en-GB"/>
              </w:rPr>
              <w:t xml:space="preserve">Especially the </w:t>
            </w:r>
            <w:r>
              <w:rPr>
                <w:lang w:val="en-GB"/>
              </w:rPr>
              <w:lastRenderedPageBreak/>
              <w:t xml:space="preserve">construction of flats in the residential buildings grew in Prague and Central Bohemia. </w:t>
            </w:r>
          </w:p>
          <w:p w14:paraId="044B9404" w14:textId="77777777" w:rsidR="00C12FCC" w:rsidRPr="00DA21B0" w:rsidRDefault="00C12FCC" w:rsidP="00C12FCC">
            <w:pPr>
              <w:pStyle w:val="Marginlie"/>
              <w:rPr>
                <w:lang w:val="en-GB"/>
              </w:rPr>
            </w:pPr>
          </w:p>
          <w:p w14:paraId="627A192B" w14:textId="77777777" w:rsidR="00C12FCC" w:rsidRPr="00DA21B0" w:rsidRDefault="00C12FCC" w:rsidP="00C12FCC">
            <w:pPr>
              <w:pStyle w:val="Marginlie"/>
              <w:rPr>
                <w:lang w:val="en-GB"/>
              </w:rPr>
            </w:pPr>
          </w:p>
          <w:p w14:paraId="1043DEFB" w14:textId="01247DE9" w:rsidR="00C12FCC" w:rsidRPr="0044546A" w:rsidRDefault="00C12FCC" w:rsidP="00C12FCC">
            <w:pPr>
              <w:pStyle w:val="Marginlie"/>
              <w:rPr>
                <w:lang w:val="en-GB"/>
              </w:rPr>
            </w:pPr>
            <w:r w:rsidRPr="00DA21B0">
              <w:rPr>
                <w:lang w:val="en-GB"/>
              </w:rPr>
              <w:t xml:space="preserve">Number of completed flats stagnated year-on-year. </w:t>
            </w:r>
          </w:p>
        </w:tc>
        <w:tc>
          <w:tcPr>
            <w:tcW w:w="206" w:type="dxa"/>
            <w:shd w:val="clear" w:color="auto" w:fill="auto"/>
            <w:tcMar>
              <w:left w:w="0" w:type="dxa"/>
            </w:tcMar>
          </w:tcPr>
          <w:p w14:paraId="16CE01E7" w14:textId="77777777" w:rsidR="00C12FCC" w:rsidRPr="0044546A" w:rsidRDefault="00C12FCC" w:rsidP="00C12FCC">
            <w:pPr>
              <w:pStyle w:val="Textpoznpodarou"/>
              <w:jc w:val="both"/>
              <w:rPr>
                <w:spacing w:val="-4"/>
                <w:lang w:val="en-GB"/>
              </w:rPr>
            </w:pPr>
          </w:p>
        </w:tc>
        <w:tc>
          <w:tcPr>
            <w:tcW w:w="7730" w:type="dxa"/>
            <w:shd w:val="clear" w:color="auto" w:fill="auto"/>
            <w:tcMar>
              <w:left w:w="0" w:type="dxa"/>
            </w:tcMar>
          </w:tcPr>
          <w:p w14:paraId="782BAFAA" w14:textId="6FFF0DB6" w:rsidR="00C12FCC" w:rsidRDefault="00C12FCC" w:rsidP="00C12FCC">
            <w:pPr>
              <w:spacing w:after="160"/>
              <w:rPr>
                <w:rFonts w:cs="Arial"/>
                <w:color w:val="0D0D0D" w:themeColor="text1" w:themeTint="F2"/>
                <w:spacing w:val="-2"/>
                <w:lang w:val="en-GB"/>
              </w:rPr>
            </w:pPr>
            <w:r>
              <w:rPr>
                <w:rFonts w:cs="Arial"/>
                <w:color w:val="0D0D0D" w:themeColor="text1" w:themeTint="F2"/>
                <w:spacing w:val="-4"/>
                <w:lang w:val="en-GB"/>
              </w:rPr>
              <w:t xml:space="preserve">Even though whole construction was not immediately hit by the counter pandemic restrictions in year </w:t>
            </w:r>
            <w:r w:rsidRPr="00DA21B0">
              <w:rPr>
                <w:rFonts w:cs="Arial"/>
                <w:color w:val="0D0D0D" w:themeColor="text1" w:themeTint="F2"/>
                <w:spacing w:val="-4"/>
                <w:lang w:val="en-GB"/>
              </w:rPr>
              <w:t>2021</w:t>
            </w:r>
            <w:r>
              <w:rPr>
                <w:rFonts w:cs="Arial"/>
                <w:color w:val="0D0D0D" w:themeColor="text1" w:themeTint="F2"/>
                <w:spacing w:val="-4"/>
                <w:lang w:val="en-GB"/>
              </w:rPr>
              <w:t xml:space="preserve">, the impacts of the measures from two years ago still had an effect </w:t>
            </w:r>
            <w:r w:rsidRPr="00DA21B0">
              <w:rPr>
                <w:rFonts w:cs="Arial"/>
                <w:color w:val="0D0D0D" w:themeColor="text1" w:themeTint="F2"/>
                <w:spacing w:val="-4"/>
                <w:lang w:val="en-GB"/>
              </w:rPr>
              <w:t>(</w:t>
            </w:r>
            <w:r>
              <w:rPr>
                <w:rFonts w:cs="Arial"/>
                <w:color w:val="0D0D0D" w:themeColor="text1" w:themeTint="F2"/>
                <w:spacing w:val="-4"/>
                <w:lang w:val="en-GB"/>
              </w:rPr>
              <w:t>in administrative complexity of construction preparation or mobility of foreign workers</w:t>
            </w:r>
            <w:r w:rsidRPr="00DA21B0">
              <w:rPr>
                <w:rFonts w:cs="Arial"/>
                <w:color w:val="0D0D0D" w:themeColor="text1" w:themeTint="F2"/>
                <w:spacing w:val="-4"/>
                <w:lang w:val="en-GB"/>
              </w:rPr>
              <w:t>).</w:t>
            </w:r>
            <w:r w:rsidRPr="00DA21B0">
              <w:rPr>
                <w:spacing w:val="-4"/>
                <w:lang w:val="en-GB"/>
              </w:rPr>
              <w:t xml:space="preserve"> </w:t>
            </w:r>
            <w:r>
              <w:rPr>
                <w:spacing w:val="-4"/>
                <w:lang w:val="en-GB"/>
              </w:rPr>
              <w:t xml:space="preserve">However, after the retreat of Spring pandemic wave, the conditions for construction </w:t>
            </w:r>
            <w:r>
              <w:rPr>
                <w:spacing w:val="-4"/>
                <w:lang w:val="en-GB"/>
              </w:rPr>
              <w:lastRenderedPageBreak/>
              <w:t>improved, which was for instance evident in the commenced residential construction</w:t>
            </w:r>
            <w:r w:rsidRPr="00DA21B0">
              <w:rPr>
                <w:spacing w:val="-4"/>
                <w:lang w:val="en-GB"/>
              </w:rPr>
              <w:t>.</w:t>
            </w:r>
            <w:r>
              <w:rPr>
                <w:spacing w:val="-4"/>
                <w:lang w:val="en-GB"/>
              </w:rPr>
              <w:t xml:space="preserve"> Mostly thanks to the unusually strong Q</w:t>
            </w:r>
            <w:r w:rsidRPr="00DA21B0">
              <w:rPr>
                <w:spacing w:val="-4"/>
                <w:lang w:val="en-GB"/>
              </w:rPr>
              <w:t>2</w:t>
            </w:r>
            <w:r>
              <w:rPr>
                <w:spacing w:val="-4"/>
                <w:lang w:val="en-GB"/>
              </w:rPr>
              <w:t xml:space="preserve">, the number of commenced flats thus reached the record in the contemporary history of the CR of </w:t>
            </w:r>
            <w:r w:rsidRPr="00DA21B0">
              <w:rPr>
                <w:spacing w:val="-4"/>
                <w:lang w:val="en-GB"/>
              </w:rPr>
              <w:t>45</w:t>
            </w:r>
            <w:r>
              <w:rPr>
                <w:spacing w:val="-4"/>
                <w:lang w:val="en-GB"/>
              </w:rPr>
              <w:t>.</w:t>
            </w:r>
            <w:r w:rsidRPr="00DA21B0">
              <w:rPr>
                <w:spacing w:val="-4"/>
                <w:lang w:val="en-GB"/>
              </w:rPr>
              <w:t>0 t</w:t>
            </w:r>
            <w:r>
              <w:rPr>
                <w:spacing w:val="-4"/>
                <w:lang w:val="en-GB"/>
              </w:rPr>
              <w:t>housand for the whole last year</w:t>
            </w:r>
            <w:r w:rsidRPr="00DA21B0">
              <w:rPr>
                <w:spacing w:val="-4"/>
                <w:lang w:val="en-GB"/>
              </w:rPr>
              <w:t xml:space="preserve">. </w:t>
            </w:r>
            <w:r>
              <w:rPr>
                <w:spacing w:val="-4"/>
                <w:lang w:val="en-GB"/>
              </w:rPr>
              <w:t xml:space="preserve">The year-on-year strengthening of construction </w:t>
            </w:r>
            <w:r w:rsidRPr="00DA21B0">
              <w:rPr>
                <w:spacing w:val="-4"/>
                <w:lang w:val="en-GB"/>
              </w:rPr>
              <w:t>(</w:t>
            </w:r>
            <w:r>
              <w:rPr>
                <w:spacing w:val="-4"/>
                <w:lang w:val="en-GB"/>
              </w:rPr>
              <w:t>by</w:t>
            </w:r>
            <w:r w:rsidRPr="00DA21B0">
              <w:rPr>
                <w:spacing w:val="-4"/>
                <w:lang w:val="en-GB"/>
              </w:rPr>
              <w:t> 28%)</w:t>
            </w:r>
            <w:r>
              <w:rPr>
                <w:spacing w:val="-4"/>
                <w:lang w:val="en-GB"/>
              </w:rPr>
              <w:t xml:space="preserve"> was also unprecedented</w:t>
            </w:r>
            <w:r w:rsidRPr="00DA21B0">
              <w:rPr>
                <w:spacing w:val="-4"/>
                <w:lang w:val="en-GB"/>
              </w:rPr>
              <w:t>,</w:t>
            </w:r>
            <w:r>
              <w:rPr>
                <w:spacing w:val="-4"/>
                <w:lang w:val="en-GB"/>
              </w:rPr>
              <w:t xml:space="preserve"> mainly thanks to the flats in the residential buildings. Even though the total construction expanded in </w:t>
            </w:r>
            <w:r w:rsidRPr="00DA21B0">
              <w:rPr>
                <w:spacing w:val="-4"/>
                <w:lang w:val="en-GB"/>
              </w:rPr>
              <w:t>12</w:t>
            </w:r>
            <w:r>
              <w:rPr>
                <w:spacing w:val="-4"/>
                <w:lang w:val="en-GB"/>
              </w:rPr>
              <w:t xml:space="preserve"> from </w:t>
            </w:r>
            <w:r w:rsidRPr="00DA21B0">
              <w:rPr>
                <w:spacing w:val="-4"/>
                <w:lang w:val="en-GB"/>
              </w:rPr>
              <w:t>14</w:t>
            </w:r>
            <w:r>
              <w:rPr>
                <w:spacing w:val="-4"/>
                <w:lang w:val="en-GB"/>
              </w:rPr>
              <w:t xml:space="preserve"> regions</w:t>
            </w:r>
            <w:r w:rsidRPr="00DA21B0">
              <w:rPr>
                <w:spacing w:val="-4"/>
                <w:lang w:val="en-GB"/>
              </w:rPr>
              <w:t>, Pra</w:t>
            </w:r>
            <w:r>
              <w:rPr>
                <w:spacing w:val="-4"/>
                <w:lang w:val="en-GB"/>
              </w:rPr>
              <w:t>gue and Central Bohemia were behind the growth for the major part last year</w:t>
            </w:r>
            <w:r w:rsidRPr="00DA21B0">
              <w:rPr>
                <w:spacing w:val="-4"/>
                <w:lang w:val="en-GB"/>
              </w:rPr>
              <w:t xml:space="preserve">. </w:t>
            </w:r>
            <w:r>
              <w:rPr>
                <w:spacing w:val="-4"/>
                <w:lang w:val="en-GB"/>
              </w:rPr>
              <w:t xml:space="preserve">Number of finished dwellings only stagnated in the CR last year </w:t>
            </w:r>
            <w:r w:rsidRPr="00DA21B0">
              <w:rPr>
                <w:spacing w:val="-4"/>
                <w:lang w:val="en-GB"/>
              </w:rPr>
              <w:t>(</w:t>
            </w:r>
            <w:r>
              <w:rPr>
                <w:spacing w:val="-4"/>
                <w:lang w:val="en-GB"/>
              </w:rPr>
              <w:t xml:space="preserve">to </w:t>
            </w:r>
            <w:r w:rsidRPr="00DA21B0">
              <w:rPr>
                <w:spacing w:val="-4"/>
                <w:lang w:val="en-GB"/>
              </w:rPr>
              <w:t>34</w:t>
            </w:r>
            <w:r>
              <w:rPr>
                <w:spacing w:val="-4"/>
                <w:lang w:val="en-GB"/>
              </w:rPr>
              <w:t>.</w:t>
            </w:r>
            <w:r w:rsidRPr="00DA21B0">
              <w:rPr>
                <w:spacing w:val="-4"/>
                <w:lang w:val="en-GB"/>
              </w:rPr>
              <w:t>6 t</w:t>
            </w:r>
            <w:r>
              <w:rPr>
                <w:spacing w:val="-4"/>
                <w:lang w:val="en-GB"/>
              </w:rPr>
              <w:t>housand</w:t>
            </w:r>
            <w:r w:rsidRPr="00DA21B0">
              <w:rPr>
                <w:spacing w:val="-4"/>
                <w:lang w:val="en-GB"/>
              </w:rPr>
              <w:t>)</w:t>
            </w:r>
            <w:r>
              <w:rPr>
                <w:spacing w:val="-4"/>
                <w:lang w:val="en-GB"/>
              </w:rPr>
              <w:t xml:space="preserve"> and it lagged by one sixth behind the year </w:t>
            </w:r>
            <w:r w:rsidRPr="00DA21B0">
              <w:rPr>
                <w:spacing w:val="-4"/>
                <w:lang w:val="en-GB"/>
              </w:rPr>
              <w:t xml:space="preserve">2007. </w:t>
            </w:r>
            <w:r>
              <w:rPr>
                <w:spacing w:val="-4"/>
                <w:lang w:val="en-GB"/>
              </w:rPr>
              <w:t xml:space="preserve">There were even the least flats in the family houses created for the last four years. Sharply raised prices of construction materials as well as work could have contributed to the large number of not completed constructions </w:t>
            </w:r>
            <w:r w:rsidRPr="00DA21B0">
              <w:rPr>
                <w:spacing w:val="-4"/>
                <w:lang w:val="en-GB"/>
              </w:rPr>
              <w:t>a</w:t>
            </w:r>
            <w:r>
              <w:rPr>
                <w:spacing w:val="-4"/>
                <w:lang w:val="en-GB"/>
              </w:rPr>
              <w:t xml:space="preserve">nd thus also prolongation of the average time of construction. </w:t>
            </w:r>
          </w:p>
        </w:tc>
      </w:tr>
      <w:tr w:rsidR="00C12FCC" w:rsidRPr="00191C35" w14:paraId="6B9A6403" w14:textId="77777777" w:rsidTr="00B3385E">
        <w:trPr>
          <w:trHeight w:val="145"/>
        </w:trPr>
        <w:tc>
          <w:tcPr>
            <w:tcW w:w="1728" w:type="dxa"/>
            <w:shd w:val="clear" w:color="auto" w:fill="auto"/>
            <w:tcMar>
              <w:left w:w="0" w:type="dxa"/>
            </w:tcMar>
          </w:tcPr>
          <w:p w14:paraId="67BF3CD5" w14:textId="77777777" w:rsidR="00C12FCC" w:rsidRDefault="00C12FCC" w:rsidP="00C12FCC">
            <w:pPr>
              <w:pStyle w:val="Marginlie"/>
            </w:pPr>
          </w:p>
        </w:tc>
        <w:tc>
          <w:tcPr>
            <w:tcW w:w="206" w:type="dxa"/>
            <w:shd w:val="clear" w:color="auto" w:fill="auto"/>
            <w:tcMar>
              <w:left w:w="0" w:type="dxa"/>
            </w:tcMar>
          </w:tcPr>
          <w:p w14:paraId="2E8D93D8" w14:textId="77777777" w:rsidR="00C12FCC" w:rsidRPr="00B43216" w:rsidRDefault="00C12FCC" w:rsidP="00C12FCC">
            <w:pPr>
              <w:pStyle w:val="Textpoznpodarou"/>
              <w:jc w:val="both"/>
              <w:rPr>
                <w:spacing w:val="-4"/>
              </w:rPr>
            </w:pPr>
          </w:p>
        </w:tc>
        <w:tc>
          <w:tcPr>
            <w:tcW w:w="7730" w:type="dxa"/>
            <w:shd w:val="clear" w:color="auto" w:fill="auto"/>
            <w:tcMar>
              <w:left w:w="0" w:type="dxa"/>
            </w:tcMar>
          </w:tcPr>
          <w:p w14:paraId="086D7E7E" w14:textId="34FCF363" w:rsidR="00C12FCC" w:rsidRPr="006E759E" w:rsidRDefault="00C12FCC" w:rsidP="00C12FCC">
            <w:pPr>
              <w:spacing w:after="0"/>
              <w:rPr>
                <w:spacing w:val="-5"/>
              </w:rPr>
            </w:pPr>
            <w:r>
              <w:rPr>
                <w:b/>
                <w:spacing w:val="-5"/>
              </w:rPr>
              <w:t xml:space="preserve">Chart </w:t>
            </w:r>
            <w:r w:rsidRPr="006E759E">
              <w:rPr>
                <w:b/>
                <w:spacing w:val="-5"/>
              </w:rPr>
              <w:t xml:space="preserve">6  </w:t>
            </w:r>
            <w:r w:rsidRPr="00357C56">
              <w:rPr>
                <w:b/>
                <w:spacing w:val="-4"/>
                <w:lang w:val="en-GB"/>
              </w:rPr>
              <w:t xml:space="preserve">Contributions of branches to year-on-year change of construction output </w:t>
            </w:r>
            <w:r w:rsidRPr="00357C56">
              <w:rPr>
                <w:spacing w:val="-4"/>
                <w:lang w:val="en-GB"/>
              </w:rPr>
              <w:t>(</w:t>
            </w:r>
            <w:r>
              <w:rPr>
                <w:spacing w:val="-4"/>
                <w:lang w:val="en-GB"/>
              </w:rPr>
              <w:t xml:space="preserve">real, </w:t>
            </w:r>
            <w:r w:rsidRPr="00357C56">
              <w:rPr>
                <w:spacing w:val="-4"/>
                <w:lang w:val="en-GB"/>
              </w:rPr>
              <w:t>in p.p.)</w:t>
            </w:r>
            <w:r w:rsidRPr="00357C56">
              <w:rPr>
                <w:b/>
                <w:bCs/>
                <w:spacing w:val="-4"/>
                <w:lang w:val="en-GB"/>
              </w:rPr>
              <w:t>, new construction orders</w:t>
            </w:r>
            <w:r w:rsidRPr="00357C56">
              <w:rPr>
                <w:b/>
                <w:spacing w:val="-4"/>
                <w:lang w:val="en-GB"/>
              </w:rPr>
              <w:t xml:space="preserve"> </w:t>
            </w:r>
            <w:r w:rsidRPr="00357C56">
              <w:rPr>
                <w:bCs/>
                <w:spacing w:val="-4"/>
                <w:lang w:val="en-GB"/>
              </w:rPr>
              <w:t>(</w:t>
            </w:r>
            <w:r>
              <w:rPr>
                <w:bCs/>
                <w:spacing w:val="-4"/>
                <w:lang w:val="en-GB"/>
              </w:rPr>
              <w:t xml:space="preserve">nominal, </w:t>
            </w:r>
            <w:r w:rsidRPr="00357C56">
              <w:rPr>
                <w:bCs/>
                <w:spacing w:val="-4"/>
                <w:lang w:val="en-GB"/>
              </w:rPr>
              <w:t>year-on-year in %</w:t>
            </w:r>
            <w:r>
              <w:rPr>
                <w:bCs/>
                <w:spacing w:val="-4"/>
                <w:lang w:val="en-GB"/>
              </w:rPr>
              <w:t>, right axis</w:t>
            </w:r>
            <w:r w:rsidRPr="00357C56">
              <w:rPr>
                <w:bCs/>
                <w:spacing w:val="-4"/>
                <w:lang w:val="en-GB"/>
              </w:rPr>
              <w:t>)</w:t>
            </w:r>
            <w:r w:rsidRPr="00357C56">
              <w:rPr>
                <w:b/>
                <w:spacing w:val="-4"/>
                <w:lang w:val="en-GB"/>
              </w:rPr>
              <w:t>, balance of confidence indicator in construction*</w:t>
            </w:r>
            <w:r>
              <w:rPr>
                <w:spacing w:val="-4"/>
                <w:lang w:val="en-GB"/>
              </w:rPr>
              <w:t xml:space="preserve"> (in p.p., right axis) </w:t>
            </w:r>
            <w:r w:rsidRPr="00165DF4">
              <w:rPr>
                <w:b/>
                <w:bCs/>
                <w:spacing w:val="-4"/>
                <w:lang w:val="en-GB"/>
              </w:rPr>
              <w:t>and</w:t>
            </w:r>
            <w:r>
              <w:rPr>
                <w:spacing w:val="-4"/>
                <w:lang w:val="en-GB"/>
              </w:rPr>
              <w:t xml:space="preserve"> </w:t>
            </w:r>
            <w:r w:rsidRPr="00357C56">
              <w:rPr>
                <w:b/>
                <w:spacing w:val="-4"/>
                <w:lang w:val="en-GB"/>
              </w:rPr>
              <w:t>selected barriers to growth</w:t>
            </w:r>
            <w:r>
              <w:rPr>
                <w:spacing w:val="-4"/>
                <w:lang w:val="en-GB"/>
              </w:rPr>
              <w:t>* (in %, right axis)</w:t>
            </w:r>
          </w:p>
        </w:tc>
      </w:tr>
      <w:tr w:rsidR="00C12FCC" w:rsidRPr="00191C35" w14:paraId="11D86604" w14:textId="77777777" w:rsidTr="00F54F86">
        <w:tblPrEx>
          <w:tblCellMar>
            <w:left w:w="70" w:type="dxa"/>
            <w:right w:w="70" w:type="dxa"/>
          </w:tblCellMar>
        </w:tblPrEx>
        <w:trPr>
          <w:trHeight w:val="145"/>
        </w:trPr>
        <w:tc>
          <w:tcPr>
            <w:tcW w:w="1728" w:type="dxa"/>
            <w:shd w:val="clear" w:color="auto" w:fill="auto"/>
          </w:tcPr>
          <w:p w14:paraId="1CFBC8CB" w14:textId="77777777" w:rsidR="00C12FCC" w:rsidRDefault="00C12FCC" w:rsidP="00C12FCC">
            <w:pPr>
              <w:pStyle w:val="Marginlie"/>
            </w:pPr>
          </w:p>
        </w:tc>
        <w:tc>
          <w:tcPr>
            <w:tcW w:w="206" w:type="dxa"/>
            <w:shd w:val="clear" w:color="auto" w:fill="auto"/>
          </w:tcPr>
          <w:p w14:paraId="0252D769" w14:textId="77777777" w:rsidR="00C12FCC" w:rsidRPr="00B43216" w:rsidRDefault="00C12FCC" w:rsidP="00C12FCC">
            <w:pPr>
              <w:pStyle w:val="Textpoznpodarou"/>
              <w:jc w:val="both"/>
              <w:rPr>
                <w:spacing w:val="-4"/>
              </w:rPr>
            </w:pPr>
          </w:p>
        </w:tc>
        <w:tc>
          <w:tcPr>
            <w:tcW w:w="7730" w:type="dxa"/>
            <w:shd w:val="clear" w:color="auto" w:fill="auto"/>
          </w:tcPr>
          <w:p w14:paraId="3F1E8B72" w14:textId="09A53304" w:rsidR="00C12FCC" w:rsidRPr="003E01D3" w:rsidRDefault="00C12FCC" w:rsidP="00C12FCC">
            <w:pPr>
              <w:spacing w:after="0"/>
              <w:rPr>
                <w:b/>
                <w:spacing w:val="-4"/>
              </w:rPr>
            </w:pPr>
            <w:r>
              <w:rPr>
                <w:noProof/>
              </w:rPr>
              <w:drawing>
                <wp:inline distT="0" distB="0" distL="0" distR="0" wp14:anchorId="21A2C432" wp14:editId="1EA936AF">
                  <wp:extent cx="4817994" cy="3626053"/>
                  <wp:effectExtent l="0" t="0" r="1905" b="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C12FCC" w:rsidRPr="00191C35" w14:paraId="470747E1" w14:textId="77777777" w:rsidTr="00B3385E">
        <w:trPr>
          <w:trHeight w:val="145"/>
        </w:trPr>
        <w:tc>
          <w:tcPr>
            <w:tcW w:w="1728" w:type="dxa"/>
            <w:shd w:val="clear" w:color="auto" w:fill="auto"/>
            <w:tcMar>
              <w:left w:w="0" w:type="dxa"/>
            </w:tcMar>
          </w:tcPr>
          <w:p w14:paraId="35CE6A84" w14:textId="77777777" w:rsidR="00C12FCC" w:rsidRDefault="00C12FCC" w:rsidP="00C12FCC">
            <w:pPr>
              <w:pStyle w:val="Marginlie"/>
            </w:pPr>
          </w:p>
        </w:tc>
        <w:tc>
          <w:tcPr>
            <w:tcW w:w="206" w:type="dxa"/>
            <w:shd w:val="clear" w:color="auto" w:fill="auto"/>
            <w:tcMar>
              <w:left w:w="0" w:type="dxa"/>
            </w:tcMar>
          </w:tcPr>
          <w:p w14:paraId="4AD9133C" w14:textId="77777777" w:rsidR="00C12FCC" w:rsidRPr="00B43216" w:rsidRDefault="00C12FCC" w:rsidP="00C12FCC">
            <w:pPr>
              <w:pStyle w:val="Textpoznpodarou"/>
              <w:jc w:val="both"/>
              <w:rPr>
                <w:spacing w:val="-4"/>
              </w:rPr>
            </w:pPr>
          </w:p>
        </w:tc>
        <w:tc>
          <w:tcPr>
            <w:tcW w:w="7730" w:type="dxa"/>
            <w:shd w:val="clear" w:color="auto" w:fill="auto"/>
            <w:tcMar>
              <w:left w:w="0" w:type="dxa"/>
            </w:tcMar>
          </w:tcPr>
          <w:p w14:paraId="64F79DA2" w14:textId="77777777" w:rsidR="00C12FCC" w:rsidRDefault="00C12FCC" w:rsidP="00C12FCC">
            <w:pPr>
              <w:spacing w:after="0"/>
              <w:rPr>
                <w:rFonts w:cs="Arial"/>
                <w:sz w:val="14"/>
                <w:szCs w:val="14"/>
                <w:lang w:val="en-GB"/>
              </w:rPr>
            </w:pPr>
            <w:r w:rsidRPr="001A1529">
              <w:rPr>
                <w:rFonts w:cs="Arial"/>
                <w:sz w:val="14"/>
                <w:szCs w:val="14"/>
                <w:lang w:val="en-GB"/>
              </w:rPr>
              <w:t xml:space="preserve">Note: </w:t>
            </w:r>
            <w:r w:rsidRPr="001A1529">
              <w:rPr>
                <w:rFonts w:cs="Arial"/>
                <w:spacing w:val="-7"/>
                <w:sz w:val="14"/>
                <w:szCs w:val="14"/>
                <w:lang w:val="en-GB"/>
              </w:rPr>
              <w:t>Data</w:t>
            </w:r>
            <w:r>
              <w:rPr>
                <w:rFonts w:cs="Arial"/>
                <w:spacing w:val="-7"/>
                <w:sz w:val="14"/>
                <w:szCs w:val="14"/>
                <w:lang w:val="en-GB"/>
              </w:rPr>
              <w:t xml:space="preserve"> related to construction output are adjusted for calendar effects. </w:t>
            </w:r>
          </w:p>
          <w:p w14:paraId="37461444" w14:textId="6DCE7044" w:rsidR="00C12FCC" w:rsidRDefault="00C12FCC" w:rsidP="00C12FCC">
            <w:pPr>
              <w:spacing w:after="0"/>
              <w:rPr>
                <w:rFonts w:cs="Arial"/>
                <w:sz w:val="14"/>
                <w:szCs w:val="14"/>
                <w:lang w:val="en-GB"/>
              </w:rPr>
            </w:pPr>
            <w:r w:rsidRPr="00883202">
              <w:rPr>
                <w:rFonts w:cs="Arial"/>
                <w:sz w:val="14"/>
                <w:szCs w:val="14"/>
              </w:rPr>
              <w:t>*</w:t>
            </w:r>
            <w:r>
              <w:rPr>
                <w:rFonts w:cs="Arial"/>
                <w:sz w:val="14"/>
                <w:szCs w:val="14"/>
                <w:lang w:val="en-GB"/>
              </w:rPr>
              <w:t xml:space="preserve"> Balance of confidence as well as barriers to growth are seasonally adjusted and express the state in the second month of the given quarter. Businesses could have state more main barriers simultaneously. </w:t>
            </w:r>
          </w:p>
          <w:p w14:paraId="1BD149C2" w14:textId="2E8890CA" w:rsidR="00C12FCC" w:rsidRPr="00FC6785" w:rsidRDefault="00C12FCC" w:rsidP="00C12FCC">
            <w:pPr>
              <w:tabs>
                <w:tab w:val="right" w:pos="7711"/>
              </w:tabs>
              <w:spacing w:after="200"/>
              <w:rPr>
                <w:rFonts w:cs="Arial"/>
                <w:sz w:val="14"/>
                <w:szCs w:val="14"/>
              </w:rPr>
            </w:pPr>
            <w:r>
              <w:rPr>
                <w:rFonts w:cs="Arial"/>
                <w:sz w:val="14"/>
                <w:szCs w:val="14"/>
              </w:rPr>
              <w:tab/>
              <w:t>Source</w:t>
            </w:r>
            <w:r w:rsidRPr="00883202">
              <w:rPr>
                <w:rFonts w:cs="Arial"/>
                <w:sz w:val="14"/>
                <w:szCs w:val="14"/>
              </w:rPr>
              <w:t xml:space="preserve">: </w:t>
            </w:r>
            <w:r>
              <w:rPr>
                <w:rFonts w:cs="Arial"/>
                <w:sz w:val="14"/>
                <w:szCs w:val="14"/>
              </w:rPr>
              <w:t>CZSO, Eurostat</w:t>
            </w:r>
          </w:p>
        </w:tc>
      </w:tr>
      <w:tr w:rsidR="00C12FCC" w:rsidRPr="00191C35" w14:paraId="7A5200FD" w14:textId="77777777" w:rsidTr="00B3385E">
        <w:trPr>
          <w:trHeight w:val="145"/>
        </w:trPr>
        <w:tc>
          <w:tcPr>
            <w:tcW w:w="1728" w:type="dxa"/>
            <w:shd w:val="clear" w:color="auto" w:fill="auto"/>
            <w:tcMar>
              <w:left w:w="0" w:type="dxa"/>
            </w:tcMar>
          </w:tcPr>
          <w:p w14:paraId="74D1FA2A" w14:textId="43E15C9D" w:rsidR="00C12FCC" w:rsidRPr="001A1EED" w:rsidRDefault="00C12FCC" w:rsidP="00C12FCC">
            <w:pPr>
              <w:pStyle w:val="Marginlie"/>
              <w:rPr>
                <w:lang w:val="en-GB"/>
              </w:rPr>
            </w:pPr>
            <w:r>
              <w:rPr>
                <w:lang w:val="en-GB"/>
              </w:rPr>
              <w:t>Growth of the value of new construction orders slowed down in Q</w:t>
            </w:r>
            <w:r w:rsidRPr="001A1EED">
              <w:rPr>
                <w:lang w:val="en-GB"/>
              </w:rPr>
              <w:t>4.</w:t>
            </w:r>
          </w:p>
          <w:p w14:paraId="36770E7A" w14:textId="77777777" w:rsidR="00C12FCC" w:rsidRPr="001A1EED" w:rsidRDefault="00C12FCC" w:rsidP="00C12FCC">
            <w:pPr>
              <w:pStyle w:val="Marginlie"/>
              <w:rPr>
                <w:lang w:val="en-GB"/>
              </w:rPr>
            </w:pPr>
          </w:p>
          <w:p w14:paraId="206EC03F" w14:textId="34684B7E" w:rsidR="00C12FCC" w:rsidRPr="001A1EED" w:rsidRDefault="00C12FCC" w:rsidP="00C12FCC">
            <w:pPr>
              <w:pStyle w:val="Marginlie"/>
              <w:rPr>
                <w:lang w:val="en-GB"/>
              </w:rPr>
            </w:pPr>
          </w:p>
          <w:p w14:paraId="53D1E470" w14:textId="77777777" w:rsidR="00C12FCC" w:rsidRPr="001A1EED" w:rsidRDefault="00C12FCC" w:rsidP="00C12FCC">
            <w:pPr>
              <w:pStyle w:val="Marginlie"/>
              <w:rPr>
                <w:lang w:val="en-GB"/>
              </w:rPr>
            </w:pPr>
          </w:p>
          <w:p w14:paraId="36357554" w14:textId="46407212" w:rsidR="00C12FCC" w:rsidRPr="001A1EED" w:rsidRDefault="00C12FCC" w:rsidP="00C12FCC">
            <w:pPr>
              <w:pStyle w:val="Marginlie"/>
              <w:rPr>
                <w:lang w:val="en-GB"/>
              </w:rPr>
            </w:pPr>
            <w:r>
              <w:rPr>
                <w:lang w:val="en-GB"/>
              </w:rPr>
              <w:t xml:space="preserve">Entrepreneur confidence in construction did not change much last year, January and February 2022 brought a positive shift. Shortage of labour </w:t>
            </w:r>
            <w:r>
              <w:rPr>
                <w:lang w:val="en-GB"/>
              </w:rPr>
              <w:lastRenderedPageBreak/>
              <w:t xml:space="preserve">remains the key barrier to growth. </w:t>
            </w:r>
          </w:p>
        </w:tc>
        <w:tc>
          <w:tcPr>
            <w:tcW w:w="206" w:type="dxa"/>
            <w:shd w:val="clear" w:color="auto" w:fill="auto"/>
            <w:tcMar>
              <w:left w:w="0" w:type="dxa"/>
            </w:tcMar>
          </w:tcPr>
          <w:p w14:paraId="3BE2ECC9" w14:textId="77777777" w:rsidR="00C12FCC" w:rsidRPr="001A1EED" w:rsidRDefault="00C12FCC" w:rsidP="00C12FCC">
            <w:pPr>
              <w:pStyle w:val="Textpoznpodarou"/>
              <w:jc w:val="both"/>
              <w:rPr>
                <w:color w:val="0D0D0D" w:themeColor="text1" w:themeTint="F2"/>
                <w:spacing w:val="-4"/>
                <w:lang w:val="en-GB"/>
              </w:rPr>
            </w:pPr>
          </w:p>
        </w:tc>
        <w:tc>
          <w:tcPr>
            <w:tcW w:w="7730" w:type="dxa"/>
            <w:shd w:val="clear" w:color="auto" w:fill="auto"/>
            <w:tcMar>
              <w:left w:w="0" w:type="dxa"/>
            </w:tcMar>
          </w:tcPr>
          <w:p w14:paraId="0BA2A99F" w14:textId="670A9F5A" w:rsidR="00C12FCC" w:rsidRPr="000D6AAF" w:rsidRDefault="00C12FCC" w:rsidP="00C12FCC">
            <w:pPr>
              <w:spacing w:after="160"/>
              <w:rPr>
                <w:rFonts w:cs="Arial"/>
                <w:bCs/>
                <w:color w:val="0D0D0D" w:themeColor="text1" w:themeTint="F2"/>
                <w:spacing w:val="-5"/>
                <w:szCs w:val="20"/>
                <w:lang w:val="en-GB"/>
              </w:rPr>
            </w:pPr>
            <w:r w:rsidRPr="000D6AAF">
              <w:rPr>
                <w:lang w:val="en-GB"/>
              </w:rPr>
              <w:t xml:space="preserve">Growth of the nominal value of newly contracted domestic construction orders (in businesses with more than 50 employees) after swift year-on-year pace in the first three quarters (in total by one fifth) slowed down in the remaining part of the last year (to 1.0%) and was thus overshadowed by the growth of construction works (7.9%) as well as prices of </w:t>
            </w:r>
            <w:r w:rsidRPr="00D02AA9">
              <w:rPr>
                <w:lang w:val="en-GB"/>
              </w:rPr>
              <w:t>materials (17.0%)</w:t>
            </w:r>
            <w:r w:rsidRPr="00D02AA9">
              <w:rPr>
                <w:rStyle w:val="Znakapoznpodarou"/>
                <w:spacing w:val="-5"/>
                <w:lang w:val="en-GB"/>
              </w:rPr>
              <w:footnoteReference w:id="21"/>
            </w:r>
            <w:r w:rsidRPr="00D02AA9">
              <w:rPr>
                <w:spacing w:val="-5"/>
                <w:lang w:val="en-GB"/>
              </w:rPr>
              <w:t xml:space="preserve">. </w:t>
            </w:r>
            <w:r w:rsidRPr="00D02AA9">
              <w:rPr>
                <w:lang w:val="en-GB"/>
              </w:rPr>
              <w:t>Total stock of work including all so far not yet realised orders was by 13.1% higher year-on-year in December 2021 (it grew similarly for both domestic public and private orders). The</w:t>
            </w:r>
            <w:r>
              <w:rPr>
                <w:lang w:val="en-GB"/>
              </w:rPr>
              <w:t xml:space="preserve"> approximate value per one building permit e</w:t>
            </w:r>
            <w:r w:rsidRPr="00D02AA9">
              <w:rPr>
                <w:lang w:val="en-GB"/>
              </w:rPr>
              <w:t>xceeded the similar level from year 2020 by 30% in Q4, in two year comparison however it was higher "only" by 16%. The new construction of residential buildin</w:t>
            </w:r>
            <w:r>
              <w:rPr>
                <w:lang w:val="en-GB"/>
              </w:rPr>
              <w:t>g</w:t>
            </w:r>
            <w:r w:rsidRPr="00D02AA9">
              <w:rPr>
                <w:lang w:val="en-GB"/>
              </w:rPr>
              <w:t>s contributed the most to the growth. Entreprene</w:t>
            </w:r>
            <w:r>
              <w:rPr>
                <w:lang w:val="en-GB"/>
              </w:rPr>
              <w:t>ur c</w:t>
            </w:r>
            <w:r w:rsidRPr="00D02AA9">
              <w:rPr>
                <w:lang w:val="en-GB"/>
              </w:rPr>
              <w:t xml:space="preserve">onfidence in construction was slightly fluctuating throughout the </w:t>
            </w:r>
            <w:r w:rsidRPr="00D02AA9">
              <w:rPr>
                <w:lang w:val="en-GB"/>
              </w:rPr>
              <w:lastRenderedPageBreak/>
              <w:t>whole last year and remained slightly below the level from</w:t>
            </w:r>
            <w:r>
              <w:rPr>
                <w:lang w:val="en-GB"/>
              </w:rPr>
              <w:t xml:space="preserve"> </w:t>
            </w:r>
            <w:r w:rsidRPr="00D02AA9">
              <w:rPr>
                <w:lang w:val="en-GB"/>
              </w:rPr>
              <w:t xml:space="preserve">the period </w:t>
            </w:r>
            <w:r>
              <w:rPr>
                <w:lang w:val="en-GB"/>
              </w:rPr>
              <w:t xml:space="preserve">just </w:t>
            </w:r>
            <w:r w:rsidRPr="00D02AA9">
              <w:rPr>
                <w:lang w:val="en-GB"/>
              </w:rPr>
              <w:t>befor</w:t>
            </w:r>
            <w:r>
              <w:rPr>
                <w:lang w:val="en-GB"/>
              </w:rPr>
              <w:t>e</w:t>
            </w:r>
            <w:r w:rsidRPr="00D02AA9">
              <w:rPr>
                <w:lang w:val="en-GB"/>
              </w:rPr>
              <w:t xml:space="preserve"> the onset of pandemics. At the beginning of year 2022, improvement was recorded than</w:t>
            </w:r>
            <w:r>
              <w:rPr>
                <w:lang w:val="en-GB"/>
              </w:rPr>
              <w:t>k</w:t>
            </w:r>
            <w:r w:rsidRPr="00D02AA9">
              <w:rPr>
                <w:lang w:val="en-GB"/>
              </w:rPr>
              <w:t xml:space="preserve">s to </w:t>
            </w:r>
            <w:r>
              <w:rPr>
                <w:lang w:val="en-GB"/>
              </w:rPr>
              <w:t>the</w:t>
            </w:r>
            <w:r w:rsidRPr="00D02AA9">
              <w:rPr>
                <w:lang w:val="en-GB"/>
              </w:rPr>
              <w:t xml:space="preserve"> more favourable evaluation of the current demand as well as employment anticipations. Already only 19% of businesses indicated inadequate demand as a barrier to growth, in contrast record 26% of businesses faced shortage of material and equipment. Shortage of labour remains in practice the key barrier to grow</w:t>
            </w:r>
            <w:r>
              <w:rPr>
                <w:lang w:val="en-GB"/>
              </w:rPr>
              <w:t>th</w:t>
            </w:r>
            <w:r w:rsidRPr="00D02AA9">
              <w:rPr>
                <w:lang w:val="en-GB"/>
              </w:rPr>
              <w:t xml:space="preserve"> in construction for more than three years - it already limited 52% of businesses this year in February.</w:t>
            </w:r>
          </w:p>
        </w:tc>
      </w:tr>
      <w:tr w:rsidR="00C12FCC" w:rsidRPr="00191C35" w14:paraId="6BB22A99" w14:textId="77777777" w:rsidTr="00B3385E">
        <w:trPr>
          <w:trHeight w:val="145"/>
        </w:trPr>
        <w:tc>
          <w:tcPr>
            <w:tcW w:w="1728" w:type="dxa"/>
            <w:shd w:val="clear" w:color="auto" w:fill="auto"/>
            <w:tcMar>
              <w:left w:w="0" w:type="dxa"/>
            </w:tcMar>
          </w:tcPr>
          <w:p w14:paraId="36FCEE02" w14:textId="37237114" w:rsidR="00C12FCC" w:rsidRPr="002125EB" w:rsidRDefault="00C12FCC" w:rsidP="00C12FCC">
            <w:pPr>
              <w:pStyle w:val="Marginlie"/>
              <w:rPr>
                <w:lang w:val="en-GB"/>
              </w:rPr>
            </w:pPr>
            <w:r>
              <w:rPr>
                <w:lang w:val="en-GB"/>
              </w:rPr>
              <w:lastRenderedPageBreak/>
              <w:t>Mainly activities tied to tourism contributed to the quarter-on-quarter growth of sales in services last year in Q</w:t>
            </w:r>
            <w:r w:rsidRPr="002125EB">
              <w:rPr>
                <w:lang w:val="en-GB"/>
              </w:rPr>
              <w:t>2</w:t>
            </w:r>
            <w:r>
              <w:rPr>
                <w:lang w:val="en-GB"/>
              </w:rPr>
              <w:t xml:space="preserve"> and </w:t>
            </w:r>
            <w:r w:rsidRPr="002125EB">
              <w:rPr>
                <w:lang w:val="en-GB"/>
              </w:rPr>
              <w:t xml:space="preserve">3, </w:t>
            </w:r>
            <w:r>
              <w:rPr>
                <w:lang w:val="en-GB"/>
              </w:rPr>
              <w:t>transportation and warehousing then at the end of the year.</w:t>
            </w:r>
          </w:p>
        </w:tc>
        <w:tc>
          <w:tcPr>
            <w:tcW w:w="206" w:type="dxa"/>
            <w:shd w:val="clear" w:color="auto" w:fill="auto"/>
            <w:tcMar>
              <w:left w:w="0" w:type="dxa"/>
            </w:tcMar>
          </w:tcPr>
          <w:p w14:paraId="2043A58F" w14:textId="77777777" w:rsidR="00C12FCC" w:rsidRPr="00B34A3C" w:rsidRDefault="00C12FCC" w:rsidP="00C12FCC">
            <w:pPr>
              <w:pStyle w:val="Textpoznpodarou"/>
              <w:jc w:val="both"/>
              <w:rPr>
                <w:color w:val="0D0D0D" w:themeColor="text1" w:themeTint="F2"/>
                <w:spacing w:val="-4"/>
              </w:rPr>
            </w:pPr>
          </w:p>
        </w:tc>
        <w:tc>
          <w:tcPr>
            <w:tcW w:w="7730" w:type="dxa"/>
            <w:shd w:val="clear" w:color="auto" w:fill="auto"/>
            <w:tcMar>
              <w:left w:w="0" w:type="dxa"/>
            </w:tcMar>
          </w:tcPr>
          <w:p w14:paraId="5E3328D4" w14:textId="6B656612" w:rsidR="00C12FCC" w:rsidRPr="00753630" w:rsidRDefault="00C12FCC" w:rsidP="00C12FCC">
            <w:pPr>
              <w:spacing w:after="160"/>
              <w:rPr>
                <w:color w:val="0D0D0D" w:themeColor="text1" w:themeTint="F2"/>
                <w:spacing w:val="-5"/>
                <w:lang w:val="en-GB"/>
              </w:rPr>
            </w:pPr>
            <w:r w:rsidRPr="00753630">
              <w:rPr>
                <w:lang w:val="en-GB"/>
              </w:rPr>
              <w:t>Considerable improvement of the epidemic situation during the last year’s Spring together with the progressing vaccination of population enabled practically complete loosening of restrictions. Opposed to the Summer months of year 2020, procedures for the cross border movement of persons w</w:t>
            </w:r>
            <w:r>
              <w:rPr>
                <w:lang w:val="en-GB"/>
              </w:rPr>
              <w:t>ere</w:t>
            </w:r>
            <w:r w:rsidRPr="00753630">
              <w:rPr>
                <w:lang w:val="en-GB"/>
              </w:rPr>
              <w:t xml:space="preserve"> also simplified. This </w:t>
            </w:r>
            <w:r>
              <w:rPr>
                <w:lang w:val="en-GB"/>
              </w:rPr>
              <w:t xml:space="preserve">led to the </w:t>
            </w:r>
            <w:r w:rsidRPr="00753630">
              <w:rPr>
                <w:lang w:val="en-GB"/>
              </w:rPr>
              <w:t>swift quarter-on-quarter growth of sales in selected services</w:t>
            </w:r>
            <w:r w:rsidRPr="00753630">
              <w:rPr>
                <w:color w:val="0D0D0D" w:themeColor="text1" w:themeTint="F2"/>
                <w:spacing w:val="-5"/>
                <w:vertAlign w:val="superscript"/>
                <w:lang w:val="en-GB"/>
              </w:rPr>
              <w:footnoteReference w:id="22"/>
            </w:r>
            <w:r w:rsidRPr="00753630">
              <w:rPr>
                <w:color w:val="0D0D0D" w:themeColor="text1" w:themeTint="F2"/>
                <w:spacing w:val="-5"/>
                <w:lang w:val="en-GB"/>
              </w:rPr>
              <w:t>, which represented 5.3% in Q2 2021 and 3.0% in the subsequent period. This revival was naturally driven by the activities tied to tourism, all ma</w:t>
            </w:r>
            <w:r>
              <w:rPr>
                <w:color w:val="0D0D0D" w:themeColor="text1" w:themeTint="F2"/>
                <w:spacing w:val="-5"/>
                <w:lang w:val="en-GB"/>
              </w:rPr>
              <w:t>i</w:t>
            </w:r>
            <w:r w:rsidRPr="00753630">
              <w:rPr>
                <w:color w:val="0D0D0D" w:themeColor="text1" w:themeTint="F2"/>
                <w:spacing w:val="-5"/>
                <w:lang w:val="en-GB"/>
              </w:rPr>
              <w:t>n services branches however participated to a lesser extent. The recovery of services continued in Q4 (+2.2%), mainly thanks to the branch transportation and warehousing, whose sales overtook the peak from the pre-pandemic period for the first time. This has not been valid so far for services as a whole since their total output still lagged by 2.5% behind the level from Q2 2019.</w:t>
            </w:r>
          </w:p>
        </w:tc>
      </w:tr>
      <w:tr w:rsidR="00C12FCC" w:rsidRPr="00191C35" w14:paraId="6AA67DF7" w14:textId="77777777" w:rsidTr="00B3385E">
        <w:trPr>
          <w:trHeight w:val="145"/>
        </w:trPr>
        <w:tc>
          <w:tcPr>
            <w:tcW w:w="1728" w:type="dxa"/>
            <w:shd w:val="clear" w:color="auto" w:fill="auto"/>
            <w:tcMar>
              <w:left w:w="0" w:type="dxa"/>
            </w:tcMar>
          </w:tcPr>
          <w:p w14:paraId="545060D3" w14:textId="50B9E1C0" w:rsidR="00C12FCC" w:rsidRPr="002125EB" w:rsidRDefault="00C12FCC" w:rsidP="00C12FCC">
            <w:pPr>
              <w:pStyle w:val="Marginlie"/>
              <w:rPr>
                <w:lang w:val="en-GB"/>
              </w:rPr>
            </w:pPr>
            <w:r>
              <w:rPr>
                <w:lang w:val="en-GB"/>
              </w:rPr>
              <w:t xml:space="preserve">Transportation and warehousing ensured more than one half of the year-on-year growth of sales in services last year. </w:t>
            </w:r>
          </w:p>
          <w:p w14:paraId="0E6BC005" w14:textId="77777777" w:rsidR="00C12FCC" w:rsidRPr="002125EB" w:rsidRDefault="00C12FCC" w:rsidP="00C12FCC">
            <w:pPr>
              <w:pStyle w:val="Marginlie"/>
              <w:rPr>
                <w:lang w:val="en-GB"/>
              </w:rPr>
            </w:pPr>
          </w:p>
          <w:p w14:paraId="56B234F1" w14:textId="77777777" w:rsidR="00C12FCC" w:rsidRPr="002125EB" w:rsidRDefault="00C12FCC" w:rsidP="00C12FCC">
            <w:pPr>
              <w:pStyle w:val="Marginlie"/>
              <w:rPr>
                <w:lang w:val="en-GB"/>
              </w:rPr>
            </w:pPr>
          </w:p>
          <w:p w14:paraId="0DA5D313" w14:textId="77777777" w:rsidR="00C12FCC" w:rsidRPr="002125EB" w:rsidRDefault="00C12FCC" w:rsidP="00C12FCC">
            <w:pPr>
              <w:pStyle w:val="Marginlie"/>
              <w:rPr>
                <w:lang w:val="en-GB"/>
              </w:rPr>
            </w:pPr>
          </w:p>
          <w:p w14:paraId="2D9F4B5B" w14:textId="77777777" w:rsidR="00C12FCC" w:rsidRPr="002125EB" w:rsidRDefault="00C12FCC" w:rsidP="00C12FCC">
            <w:pPr>
              <w:pStyle w:val="Marginlie"/>
              <w:rPr>
                <w:lang w:val="en-GB"/>
              </w:rPr>
            </w:pPr>
          </w:p>
          <w:p w14:paraId="531AB886" w14:textId="78542FC7" w:rsidR="00C12FCC" w:rsidRPr="002125EB" w:rsidRDefault="00C12FCC" w:rsidP="00C12FCC">
            <w:pPr>
              <w:pStyle w:val="Marginlie"/>
              <w:rPr>
                <w:lang w:val="en-GB"/>
              </w:rPr>
            </w:pPr>
            <w:r>
              <w:rPr>
                <w:lang w:val="en-GB"/>
              </w:rPr>
              <w:t xml:space="preserve">Sales in accommodation, food service and restaurants still deeply lagged behind year </w:t>
            </w:r>
            <w:r w:rsidRPr="002125EB">
              <w:rPr>
                <w:lang w:val="en-GB"/>
              </w:rPr>
              <w:t>2019</w:t>
            </w:r>
            <w:r>
              <w:rPr>
                <w:lang w:val="en-GB"/>
              </w:rPr>
              <w:t xml:space="preserve">. </w:t>
            </w:r>
          </w:p>
        </w:tc>
        <w:tc>
          <w:tcPr>
            <w:tcW w:w="206" w:type="dxa"/>
            <w:shd w:val="clear" w:color="auto" w:fill="auto"/>
            <w:tcMar>
              <w:left w:w="0" w:type="dxa"/>
            </w:tcMar>
          </w:tcPr>
          <w:p w14:paraId="4325DE0C" w14:textId="77777777" w:rsidR="00C12FCC" w:rsidRPr="002125EB" w:rsidRDefault="00C12FCC" w:rsidP="00C12FCC">
            <w:pPr>
              <w:pStyle w:val="Textpoznpodarou"/>
              <w:jc w:val="both"/>
              <w:rPr>
                <w:color w:val="0D0D0D" w:themeColor="text1" w:themeTint="F2"/>
                <w:spacing w:val="-4"/>
                <w:lang w:val="en-GB"/>
              </w:rPr>
            </w:pPr>
          </w:p>
        </w:tc>
        <w:tc>
          <w:tcPr>
            <w:tcW w:w="7730" w:type="dxa"/>
            <w:shd w:val="clear" w:color="auto" w:fill="auto"/>
            <w:tcMar>
              <w:left w:w="0" w:type="dxa"/>
            </w:tcMar>
          </w:tcPr>
          <w:p w14:paraId="048CED87" w14:textId="73ED3A6B" w:rsidR="00C12FCC" w:rsidRPr="002125EB" w:rsidRDefault="00C12FCC" w:rsidP="00C12FCC">
            <w:pPr>
              <w:spacing w:after="0"/>
              <w:rPr>
                <w:spacing w:val="-2"/>
                <w:lang w:val="en-GB"/>
              </w:rPr>
            </w:pPr>
            <w:r>
              <w:rPr>
                <w:spacing w:val="-2"/>
                <w:lang w:val="en-GB"/>
              </w:rPr>
              <w:t xml:space="preserve">The sales in branch transportation and warehousing increased by full 12.8% year-on-year for the whole last year and contributed by more than one half to the growth of all services performance </w:t>
            </w:r>
            <w:r w:rsidRPr="002125EB">
              <w:rPr>
                <w:spacing w:val="-2"/>
                <w:lang w:val="en-GB"/>
              </w:rPr>
              <w:t>(+7</w:t>
            </w:r>
            <w:r>
              <w:rPr>
                <w:spacing w:val="-2"/>
                <w:lang w:val="en-GB"/>
              </w:rPr>
              <w:t>.</w:t>
            </w:r>
            <w:r w:rsidRPr="002125EB">
              <w:rPr>
                <w:spacing w:val="-2"/>
                <w:lang w:val="en-GB"/>
              </w:rPr>
              <w:t>5%)</w:t>
            </w:r>
            <w:r>
              <w:rPr>
                <w:spacing w:val="-2"/>
                <w:lang w:val="en-GB"/>
              </w:rPr>
              <w:t xml:space="preserve">. The strong demand in warehousing, where the sales overtook the level from year </w:t>
            </w:r>
            <w:r w:rsidRPr="002125EB">
              <w:rPr>
                <w:spacing w:val="-2"/>
                <w:lang w:val="en-GB"/>
              </w:rPr>
              <w:t xml:space="preserve">2019 </w:t>
            </w:r>
            <w:r>
              <w:rPr>
                <w:spacing w:val="-2"/>
                <w:lang w:val="en-GB"/>
              </w:rPr>
              <w:t>already by nearly one tenth, was a decisive factor</w:t>
            </w:r>
            <w:r w:rsidRPr="002125EB">
              <w:rPr>
                <w:spacing w:val="-2"/>
                <w:lang w:val="en-GB"/>
              </w:rPr>
              <w:t xml:space="preserve">. </w:t>
            </w:r>
            <w:r>
              <w:rPr>
                <w:spacing w:val="-2"/>
                <w:lang w:val="en-GB"/>
              </w:rPr>
              <w:t xml:space="preserve">The fast advancement of the postal and courier services continued, they benefited from the growth of the sales via internet, which further surged during the pandemics. Sales from land and pipeline transportation did increase by </w:t>
            </w:r>
            <w:r w:rsidRPr="002125EB">
              <w:rPr>
                <w:spacing w:val="-2"/>
                <w:lang w:val="en-GB"/>
              </w:rPr>
              <w:t>5</w:t>
            </w:r>
            <w:r>
              <w:rPr>
                <w:spacing w:val="-2"/>
                <w:lang w:val="en-GB"/>
              </w:rPr>
              <w:t>.</w:t>
            </w:r>
            <w:r w:rsidRPr="002125EB">
              <w:rPr>
                <w:spacing w:val="-2"/>
                <w:lang w:val="en-GB"/>
              </w:rPr>
              <w:t>7%</w:t>
            </w:r>
            <w:r>
              <w:rPr>
                <w:spacing w:val="-2"/>
                <w:lang w:val="en-GB"/>
              </w:rPr>
              <w:t xml:space="preserve"> year-on-year last year</w:t>
            </w:r>
            <w:r w:rsidRPr="002125EB">
              <w:rPr>
                <w:spacing w:val="-2"/>
                <w:lang w:val="en-GB"/>
              </w:rPr>
              <w:t xml:space="preserve">, </w:t>
            </w:r>
            <w:r>
              <w:rPr>
                <w:spacing w:val="-2"/>
                <w:lang w:val="en-GB"/>
              </w:rPr>
              <w:t xml:space="preserve">in reality they however were placed only near to the value from years </w:t>
            </w:r>
            <w:r w:rsidRPr="002125EB">
              <w:rPr>
                <w:spacing w:val="-2"/>
                <w:lang w:val="en-GB"/>
              </w:rPr>
              <w:t>2015 a</w:t>
            </w:r>
            <w:r>
              <w:rPr>
                <w:spacing w:val="-2"/>
                <w:lang w:val="en-GB"/>
              </w:rPr>
              <w:t>nd</w:t>
            </w:r>
            <w:r w:rsidRPr="002125EB">
              <w:rPr>
                <w:spacing w:val="-2"/>
                <w:lang w:val="en-GB"/>
              </w:rPr>
              <w:t xml:space="preserve"> 2016. </w:t>
            </w:r>
            <w:r>
              <w:rPr>
                <w:spacing w:val="-2"/>
                <w:lang w:val="en-GB"/>
              </w:rPr>
              <w:t>Lowered transport demands of population stemming from more frequent utilisation of home office as well as distance learning and also from the slower recovery of the arrival tourism</w:t>
            </w:r>
            <w:r w:rsidRPr="002125EB">
              <w:rPr>
                <w:rStyle w:val="Znakapoznpodarou"/>
                <w:spacing w:val="-5"/>
                <w:lang w:val="en-GB"/>
              </w:rPr>
              <w:footnoteReference w:id="23"/>
            </w:r>
            <w:r>
              <w:rPr>
                <w:spacing w:val="-2"/>
                <w:lang w:val="en-GB"/>
              </w:rPr>
              <w:t xml:space="preserve"> prevented the return to the standard level of mobility</w:t>
            </w:r>
            <w:r w:rsidRPr="002125EB">
              <w:rPr>
                <w:spacing w:val="-2"/>
                <w:lang w:val="en-GB"/>
              </w:rPr>
              <w:t xml:space="preserve">. </w:t>
            </w:r>
            <w:r>
              <w:rPr>
                <w:spacing w:val="-2"/>
                <w:lang w:val="en-GB"/>
              </w:rPr>
              <w:t xml:space="preserve">This was fully mirrored in sales of accommodation, which mildly increased year-on-year </w:t>
            </w:r>
            <w:r w:rsidRPr="002125EB">
              <w:rPr>
                <w:spacing w:val="-2"/>
                <w:lang w:val="en-GB"/>
              </w:rPr>
              <w:t>(</w:t>
            </w:r>
            <w:r>
              <w:rPr>
                <w:spacing w:val="-2"/>
                <w:lang w:val="en-GB"/>
              </w:rPr>
              <w:t xml:space="preserve">by </w:t>
            </w:r>
            <w:r w:rsidRPr="002125EB">
              <w:rPr>
                <w:spacing w:val="-2"/>
                <w:lang w:val="en-GB"/>
              </w:rPr>
              <w:t>2</w:t>
            </w:r>
            <w:r>
              <w:rPr>
                <w:spacing w:val="-2"/>
                <w:lang w:val="en-GB"/>
              </w:rPr>
              <w:t>.</w:t>
            </w:r>
            <w:r w:rsidRPr="002125EB">
              <w:rPr>
                <w:spacing w:val="-2"/>
                <w:lang w:val="en-GB"/>
              </w:rPr>
              <w:t xml:space="preserve">3%), </w:t>
            </w:r>
            <w:r>
              <w:rPr>
                <w:spacing w:val="-2"/>
                <w:lang w:val="en-GB"/>
              </w:rPr>
              <w:t xml:space="preserve">however they were by 55% weaker compared to year </w:t>
            </w:r>
            <w:r w:rsidRPr="002125EB">
              <w:rPr>
                <w:spacing w:val="-2"/>
                <w:lang w:val="en-GB"/>
              </w:rPr>
              <w:t>2019</w:t>
            </w:r>
            <w:r>
              <w:rPr>
                <w:spacing w:val="-2"/>
                <w:lang w:val="en-GB"/>
              </w:rPr>
              <w:t>. The two-year slump in food service and restaurants amounted to “only” 30% thanks to the faster revival of consumption of domestic households</w:t>
            </w:r>
            <w:r w:rsidRPr="002125EB">
              <w:rPr>
                <w:spacing w:val="-2"/>
                <w:lang w:val="en-GB"/>
              </w:rPr>
              <w:t>.</w:t>
            </w:r>
          </w:p>
          <w:p w14:paraId="1EC44562" w14:textId="05B825C0" w:rsidR="00C12FCC" w:rsidRPr="002125EB" w:rsidRDefault="00C12FCC" w:rsidP="00C12FCC">
            <w:pPr>
              <w:spacing w:after="0"/>
              <w:rPr>
                <w:spacing w:val="-2"/>
                <w:lang w:val="en-GB"/>
              </w:rPr>
            </w:pPr>
          </w:p>
        </w:tc>
      </w:tr>
      <w:tr w:rsidR="00C12FCC" w:rsidRPr="00191C35" w14:paraId="796135B9" w14:textId="77777777" w:rsidTr="00B3385E">
        <w:trPr>
          <w:trHeight w:val="145"/>
        </w:trPr>
        <w:tc>
          <w:tcPr>
            <w:tcW w:w="1728" w:type="dxa"/>
            <w:shd w:val="clear" w:color="auto" w:fill="auto"/>
            <w:tcMar>
              <w:left w:w="0" w:type="dxa"/>
            </w:tcMar>
          </w:tcPr>
          <w:p w14:paraId="23AB07B8" w14:textId="77777777" w:rsidR="00C12FCC" w:rsidRDefault="00C12FCC" w:rsidP="00C12FCC">
            <w:pPr>
              <w:pStyle w:val="Marginlie"/>
              <w:rPr>
                <w:lang w:val="en-GB"/>
              </w:rPr>
            </w:pPr>
            <w:r>
              <w:rPr>
                <w:lang w:val="en-GB"/>
              </w:rPr>
              <w:t xml:space="preserve">Growth of sales in information and communication continued for the eighth year in a row. </w:t>
            </w:r>
          </w:p>
          <w:p w14:paraId="7353E612" w14:textId="77777777" w:rsidR="00C12FCC" w:rsidRPr="002577BB" w:rsidRDefault="00C12FCC" w:rsidP="00C12FCC">
            <w:pPr>
              <w:pStyle w:val="Marginlie"/>
              <w:rPr>
                <w:lang w:val="en-GB"/>
              </w:rPr>
            </w:pPr>
          </w:p>
          <w:p w14:paraId="74AE44A2" w14:textId="77777777" w:rsidR="00C12FCC" w:rsidRPr="002577BB" w:rsidRDefault="00C12FCC" w:rsidP="00C12FCC">
            <w:pPr>
              <w:pStyle w:val="Marginlie"/>
              <w:rPr>
                <w:lang w:val="en-GB"/>
              </w:rPr>
            </w:pPr>
          </w:p>
          <w:p w14:paraId="49D8EF65" w14:textId="5E02B780" w:rsidR="00C12FCC" w:rsidRDefault="00C12FCC" w:rsidP="00C12FCC">
            <w:pPr>
              <w:pStyle w:val="Marginlie"/>
              <w:rPr>
                <w:lang w:val="en-GB"/>
              </w:rPr>
            </w:pPr>
            <w:r>
              <w:rPr>
                <w:lang w:val="en-GB"/>
              </w:rPr>
              <w:lastRenderedPageBreak/>
              <w:t>Some specialised services for businesses faced decline of demand in years 2</w:t>
            </w:r>
            <w:r w:rsidRPr="002577BB">
              <w:rPr>
                <w:lang w:val="en-GB"/>
              </w:rPr>
              <w:t xml:space="preserve">020 </w:t>
            </w:r>
            <w:r>
              <w:rPr>
                <w:lang w:val="en-GB"/>
              </w:rPr>
              <w:t xml:space="preserve">and </w:t>
            </w:r>
            <w:r w:rsidRPr="002577BB">
              <w:rPr>
                <w:lang w:val="en-GB"/>
              </w:rPr>
              <w:t>2021.</w:t>
            </w:r>
          </w:p>
        </w:tc>
        <w:tc>
          <w:tcPr>
            <w:tcW w:w="206" w:type="dxa"/>
            <w:shd w:val="clear" w:color="auto" w:fill="auto"/>
            <w:tcMar>
              <w:left w:w="0" w:type="dxa"/>
            </w:tcMar>
          </w:tcPr>
          <w:p w14:paraId="2264E09E" w14:textId="77777777" w:rsidR="00C12FCC" w:rsidRPr="002125EB" w:rsidRDefault="00C12FCC" w:rsidP="00C12FCC">
            <w:pPr>
              <w:pStyle w:val="Textpoznpodarou"/>
              <w:jc w:val="both"/>
              <w:rPr>
                <w:color w:val="0D0D0D" w:themeColor="text1" w:themeTint="F2"/>
                <w:spacing w:val="-4"/>
                <w:lang w:val="en-GB"/>
              </w:rPr>
            </w:pPr>
          </w:p>
        </w:tc>
        <w:tc>
          <w:tcPr>
            <w:tcW w:w="7730" w:type="dxa"/>
            <w:shd w:val="clear" w:color="auto" w:fill="auto"/>
            <w:tcMar>
              <w:left w:w="0" w:type="dxa"/>
            </w:tcMar>
          </w:tcPr>
          <w:p w14:paraId="1309C898" w14:textId="5810429D" w:rsidR="00C12FCC" w:rsidRDefault="00C12FCC" w:rsidP="00C12FCC">
            <w:pPr>
              <w:spacing w:after="200"/>
              <w:rPr>
                <w:spacing w:val="-2"/>
                <w:lang w:val="en-GB"/>
              </w:rPr>
            </w:pPr>
            <w:r>
              <w:rPr>
                <w:color w:val="0D0D0D" w:themeColor="text1" w:themeTint="F2"/>
                <w:spacing w:val="-4"/>
                <w:lang w:val="en-GB"/>
              </w:rPr>
              <w:t xml:space="preserve">Year-on-year growth of sales in information and communication (ICT) markedly accelerated last year </w:t>
            </w:r>
            <w:r w:rsidRPr="002577BB">
              <w:rPr>
                <w:color w:val="0D0D0D" w:themeColor="text1" w:themeTint="F2"/>
                <w:spacing w:val="-4"/>
                <w:lang w:val="en-GB"/>
              </w:rPr>
              <w:t>(</w:t>
            </w:r>
            <w:r>
              <w:rPr>
                <w:color w:val="0D0D0D" w:themeColor="text1" w:themeTint="F2"/>
                <w:spacing w:val="-4"/>
                <w:lang w:val="en-GB"/>
              </w:rPr>
              <w:t xml:space="preserve">to </w:t>
            </w:r>
            <w:r w:rsidRPr="002577BB">
              <w:rPr>
                <w:color w:val="0D0D0D" w:themeColor="text1" w:themeTint="F2"/>
                <w:spacing w:val="-4"/>
                <w:lang w:val="en-GB"/>
              </w:rPr>
              <w:t>5</w:t>
            </w:r>
            <w:r>
              <w:rPr>
                <w:color w:val="0D0D0D" w:themeColor="text1" w:themeTint="F2"/>
                <w:spacing w:val="-4"/>
                <w:lang w:val="en-GB"/>
              </w:rPr>
              <w:t>.</w:t>
            </w:r>
            <w:r w:rsidRPr="002577BB">
              <w:rPr>
                <w:color w:val="0D0D0D" w:themeColor="text1" w:themeTint="F2"/>
                <w:spacing w:val="-4"/>
                <w:lang w:val="en-GB"/>
              </w:rPr>
              <w:t>8%).</w:t>
            </w:r>
            <w:r>
              <w:rPr>
                <w:color w:val="0D0D0D" w:themeColor="text1" w:themeTint="F2"/>
                <w:spacing w:val="-4"/>
                <w:lang w:val="en-GB"/>
              </w:rPr>
              <w:t xml:space="preserve"> Sales were hiked up here for the eighth year in a row. All subbranches contributed to the last </w:t>
            </w:r>
            <w:r w:rsidRPr="007F2F8E">
              <w:rPr>
                <w:color w:val="0D0D0D" w:themeColor="text1" w:themeTint="F2"/>
                <w:spacing w:val="-4"/>
                <w:lang w:val="en-GB"/>
              </w:rPr>
              <w:t xml:space="preserve">year’s growth, activities in the area of information technologies (for instance programming) the most. </w:t>
            </w:r>
            <w:r>
              <w:rPr>
                <w:color w:val="0D0D0D" w:themeColor="text1" w:themeTint="F2"/>
                <w:spacing w:val="-4"/>
                <w:lang w:val="en-GB"/>
              </w:rPr>
              <w:t>Motion picture and music industry were fast recovering</w:t>
            </w:r>
            <w:r w:rsidRPr="007F2F8E">
              <w:rPr>
                <w:rStyle w:val="Znakapoznpodarou"/>
                <w:color w:val="0D0D0D" w:themeColor="text1" w:themeTint="F2"/>
                <w:spacing w:val="-4"/>
                <w:lang w:val="en-GB"/>
              </w:rPr>
              <w:footnoteReference w:id="24"/>
            </w:r>
            <w:r w:rsidRPr="007F2F8E">
              <w:rPr>
                <w:color w:val="0D0D0D" w:themeColor="text1" w:themeTint="F2"/>
                <w:spacing w:val="-4"/>
                <w:lang w:val="en-GB"/>
              </w:rPr>
              <w:t>,</w:t>
            </w:r>
            <w:r>
              <w:rPr>
                <w:color w:val="0D0D0D" w:themeColor="text1" w:themeTint="F2"/>
                <w:spacing w:val="-4"/>
                <w:lang w:val="en-GB"/>
              </w:rPr>
              <w:t xml:space="preserve"> however the slump of sales from year </w:t>
            </w:r>
            <w:r w:rsidRPr="007F2F8E">
              <w:rPr>
                <w:color w:val="0D0D0D" w:themeColor="text1" w:themeTint="F2"/>
                <w:spacing w:val="-4"/>
                <w:lang w:val="en-GB"/>
              </w:rPr>
              <w:t>2020 (</w:t>
            </w:r>
            <w:r>
              <w:rPr>
                <w:color w:val="0D0D0D" w:themeColor="text1" w:themeTint="F2"/>
                <w:spacing w:val="-4"/>
                <w:lang w:val="en-GB"/>
              </w:rPr>
              <w:t xml:space="preserve">by </w:t>
            </w:r>
            <w:r w:rsidRPr="007F2F8E">
              <w:rPr>
                <w:color w:val="0D0D0D" w:themeColor="text1" w:themeTint="F2"/>
                <w:spacing w:val="-4"/>
                <w:lang w:val="en-GB"/>
              </w:rPr>
              <w:t>39%)</w:t>
            </w:r>
            <w:r>
              <w:rPr>
                <w:color w:val="0D0D0D" w:themeColor="text1" w:themeTint="F2"/>
                <w:spacing w:val="-4"/>
                <w:lang w:val="en-GB"/>
              </w:rPr>
              <w:t xml:space="preserve"> was not fully compensated yet. Sales </w:t>
            </w:r>
            <w:r>
              <w:rPr>
                <w:color w:val="0D0D0D" w:themeColor="text1" w:themeTint="F2"/>
                <w:spacing w:val="-4"/>
                <w:lang w:val="en-GB"/>
              </w:rPr>
              <w:lastRenderedPageBreak/>
              <w:t xml:space="preserve">in branch professional, scientific and technical activities, dependent to a large extent on the business demand, increased by </w:t>
            </w:r>
            <w:r w:rsidRPr="007F2F8E">
              <w:rPr>
                <w:color w:val="0D0D0D" w:themeColor="text1" w:themeTint="F2"/>
                <w:spacing w:val="-4"/>
                <w:lang w:val="en-GB"/>
              </w:rPr>
              <w:t>5</w:t>
            </w:r>
            <w:r>
              <w:rPr>
                <w:color w:val="0D0D0D" w:themeColor="text1" w:themeTint="F2"/>
                <w:spacing w:val="-4"/>
                <w:lang w:val="en-GB"/>
              </w:rPr>
              <w:t>.</w:t>
            </w:r>
            <w:r w:rsidRPr="007F2F8E">
              <w:rPr>
                <w:color w:val="0D0D0D" w:themeColor="text1" w:themeTint="F2"/>
                <w:spacing w:val="-4"/>
                <w:lang w:val="en-GB"/>
              </w:rPr>
              <w:t>4%</w:t>
            </w:r>
            <w:r>
              <w:rPr>
                <w:color w:val="0D0D0D" w:themeColor="text1" w:themeTint="F2"/>
                <w:spacing w:val="-4"/>
                <w:lang w:val="en-GB"/>
              </w:rPr>
              <w:t xml:space="preserve"> year-on-year last year</w:t>
            </w:r>
            <w:r w:rsidRPr="007F2F8E">
              <w:rPr>
                <w:color w:val="0D0D0D" w:themeColor="text1" w:themeTint="F2"/>
                <w:spacing w:val="-4"/>
                <w:lang w:val="en-GB"/>
              </w:rPr>
              <w:t>.</w:t>
            </w:r>
            <w:r>
              <w:rPr>
                <w:color w:val="0D0D0D" w:themeColor="text1" w:themeTint="F2"/>
                <w:spacing w:val="-4"/>
                <w:lang w:val="en-GB"/>
              </w:rPr>
              <w:t xml:space="preserve"> The architectural and engineering services played the largest role. Demand for activities for head office </w:t>
            </w:r>
            <w:r w:rsidRPr="007F2F8E">
              <w:rPr>
                <w:color w:val="0D0D0D" w:themeColor="text1" w:themeTint="F2"/>
                <w:spacing w:val="-4"/>
                <w:lang w:val="en-GB"/>
              </w:rPr>
              <w:t>(</w:t>
            </w:r>
            <w:r>
              <w:rPr>
                <w:color w:val="0D0D0D" w:themeColor="text1" w:themeTint="F2"/>
                <w:spacing w:val="-4"/>
                <w:lang w:val="en-GB"/>
              </w:rPr>
              <w:t>including management consultancy activities</w:t>
            </w:r>
            <w:r w:rsidRPr="007F2F8E">
              <w:rPr>
                <w:color w:val="0D0D0D" w:themeColor="text1" w:themeTint="F2"/>
                <w:spacing w:val="-4"/>
                <w:lang w:val="en-GB"/>
              </w:rPr>
              <w:t>)</w:t>
            </w:r>
            <w:r>
              <w:rPr>
                <w:color w:val="0D0D0D" w:themeColor="text1" w:themeTint="F2"/>
                <w:spacing w:val="-4"/>
                <w:lang w:val="en-GB"/>
              </w:rPr>
              <w:t xml:space="preserve"> was strengthening</w:t>
            </w:r>
            <w:r w:rsidRPr="007F2F8E">
              <w:rPr>
                <w:color w:val="0D0D0D" w:themeColor="text1" w:themeTint="F2"/>
                <w:spacing w:val="-4"/>
                <w:lang w:val="en-GB"/>
              </w:rPr>
              <w:t xml:space="preserve">, </w:t>
            </w:r>
            <w:r>
              <w:rPr>
                <w:color w:val="0D0D0D" w:themeColor="text1" w:themeTint="F2"/>
                <w:spacing w:val="-4"/>
                <w:lang w:val="en-GB"/>
              </w:rPr>
              <w:t xml:space="preserve">similarly to legal and accounting activities already overcoming the level of sales from the period shortly before the pandemic period. On the contrary, some specialised services (for example translation, photographic, design activities) faced a decrease of demand in both pandemic years. </w:t>
            </w:r>
            <w:r w:rsidRPr="000B2BA8">
              <w:rPr>
                <w:color w:val="0D0D0D" w:themeColor="text1" w:themeTint="F2"/>
                <w:spacing w:val="-4"/>
                <w:lang w:val="en-GB"/>
              </w:rPr>
              <w:t>Last year’s growth of services in the administrative and support services activities</w:t>
            </w:r>
            <w:r>
              <w:rPr>
                <w:color w:val="0D0D0D" w:themeColor="text1" w:themeTint="F2"/>
                <w:spacing w:val="-4"/>
                <w:lang w:val="en-GB"/>
              </w:rPr>
              <w:t xml:space="preserve"> </w:t>
            </w:r>
            <w:r w:rsidRPr="000B2BA8">
              <w:rPr>
                <w:color w:val="0D0D0D" w:themeColor="text1" w:themeTint="F2"/>
                <w:spacing w:val="-4"/>
                <w:lang w:val="en-GB"/>
              </w:rPr>
              <w:t>(</w:t>
            </w:r>
            <w:r>
              <w:rPr>
                <w:color w:val="0D0D0D" w:themeColor="text1" w:themeTint="F2"/>
                <w:spacing w:val="-4"/>
                <w:lang w:val="en-GB"/>
              </w:rPr>
              <w:t xml:space="preserve">by </w:t>
            </w:r>
            <w:r w:rsidRPr="000B2BA8">
              <w:rPr>
                <w:color w:val="0D0D0D" w:themeColor="text1" w:themeTint="F2"/>
                <w:spacing w:val="-4"/>
                <w:lang w:val="en-GB"/>
              </w:rPr>
              <w:t>7</w:t>
            </w:r>
            <w:r>
              <w:rPr>
                <w:color w:val="0D0D0D" w:themeColor="text1" w:themeTint="F2"/>
                <w:spacing w:val="-4"/>
                <w:lang w:val="en-GB"/>
              </w:rPr>
              <w:t>.</w:t>
            </w:r>
            <w:r w:rsidRPr="000B2BA8">
              <w:rPr>
                <w:color w:val="0D0D0D" w:themeColor="text1" w:themeTint="F2"/>
                <w:spacing w:val="-4"/>
                <w:lang w:val="en-GB"/>
              </w:rPr>
              <w:t xml:space="preserve">5%) </w:t>
            </w:r>
            <w:r>
              <w:rPr>
                <w:color w:val="0D0D0D" w:themeColor="text1" w:themeTint="F2"/>
                <w:spacing w:val="-4"/>
                <w:lang w:val="en-GB"/>
              </w:rPr>
              <w:t xml:space="preserve"> was for a major part influenced by the revival of demand in the area of travel agencies, where however the sales still hasn´t reached even </w:t>
            </w:r>
            <w:r w:rsidRPr="000B2BA8">
              <w:rPr>
                <w:color w:val="0D0D0D" w:themeColor="text1" w:themeTint="F2"/>
                <w:spacing w:val="-4"/>
                <w:lang w:val="en-GB"/>
              </w:rPr>
              <w:t>40%</w:t>
            </w:r>
            <w:r>
              <w:rPr>
                <w:color w:val="0D0D0D" w:themeColor="text1" w:themeTint="F2"/>
                <w:spacing w:val="-4"/>
                <w:lang w:val="en-GB"/>
              </w:rPr>
              <w:t xml:space="preserve"> of level from year </w:t>
            </w:r>
            <w:r w:rsidRPr="000B2BA8">
              <w:rPr>
                <w:color w:val="0D0D0D" w:themeColor="text1" w:themeTint="F2"/>
                <w:spacing w:val="-4"/>
                <w:lang w:val="en-GB"/>
              </w:rPr>
              <w:t>2019. Other subbranches haven´t overcome the slump from year 2020 yet – especially then employment placement agencies, which featured apparent weaker demand during the last year.</w:t>
            </w:r>
            <w:r>
              <w:rPr>
                <w:color w:val="0D0D0D" w:themeColor="text1" w:themeTint="F2"/>
                <w:spacing w:val="-4"/>
                <w:lang w:val="en-GB"/>
              </w:rPr>
              <w:t xml:space="preserve"> </w:t>
            </w:r>
          </w:p>
        </w:tc>
      </w:tr>
      <w:tr w:rsidR="00C12FCC" w:rsidRPr="00191C35" w14:paraId="025C2BBD" w14:textId="77777777" w:rsidTr="00B3385E">
        <w:trPr>
          <w:trHeight w:val="145"/>
        </w:trPr>
        <w:tc>
          <w:tcPr>
            <w:tcW w:w="1728" w:type="dxa"/>
            <w:shd w:val="clear" w:color="auto" w:fill="auto"/>
            <w:tcMar>
              <w:left w:w="0" w:type="dxa"/>
            </w:tcMar>
          </w:tcPr>
          <w:p w14:paraId="103B63DF" w14:textId="77777777" w:rsidR="00C12FCC" w:rsidRDefault="00C12FCC" w:rsidP="00C12FCC">
            <w:pPr>
              <w:pStyle w:val="Marginlie"/>
            </w:pPr>
          </w:p>
        </w:tc>
        <w:tc>
          <w:tcPr>
            <w:tcW w:w="206" w:type="dxa"/>
            <w:shd w:val="clear" w:color="auto" w:fill="auto"/>
            <w:tcMar>
              <w:left w:w="0" w:type="dxa"/>
            </w:tcMar>
          </w:tcPr>
          <w:p w14:paraId="51730E25" w14:textId="77777777" w:rsidR="00C12FCC" w:rsidRPr="00B43216" w:rsidRDefault="00C12FCC" w:rsidP="00C12FCC">
            <w:pPr>
              <w:pStyle w:val="Textpoznpodarou"/>
              <w:jc w:val="both"/>
              <w:rPr>
                <w:spacing w:val="-4"/>
              </w:rPr>
            </w:pPr>
          </w:p>
        </w:tc>
        <w:tc>
          <w:tcPr>
            <w:tcW w:w="7730" w:type="dxa"/>
            <w:shd w:val="clear" w:color="auto" w:fill="auto"/>
            <w:tcMar>
              <w:left w:w="0" w:type="dxa"/>
            </w:tcMar>
          </w:tcPr>
          <w:p w14:paraId="45F27AC2" w14:textId="1DE7182D" w:rsidR="00C12FCC" w:rsidRPr="00491A43" w:rsidRDefault="00C12FCC" w:rsidP="00C12FCC">
            <w:pPr>
              <w:spacing w:after="0"/>
              <w:rPr>
                <w:szCs w:val="20"/>
              </w:rPr>
            </w:pPr>
            <w:r>
              <w:rPr>
                <w:b/>
              </w:rPr>
              <w:t xml:space="preserve">Chart </w:t>
            </w:r>
            <w:r w:rsidRPr="00491A43">
              <w:rPr>
                <w:b/>
              </w:rPr>
              <w:t>7</w:t>
            </w:r>
            <w:r>
              <w:rPr>
                <w:b/>
              </w:rPr>
              <w:t xml:space="preserve"> </w:t>
            </w:r>
            <w:r w:rsidRPr="00491A43">
              <w:rPr>
                <w:b/>
              </w:rPr>
              <w:t xml:space="preserve"> </w:t>
            </w:r>
            <w:r w:rsidRPr="000A5DBC">
              <w:rPr>
                <w:b/>
                <w:lang w:val="en-GB"/>
              </w:rPr>
              <w:t xml:space="preserve">Contributions of branches to year-on-year change of sales in services* </w:t>
            </w:r>
            <w:r w:rsidRPr="000A5DBC">
              <w:rPr>
                <w:lang w:val="en-GB"/>
              </w:rPr>
              <w:t xml:space="preserve">(in p.p., </w:t>
            </w:r>
            <w:r>
              <w:rPr>
                <w:lang w:val="en-GB"/>
              </w:rPr>
              <w:t>real),</w:t>
            </w:r>
            <w:r w:rsidRPr="000A5DBC">
              <w:rPr>
                <w:b/>
                <w:lang w:val="en-GB"/>
              </w:rPr>
              <w:t xml:space="preserve"> balance of confidence indicator in selected services** </w:t>
            </w:r>
            <w:r w:rsidRPr="000A5DBC">
              <w:rPr>
                <w:lang w:val="en-GB"/>
              </w:rPr>
              <w:t>(i</w:t>
            </w:r>
            <w:r>
              <w:rPr>
                <w:lang w:val="en-GB"/>
              </w:rPr>
              <w:t>n p.p., right axis</w:t>
            </w:r>
            <w:r w:rsidRPr="000A5DBC">
              <w:rPr>
                <w:lang w:val="en-GB"/>
              </w:rPr>
              <w:t>)</w:t>
            </w:r>
            <w:r w:rsidRPr="000A5DBC">
              <w:rPr>
                <w:b/>
                <w:lang w:val="en-GB"/>
              </w:rPr>
              <w:t xml:space="preserve"> and selected growth barriers*</w:t>
            </w:r>
            <w:r>
              <w:rPr>
                <w:lang w:val="en-GB"/>
              </w:rPr>
              <w:t>* (in %, right axis)</w:t>
            </w:r>
          </w:p>
        </w:tc>
      </w:tr>
      <w:tr w:rsidR="00C12FCC" w:rsidRPr="00191C35" w14:paraId="4CF79A9D" w14:textId="77777777" w:rsidTr="00F54F86">
        <w:tblPrEx>
          <w:tblCellMar>
            <w:left w:w="70" w:type="dxa"/>
            <w:right w:w="70" w:type="dxa"/>
          </w:tblCellMar>
        </w:tblPrEx>
        <w:trPr>
          <w:trHeight w:val="145"/>
        </w:trPr>
        <w:tc>
          <w:tcPr>
            <w:tcW w:w="1728" w:type="dxa"/>
            <w:shd w:val="clear" w:color="auto" w:fill="auto"/>
          </w:tcPr>
          <w:p w14:paraId="25069B2C" w14:textId="77777777" w:rsidR="00C12FCC" w:rsidRDefault="00C12FCC" w:rsidP="00C12FCC">
            <w:pPr>
              <w:pStyle w:val="Marginlie"/>
            </w:pPr>
          </w:p>
        </w:tc>
        <w:tc>
          <w:tcPr>
            <w:tcW w:w="206" w:type="dxa"/>
            <w:shd w:val="clear" w:color="auto" w:fill="auto"/>
          </w:tcPr>
          <w:p w14:paraId="097BB298" w14:textId="77777777" w:rsidR="00C12FCC" w:rsidRPr="00B43216" w:rsidRDefault="00C12FCC" w:rsidP="00C12FCC">
            <w:pPr>
              <w:pStyle w:val="Textpoznpodarou"/>
              <w:jc w:val="both"/>
              <w:rPr>
                <w:spacing w:val="-4"/>
              </w:rPr>
            </w:pPr>
          </w:p>
        </w:tc>
        <w:tc>
          <w:tcPr>
            <w:tcW w:w="7730" w:type="dxa"/>
            <w:shd w:val="clear" w:color="auto" w:fill="auto"/>
          </w:tcPr>
          <w:p w14:paraId="697F1FE6" w14:textId="019AAA63" w:rsidR="00C12FCC" w:rsidRPr="004D53D9" w:rsidRDefault="00C12FCC" w:rsidP="00C12FCC">
            <w:pPr>
              <w:spacing w:after="0"/>
              <w:rPr>
                <w:spacing w:val="-4"/>
                <w:szCs w:val="20"/>
              </w:rPr>
            </w:pPr>
            <w:r>
              <w:rPr>
                <w:noProof/>
              </w:rPr>
              <w:drawing>
                <wp:inline distT="0" distB="0" distL="0" distR="0" wp14:anchorId="25874FDD" wp14:editId="386C290D">
                  <wp:extent cx="4778163" cy="3590193"/>
                  <wp:effectExtent l="0" t="0" r="3810" b="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C12FCC" w:rsidRPr="00191C35" w14:paraId="430C4CF8" w14:textId="77777777" w:rsidTr="00B3385E">
        <w:trPr>
          <w:trHeight w:val="145"/>
        </w:trPr>
        <w:tc>
          <w:tcPr>
            <w:tcW w:w="1728" w:type="dxa"/>
            <w:shd w:val="clear" w:color="auto" w:fill="auto"/>
            <w:tcMar>
              <w:left w:w="0" w:type="dxa"/>
            </w:tcMar>
          </w:tcPr>
          <w:p w14:paraId="51F34DA1" w14:textId="77777777" w:rsidR="00C12FCC" w:rsidRDefault="00C12FCC" w:rsidP="00C12FCC">
            <w:pPr>
              <w:pStyle w:val="Marginlie"/>
            </w:pPr>
          </w:p>
        </w:tc>
        <w:tc>
          <w:tcPr>
            <w:tcW w:w="206" w:type="dxa"/>
            <w:shd w:val="clear" w:color="auto" w:fill="auto"/>
            <w:tcMar>
              <w:left w:w="0" w:type="dxa"/>
            </w:tcMar>
          </w:tcPr>
          <w:p w14:paraId="7DF5F619" w14:textId="77777777" w:rsidR="00C12FCC" w:rsidRPr="00B43216" w:rsidRDefault="00C12FCC" w:rsidP="00C12FCC">
            <w:pPr>
              <w:pStyle w:val="Textpoznpodarou"/>
              <w:jc w:val="both"/>
              <w:rPr>
                <w:spacing w:val="-4"/>
              </w:rPr>
            </w:pPr>
          </w:p>
        </w:tc>
        <w:tc>
          <w:tcPr>
            <w:tcW w:w="7730" w:type="dxa"/>
            <w:shd w:val="clear" w:color="auto" w:fill="auto"/>
            <w:tcMar>
              <w:left w:w="0" w:type="dxa"/>
            </w:tcMar>
          </w:tcPr>
          <w:p w14:paraId="5FEF0A67" w14:textId="6475801E" w:rsidR="00C12FCC" w:rsidRPr="00883202" w:rsidRDefault="00C12FCC" w:rsidP="00C12FCC">
            <w:pPr>
              <w:spacing w:after="0"/>
              <w:rPr>
                <w:rFonts w:cs="Arial"/>
                <w:sz w:val="14"/>
                <w:szCs w:val="14"/>
              </w:rPr>
            </w:pPr>
            <w:r w:rsidRPr="00883202">
              <w:rPr>
                <w:rFonts w:cs="Arial"/>
                <w:sz w:val="14"/>
                <w:szCs w:val="14"/>
              </w:rPr>
              <w:t>*</w:t>
            </w:r>
            <w:r w:rsidRPr="007A51D9">
              <w:rPr>
                <w:color w:val="0D0D0D" w:themeColor="text1" w:themeTint="F2"/>
                <w:sz w:val="14"/>
                <w:szCs w:val="14"/>
                <w:lang w:val="en-GB"/>
              </w:rPr>
              <w:t xml:space="preserve"> Without branches trade, financial activities, insurance activities, science, research and public services</w:t>
            </w:r>
            <w:r>
              <w:rPr>
                <w:color w:val="0D0D0D" w:themeColor="text1" w:themeTint="F2"/>
                <w:sz w:val="14"/>
                <w:szCs w:val="14"/>
                <w:lang w:val="en-GB"/>
              </w:rPr>
              <w:t xml:space="preserve">. Sales are adjusted for calendar effect. </w:t>
            </w:r>
          </w:p>
          <w:p w14:paraId="706EEBDB" w14:textId="444103CC" w:rsidR="00C12FCC" w:rsidRDefault="00C12FCC" w:rsidP="00C12FCC">
            <w:pPr>
              <w:tabs>
                <w:tab w:val="right" w:pos="7711"/>
              </w:tabs>
              <w:spacing w:after="0"/>
              <w:rPr>
                <w:rFonts w:cs="Arial"/>
                <w:sz w:val="14"/>
                <w:szCs w:val="14"/>
              </w:rPr>
            </w:pPr>
            <w:r w:rsidRPr="00883202">
              <w:rPr>
                <w:rFonts w:cs="Arial"/>
                <w:sz w:val="14"/>
                <w:szCs w:val="14"/>
              </w:rPr>
              <w:t>**</w:t>
            </w:r>
            <w:r w:rsidRPr="007A51D9">
              <w:rPr>
                <w:rFonts w:cs="Arial"/>
                <w:sz w:val="14"/>
                <w:szCs w:val="14"/>
                <w:lang w:val="en-GB"/>
              </w:rPr>
              <w:t xml:space="preserve">Also includes the financial sector. Balance of confidence as well as the barriers to growth are seasonally adjusted and express the state in the first (growth barriers), resp. second month of the given quarter </w:t>
            </w:r>
            <w:r w:rsidRPr="007A51D9">
              <w:rPr>
                <w:rFonts w:cs="Arial"/>
                <w:spacing w:val="-2"/>
                <w:sz w:val="14"/>
                <w:szCs w:val="14"/>
                <w:lang w:val="en-GB"/>
              </w:rPr>
              <w:t>(balance of confidence). Businesses could have stated more main barriers simultaneousl</w:t>
            </w:r>
            <w:r>
              <w:rPr>
                <w:rFonts w:cs="Arial"/>
                <w:spacing w:val="-2"/>
                <w:sz w:val="14"/>
                <w:szCs w:val="14"/>
                <w:lang w:val="en-GB"/>
              </w:rPr>
              <w:t xml:space="preserve">y. </w:t>
            </w:r>
          </w:p>
          <w:p w14:paraId="6A5B139D" w14:textId="7B9BF55B" w:rsidR="00C12FCC" w:rsidRPr="00417064" w:rsidRDefault="00C12FCC" w:rsidP="00C12FCC">
            <w:pPr>
              <w:tabs>
                <w:tab w:val="right" w:pos="7711"/>
              </w:tabs>
              <w:spacing w:after="200"/>
              <w:jc w:val="right"/>
              <w:rPr>
                <w:rFonts w:cs="Arial"/>
                <w:sz w:val="14"/>
                <w:szCs w:val="14"/>
              </w:rPr>
            </w:pPr>
            <w:r>
              <w:rPr>
                <w:rFonts w:cs="Arial"/>
                <w:sz w:val="14"/>
                <w:szCs w:val="14"/>
              </w:rPr>
              <w:t>Source: CZSO, Eurostat</w:t>
            </w:r>
          </w:p>
        </w:tc>
      </w:tr>
      <w:tr w:rsidR="00C12FCC" w:rsidRPr="007B59C1" w14:paraId="37C82307" w14:textId="77777777" w:rsidTr="00B3385E">
        <w:trPr>
          <w:trHeight w:val="145"/>
        </w:trPr>
        <w:tc>
          <w:tcPr>
            <w:tcW w:w="1728" w:type="dxa"/>
            <w:shd w:val="clear" w:color="auto" w:fill="auto"/>
            <w:tcMar>
              <w:left w:w="0" w:type="dxa"/>
            </w:tcMar>
          </w:tcPr>
          <w:p w14:paraId="4A7FF61D" w14:textId="3C7B926C" w:rsidR="00C12FCC" w:rsidRPr="00347A07" w:rsidRDefault="00C12FCC" w:rsidP="00C12FCC">
            <w:pPr>
              <w:pStyle w:val="Marginlie"/>
              <w:rPr>
                <w:color w:val="0D0D0D" w:themeColor="text1" w:themeTint="F2"/>
                <w:lang w:val="en-GB"/>
              </w:rPr>
            </w:pPr>
            <w:r>
              <w:rPr>
                <w:color w:val="0D0D0D" w:themeColor="text1" w:themeTint="F2"/>
                <w:lang w:val="en-GB"/>
              </w:rPr>
              <w:t>Last year</w:t>
            </w:r>
            <w:r>
              <w:rPr>
                <w:color w:val="0D0D0D" w:themeColor="text1" w:themeTint="F2"/>
                <w:lang w:val="en-US"/>
              </w:rPr>
              <w:t>’</w:t>
            </w:r>
            <w:r>
              <w:rPr>
                <w:color w:val="0D0D0D" w:themeColor="text1" w:themeTint="F2"/>
              </w:rPr>
              <w:t xml:space="preserve">s </w:t>
            </w:r>
            <w:r>
              <w:rPr>
                <w:color w:val="0D0D0D" w:themeColor="text1" w:themeTint="F2"/>
                <w:lang w:val="en-GB"/>
              </w:rPr>
              <w:t xml:space="preserve">retail performance was marked by restrictions in Q1. Month-on-month decrease of sales was also recorded at the end of the last year. </w:t>
            </w:r>
          </w:p>
        </w:tc>
        <w:tc>
          <w:tcPr>
            <w:tcW w:w="206" w:type="dxa"/>
            <w:shd w:val="clear" w:color="auto" w:fill="auto"/>
            <w:tcMar>
              <w:left w:w="0" w:type="dxa"/>
            </w:tcMar>
          </w:tcPr>
          <w:p w14:paraId="2A118BBB" w14:textId="77777777" w:rsidR="00C12FCC" w:rsidRPr="00347A07" w:rsidRDefault="00C12FCC" w:rsidP="00C12FCC">
            <w:pPr>
              <w:pStyle w:val="Textpoznpodarou"/>
              <w:jc w:val="both"/>
              <w:rPr>
                <w:color w:val="0D0D0D" w:themeColor="text1" w:themeTint="F2"/>
                <w:spacing w:val="-4"/>
                <w:lang w:val="en-GB"/>
              </w:rPr>
            </w:pPr>
          </w:p>
        </w:tc>
        <w:tc>
          <w:tcPr>
            <w:tcW w:w="7730" w:type="dxa"/>
            <w:shd w:val="clear" w:color="auto" w:fill="auto"/>
            <w:tcMar>
              <w:left w:w="0" w:type="dxa"/>
            </w:tcMar>
          </w:tcPr>
          <w:p w14:paraId="7E2A4C90" w14:textId="1232ACC3" w:rsidR="00C12FCC" w:rsidRPr="00347A07" w:rsidRDefault="00C12FCC" w:rsidP="00C12FCC">
            <w:pPr>
              <w:spacing w:after="200"/>
              <w:rPr>
                <w:rFonts w:cs="Arial"/>
                <w:color w:val="0D0D0D" w:themeColor="text1" w:themeTint="F2"/>
                <w:spacing w:val="-3"/>
                <w:szCs w:val="20"/>
                <w:lang w:val="en-GB"/>
              </w:rPr>
            </w:pPr>
            <w:r>
              <w:rPr>
                <w:rFonts w:cs="Arial"/>
                <w:color w:val="0D0D0D" w:themeColor="text1" w:themeTint="F2"/>
                <w:spacing w:val="-3"/>
                <w:szCs w:val="20"/>
                <w:lang w:val="en-GB"/>
              </w:rPr>
              <w:t xml:space="preserve">Last </w:t>
            </w:r>
            <w:r w:rsidRPr="008D04A7">
              <w:rPr>
                <w:rFonts w:cs="Arial"/>
                <w:color w:val="0D0D0D" w:themeColor="text1" w:themeTint="F2"/>
                <w:spacing w:val="-3"/>
                <w:szCs w:val="20"/>
                <w:lang w:val="en-GB"/>
              </w:rPr>
              <w:t>year’s retail sales</w:t>
            </w:r>
            <w:r w:rsidRPr="008D04A7">
              <w:rPr>
                <w:rStyle w:val="Znakapoznpodarou"/>
                <w:color w:val="0D0D0D" w:themeColor="text1" w:themeTint="F2"/>
                <w:spacing w:val="-3"/>
                <w:lang w:val="en-GB"/>
              </w:rPr>
              <w:footnoteReference w:id="25"/>
            </w:r>
            <w:r w:rsidRPr="008D04A7">
              <w:rPr>
                <w:rFonts w:cs="Arial"/>
                <w:color w:val="0D0D0D" w:themeColor="text1" w:themeTint="F2"/>
                <w:spacing w:val="-3"/>
                <w:szCs w:val="20"/>
                <w:lang w:val="en-GB"/>
              </w:rPr>
              <w:t xml:space="preserve"> were considerably affected by restrictions in Q1, which culminated by a substantial limitation of population mobility in March. </w:t>
            </w:r>
            <w:r>
              <w:rPr>
                <w:rFonts w:cs="Arial"/>
                <w:color w:val="0D0D0D" w:themeColor="text1" w:themeTint="F2"/>
                <w:spacing w:val="-3"/>
                <w:szCs w:val="20"/>
                <w:lang w:val="en-GB"/>
              </w:rPr>
              <w:t xml:space="preserve">Sales reacted to the Spring easing of restrictions by strong May growth </w:t>
            </w:r>
            <w:r w:rsidRPr="008D04A7">
              <w:rPr>
                <w:rFonts w:cs="Arial"/>
                <w:color w:val="0D0D0D" w:themeColor="text1" w:themeTint="F2"/>
                <w:spacing w:val="-3"/>
                <w:szCs w:val="20"/>
                <w:lang w:val="en-GB"/>
              </w:rPr>
              <w:t>(</w:t>
            </w:r>
            <w:r>
              <w:rPr>
                <w:rFonts w:cs="Arial"/>
                <w:color w:val="0D0D0D" w:themeColor="text1" w:themeTint="F2"/>
                <w:spacing w:val="-3"/>
                <w:szCs w:val="20"/>
                <w:lang w:val="en-GB"/>
              </w:rPr>
              <w:t xml:space="preserve">by </w:t>
            </w:r>
            <w:r w:rsidRPr="008D04A7">
              <w:rPr>
                <w:rFonts w:cs="Arial"/>
                <w:color w:val="0D0D0D" w:themeColor="text1" w:themeTint="F2"/>
                <w:spacing w:val="-3"/>
                <w:szCs w:val="20"/>
                <w:lang w:val="en-GB"/>
              </w:rPr>
              <w:t>9</w:t>
            </w:r>
            <w:r>
              <w:rPr>
                <w:rFonts w:cs="Arial"/>
                <w:color w:val="0D0D0D" w:themeColor="text1" w:themeTint="F2"/>
                <w:spacing w:val="-3"/>
                <w:szCs w:val="20"/>
                <w:lang w:val="en-GB"/>
              </w:rPr>
              <w:t>.</w:t>
            </w:r>
            <w:r w:rsidRPr="008D04A7">
              <w:rPr>
                <w:rFonts w:cs="Arial"/>
                <w:color w:val="0D0D0D" w:themeColor="text1" w:themeTint="F2"/>
                <w:spacing w:val="-3"/>
                <w:szCs w:val="20"/>
                <w:lang w:val="en-GB"/>
              </w:rPr>
              <w:t>0%</w:t>
            </w:r>
            <w:r>
              <w:rPr>
                <w:rFonts w:cs="Arial"/>
                <w:color w:val="0D0D0D" w:themeColor="text1" w:themeTint="F2"/>
                <w:spacing w:val="-3"/>
                <w:szCs w:val="20"/>
                <w:lang w:val="en-GB"/>
              </w:rPr>
              <w:t xml:space="preserve"> year-on-year, in that by 13.9% in the segment of non-food goods</w:t>
            </w:r>
            <w:r w:rsidRPr="008D04A7">
              <w:rPr>
                <w:rFonts w:cs="Arial"/>
                <w:color w:val="0D0D0D" w:themeColor="text1" w:themeTint="F2"/>
                <w:spacing w:val="-3"/>
                <w:szCs w:val="20"/>
                <w:lang w:val="en-GB"/>
              </w:rPr>
              <w:t>).</w:t>
            </w:r>
            <w:r>
              <w:rPr>
                <w:rFonts w:cs="Arial"/>
                <w:color w:val="0D0D0D" w:themeColor="text1" w:themeTint="F2"/>
                <w:spacing w:val="-3"/>
                <w:szCs w:val="20"/>
                <w:lang w:val="en-GB"/>
              </w:rPr>
              <w:t xml:space="preserve"> Simultaneously the value of the consumer confidence considerably strengthened but did not reach the height from the period shortly before the onset of the pandemics even during the Summer</w:t>
            </w:r>
            <w:r w:rsidRPr="00347A07">
              <w:rPr>
                <w:rStyle w:val="Znakapoznpodarou"/>
                <w:color w:val="0D0D0D" w:themeColor="text1" w:themeTint="F2"/>
                <w:spacing w:val="-3"/>
                <w:szCs w:val="20"/>
                <w:lang w:val="en-GB"/>
              </w:rPr>
              <w:footnoteReference w:id="26"/>
            </w:r>
            <w:r w:rsidRPr="00347A07">
              <w:rPr>
                <w:rFonts w:cs="Arial"/>
                <w:color w:val="0D0D0D" w:themeColor="text1" w:themeTint="F2"/>
                <w:spacing w:val="-3"/>
                <w:szCs w:val="20"/>
                <w:lang w:val="en-GB"/>
              </w:rPr>
              <w:t xml:space="preserve">. </w:t>
            </w:r>
            <w:r>
              <w:rPr>
                <w:rFonts w:cs="Arial"/>
                <w:color w:val="0D0D0D" w:themeColor="text1" w:themeTint="F2"/>
                <w:spacing w:val="-3"/>
                <w:szCs w:val="20"/>
                <w:lang w:val="en-GB"/>
              </w:rPr>
              <w:t xml:space="preserve">Even though the worsening of the epidemic situation </w:t>
            </w:r>
            <w:r>
              <w:rPr>
                <w:rFonts w:cs="Arial"/>
                <w:color w:val="0D0D0D" w:themeColor="text1" w:themeTint="F2"/>
                <w:spacing w:val="-3"/>
                <w:szCs w:val="20"/>
                <w:lang w:val="en-GB"/>
              </w:rPr>
              <w:lastRenderedPageBreak/>
              <w:t xml:space="preserve">was not connected to the restriction on the purchase options in the last third of the year any more, retail sales fell both in November and December </w:t>
            </w:r>
            <w:r w:rsidRPr="00347A07">
              <w:rPr>
                <w:rFonts w:cs="Arial"/>
                <w:color w:val="0D0D0D" w:themeColor="text1" w:themeTint="F2"/>
                <w:spacing w:val="-3"/>
                <w:szCs w:val="20"/>
                <w:lang w:val="en-GB"/>
              </w:rPr>
              <w:t>(</w:t>
            </w:r>
            <w:r>
              <w:rPr>
                <w:rFonts w:cs="Arial"/>
                <w:color w:val="0D0D0D" w:themeColor="text1" w:themeTint="F2"/>
                <w:spacing w:val="-3"/>
                <w:szCs w:val="20"/>
                <w:lang w:val="en-GB"/>
              </w:rPr>
              <w:t xml:space="preserve">in total by </w:t>
            </w:r>
            <w:r w:rsidRPr="00347A07">
              <w:rPr>
                <w:rFonts w:cs="Arial"/>
                <w:color w:val="0D0D0D" w:themeColor="text1" w:themeTint="F2"/>
                <w:spacing w:val="-3"/>
                <w:szCs w:val="20"/>
                <w:lang w:val="en-GB"/>
              </w:rPr>
              <w:t>3</w:t>
            </w:r>
            <w:r>
              <w:rPr>
                <w:rFonts w:cs="Arial"/>
                <w:color w:val="0D0D0D" w:themeColor="text1" w:themeTint="F2"/>
                <w:spacing w:val="-3"/>
                <w:szCs w:val="20"/>
                <w:lang w:val="en-GB"/>
              </w:rPr>
              <w:t>.</w:t>
            </w:r>
            <w:r w:rsidRPr="00347A07">
              <w:rPr>
                <w:rFonts w:cs="Arial"/>
                <w:color w:val="0D0D0D" w:themeColor="text1" w:themeTint="F2"/>
                <w:spacing w:val="-3"/>
                <w:szCs w:val="20"/>
                <w:lang w:val="en-GB"/>
              </w:rPr>
              <w:t>4%</w:t>
            </w:r>
            <w:r>
              <w:rPr>
                <w:rFonts w:cs="Arial"/>
                <w:color w:val="0D0D0D" w:themeColor="text1" w:themeTint="F2"/>
                <w:spacing w:val="-3"/>
                <w:szCs w:val="20"/>
                <w:lang w:val="en-GB"/>
              </w:rPr>
              <w:t xml:space="preserve"> for both months</w:t>
            </w:r>
            <w:r w:rsidRPr="00347A07">
              <w:rPr>
                <w:rFonts w:cs="Arial"/>
                <w:color w:val="0D0D0D" w:themeColor="text1" w:themeTint="F2"/>
                <w:spacing w:val="-3"/>
                <w:szCs w:val="20"/>
                <w:lang w:val="en-GB"/>
              </w:rPr>
              <w:t xml:space="preserve">). </w:t>
            </w:r>
            <w:r>
              <w:rPr>
                <w:rFonts w:cs="Arial"/>
                <w:color w:val="0D0D0D" w:themeColor="text1" w:themeTint="F2"/>
                <w:spacing w:val="-3"/>
                <w:szCs w:val="20"/>
                <w:lang w:val="en-GB"/>
              </w:rPr>
              <w:t xml:space="preserve">They increased by </w:t>
            </w:r>
            <w:r w:rsidRPr="00347A07">
              <w:rPr>
                <w:rFonts w:cs="Arial"/>
                <w:color w:val="0D0D0D" w:themeColor="text1" w:themeTint="F2"/>
                <w:spacing w:val="-3"/>
                <w:szCs w:val="20"/>
                <w:lang w:val="en-GB"/>
              </w:rPr>
              <w:t>4</w:t>
            </w:r>
            <w:r>
              <w:rPr>
                <w:rFonts w:cs="Arial"/>
                <w:color w:val="0D0D0D" w:themeColor="text1" w:themeTint="F2"/>
                <w:spacing w:val="-3"/>
                <w:szCs w:val="20"/>
                <w:lang w:val="en-GB"/>
              </w:rPr>
              <w:t>.</w:t>
            </w:r>
            <w:r w:rsidRPr="00347A07">
              <w:rPr>
                <w:rFonts w:cs="Arial"/>
                <w:color w:val="0D0D0D" w:themeColor="text1" w:themeTint="F2"/>
                <w:spacing w:val="-3"/>
                <w:szCs w:val="20"/>
                <w:lang w:val="en-GB"/>
              </w:rPr>
              <w:t>4%</w:t>
            </w:r>
            <w:r w:rsidRPr="00347A07">
              <w:rPr>
                <w:rStyle w:val="Znakapoznpodarou"/>
                <w:color w:val="0D0D0D" w:themeColor="text1" w:themeTint="F2"/>
                <w:spacing w:val="-3"/>
                <w:szCs w:val="20"/>
                <w:lang w:val="en-GB"/>
              </w:rPr>
              <w:footnoteReference w:id="27"/>
            </w:r>
            <w:r>
              <w:rPr>
                <w:rFonts w:cs="Arial"/>
                <w:color w:val="0D0D0D" w:themeColor="text1" w:themeTint="F2"/>
                <w:spacing w:val="-3"/>
                <w:szCs w:val="20"/>
                <w:lang w:val="en-GB"/>
              </w:rPr>
              <w:t xml:space="preserve"> for the whole last year and after small decrease in year </w:t>
            </w:r>
            <w:r w:rsidRPr="00347A07">
              <w:rPr>
                <w:rFonts w:cs="Arial"/>
                <w:color w:val="0D0D0D" w:themeColor="text1" w:themeTint="F2"/>
                <w:spacing w:val="-3"/>
                <w:szCs w:val="20"/>
                <w:lang w:val="en-GB"/>
              </w:rPr>
              <w:t>2020 (</w:t>
            </w:r>
            <w:r>
              <w:rPr>
                <w:rFonts w:cs="Arial"/>
                <w:color w:val="0D0D0D" w:themeColor="text1" w:themeTint="F2"/>
                <w:spacing w:val="-3"/>
                <w:szCs w:val="20"/>
                <w:lang w:val="en-GB"/>
              </w:rPr>
              <w:t xml:space="preserve">by </w:t>
            </w:r>
            <w:r w:rsidRPr="00347A07">
              <w:rPr>
                <w:rFonts w:cs="Arial"/>
                <w:color w:val="0D0D0D" w:themeColor="text1" w:themeTint="F2"/>
                <w:spacing w:val="-3"/>
                <w:szCs w:val="20"/>
                <w:lang w:val="en-GB"/>
              </w:rPr>
              <w:t>0</w:t>
            </w:r>
            <w:r>
              <w:rPr>
                <w:rFonts w:cs="Arial"/>
                <w:color w:val="0D0D0D" w:themeColor="text1" w:themeTint="F2"/>
                <w:spacing w:val="-3"/>
                <w:szCs w:val="20"/>
                <w:lang w:val="en-GB"/>
              </w:rPr>
              <w:t>.</w:t>
            </w:r>
            <w:r w:rsidRPr="00347A07">
              <w:rPr>
                <w:rFonts w:cs="Arial"/>
                <w:color w:val="0D0D0D" w:themeColor="text1" w:themeTint="F2"/>
                <w:spacing w:val="-3"/>
                <w:szCs w:val="20"/>
                <w:lang w:val="en-GB"/>
              </w:rPr>
              <w:t>9%)</w:t>
            </w:r>
            <w:r>
              <w:rPr>
                <w:rFonts w:cs="Arial"/>
                <w:color w:val="0D0D0D" w:themeColor="text1" w:themeTint="F2"/>
                <w:spacing w:val="-3"/>
                <w:szCs w:val="20"/>
                <w:lang w:val="en-GB"/>
              </w:rPr>
              <w:t xml:space="preserve"> they neared the pace from the period just before the onset of the pandemics. </w:t>
            </w:r>
          </w:p>
        </w:tc>
      </w:tr>
      <w:tr w:rsidR="00C12FCC" w:rsidRPr="007B59C1" w14:paraId="0629855B" w14:textId="77777777" w:rsidTr="00B3385E">
        <w:trPr>
          <w:trHeight w:val="145"/>
        </w:trPr>
        <w:tc>
          <w:tcPr>
            <w:tcW w:w="1728" w:type="dxa"/>
            <w:shd w:val="clear" w:color="auto" w:fill="auto"/>
            <w:tcMar>
              <w:left w:w="0" w:type="dxa"/>
            </w:tcMar>
          </w:tcPr>
          <w:p w14:paraId="2AD08411" w14:textId="2747C511" w:rsidR="00C12FCC" w:rsidRDefault="00C12FCC" w:rsidP="00C12FCC">
            <w:pPr>
              <w:pStyle w:val="Marginlie"/>
              <w:rPr>
                <w:color w:val="0D0D0D" w:themeColor="text1" w:themeTint="F2"/>
                <w:lang w:val="en-GB"/>
              </w:rPr>
            </w:pPr>
            <w:r>
              <w:rPr>
                <w:color w:val="0D0D0D" w:themeColor="text1" w:themeTint="F2"/>
                <w:lang w:val="en-GB"/>
              </w:rPr>
              <w:lastRenderedPageBreak/>
              <w:t xml:space="preserve">Sales for non-food goods were significantly driven by the sales via internet. </w:t>
            </w:r>
          </w:p>
          <w:p w14:paraId="075FE0D7" w14:textId="77777777" w:rsidR="00C12FCC" w:rsidRPr="006F1F09" w:rsidRDefault="00C12FCC" w:rsidP="00C12FCC">
            <w:pPr>
              <w:pStyle w:val="Marginlie"/>
              <w:rPr>
                <w:color w:val="0D0D0D" w:themeColor="text1" w:themeTint="F2"/>
                <w:lang w:val="en-GB"/>
              </w:rPr>
            </w:pPr>
          </w:p>
          <w:p w14:paraId="1C675393" w14:textId="77777777" w:rsidR="00C12FCC" w:rsidRPr="006F1F09" w:rsidRDefault="00C12FCC" w:rsidP="00C12FCC">
            <w:pPr>
              <w:pStyle w:val="Marginlie"/>
              <w:rPr>
                <w:color w:val="0D0D0D" w:themeColor="text1" w:themeTint="F2"/>
                <w:lang w:val="en-GB"/>
              </w:rPr>
            </w:pPr>
          </w:p>
          <w:p w14:paraId="42FDE83F" w14:textId="77777777" w:rsidR="00C12FCC" w:rsidRPr="006F1F09" w:rsidRDefault="00C12FCC" w:rsidP="00C12FCC">
            <w:pPr>
              <w:pStyle w:val="Marginlie"/>
              <w:rPr>
                <w:color w:val="0D0D0D" w:themeColor="text1" w:themeTint="F2"/>
                <w:lang w:val="en-GB"/>
              </w:rPr>
            </w:pPr>
          </w:p>
          <w:p w14:paraId="21C39B6B" w14:textId="77777777" w:rsidR="00C12FCC" w:rsidRPr="006F1F09" w:rsidRDefault="00C12FCC" w:rsidP="00C12FCC">
            <w:pPr>
              <w:pStyle w:val="Marginlie"/>
              <w:rPr>
                <w:color w:val="0D0D0D" w:themeColor="text1" w:themeTint="F2"/>
                <w:lang w:val="en-GB"/>
              </w:rPr>
            </w:pPr>
          </w:p>
          <w:p w14:paraId="682E2C3D" w14:textId="503834D2" w:rsidR="00C12FCC" w:rsidRPr="006F1F09" w:rsidRDefault="00C12FCC" w:rsidP="00C12FCC">
            <w:pPr>
              <w:pStyle w:val="Marginlie"/>
              <w:rPr>
                <w:color w:val="0D0D0D" w:themeColor="text1" w:themeTint="F2"/>
                <w:lang w:val="en-GB"/>
              </w:rPr>
            </w:pPr>
            <w:r>
              <w:rPr>
                <w:color w:val="0D0D0D" w:themeColor="text1" w:themeTint="F2"/>
                <w:lang w:val="en-GB"/>
              </w:rPr>
              <w:t>Sales for food fell for the second year in a row. Large chains apparently also participated on this result in 2</w:t>
            </w:r>
            <w:r w:rsidRPr="006F1F09">
              <w:rPr>
                <w:color w:val="0D0D0D" w:themeColor="text1" w:themeTint="F2"/>
                <w:lang w:val="en-GB"/>
              </w:rPr>
              <w:t>021</w:t>
            </w:r>
            <w:r>
              <w:rPr>
                <w:color w:val="0D0D0D" w:themeColor="text1" w:themeTint="F2"/>
                <w:lang w:val="en-GB"/>
              </w:rPr>
              <w:t xml:space="preserve">. </w:t>
            </w:r>
          </w:p>
        </w:tc>
        <w:tc>
          <w:tcPr>
            <w:tcW w:w="206" w:type="dxa"/>
            <w:shd w:val="clear" w:color="auto" w:fill="auto"/>
            <w:tcMar>
              <w:left w:w="0" w:type="dxa"/>
            </w:tcMar>
          </w:tcPr>
          <w:p w14:paraId="4E640E3B" w14:textId="77777777" w:rsidR="00C12FCC" w:rsidRPr="006F1F09" w:rsidRDefault="00C12FCC" w:rsidP="00C12FCC">
            <w:pPr>
              <w:pStyle w:val="Textpoznpodarou"/>
              <w:jc w:val="both"/>
              <w:rPr>
                <w:color w:val="0D0D0D" w:themeColor="text1" w:themeTint="F2"/>
                <w:spacing w:val="-4"/>
                <w:lang w:val="en-GB"/>
              </w:rPr>
            </w:pPr>
          </w:p>
        </w:tc>
        <w:tc>
          <w:tcPr>
            <w:tcW w:w="7730" w:type="dxa"/>
            <w:shd w:val="clear" w:color="auto" w:fill="auto"/>
            <w:tcMar>
              <w:left w:w="0" w:type="dxa"/>
            </w:tcMar>
          </w:tcPr>
          <w:p w14:paraId="6F82C0C0" w14:textId="37EE0B3B" w:rsidR="00C12FCC" w:rsidRPr="006F1F09" w:rsidRDefault="00C12FCC" w:rsidP="00C12FCC">
            <w:pPr>
              <w:spacing w:after="200"/>
              <w:rPr>
                <w:rFonts w:cs="Arial"/>
                <w:color w:val="0D0D0D" w:themeColor="text1" w:themeTint="F2"/>
                <w:spacing w:val="-5"/>
                <w:szCs w:val="20"/>
                <w:lang w:val="en-GB"/>
              </w:rPr>
            </w:pPr>
            <w:r w:rsidRPr="006F1F09">
              <w:rPr>
                <w:rFonts w:cs="Arial"/>
                <w:color w:val="0D0D0D" w:themeColor="text1" w:themeTint="F2"/>
                <w:spacing w:val="-5"/>
                <w:szCs w:val="20"/>
                <w:lang w:val="en-GB"/>
              </w:rPr>
              <w:t>L</w:t>
            </w:r>
            <w:r>
              <w:rPr>
                <w:rFonts w:cs="Arial"/>
                <w:color w:val="0D0D0D" w:themeColor="text1" w:themeTint="F2"/>
                <w:spacing w:val="-5"/>
                <w:szCs w:val="20"/>
                <w:lang w:val="en-GB"/>
              </w:rPr>
              <w:t xml:space="preserve">ast </w:t>
            </w:r>
            <w:r w:rsidRPr="000C4093">
              <w:rPr>
                <w:rFonts w:cs="Arial"/>
                <w:color w:val="0D0D0D" w:themeColor="text1" w:themeTint="F2"/>
                <w:spacing w:val="-5"/>
                <w:szCs w:val="20"/>
                <w:lang w:val="en-GB"/>
              </w:rPr>
              <w:t xml:space="preserve">year’s growth of the whole retail was driven the most by higher sales for non-food goods (8.0% year-on-year), </w:t>
            </w:r>
            <w:r>
              <w:rPr>
                <w:rFonts w:cs="Arial"/>
                <w:color w:val="0D0D0D" w:themeColor="text1" w:themeTint="F2"/>
                <w:spacing w:val="-5"/>
                <w:szCs w:val="20"/>
                <w:lang w:val="en-GB"/>
              </w:rPr>
              <w:t xml:space="preserve">which could have been the result of postponed consumption as well as the popularity of purchases via internet, which apparently became the dominant purchasing channel for a part of the consumers during the pandemic. Within the specialised shops, apart from the sales via internet the sales in shops with computer and communication equipment </w:t>
            </w:r>
            <w:r w:rsidRPr="000C4093">
              <w:rPr>
                <w:rFonts w:cs="Arial"/>
                <w:color w:val="0D0D0D" w:themeColor="text1" w:themeTint="F2"/>
                <w:spacing w:val="-5"/>
                <w:szCs w:val="20"/>
                <w:lang w:val="en-GB"/>
              </w:rPr>
              <w:t>(6</w:t>
            </w:r>
            <w:r>
              <w:rPr>
                <w:rFonts w:cs="Arial"/>
                <w:color w:val="0D0D0D" w:themeColor="text1" w:themeTint="F2"/>
                <w:spacing w:val="-5"/>
                <w:szCs w:val="20"/>
                <w:lang w:val="en-GB"/>
              </w:rPr>
              <w:t>.</w:t>
            </w:r>
            <w:r w:rsidRPr="000C4093">
              <w:rPr>
                <w:rFonts w:cs="Arial"/>
                <w:color w:val="0D0D0D" w:themeColor="text1" w:themeTint="F2"/>
                <w:spacing w:val="-5"/>
                <w:szCs w:val="20"/>
                <w:lang w:val="en-GB"/>
              </w:rPr>
              <w:t>8%) a</w:t>
            </w:r>
            <w:r>
              <w:rPr>
                <w:rFonts w:cs="Arial"/>
                <w:color w:val="0D0D0D" w:themeColor="text1" w:themeTint="F2"/>
                <w:spacing w:val="-5"/>
                <w:szCs w:val="20"/>
                <w:lang w:val="en-GB"/>
              </w:rPr>
              <w:t xml:space="preserve">nd in shops with cosmetic and toilet requisites </w:t>
            </w:r>
            <w:r w:rsidRPr="000C4093">
              <w:rPr>
                <w:rFonts w:cs="Arial"/>
                <w:color w:val="0D0D0D" w:themeColor="text1" w:themeTint="F2"/>
                <w:spacing w:val="-5"/>
                <w:szCs w:val="20"/>
                <w:lang w:val="en-GB"/>
              </w:rPr>
              <w:t>(5</w:t>
            </w:r>
            <w:r>
              <w:rPr>
                <w:rFonts w:cs="Arial"/>
                <w:color w:val="0D0D0D" w:themeColor="text1" w:themeTint="F2"/>
                <w:spacing w:val="-5"/>
                <w:szCs w:val="20"/>
                <w:lang w:val="en-GB"/>
              </w:rPr>
              <w:t>.</w:t>
            </w:r>
            <w:r w:rsidRPr="000C4093">
              <w:rPr>
                <w:rFonts w:cs="Arial"/>
                <w:color w:val="0D0D0D" w:themeColor="text1" w:themeTint="F2"/>
                <w:spacing w:val="-5"/>
                <w:szCs w:val="20"/>
                <w:lang w:val="en-GB"/>
              </w:rPr>
              <w:t>8%)</w:t>
            </w:r>
            <w:r>
              <w:rPr>
                <w:rFonts w:cs="Arial"/>
                <w:color w:val="0D0D0D" w:themeColor="text1" w:themeTint="F2"/>
                <w:spacing w:val="-5"/>
                <w:szCs w:val="20"/>
                <w:lang w:val="en-GB"/>
              </w:rPr>
              <w:t xml:space="preserve"> grew the most</w:t>
            </w:r>
            <w:r w:rsidRPr="000C4093">
              <w:rPr>
                <w:rFonts w:cs="Arial"/>
                <w:color w:val="0D0D0D" w:themeColor="text1" w:themeTint="F2"/>
                <w:spacing w:val="-5"/>
                <w:szCs w:val="20"/>
                <w:lang w:val="en-GB"/>
              </w:rPr>
              <w:t xml:space="preserve">. </w:t>
            </w:r>
            <w:r>
              <w:rPr>
                <w:rFonts w:cs="Arial"/>
                <w:color w:val="0D0D0D" w:themeColor="text1" w:themeTint="F2"/>
                <w:spacing w:val="-5"/>
                <w:szCs w:val="20"/>
                <w:lang w:val="en-GB"/>
              </w:rPr>
              <w:t xml:space="preserve">Demand for shops with clothing, footwear and leather goods and also for products for culture and recreation grew slower – the sales nevertheless still in both cases notably lagged behind the year 2019. Sales for food shrank last year for the second year in a row (equally by </w:t>
            </w:r>
            <w:r w:rsidRPr="000C4093">
              <w:rPr>
                <w:rFonts w:cs="Arial"/>
                <w:color w:val="0D0D0D" w:themeColor="text1" w:themeTint="F2"/>
                <w:spacing w:val="-5"/>
                <w:szCs w:val="20"/>
                <w:lang w:val="en-GB"/>
              </w:rPr>
              <w:t>0</w:t>
            </w:r>
            <w:r>
              <w:rPr>
                <w:rFonts w:cs="Arial"/>
                <w:color w:val="0D0D0D" w:themeColor="text1" w:themeTint="F2"/>
                <w:spacing w:val="-5"/>
                <w:szCs w:val="20"/>
                <w:lang w:val="en-GB"/>
              </w:rPr>
              <w:t>.</w:t>
            </w:r>
            <w:r w:rsidRPr="000C4093">
              <w:rPr>
                <w:rFonts w:cs="Arial"/>
                <w:color w:val="0D0D0D" w:themeColor="text1" w:themeTint="F2"/>
                <w:spacing w:val="-5"/>
                <w:szCs w:val="20"/>
                <w:lang w:val="en-GB"/>
              </w:rPr>
              <w:t>3%),</w:t>
            </w:r>
            <w:r>
              <w:rPr>
                <w:rFonts w:cs="Arial"/>
                <w:color w:val="0D0D0D" w:themeColor="text1" w:themeTint="F2"/>
                <w:spacing w:val="-5"/>
                <w:szCs w:val="20"/>
                <w:lang w:val="en-GB"/>
              </w:rPr>
              <w:t xml:space="preserve"> they fell in non-specialised shops, where the large business chains dominate, for the first time after seven years of growth. Sellers of fuels earned by 4.0% </w:t>
            </w:r>
            <w:r w:rsidRPr="00D447AE">
              <w:rPr>
                <w:rFonts w:cs="Arial"/>
                <w:color w:val="0D0D0D" w:themeColor="text1" w:themeTint="F2"/>
                <w:spacing w:val="-5"/>
                <w:szCs w:val="20"/>
                <w:lang w:val="en-GB"/>
              </w:rPr>
              <w:t>more year-on-year, however they were far from offsetting the slump from year 2020</w:t>
            </w:r>
            <w:r w:rsidRPr="00D447AE">
              <w:rPr>
                <w:rStyle w:val="Znakapoznpodarou"/>
                <w:color w:val="0D0D0D" w:themeColor="text1" w:themeTint="F2"/>
                <w:spacing w:val="-5"/>
                <w:szCs w:val="20"/>
                <w:lang w:val="en-GB"/>
              </w:rPr>
              <w:footnoteReference w:id="28"/>
            </w:r>
            <w:r w:rsidRPr="00D447AE">
              <w:rPr>
                <w:rFonts w:cs="Arial"/>
                <w:color w:val="0D0D0D" w:themeColor="text1" w:themeTint="F2"/>
                <w:spacing w:val="-5"/>
                <w:szCs w:val="20"/>
                <w:lang w:val="en-GB"/>
              </w:rPr>
              <w:t>. The motorist segment was in similar situation, their sales lagged by 8% behind the level of year 2019 despite the last year’s revival. It was valid for this whole segment apart f</w:t>
            </w:r>
            <w:r>
              <w:rPr>
                <w:rFonts w:cs="Arial"/>
                <w:color w:val="0D0D0D" w:themeColor="text1" w:themeTint="F2"/>
                <w:spacing w:val="-5"/>
                <w:szCs w:val="20"/>
                <w:lang w:val="en-GB"/>
              </w:rPr>
              <w:t>rom</w:t>
            </w:r>
            <w:r w:rsidRPr="00D447AE">
              <w:rPr>
                <w:rFonts w:cs="Arial"/>
                <w:color w:val="0D0D0D" w:themeColor="text1" w:themeTint="F2"/>
                <w:spacing w:val="-5"/>
                <w:szCs w:val="20"/>
                <w:lang w:val="en-GB"/>
              </w:rPr>
              <w:t xml:space="preserve"> trade, repairs and motorcycles maintenance (with long time growing demand, largely not disrupted during the pandemics).</w:t>
            </w:r>
          </w:p>
        </w:tc>
      </w:tr>
      <w:tr w:rsidR="00C12FCC" w:rsidRPr="00BA07CB" w14:paraId="43E58328" w14:textId="77777777" w:rsidTr="00B3385E">
        <w:trPr>
          <w:trHeight w:val="145"/>
        </w:trPr>
        <w:tc>
          <w:tcPr>
            <w:tcW w:w="1728" w:type="dxa"/>
            <w:shd w:val="clear" w:color="auto" w:fill="auto"/>
            <w:tcMar>
              <w:left w:w="0" w:type="dxa"/>
            </w:tcMar>
          </w:tcPr>
          <w:p w14:paraId="01EDB46D" w14:textId="24E9162E" w:rsidR="00C12FCC" w:rsidRPr="0006697D" w:rsidRDefault="00C12FCC" w:rsidP="00C12FCC">
            <w:pPr>
              <w:pStyle w:val="Marginlie"/>
              <w:rPr>
                <w:color w:val="0D0D0D" w:themeColor="text1" w:themeTint="F2"/>
              </w:rPr>
            </w:pPr>
          </w:p>
        </w:tc>
        <w:tc>
          <w:tcPr>
            <w:tcW w:w="206" w:type="dxa"/>
            <w:shd w:val="clear" w:color="auto" w:fill="auto"/>
            <w:tcMar>
              <w:left w:w="0" w:type="dxa"/>
            </w:tcMar>
          </w:tcPr>
          <w:p w14:paraId="172F6E33" w14:textId="77777777" w:rsidR="00C12FCC" w:rsidRPr="0006697D" w:rsidRDefault="00C12FCC" w:rsidP="00C12FCC">
            <w:pPr>
              <w:pStyle w:val="Textpoznpodarou"/>
              <w:jc w:val="both"/>
              <w:rPr>
                <w:color w:val="0D0D0D" w:themeColor="text1" w:themeTint="F2"/>
                <w:spacing w:val="-4"/>
              </w:rPr>
            </w:pPr>
          </w:p>
        </w:tc>
        <w:tc>
          <w:tcPr>
            <w:tcW w:w="7730" w:type="dxa"/>
            <w:shd w:val="clear" w:color="auto" w:fill="auto"/>
            <w:tcMar>
              <w:left w:w="0" w:type="dxa"/>
            </w:tcMar>
          </w:tcPr>
          <w:p w14:paraId="11A361A4" w14:textId="223A687E" w:rsidR="00C12FCC" w:rsidRPr="0006697D" w:rsidRDefault="00C12FCC" w:rsidP="00C12FCC">
            <w:pPr>
              <w:spacing w:after="0"/>
              <w:rPr>
                <w:rFonts w:cs="Arial"/>
                <w:color w:val="0D0D0D" w:themeColor="text1" w:themeTint="F2"/>
                <w:spacing w:val="-4"/>
                <w:szCs w:val="20"/>
              </w:rPr>
            </w:pPr>
            <w:r>
              <w:rPr>
                <w:rFonts w:cs="Arial"/>
                <w:b/>
                <w:color w:val="0D0D0D" w:themeColor="text1" w:themeTint="F2"/>
                <w:spacing w:val="-4"/>
                <w:szCs w:val="20"/>
              </w:rPr>
              <w:t xml:space="preserve">Chart </w:t>
            </w:r>
            <w:r w:rsidRPr="00360244">
              <w:rPr>
                <w:rFonts w:cs="Arial"/>
                <w:b/>
                <w:color w:val="0D0D0D" w:themeColor="text1" w:themeTint="F2"/>
                <w:spacing w:val="-4"/>
                <w:szCs w:val="20"/>
              </w:rPr>
              <w:t>8</w:t>
            </w:r>
            <w:r>
              <w:rPr>
                <w:rFonts w:cs="Arial"/>
                <w:b/>
                <w:color w:val="0D0D0D" w:themeColor="text1" w:themeTint="F2"/>
                <w:spacing w:val="-4"/>
                <w:szCs w:val="20"/>
              </w:rPr>
              <w:t xml:space="preserve"> </w:t>
            </w:r>
            <w:r w:rsidRPr="00CC1D7E">
              <w:rPr>
                <w:rFonts w:cs="Arial"/>
                <w:b/>
                <w:bCs/>
                <w:color w:val="0D0D0D" w:themeColor="text1" w:themeTint="F2"/>
                <w:spacing w:val="-4"/>
                <w:szCs w:val="20"/>
              </w:rPr>
              <w:t xml:space="preserve"> </w:t>
            </w:r>
            <w:r w:rsidRPr="00667F1B">
              <w:rPr>
                <w:rFonts w:cs="Arial"/>
                <w:b/>
                <w:bCs/>
                <w:color w:val="0D0D0D" w:themeColor="text1" w:themeTint="F2"/>
                <w:spacing w:val="-4"/>
                <w:szCs w:val="20"/>
                <w:lang w:val="en-GB"/>
              </w:rPr>
              <w:t xml:space="preserve">Retail sales* </w:t>
            </w:r>
            <w:r w:rsidRPr="00667F1B">
              <w:rPr>
                <w:rFonts w:cs="Arial"/>
                <w:color w:val="0D0D0D" w:themeColor="text1" w:themeTint="F2"/>
                <w:spacing w:val="-4"/>
                <w:szCs w:val="20"/>
                <w:lang w:val="en-GB"/>
              </w:rPr>
              <w:t xml:space="preserve">(real, year-on-year in %) </w:t>
            </w:r>
            <w:r w:rsidRPr="00667F1B">
              <w:rPr>
                <w:rFonts w:cs="Arial"/>
                <w:b/>
                <w:color w:val="0D0D0D" w:themeColor="text1" w:themeTint="F2"/>
                <w:spacing w:val="-4"/>
                <w:szCs w:val="20"/>
                <w:lang w:val="en-GB"/>
              </w:rPr>
              <w:t>and balance of confidence indicator of consumers</w:t>
            </w:r>
            <w:r w:rsidRPr="00667F1B">
              <w:rPr>
                <w:rFonts w:cs="Arial"/>
                <w:b/>
                <w:bCs/>
                <w:color w:val="0D0D0D" w:themeColor="text1" w:themeTint="F2"/>
                <w:spacing w:val="-4"/>
                <w:szCs w:val="20"/>
                <w:lang w:val="en-GB"/>
              </w:rPr>
              <w:t xml:space="preserve">** </w:t>
            </w:r>
            <w:r w:rsidRPr="00667F1B">
              <w:rPr>
                <w:rFonts w:cs="Arial"/>
                <w:color w:val="0D0D0D" w:themeColor="text1" w:themeTint="F2"/>
                <w:spacing w:val="-4"/>
                <w:szCs w:val="20"/>
                <w:lang w:val="en-GB"/>
              </w:rPr>
              <w:t>(in points, right axis)</w:t>
            </w:r>
          </w:p>
        </w:tc>
      </w:tr>
      <w:tr w:rsidR="00C12FCC" w:rsidRPr="004D53D9" w14:paraId="700CA7B2" w14:textId="77777777" w:rsidTr="007C581C">
        <w:tblPrEx>
          <w:tblCellMar>
            <w:left w:w="70" w:type="dxa"/>
            <w:right w:w="70" w:type="dxa"/>
          </w:tblCellMar>
        </w:tblPrEx>
        <w:trPr>
          <w:trHeight w:val="145"/>
        </w:trPr>
        <w:tc>
          <w:tcPr>
            <w:tcW w:w="1728" w:type="dxa"/>
            <w:shd w:val="clear" w:color="auto" w:fill="auto"/>
          </w:tcPr>
          <w:p w14:paraId="56E5604F" w14:textId="77777777" w:rsidR="00C12FCC" w:rsidRPr="0006697D" w:rsidRDefault="00C12FCC" w:rsidP="00C12FCC">
            <w:pPr>
              <w:pStyle w:val="Marginlie"/>
              <w:rPr>
                <w:color w:val="0D0D0D" w:themeColor="text1" w:themeTint="F2"/>
              </w:rPr>
            </w:pPr>
          </w:p>
        </w:tc>
        <w:tc>
          <w:tcPr>
            <w:tcW w:w="206" w:type="dxa"/>
            <w:shd w:val="clear" w:color="auto" w:fill="auto"/>
          </w:tcPr>
          <w:p w14:paraId="38AC9B2E" w14:textId="77777777" w:rsidR="00C12FCC" w:rsidRPr="0006697D" w:rsidRDefault="00C12FCC" w:rsidP="00C12FCC">
            <w:pPr>
              <w:pStyle w:val="Textpoznpodarou"/>
              <w:jc w:val="both"/>
              <w:rPr>
                <w:color w:val="0D0D0D" w:themeColor="text1" w:themeTint="F2"/>
                <w:spacing w:val="-4"/>
              </w:rPr>
            </w:pPr>
          </w:p>
        </w:tc>
        <w:tc>
          <w:tcPr>
            <w:tcW w:w="7730" w:type="dxa"/>
            <w:shd w:val="clear" w:color="auto" w:fill="auto"/>
          </w:tcPr>
          <w:p w14:paraId="50C9FD71" w14:textId="7BB802E6" w:rsidR="00C12FCC" w:rsidRPr="0006697D" w:rsidRDefault="00C12FCC" w:rsidP="00C12FCC">
            <w:pPr>
              <w:spacing w:after="0"/>
              <w:rPr>
                <w:rFonts w:cs="Arial"/>
                <w:color w:val="0D0D0D" w:themeColor="text1" w:themeTint="F2"/>
                <w:spacing w:val="-4"/>
                <w:szCs w:val="20"/>
              </w:rPr>
            </w:pPr>
            <w:r>
              <w:rPr>
                <w:noProof/>
              </w:rPr>
              <w:drawing>
                <wp:inline distT="0" distB="0" distL="0" distR="0" wp14:anchorId="5D542B76" wp14:editId="334944E7">
                  <wp:extent cx="4774222" cy="3590192"/>
                  <wp:effectExtent l="0" t="0" r="762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C12FCC" w:rsidRPr="00417064" w14:paraId="48FD2A49" w14:textId="77777777" w:rsidTr="00B3385E">
        <w:trPr>
          <w:trHeight w:val="145"/>
        </w:trPr>
        <w:tc>
          <w:tcPr>
            <w:tcW w:w="1728" w:type="dxa"/>
            <w:shd w:val="clear" w:color="auto" w:fill="auto"/>
            <w:tcMar>
              <w:left w:w="0" w:type="dxa"/>
            </w:tcMar>
          </w:tcPr>
          <w:p w14:paraId="308A5B17" w14:textId="77777777" w:rsidR="00C12FCC" w:rsidRPr="0006697D" w:rsidRDefault="00C12FCC" w:rsidP="00C12FCC">
            <w:pPr>
              <w:pStyle w:val="Marginlie"/>
              <w:rPr>
                <w:color w:val="0D0D0D" w:themeColor="text1" w:themeTint="F2"/>
              </w:rPr>
            </w:pPr>
          </w:p>
        </w:tc>
        <w:tc>
          <w:tcPr>
            <w:tcW w:w="206" w:type="dxa"/>
            <w:shd w:val="clear" w:color="auto" w:fill="auto"/>
            <w:tcMar>
              <w:left w:w="0" w:type="dxa"/>
            </w:tcMar>
          </w:tcPr>
          <w:p w14:paraId="46D54BE9" w14:textId="77777777" w:rsidR="00C12FCC" w:rsidRPr="0006697D" w:rsidRDefault="00C12FCC" w:rsidP="00C12FCC">
            <w:pPr>
              <w:pStyle w:val="Textpoznpodarou"/>
              <w:jc w:val="both"/>
              <w:rPr>
                <w:color w:val="0D0D0D" w:themeColor="text1" w:themeTint="F2"/>
                <w:spacing w:val="-4"/>
              </w:rPr>
            </w:pPr>
          </w:p>
        </w:tc>
        <w:tc>
          <w:tcPr>
            <w:tcW w:w="7730" w:type="dxa"/>
            <w:shd w:val="clear" w:color="auto" w:fill="auto"/>
            <w:tcMar>
              <w:left w:w="0" w:type="dxa"/>
            </w:tcMar>
          </w:tcPr>
          <w:p w14:paraId="7FCDF937" w14:textId="76A4BA22" w:rsidR="00C12FCC" w:rsidRPr="00D14262" w:rsidRDefault="00C12FCC" w:rsidP="00C12FCC">
            <w:pPr>
              <w:spacing w:after="0"/>
              <w:rPr>
                <w:rFonts w:cs="Arial"/>
                <w:color w:val="0D0D0D" w:themeColor="text1" w:themeTint="F2"/>
                <w:spacing w:val="-4"/>
                <w:sz w:val="14"/>
                <w:szCs w:val="14"/>
                <w:lang w:val="en-GB"/>
              </w:rPr>
            </w:pPr>
            <w:r w:rsidRPr="0006697D">
              <w:rPr>
                <w:rFonts w:cs="Arial"/>
                <w:color w:val="0D0D0D" w:themeColor="text1" w:themeTint="F2"/>
                <w:spacing w:val="-4"/>
                <w:sz w:val="14"/>
                <w:szCs w:val="14"/>
              </w:rPr>
              <w:t>*</w:t>
            </w:r>
            <w:r>
              <w:rPr>
                <w:rFonts w:cs="Arial"/>
                <w:sz w:val="14"/>
                <w:szCs w:val="14"/>
              </w:rPr>
              <w:t xml:space="preserve"> </w:t>
            </w:r>
            <w:r w:rsidRPr="00D14262">
              <w:rPr>
                <w:rFonts w:cs="Arial"/>
                <w:sz w:val="14"/>
                <w:szCs w:val="14"/>
                <w:lang w:val="en-GB"/>
              </w:rPr>
              <w:t xml:space="preserve">Sales are adjusted for calendar effects. </w:t>
            </w:r>
          </w:p>
          <w:p w14:paraId="1BDEAF70" w14:textId="6D72B816" w:rsidR="00C12FCC" w:rsidRPr="00C12FCC" w:rsidRDefault="00C12FCC" w:rsidP="00C12FCC">
            <w:pPr>
              <w:tabs>
                <w:tab w:val="right" w:pos="7711"/>
              </w:tabs>
              <w:spacing w:after="0"/>
              <w:rPr>
                <w:rFonts w:cs="Arial"/>
                <w:color w:val="0D0D0D" w:themeColor="text1" w:themeTint="F2"/>
                <w:spacing w:val="-4"/>
                <w:sz w:val="14"/>
                <w:szCs w:val="14"/>
                <w:lang w:val="en-GB"/>
              </w:rPr>
            </w:pPr>
            <w:r w:rsidRPr="00D14262">
              <w:rPr>
                <w:rFonts w:cs="Arial"/>
                <w:color w:val="0D0D0D" w:themeColor="text1" w:themeTint="F2"/>
                <w:spacing w:val="-4"/>
                <w:sz w:val="14"/>
                <w:szCs w:val="14"/>
                <w:lang w:val="en-GB"/>
              </w:rPr>
              <w:t>** Consumer confidence balance is seasonally adjusted and expresses the position in the second month of the given quarter. Source::CZSO</w:t>
            </w:r>
          </w:p>
        </w:tc>
      </w:tr>
    </w:tbl>
    <w:p w14:paraId="3BFBA732" w14:textId="7B83D76B" w:rsidR="00700E8A" w:rsidRPr="00F62CCE" w:rsidRDefault="00700E8A">
      <w:pPr>
        <w:spacing w:after="0" w:line="240" w:lineRule="auto"/>
        <w:jc w:val="left"/>
        <w:rPr>
          <w:rFonts w:eastAsia="MS Gothic"/>
          <w:b/>
          <w:bCs/>
          <w:color w:val="71818C"/>
          <w:sz w:val="2"/>
          <w:szCs w:val="2"/>
          <w:highlight w:val="yellow"/>
        </w:rPr>
      </w:pPr>
      <w:bookmarkStart w:id="6" w:name="_GoBack"/>
      <w:bookmarkEnd w:id="0"/>
      <w:bookmarkEnd w:id="1"/>
      <w:bookmarkEnd w:id="2"/>
      <w:bookmarkEnd w:id="3"/>
      <w:bookmarkEnd w:id="6"/>
    </w:p>
    <w:sectPr w:rsidR="00700E8A" w:rsidRPr="00F62CCE" w:rsidSect="006A4A8F">
      <w:headerReference w:type="even" r:id="rId14"/>
      <w:headerReference w:type="default" r:id="rId15"/>
      <w:footerReference w:type="even" r:id="rId16"/>
      <w:footerReference w:type="default" r:id="rId17"/>
      <w:pgSz w:w="11906" w:h="16838" w:code="9"/>
      <w:pgMar w:top="1134" w:right="1134" w:bottom="1418" w:left="1134" w:header="680" w:footer="737"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29C14" w14:textId="77777777" w:rsidR="00E4505D" w:rsidRDefault="00E4505D" w:rsidP="00E71A58">
      <w:r>
        <w:separator/>
      </w:r>
    </w:p>
  </w:endnote>
  <w:endnote w:type="continuationSeparator" w:id="0">
    <w:p w14:paraId="025A9558" w14:textId="77777777" w:rsidR="00E4505D" w:rsidRDefault="00E4505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45345E26" w:rsidR="007C581C" w:rsidRPr="00932443" w:rsidRDefault="007C581C"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6A4A8F">
      <w:rPr>
        <w:szCs w:val="16"/>
      </w:rPr>
      <w:t>20</w:t>
    </w:r>
    <w:r w:rsidRPr="00932443">
      <w:rPr>
        <w:szCs w:val="16"/>
      </w:rPr>
      <w:fldChar w:fldCharType="end"/>
    </w:r>
    <w:r w:rsidRPr="00932443">
      <w:rPr>
        <w:szCs w:val="16"/>
      </w:rPr>
      <w:tab/>
    </w:r>
    <w:r>
      <w:rPr>
        <w:szCs w:val="16"/>
      </w:rPr>
      <w:t>year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387C688C" w:rsidR="007C581C" w:rsidRPr="00932443" w:rsidRDefault="00E81D18" w:rsidP="00FA6CB6">
    <w:pPr>
      <w:pStyle w:val="Zpat"/>
      <w:rPr>
        <w:szCs w:val="16"/>
      </w:rPr>
    </w:pPr>
    <w:r>
      <w:rPr>
        <w:lang w:eastAsia="cs-CZ"/>
      </w:rPr>
      <w:drawing>
        <wp:anchor distT="0" distB="0" distL="114300" distR="114300" simplePos="0" relativeHeight="251670016" behindDoc="0" locked="0" layoutInCell="1" allowOverlap="1" wp14:anchorId="06D08D78" wp14:editId="29900516">
          <wp:simplePos x="0" y="0"/>
          <wp:positionH relativeFrom="margin">
            <wp:align>left</wp:align>
          </wp:positionH>
          <wp:positionV relativeFrom="paragraph">
            <wp:posOffset>-74428</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81C" w:rsidRPr="00FA6CB6">
      <w:rPr>
        <w:szCs w:val="16"/>
      </w:rPr>
      <w:tab/>
    </w:r>
    <w:r w:rsidR="007C581C">
      <w:rPr>
        <w:szCs w:val="16"/>
      </w:rPr>
      <w:t>Year 2021</w:t>
    </w:r>
    <w:r w:rsidR="007C581C" w:rsidRPr="00932443">
      <w:rPr>
        <w:szCs w:val="16"/>
      </w:rPr>
      <w:tab/>
    </w:r>
    <w:r w:rsidR="007C581C" w:rsidRPr="00932443">
      <w:rPr>
        <w:rStyle w:val="ZpatChar"/>
        <w:szCs w:val="16"/>
      </w:rPr>
      <w:fldChar w:fldCharType="begin"/>
    </w:r>
    <w:r w:rsidR="007C581C" w:rsidRPr="00932443">
      <w:rPr>
        <w:rStyle w:val="ZpatChar"/>
        <w:szCs w:val="16"/>
      </w:rPr>
      <w:instrText>PAGE   \* MERGEFORMAT</w:instrText>
    </w:r>
    <w:r w:rsidR="007C581C" w:rsidRPr="00932443">
      <w:rPr>
        <w:rStyle w:val="ZpatChar"/>
        <w:szCs w:val="16"/>
      </w:rPr>
      <w:fldChar w:fldCharType="separate"/>
    </w:r>
    <w:r w:rsidR="006A4A8F">
      <w:rPr>
        <w:rStyle w:val="ZpatChar"/>
        <w:szCs w:val="16"/>
      </w:rPr>
      <w:t>13</w:t>
    </w:r>
    <w:r w:rsidR="007C581C"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99227" w14:textId="77777777" w:rsidR="00E4505D" w:rsidRDefault="00E4505D" w:rsidP="00A21B4D">
      <w:pPr>
        <w:spacing w:after="0"/>
      </w:pPr>
      <w:r>
        <w:separator/>
      </w:r>
    </w:p>
  </w:footnote>
  <w:footnote w:type="continuationSeparator" w:id="0">
    <w:p w14:paraId="5BBD91C5" w14:textId="77777777" w:rsidR="00E4505D" w:rsidRDefault="00E4505D" w:rsidP="00E71A58">
      <w:r>
        <w:continuationSeparator/>
      </w:r>
    </w:p>
  </w:footnote>
  <w:footnote w:id="1">
    <w:p w14:paraId="1BBEFF46" w14:textId="42C32A3C" w:rsidR="007C581C" w:rsidRPr="00FB58F4" w:rsidRDefault="007C581C" w:rsidP="00764231">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w:t>
      </w:r>
      <w:r w:rsidRPr="006479A4">
        <w:rPr>
          <w:spacing w:val="-2"/>
          <w:sz w:val="16"/>
          <w:szCs w:val="16"/>
          <w:lang w:val="en-GB"/>
        </w:rPr>
        <w:t xml:space="preserve">Data regarding the GDP, gross value added and their components are expressed in constant prices and adjusted for seasonal and calendar effects. </w:t>
      </w:r>
    </w:p>
  </w:footnote>
  <w:footnote w:id="2">
    <w:p w14:paraId="0953EDAF" w14:textId="73A44BE6" w:rsidR="007C581C" w:rsidRPr="00360663" w:rsidRDefault="007C581C" w:rsidP="00F77A50">
      <w:pPr>
        <w:pStyle w:val="Textpoznpodarou"/>
        <w:jc w:val="both"/>
        <w:rPr>
          <w:sz w:val="16"/>
          <w:szCs w:val="16"/>
          <w:lang w:val="en-GB"/>
        </w:rPr>
      </w:pPr>
      <w:r w:rsidRPr="00123966">
        <w:rPr>
          <w:rStyle w:val="Znakapoznpodarou"/>
          <w:sz w:val="16"/>
          <w:szCs w:val="16"/>
        </w:rPr>
        <w:footnoteRef/>
      </w:r>
      <w:r>
        <w:rPr>
          <w:sz w:val="16"/>
          <w:szCs w:val="16"/>
        </w:rPr>
        <w:t xml:space="preserve"> </w:t>
      </w:r>
      <w:r w:rsidRPr="00360663">
        <w:rPr>
          <w:sz w:val="16"/>
          <w:szCs w:val="16"/>
          <w:lang w:val="en-GB"/>
        </w:rPr>
        <w:t xml:space="preserve">Include public administration, education, health and social work. </w:t>
      </w:r>
    </w:p>
  </w:footnote>
  <w:footnote w:id="3">
    <w:p w14:paraId="73D21076" w14:textId="5C561EB9" w:rsidR="007C581C" w:rsidRPr="00360663" w:rsidRDefault="007C581C" w:rsidP="00F77A50">
      <w:pPr>
        <w:pStyle w:val="Textpoznpodarou"/>
        <w:jc w:val="both"/>
        <w:rPr>
          <w:sz w:val="16"/>
          <w:szCs w:val="16"/>
          <w:lang w:val="en-GB"/>
        </w:rPr>
      </w:pPr>
      <w:r w:rsidRPr="00360663">
        <w:rPr>
          <w:rStyle w:val="Znakapoznpodarou"/>
          <w:sz w:val="16"/>
          <w:szCs w:val="16"/>
          <w:lang w:val="en-GB"/>
        </w:rPr>
        <w:footnoteRef/>
      </w:r>
      <w:r w:rsidRPr="00360663">
        <w:rPr>
          <w:sz w:val="16"/>
          <w:szCs w:val="16"/>
          <w:lang w:val="en-GB"/>
        </w:rPr>
        <w:t xml:space="preserve"> On the contrary, the GVA already returned to the level from the peak of the pre-crisis expansion in the EU, specifically in Q3 2021. </w:t>
      </w:r>
      <w:r>
        <w:rPr>
          <w:sz w:val="16"/>
          <w:szCs w:val="16"/>
          <w:lang w:val="en-GB"/>
        </w:rPr>
        <w:t>It then overtook this level in Q</w:t>
      </w:r>
      <w:r w:rsidRPr="00360663">
        <w:rPr>
          <w:sz w:val="16"/>
          <w:szCs w:val="16"/>
          <w:lang w:val="en-GB"/>
        </w:rPr>
        <w:t>4</w:t>
      </w:r>
      <w:r>
        <w:rPr>
          <w:sz w:val="16"/>
          <w:szCs w:val="16"/>
          <w:lang w:val="en-GB"/>
        </w:rPr>
        <w:t xml:space="preserve"> </w:t>
      </w:r>
      <w:r w:rsidRPr="00360663">
        <w:rPr>
          <w:sz w:val="16"/>
          <w:szCs w:val="16"/>
          <w:lang w:val="en-GB"/>
        </w:rPr>
        <w:t>(</w:t>
      </w:r>
      <w:r>
        <w:rPr>
          <w:sz w:val="16"/>
          <w:szCs w:val="16"/>
          <w:lang w:val="en-GB"/>
        </w:rPr>
        <w:t xml:space="preserve">by mild </w:t>
      </w:r>
      <w:r w:rsidRPr="00360663">
        <w:rPr>
          <w:sz w:val="16"/>
          <w:szCs w:val="16"/>
          <w:lang w:val="en-GB"/>
        </w:rPr>
        <w:t>0</w:t>
      </w:r>
      <w:r>
        <w:rPr>
          <w:sz w:val="16"/>
          <w:szCs w:val="16"/>
          <w:lang w:val="en-GB"/>
        </w:rPr>
        <w:t>.</w:t>
      </w:r>
      <w:r w:rsidRPr="00360663">
        <w:rPr>
          <w:sz w:val="16"/>
          <w:szCs w:val="16"/>
          <w:lang w:val="en-GB"/>
        </w:rPr>
        <w:t xml:space="preserve">4%), </w:t>
      </w:r>
      <w:r>
        <w:rPr>
          <w:sz w:val="16"/>
          <w:szCs w:val="16"/>
          <w:lang w:val="en-GB"/>
        </w:rPr>
        <w:t xml:space="preserve">which was also valid in two thirds of the Union members </w:t>
      </w:r>
      <w:r w:rsidRPr="00360663">
        <w:rPr>
          <w:sz w:val="16"/>
          <w:szCs w:val="16"/>
          <w:lang w:val="en-GB"/>
        </w:rPr>
        <w:t>(</w:t>
      </w:r>
      <w:r>
        <w:rPr>
          <w:sz w:val="16"/>
          <w:szCs w:val="16"/>
          <w:lang w:val="en-GB"/>
        </w:rPr>
        <w:t xml:space="preserve">e.g. in Poland by </w:t>
      </w:r>
      <w:r w:rsidRPr="00360663">
        <w:rPr>
          <w:sz w:val="16"/>
          <w:szCs w:val="16"/>
          <w:lang w:val="en-GB"/>
        </w:rPr>
        <w:t>4</w:t>
      </w:r>
      <w:r>
        <w:rPr>
          <w:sz w:val="16"/>
          <w:szCs w:val="16"/>
          <w:lang w:val="en-GB"/>
        </w:rPr>
        <w:t>.</w:t>
      </w:r>
      <w:r w:rsidRPr="00360663">
        <w:rPr>
          <w:sz w:val="16"/>
          <w:szCs w:val="16"/>
          <w:lang w:val="en-GB"/>
        </w:rPr>
        <w:t>1%,</w:t>
      </w:r>
      <w:r>
        <w:rPr>
          <w:sz w:val="16"/>
          <w:szCs w:val="16"/>
          <w:lang w:val="en-GB"/>
        </w:rPr>
        <w:t xml:space="preserve"> in Hungary by </w:t>
      </w:r>
      <w:r w:rsidRPr="00360663">
        <w:rPr>
          <w:sz w:val="16"/>
          <w:szCs w:val="16"/>
          <w:lang w:val="en-GB"/>
        </w:rPr>
        <w:t>3</w:t>
      </w:r>
      <w:r>
        <w:rPr>
          <w:sz w:val="16"/>
          <w:szCs w:val="16"/>
          <w:lang w:val="en-GB"/>
        </w:rPr>
        <w:t>.</w:t>
      </w:r>
      <w:r w:rsidRPr="00360663">
        <w:rPr>
          <w:sz w:val="16"/>
          <w:szCs w:val="16"/>
          <w:lang w:val="en-GB"/>
        </w:rPr>
        <w:t>0%).</w:t>
      </w:r>
      <w:r>
        <w:rPr>
          <w:sz w:val="16"/>
          <w:szCs w:val="16"/>
          <w:lang w:val="en-GB"/>
        </w:rPr>
        <w:t xml:space="preserve"> In the euro area countries however it still slightly lagged behind this height, as a result of slower recovery of some large economies </w:t>
      </w:r>
      <w:r w:rsidRPr="00360663">
        <w:rPr>
          <w:sz w:val="16"/>
          <w:szCs w:val="16"/>
          <w:lang w:val="en-GB"/>
        </w:rPr>
        <w:t>– France (+0</w:t>
      </w:r>
      <w:r>
        <w:rPr>
          <w:sz w:val="16"/>
          <w:szCs w:val="16"/>
          <w:lang w:val="en-GB"/>
        </w:rPr>
        <w:t>.</w:t>
      </w:r>
      <w:r w:rsidRPr="00360663">
        <w:rPr>
          <w:sz w:val="16"/>
          <w:szCs w:val="16"/>
          <w:lang w:val="en-GB"/>
        </w:rPr>
        <w:t>1%), It</w:t>
      </w:r>
      <w:r>
        <w:rPr>
          <w:sz w:val="16"/>
          <w:szCs w:val="16"/>
          <w:lang w:val="en-GB"/>
        </w:rPr>
        <w:t xml:space="preserve">aly </w:t>
      </w:r>
      <w:r w:rsidRPr="00360663">
        <w:rPr>
          <w:sz w:val="16"/>
          <w:szCs w:val="16"/>
          <w:lang w:val="en-GB"/>
        </w:rPr>
        <w:t>(–1</w:t>
      </w:r>
      <w:r>
        <w:rPr>
          <w:sz w:val="16"/>
          <w:szCs w:val="16"/>
          <w:lang w:val="en-GB"/>
        </w:rPr>
        <w:t>.</w:t>
      </w:r>
      <w:r w:rsidRPr="00360663">
        <w:rPr>
          <w:sz w:val="16"/>
          <w:szCs w:val="16"/>
          <w:lang w:val="en-GB"/>
        </w:rPr>
        <w:t xml:space="preserve">0%), </w:t>
      </w:r>
      <w:r>
        <w:rPr>
          <w:sz w:val="16"/>
          <w:szCs w:val="16"/>
          <w:lang w:val="en-GB"/>
        </w:rPr>
        <w:t xml:space="preserve">Germany </w:t>
      </w:r>
      <w:r w:rsidRPr="00360663">
        <w:rPr>
          <w:sz w:val="16"/>
          <w:szCs w:val="16"/>
          <w:lang w:val="en-GB"/>
        </w:rPr>
        <w:t>(–2</w:t>
      </w:r>
      <w:r>
        <w:rPr>
          <w:sz w:val="16"/>
          <w:szCs w:val="16"/>
          <w:lang w:val="en-GB"/>
        </w:rPr>
        <w:t>.</w:t>
      </w:r>
      <w:r w:rsidRPr="00360663">
        <w:rPr>
          <w:sz w:val="16"/>
          <w:szCs w:val="16"/>
          <w:lang w:val="en-GB"/>
        </w:rPr>
        <w:t xml:space="preserve">1%) </w:t>
      </w:r>
      <w:r>
        <w:rPr>
          <w:sz w:val="16"/>
          <w:szCs w:val="16"/>
          <w:lang w:val="en-GB"/>
        </w:rPr>
        <w:t xml:space="preserve">or Spain </w:t>
      </w:r>
      <w:r w:rsidRPr="00360663">
        <w:rPr>
          <w:sz w:val="16"/>
          <w:szCs w:val="16"/>
          <w:lang w:val="en-GB"/>
        </w:rPr>
        <w:t>(–4</w:t>
      </w:r>
      <w:r>
        <w:rPr>
          <w:sz w:val="16"/>
          <w:szCs w:val="16"/>
          <w:lang w:val="en-GB"/>
        </w:rPr>
        <w:t>.</w:t>
      </w:r>
      <w:r w:rsidRPr="00360663">
        <w:rPr>
          <w:sz w:val="16"/>
          <w:szCs w:val="16"/>
          <w:lang w:val="en-GB"/>
        </w:rPr>
        <w:t>0%).</w:t>
      </w:r>
    </w:p>
  </w:footnote>
  <w:footnote w:id="4">
    <w:p w14:paraId="5CCE806B" w14:textId="638200D6" w:rsidR="007C581C" w:rsidRPr="00360663" w:rsidRDefault="007C581C" w:rsidP="00F77A50">
      <w:pPr>
        <w:pStyle w:val="Textpoznpodarou"/>
        <w:jc w:val="both"/>
        <w:rPr>
          <w:spacing w:val="-2"/>
          <w:sz w:val="16"/>
          <w:szCs w:val="16"/>
          <w:lang w:val="en-GB"/>
        </w:rPr>
      </w:pPr>
      <w:r w:rsidRPr="00360663">
        <w:rPr>
          <w:rStyle w:val="Znakapoznpodarou"/>
          <w:spacing w:val="-2"/>
          <w:sz w:val="16"/>
          <w:szCs w:val="16"/>
          <w:lang w:val="en-GB"/>
        </w:rPr>
        <w:footnoteRef/>
      </w:r>
      <w:r w:rsidRPr="00360663">
        <w:rPr>
          <w:spacing w:val="-2"/>
          <w:sz w:val="16"/>
          <w:szCs w:val="16"/>
          <w:lang w:val="en-GB"/>
        </w:rPr>
        <w:t xml:space="preserve"> </w:t>
      </w:r>
      <w:r>
        <w:rPr>
          <w:spacing w:val="-2"/>
          <w:sz w:val="16"/>
          <w:szCs w:val="16"/>
          <w:lang w:val="en-GB"/>
        </w:rPr>
        <w:t xml:space="preserve">The GVA was already by 10% higher in financial and insurance activities last year in Q4 compared to the end of year </w:t>
      </w:r>
      <w:r w:rsidRPr="00360663">
        <w:rPr>
          <w:spacing w:val="-2"/>
          <w:sz w:val="16"/>
          <w:szCs w:val="16"/>
          <w:lang w:val="en-GB"/>
        </w:rPr>
        <w:t>2019</w:t>
      </w:r>
      <w:r>
        <w:rPr>
          <w:spacing w:val="-2"/>
          <w:sz w:val="16"/>
          <w:szCs w:val="16"/>
          <w:lang w:val="en-GB"/>
        </w:rPr>
        <w:t>, analogically by 6% in the public services</w:t>
      </w:r>
      <w:r w:rsidRPr="00360663">
        <w:rPr>
          <w:spacing w:val="-2"/>
          <w:sz w:val="16"/>
          <w:szCs w:val="16"/>
          <w:lang w:val="en-GB"/>
        </w:rPr>
        <w:t>,</w:t>
      </w:r>
      <w:r>
        <w:rPr>
          <w:spacing w:val="-2"/>
          <w:sz w:val="16"/>
          <w:szCs w:val="16"/>
          <w:lang w:val="en-GB"/>
        </w:rPr>
        <w:t xml:space="preserve"> by 5% in information and communication and by 1% in the real estate activities. Performance of all services branches was comparable to the pre-pandemic maximum </w:t>
      </w:r>
      <w:r w:rsidRPr="00360663">
        <w:rPr>
          <w:spacing w:val="-2"/>
          <w:sz w:val="16"/>
          <w:szCs w:val="16"/>
          <w:lang w:val="en-GB"/>
        </w:rPr>
        <w:t>(+0</w:t>
      </w:r>
      <w:r>
        <w:rPr>
          <w:spacing w:val="-2"/>
          <w:sz w:val="16"/>
          <w:szCs w:val="16"/>
          <w:lang w:val="en-GB"/>
        </w:rPr>
        <w:t>.</w:t>
      </w:r>
      <w:r w:rsidRPr="00360663">
        <w:rPr>
          <w:spacing w:val="-2"/>
          <w:sz w:val="16"/>
          <w:szCs w:val="16"/>
          <w:lang w:val="en-GB"/>
        </w:rPr>
        <w:t xml:space="preserve">1%), </w:t>
      </w:r>
      <w:r>
        <w:rPr>
          <w:spacing w:val="-2"/>
          <w:sz w:val="16"/>
          <w:szCs w:val="16"/>
          <w:lang w:val="en-GB"/>
        </w:rPr>
        <w:t xml:space="preserve">on the contrary the industry lagged behind by notable </w:t>
      </w:r>
      <w:r w:rsidRPr="00360663">
        <w:rPr>
          <w:spacing w:val="-2"/>
          <w:sz w:val="16"/>
          <w:szCs w:val="16"/>
          <w:lang w:val="en-GB"/>
        </w:rPr>
        <w:t>7</w:t>
      </w:r>
      <w:r>
        <w:rPr>
          <w:spacing w:val="-2"/>
          <w:sz w:val="16"/>
          <w:szCs w:val="16"/>
          <w:lang w:val="en-GB"/>
        </w:rPr>
        <w:t>.</w:t>
      </w:r>
      <w:r w:rsidRPr="00360663">
        <w:rPr>
          <w:spacing w:val="-2"/>
          <w:sz w:val="16"/>
          <w:szCs w:val="16"/>
          <w:lang w:val="en-GB"/>
        </w:rPr>
        <w:t>5%.</w:t>
      </w:r>
    </w:p>
  </w:footnote>
  <w:footnote w:id="5">
    <w:p w14:paraId="792164F4" w14:textId="27917BEC" w:rsidR="007C581C" w:rsidRPr="00360663" w:rsidRDefault="007C581C" w:rsidP="00F77A50">
      <w:pPr>
        <w:pStyle w:val="Textpoznpodarou"/>
        <w:jc w:val="both"/>
        <w:rPr>
          <w:sz w:val="16"/>
          <w:szCs w:val="16"/>
          <w:lang w:val="en-GB"/>
        </w:rPr>
      </w:pPr>
      <w:r w:rsidRPr="00360663">
        <w:rPr>
          <w:rStyle w:val="Znakapoznpodarou"/>
          <w:sz w:val="16"/>
          <w:szCs w:val="16"/>
          <w:lang w:val="en-GB"/>
        </w:rPr>
        <w:footnoteRef/>
      </w:r>
      <w:r w:rsidRPr="00360663">
        <w:rPr>
          <w:sz w:val="16"/>
          <w:szCs w:val="16"/>
          <w:lang w:val="en-GB"/>
        </w:rPr>
        <w:t xml:space="preserve"> </w:t>
      </w:r>
      <w:r>
        <w:rPr>
          <w:sz w:val="16"/>
          <w:szCs w:val="16"/>
          <w:lang w:val="en-GB"/>
        </w:rPr>
        <w:t>Harvest of cereals was higher by 1.2% year-on-year last year</w:t>
      </w:r>
      <w:r w:rsidRPr="00360663">
        <w:rPr>
          <w:sz w:val="16"/>
          <w:szCs w:val="16"/>
          <w:lang w:val="en-GB"/>
        </w:rPr>
        <w:t>,</w:t>
      </w:r>
      <w:r>
        <w:rPr>
          <w:sz w:val="16"/>
          <w:szCs w:val="16"/>
          <w:lang w:val="en-GB"/>
        </w:rPr>
        <w:t xml:space="preserve"> on the contrary it fell for potatoes by </w:t>
      </w:r>
      <w:r w:rsidRPr="00360663">
        <w:rPr>
          <w:sz w:val="16"/>
          <w:szCs w:val="16"/>
          <w:lang w:val="en-GB"/>
        </w:rPr>
        <w:t>3</w:t>
      </w:r>
      <w:r>
        <w:rPr>
          <w:sz w:val="16"/>
          <w:szCs w:val="16"/>
          <w:lang w:val="en-GB"/>
        </w:rPr>
        <w:t>.</w:t>
      </w:r>
      <w:r w:rsidRPr="00360663">
        <w:rPr>
          <w:sz w:val="16"/>
          <w:szCs w:val="16"/>
          <w:lang w:val="en-GB"/>
        </w:rPr>
        <w:t>5% a</w:t>
      </w:r>
      <w:r>
        <w:rPr>
          <w:sz w:val="16"/>
          <w:szCs w:val="16"/>
          <w:lang w:val="en-GB"/>
        </w:rPr>
        <w:t xml:space="preserve">nd oilseed rape by </w:t>
      </w:r>
      <w:r w:rsidRPr="00360663">
        <w:rPr>
          <w:sz w:val="16"/>
          <w:szCs w:val="16"/>
          <w:lang w:val="en-GB"/>
        </w:rPr>
        <w:t>17</w:t>
      </w:r>
      <w:r>
        <w:rPr>
          <w:sz w:val="16"/>
          <w:szCs w:val="16"/>
          <w:lang w:val="en-GB"/>
        </w:rPr>
        <w:t>.</w:t>
      </w:r>
      <w:r w:rsidRPr="00360663">
        <w:rPr>
          <w:sz w:val="16"/>
          <w:szCs w:val="16"/>
          <w:lang w:val="en-GB"/>
        </w:rPr>
        <w:t>7% (</w:t>
      </w:r>
      <w:r>
        <w:rPr>
          <w:sz w:val="16"/>
          <w:szCs w:val="16"/>
          <w:lang w:val="en-GB"/>
        </w:rPr>
        <w:t xml:space="preserve">in the absolute amount it represented the weakest harvest since year </w:t>
      </w:r>
      <w:r w:rsidRPr="00360663">
        <w:rPr>
          <w:sz w:val="16"/>
          <w:szCs w:val="16"/>
          <w:lang w:val="en-GB"/>
        </w:rPr>
        <w:t xml:space="preserve">2006). </w:t>
      </w:r>
      <w:r>
        <w:rPr>
          <w:sz w:val="16"/>
          <w:szCs w:val="16"/>
          <w:lang w:val="en-GB"/>
        </w:rPr>
        <w:t xml:space="preserve">Other oil plants however fared well </w:t>
      </w:r>
      <w:r w:rsidRPr="00360663">
        <w:rPr>
          <w:sz w:val="16"/>
          <w:szCs w:val="16"/>
          <w:lang w:val="en-GB"/>
        </w:rPr>
        <w:t>(</w:t>
      </w:r>
      <w:r>
        <w:rPr>
          <w:sz w:val="16"/>
          <w:szCs w:val="16"/>
          <w:lang w:val="en-GB"/>
        </w:rPr>
        <w:t>mainly thanks to the expansion of the sowing area</w:t>
      </w:r>
      <w:r w:rsidRPr="00360663">
        <w:rPr>
          <w:sz w:val="16"/>
          <w:szCs w:val="16"/>
          <w:lang w:val="en-GB"/>
        </w:rPr>
        <w:t xml:space="preserve">), </w:t>
      </w:r>
      <w:r>
        <w:rPr>
          <w:sz w:val="16"/>
          <w:szCs w:val="16"/>
          <w:lang w:val="en-GB"/>
        </w:rPr>
        <w:t>legumes, sugar beet, hop plant, majority of forage crops and it was harvested more of all types of vegetables as well. Fruit farming experienced mild decrease, mainly du</w:t>
      </w:r>
      <w:r w:rsidR="00A8331C">
        <w:rPr>
          <w:sz w:val="16"/>
          <w:szCs w:val="16"/>
          <w:lang w:val="en-GB"/>
        </w:rPr>
        <w:t>e to the lower harvest of plums</w:t>
      </w:r>
      <w:r>
        <w:rPr>
          <w:sz w:val="16"/>
          <w:szCs w:val="16"/>
          <w:lang w:val="en-GB"/>
        </w:rPr>
        <w:t>.</w:t>
      </w:r>
    </w:p>
  </w:footnote>
  <w:footnote w:id="6">
    <w:p w14:paraId="112AEDEA" w14:textId="5592FFB1" w:rsidR="007C581C" w:rsidRPr="001751DC" w:rsidRDefault="007C581C" w:rsidP="00F77A50">
      <w:pPr>
        <w:pStyle w:val="Textpoznpodarou"/>
        <w:jc w:val="both"/>
        <w:rPr>
          <w:spacing w:val="-2"/>
          <w:sz w:val="16"/>
          <w:szCs w:val="16"/>
          <w:lang w:val="en-GB"/>
        </w:rPr>
      </w:pPr>
      <w:r w:rsidRPr="00360663">
        <w:rPr>
          <w:rStyle w:val="Znakapoznpodarou"/>
          <w:spacing w:val="-2"/>
          <w:sz w:val="16"/>
          <w:szCs w:val="16"/>
          <w:lang w:val="en-GB"/>
        </w:rPr>
        <w:footnoteRef/>
      </w:r>
      <w:r w:rsidRPr="00360663">
        <w:rPr>
          <w:spacing w:val="-2"/>
          <w:sz w:val="16"/>
          <w:szCs w:val="16"/>
          <w:lang w:val="en-GB"/>
        </w:rPr>
        <w:t xml:space="preserve"> </w:t>
      </w:r>
      <w:r>
        <w:rPr>
          <w:spacing w:val="-2"/>
          <w:sz w:val="16"/>
          <w:szCs w:val="16"/>
          <w:lang w:val="en-GB"/>
        </w:rPr>
        <w:t>Last year</w:t>
      </w:r>
      <w:r>
        <w:rPr>
          <w:spacing w:val="-2"/>
          <w:sz w:val="16"/>
          <w:szCs w:val="16"/>
        </w:rPr>
        <w:t>‘</w:t>
      </w:r>
      <w:r>
        <w:rPr>
          <w:spacing w:val="-2"/>
          <w:sz w:val="16"/>
          <w:szCs w:val="16"/>
          <w:lang w:val="en-US"/>
        </w:rPr>
        <w:t xml:space="preserve">s harvest of cereals </w:t>
      </w:r>
      <w:r w:rsidRPr="00360663">
        <w:rPr>
          <w:spacing w:val="-2"/>
          <w:sz w:val="16"/>
          <w:szCs w:val="16"/>
          <w:lang w:val="en-GB"/>
        </w:rPr>
        <w:t>(</w:t>
      </w:r>
      <w:r>
        <w:rPr>
          <w:spacing w:val="-2"/>
          <w:sz w:val="16"/>
          <w:szCs w:val="16"/>
          <w:lang w:val="en-GB"/>
        </w:rPr>
        <w:t>including corn</w:t>
      </w:r>
      <w:r w:rsidRPr="00360663">
        <w:rPr>
          <w:spacing w:val="-2"/>
          <w:sz w:val="16"/>
          <w:szCs w:val="16"/>
          <w:lang w:val="en-GB"/>
        </w:rPr>
        <w:t>)</w:t>
      </w:r>
      <w:r>
        <w:rPr>
          <w:spacing w:val="-2"/>
          <w:sz w:val="16"/>
          <w:szCs w:val="16"/>
          <w:lang w:val="en-GB"/>
        </w:rPr>
        <w:t xml:space="preserve"> was </w:t>
      </w:r>
      <w:r w:rsidRPr="00360663">
        <w:rPr>
          <w:spacing w:val="-2"/>
          <w:sz w:val="16"/>
          <w:szCs w:val="16"/>
          <w:lang w:val="en-GB"/>
        </w:rPr>
        <w:t>8</w:t>
      </w:r>
      <w:r>
        <w:rPr>
          <w:spacing w:val="-2"/>
          <w:sz w:val="16"/>
          <w:szCs w:val="16"/>
          <w:lang w:val="en-GB"/>
        </w:rPr>
        <w:t>.</w:t>
      </w:r>
      <w:r w:rsidRPr="00360663">
        <w:rPr>
          <w:spacing w:val="-2"/>
          <w:sz w:val="16"/>
          <w:szCs w:val="16"/>
          <w:lang w:val="en-GB"/>
        </w:rPr>
        <w:t>23</w:t>
      </w:r>
      <w:r w:rsidR="004F3ECA">
        <w:rPr>
          <w:spacing w:val="-2"/>
          <w:sz w:val="16"/>
          <w:szCs w:val="16"/>
          <w:lang w:val="en-GB"/>
        </w:rPr>
        <w:t xml:space="preserve"> million of to</w:t>
      </w:r>
      <w:r>
        <w:rPr>
          <w:spacing w:val="-2"/>
          <w:sz w:val="16"/>
          <w:szCs w:val="16"/>
          <w:lang w:val="en-GB"/>
        </w:rPr>
        <w:t xml:space="preserve">ns </w:t>
      </w:r>
      <w:r w:rsidRPr="00360663">
        <w:rPr>
          <w:spacing w:val="-2"/>
          <w:sz w:val="16"/>
          <w:szCs w:val="16"/>
          <w:lang w:val="en-GB"/>
        </w:rPr>
        <w:t>(</w:t>
      </w:r>
      <w:r>
        <w:rPr>
          <w:spacing w:val="-2"/>
          <w:sz w:val="16"/>
          <w:szCs w:val="16"/>
          <w:lang w:val="en-GB"/>
        </w:rPr>
        <w:t>the sixth largest harvest in the era of the independent CR</w:t>
      </w:r>
      <w:r w:rsidRPr="00360663">
        <w:rPr>
          <w:spacing w:val="-2"/>
          <w:sz w:val="16"/>
          <w:szCs w:val="16"/>
          <w:lang w:val="en-GB"/>
        </w:rPr>
        <w:t xml:space="preserve">). </w:t>
      </w:r>
      <w:r>
        <w:rPr>
          <w:spacing w:val="-2"/>
          <w:sz w:val="16"/>
          <w:szCs w:val="16"/>
          <w:lang w:val="en-GB"/>
        </w:rPr>
        <w:t xml:space="preserve">Compared to the average from </w:t>
      </w:r>
      <w:r w:rsidRPr="001751DC">
        <w:rPr>
          <w:spacing w:val="-2"/>
          <w:sz w:val="16"/>
          <w:szCs w:val="16"/>
          <w:lang w:val="en-GB"/>
        </w:rPr>
        <w:t>years 2011 till 2020, it was by 5.3% higher, solely thanks to the increase of the yield per hectare.</w:t>
      </w:r>
      <w:r>
        <w:rPr>
          <w:spacing w:val="-2"/>
          <w:sz w:val="16"/>
          <w:szCs w:val="16"/>
          <w:lang w:val="en-GB"/>
        </w:rPr>
        <w:t xml:space="preserve"> The harvest of potatoes </w:t>
      </w:r>
      <w:r w:rsidRPr="001751DC">
        <w:rPr>
          <w:spacing w:val="-2"/>
          <w:sz w:val="16"/>
          <w:szCs w:val="16"/>
          <w:lang w:val="en-GB"/>
        </w:rPr>
        <w:t>(+3</w:t>
      </w:r>
      <w:r>
        <w:rPr>
          <w:spacing w:val="-2"/>
          <w:sz w:val="16"/>
          <w:szCs w:val="16"/>
          <w:lang w:val="en-GB"/>
        </w:rPr>
        <w:t>.</w:t>
      </w:r>
      <w:r w:rsidRPr="001751DC">
        <w:rPr>
          <w:spacing w:val="-2"/>
          <w:sz w:val="16"/>
          <w:szCs w:val="16"/>
          <w:lang w:val="en-GB"/>
        </w:rPr>
        <w:t xml:space="preserve">4%), </w:t>
      </w:r>
      <w:r>
        <w:rPr>
          <w:spacing w:val="-2"/>
          <w:sz w:val="16"/>
          <w:szCs w:val="16"/>
          <w:lang w:val="en-GB"/>
        </w:rPr>
        <w:t xml:space="preserve">technical sugar beet </w:t>
      </w:r>
      <w:r w:rsidRPr="001751DC">
        <w:rPr>
          <w:spacing w:val="-2"/>
          <w:sz w:val="16"/>
          <w:szCs w:val="16"/>
          <w:lang w:val="en-GB"/>
        </w:rPr>
        <w:t>(+6</w:t>
      </w:r>
      <w:r>
        <w:rPr>
          <w:spacing w:val="-2"/>
          <w:sz w:val="16"/>
          <w:szCs w:val="16"/>
          <w:lang w:val="en-GB"/>
        </w:rPr>
        <w:t>.</w:t>
      </w:r>
      <w:r w:rsidRPr="001751DC">
        <w:rPr>
          <w:spacing w:val="-2"/>
          <w:sz w:val="16"/>
          <w:szCs w:val="16"/>
          <w:lang w:val="en-GB"/>
        </w:rPr>
        <w:t xml:space="preserve">5%), </w:t>
      </w:r>
      <w:r>
        <w:rPr>
          <w:spacing w:val="-2"/>
          <w:sz w:val="16"/>
          <w:szCs w:val="16"/>
          <w:lang w:val="en-GB"/>
        </w:rPr>
        <w:t xml:space="preserve">green maize and silage </w:t>
      </w:r>
      <w:r w:rsidRPr="001751DC">
        <w:rPr>
          <w:spacing w:val="-2"/>
          <w:sz w:val="16"/>
          <w:szCs w:val="16"/>
          <w:lang w:val="en-GB"/>
        </w:rPr>
        <w:t>(+3</w:t>
      </w:r>
      <w:r>
        <w:rPr>
          <w:spacing w:val="-2"/>
          <w:sz w:val="16"/>
          <w:szCs w:val="16"/>
          <w:lang w:val="en-GB"/>
        </w:rPr>
        <w:t>.</w:t>
      </w:r>
      <w:r w:rsidRPr="001751DC">
        <w:rPr>
          <w:spacing w:val="-2"/>
          <w:sz w:val="16"/>
          <w:szCs w:val="16"/>
          <w:lang w:val="en-GB"/>
        </w:rPr>
        <w:t>4%)</w:t>
      </w:r>
      <w:r>
        <w:rPr>
          <w:spacing w:val="-2"/>
          <w:sz w:val="16"/>
          <w:szCs w:val="16"/>
          <w:lang w:val="en-GB"/>
        </w:rPr>
        <w:t xml:space="preserve"> also slightly exceeded the long-term average</w:t>
      </w:r>
      <w:r w:rsidRPr="001751DC">
        <w:rPr>
          <w:spacing w:val="-2"/>
          <w:sz w:val="16"/>
          <w:szCs w:val="16"/>
          <w:lang w:val="en-GB"/>
        </w:rPr>
        <w:t xml:space="preserve">, </w:t>
      </w:r>
      <w:r>
        <w:rPr>
          <w:spacing w:val="-2"/>
          <w:sz w:val="16"/>
          <w:szCs w:val="16"/>
          <w:lang w:val="en-GB"/>
        </w:rPr>
        <w:t xml:space="preserve">more notably then for perennial forage crops </w:t>
      </w:r>
      <w:r w:rsidRPr="001751DC">
        <w:rPr>
          <w:spacing w:val="-2"/>
          <w:sz w:val="16"/>
          <w:szCs w:val="16"/>
          <w:lang w:val="en-GB"/>
        </w:rPr>
        <w:t>(+21</w:t>
      </w:r>
      <w:r>
        <w:rPr>
          <w:spacing w:val="-2"/>
          <w:sz w:val="16"/>
          <w:szCs w:val="16"/>
          <w:lang w:val="en-GB"/>
        </w:rPr>
        <w:t>.</w:t>
      </w:r>
      <w:r w:rsidRPr="001751DC">
        <w:rPr>
          <w:spacing w:val="-2"/>
          <w:sz w:val="16"/>
          <w:szCs w:val="16"/>
          <w:lang w:val="en-GB"/>
        </w:rPr>
        <w:t xml:space="preserve">4%) </w:t>
      </w:r>
      <w:r>
        <w:rPr>
          <w:spacing w:val="-2"/>
          <w:sz w:val="16"/>
          <w:szCs w:val="16"/>
          <w:lang w:val="en-GB"/>
        </w:rPr>
        <w:t xml:space="preserve">or the hop plant </w:t>
      </w:r>
      <w:r w:rsidRPr="001751DC">
        <w:rPr>
          <w:spacing w:val="-2"/>
          <w:sz w:val="16"/>
          <w:szCs w:val="16"/>
          <w:lang w:val="en-GB"/>
        </w:rPr>
        <w:t>(+39</w:t>
      </w:r>
      <w:r>
        <w:rPr>
          <w:spacing w:val="-2"/>
          <w:sz w:val="16"/>
          <w:szCs w:val="16"/>
          <w:lang w:val="en-GB"/>
        </w:rPr>
        <w:t>.</w:t>
      </w:r>
      <w:r w:rsidRPr="001751DC">
        <w:rPr>
          <w:spacing w:val="-2"/>
          <w:sz w:val="16"/>
          <w:szCs w:val="16"/>
          <w:lang w:val="en-GB"/>
        </w:rPr>
        <w:t xml:space="preserve">6%). </w:t>
      </w:r>
      <w:r>
        <w:rPr>
          <w:spacing w:val="-2"/>
          <w:sz w:val="16"/>
          <w:szCs w:val="16"/>
          <w:lang w:val="en-GB"/>
        </w:rPr>
        <w:t xml:space="preserve">Among the more significant plants, only the rape plan did not thrive </w:t>
      </w:r>
      <w:r w:rsidRPr="001751DC">
        <w:rPr>
          <w:spacing w:val="-2"/>
          <w:sz w:val="16"/>
          <w:szCs w:val="16"/>
          <w:lang w:val="en-GB"/>
        </w:rPr>
        <w:t>(–19</w:t>
      </w:r>
      <w:r>
        <w:rPr>
          <w:spacing w:val="-2"/>
          <w:sz w:val="16"/>
          <w:szCs w:val="16"/>
          <w:lang w:val="en-GB"/>
        </w:rPr>
        <w:t>.</w:t>
      </w:r>
      <w:r w:rsidRPr="001751DC">
        <w:rPr>
          <w:spacing w:val="-2"/>
          <w:sz w:val="16"/>
          <w:szCs w:val="16"/>
          <w:lang w:val="en-GB"/>
        </w:rPr>
        <w:t xml:space="preserve">4%), </w:t>
      </w:r>
      <w:r>
        <w:rPr>
          <w:spacing w:val="-2"/>
          <w:sz w:val="16"/>
          <w:szCs w:val="16"/>
          <w:lang w:val="en-GB"/>
        </w:rPr>
        <w:t>as a result of the significant decrease of the sowing area</w:t>
      </w:r>
      <w:r w:rsidRPr="001751DC">
        <w:rPr>
          <w:spacing w:val="-2"/>
          <w:sz w:val="16"/>
          <w:szCs w:val="16"/>
          <w:lang w:val="en-GB"/>
        </w:rPr>
        <w:t xml:space="preserve">, </w:t>
      </w:r>
      <w:r>
        <w:rPr>
          <w:spacing w:val="-2"/>
          <w:sz w:val="16"/>
          <w:szCs w:val="16"/>
          <w:lang w:val="en-GB"/>
        </w:rPr>
        <w:t>partially also the lowering of the yield per hectare</w:t>
      </w:r>
      <w:r w:rsidRPr="001751DC">
        <w:rPr>
          <w:spacing w:val="-2"/>
          <w:sz w:val="16"/>
          <w:szCs w:val="16"/>
          <w:lang w:val="en-GB"/>
        </w:rPr>
        <w:t>.</w:t>
      </w:r>
    </w:p>
  </w:footnote>
  <w:footnote w:id="7">
    <w:p w14:paraId="36F5D47E" w14:textId="404DD706" w:rsidR="007C581C" w:rsidRPr="00CE71E4" w:rsidRDefault="007C581C" w:rsidP="00F77A50">
      <w:pPr>
        <w:pStyle w:val="Textpoznpodarou"/>
        <w:jc w:val="both"/>
        <w:rPr>
          <w:rFonts w:cs="Arial"/>
          <w:color w:val="0D0D0D" w:themeColor="text1" w:themeTint="F2"/>
          <w:spacing w:val="-2"/>
          <w:sz w:val="16"/>
          <w:szCs w:val="16"/>
        </w:rPr>
      </w:pPr>
      <w:r w:rsidRPr="001751DC">
        <w:rPr>
          <w:rStyle w:val="Znakapoznpodarou"/>
          <w:rFonts w:cs="Arial"/>
          <w:color w:val="0D0D0D" w:themeColor="text1" w:themeTint="F2"/>
          <w:spacing w:val="-2"/>
          <w:sz w:val="16"/>
          <w:szCs w:val="16"/>
          <w:lang w:val="en-GB"/>
        </w:rPr>
        <w:footnoteRef/>
      </w:r>
      <w:r w:rsidRPr="001751DC">
        <w:rPr>
          <w:rFonts w:cs="Arial"/>
          <w:color w:val="0D0D0D" w:themeColor="text1" w:themeTint="F2"/>
          <w:spacing w:val="-2"/>
          <w:sz w:val="16"/>
          <w:szCs w:val="16"/>
          <w:lang w:val="en-GB"/>
        </w:rPr>
        <w:t xml:space="preserve"> Includes branches of mining and quarrying, manufacturing and also energetics (here as activities of production and distribution of electricity, gas, heat and air conditioning supply). All year-on-year</w:t>
      </w:r>
      <w:r w:rsidRPr="00973752">
        <w:rPr>
          <w:rFonts w:cs="Arial"/>
          <w:color w:val="0D0D0D" w:themeColor="text1" w:themeTint="F2"/>
          <w:spacing w:val="-2"/>
          <w:sz w:val="16"/>
          <w:szCs w:val="16"/>
          <w:lang w:val="en-GB"/>
        </w:rPr>
        <w:t xml:space="preserve"> rates of growth of</w:t>
      </w:r>
      <w:r>
        <w:rPr>
          <w:rFonts w:cs="Arial"/>
          <w:color w:val="0D0D0D" w:themeColor="text1" w:themeTint="F2"/>
          <w:spacing w:val="-2"/>
          <w:sz w:val="16"/>
          <w:szCs w:val="16"/>
          <w:lang w:val="en-GB"/>
        </w:rPr>
        <w:t xml:space="preserve"> </w:t>
      </w:r>
      <w:r w:rsidRPr="00973752">
        <w:rPr>
          <w:rFonts w:cs="Arial"/>
          <w:color w:val="0D0D0D" w:themeColor="text1" w:themeTint="F2"/>
          <w:spacing w:val="-2"/>
          <w:sz w:val="16"/>
          <w:szCs w:val="16"/>
          <w:lang w:val="en-GB"/>
        </w:rPr>
        <w:t>output (at the level of branch sections as well as divi</w:t>
      </w:r>
      <w:r>
        <w:rPr>
          <w:rFonts w:cs="Arial"/>
          <w:color w:val="0D0D0D" w:themeColor="text1" w:themeTint="F2"/>
          <w:spacing w:val="-2"/>
          <w:sz w:val="16"/>
          <w:szCs w:val="16"/>
          <w:lang w:val="en-GB"/>
        </w:rPr>
        <w:t>s</w:t>
      </w:r>
      <w:r w:rsidRPr="00973752">
        <w:rPr>
          <w:rFonts w:cs="Arial"/>
          <w:color w:val="0D0D0D" w:themeColor="text1" w:themeTint="F2"/>
          <w:spacing w:val="-2"/>
          <w:sz w:val="16"/>
          <w:szCs w:val="16"/>
          <w:lang w:val="en-GB"/>
        </w:rPr>
        <w:t xml:space="preserve">ions) are adjusted for calendar effects, </w:t>
      </w:r>
      <w:r>
        <w:rPr>
          <w:rFonts w:cs="Arial"/>
          <w:color w:val="0D0D0D" w:themeColor="text1" w:themeTint="F2"/>
          <w:spacing w:val="-2"/>
          <w:sz w:val="16"/>
          <w:szCs w:val="16"/>
          <w:lang w:val="en-GB"/>
        </w:rPr>
        <w:t xml:space="preserve">both </w:t>
      </w:r>
      <w:r w:rsidRPr="00973752">
        <w:rPr>
          <w:rFonts w:cs="Arial"/>
          <w:color w:val="0D0D0D" w:themeColor="text1" w:themeTint="F2"/>
          <w:spacing w:val="-2"/>
          <w:sz w:val="16"/>
          <w:szCs w:val="16"/>
          <w:lang w:val="en-GB"/>
        </w:rPr>
        <w:t>quarter-on-q</w:t>
      </w:r>
      <w:r>
        <w:rPr>
          <w:rFonts w:cs="Arial"/>
          <w:color w:val="0D0D0D" w:themeColor="text1" w:themeTint="F2"/>
          <w:spacing w:val="-2"/>
          <w:sz w:val="16"/>
          <w:szCs w:val="16"/>
          <w:lang w:val="en-GB"/>
        </w:rPr>
        <w:t>uarter and month-on-month</w:t>
      </w:r>
      <w:r w:rsidRPr="00973752">
        <w:rPr>
          <w:rFonts w:cs="Arial"/>
          <w:color w:val="0D0D0D" w:themeColor="text1" w:themeTint="F2"/>
          <w:spacing w:val="-2"/>
          <w:sz w:val="16"/>
          <w:szCs w:val="16"/>
          <w:lang w:val="en-GB"/>
        </w:rPr>
        <w:t xml:space="preserve"> rates then also for seasonal effects.</w:t>
      </w:r>
    </w:p>
  </w:footnote>
  <w:footnote w:id="8">
    <w:p w14:paraId="0FE5BF3E" w14:textId="4E450CCF" w:rsidR="007C581C" w:rsidRPr="00666B00" w:rsidRDefault="007C581C" w:rsidP="00F77A50">
      <w:pPr>
        <w:pStyle w:val="Textpoznpodarou"/>
        <w:jc w:val="both"/>
        <w:rPr>
          <w:sz w:val="16"/>
          <w:szCs w:val="16"/>
          <w:lang w:val="en-GB"/>
        </w:rPr>
      </w:pPr>
      <w:r w:rsidRPr="00EB7CEF">
        <w:rPr>
          <w:rStyle w:val="Znakapoznpodarou"/>
          <w:sz w:val="16"/>
          <w:szCs w:val="16"/>
        </w:rPr>
        <w:footnoteRef/>
      </w:r>
      <w:r w:rsidRPr="00EB7CEF">
        <w:rPr>
          <w:sz w:val="16"/>
          <w:szCs w:val="16"/>
        </w:rPr>
        <w:t xml:space="preserve"> </w:t>
      </w:r>
      <w:r w:rsidRPr="00666B00">
        <w:rPr>
          <w:sz w:val="16"/>
          <w:szCs w:val="16"/>
          <w:lang w:val="en-GB"/>
        </w:rPr>
        <w:t>30</w:t>
      </w:r>
      <w:r>
        <w:rPr>
          <w:sz w:val="16"/>
          <w:szCs w:val="16"/>
          <w:lang w:val="en-GB"/>
        </w:rPr>
        <w:t>.</w:t>
      </w:r>
      <w:r w:rsidRPr="00666B00">
        <w:rPr>
          <w:sz w:val="16"/>
          <w:szCs w:val="16"/>
          <w:lang w:val="en-GB"/>
        </w:rPr>
        <w:t>8%</w:t>
      </w:r>
      <w:r>
        <w:rPr>
          <w:sz w:val="16"/>
          <w:szCs w:val="16"/>
          <w:lang w:val="en-GB"/>
        </w:rPr>
        <w:t xml:space="preserve"> of the value of total domestic export of the industrial goods headed to Germany last year in Q2</w:t>
      </w:r>
      <w:r w:rsidRPr="00666B00">
        <w:rPr>
          <w:sz w:val="16"/>
          <w:szCs w:val="16"/>
          <w:lang w:val="en-GB"/>
        </w:rPr>
        <w:t>, 80%</w:t>
      </w:r>
      <w:r>
        <w:rPr>
          <w:sz w:val="16"/>
          <w:szCs w:val="16"/>
          <w:lang w:val="en-GB"/>
        </w:rPr>
        <w:t xml:space="preserve"> then into the EU</w:t>
      </w:r>
      <w:r w:rsidRPr="00666B00">
        <w:rPr>
          <w:sz w:val="16"/>
          <w:szCs w:val="16"/>
          <w:lang w:val="en-GB"/>
        </w:rPr>
        <w:t>.</w:t>
      </w:r>
    </w:p>
  </w:footnote>
  <w:footnote w:id="9">
    <w:p w14:paraId="7BE65C5A" w14:textId="4427C8AA" w:rsidR="007C581C" w:rsidRPr="00666B00" w:rsidRDefault="007C581C" w:rsidP="00F77A50">
      <w:pPr>
        <w:pStyle w:val="Textpoznpodarou"/>
        <w:rPr>
          <w:sz w:val="16"/>
          <w:szCs w:val="16"/>
          <w:lang w:val="en-GB"/>
        </w:rPr>
      </w:pPr>
      <w:r w:rsidRPr="00666B00">
        <w:rPr>
          <w:rStyle w:val="Znakapoznpodarou"/>
          <w:sz w:val="16"/>
          <w:szCs w:val="16"/>
          <w:lang w:val="en-GB"/>
        </w:rPr>
        <w:footnoteRef/>
      </w:r>
      <w:r w:rsidRPr="00666B00">
        <w:rPr>
          <w:sz w:val="16"/>
          <w:szCs w:val="16"/>
          <w:lang w:val="en-GB"/>
        </w:rPr>
        <w:t xml:space="preserve"> </w:t>
      </w:r>
      <w:r>
        <w:rPr>
          <w:sz w:val="16"/>
          <w:szCs w:val="16"/>
          <w:lang w:val="en-GB"/>
        </w:rPr>
        <w:t>The output increased in approximately two thirds of the main industrial branches year-on-year in Q</w:t>
      </w:r>
      <w:r w:rsidRPr="00666B00">
        <w:rPr>
          <w:sz w:val="16"/>
          <w:szCs w:val="16"/>
          <w:lang w:val="en-GB"/>
        </w:rPr>
        <w:t>4</w:t>
      </w:r>
      <w:r>
        <w:rPr>
          <w:sz w:val="16"/>
          <w:szCs w:val="16"/>
          <w:lang w:val="en-GB"/>
        </w:rPr>
        <w:t xml:space="preserve"> </w:t>
      </w:r>
      <w:r w:rsidRPr="00666B00">
        <w:rPr>
          <w:sz w:val="16"/>
          <w:szCs w:val="16"/>
          <w:lang w:val="en-GB"/>
        </w:rPr>
        <w:t>2021</w:t>
      </w:r>
      <w:r>
        <w:rPr>
          <w:sz w:val="16"/>
          <w:szCs w:val="16"/>
          <w:lang w:val="en-GB"/>
        </w:rPr>
        <w:t xml:space="preserve">. </w:t>
      </w:r>
    </w:p>
  </w:footnote>
  <w:footnote w:id="10">
    <w:p w14:paraId="4F71D6B0" w14:textId="5D9239A2" w:rsidR="007C581C" w:rsidRPr="00666B00" w:rsidRDefault="007C581C" w:rsidP="00F77A50">
      <w:pPr>
        <w:pStyle w:val="Textpoznpodarou"/>
        <w:jc w:val="both"/>
        <w:rPr>
          <w:sz w:val="16"/>
          <w:szCs w:val="16"/>
          <w:lang w:val="en-GB"/>
        </w:rPr>
      </w:pPr>
      <w:r w:rsidRPr="00666B00">
        <w:rPr>
          <w:rStyle w:val="Znakapoznpodarou"/>
          <w:sz w:val="16"/>
          <w:szCs w:val="16"/>
          <w:lang w:val="en-GB"/>
        </w:rPr>
        <w:footnoteRef/>
      </w:r>
      <w:r w:rsidRPr="00666B00">
        <w:rPr>
          <w:sz w:val="16"/>
          <w:szCs w:val="16"/>
          <w:lang w:val="en-GB"/>
        </w:rPr>
        <w:t xml:space="preserve"> </w:t>
      </w:r>
      <w:r>
        <w:rPr>
          <w:sz w:val="16"/>
          <w:szCs w:val="16"/>
          <w:lang w:val="en-GB"/>
        </w:rPr>
        <w:t xml:space="preserve">Difficulties with the involuntary shutdowns of production in the motor vehicle industry, which occurred last year both in Summer and Autumn, however started to be evident in these sub-branches in Q4 2021. The output fell by </w:t>
      </w:r>
      <w:r w:rsidRPr="00666B00">
        <w:rPr>
          <w:sz w:val="16"/>
          <w:szCs w:val="16"/>
          <w:lang w:val="en-GB"/>
        </w:rPr>
        <w:t>4</w:t>
      </w:r>
      <w:r>
        <w:rPr>
          <w:sz w:val="16"/>
          <w:szCs w:val="16"/>
          <w:lang w:val="en-GB"/>
        </w:rPr>
        <w:t>.</w:t>
      </w:r>
      <w:r w:rsidRPr="00666B00">
        <w:rPr>
          <w:sz w:val="16"/>
          <w:szCs w:val="16"/>
          <w:lang w:val="en-GB"/>
        </w:rPr>
        <w:t>4%</w:t>
      </w:r>
      <w:r>
        <w:rPr>
          <w:sz w:val="16"/>
          <w:szCs w:val="16"/>
          <w:lang w:val="en-GB"/>
        </w:rPr>
        <w:t xml:space="preserve"> in manufacturing of rubber and plastic products year-on-year in Q4</w:t>
      </w:r>
      <w:r w:rsidRPr="00666B00">
        <w:rPr>
          <w:sz w:val="16"/>
          <w:szCs w:val="16"/>
          <w:lang w:val="en-GB"/>
        </w:rPr>
        <w:t xml:space="preserve">, </w:t>
      </w:r>
      <w:r>
        <w:rPr>
          <w:sz w:val="16"/>
          <w:szCs w:val="16"/>
          <w:lang w:val="en-GB"/>
        </w:rPr>
        <w:t xml:space="preserve">the decrease in the more diversified branch of manufacturing of electrical appliances was milder </w:t>
      </w:r>
      <w:r w:rsidRPr="00666B00">
        <w:rPr>
          <w:sz w:val="16"/>
          <w:szCs w:val="16"/>
          <w:lang w:val="en-GB"/>
        </w:rPr>
        <w:t>(1</w:t>
      </w:r>
      <w:r>
        <w:rPr>
          <w:sz w:val="16"/>
          <w:szCs w:val="16"/>
          <w:lang w:val="en-GB"/>
        </w:rPr>
        <w:t>.</w:t>
      </w:r>
      <w:r w:rsidRPr="00666B00">
        <w:rPr>
          <w:sz w:val="16"/>
          <w:szCs w:val="16"/>
          <w:lang w:val="en-GB"/>
        </w:rPr>
        <w:t>3%).</w:t>
      </w:r>
    </w:p>
  </w:footnote>
  <w:footnote w:id="11">
    <w:p w14:paraId="5D4610A7" w14:textId="26E5A44B" w:rsidR="007C581C" w:rsidRPr="00666B00" w:rsidRDefault="007C581C" w:rsidP="00F77A50">
      <w:pPr>
        <w:pStyle w:val="Textpoznpodarou"/>
        <w:jc w:val="both"/>
        <w:rPr>
          <w:sz w:val="16"/>
          <w:szCs w:val="16"/>
          <w:lang w:val="en-GB"/>
        </w:rPr>
      </w:pPr>
      <w:r w:rsidRPr="00666B00">
        <w:rPr>
          <w:rStyle w:val="Znakapoznpodarou"/>
          <w:sz w:val="16"/>
          <w:szCs w:val="16"/>
          <w:lang w:val="en-GB"/>
        </w:rPr>
        <w:footnoteRef/>
      </w:r>
      <w:r w:rsidRPr="00666B00">
        <w:rPr>
          <w:sz w:val="16"/>
          <w:szCs w:val="16"/>
          <w:lang w:val="en-GB"/>
        </w:rPr>
        <w:t xml:space="preserve"> </w:t>
      </w:r>
      <w:r>
        <w:rPr>
          <w:sz w:val="16"/>
          <w:szCs w:val="16"/>
          <w:lang w:val="en-GB"/>
        </w:rPr>
        <w:t>This field concentrated approximately one sixth of total industrial production in the CR in the last years</w:t>
      </w:r>
      <w:r w:rsidRPr="00666B00">
        <w:rPr>
          <w:sz w:val="16"/>
          <w:szCs w:val="16"/>
          <w:lang w:val="en-GB"/>
        </w:rPr>
        <w:t>.</w:t>
      </w:r>
    </w:p>
  </w:footnote>
  <w:footnote w:id="12">
    <w:p w14:paraId="63F9B407" w14:textId="3CF4D321" w:rsidR="007C581C" w:rsidRPr="00666B00" w:rsidRDefault="007C581C" w:rsidP="00F77A50">
      <w:pPr>
        <w:pStyle w:val="Textpoznpodarou"/>
        <w:jc w:val="both"/>
        <w:rPr>
          <w:sz w:val="16"/>
          <w:szCs w:val="16"/>
          <w:lang w:val="en-GB"/>
        </w:rPr>
      </w:pPr>
      <w:r w:rsidRPr="00666B00">
        <w:rPr>
          <w:rStyle w:val="Znakapoznpodarou"/>
          <w:sz w:val="16"/>
          <w:szCs w:val="16"/>
          <w:lang w:val="en-GB"/>
        </w:rPr>
        <w:footnoteRef/>
      </w:r>
      <w:r w:rsidRPr="00666B00">
        <w:rPr>
          <w:sz w:val="16"/>
          <w:szCs w:val="16"/>
          <w:lang w:val="en-GB"/>
        </w:rPr>
        <w:t xml:space="preserve"> </w:t>
      </w:r>
      <w:r>
        <w:rPr>
          <w:sz w:val="16"/>
          <w:szCs w:val="16"/>
          <w:lang w:val="en-GB"/>
        </w:rPr>
        <w:t xml:space="preserve">This is also confirmed by data related to the physical production. According to the date of the Automotive Industry Association, there was manufactured locally </w:t>
      </w:r>
      <w:r w:rsidRPr="00666B00">
        <w:rPr>
          <w:sz w:val="16"/>
          <w:szCs w:val="16"/>
          <w:lang w:val="en-GB"/>
        </w:rPr>
        <w:t>1</w:t>
      </w:r>
      <w:r>
        <w:rPr>
          <w:sz w:val="16"/>
          <w:szCs w:val="16"/>
          <w:lang w:val="en-GB"/>
        </w:rPr>
        <w:t>.</w:t>
      </w:r>
      <w:r w:rsidRPr="00666B00">
        <w:rPr>
          <w:sz w:val="16"/>
          <w:szCs w:val="16"/>
          <w:lang w:val="en-GB"/>
        </w:rPr>
        <w:t>105 mil</w:t>
      </w:r>
      <w:r>
        <w:rPr>
          <w:sz w:val="16"/>
          <w:szCs w:val="16"/>
          <w:lang w:val="en-GB"/>
        </w:rPr>
        <w:t xml:space="preserve"> of personal vehicles in the CR last year</w:t>
      </w:r>
      <w:r w:rsidRPr="00666B00">
        <w:rPr>
          <w:sz w:val="16"/>
          <w:szCs w:val="16"/>
          <w:lang w:val="en-GB"/>
        </w:rPr>
        <w:t>,</w:t>
      </w:r>
      <w:r>
        <w:rPr>
          <w:sz w:val="16"/>
          <w:szCs w:val="16"/>
          <w:lang w:val="en-GB"/>
        </w:rPr>
        <w:t xml:space="preserve"> which was by </w:t>
      </w:r>
      <w:r w:rsidRPr="00666B00">
        <w:rPr>
          <w:sz w:val="16"/>
          <w:szCs w:val="16"/>
          <w:lang w:val="en-GB"/>
        </w:rPr>
        <w:t xml:space="preserve">4% </w:t>
      </w:r>
      <w:r>
        <w:rPr>
          <w:sz w:val="16"/>
          <w:szCs w:val="16"/>
          <w:lang w:val="en-GB"/>
        </w:rPr>
        <w:t xml:space="preserve">less year-on-year and less compared to record year </w:t>
      </w:r>
      <w:r w:rsidRPr="00666B00">
        <w:rPr>
          <w:sz w:val="16"/>
          <w:szCs w:val="16"/>
          <w:lang w:val="en-GB"/>
        </w:rPr>
        <w:t>2018</w:t>
      </w:r>
      <w:r>
        <w:rPr>
          <w:sz w:val="16"/>
          <w:szCs w:val="16"/>
          <w:lang w:val="en-GB"/>
        </w:rPr>
        <w:t xml:space="preserve"> even by </w:t>
      </w:r>
      <w:r w:rsidRPr="00666B00">
        <w:rPr>
          <w:sz w:val="16"/>
          <w:szCs w:val="16"/>
          <w:lang w:val="en-GB"/>
        </w:rPr>
        <w:t xml:space="preserve">23%. </w:t>
      </w:r>
      <w:r>
        <w:rPr>
          <w:sz w:val="16"/>
          <w:szCs w:val="16"/>
          <w:lang w:val="en-GB"/>
        </w:rPr>
        <w:t xml:space="preserve">Only 318 </w:t>
      </w:r>
      <w:r w:rsidR="009A096C">
        <w:rPr>
          <w:sz w:val="16"/>
          <w:szCs w:val="16"/>
          <w:lang w:val="en-GB"/>
        </w:rPr>
        <w:t xml:space="preserve">thousand </w:t>
      </w:r>
      <w:r>
        <w:rPr>
          <w:sz w:val="16"/>
          <w:szCs w:val="16"/>
          <w:lang w:val="en-GB"/>
        </w:rPr>
        <w:t xml:space="preserve">manufactured motor vehicles  - i.e. only 29% of last </w:t>
      </w:r>
      <w:r w:rsidRPr="006365C6">
        <w:rPr>
          <w:sz w:val="16"/>
          <w:szCs w:val="16"/>
          <w:lang w:val="en-GB"/>
        </w:rPr>
        <w:t>year’s annual production - pertained</w:t>
      </w:r>
      <w:r>
        <w:rPr>
          <w:sz w:val="16"/>
          <w:szCs w:val="16"/>
          <w:lang w:val="en-GB"/>
        </w:rPr>
        <w:t xml:space="preserve"> to the five months of year </w:t>
      </w:r>
      <w:r w:rsidRPr="00666B00">
        <w:rPr>
          <w:sz w:val="16"/>
          <w:szCs w:val="16"/>
          <w:lang w:val="en-GB"/>
        </w:rPr>
        <w:t>2021,</w:t>
      </w:r>
      <w:r>
        <w:rPr>
          <w:sz w:val="16"/>
          <w:szCs w:val="16"/>
          <w:lang w:val="en-GB"/>
        </w:rPr>
        <w:t xml:space="preserve"> affected by the involuntary shutdowns of production or prolonged vacation leaves </w:t>
      </w:r>
      <w:r w:rsidRPr="00666B00">
        <w:rPr>
          <w:sz w:val="16"/>
          <w:szCs w:val="16"/>
          <w:lang w:val="en-GB"/>
        </w:rPr>
        <w:t>(</w:t>
      </w:r>
      <w:r>
        <w:rPr>
          <w:sz w:val="16"/>
          <w:szCs w:val="16"/>
          <w:lang w:val="en-GB"/>
        </w:rPr>
        <w:t>December and period from July till October</w:t>
      </w:r>
      <w:r w:rsidRPr="00666B00">
        <w:rPr>
          <w:sz w:val="16"/>
          <w:szCs w:val="16"/>
          <w:lang w:val="en-GB"/>
        </w:rPr>
        <w:t>)</w:t>
      </w:r>
      <w:r>
        <w:rPr>
          <w:sz w:val="16"/>
          <w:szCs w:val="16"/>
          <w:lang w:val="en-GB"/>
        </w:rPr>
        <w:t xml:space="preserve">. </w:t>
      </w:r>
    </w:p>
  </w:footnote>
  <w:footnote w:id="13">
    <w:p w14:paraId="5816D616" w14:textId="77777777" w:rsidR="00C12FCC" w:rsidRPr="0023640D" w:rsidRDefault="00C12FCC" w:rsidP="00F77A50">
      <w:pPr>
        <w:pStyle w:val="Textpoznpodarou"/>
        <w:jc w:val="both"/>
        <w:rPr>
          <w:sz w:val="16"/>
          <w:szCs w:val="16"/>
          <w:lang w:val="en-GB"/>
        </w:rPr>
      </w:pPr>
      <w:r w:rsidRPr="000345CC">
        <w:rPr>
          <w:rStyle w:val="Znakapoznpodarou"/>
          <w:sz w:val="16"/>
          <w:szCs w:val="16"/>
        </w:rPr>
        <w:footnoteRef/>
      </w:r>
      <w:r w:rsidRPr="000345CC">
        <w:rPr>
          <w:sz w:val="16"/>
          <w:szCs w:val="16"/>
        </w:rPr>
        <w:t xml:space="preserve"> </w:t>
      </w:r>
      <w:r w:rsidRPr="0023640D">
        <w:rPr>
          <w:sz w:val="16"/>
          <w:szCs w:val="16"/>
          <w:lang w:val="en-GB"/>
        </w:rPr>
        <w:t>The production slumped by one sixth for the whole year 202</w:t>
      </w:r>
      <w:r>
        <w:rPr>
          <w:sz w:val="16"/>
          <w:szCs w:val="16"/>
          <w:lang w:val="en-GB"/>
        </w:rPr>
        <w:t>1</w:t>
      </w:r>
      <w:r w:rsidRPr="0023640D">
        <w:rPr>
          <w:sz w:val="16"/>
          <w:szCs w:val="16"/>
          <w:lang w:val="en-GB"/>
        </w:rPr>
        <w:t>, i.e. the most in the comparable time series since year 2000. It was connected to the long-term transformation of the energetic mix of the economy, also accelerated b</w:t>
      </w:r>
      <w:r>
        <w:rPr>
          <w:sz w:val="16"/>
          <w:szCs w:val="16"/>
          <w:lang w:val="en-GB"/>
        </w:rPr>
        <w:t>y</w:t>
      </w:r>
      <w:r w:rsidRPr="0023640D">
        <w:rPr>
          <w:sz w:val="16"/>
          <w:szCs w:val="16"/>
          <w:lang w:val="en-GB"/>
        </w:rPr>
        <w:t xml:space="preserve"> the swift growth of prices of emission allowances. </w:t>
      </w:r>
    </w:p>
  </w:footnote>
  <w:footnote w:id="14">
    <w:p w14:paraId="7F1FF283" w14:textId="2FE994E4" w:rsidR="00C12FCC" w:rsidRPr="00C02B16" w:rsidRDefault="00C12FCC" w:rsidP="0023640D">
      <w:pPr>
        <w:pStyle w:val="Textpoznpodarou"/>
        <w:jc w:val="both"/>
        <w:rPr>
          <w:spacing w:val="-2"/>
          <w:sz w:val="16"/>
          <w:szCs w:val="16"/>
          <w:lang w:val="en-GB"/>
        </w:rPr>
      </w:pPr>
      <w:r w:rsidRPr="00C02B16">
        <w:rPr>
          <w:rStyle w:val="Znakapoznpodarou"/>
          <w:spacing w:val="-2"/>
          <w:sz w:val="16"/>
          <w:szCs w:val="16"/>
          <w:lang w:val="en-GB"/>
        </w:rPr>
        <w:footnoteRef/>
      </w:r>
      <w:r w:rsidRPr="00C02B16">
        <w:rPr>
          <w:spacing w:val="-2"/>
          <w:sz w:val="16"/>
          <w:szCs w:val="16"/>
          <w:lang w:val="en-GB"/>
        </w:rPr>
        <w:t xml:space="preserve"> </w:t>
      </w:r>
      <w:r w:rsidRPr="00AA7871">
        <w:rPr>
          <w:rFonts w:cs="Arial"/>
          <w:color w:val="0D0D0D" w:themeColor="text1" w:themeTint="F2"/>
          <w:spacing w:val="-3"/>
          <w:sz w:val="16"/>
          <w:szCs w:val="16"/>
          <w:lang w:val="en-GB"/>
        </w:rPr>
        <w:t>According to the preliminary data of the Energy Regulatory Office of the CR, the total gross electricity production reached 8</w:t>
      </w:r>
      <w:r>
        <w:rPr>
          <w:rFonts w:cs="Arial"/>
          <w:color w:val="0D0D0D" w:themeColor="text1" w:themeTint="F2"/>
          <w:spacing w:val="-3"/>
          <w:sz w:val="16"/>
          <w:szCs w:val="16"/>
          <w:lang w:val="en-GB"/>
        </w:rPr>
        <w:t>4,9 TWh last year and increased by 4.2% year-on-year (it however dropped by 6.4% in year 2020)</w:t>
      </w:r>
      <w:r w:rsidRPr="00AA7871">
        <w:rPr>
          <w:rFonts w:cs="Arial"/>
          <w:color w:val="0D0D0D" w:themeColor="text1" w:themeTint="F2"/>
          <w:spacing w:val="-3"/>
          <w:sz w:val="16"/>
          <w:szCs w:val="16"/>
          <w:lang w:val="en-GB"/>
        </w:rPr>
        <w:t xml:space="preserve">. </w:t>
      </w:r>
      <w:r>
        <w:rPr>
          <w:spacing w:val="-2"/>
          <w:sz w:val="16"/>
          <w:szCs w:val="16"/>
          <w:lang w:val="en-GB"/>
        </w:rPr>
        <w:t xml:space="preserve">The gross domestic electricity consumption also slightly lagged behind the level from year 2019 last year, when it arrived at </w:t>
      </w:r>
      <w:r w:rsidRPr="00C02B16">
        <w:rPr>
          <w:spacing w:val="-2"/>
          <w:sz w:val="16"/>
          <w:szCs w:val="16"/>
          <w:lang w:val="en-GB"/>
        </w:rPr>
        <w:t>73</w:t>
      </w:r>
      <w:r>
        <w:rPr>
          <w:spacing w:val="-2"/>
          <w:sz w:val="16"/>
          <w:szCs w:val="16"/>
          <w:lang w:val="en-GB"/>
        </w:rPr>
        <w:t>.</w:t>
      </w:r>
      <w:r w:rsidRPr="00C02B16">
        <w:rPr>
          <w:spacing w:val="-2"/>
          <w:sz w:val="16"/>
          <w:szCs w:val="16"/>
          <w:lang w:val="en-GB"/>
        </w:rPr>
        <w:t>7 TWh a</w:t>
      </w:r>
      <w:r>
        <w:rPr>
          <w:spacing w:val="-2"/>
          <w:sz w:val="16"/>
          <w:szCs w:val="16"/>
          <w:lang w:val="en-GB"/>
        </w:rPr>
        <w:t xml:space="preserve">nd increased by </w:t>
      </w:r>
      <w:r w:rsidRPr="00C02B16">
        <w:rPr>
          <w:spacing w:val="-2"/>
          <w:sz w:val="16"/>
          <w:szCs w:val="16"/>
          <w:lang w:val="en-GB"/>
        </w:rPr>
        <w:t>3</w:t>
      </w:r>
      <w:r>
        <w:rPr>
          <w:spacing w:val="-2"/>
          <w:sz w:val="16"/>
          <w:szCs w:val="16"/>
          <w:lang w:val="en-GB"/>
        </w:rPr>
        <w:t>.</w:t>
      </w:r>
      <w:r w:rsidRPr="00C02B16">
        <w:rPr>
          <w:spacing w:val="-2"/>
          <w:sz w:val="16"/>
          <w:szCs w:val="16"/>
          <w:lang w:val="en-GB"/>
        </w:rPr>
        <w:t>2%</w:t>
      </w:r>
      <w:r>
        <w:rPr>
          <w:spacing w:val="-2"/>
          <w:sz w:val="16"/>
          <w:szCs w:val="16"/>
          <w:lang w:val="en-GB"/>
        </w:rPr>
        <w:t xml:space="preserve"> year-on-year</w:t>
      </w:r>
      <w:r w:rsidRPr="00C02B16">
        <w:rPr>
          <w:spacing w:val="-2"/>
          <w:sz w:val="16"/>
          <w:szCs w:val="16"/>
          <w:lang w:val="en-GB"/>
        </w:rPr>
        <w:t xml:space="preserve">. </w:t>
      </w:r>
      <w:r>
        <w:rPr>
          <w:spacing w:val="-2"/>
          <w:sz w:val="16"/>
          <w:szCs w:val="16"/>
          <w:lang w:val="en-GB"/>
        </w:rPr>
        <w:t xml:space="preserve">Households </w:t>
      </w:r>
      <w:r w:rsidRPr="00C02B16">
        <w:rPr>
          <w:spacing w:val="-2"/>
          <w:sz w:val="16"/>
          <w:szCs w:val="16"/>
          <w:lang w:val="en-GB"/>
        </w:rPr>
        <w:t>(+8</w:t>
      </w:r>
      <w:r>
        <w:rPr>
          <w:spacing w:val="-2"/>
          <w:sz w:val="16"/>
          <w:szCs w:val="16"/>
          <w:lang w:val="en-GB"/>
        </w:rPr>
        <w:t>.</w:t>
      </w:r>
      <w:r w:rsidRPr="00C02B16">
        <w:rPr>
          <w:spacing w:val="-2"/>
          <w:sz w:val="16"/>
          <w:szCs w:val="16"/>
          <w:lang w:val="en-GB"/>
        </w:rPr>
        <w:t>1%) a</w:t>
      </w:r>
      <w:r>
        <w:rPr>
          <w:spacing w:val="-2"/>
          <w:sz w:val="16"/>
          <w:szCs w:val="16"/>
          <w:lang w:val="en-GB"/>
        </w:rPr>
        <w:t xml:space="preserve">nd wholesale customers within businesses </w:t>
      </w:r>
      <w:r w:rsidRPr="00C02B16">
        <w:rPr>
          <w:spacing w:val="-2"/>
          <w:sz w:val="16"/>
          <w:szCs w:val="16"/>
          <w:lang w:val="en-GB"/>
        </w:rPr>
        <w:t>(+4</w:t>
      </w:r>
      <w:r>
        <w:rPr>
          <w:spacing w:val="-2"/>
          <w:sz w:val="16"/>
          <w:szCs w:val="16"/>
          <w:lang w:val="en-GB"/>
        </w:rPr>
        <w:t>.</w:t>
      </w:r>
      <w:r w:rsidRPr="00C02B16">
        <w:rPr>
          <w:spacing w:val="-2"/>
          <w:sz w:val="16"/>
          <w:szCs w:val="16"/>
          <w:lang w:val="en-GB"/>
        </w:rPr>
        <w:t>4%)</w:t>
      </w:r>
      <w:r>
        <w:rPr>
          <w:spacing w:val="-2"/>
          <w:sz w:val="16"/>
          <w:szCs w:val="16"/>
          <w:lang w:val="en-GB"/>
        </w:rPr>
        <w:t xml:space="preserve"> played a key role</w:t>
      </w:r>
      <w:r w:rsidRPr="00C02B16">
        <w:rPr>
          <w:spacing w:val="-2"/>
          <w:sz w:val="16"/>
          <w:szCs w:val="16"/>
          <w:lang w:val="en-GB"/>
        </w:rPr>
        <w:t xml:space="preserve">. </w:t>
      </w:r>
      <w:r>
        <w:rPr>
          <w:spacing w:val="-2"/>
          <w:sz w:val="16"/>
          <w:szCs w:val="16"/>
          <w:lang w:val="en-GB"/>
        </w:rPr>
        <w:t xml:space="preserve">By contrast retail consumers from the ranks of entrepreneurs consumed by 0.9% less year-on-year, by 3.4% for the two years. The total consumption of gas increased by 8.5% year-on-year in the CR last year, after taking into account the effect of the colder weather, the growth of the consumption was </w:t>
      </w:r>
      <w:r w:rsidRPr="00C02B16">
        <w:rPr>
          <w:spacing w:val="-2"/>
          <w:sz w:val="16"/>
          <w:szCs w:val="16"/>
          <w:lang w:val="en-GB"/>
        </w:rPr>
        <w:t>(</w:t>
      </w:r>
      <w:r>
        <w:rPr>
          <w:spacing w:val="-2"/>
          <w:sz w:val="16"/>
          <w:szCs w:val="16"/>
          <w:lang w:val="en-GB"/>
        </w:rPr>
        <w:t>after adjustment for thermal standard) only 3.5%.</w:t>
      </w:r>
      <w:r w:rsidRPr="00C02B16">
        <w:rPr>
          <w:spacing w:val="-2"/>
          <w:sz w:val="16"/>
          <w:szCs w:val="16"/>
          <w:lang w:val="en-GB"/>
        </w:rPr>
        <w:t xml:space="preserve"> </w:t>
      </w:r>
      <w:r>
        <w:rPr>
          <w:spacing w:val="-2"/>
          <w:sz w:val="16"/>
          <w:szCs w:val="16"/>
          <w:lang w:val="en-GB"/>
        </w:rPr>
        <w:t xml:space="preserve">In year </w:t>
      </w:r>
      <w:r w:rsidRPr="00C02B16">
        <w:rPr>
          <w:spacing w:val="-2"/>
          <w:sz w:val="16"/>
          <w:szCs w:val="16"/>
          <w:lang w:val="en-GB"/>
        </w:rPr>
        <w:t>2020</w:t>
      </w:r>
      <w:r>
        <w:rPr>
          <w:spacing w:val="-2"/>
          <w:sz w:val="16"/>
          <w:szCs w:val="16"/>
          <w:lang w:val="en-GB"/>
        </w:rPr>
        <w:t xml:space="preserve">, the recalculated consumption fell by 0.5% also due to the decrease of economic activity. </w:t>
      </w:r>
    </w:p>
  </w:footnote>
  <w:footnote w:id="15">
    <w:p w14:paraId="0A1BF7AC" w14:textId="48BA99DA" w:rsidR="00C12FCC" w:rsidRPr="000110E8" w:rsidRDefault="00C12FCC" w:rsidP="00F77A50">
      <w:pPr>
        <w:pStyle w:val="Textpoznpodarou"/>
        <w:jc w:val="both"/>
        <w:rPr>
          <w:sz w:val="16"/>
          <w:szCs w:val="16"/>
          <w:lang w:val="en-GB"/>
        </w:rPr>
      </w:pPr>
      <w:r w:rsidRPr="000345CC">
        <w:rPr>
          <w:rStyle w:val="Znakapoznpodarou"/>
          <w:sz w:val="16"/>
          <w:szCs w:val="16"/>
        </w:rPr>
        <w:footnoteRef/>
      </w:r>
      <w:r w:rsidRPr="000345CC">
        <w:rPr>
          <w:sz w:val="16"/>
          <w:szCs w:val="16"/>
        </w:rPr>
        <w:t xml:space="preserve"> </w:t>
      </w:r>
      <w:r w:rsidRPr="000110E8">
        <w:rPr>
          <w:sz w:val="16"/>
          <w:szCs w:val="16"/>
          <w:lang w:val="en-GB"/>
        </w:rPr>
        <w:t xml:space="preserve">Year-on-year rates of growth of sales are adjusted for calendar effects. </w:t>
      </w:r>
    </w:p>
  </w:footnote>
  <w:footnote w:id="16">
    <w:p w14:paraId="2E26B4FB" w14:textId="77777777" w:rsidR="00C12FCC" w:rsidRPr="000110E8" w:rsidRDefault="00C12FCC" w:rsidP="000110E8">
      <w:pPr>
        <w:pStyle w:val="Textpoznpodarou"/>
        <w:jc w:val="both"/>
        <w:rPr>
          <w:rFonts w:cs="Arial"/>
          <w:color w:val="0D0D0D" w:themeColor="text1" w:themeTint="F2"/>
          <w:spacing w:val="-2"/>
          <w:sz w:val="16"/>
          <w:szCs w:val="16"/>
          <w:lang w:val="en-GB"/>
        </w:rPr>
      </w:pPr>
      <w:r w:rsidRPr="000110E8">
        <w:rPr>
          <w:rStyle w:val="Znakapoznpodarou"/>
          <w:rFonts w:cs="Arial"/>
          <w:color w:val="0D0D0D" w:themeColor="text1" w:themeTint="F2"/>
          <w:spacing w:val="-2"/>
          <w:sz w:val="16"/>
          <w:szCs w:val="16"/>
          <w:lang w:val="en-GB"/>
        </w:rPr>
        <w:footnoteRef/>
      </w:r>
      <w:r w:rsidRPr="000110E8">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Survey of orders is ongoing only in </w:t>
      </w:r>
      <w:r w:rsidRPr="000110E8">
        <w:rPr>
          <w:rFonts w:cs="Arial"/>
          <w:color w:val="0D0D0D" w:themeColor="text1" w:themeTint="F2"/>
          <w:sz w:val="16"/>
          <w:szCs w:val="16"/>
          <w:lang w:val="en-GB"/>
        </w:rPr>
        <w:t>12 </w:t>
      </w:r>
      <w:r>
        <w:rPr>
          <w:rFonts w:cs="Arial"/>
          <w:color w:val="0D0D0D" w:themeColor="text1" w:themeTint="F2"/>
          <w:sz w:val="16"/>
          <w:szCs w:val="16"/>
          <w:lang w:val="en-GB"/>
        </w:rPr>
        <w:t>manufacturing branches producing mostly custom-made products, with longer production cycle and larger stocks of orders. Year-on-year growth rates of orders are adjusted for calendar effects.</w:t>
      </w:r>
    </w:p>
  </w:footnote>
  <w:footnote w:id="17">
    <w:p w14:paraId="1DF9BB68" w14:textId="77777777" w:rsidR="00C12FCC" w:rsidRPr="007C7C8E" w:rsidRDefault="00C12FCC" w:rsidP="00F77A50">
      <w:pPr>
        <w:pStyle w:val="Textpoznpodarou"/>
        <w:jc w:val="both"/>
        <w:rPr>
          <w:sz w:val="16"/>
          <w:szCs w:val="16"/>
          <w:lang w:val="en-GB"/>
        </w:rPr>
      </w:pPr>
      <w:r w:rsidRPr="000110E8">
        <w:rPr>
          <w:rStyle w:val="Znakapoznpodarou"/>
          <w:sz w:val="16"/>
          <w:szCs w:val="16"/>
          <w:lang w:val="en-GB"/>
        </w:rPr>
        <w:footnoteRef/>
      </w:r>
      <w:r w:rsidRPr="000110E8">
        <w:rPr>
          <w:sz w:val="16"/>
          <w:szCs w:val="16"/>
          <w:lang w:val="en-GB"/>
        </w:rPr>
        <w:t xml:space="preserve"> </w:t>
      </w:r>
      <w:r>
        <w:rPr>
          <w:sz w:val="16"/>
          <w:szCs w:val="16"/>
          <w:lang w:val="en-GB"/>
        </w:rPr>
        <w:t xml:space="preserve">Largest utilisation of capacities had among the bigger industrial branches the manufacturing of construction materials or rubber and plastic products </w:t>
      </w:r>
      <w:r w:rsidRPr="000110E8">
        <w:rPr>
          <w:sz w:val="16"/>
          <w:szCs w:val="16"/>
          <w:lang w:val="en-GB"/>
        </w:rPr>
        <w:t>(s</w:t>
      </w:r>
      <w:r>
        <w:rPr>
          <w:sz w:val="16"/>
          <w:szCs w:val="16"/>
          <w:lang w:val="en-GB"/>
        </w:rPr>
        <w:t xml:space="preserve">imilarly </w:t>
      </w:r>
      <w:r w:rsidRPr="000110E8">
        <w:rPr>
          <w:sz w:val="16"/>
          <w:szCs w:val="16"/>
          <w:lang w:val="en-GB"/>
        </w:rPr>
        <w:t>90%) a</w:t>
      </w:r>
      <w:r>
        <w:rPr>
          <w:sz w:val="16"/>
          <w:szCs w:val="16"/>
          <w:lang w:val="en-GB"/>
        </w:rPr>
        <w:t xml:space="preserve">nd also the chemical industry </w:t>
      </w:r>
      <w:r w:rsidRPr="000110E8">
        <w:rPr>
          <w:sz w:val="16"/>
          <w:szCs w:val="16"/>
          <w:lang w:val="en-GB"/>
        </w:rPr>
        <w:t>(84%)</w:t>
      </w:r>
      <w:r>
        <w:rPr>
          <w:sz w:val="16"/>
          <w:szCs w:val="16"/>
          <w:lang w:val="en-GB"/>
        </w:rPr>
        <w:t xml:space="preserve"> at the beginning of year 2022</w:t>
      </w:r>
      <w:r w:rsidRPr="000110E8">
        <w:rPr>
          <w:sz w:val="16"/>
          <w:szCs w:val="16"/>
          <w:lang w:val="en-GB"/>
        </w:rPr>
        <w:t xml:space="preserve">. </w:t>
      </w:r>
      <w:r>
        <w:rPr>
          <w:sz w:val="16"/>
          <w:szCs w:val="16"/>
          <w:lang w:val="en-GB"/>
        </w:rPr>
        <w:t xml:space="preserve">Among smaller branches it was then analogically e.g. manufacturing of </w:t>
      </w:r>
      <w:r w:rsidRPr="007C7C8E">
        <w:rPr>
          <w:sz w:val="16"/>
          <w:szCs w:val="16"/>
          <w:lang w:val="en-GB"/>
        </w:rPr>
        <w:t>furniture (92%), wood industry (93%) and manufacturing of paper product</w:t>
      </w:r>
      <w:r>
        <w:rPr>
          <w:sz w:val="16"/>
          <w:szCs w:val="16"/>
          <w:lang w:val="en-GB"/>
        </w:rPr>
        <w:t>s</w:t>
      </w:r>
      <w:r w:rsidRPr="007C7C8E">
        <w:rPr>
          <w:sz w:val="16"/>
          <w:szCs w:val="16"/>
          <w:lang w:val="en-GB"/>
        </w:rPr>
        <w:t xml:space="preserve"> (89%) or pharmaceutical products (87%). On the contrary, the manufacturers of beverages displayed the least utilised production capacities (67%), where this value </w:t>
      </w:r>
      <w:r>
        <w:rPr>
          <w:sz w:val="16"/>
          <w:szCs w:val="16"/>
          <w:lang w:val="en-GB"/>
        </w:rPr>
        <w:t xml:space="preserve">also </w:t>
      </w:r>
      <w:r w:rsidRPr="007C7C8E">
        <w:rPr>
          <w:sz w:val="16"/>
          <w:szCs w:val="16"/>
          <w:lang w:val="en-GB"/>
        </w:rPr>
        <w:t xml:space="preserve">considerably fell behind the long-term average. </w:t>
      </w:r>
    </w:p>
  </w:footnote>
  <w:footnote w:id="18">
    <w:p w14:paraId="32F82C47" w14:textId="24E6D86B" w:rsidR="00C12FCC" w:rsidRPr="007C7C8E" w:rsidRDefault="00C12FCC" w:rsidP="00507032">
      <w:pPr>
        <w:pStyle w:val="Textpoznpodarou"/>
        <w:jc w:val="both"/>
        <w:rPr>
          <w:sz w:val="16"/>
          <w:szCs w:val="16"/>
          <w:lang w:val="en-GB"/>
        </w:rPr>
      </w:pPr>
      <w:r w:rsidRPr="007C7C8E">
        <w:rPr>
          <w:rStyle w:val="Znakapoznpodarou"/>
          <w:sz w:val="16"/>
          <w:szCs w:val="16"/>
          <w:lang w:val="en-GB"/>
        </w:rPr>
        <w:footnoteRef/>
      </w:r>
      <w:r w:rsidRPr="007C7C8E">
        <w:rPr>
          <w:sz w:val="16"/>
          <w:szCs w:val="16"/>
          <w:lang w:val="en-GB"/>
        </w:rPr>
        <w:t xml:space="preserve"> Businesses could have stated more barriers simultaneously. </w:t>
      </w:r>
    </w:p>
  </w:footnote>
  <w:footnote w:id="19">
    <w:p w14:paraId="75C76553" w14:textId="47DC43FC" w:rsidR="00C12FCC" w:rsidRPr="00331A9D" w:rsidRDefault="00C12FCC" w:rsidP="00507032">
      <w:pPr>
        <w:pStyle w:val="Textpoznpodarou"/>
        <w:jc w:val="both"/>
        <w:rPr>
          <w:sz w:val="16"/>
          <w:szCs w:val="16"/>
        </w:rPr>
      </w:pPr>
      <w:r w:rsidRPr="007C7C8E">
        <w:rPr>
          <w:rStyle w:val="Znakapoznpodarou"/>
          <w:sz w:val="16"/>
          <w:szCs w:val="16"/>
          <w:lang w:val="en-GB"/>
        </w:rPr>
        <w:footnoteRef/>
      </w:r>
      <w:r w:rsidRPr="007C7C8E">
        <w:rPr>
          <w:sz w:val="16"/>
          <w:szCs w:val="16"/>
          <w:lang w:val="en-GB"/>
        </w:rPr>
        <w:t xml:space="preserve"> For instance the budget of the State Fund for Transport Infrastructure calculated (based on the first approved version of the state budget) with investment transfers from the state budget in record size of 80.4 CZK bn in year 2021.</w:t>
      </w:r>
      <w:r>
        <w:rPr>
          <w:sz w:val="16"/>
          <w:szCs w:val="16"/>
        </w:rPr>
        <w:t xml:space="preserve"> </w:t>
      </w:r>
    </w:p>
  </w:footnote>
  <w:footnote w:id="20">
    <w:p w14:paraId="7D871091" w14:textId="388B3CA1" w:rsidR="00C12FCC" w:rsidRPr="0000031A" w:rsidRDefault="00C12FCC" w:rsidP="00507032">
      <w:pPr>
        <w:pStyle w:val="Textpoznpodarou"/>
        <w:jc w:val="both"/>
        <w:rPr>
          <w:spacing w:val="-2"/>
          <w:sz w:val="16"/>
          <w:szCs w:val="16"/>
          <w:lang w:val="en-GB"/>
        </w:rPr>
      </w:pPr>
      <w:r w:rsidRPr="00C94BE8">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w:t>
      </w:r>
      <w:r w:rsidRPr="0000031A">
        <w:rPr>
          <w:rFonts w:cs="Arial"/>
          <w:color w:val="0D0D0D" w:themeColor="text1" w:themeTint="F2"/>
          <w:spacing w:val="-2"/>
          <w:sz w:val="16"/>
          <w:szCs w:val="16"/>
          <w:lang w:val="en-GB"/>
        </w:rPr>
        <w:t>Data regarding the construction output are in constant prices, year-on</w:t>
      </w:r>
      <w:r>
        <w:rPr>
          <w:rFonts w:cs="Arial"/>
          <w:color w:val="0D0D0D" w:themeColor="text1" w:themeTint="F2"/>
          <w:spacing w:val="-2"/>
          <w:sz w:val="16"/>
          <w:szCs w:val="16"/>
          <w:lang w:val="en-GB"/>
        </w:rPr>
        <w:t>-year</w:t>
      </w:r>
      <w:r w:rsidRPr="0000031A">
        <w:rPr>
          <w:rFonts w:cs="Arial"/>
          <w:color w:val="0D0D0D" w:themeColor="text1" w:themeTint="F2"/>
          <w:spacing w:val="-2"/>
          <w:sz w:val="16"/>
          <w:szCs w:val="16"/>
          <w:lang w:val="en-GB"/>
        </w:rPr>
        <w:t xml:space="preserve"> rates of growth are adjusted for calendar effects, quarter-on-quarter then also for seasonal effect. </w:t>
      </w:r>
    </w:p>
  </w:footnote>
  <w:footnote w:id="21">
    <w:p w14:paraId="41938EC6" w14:textId="784A08E2" w:rsidR="00C12FCC" w:rsidRPr="004D42F8" w:rsidRDefault="00C12FCC" w:rsidP="00F77A50">
      <w:pPr>
        <w:pStyle w:val="Textpoznpodarou"/>
        <w:jc w:val="both"/>
        <w:rPr>
          <w:sz w:val="16"/>
          <w:szCs w:val="16"/>
          <w:lang w:val="en-GB"/>
        </w:rPr>
      </w:pPr>
      <w:r w:rsidRPr="00784ECC">
        <w:rPr>
          <w:rStyle w:val="Znakapoznpodarou"/>
          <w:sz w:val="16"/>
          <w:szCs w:val="16"/>
        </w:rPr>
        <w:footnoteRef/>
      </w:r>
      <w:r w:rsidRPr="00784ECC">
        <w:rPr>
          <w:sz w:val="16"/>
          <w:szCs w:val="16"/>
        </w:rPr>
        <w:t xml:space="preserve"> </w:t>
      </w:r>
      <w:r w:rsidRPr="004D42F8">
        <w:rPr>
          <w:sz w:val="16"/>
          <w:szCs w:val="16"/>
          <w:lang w:val="en-GB"/>
        </w:rPr>
        <w:t>Already 55% of entrepreneurs in construction expected continuing growth of the sale prices in the ne</w:t>
      </w:r>
      <w:r>
        <w:rPr>
          <w:sz w:val="16"/>
          <w:szCs w:val="16"/>
          <w:lang w:val="en-GB"/>
        </w:rPr>
        <w:t>x</w:t>
      </w:r>
      <w:r w:rsidRPr="004D42F8">
        <w:rPr>
          <w:sz w:val="16"/>
          <w:szCs w:val="16"/>
          <w:lang w:val="en-GB"/>
        </w:rPr>
        <w:t>t three months in February 2022.  It was negligibly more than in the so far record year 2008.</w:t>
      </w:r>
    </w:p>
  </w:footnote>
  <w:footnote w:id="22">
    <w:p w14:paraId="54D924C2" w14:textId="0075530B" w:rsidR="00C12FCC" w:rsidRPr="004D42F8" w:rsidRDefault="00C12FCC" w:rsidP="00F77A50">
      <w:pPr>
        <w:spacing w:after="0" w:line="240" w:lineRule="auto"/>
        <w:rPr>
          <w:lang w:val="en-GB"/>
        </w:rPr>
      </w:pPr>
      <w:r w:rsidRPr="004D42F8">
        <w:rPr>
          <w:rStyle w:val="Znakapoznpodarou"/>
          <w:color w:val="0D0D0D" w:themeColor="text1" w:themeTint="F2"/>
          <w:sz w:val="16"/>
          <w:szCs w:val="16"/>
          <w:lang w:val="en-GB"/>
        </w:rPr>
        <w:footnoteRef/>
      </w:r>
      <w:r w:rsidRPr="004D42F8">
        <w:rPr>
          <w:color w:val="0D0D0D" w:themeColor="text1" w:themeTint="F2"/>
          <w:sz w:val="16"/>
          <w:szCs w:val="16"/>
          <w:lang w:val="en-GB"/>
        </w:rPr>
        <w:t xml:space="preserve"> </w:t>
      </w:r>
      <w:r>
        <w:rPr>
          <w:color w:val="0D0D0D" w:themeColor="text1" w:themeTint="F2"/>
          <w:sz w:val="16"/>
          <w:szCs w:val="16"/>
          <w:lang w:val="en-GB"/>
        </w:rPr>
        <w:t>Without trade, financial industry, insurance industry, science, research and public services. All figures for services are in constant prices, year-on-year data are adjusted for calendar effects, quarter-on-quarter data are seasonally adjusted (including the effect of number of working days).</w:t>
      </w:r>
    </w:p>
  </w:footnote>
  <w:footnote w:id="23">
    <w:p w14:paraId="296416B9" w14:textId="43C371B6" w:rsidR="00C12FCC" w:rsidRPr="00A1040E" w:rsidRDefault="00C12FCC" w:rsidP="006F2992">
      <w:pPr>
        <w:spacing w:after="0" w:line="240" w:lineRule="auto"/>
        <w:rPr>
          <w:rFonts w:cs="Arial"/>
          <w:bCs/>
          <w:spacing w:val="-2"/>
          <w:sz w:val="16"/>
          <w:szCs w:val="16"/>
          <w:lang w:val="en-GB"/>
        </w:rPr>
      </w:pPr>
      <w:r w:rsidRPr="004D42F8">
        <w:rPr>
          <w:rStyle w:val="Znakapoznpodarou"/>
          <w:sz w:val="16"/>
          <w:szCs w:val="16"/>
          <w:lang w:val="en-GB"/>
        </w:rPr>
        <w:footnoteRef/>
      </w:r>
      <w:r w:rsidRPr="004D42F8">
        <w:rPr>
          <w:sz w:val="16"/>
          <w:szCs w:val="16"/>
          <w:lang w:val="en-GB"/>
        </w:rPr>
        <w:t xml:space="preserve"> </w:t>
      </w:r>
      <w:r>
        <w:rPr>
          <w:sz w:val="16"/>
          <w:szCs w:val="16"/>
          <w:lang w:val="en-GB"/>
        </w:rPr>
        <w:t xml:space="preserve">11.4 mil of visitors arrived at the mass accommodation facilities in the CR in year 2021. </w:t>
      </w:r>
      <w:r w:rsidRPr="00606EF7">
        <w:rPr>
          <w:color w:val="0D0D0D" w:themeColor="text1" w:themeTint="F2"/>
          <w:spacing w:val="-3"/>
          <w:sz w:val="16"/>
          <w:szCs w:val="16"/>
          <w:lang w:val="en-GB"/>
        </w:rPr>
        <w:t xml:space="preserve">The number of </w:t>
      </w:r>
      <w:r>
        <w:rPr>
          <w:color w:val="0D0D0D" w:themeColor="text1" w:themeTint="F2"/>
          <w:spacing w:val="-3"/>
          <w:sz w:val="16"/>
          <w:szCs w:val="16"/>
          <w:lang w:val="en-GB"/>
        </w:rPr>
        <w:t xml:space="preserve">their </w:t>
      </w:r>
      <w:r w:rsidRPr="00606EF7">
        <w:rPr>
          <w:color w:val="0D0D0D" w:themeColor="text1" w:themeTint="F2"/>
          <w:spacing w:val="-3"/>
          <w:sz w:val="16"/>
          <w:szCs w:val="16"/>
          <w:lang w:val="en-GB"/>
        </w:rPr>
        <w:t xml:space="preserve">overnight stays </w:t>
      </w:r>
      <w:r>
        <w:rPr>
          <w:color w:val="0D0D0D" w:themeColor="text1" w:themeTint="F2"/>
          <w:spacing w:val="-3"/>
          <w:sz w:val="16"/>
          <w:szCs w:val="16"/>
          <w:lang w:val="en-GB"/>
        </w:rPr>
        <w:t>slightly increased year-on-year (</w:t>
      </w:r>
      <w:r w:rsidRPr="004D42F8">
        <w:rPr>
          <w:rFonts w:cs="Arial"/>
          <w:bCs/>
          <w:spacing w:val="-2"/>
          <w:sz w:val="16"/>
          <w:szCs w:val="16"/>
          <w:lang w:val="en-GB"/>
        </w:rPr>
        <w:t>+1</w:t>
      </w:r>
      <w:r>
        <w:rPr>
          <w:rFonts w:cs="Arial"/>
          <w:bCs/>
          <w:spacing w:val="-2"/>
          <w:sz w:val="16"/>
          <w:szCs w:val="16"/>
          <w:lang w:val="en-GB"/>
        </w:rPr>
        <w:t>.</w:t>
      </w:r>
      <w:r w:rsidRPr="004D42F8">
        <w:rPr>
          <w:rFonts w:cs="Arial"/>
          <w:bCs/>
          <w:spacing w:val="-2"/>
          <w:sz w:val="16"/>
          <w:szCs w:val="16"/>
          <w:lang w:val="en-GB"/>
        </w:rPr>
        <w:t>8%)</w:t>
      </w:r>
      <w:r>
        <w:rPr>
          <w:rFonts w:cs="Arial"/>
          <w:bCs/>
          <w:spacing w:val="-2"/>
          <w:sz w:val="16"/>
          <w:szCs w:val="16"/>
          <w:lang w:val="en-GB"/>
        </w:rPr>
        <w:t xml:space="preserve">, for guests from abroad however it fell by 11.4% and reached only one quarter of the size from year 2019. One half of all overnight stays of non-residents pertained to guests from neighbouring countries with the CR last year. Due to the worsened epidemic </w:t>
      </w:r>
      <w:r w:rsidRPr="00A1040E">
        <w:rPr>
          <w:rFonts w:cs="Arial"/>
          <w:bCs/>
          <w:spacing w:val="-2"/>
          <w:sz w:val="16"/>
          <w:szCs w:val="16"/>
          <w:lang w:val="en-GB"/>
        </w:rPr>
        <w:t xml:space="preserve">situation as well as administrative obstacles in travelling, the extremely low </w:t>
      </w:r>
      <w:r>
        <w:rPr>
          <w:rFonts w:cs="Arial"/>
          <w:bCs/>
          <w:spacing w:val="-2"/>
          <w:sz w:val="16"/>
          <w:szCs w:val="16"/>
          <w:lang w:val="en-GB"/>
        </w:rPr>
        <w:t xml:space="preserve">portion </w:t>
      </w:r>
      <w:r w:rsidRPr="00A1040E">
        <w:rPr>
          <w:rFonts w:cs="Arial"/>
          <w:bCs/>
          <w:spacing w:val="-2"/>
          <w:sz w:val="16"/>
          <w:szCs w:val="16"/>
          <w:lang w:val="en-GB"/>
        </w:rPr>
        <w:t xml:space="preserve">of overnight stays from Russia persisted (3% of the number from year 2019), Great Britain (12%), distant Asian countries, especially China (2%) and Taiwan (1%), South Korea (3%) and Japan (6%), or for instance from the USA (16%). </w:t>
      </w:r>
      <w:r>
        <w:rPr>
          <w:rFonts w:cs="Arial"/>
          <w:bCs/>
          <w:spacing w:val="-2"/>
          <w:sz w:val="16"/>
          <w:szCs w:val="16"/>
          <w:lang w:val="en-GB"/>
        </w:rPr>
        <w:t xml:space="preserve">Among the more significant source countries, the numbers of overnight stays dropped the least for Slovakia </w:t>
      </w:r>
      <w:r w:rsidRPr="00A1040E">
        <w:rPr>
          <w:rFonts w:cs="Arial"/>
          <w:bCs/>
          <w:spacing w:val="-2"/>
          <w:sz w:val="16"/>
          <w:szCs w:val="16"/>
          <w:lang w:val="en-GB"/>
        </w:rPr>
        <w:t>(</w:t>
      </w:r>
      <w:r>
        <w:rPr>
          <w:rFonts w:cs="Arial"/>
          <w:bCs/>
          <w:spacing w:val="-2"/>
          <w:sz w:val="16"/>
          <w:szCs w:val="16"/>
          <w:lang w:val="en-GB"/>
        </w:rPr>
        <w:t xml:space="preserve">by </w:t>
      </w:r>
      <w:r w:rsidRPr="00A1040E">
        <w:rPr>
          <w:rFonts w:cs="Arial"/>
          <w:bCs/>
          <w:spacing w:val="-2"/>
          <w:sz w:val="16"/>
          <w:szCs w:val="16"/>
          <w:lang w:val="en-GB"/>
        </w:rPr>
        <w:t xml:space="preserve">50%), </w:t>
      </w:r>
      <w:r>
        <w:rPr>
          <w:rFonts w:cs="Arial"/>
          <w:bCs/>
          <w:spacing w:val="-2"/>
          <w:sz w:val="16"/>
          <w:szCs w:val="16"/>
          <w:lang w:val="en-GB"/>
        </w:rPr>
        <w:t xml:space="preserve">for clients from the CR the two-year decrease was only </w:t>
      </w:r>
      <w:r w:rsidRPr="00A1040E">
        <w:rPr>
          <w:rFonts w:cs="Arial"/>
          <w:bCs/>
          <w:spacing w:val="-2"/>
          <w:sz w:val="16"/>
          <w:szCs w:val="16"/>
          <w:lang w:val="en-GB"/>
        </w:rPr>
        <w:t>15%.</w:t>
      </w:r>
    </w:p>
  </w:footnote>
  <w:footnote w:id="24">
    <w:p w14:paraId="02D85569" w14:textId="77777777" w:rsidR="00C12FCC" w:rsidRPr="00A1040E" w:rsidRDefault="00C12FCC" w:rsidP="00545631">
      <w:pPr>
        <w:pStyle w:val="Textpoznpodarou"/>
        <w:jc w:val="both"/>
        <w:rPr>
          <w:sz w:val="16"/>
          <w:szCs w:val="16"/>
          <w:lang w:val="en-GB"/>
        </w:rPr>
      </w:pPr>
      <w:r w:rsidRPr="00A1040E">
        <w:rPr>
          <w:rStyle w:val="Znakapoznpodarou"/>
          <w:sz w:val="16"/>
          <w:szCs w:val="16"/>
          <w:lang w:val="en-GB"/>
        </w:rPr>
        <w:footnoteRef/>
      </w:r>
      <w:r w:rsidRPr="00A1040E">
        <w:rPr>
          <w:sz w:val="16"/>
          <w:szCs w:val="16"/>
          <w:lang w:val="en-GB"/>
        </w:rPr>
        <w:t xml:space="preserve"> </w:t>
      </w:r>
      <w:r>
        <w:rPr>
          <w:sz w:val="16"/>
          <w:szCs w:val="16"/>
          <w:lang w:val="en-GB"/>
        </w:rPr>
        <w:t>Data from the s</w:t>
      </w:r>
      <w:r w:rsidRPr="005128AC">
        <w:rPr>
          <w:sz w:val="16"/>
          <w:szCs w:val="16"/>
          <w:lang w:val="en-GB"/>
        </w:rPr>
        <w:t>egment</w:t>
      </w:r>
      <w:r>
        <w:rPr>
          <w:sz w:val="16"/>
          <w:szCs w:val="16"/>
          <w:lang w:val="en-GB"/>
        </w:rPr>
        <w:t xml:space="preserve"> of motion picture distribution also prove it. The operations of cinemas were gradually renewed at the turn of May and June last year. As of July, when the possibility of refreshment was also allowed in the cinema theatre, the number of visitors started to return to the pre pandemic level. Already 3.5 mil of visitors arrived at the cinemas in the CR in Q3, by one half more year-on-year and compared to the same period in year </w:t>
      </w:r>
      <w:r w:rsidRPr="00A1040E">
        <w:rPr>
          <w:sz w:val="16"/>
          <w:szCs w:val="16"/>
          <w:lang w:val="en-GB"/>
        </w:rPr>
        <w:t xml:space="preserve">2019 </w:t>
      </w:r>
      <w:r>
        <w:rPr>
          <w:sz w:val="16"/>
          <w:szCs w:val="16"/>
          <w:lang w:val="en-GB"/>
        </w:rPr>
        <w:t xml:space="preserve">by </w:t>
      </w:r>
      <w:r w:rsidRPr="00A1040E">
        <w:rPr>
          <w:sz w:val="16"/>
          <w:szCs w:val="16"/>
          <w:lang w:val="en-GB"/>
        </w:rPr>
        <w:t>17%</w:t>
      </w:r>
      <w:r>
        <w:rPr>
          <w:sz w:val="16"/>
          <w:szCs w:val="16"/>
          <w:lang w:val="en-GB"/>
        </w:rPr>
        <w:t xml:space="preserve"> less. Reintroduction of partial restrictions at the end of November </w:t>
      </w:r>
      <w:r w:rsidRPr="00A1040E">
        <w:rPr>
          <w:sz w:val="16"/>
          <w:szCs w:val="16"/>
          <w:lang w:val="en-GB"/>
        </w:rPr>
        <w:t>(</w:t>
      </w:r>
      <w:r>
        <w:rPr>
          <w:sz w:val="16"/>
          <w:szCs w:val="16"/>
          <w:lang w:val="en-GB"/>
        </w:rPr>
        <w:t xml:space="preserve">admission only to vaccinated and persons who went through the disease </w:t>
      </w:r>
      <w:r w:rsidRPr="00A1040E">
        <w:rPr>
          <w:sz w:val="16"/>
          <w:szCs w:val="16"/>
          <w:lang w:val="en-GB"/>
        </w:rPr>
        <w:t>covid-19)</w:t>
      </w:r>
      <w:r>
        <w:rPr>
          <w:sz w:val="16"/>
          <w:szCs w:val="16"/>
          <w:lang w:val="en-GB"/>
        </w:rPr>
        <w:t xml:space="preserve"> inhibited the return to normal</w:t>
      </w:r>
      <w:r w:rsidRPr="00A1040E">
        <w:rPr>
          <w:sz w:val="16"/>
          <w:szCs w:val="16"/>
          <w:lang w:val="en-GB"/>
        </w:rPr>
        <w:t xml:space="preserve">. </w:t>
      </w:r>
      <w:r>
        <w:rPr>
          <w:sz w:val="16"/>
          <w:szCs w:val="16"/>
          <w:lang w:val="en-GB"/>
        </w:rPr>
        <w:t xml:space="preserve">The attendance climbed up to </w:t>
      </w:r>
      <w:r w:rsidRPr="00A1040E">
        <w:rPr>
          <w:sz w:val="16"/>
          <w:szCs w:val="16"/>
          <w:lang w:val="en-GB"/>
        </w:rPr>
        <w:t>7</w:t>
      </w:r>
      <w:r>
        <w:rPr>
          <w:sz w:val="16"/>
          <w:szCs w:val="16"/>
          <w:lang w:val="en-GB"/>
        </w:rPr>
        <w:t>.</w:t>
      </w:r>
      <w:r w:rsidRPr="00A1040E">
        <w:rPr>
          <w:sz w:val="16"/>
          <w:szCs w:val="16"/>
          <w:lang w:val="en-GB"/>
        </w:rPr>
        <w:t>14 mil</w:t>
      </w:r>
      <w:r>
        <w:rPr>
          <w:sz w:val="16"/>
          <w:szCs w:val="16"/>
          <w:lang w:val="en-GB"/>
        </w:rPr>
        <w:t xml:space="preserve"> persons for the whole last year</w:t>
      </w:r>
      <w:r w:rsidRPr="00A1040E">
        <w:rPr>
          <w:sz w:val="16"/>
          <w:szCs w:val="16"/>
          <w:lang w:val="en-GB"/>
        </w:rPr>
        <w:t xml:space="preserve">, </w:t>
      </w:r>
      <w:r>
        <w:rPr>
          <w:sz w:val="16"/>
          <w:szCs w:val="16"/>
          <w:lang w:val="en-GB"/>
        </w:rPr>
        <w:t xml:space="preserve">which was by 12% more year-on-year, but compared to the record year </w:t>
      </w:r>
      <w:r w:rsidRPr="00A1040E">
        <w:rPr>
          <w:sz w:val="16"/>
          <w:szCs w:val="16"/>
          <w:lang w:val="en-GB"/>
        </w:rPr>
        <w:t>2019</w:t>
      </w:r>
      <w:r>
        <w:rPr>
          <w:sz w:val="16"/>
          <w:szCs w:val="16"/>
          <w:lang w:val="en-GB"/>
        </w:rPr>
        <w:t xml:space="preserve">, it represented a decrease of </w:t>
      </w:r>
      <w:r w:rsidRPr="00A1040E">
        <w:rPr>
          <w:sz w:val="16"/>
          <w:szCs w:val="16"/>
          <w:lang w:val="en-GB"/>
        </w:rPr>
        <w:t>61%.</w:t>
      </w:r>
    </w:p>
  </w:footnote>
  <w:footnote w:id="25">
    <w:p w14:paraId="474146C8" w14:textId="012C4E0E" w:rsidR="00C12FCC" w:rsidRPr="00EA2691" w:rsidRDefault="00C12FCC" w:rsidP="00F77A50">
      <w:pPr>
        <w:spacing w:after="0" w:line="240" w:lineRule="auto"/>
        <w:rPr>
          <w:spacing w:val="-2"/>
          <w:lang w:val="en-GB"/>
        </w:rPr>
      </w:pPr>
      <w:r w:rsidRPr="00BE7370">
        <w:rPr>
          <w:rStyle w:val="Znakapoznpodarou"/>
          <w:color w:val="0D0D0D" w:themeColor="text1" w:themeTint="F2"/>
          <w:spacing w:val="-2"/>
          <w:sz w:val="16"/>
          <w:szCs w:val="16"/>
        </w:rPr>
        <w:footnoteRef/>
      </w:r>
      <w:r w:rsidRPr="00BE7370">
        <w:rPr>
          <w:color w:val="0D0D0D" w:themeColor="text1" w:themeTint="F2"/>
          <w:spacing w:val="-2"/>
          <w:sz w:val="16"/>
          <w:szCs w:val="16"/>
        </w:rPr>
        <w:t xml:space="preserve"> </w:t>
      </w:r>
      <w:r w:rsidRPr="00EA2691">
        <w:rPr>
          <w:color w:val="0D0D0D" w:themeColor="text1" w:themeTint="F2"/>
          <w:spacing w:val="-2"/>
          <w:sz w:val="16"/>
          <w:szCs w:val="16"/>
          <w:lang w:val="en-GB"/>
        </w:rPr>
        <w:t>All year-on-year rat</w:t>
      </w:r>
      <w:r>
        <w:rPr>
          <w:color w:val="0D0D0D" w:themeColor="text1" w:themeTint="F2"/>
          <w:spacing w:val="-2"/>
          <w:sz w:val="16"/>
          <w:szCs w:val="16"/>
          <w:lang w:val="en-GB"/>
        </w:rPr>
        <w:t>e</w:t>
      </w:r>
      <w:r w:rsidRPr="00EA2691">
        <w:rPr>
          <w:color w:val="0D0D0D" w:themeColor="text1" w:themeTint="F2"/>
          <w:spacing w:val="-2"/>
          <w:sz w:val="16"/>
          <w:szCs w:val="16"/>
          <w:lang w:val="en-GB"/>
        </w:rPr>
        <w:t>s of growth of retail sales are stated in constant prices and adjusted for calendar effects, quarter-on-quarter or month-on-month growth rates are adjusted for seasonal effects (including the number of working days). Retail includes branches CZ-NACE 47.</w:t>
      </w:r>
    </w:p>
  </w:footnote>
  <w:footnote w:id="26">
    <w:p w14:paraId="2E4531D0" w14:textId="48D718D5" w:rsidR="00C12FCC" w:rsidRPr="00EA2691" w:rsidRDefault="00C12FCC" w:rsidP="00F77A50">
      <w:pPr>
        <w:pStyle w:val="Textpoznpodarou"/>
        <w:jc w:val="both"/>
        <w:rPr>
          <w:spacing w:val="-4"/>
          <w:sz w:val="16"/>
          <w:szCs w:val="16"/>
          <w:lang w:val="en-GB"/>
        </w:rPr>
      </w:pPr>
      <w:r w:rsidRPr="00EA2691">
        <w:rPr>
          <w:rStyle w:val="Znakapoznpodarou"/>
          <w:spacing w:val="-4"/>
          <w:sz w:val="16"/>
          <w:szCs w:val="16"/>
          <w:lang w:val="en-GB"/>
        </w:rPr>
        <w:footnoteRef/>
      </w:r>
      <w:r w:rsidRPr="00EA2691">
        <w:rPr>
          <w:spacing w:val="-4"/>
          <w:sz w:val="16"/>
          <w:szCs w:val="16"/>
          <w:lang w:val="en-GB"/>
        </w:rPr>
        <w:t xml:space="preserve"> </w:t>
      </w:r>
      <w:r>
        <w:rPr>
          <w:spacing w:val="-4"/>
          <w:sz w:val="16"/>
          <w:szCs w:val="16"/>
          <w:lang w:val="en-GB"/>
        </w:rPr>
        <w:t xml:space="preserve">Growing consumer confidence was linked to the low unemployment also for the most part of the year continuing real growth of wages </w:t>
      </w:r>
      <w:r w:rsidRPr="00EA2691">
        <w:rPr>
          <w:spacing w:val="-4"/>
          <w:sz w:val="16"/>
          <w:szCs w:val="16"/>
          <w:lang w:val="en-GB"/>
        </w:rPr>
        <w:t>(</w:t>
      </w:r>
      <w:r>
        <w:rPr>
          <w:spacing w:val="-4"/>
          <w:sz w:val="16"/>
          <w:szCs w:val="16"/>
          <w:lang w:val="en-GB"/>
        </w:rPr>
        <w:t>supported by the payment of extraordinary bonuses in parts of the public sector as well as lower taxation on income</w:t>
      </w:r>
      <w:r w:rsidRPr="00EA2691">
        <w:rPr>
          <w:rFonts w:cs="Arial"/>
          <w:color w:val="0D0D0D" w:themeColor="text1" w:themeTint="F2"/>
          <w:spacing w:val="-4"/>
          <w:sz w:val="16"/>
          <w:szCs w:val="16"/>
          <w:lang w:val="en-GB"/>
        </w:rPr>
        <w:t xml:space="preserve">). </w:t>
      </w:r>
      <w:r>
        <w:rPr>
          <w:rFonts w:cs="Arial"/>
          <w:color w:val="0D0D0D" w:themeColor="text1" w:themeTint="F2"/>
          <w:spacing w:val="-4"/>
          <w:sz w:val="16"/>
          <w:szCs w:val="16"/>
          <w:lang w:val="en-GB"/>
        </w:rPr>
        <w:t>Unparalleled high worries of people regarding the growth of prices could have worked against faster realisation of delayed consumption at the end of the year</w:t>
      </w:r>
      <w:r w:rsidRPr="00EA2691">
        <w:rPr>
          <w:rFonts w:cs="Arial"/>
          <w:color w:val="0D0D0D" w:themeColor="text1" w:themeTint="F2"/>
          <w:spacing w:val="-4"/>
          <w:sz w:val="16"/>
          <w:szCs w:val="16"/>
          <w:lang w:val="en-GB"/>
        </w:rPr>
        <w:t xml:space="preserve">, </w:t>
      </w:r>
      <w:r>
        <w:rPr>
          <w:rFonts w:cs="Arial"/>
          <w:color w:val="0D0D0D" w:themeColor="text1" w:themeTint="F2"/>
          <w:spacing w:val="-4"/>
          <w:sz w:val="16"/>
          <w:szCs w:val="16"/>
          <w:lang w:val="en-GB"/>
        </w:rPr>
        <w:t xml:space="preserve">which were also grounded in the real economy. </w:t>
      </w:r>
    </w:p>
  </w:footnote>
  <w:footnote w:id="27">
    <w:p w14:paraId="2F94B328" w14:textId="4B13EB21" w:rsidR="00C12FCC" w:rsidRPr="00EA2691" w:rsidRDefault="00C12FCC" w:rsidP="00F77A50">
      <w:pPr>
        <w:pStyle w:val="Textpoznpodarou"/>
        <w:jc w:val="both"/>
        <w:rPr>
          <w:spacing w:val="-2"/>
          <w:sz w:val="16"/>
          <w:szCs w:val="16"/>
          <w:lang w:val="en-GB"/>
        </w:rPr>
      </w:pPr>
      <w:r w:rsidRPr="00EA2691">
        <w:rPr>
          <w:rStyle w:val="Znakapoznpodarou"/>
          <w:spacing w:val="-2"/>
          <w:sz w:val="16"/>
          <w:szCs w:val="16"/>
          <w:lang w:val="en-GB"/>
        </w:rPr>
        <w:footnoteRef/>
      </w:r>
      <w:r w:rsidRPr="00EA2691">
        <w:rPr>
          <w:spacing w:val="-2"/>
          <w:sz w:val="16"/>
          <w:szCs w:val="16"/>
          <w:lang w:val="en-GB"/>
        </w:rPr>
        <w:t xml:space="preserve"> </w:t>
      </w:r>
      <w:r>
        <w:rPr>
          <w:spacing w:val="-2"/>
          <w:sz w:val="16"/>
          <w:szCs w:val="16"/>
          <w:lang w:val="en-GB"/>
        </w:rPr>
        <w:t xml:space="preserve">Similarly to year </w:t>
      </w:r>
      <w:r w:rsidRPr="00EA2691">
        <w:rPr>
          <w:spacing w:val="-2"/>
          <w:sz w:val="16"/>
          <w:szCs w:val="16"/>
          <w:lang w:val="en-GB"/>
        </w:rPr>
        <w:t>2020</w:t>
      </w:r>
      <w:r>
        <w:rPr>
          <w:spacing w:val="-2"/>
          <w:sz w:val="16"/>
          <w:szCs w:val="16"/>
          <w:lang w:val="en-GB"/>
        </w:rPr>
        <w:t xml:space="preserve"> thus also recorded slightly weaker pace compared to both the EU and euro area. The retail sales rose by </w:t>
      </w:r>
      <w:r w:rsidRPr="00EA2691">
        <w:rPr>
          <w:spacing w:val="-2"/>
          <w:sz w:val="16"/>
          <w:szCs w:val="16"/>
          <w:lang w:val="en-GB"/>
        </w:rPr>
        <w:t>5</w:t>
      </w:r>
      <w:r>
        <w:rPr>
          <w:spacing w:val="-2"/>
          <w:sz w:val="16"/>
          <w:szCs w:val="16"/>
          <w:lang w:val="en-GB"/>
        </w:rPr>
        <w:t>.</w:t>
      </w:r>
      <w:r w:rsidRPr="00EA2691">
        <w:rPr>
          <w:spacing w:val="-2"/>
          <w:sz w:val="16"/>
          <w:szCs w:val="16"/>
          <w:lang w:val="en-GB"/>
        </w:rPr>
        <w:t>5%</w:t>
      </w:r>
      <w:r>
        <w:rPr>
          <w:spacing w:val="-2"/>
          <w:sz w:val="16"/>
          <w:szCs w:val="16"/>
          <w:lang w:val="en-GB"/>
        </w:rPr>
        <w:t xml:space="preserve"> in the EU</w:t>
      </w:r>
      <w:r w:rsidRPr="00EA2691">
        <w:rPr>
          <w:spacing w:val="-2"/>
          <w:sz w:val="16"/>
          <w:szCs w:val="16"/>
          <w:lang w:val="en-GB"/>
        </w:rPr>
        <w:t xml:space="preserve"> a</w:t>
      </w:r>
      <w:r>
        <w:rPr>
          <w:spacing w:val="-2"/>
          <w:sz w:val="16"/>
          <w:szCs w:val="16"/>
          <w:lang w:val="en-GB"/>
        </w:rPr>
        <w:t xml:space="preserve">nd </w:t>
      </w:r>
      <w:r w:rsidRPr="00EA2691">
        <w:rPr>
          <w:spacing w:val="-2"/>
          <w:sz w:val="16"/>
          <w:szCs w:val="16"/>
          <w:lang w:val="en-GB"/>
        </w:rPr>
        <w:t>5</w:t>
      </w:r>
      <w:r>
        <w:rPr>
          <w:spacing w:val="-2"/>
          <w:sz w:val="16"/>
          <w:szCs w:val="16"/>
          <w:lang w:val="en-GB"/>
        </w:rPr>
        <w:t>.</w:t>
      </w:r>
      <w:r w:rsidRPr="00EA2691">
        <w:rPr>
          <w:spacing w:val="-2"/>
          <w:sz w:val="16"/>
          <w:szCs w:val="16"/>
          <w:lang w:val="en-GB"/>
        </w:rPr>
        <w:t>0%</w:t>
      </w:r>
      <w:r>
        <w:rPr>
          <w:spacing w:val="-2"/>
          <w:sz w:val="16"/>
          <w:szCs w:val="16"/>
          <w:lang w:val="en-GB"/>
        </w:rPr>
        <w:t xml:space="preserve"> in the euro area last year</w:t>
      </w:r>
      <w:r w:rsidRPr="00EA2691">
        <w:rPr>
          <w:spacing w:val="-2"/>
          <w:sz w:val="16"/>
          <w:szCs w:val="16"/>
          <w:lang w:val="en-GB"/>
        </w:rPr>
        <w:t>.</w:t>
      </w:r>
      <w:r>
        <w:rPr>
          <w:spacing w:val="-2"/>
          <w:sz w:val="16"/>
          <w:szCs w:val="16"/>
          <w:lang w:val="en-GB"/>
        </w:rPr>
        <w:t xml:space="preserve"> The sales strengthened the most in Slovenia </w:t>
      </w:r>
      <w:r w:rsidRPr="00EA2691">
        <w:rPr>
          <w:spacing w:val="-2"/>
          <w:sz w:val="16"/>
          <w:szCs w:val="16"/>
          <w:lang w:val="en-GB"/>
        </w:rPr>
        <w:t>(+18</w:t>
      </w:r>
      <w:r>
        <w:rPr>
          <w:spacing w:val="-2"/>
          <w:sz w:val="16"/>
          <w:szCs w:val="16"/>
          <w:lang w:val="en-GB"/>
        </w:rPr>
        <w:t>.</w:t>
      </w:r>
      <w:r w:rsidRPr="00EA2691">
        <w:rPr>
          <w:spacing w:val="-2"/>
          <w:sz w:val="16"/>
          <w:szCs w:val="16"/>
          <w:lang w:val="en-GB"/>
        </w:rPr>
        <w:t>9%),</w:t>
      </w:r>
      <w:r>
        <w:rPr>
          <w:spacing w:val="-2"/>
          <w:sz w:val="16"/>
          <w:szCs w:val="16"/>
          <w:lang w:val="en-GB"/>
        </w:rPr>
        <w:t xml:space="preserve"> Lithuania </w:t>
      </w:r>
      <w:r w:rsidRPr="00EA2691">
        <w:rPr>
          <w:spacing w:val="-2"/>
          <w:sz w:val="16"/>
          <w:szCs w:val="16"/>
          <w:lang w:val="en-GB"/>
        </w:rPr>
        <w:t>(+12</w:t>
      </w:r>
      <w:r>
        <w:rPr>
          <w:spacing w:val="-2"/>
          <w:sz w:val="16"/>
          <w:szCs w:val="16"/>
          <w:lang w:val="en-GB"/>
        </w:rPr>
        <w:t>.</w:t>
      </w:r>
      <w:r w:rsidRPr="00EA2691">
        <w:rPr>
          <w:spacing w:val="-2"/>
          <w:sz w:val="16"/>
          <w:szCs w:val="16"/>
          <w:lang w:val="en-GB"/>
        </w:rPr>
        <w:t>9%) a</w:t>
      </w:r>
      <w:r>
        <w:rPr>
          <w:spacing w:val="-2"/>
          <w:sz w:val="16"/>
          <w:szCs w:val="16"/>
          <w:lang w:val="en-GB"/>
        </w:rPr>
        <w:t xml:space="preserve">nd Bulgaria </w:t>
      </w:r>
      <w:r w:rsidRPr="00EA2691">
        <w:rPr>
          <w:spacing w:val="-2"/>
          <w:sz w:val="16"/>
          <w:szCs w:val="16"/>
          <w:lang w:val="en-GB"/>
        </w:rPr>
        <w:t>(+12</w:t>
      </w:r>
      <w:r>
        <w:rPr>
          <w:spacing w:val="-2"/>
          <w:sz w:val="16"/>
          <w:szCs w:val="16"/>
          <w:lang w:val="en-GB"/>
        </w:rPr>
        <w:t>.</w:t>
      </w:r>
      <w:r w:rsidRPr="00EA2691">
        <w:rPr>
          <w:spacing w:val="-2"/>
          <w:sz w:val="16"/>
          <w:szCs w:val="16"/>
          <w:lang w:val="en-GB"/>
        </w:rPr>
        <w:t>2%),</w:t>
      </w:r>
      <w:r>
        <w:rPr>
          <w:spacing w:val="-2"/>
          <w:sz w:val="16"/>
          <w:szCs w:val="16"/>
          <w:lang w:val="en-GB"/>
        </w:rPr>
        <w:t xml:space="preserve"> among larger economies then in France </w:t>
      </w:r>
      <w:r w:rsidRPr="00EA2691">
        <w:rPr>
          <w:spacing w:val="-2"/>
          <w:sz w:val="16"/>
          <w:szCs w:val="16"/>
          <w:lang w:val="en-GB"/>
        </w:rPr>
        <w:t>(+9</w:t>
      </w:r>
      <w:r>
        <w:rPr>
          <w:spacing w:val="-2"/>
          <w:sz w:val="16"/>
          <w:szCs w:val="16"/>
          <w:lang w:val="en-GB"/>
        </w:rPr>
        <w:t>.</w:t>
      </w:r>
      <w:r w:rsidRPr="00EA2691">
        <w:rPr>
          <w:spacing w:val="-2"/>
          <w:sz w:val="16"/>
          <w:szCs w:val="16"/>
          <w:lang w:val="en-GB"/>
        </w:rPr>
        <w:t>7%), Pol</w:t>
      </w:r>
      <w:r>
        <w:rPr>
          <w:spacing w:val="-2"/>
          <w:sz w:val="16"/>
          <w:szCs w:val="16"/>
          <w:lang w:val="en-GB"/>
        </w:rPr>
        <w:t xml:space="preserve">and </w:t>
      </w:r>
      <w:r w:rsidRPr="00EA2691">
        <w:rPr>
          <w:spacing w:val="-2"/>
          <w:sz w:val="16"/>
          <w:szCs w:val="16"/>
          <w:lang w:val="en-GB"/>
        </w:rPr>
        <w:t>(+9</w:t>
      </w:r>
      <w:r>
        <w:rPr>
          <w:spacing w:val="-2"/>
          <w:sz w:val="16"/>
          <w:szCs w:val="16"/>
          <w:lang w:val="en-GB"/>
        </w:rPr>
        <w:t>.</w:t>
      </w:r>
      <w:r w:rsidRPr="00EA2691">
        <w:rPr>
          <w:spacing w:val="-2"/>
          <w:sz w:val="16"/>
          <w:szCs w:val="16"/>
          <w:lang w:val="en-GB"/>
        </w:rPr>
        <w:t>3%) a</w:t>
      </w:r>
      <w:r>
        <w:rPr>
          <w:spacing w:val="-2"/>
          <w:sz w:val="16"/>
          <w:szCs w:val="16"/>
          <w:lang w:val="en-GB"/>
        </w:rPr>
        <w:t xml:space="preserve">nd Italy </w:t>
      </w:r>
      <w:r w:rsidRPr="00EA2691">
        <w:rPr>
          <w:spacing w:val="-2"/>
          <w:sz w:val="16"/>
          <w:szCs w:val="16"/>
          <w:lang w:val="en-GB"/>
        </w:rPr>
        <w:t>(+8</w:t>
      </w:r>
      <w:r>
        <w:rPr>
          <w:spacing w:val="-2"/>
          <w:sz w:val="16"/>
          <w:szCs w:val="16"/>
          <w:lang w:val="en-GB"/>
        </w:rPr>
        <w:t>.</w:t>
      </w:r>
      <w:r w:rsidRPr="00EA2691">
        <w:rPr>
          <w:spacing w:val="-2"/>
          <w:sz w:val="16"/>
          <w:szCs w:val="16"/>
          <w:lang w:val="en-GB"/>
        </w:rPr>
        <w:t xml:space="preserve">2%). </w:t>
      </w:r>
      <w:r>
        <w:rPr>
          <w:spacing w:val="-2"/>
          <w:sz w:val="16"/>
          <w:szCs w:val="16"/>
          <w:lang w:val="en-GB"/>
        </w:rPr>
        <w:t xml:space="preserve">The sales grew less in Slovakia </w:t>
      </w:r>
      <w:r w:rsidRPr="00EA2691">
        <w:rPr>
          <w:spacing w:val="-2"/>
          <w:sz w:val="16"/>
          <w:szCs w:val="16"/>
          <w:lang w:val="en-GB"/>
        </w:rPr>
        <w:t>(+1</w:t>
      </w:r>
      <w:r>
        <w:rPr>
          <w:spacing w:val="-2"/>
          <w:sz w:val="16"/>
          <w:szCs w:val="16"/>
          <w:lang w:val="en-GB"/>
        </w:rPr>
        <w:t>.</w:t>
      </w:r>
      <w:r w:rsidRPr="00EA2691">
        <w:rPr>
          <w:spacing w:val="-2"/>
          <w:sz w:val="16"/>
          <w:szCs w:val="16"/>
          <w:lang w:val="en-GB"/>
        </w:rPr>
        <w:t>3%) a</w:t>
      </w:r>
      <w:r>
        <w:rPr>
          <w:spacing w:val="-2"/>
          <w:sz w:val="16"/>
          <w:szCs w:val="16"/>
          <w:lang w:val="en-GB"/>
        </w:rPr>
        <w:t xml:space="preserve">nd also Germany </w:t>
      </w:r>
      <w:r w:rsidRPr="00EA2691">
        <w:rPr>
          <w:spacing w:val="-2"/>
          <w:sz w:val="16"/>
          <w:szCs w:val="16"/>
          <w:lang w:val="en-GB"/>
        </w:rPr>
        <w:t>(+0</w:t>
      </w:r>
      <w:r>
        <w:rPr>
          <w:spacing w:val="-2"/>
          <w:sz w:val="16"/>
          <w:szCs w:val="16"/>
          <w:lang w:val="en-GB"/>
        </w:rPr>
        <w:t>.</w:t>
      </w:r>
      <w:r w:rsidRPr="00EA2691">
        <w:rPr>
          <w:spacing w:val="-2"/>
          <w:sz w:val="16"/>
          <w:szCs w:val="16"/>
          <w:lang w:val="en-GB"/>
        </w:rPr>
        <w:t xml:space="preserve">9%), </w:t>
      </w:r>
      <w:r>
        <w:rPr>
          <w:spacing w:val="-2"/>
          <w:sz w:val="16"/>
          <w:szCs w:val="16"/>
          <w:lang w:val="en-GB"/>
        </w:rPr>
        <w:t xml:space="preserve">where they however showed unusually strong growth in year </w:t>
      </w:r>
      <w:r w:rsidRPr="00EA2691">
        <w:rPr>
          <w:spacing w:val="-2"/>
          <w:sz w:val="16"/>
          <w:szCs w:val="16"/>
          <w:lang w:val="en-GB"/>
        </w:rPr>
        <w:t>2020 (+4</w:t>
      </w:r>
      <w:r>
        <w:rPr>
          <w:spacing w:val="-2"/>
          <w:sz w:val="16"/>
          <w:szCs w:val="16"/>
          <w:lang w:val="en-GB"/>
        </w:rPr>
        <w:t>.</w:t>
      </w:r>
      <w:r w:rsidRPr="00EA2691">
        <w:rPr>
          <w:spacing w:val="-2"/>
          <w:sz w:val="16"/>
          <w:szCs w:val="16"/>
          <w:lang w:val="en-GB"/>
        </w:rPr>
        <w:t xml:space="preserve">4%) – </w:t>
      </w:r>
      <w:r>
        <w:rPr>
          <w:spacing w:val="-2"/>
          <w:sz w:val="16"/>
          <w:szCs w:val="16"/>
          <w:lang w:val="en-GB"/>
        </w:rPr>
        <w:t>the highest in the whole Union</w:t>
      </w:r>
      <w:r w:rsidRPr="00EA2691">
        <w:rPr>
          <w:spacing w:val="-2"/>
          <w:sz w:val="16"/>
          <w:szCs w:val="16"/>
          <w:lang w:val="en-GB"/>
        </w:rPr>
        <w:t xml:space="preserve">. </w:t>
      </w:r>
      <w:r>
        <w:rPr>
          <w:spacing w:val="-2"/>
          <w:sz w:val="16"/>
          <w:szCs w:val="16"/>
          <w:lang w:val="en-GB"/>
        </w:rPr>
        <w:t xml:space="preserve">Sales for food decreased apart from the CR only in other five Union countries last year </w:t>
      </w:r>
      <w:r w:rsidRPr="00EA2691">
        <w:rPr>
          <w:spacing w:val="-2"/>
          <w:sz w:val="16"/>
          <w:szCs w:val="16"/>
          <w:lang w:val="en-GB"/>
        </w:rPr>
        <w:t>(</w:t>
      </w:r>
      <w:r>
        <w:rPr>
          <w:spacing w:val="-2"/>
          <w:sz w:val="16"/>
          <w:szCs w:val="16"/>
          <w:lang w:val="en-GB"/>
        </w:rPr>
        <w:t>for instance in both Poland and Germany</w:t>
      </w:r>
      <w:r w:rsidRPr="00EA2691">
        <w:rPr>
          <w:spacing w:val="-2"/>
          <w:sz w:val="16"/>
          <w:szCs w:val="16"/>
          <w:lang w:val="en-GB"/>
        </w:rPr>
        <w:t xml:space="preserve">). </w:t>
      </w:r>
      <w:r>
        <w:rPr>
          <w:spacing w:val="-2"/>
          <w:sz w:val="16"/>
          <w:szCs w:val="16"/>
          <w:lang w:val="en-GB"/>
        </w:rPr>
        <w:t xml:space="preserve">On the contrary the domestic growth of sales for non-food goods moved closed to the level of the EU </w:t>
      </w:r>
      <w:r w:rsidRPr="00EA2691">
        <w:rPr>
          <w:spacing w:val="-2"/>
          <w:sz w:val="16"/>
          <w:szCs w:val="16"/>
          <w:lang w:val="en-GB"/>
        </w:rPr>
        <w:t>(8</w:t>
      </w:r>
      <w:r>
        <w:rPr>
          <w:spacing w:val="-2"/>
          <w:sz w:val="16"/>
          <w:szCs w:val="16"/>
          <w:lang w:val="en-GB"/>
        </w:rPr>
        <w:t>.</w:t>
      </w:r>
      <w:r w:rsidRPr="00EA2691">
        <w:rPr>
          <w:spacing w:val="-2"/>
          <w:sz w:val="16"/>
          <w:szCs w:val="16"/>
          <w:lang w:val="en-GB"/>
        </w:rPr>
        <w:t>3%).</w:t>
      </w:r>
    </w:p>
  </w:footnote>
  <w:footnote w:id="28">
    <w:p w14:paraId="76A9E104" w14:textId="7B2F41FA" w:rsidR="00C12FCC" w:rsidRPr="00EA2691" w:rsidRDefault="00C12FCC" w:rsidP="00F77A50">
      <w:pPr>
        <w:pStyle w:val="Textpoznpodarou"/>
        <w:jc w:val="both"/>
        <w:rPr>
          <w:sz w:val="16"/>
          <w:szCs w:val="16"/>
          <w:lang w:val="en-GB"/>
        </w:rPr>
      </w:pPr>
      <w:r w:rsidRPr="00EA2691">
        <w:rPr>
          <w:rStyle w:val="Znakapoznpodarou"/>
          <w:sz w:val="16"/>
          <w:szCs w:val="16"/>
          <w:lang w:val="en-GB"/>
        </w:rPr>
        <w:footnoteRef/>
      </w:r>
      <w:r w:rsidRPr="00EA2691">
        <w:rPr>
          <w:sz w:val="16"/>
          <w:szCs w:val="16"/>
          <w:lang w:val="en-GB"/>
        </w:rPr>
        <w:t xml:space="preserve"> </w:t>
      </w:r>
      <w:r>
        <w:rPr>
          <w:sz w:val="16"/>
          <w:szCs w:val="16"/>
          <w:lang w:val="en-GB"/>
        </w:rPr>
        <w:t>Rising consumer prices of fuels could have also worked against the growth of consumption at the end of the last year</w:t>
      </w:r>
      <w:r w:rsidRPr="00EA2691">
        <w:rPr>
          <w:rFonts w:cs="Arial"/>
          <w:color w:val="0D0D0D" w:themeColor="text1" w:themeTint="F2"/>
          <w:spacing w:val="-4"/>
          <w:sz w:val="16"/>
          <w:szCs w:val="16"/>
          <w:lang w:val="en-GB"/>
        </w:rPr>
        <w:t xml:space="preserve">. </w:t>
      </w:r>
      <w:r>
        <w:rPr>
          <w:rFonts w:cs="Arial"/>
          <w:color w:val="0D0D0D" w:themeColor="text1" w:themeTint="F2"/>
          <w:spacing w:val="-4"/>
          <w:sz w:val="16"/>
          <w:szCs w:val="16"/>
          <w:lang w:val="en-GB"/>
        </w:rPr>
        <w:t xml:space="preserve">For example </w:t>
      </w:r>
      <w:r w:rsidRPr="00EA2691">
        <w:rPr>
          <w:spacing w:val="-2"/>
          <w:sz w:val="16"/>
          <w:szCs w:val="16"/>
          <w:lang w:val="en-GB"/>
        </w:rPr>
        <w:t xml:space="preserve">Natural 95 </w:t>
      </w:r>
      <w:r>
        <w:rPr>
          <w:spacing w:val="-2"/>
          <w:sz w:val="16"/>
          <w:szCs w:val="16"/>
          <w:lang w:val="en-GB"/>
        </w:rPr>
        <w:t>was sold on average for approximately 37 CZK per litre at petrol stations in November</w:t>
      </w:r>
      <w:r w:rsidRPr="00EA2691">
        <w:rPr>
          <w:spacing w:val="-2"/>
          <w:sz w:val="16"/>
          <w:szCs w:val="16"/>
          <w:lang w:val="en-GB"/>
        </w:rPr>
        <w:t xml:space="preserve">, </w:t>
      </w:r>
      <w:r>
        <w:rPr>
          <w:spacing w:val="-2"/>
          <w:sz w:val="16"/>
          <w:szCs w:val="16"/>
          <w:lang w:val="en-GB"/>
        </w:rPr>
        <w:t xml:space="preserve">which was the highest value since October </w:t>
      </w:r>
      <w:r w:rsidRPr="00EA2691">
        <w:rPr>
          <w:spacing w:val="-2"/>
          <w:sz w:val="16"/>
          <w:szCs w:val="16"/>
          <w:lang w:val="en-GB"/>
        </w:rPr>
        <w:t>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2A94712D" w:rsidR="007C581C" w:rsidRPr="00504720" w:rsidRDefault="007C581C" w:rsidP="00937AE2">
    <w:pPr>
      <w:pStyle w:val="Zhlav"/>
      <w:rPr>
        <w:lang w:val="en-GB"/>
      </w:rPr>
    </w:pPr>
    <w:r w:rsidRPr="00504720">
      <w:rPr>
        <w:lang w:val="en-GB"/>
      </w:rPr>
      <w:t>The Czech Economy Development</w:t>
    </w:r>
  </w:p>
  <w:p w14:paraId="3E881AB3" w14:textId="77777777" w:rsidR="007C581C" w:rsidRPr="006F5416" w:rsidRDefault="007C581C"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28CD1F5" w:rsidR="007C581C" w:rsidRPr="00504720" w:rsidRDefault="007C581C" w:rsidP="00937AE2">
    <w:pPr>
      <w:pStyle w:val="Zhlav"/>
      <w:rPr>
        <w:lang w:val="en-GB"/>
      </w:rPr>
    </w:pPr>
    <w:r w:rsidRPr="00504720">
      <w:rPr>
        <w:lang w:val="en-GB"/>
      </w:rPr>
      <w:t>The Czech Economy Development</w:t>
    </w:r>
  </w:p>
  <w:p w14:paraId="57266714" w14:textId="77777777" w:rsidR="007C581C" w:rsidRPr="006F5416" w:rsidRDefault="007C581C"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31A"/>
    <w:rsid w:val="000005AF"/>
    <w:rsid w:val="00000B55"/>
    <w:rsid w:val="0000209D"/>
    <w:rsid w:val="0000232E"/>
    <w:rsid w:val="00002566"/>
    <w:rsid w:val="0000370A"/>
    <w:rsid w:val="00003849"/>
    <w:rsid w:val="00003F5C"/>
    <w:rsid w:val="00004D5A"/>
    <w:rsid w:val="00005613"/>
    <w:rsid w:val="0000567F"/>
    <w:rsid w:val="000056D5"/>
    <w:rsid w:val="00005D9E"/>
    <w:rsid w:val="000063D5"/>
    <w:rsid w:val="00006625"/>
    <w:rsid w:val="00006ABD"/>
    <w:rsid w:val="00006B67"/>
    <w:rsid w:val="00006C0B"/>
    <w:rsid w:val="000073A0"/>
    <w:rsid w:val="0000767A"/>
    <w:rsid w:val="00007ABE"/>
    <w:rsid w:val="00010256"/>
    <w:rsid w:val="00010702"/>
    <w:rsid w:val="00010816"/>
    <w:rsid w:val="00010A2C"/>
    <w:rsid w:val="00010A36"/>
    <w:rsid w:val="000110E8"/>
    <w:rsid w:val="0001128E"/>
    <w:rsid w:val="00011912"/>
    <w:rsid w:val="00011BFC"/>
    <w:rsid w:val="000129B7"/>
    <w:rsid w:val="00012A35"/>
    <w:rsid w:val="00012F79"/>
    <w:rsid w:val="0001387D"/>
    <w:rsid w:val="00014ED0"/>
    <w:rsid w:val="00015657"/>
    <w:rsid w:val="00016420"/>
    <w:rsid w:val="00016BDB"/>
    <w:rsid w:val="00017945"/>
    <w:rsid w:val="00017B01"/>
    <w:rsid w:val="000200BE"/>
    <w:rsid w:val="000205D1"/>
    <w:rsid w:val="00020F22"/>
    <w:rsid w:val="0002195D"/>
    <w:rsid w:val="00021F9B"/>
    <w:rsid w:val="000221DD"/>
    <w:rsid w:val="000228AE"/>
    <w:rsid w:val="000233D1"/>
    <w:rsid w:val="000234D6"/>
    <w:rsid w:val="00023D29"/>
    <w:rsid w:val="00024219"/>
    <w:rsid w:val="00024348"/>
    <w:rsid w:val="00026109"/>
    <w:rsid w:val="00026389"/>
    <w:rsid w:val="0002669F"/>
    <w:rsid w:val="000279A9"/>
    <w:rsid w:val="000279E5"/>
    <w:rsid w:val="00027EF4"/>
    <w:rsid w:val="000305E0"/>
    <w:rsid w:val="00031AE0"/>
    <w:rsid w:val="00031BB2"/>
    <w:rsid w:val="000322EF"/>
    <w:rsid w:val="00033FCD"/>
    <w:rsid w:val="000348AF"/>
    <w:rsid w:val="00034B70"/>
    <w:rsid w:val="00034DF7"/>
    <w:rsid w:val="00034E68"/>
    <w:rsid w:val="000350C8"/>
    <w:rsid w:val="00036195"/>
    <w:rsid w:val="00037362"/>
    <w:rsid w:val="000374B2"/>
    <w:rsid w:val="000376C0"/>
    <w:rsid w:val="000403A7"/>
    <w:rsid w:val="00040632"/>
    <w:rsid w:val="00041AFC"/>
    <w:rsid w:val="00041CEC"/>
    <w:rsid w:val="00041D02"/>
    <w:rsid w:val="00042596"/>
    <w:rsid w:val="00042A4A"/>
    <w:rsid w:val="00044183"/>
    <w:rsid w:val="0004431D"/>
    <w:rsid w:val="0004443E"/>
    <w:rsid w:val="00044AAC"/>
    <w:rsid w:val="0004694F"/>
    <w:rsid w:val="00046F2F"/>
    <w:rsid w:val="00047AD4"/>
    <w:rsid w:val="00047D54"/>
    <w:rsid w:val="0005054A"/>
    <w:rsid w:val="00050CD8"/>
    <w:rsid w:val="00051506"/>
    <w:rsid w:val="000522E4"/>
    <w:rsid w:val="00053713"/>
    <w:rsid w:val="0005434E"/>
    <w:rsid w:val="0005480E"/>
    <w:rsid w:val="00055CB6"/>
    <w:rsid w:val="0005658B"/>
    <w:rsid w:val="000572DD"/>
    <w:rsid w:val="00057B1E"/>
    <w:rsid w:val="0006033F"/>
    <w:rsid w:val="000610E1"/>
    <w:rsid w:val="000616AD"/>
    <w:rsid w:val="00061E88"/>
    <w:rsid w:val="000622A6"/>
    <w:rsid w:val="000627BD"/>
    <w:rsid w:val="0006286E"/>
    <w:rsid w:val="00062D70"/>
    <w:rsid w:val="00062EC5"/>
    <w:rsid w:val="00062F22"/>
    <w:rsid w:val="00063975"/>
    <w:rsid w:val="00063CEA"/>
    <w:rsid w:val="0006444D"/>
    <w:rsid w:val="000645FC"/>
    <w:rsid w:val="0006533F"/>
    <w:rsid w:val="00065348"/>
    <w:rsid w:val="0006551C"/>
    <w:rsid w:val="00065A75"/>
    <w:rsid w:val="000663F0"/>
    <w:rsid w:val="00066558"/>
    <w:rsid w:val="000668F1"/>
    <w:rsid w:val="000671DB"/>
    <w:rsid w:val="000672E3"/>
    <w:rsid w:val="000676FF"/>
    <w:rsid w:val="00067982"/>
    <w:rsid w:val="00070A87"/>
    <w:rsid w:val="000712B3"/>
    <w:rsid w:val="00071A7C"/>
    <w:rsid w:val="00071E38"/>
    <w:rsid w:val="00072FF5"/>
    <w:rsid w:val="00073A5A"/>
    <w:rsid w:val="000743F9"/>
    <w:rsid w:val="0007474E"/>
    <w:rsid w:val="00074988"/>
    <w:rsid w:val="0007512B"/>
    <w:rsid w:val="00075551"/>
    <w:rsid w:val="000767F5"/>
    <w:rsid w:val="00076D90"/>
    <w:rsid w:val="00077FF0"/>
    <w:rsid w:val="0008115C"/>
    <w:rsid w:val="00081A55"/>
    <w:rsid w:val="0008263E"/>
    <w:rsid w:val="00082BA0"/>
    <w:rsid w:val="00082C19"/>
    <w:rsid w:val="00082F89"/>
    <w:rsid w:val="000837CD"/>
    <w:rsid w:val="000838A0"/>
    <w:rsid w:val="000842E9"/>
    <w:rsid w:val="00084BFF"/>
    <w:rsid w:val="00085185"/>
    <w:rsid w:val="00085395"/>
    <w:rsid w:val="00086896"/>
    <w:rsid w:val="0008695E"/>
    <w:rsid w:val="00086AC1"/>
    <w:rsid w:val="00086D19"/>
    <w:rsid w:val="00087634"/>
    <w:rsid w:val="00087F2B"/>
    <w:rsid w:val="00090694"/>
    <w:rsid w:val="00090EE2"/>
    <w:rsid w:val="00090FC6"/>
    <w:rsid w:val="000913B1"/>
    <w:rsid w:val="0009290F"/>
    <w:rsid w:val="00093241"/>
    <w:rsid w:val="00093532"/>
    <w:rsid w:val="00093868"/>
    <w:rsid w:val="00094A84"/>
    <w:rsid w:val="00095025"/>
    <w:rsid w:val="00095135"/>
    <w:rsid w:val="00095B8B"/>
    <w:rsid w:val="0009626E"/>
    <w:rsid w:val="0009644D"/>
    <w:rsid w:val="00097191"/>
    <w:rsid w:val="000974D1"/>
    <w:rsid w:val="00097784"/>
    <w:rsid w:val="0009799E"/>
    <w:rsid w:val="000A07CB"/>
    <w:rsid w:val="000A0BC0"/>
    <w:rsid w:val="000A1077"/>
    <w:rsid w:val="000A1183"/>
    <w:rsid w:val="000A12ED"/>
    <w:rsid w:val="000A1973"/>
    <w:rsid w:val="000A1D49"/>
    <w:rsid w:val="000A1F6A"/>
    <w:rsid w:val="000A2065"/>
    <w:rsid w:val="000A212B"/>
    <w:rsid w:val="000A242D"/>
    <w:rsid w:val="000A256D"/>
    <w:rsid w:val="000A2643"/>
    <w:rsid w:val="000A2E5F"/>
    <w:rsid w:val="000A337A"/>
    <w:rsid w:val="000A3A2C"/>
    <w:rsid w:val="000A3D9E"/>
    <w:rsid w:val="000A4A54"/>
    <w:rsid w:val="000A4ED9"/>
    <w:rsid w:val="000A5DB7"/>
    <w:rsid w:val="000A6753"/>
    <w:rsid w:val="000A6D94"/>
    <w:rsid w:val="000A7377"/>
    <w:rsid w:val="000A74A4"/>
    <w:rsid w:val="000A775A"/>
    <w:rsid w:val="000A7FF4"/>
    <w:rsid w:val="000B03CC"/>
    <w:rsid w:val="000B2BA8"/>
    <w:rsid w:val="000B4212"/>
    <w:rsid w:val="000B5C9C"/>
    <w:rsid w:val="000B67B7"/>
    <w:rsid w:val="000B7141"/>
    <w:rsid w:val="000C0CA6"/>
    <w:rsid w:val="000C0EA8"/>
    <w:rsid w:val="000C13A2"/>
    <w:rsid w:val="000C1C5A"/>
    <w:rsid w:val="000C21E7"/>
    <w:rsid w:val="000C23EC"/>
    <w:rsid w:val="000C26A2"/>
    <w:rsid w:val="000C290E"/>
    <w:rsid w:val="000C30C3"/>
    <w:rsid w:val="000C3408"/>
    <w:rsid w:val="000C35AB"/>
    <w:rsid w:val="000C3F7B"/>
    <w:rsid w:val="000C3FD8"/>
    <w:rsid w:val="000C4093"/>
    <w:rsid w:val="000C4769"/>
    <w:rsid w:val="000C4D56"/>
    <w:rsid w:val="000C5DFA"/>
    <w:rsid w:val="000C6AFD"/>
    <w:rsid w:val="000C6C90"/>
    <w:rsid w:val="000C72B7"/>
    <w:rsid w:val="000D009F"/>
    <w:rsid w:val="000D0236"/>
    <w:rsid w:val="000D0237"/>
    <w:rsid w:val="000D0A26"/>
    <w:rsid w:val="000D0B8E"/>
    <w:rsid w:val="000D13CB"/>
    <w:rsid w:val="000D2196"/>
    <w:rsid w:val="000D2312"/>
    <w:rsid w:val="000D296A"/>
    <w:rsid w:val="000D3058"/>
    <w:rsid w:val="000D310A"/>
    <w:rsid w:val="000D3EF4"/>
    <w:rsid w:val="000D4761"/>
    <w:rsid w:val="000D4DC0"/>
    <w:rsid w:val="000D55BA"/>
    <w:rsid w:val="000D5637"/>
    <w:rsid w:val="000D5A03"/>
    <w:rsid w:val="000D5ED3"/>
    <w:rsid w:val="000D6AAF"/>
    <w:rsid w:val="000D6D7C"/>
    <w:rsid w:val="000D6F4E"/>
    <w:rsid w:val="000D6FDA"/>
    <w:rsid w:val="000D7082"/>
    <w:rsid w:val="000D73BB"/>
    <w:rsid w:val="000D79D1"/>
    <w:rsid w:val="000E0E96"/>
    <w:rsid w:val="000E298B"/>
    <w:rsid w:val="000E2C7D"/>
    <w:rsid w:val="000E3E56"/>
    <w:rsid w:val="000E440D"/>
    <w:rsid w:val="000E4AC5"/>
    <w:rsid w:val="000E6253"/>
    <w:rsid w:val="000E6AC4"/>
    <w:rsid w:val="000E6E4D"/>
    <w:rsid w:val="000E6FBD"/>
    <w:rsid w:val="000E6FCB"/>
    <w:rsid w:val="000F090B"/>
    <w:rsid w:val="000F0C1C"/>
    <w:rsid w:val="000F3669"/>
    <w:rsid w:val="000F3F3B"/>
    <w:rsid w:val="000F4721"/>
    <w:rsid w:val="000F47E8"/>
    <w:rsid w:val="000F70E4"/>
    <w:rsid w:val="000F76EA"/>
    <w:rsid w:val="00100A8B"/>
    <w:rsid w:val="00100F5C"/>
    <w:rsid w:val="00100FB5"/>
    <w:rsid w:val="00101CDA"/>
    <w:rsid w:val="00102037"/>
    <w:rsid w:val="00102D7B"/>
    <w:rsid w:val="00103378"/>
    <w:rsid w:val="00103DCB"/>
    <w:rsid w:val="00104C4C"/>
    <w:rsid w:val="00105015"/>
    <w:rsid w:val="001055D2"/>
    <w:rsid w:val="001057C2"/>
    <w:rsid w:val="0010591C"/>
    <w:rsid w:val="00105B6B"/>
    <w:rsid w:val="00105C5C"/>
    <w:rsid w:val="00107124"/>
    <w:rsid w:val="00107243"/>
    <w:rsid w:val="0011038E"/>
    <w:rsid w:val="00110978"/>
    <w:rsid w:val="0011127D"/>
    <w:rsid w:val="00111573"/>
    <w:rsid w:val="00111B33"/>
    <w:rsid w:val="001125EF"/>
    <w:rsid w:val="00112CAB"/>
    <w:rsid w:val="0011440C"/>
    <w:rsid w:val="001145F6"/>
    <w:rsid w:val="00114C33"/>
    <w:rsid w:val="00116D3F"/>
    <w:rsid w:val="00117474"/>
    <w:rsid w:val="00117623"/>
    <w:rsid w:val="00117FEA"/>
    <w:rsid w:val="001200CF"/>
    <w:rsid w:val="001208E3"/>
    <w:rsid w:val="00120D71"/>
    <w:rsid w:val="00121609"/>
    <w:rsid w:val="0012192F"/>
    <w:rsid w:val="00122994"/>
    <w:rsid w:val="00123204"/>
    <w:rsid w:val="001239D6"/>
    <w:rsid w:val="00124B46"/>
    <w:rsid w:val="001257BE"/>
    <w:rsid w:val="001257E0"/>
    <w:rsid w:val="00125D20"/>
    <w:rsid w:val="00125D69"/>
    <w:rsid w:val="00125FB3"/>
    <w:rsid w:val="0012799C"/>
    <w:rsid w:val="00127BC2"/>
    <w:rsid w:val="00127E15"/>
    <w:rsid w:val="00130ADC"/>
    <w:rsid w:val="00130D9F"/>
    <w:rsid w:val="00132C4D"/>
    <w:rsid w:val="00133FC1"/>
    <w:rsid w:val="00134659"/>
    <w:rsid w:val="00135111"/>
    <w:rsid w:val="00135F31"/>
    <w:rsid w:val="001368DC"/>
    <w:rsid w:val="00136A6F"/>
    <w:rsid w:val="00136C1A"/>
    <w:rsid w:val="001405FA"/>
    <w:rsid w:val="00140D1A"/>
    <w:rsid w:val="00141184"/>
    <w:rsid w:val="001411A4"/>
    <w:rsid w:val="00141315"/>
    <w:rsid w:val="00141AA0"/>
    <w:rsid w:val="001425C3"/>
    <w:rsid w:val="0014262D"/>
    <w:rsid w:val="00142B29"/>
    <w:rsid w:val="00144108"/>
    <w:rsid w:val="00144588"/>
    <w:rsid w:val="001447DD"/>
    <w:rsid w:val="00145358"/>
    <w:rsid w:val="001459BC"/>
    <w:rsid w:val="00150333"/>
    <w:rsid w:val="00150ECA"/>
    <w:rsid w:val="00151707"/>
    <w:rsid w:val="00152C86"/>
    <w:rsid w:val="00152F4F"/>
    <w:rsid w:val="0015329F"/>
    <w:rsid w:val="001544A1"/>
    <w:rsid w:val="0015462F"/>
    <w:rsid w:val="00154DAC"/>
    <w:rsid w:val="001553B8"/>
    <w:rsid w:val="001554C2"/>
    <w:rsid w:val="00156CA1"/>
    <w:rsid w:val="00156D21"/>
    <w:rsid w:val="001571C0"/>
    <w:rsid w:val="0015753D"/>
    <w:rsid w:val="00157984"/>
    <w:rsid w:val="00157CC9"/>
    <w:rsid w:val="001603C1"/>
    <w:rsid w:val="001604A9"/>
    <w:rsid w:val="00160C21"/>
    <w:rsid w:val="001612F4"/>
    <w:rsid w:val="00161553"/>
    <w:rsid w:val="0016216F"/>
    <w:rsid w:val="0016256B"/>
    <w:rsid w:val="00162F81"/>
    <w:rsid w:val="00163793"/>
    <w:rsid w:val="00164CA1"/>
    <w:rsid w:val="00165313"/>
    <w:rsid w:val="00165DF4"/>
    <w:rsid w:val="0016623D"/>
    <w:rsid w:val="00167485"/>
    <w:rsid w:val="001679F5"/>
    <w:rsid w:val="00167AD0"/>
    <w:rsid w:val="00167B92"/>
    <w:rsid w:val="00167CB9"/>
    <w:rsid w:val="00167DD8"/>
    <w:rsid w:val="001705AD"/>
    <w:rsid w:val="001706D6"/>
    <w:rsid w:val="001714F2"/>
    <w:rsid w:val="001719C1"/>
    <w:rsid w:val="00171FEA"/>
    <w:rsid w:val="00173622"/>
    <w:rsid w:val="001751DC"/>
    <w:rsid w:val="0017580C"/>
    <w:rsid w:val="00175B9F"/>
    <w:rsid w:val="001762F4"/>
    <w:rsid w:val="00176664"/>
    <w:rsid w:val="00176D0A"/>
    <w:rsid w:val="001777BA"/>
    <w:rsid w:val="00181029"/>
    <w:rsid w:val="00181BBC"/>
    <w:rsid w:val="0018385F"/>
    <w:rsid w:val="00183BCF"/>
    <w:rsid w:val="00184017"/>
    <w:rsid w:val="001843D0"/>
    <w:rsid w:val="001847BB"/>
    <w:rsid w:val="00184B08"/>
    <w:rsid w:val="00184C25"/>
    <w:rsid w:val="00185010"/>
    <w:rsid w:val="00185C22"/>
    <w:rsid w:val="00185CB1"/>
    <w:rsid w:val="0018690D"/>
    <w:rsid w:val="00186BA9"/>
    <w:rsid w:val="00186D4B"/>
    <w:rsid w:val="00187D50"/>
    <w:rsid w:val="0019196C"/>
    <w:rsid w:val="001926A9"/>
    <w:rsid w:val="00192D81"/>
    <w:rsid w:val="00192E0C"/>
    <w:rsid w:val="00192F05"/>
    <w:rsid w:val="00193706"/>
    <w:rsid w:val="0019448A"/>
    <w:rsid w:val="00194729"/>
    <w:rsid w:val="00194850"/>
    <w:rsid w:val="00195234"/>
    <w:rsid w:val="00196016"/>
    <w:rsid w:val="001960FD"/>
    <w:rsid w:val="00196117"/>
    <w:rsid w:val="001977EB"/>
    <w:rsid w:val="00197A70"/>
    <w:rsid w:val="00197C0F"/>
    <w:rsid w:val="00197D0E"/>
    <w:rsid w:val="001A0487"/>
    <w:rsid w:val="001A0675"/>
    <w:rsid w:val="001A0A37"/>
    <w:rsid w:val="001A1529"/>
    <w:rsid w:val="001A1EED"/>
    <w:rsid w:val="001A1F68"/>
    <w:rsid w:val="001A21FA"/>
    <w:rsid w:val="001A4D7C"/>
    <w:rsid w:val="001A4EF0"/>
    <w:rsid w:val="001A552F"/>
    <w:rsid w:val="001A70B1"/>
    <w:rsid w:val="001A7388"/>
    <w:rsid w:val="001B0738"/>
    <w:rsid w:val="001B07F9"/>
    <w:rsid w:val="001B1235"/>
    <w:rsid w:val="001B158D"/>
    <w:rsid w:val="001B2CA9"/>
    <w:rsid w:val="001B3110"/>
    <w:rsid w:val="001B3E38"/>
    <w:rsid w:val="001B40F5"/>
    <w:rsid w:val="001B4729"/>
    <w:rsid w:val="001B494B"/>
    <w:rsid w:val="001B4F0E"/>
    <w:rsid w:val="001B5922"/>
    <w:rsid w:val="001B5F40"/>
    <w:rsid w:val="001B61EC"/>
    <w:rsid w:val="001B6310"/>
    <w:rsid w:val="001B63A8"/>
    <w:rsid w:val="001B6C09"/>
    <w:rsid w:val="001B6E12"/>
    <w:rsid w:val="001B7320"/>
    <w:rsid w:val="001B752A"/>
    <w:rsid w:val="001C05CD"/>
    <w:rsid w:val="001C064B"/>
    <w:rsid w:val="001C082B"/>
    <w:rsid w:val="001C0F17"/>
    <w:rsid w:val="001C1B24"/>
    <w:rsid w:val="001C1B66"/>
    <w:rsid w:val="001C1BB5"/>
    <w:rsid w:val="001C2732"/>
    <w:rsid w:val="001C2EB2"/>
    <w:rsid w:val="001C31A2"/>
    <w:rsid w:val="001C351D"/>
    <w:rsid w:val="001C3794"/>
    <w:rsid w:val="001C4A56"/>
    <w:rsid w:val="001C4B8F"/>
    <w:rsid w:val="001C4BB8"/>
    <w:rsid w:val="001C4FD0"/>
    <w:rsid w:val="001C544D"/>
    <w:rsid w:val="001C547D"/>
    <w:rsid w:val="001C5E46"/>
    <w:rsid w:val="001C6594"/>
    <w:rsid w:val="001C673E"/>
    <w:rsid w:val="001C6B3B"/>
    <w:rsid w:val="001C7A26"/>
    <w:rsid w:val="001C7E3F"/>
    <w:rsid w:val="001D02D7"/>
    <w:rsid w:val="001D0EF1"/>
    <w:rsid w:val="001D129C"/>
    <w:rsid w:val="001D22C2"/>
    <w:rsid w:val="001D2C99"/>
    <w:rsid w:val="001D386E"/>
    <w:rsid w:val="001D3B75"/>
    <w:rsid w:val="001D3D68"/>
    <w:rsid w:val="001D452E"/>
    <w:rsid w:val="001D54C1"/>
    <w:rsid w:val="001D556E"/>
    <w:rsid w:val="001D5DF2"/>
    <w:rsid w:val="001D6175"/>
    <w:rsid w:val="001D68B2"/>
    <w:rsid w:val="001D7A6E"/>
    <w:rsid w:val="001D7EFD"/>
    <w:rsid w:val="001D7F60"/>
    <w:rsid w:val="001E085B"/>
    <w:rsid w:val="001E149B"/>
    <w:rsid w:val="001E15CB"/>
    <w:rsid w:val="001E3306"/>
    <w:rsid w:val="001E3A13"/>
    <w:rsid w:val="001E504C"/>
    <w:rsid w:val="001E509E"/>
    <w:rsid w:val="001E56AC"/>
    <w:rsid w:val="001E5A17"/>
    <w:rsid w:val="001E6525"/>
    <w:rsid w:val="001E74C5"/>
    <w:rsid w:val="001F1236"/>
    <w:rsid w:val="001F1536"/>
    <w:rsid w:val="001F2F90"/>
    <w:rsid w:val="001F3BF9"/>
    <w:rsid w:val="001F3E54"/>
    <w:rsid w:val="001F4597"/>
    <w:rsid w:val="001F4826"/>
    <w:rsid w:val="001F4933"/>
    <w:rsid w:val="001F4C16"/>
    <w:rsid w:val="001F59C8"/>
    <w:rsid w:val="001F5A16"/>
    <w:rsid w:val="001F6CD3"/>
    <w:rsid w:val="001F75DA"/>
    <w:rsid w:val="001F7CE0"/>
    <w:rsid w:val="00200085"/>
    <w:rsid w:val="00203332"/>
    <w:rsid w:val="00203418"/>
    <w:rsid w:val="00203CD5"/>
    <w:rsid w:val="00203D8F"/>
    <w:rsid w:val="00203DA4"/>
    <w:rsid w:val="00203F9B"/>
    <w:rsid w:val="0020446B"/>
    <w:rsid w:val="00204563"/>
    <w:rsid w:val="00204D3D"/>
    <w:rsid w:val="00204EA6"/>
    <w:rsid w:val="00205186"/>
    <w:rsid w:val="00206516"/>
    <w:rsid w:val="00206E75"/>
    <w:rsid w:val="002070CF"/>
    <w:rsid w:val="002071D5"/>
    <w:rsid w:val="00207F4E"/>
    <w:rsid w:val="002111E5"/>
    <w:rsid w:val="0021149E"/>
    <w:rsid w:val="002118B9"/>
    <w:rsid w:val="002125EB"/>
    <w:rsid w:val="00213691"/>
    <w:rsid w:val="002142C0"/>
    <w:rsid w:val="00214CFF"/>
    <w:rsid w:val="00215602"/>
    <w:rsid w:val="00216E10"/>
    <w:rsid w:val="00217C5B"/>
    <w:rsid w:val="00220A43"/>
    <w:rsid w:val="0022139E"/>
    <w:rsid w:val="00222729"/>
    <w:rsid w:val="0022287B"/>
    <w:rsid w:val="002228DB"/>
    <w:rsid w:val="00223185"/>
    <w:rsid w:val="00223264"/>
    <w:rsid w:val="002233D6"/>
    <w:rsid w:val="0022441D"/>
    <w:rsid w:val="00224574"/>
    <w:rsid w:val="00224E3F"/>
    <w:rsid w:val="00225000"/>
    <w:rsid w:val="00225255"/>
    <w:rsid w:val="002252E0"/>
    <w:rsid w:val="0022556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0D"/>
    <w:rsid w:val="00236443"/>
    <w:rsid w:val="00236700"/>
    <w:rsid w:val="00236B3A"/>
    <w:rsid w:val="00237C8B"/>
    <w:rsid w:val="002401A3"/>
    <w:rsid w:val="00240391"/>
    <w:rsid w:val="00240AF3"/>
    <w:rsid w:val="002418D5"/>
    <w:rsid w:val="00241A9F"/>
    <w:rsid w:val="00241B06"/>
    <w:rsid w:val="0024224D"/>
    <w:rsid w:val="002426C9"/>
    <w:rsid w:val="0024343A"/>
    <w:rsid w:val="002434D1"/>
    <w:rsid w:val="002436BA"/>
    <w:rsid w:val="002438DC"/>
    <w:rsid w:val="00244652"/>
    <w:rsid w:val="00244A15"/>
    <w:rsid w:val="002452D9"/>
    <w:rsid w:val="00245800"/>
    <w:rsid w:val="002468FB"/>
    <w:rsid w:val="00247319"/>
    <w:rsid w:val="0024799E"/>
    <w:rsid w:val="00247E60"/>
    <w:rsid w:val="002511CC"/>
    <w:rsid w:val="00251496"/>
    <w:rsid w:val="002515B3"/>
    <w:rsid w:val="00251B08"/>
    <w:rsid w:val="00251C53"/>
    <w:rsid w:val="00252465"/>
    <w:rsid w:val="00252AB9"/>
    <w:rsid w:val="002532B1"/>
    <w:rsid w:val="00253C0F"/>
    <w:rsid w:val="00254C1C"/>
    <w:rsid w:val="002558C1"/>
    <w:rsid w:val="00256207"/>
    <w:rsid w:val="002575F3"/>
    <w:rsid w:val="002577BB"/>
    <w:rsid w:val="002603E1"/>
    <w:rsid w:val="002605FE"/>
    <w:rsid w:val="0026120E"/>
    <w:rsid w:val="002613D4"/>
    <w:rsid w:val="002617EE"/>
    <w:rsid w:val="00262582"/>
    <w:rsid w:val="0026291D"/>
    <w:rsid w:val="00262CF3"/>
    <w:rsid w:val="00263F44"/>
    <w:rsid w:val="00264309"/>
    <w:rsid w:val="00264992"/>
    <w:rsid w:val="00264B4F"/>
    <w:rsid w:val="0026564B"/>
    <w:rsid w:val="00265C83"/>
    <w:rsid w:val="00265E85"/>
    <w:rsid w:val="0026718D"/>
    <w:rsid w:val="00267B49"/>
    <w:rsid w:val="00267C51"/>
    <w:rsid w:val="002700D9"/>
    <w:rsid w:val="0027025F"/>
    <w:rsid w:val="002709CC"/>
    <w:rsid w:val="00270D25"/>
    <w:rsid w:val="00271022"/>
    <w:rsid w:val="00271465"/>
    <w:rsid w:val="00271A07"/>
    <w:rsid w:val="00271E47"/>
    <w:rsid w:val="0027217A"/>
    <w:rsid w:val="002721F5"/>
    <w:rsid w:val="00272DF4"/>
    <w:rsid w:val="00273A9F"/>
    <w:rsid w:val="002744B9"/>
    <w:rsid w:val="00275062"/>
    <w:rsid w:val="0027563A"/>
    <w:rsid w:val="00275758"/>
    <w:rsid w:val="0027583D"/>
    <w:rsid w:val="00275DEF"/>
    <w:rsid w:val="002763A2"/>
    <w:rsid w:val="00276B33"/>
    <w:rsid w:val="00277669"/>
    <w:rsid w:val="002803A5"/>
    <w:rsid w:val="00280ACB"/>
    <w:rsid w:val="002812E3"/>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507A"/>
    <w:rsid w:val="0029509B"/>
    <w:rsid w:val="0029588F"/>
    <w:rsid w:val="00295E96"/>
    <w:rsid w:val="00297256"/>
    <w:rsid w:val="00297A5C"/>
    <w:rsid w:val="00297D51"/>
    <w:rsid w:val="002A0122"/>
    <w:rsid w:val="002A016B"/>
    <w:rsid w:val="002A16D4"/>
    <w:rsid w:val="002A1E4F"/>
    <w:rsid w:val="002A230C"/>
    <w:rsid w:val="002A2AF7"/>
    <w:rsid w:val="002A3209"/>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C1110"/>
    <w:rsid w:val="002C1BC2"/>
    <w:rsid w:val="002C1BD3"/>
    <w:rsid w:val="002C1F09"/>
    <w:rsid w:val="002C22A4"/>
    <w:rsid w:val="002C2583"/>
    <w:rsid w:val="002C260B"/>
    <w:rsid w:val="002C27A6"/>
    <w:rsid w:val="002C31E4"/>
    <w:rsid w:val="002C398D"/>
    <w:rsid w:val="002C3D02"/>
    <w:rsid w:val="002C40D2"/>
    <w:rsid w:val="002C43BD"/>
    <w:rsid w:val="002C5245"/>
    <w:rsid w:val="002C564A"/>
    <w:rsid w:val="002C59D8"/>
    <w:rsid w:val="002C5B25"/>
    <w:rsid w:val="002C5FEB"/>
    <w:rsid w:val="002C6494"/>
    <w:rsid w:val="002D05CB"/>
    <w:rsid w:val="002D0E59"/>
    <w:rsid w:val="002D1F41"/>
    <w:rsid w:val="002D2C4F"/>
    <w:rsid w:val="002D39E0"/>
    <w:rsid w:val="002D3EBB"/>
    <w:rsid w:val="002D455C"/>
    <w:rsid w:val="002D6066"/>
    <w:rsid w:val="002D6A4C"/>
    <w:rsid w:val="002E02A1"/>
    <w:rsid w:val="002E06F7"/>
    <w:rsid w:val="002E196A"/>
    <w:rsid w:val="002E1B00"/>
    <w:rsid w:val="002E1F8A"/>
    <w:rsid w:val="002E20C7"/>
    <w:rsid w:val="002E20CD"/>
    <w:rsid w:val="002E222E"/>
    <w:rsid w:val="002E25FF"/>
    <w:rsid w:val="002E28D8"/>
    <w:rsid w:val="002E3638"/>
    <w:rsid w:val="002E37D1"/>
    <w:rsid w:val="002E3BEE"/>
    <w:rsid w:val="002E4E4C"/>
    <w:rsid w:val="002E4EA7"/>
    <w:rsid w:val="002E5846"/>
    <w:rsid w:val="002E792B"/>
    <w:rsid w:val="002E7AEB"/>
    <w:rsid w:val="002E7B79"/>
    <w:rsid w:val="002F1B09"/>
    <w:rsid w:val="002F1D56"/>
    <w:rsid w:val="002F1DCB"/>
    <w:rsid w:val="002F1DE4"/>
    <w:rsid w:val="002F1F85"/>
    <w:rsid w:val="002F311F"/>
    <w:rsid w:val="002F333D"/>
    <w:rsid w:val="002F351A"/>
    <w:rsid w:val="002F46D6"/>
    <w:rsid w:val="002F498A"/>
    <w:rsid w:val="002F4AD8"/>
    <w:rsid w:val="002F5285"/>
    <w:rsid w:val="002F5820"/>
    <w:rsid w:val="002F64BB"/>
    <w:rsid w:val="002F7611"/>
    <w:rsid w:val="002F7756"/>
    <w:rsid w:val="002F7D9B"/>
    <w:rsid w:val="00300900"/>
    <w:rsid w:val="00300C31"/>
    <w:rsid w:val="00300E74"/>
    <w:rsid w:val="003017EC"/>
    <w:rsid w:val="00301FB5"/>
    <w:rsid w:val="00301FD5"/>
    <w:rsid w:val="00302165"/>
    <w:rsid w:val="00302D5A"/>
    <w:rsid w:val="00303BB4"/>
    <w:rsid w:val="00304771"/>
    <w:rsid w:val="00304F9C"/>
    <w:rsid w:val="003052D4"/>
    <w:rsid w:val="00305863"/>
    <w:rsid w:val="003060E9"/>
    <w:rsid w:val="00306C5B"/>
    <w:rsid w:val="00307529"/>
    <w:rsid w:val="00307DB3"/>
    <w:rsid w:val="00307ED2"/>
    <w:rsid w:val="0031076D"/>
    <w:rsid w:val="0031169A"/>
    <w:rsid w:val="00311AA6"/>
    <w:rsid w:val="00311C4D"/>
    <w:rsid w:val="003121AB"/>
    <w:rsid w:val="00314585"/>
    <w:rsid w:val="00315169"/>
    <w:rsid w:val="003153C8"/>
    <w:rsid w:val="00315524"/>
    <w:rsid w:val="00315561"/>
    <w:rsid w:val="00316B3D"/>
    <w:rsid w:val="0032058C"/>
    <w:rsid w:val="003208D0"/>
    <w:rsid w:val="003209D6"/>
    <w:rsid w:val="003217B9"/>
    <w:rsid w:val="00321924"/>
    <w:rsid w:val="00321AF1"/>
    <w:rsid w:val="00321EB6"/>
    <w:rsid w:val="003220A5"/>
    <w:rsid w:val="003238E0"/>
    <w:rsid w:val="00323A1C"/>
    <w:rsid w:val="00323A2F"/>
    <w:rsid w:val="003242F7"/>
    <w:rsid w:val="003247E1"/>
    <w:rsid w:val="00324B59"/>
    <w:rsid w:val="00325E46"/>
    <w:rsid w:val="0032656E"/>
    <w:rsid w:val="0032788F"/>
    <w:rsid w:val="0033117D"/>
    <w:rsid w:val="003313AD"/>
    <w:rsid w:val="00332190"/>
    <w:rsid w:val="00332A98"/>
    <w:rsid w:val="003334BD"/>
    <w:rsid w:val="00333973"/>
    <w:rsid w:val="00333CD0"/>
    <w:rsid w:val="0033448D"/>
    <w:rsid w:val="00334AD2"/>
    <w:rsid w:val="00334CB6"/>
    <w:rsid w:val="00335FA6"/>
    <w:rsid w:val="0033709C"/>
    <w:rsid w:val="003370C5"/>
    <w:rsid w:val="003373C6"/>
    <w:rsid w:val="0033753A"/>
    <w:rsid w:val="003378EB"/>
    <w:rsid w:val="00340BF3"/>
    <w:rsid w:val="00341D26"/>
    <w:rsid w:val="00341D2E"/>
    <w:rsid w:val="00341F05"/>
    <w:rsid w:val="00341FFE"/>
    <w:rsid w:val="00342521"/>
    <w:rsid w:val="0034335E"/>
    <w:rsid w:val="00344668"/>
    <w:rsid w:val="00344940"/>
    <w:rsid w:val="00346234"/>
    <w:rsid w:val="003462D9"/>
    <w:rsid w:val="0034723F"/>
    <w:rsid w:val="00347247"/>
    <w:rsid w:val="003474B6"/>
    <w:rsid w:val="00347A07"/>
    <w:rsid w:val="00347DD4"/>
    <w:rsid w:val="00350728"/>
    <w:rsid w:val="00352B43"/>
    <w:rsid w:val="00352C28"/>
    <w:rsid w:val="00353A0B"/>
    <w:rsid w:val="00354D85"/>
    <w:rsid w:val="00354F89"/>
    <w:rsid w:val="0035506D"/>
    <w:rsid w:val="00360663"/>
    <w:rsid w:val="0036077F"/>
    <w:rsid w:val="00360C86"/>
    <w:rsid w:val="00360F7A"/>
    <w:rsid w:val="00360FBC"/>
    <w:rsid w:val="00361537"/>
    <w:rsid w:val="00361FB7"/>
    <w:rsid w:val="0036242A"/>
    <w:rsid w:val="00362581"/>
    <w:rsid w:val="00362C23"/>
    <w:rsid w:val="00362DCA"/>
    <w:rsid w:val="00362E90"/>
    <w:rsid w:val="00363AD0"/>
    <w:rsid w:val="00364B62"/>
    <w:rsid w:val="00364FA0"/>
    <w:rsid w:val="003657F3"/>
    <w:rsid w:val="00365844"/>
    <w:rsid w:val="0036624C"/>
    <w:rsid w:val="00367F84"/>
    <w:rsid w:val="0037076B"/>
    <w:rsid w:val="003712BC"/>
    <w:rsid w:val="00372164"/>
    <w:rsid w:val="003734C8"/>
    <w:rsid w:val="003738BD"/>
    <w:rsid w:val="00374263"/>
    <w:rsid w:val="003744AA"/>
    <w:rsid w:val="003746F0"/>
    <w:rsid w:val="00374A20"/>
    <w:rsid w:val="00374E21"/>
    <w:rsid w:val="0037537A"/>
    <w:rsid w:val="00377B2E"/>
    <w:rsid w:val="0038079A"/>
    <w:rsid w:val="003808C1"/>
    <w:rsid w:val="003810F0"/>
    <w:rsid w:val="00381548"/>
    <w:rsid w:val="003815D4"/>
    <w:rsid w:val="003818DC"/>
    <w:rsid w:val="003823C4"/>
    <w:rsid w:val="00382513"/>
    <w:rsid w:val="00383388"/>
    <w:rsid w:val="003834F8"/>
    <w:rsid w:val="003838D0"/>
    <w:rsid w:val="003840C2"/>
    <w:rsid w:val="00384327"/>
    <w:rsid w:val="00384A89"/>
    <w:rsid w:val="00384E6A"/>
    <w:rsid w:val="00385086"/>
    <w:rsid w:val="00385D98"/>
    <w:rsid w:val="003863EB"/>
    <w:rsid w:val="00390306"/>
    <w:rsid w:val="003908A6"/>
    <w:rsid w:val="0039109D"/>
    <w:rsid w:val="00391527"/>
    <w:rsid w:val="00391989"/>
    <w:rsid w:val="00391A6C"/>
    <w:rsid w:val="003927F6"/>
    <w:rsid w:val="0039398D"/>
    <w:rsid w:val="003939DA"/>
    <w:rsid w:val="00393B3F"/>
    <w:rsid w:val="003962AB"/>
    <w:rsid w:val="00396739"/>
    <w:rsid w:val="003978B1"/>
    <w:rsid w:val="003A04F6"/>
    <w:rsid w:val="003A0837"/>
    <w:rsid w:val="003A2B4D"/>
    <w:rsid w:val="003A2D12"/>
    <w:rsid w:val="003A2EBA"/>
    <w:rsid w:val="003A45E3"/>
    <w:rsid w:val="003A46A0"/>
    <w:rsid w:val="003A46B8"/>
    <w:rsid w:val="003A478C"/>
    <w:rsid w:val="003A4A32"/>
    <w:rsid w:val="003A4A38"/>
    <w:rsid w:val="003A4EF2"/>
    <w:rsid w:val="003A5525"/>
    <w:rsid w:val="003A5889"/>
    <w:rsid w:val="003A5C8C"/>
    <w:rsid w:val="003A6B38"/>
    <w:rsid w:val="003A6B83"/>
    <w:rsid w:val="003A6C97"/>
    <w:rsid w:val="003A722F"/>
    <w:rsid w:val="003A7373"/>
    <w:rsid w:val="003A76A7"/>
    <w:rsid w:val="003A7D09"/>
    <w:rsid w:val="003B039F"/>
    <w:rsid w:val="003B0DF4"/>
    <w:rsid w:val="003B1AC5"/>
    <w:rsid w:val="003B1F9D"/>
    <w:rsid w:val="003B2249"/>
    <w:rsid w:val="003B2A8D"/>
    <w:rsid w:val="003B2AD1"/>
    <w:rsid w:val="003B2D2E"/>
    <w:rsid w:val="003B376A"/>
    <w:rsid w:val="003B461F"/>
    <w:rsid w:val="003B483F"/>
    <w:rsid w:val="003B4998"/>
    <w:rsid w:val="003B5A32"/>
    <w:rsid w:val="003B5B59"/>
    <w:rsid w:val="003B6D10"/>
    <w:rsid w:val="003B709D"/>
    <w:rsid w:val="003B7313"/>
    <w:rsid w:val="003B7B50"/>
    <w:rsid w:val="003C0B07"/>
    <w:rsid w:val="003C2CE7"/>
    <w:rsid w:val="003C2DB8"/>
    <w:rsid w:val="003C3490"/>
    <w:rsid w:val="003C3608"/>
    <w:rsid w:val="003C3AE8"/>
    <w:rsid w:val="003C3D2C"/>
    <w:rsid w:val="003C4014"/>
    <w:rsid w:val="003C4E13"/>
    <w:rsid w:val="003C58A5"/>
    <w:rsid w:val="003C6221"/>
    <w:rsid w:val="003C63D7"/>
    <w:rsid w:val="003C68CC"/>
    <w:rsid w:val="003C7E62"/>
    <w:rsid w:val="003D12B9"/>
    <w:rsid w:val="003D1E7A"/>
    <w:rsid w:val="003D242B"/>
    <w:rsid w:val="003D2492"/>
    <w:rsid w:val="003D29AA"/>
    <w:rsid w:val="003D2A99"/>
    <w:rsid w:val="003D34DA"/>
    <w:rsid w:val="003D472E"/>
    <w:rsid w:val="003D6920"/>
    <w:rsid w:val="003D7E94"/>
    <w:rsid w:val="003E0249"/>
    <w:rsid w:val="003E0487"/>
    <w:rsid w:val="003E08A4"/>
    <w:rsid w:val="003E1EF8"/>
    <w:rsid w:val="003E2DFB"/>
    <w:rsid w:val="003E4466"/>
    <w:rsid w:val="003E4C91"/>
    <w:rsid w:val="003E52D8"/>
    <w:rsid w:val="003E55D6"/>
    <w:rsid w:val="003E62F1"/>
    <w:rsid w:val="003E6DEE"/>
    <w:rsid w:val="003E6F84"/>
    <w:rsid w:val="003F313C"/>
    <w:rsid w:val="003F33B1"/>
    <w:rsid w:val="003F33B9"/>
    <w:rsid w:val="003F37FC"/>
    <w:rsid w:val="003F3E76"/>
    <w:rsid w:val="003F4318"/>
    <w:rsid w:val="003F4B2C"/>
    <w:rsid w:val="003F551C"/>
    <w:rsid w:val="003F626D"/>
    <w:rsid w:val="003F69BC"/>
    <w:rsid w:val="003F6B37"/>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9BA"/>
    <w:rsid w:val="00407C13"/>
    <w:rsid w:val="004103F6"/>
    <w:rsid w:val="00410638"/>
    <w:rsid w:val="00410D65"/>
    <w:rsid w:val="00412511"/>
    <w:rsid w:val="004125C2"/>
    <w:rsid w:val="00412DFA"/>
    <w:rsid w:val="00413465"/>
    <w:rsid w:val="004135F4"/>
    <w:rsid w:val="00413DBE"/>
    <w:rsid w:val="004149AC"/>
    <w:rsid w:val="0041501E"/>
    <w:rsid w:val="00415452"/>
    <w:rsid w:val="004159C3"/>
    <w:rsid w:val="00415A57"/>
    <w:rsid w:val="0041664E"/>
    <w:rsid w:val="00416DAC"/>
    <w:rsid w:val="00417849"/>
    <w:rsid w:val="00420880"/>
    <w:rsid w:val="00421179"/>
    <w:rsid w:val="00423623"/>
    <w:rsid w:val="0042470E"/>
    <w:rsid w:val="00424877"/>
    <w:rsid w:val="00425352"/>
    <w:rsid w:val="00425EC2"/>
    <w:rsid w:val="00426C99"/>
    <w:rsid w:val="00430C96"/>
    <w:rsid w:val="0043174F"/>
    <w:rsid w:val="00431BFF"/>
    <w:rsid w:val="00432199"/>
    <w:rsid w:val="0043271A"/>
    <w:rsid w:val="00432A58"/>
    <w:rsid w:val="004331C3"/>
    <w:rsid w:val="00433BC4"/>
    <w:rsid w:val="00433C17"/>
    <w:rsid w:val="00434617"/>
    <w:rsid w:val="00434DE9"/>
    <w:rsid w:val="00435051"/>
    <w:rsid w:val="00435C69"/>
    <w:rsid w:val="004360F5"/>
    <w:rsid w:val="004360FB"/>
    <w:rsid w:val="00436A40"/>
    <w:rsid w:val="00437CED"/>
    <w:rsid w:val="004407BF"/>
    <w:rsid w:val="00440900"/>
    <w:rsid w:val="0044121D"/>
    <w:rsid w:val="00441BF6"/>
    <w:rsid w:val="00441D2B"/>
    <w:rsid w:val="00441F8B"/>
    <w:rsid w:val="00442085"/>
    <w:rsid w:val="0044279E"/>
    <w:rsid w:val="00442990"/>
    <w:rsid w:val="004429BC"/>
    <w:rsid w:val="004441A0"/>
    <w:rsid w:val="0044546A"/>
    <w:rsid w:val="00445861"/>
    <w:rsid w:val="00445A8E"/>
    <w:rsid w:val="00446D44"/>
    <w:rsid w:val="00447735"/>
    <w:rsid w:val="0045078A"/>
    <w:rsid w:val="0045086D"/>
    <w:rsid w:val="00450DAB"/>
    <w:rsid w:val="00450F53"/>
    <w:rsid w:val="0045125B"/>
    <w:rsid w:val="00451E25"/>
    <w:rsid w:val="00451EF1"/>
    <w:rsid w:val="00452E60"/>
    <w:rsid w:val="0045321B"/>
    <w:rsid w:val="0045412A"/>
    <w:rsid w:val="00455F84"/>
    <w:rsid w:val="00456FE5"/>
    <w:rsid w:val="00457490"/>
    <w:rsid w:val="0045786C"/>
    <w:rsid w:val="00457953"/>
    <w:rsid w:val="004604D8"/>
    <w:rsid w:val="00460656"/>
    <w:rsid w:val="00460FB3"/>
    <w:rsid w:val="00463D3C"/>
    <w:rsid w:val="00464851"/>
    <w:rsid w:val="004649C1"/>
    <w:rsid w:val="00464AF9"/>
    <w:rsid w:val="00466359"/>
    <w:rsid w:val="00466595"/>
    <w:rsid w:val="00466B3E"/>
    <w:rsid w:val="0046746A"/>
    <w:rsid w:val="00467B14"/>
    <w:rsid w:val="004701E1"/>
    <w:rsid w:val="004707FE"/>
    <w:rsid w:val="0047080E"/>
    <w:rsid w:val="00470EDC"/>
    <w:rsid w:val="00472418"/>
    <w:rsid w:val="0047276D"/>
    <w:rsid w:val="00472AF6"/>
    <w:rsid w:val="00473482"/>
    <w:rsid w:val="00474310"/>
    <w:rsid w:val="00474646"/>
    <w:rsid w:val="00474A04"/>
    <w:rsid w:val="00474B3D"/>
    <w:rsid w:val="00476240"/>
    <w:rsid w:val="00476439"/>
    <w:rsid w:val="00476450"/>
    <w:rsid w:val="004769BF"/>
    <w:rsid w:val="004769E1"/>
    <w:rsid w:val="0047735C"/>
    <w:rsid w:val="004776BC"/>
    <w:rsid w:val="00477820"/>
    <w:rsid w:val="00477B96"/>
    <w:rsid w:val="00477DB5"/>
    <w:rsid w:val="00480802"/>
    <w:rsid w:val="00480BAE"/>
    <w:rsid w:val="00480D7F"/>
    <w:rsid w:val="0048139F"/>
    <w:rsid w:val="00481C74"/>
    <w:rsid w:val="00481E40"/>
    <w:rsid w:val="00482405"/>
    <w:rsid w:val="004826A7"/>
    <w:rsid w:val="0048368C"/>
    <w:rsid w:val="0048372F"/>
    <w:rsid w:val="00483A0C"/>
    <w:rsid w:val="004841CC"/>
    <w:rsid w:val="00484ECE"/>
    <w:rsid w:val="00485E82"/>
    <w:rsid w:val="00486132"/>
    <w:rsid w:val="004867CC"/>
    <w:rsid w:val="0048686D"/>
    <w:rsid w:val="00486A4D"/>
    <w:rsid w:val="004915CB"/>
    <w:rsid w:val="004924DC"/>
    <w:rsid w:val="00492879"/>
    <w:rsid w:val="004933FF"/>
    <w:rsid w:val="00493E85"/>
    <w:rsid w:val="00495145"/>
    <w:rsid w:val="0049531F"/>
    <w:rsid w:val="00496EC3"/>
    <w:rsid w:val="004979A5"/>
    <w:rsid w:val="00497FD4"/>
    <w:rsid w:val="004A0144"/>
    <w:rsid w:val="004A036E"/>
    <w:rsid w:val="004A0498"/>
    <w:rsid w:val="004A0597"/>
    <w:rsid w:val="004A06B0"/>
    <w:rsid w:val="004A0D0E"/>
    <w:rsid w:val="004A127D"/>
    <w:rsid w:val="004A14E4"/>
    <w:rsid w:val="004A204E"/>
    <w:rsid w:val="004A26A5"/>
    <w:rsid w:val="004A27F0"/>
    <w:rsid w:val="004A3212"/>
    <w:rsid w:val="004A37CD"/>
    <w:rsid w:val="004A40D9"/>
    <w:rsid w:val="004A49A5"/>
    <w:rsid w:val="004A4BE6"/>
    <w:rsid w:val="004A4F8A"/>
    <w:rsid w:val="004A52AB"/>
    <w:rsid w:val="004A5494"/>
    <w:rsid w:val="004A5A24"/>
    <w:rsid w:val="004A5AC1"/>
    <w:rsid w:val="004A5D4E"/>
    <w:rsid w:val="004A61C5"/>
    <w:rsid w:val="004A62A0"/>
    <w:rsid w:val="004A77DF"/>
    <w:rsid w:val="004B1417"/>
    <w:rsid w:val="004B305C"/>
    <w:rsid w:val="004B31B8"/>
    <w:rsid w:val="004B339A"/>
    <w:rsid w:val="004B4C83"/>
    <w:rsid w:val="004B55B7"/>
    <w:rsid w:val="004B5BFA"/>
    <w:rsid w:val="004B619E"/>
    <w:rsid w:val="004B6468"/>
    <w:rsid w:val="004B67FC"/>
    <w:rsid w:val="004B6EF8"/>
    <w:rsid w:val="004B7125"/>
    <w:rsid w:val="004B756A"/>
    <w:rsid w:val="004B7FB1"/>
    <w:rsid w:val="004C0B3F"/>
    <w:rsid w:val="004C0F87"/>
    <w:rsid w:val="004C258C"/>
    <w:rsid w:val="004C25F9"/>
    <w:rsid w:val="004C2794"/>
    <w:rsid w:val="004C2BB6"/>
    <w:rsid w:val="004C2C2D"/>
    <w:rsid w:val="004C3027"/>
    <w:rsid w:val="004C32A9"/>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10DE"/>
    <w:rsid w:val="004D2D31"/>
    <w:rsid w:val="004D2DBD"/>
    <w:rsid w:val="004D2E03"/>
    <w:rsid w:val="004D3296"/>
    <w:rsid w:val="004D4056"/>
    <w:rsid w:val="004D42F8"/>
    <w:rsid w:val="004D45B7"/>
    <w:rsid w:val="004D4CB0"/>
    <w:rsid w:val="004D57FF"/>
    <w:rsid w:val="004D5ACB"/>
    <w:rsid w:val="004D5B0F"/>
    <w:rsid w:val="004D7626"/>
    <w:rsid w:val="004E10D9"/>
    <w:rsid w:val="004E186A"/>
    <w:rsid w:val="004E1A40"/>
    <w:rsid w:val="004E200A"/>
    <w:rsid w:val="004E23FC"/>
    <w:rsid w:val="004E2409"/>
    <w:rsid w:val="004E261D"/>
    <w:rsid w:val="004E36CA"/>
    <w:rsid w:val="004E3927"/>
    <w:rsid w:val="004E3B7F"/>
    <w:rsid w:val="004E3C34"/>
    <w:rsid w:val="004E57BF"/>
    <w:rsid w:val="004E5F41"/>
    <w:rsid w:val="004E6011"/>
    <w:rsid w:val="004E6DE6"/>
    <w:rsid w:val="004E765E"/>
    <w:rsid w:val="004E7815"/>
    <w:rsid w:val="004F06F5"/>
    <w:rsid w:val="004F12A4"/>
    <w:rsid w:val="004F253F"/>
    <w:rsid w:val="004F33A0"/>
    <w:rsid w:val="004F3873"/>
    <w:rsid w:val="004F3BD2"/>
    <w:rsid w:val="004F3D93"/>
    <w:rsid w:val="004F3ECA"/>
    <w:rsid w:val="004F46ED"/>
    <w:rsid w:val="004F49A3"/>
    <w:rsid w:val="004F4C99"/>
    <w:rsid w:val="004F5226"/>
    <w:rsid w:val="004F5358"/>
    <w:rsid w:val="004F6484"/>
    <w:rsid w:val="004F6539"/>
    <w:rsid w:val="004F665D"/>
    <w:rsid w:val="004F7395"/>
    <w:rsid w:val="00503D54"/>
    <w:rsid w:val="00504720"/>
    <w:rsid w:val="005048E2"/>
    <w:rsid w:val="00504A69"/>
    <w:rsid w:val="00505FAA"/>
    <w:rsid w:val="00505FC8"/>
    <w:rsid w:val="00506603"/>
    <w:rsid w:val="0050689D"/>
    <w:rsid w:val="00506F4A"/>
    <w:rsid w:val="00507032"/>
    <w:rsid w:val="00507216"/>
    <w:rsid w:val="005077F5"/>
    <w:rsid w:val="005108C0"/>
    <w:rsid w:val="0051094F"/>
    <w:rsid w:val="00511217"/>
    <w:rsid w:val="00511873"/>
    <w:rsid w:val="00511BAF"/>
    <w:rsid w:val="00512461"/>
    <w:rsid w:val="00512585"/>
    <w:rsid w:val="00512A2F"/>
    <w:rsid w:val="005136FA"/>
    <w:rsid w:val="00513B7E"/>
    <w:rsid w:val="00513E9D"/>
    <w:rsid w:val="0051475D"/>
    <w:rsid w:val="00514B11"/>
    <w:rsid w:val="00515485"/>
    <w:rsid w:val="00515BE9"/>
    <w:rsid w:val="00515C74"/>
    <w:rsid w:val="0051630F"/>
    <w:rsid w:val="005169D3"/>
    <w:rsid w:val="005170C3"/>
    <w:rsid w:val="00517113"/>
    <w:rsid w:val="0052007E"/>
    <w:rsid w:val="00521CAD"/>
    <w:rsid w:val="0052200D"/>
    <w:rsid w:val="00522425"/>
    <w:rsid w:val="005224F8"/>
    <w:rsid w:val="00522A1B"/>
    <w:rsid w:val="00522E01"/>
    <w:rsid w:val="0052337A"/>
    <w:rsid w:val="00523908"/>
    <w:rsid w:val="00524385"/>
    <w:rsid w:val="005246BE"/>
    <w:rsid w:val="00525137"/>
    <w:rsid w:val="005251DD"/>
    <w:rsid w:val="0052762C"/>
    <w:rsid w:val="0053012B"/>
    <w:rsid w:val="005301A6"/>
    <w:rsid w:val="00530A68"/>
    <w:rsid w:val="00530AD4"/>
    <w:rsid w:val="0053129F"/>
    <w:rsid w:val="005318C3"/>
    <w:rsid w:val="00531C5A"/>
    <w:rsid w:val="00532CE7"/>
    <w:rsid w:val="00532D8B"/>
    <w:rsid w:val="0053324C"/>
    <w:rsid w:val="005337A1"/>
    <w:rsid w:val="00533A8D"/>
    <w:rsid w:val="00533D9E"/>
    <w:rsid w:val="00534A28"/>
    <w:rsid w:val="00535018"/>
    <w:rsid w:val="0053595E"/>
    <w:rsid w:val="00537571"/>
    <w:rsid w:val="00540056"/>
    <w:rsid w:val="005410E2"/>
    <w:rsid w:val="00541508"/>
    <w:rsid w:val="00541AE3"/>
    <w:rsid w:val="005431E6"/>
    <w:rsid w:val="00543498"/>
    <w:rsid w:val="00544011"/>
    <w:rsid w:val="00544BE5"/>
    <w:rsid w:val="005453A3"/>
    <w:rsid w:val="005455F6"/>
    <w:rsid w:val="00545631"/>
    <w:rsid w:val="0054582F"/>
    <w:rsid w:val="00546FC7"/>
    <w:rsid w:val="005500F9"/>
    <w:rsid w:val="00550160"/>
    <w:rsid w:val="005508EB"/>
    <w:rsid w:val="005519E2"/>
    <w:rsid w:val="00552152"/>
    <w:rsid w:val="0055230D"/>
    <w:rsid w:val="005523A8"/>
    <w:rsid w:val="00552796"/>
    <w:rsid w:val="00552F2C"/>
    <w:rsid w:val="00553A25"/>
    <w:rsid w:val="005547EB"/>
    <w:rsid w:val="00554863"/>
    <w:rsid w:val="005555E0"/>
    <w:rsid w:val="00555713"/>
    <w:rsid w:val="0055599F"/>
    <w:rsid w:val="00556621"/>
    <w:rsid w:val="00556D68"/>
    <w:rsid w:val="0055707B"/>
    <w:rsid w:val="005570D6"/>
    <w:rsid w:val="00557B02"/>
    <w:rsid w:val="00557E0E"/>
    <w:rsid w:val="00557E45"/>
    <w:rsid w:val="00560C41"/>
    <w:rsid w:val="00560CAC"/>
    <w:rsid w:val="00561F44"/>
    <w:rsid w:val="00562B4D"/>
    <w:rsid w:val="00562DB1"/>
    <w:rsid w:val="00563EB8"/>
    <w:rsid w:val="005647BF"/>
    <w:rsid w:val="00564AF1"/>
    <w:rsid w:val="00564EEE"/>
    <w:rsid w:val="005655DB"/>
    <w:rsid w:val="00565E88"/>
    <w:rsid w:val="00567339"/>
    <w:rsid w:val="005678EE"/>
    <w:rsid w:val="00567910"/>
    <w:rsid w:val="00570270"/>
    <w:rsid w:val="00570464"/>
    <w:rsid w:val="00570BC3"/>
    <w:rsid w:val="0057182A"/>
    <w:rsid w:val="00571E59"/>
    <w:rsid w:val="00572079"/>
    <w:rsid w:val="00572900"/>
    <w:rsid w:val="005731CA"/>
    <w:rsid w:val="00573343"/>
    <w:rsid w:val="00573602"/>
    <w:rsid w:val="0057364B"/>
    <w:rsid w:val="00574773"/>
    <w:rsid w:val="005761EC"/>
    <w:rsid w:val="00577C07"/>
    <w:rsid w:val="00577DB1"/>
    <w:rsid w:val="0058075B"/>
    <w:rsid w:val="00580AD3"/>
    <w:rsid w:val="00580DE7"/>
    <w:rsid w:val="00580E89"/>
    <w:rsid w:val="005810E1"/>
    <w:rsid w:val="005820CD"/>
    <w:rsid w:val="005823F4"/>
    <w:rsid w:val="00582530"/>
    <w:rsid w:val="00583BDD"/>
    <w:rsid w:val="00583E52"/>
    <w:rsid w:val="00583FFD"/>
    <w:rsid w:val="00584252"/>
    <w:rsid w:val="005848DD"/>
    <w:rsid w:val="0058519A"/>
    <w:rsid w:val="005856BD"/>
    <w:rsid w:val="00585983"/>
    <w:rsid w:val="00586BCA"/>
    <w:rsid w:val="00587038"/>
    <w:rsid w:val="005877E0"/>
    <w:rsid w:val="00590608"/>
    <w:rsid w:val="00590B28"/>
    <w:rsid w:val="005911BE"/>
    <w:rsid w:val="00591273"/>
    <w:rsid w:val="00591E9E"/>
    <w:rsid w:val="005927A4"/>
    <w:rsid w:val="00593152"/>
    <w:rsid w:val="00593319"/>
    <w:rsid w:val="00593389"/>
    <w:rsid w:val="00593407"/>
    <w:rsid w:val="00593FE6"/>
    <w:rsid w:val="005956A3"/>
    <w:rsid w:val="00595958"/>
    <w:rsid w:val="00595CAB"/>
    <w:rsid w:val="0059622E"/>
    <w:rsid w:val="00597671"/>
    <w:rsid w:val="00597BBF"/>
    <w:rsid w:val="00597E79"/>
    <w:rsid w:val="005A0463"/>
    <w:rsid w:val="005A0948"/>
    <w:rsid w:val="005A0A03"/>
    <w:rsid w:val="005A0F21"/>
    <w:rsid w:val="005A10F2"/>
    <w:rsid w:val="005A16C0"/>
    <w:rsid w:val="005A2156"/>
    <w:rsid w:val="005A21E0"/>
    <w:rsid w:val="005A28FF"/>
    <w:rsid w:val="005A2C09"/>
    <w:rsid w:val="005A3778"/>
    <w:rsid w:val="005A37B0"/>
    <w:rsid w:val="005A3DF8"/>
    <w:rsid w:val="005A5549"/>
    <w:rsid w:val="005A566A"/>
    <w:rsid w:val="005A7756"/>
    <w:rsid w:val="005A7ABD"/>
    <w:rsid w:val="005A7CF8"/>
    <w:rsid w:val="005B0EDA"/>
    <w:rsid w:val="005B121D"/>
    <w:rsid w:val="005B26B0"/>
    <w:rsid w:val="005B418A"/>
    <w:rsid w:val="005B41C9"/>
    <w:rsid w:val="005B44E6"/>
    <w:rsid w:val="005B4853"/>
    <w:rsid w:val="005B4FC7"/>
    <w:rsid w:val="005B6CA1"/>
    <w:rsid w:val="005B770C"/>
    <w:rsid w:val="005C016A"/>
    <w:rsid w:val="005C06ED"/>
    <w:rsid w:val="005C0CE1"/>
    <w:rsid w:val="005C11B8"/>
    <w:rsid w:val="005C216C"/>
    <w:rsid w:val="005C2609"/>
    <w:rsid w:val="005C2B30"/>
    <w:rsid w:val="005C32E1"/>
    <w:rsid w:val="005C412B"/>
    <w:rsid w:val="005C431E"/>
    <w:rsid w:val="005C43EC"/>
    <w:rsid w:val="005C45DD"/>
    <w:rsid w:val="005C4704"/>
    <w:rsid w:val="005C4CB1"/>
    <w:rsid w:val="005C6558"/>
    <w:rsid w:val="005D2FD8"/>
    <w:rsid w:val="005D3F06"/>
    <w:rsid w:val="005D4B73"/>
    <w:rsid w:val="005D5645"/>
    <w:rsid w:val="005D5802"/>
    <w:rsid w:val="005D5AA9"/>
    <w:rsid w:val="005D66E6"/>
    <w:rsid w:val="005D703F"/>
    <w:rsid w:val="005D7119"/>
    <w:rsid w:val="005D76C8"/>
    <w:rsid w:val="005D7890"/>
    <w:rsid w:val="005E021D"/>
    <w:rsid w:val="005E19C1"/>
    <w:rsid w:val="005E2194"/>
    <w:rsid w:val="005E24F0"/>
    <w:rsid w:val="005E30A8"/>
    <w:rsid w:val="005E3113"/>
    <w:rsid w:val="005E3515"/>
    <w:rsid w:val="005E36FE"/>
    <w:rsid w:val="005E3F66"/>
    <w:rsid w:val="005E490F"/>
    <w:rsid w:val="005E4BC9"/>
    <w:rsid w:val="005E5314"/>
    <w:rsid w:val="005E6D0F"/>
    <w:rsid w:val="005E7C78"/>
    <w:rsid w:val="005F04A7"/>
    <w:rsid w:val="005F114F"/>
    <w:rsid w:val="005F1255"/>
    <w:rsid w:val="005F18C5"/>
    <w:rsid w:val="005F2463"/>
    <w:rsid w:val="005F2A08"/>
    <w:rsid w:val="005F353D"/>
    <w:rsid w:val="005F36CC"/>
    <w:rsid w:val="005F3EB1"/>
    <w:rsid w:val="005F40CA"/>
    <w:rsid w:val="005F413E"/>
    <w:rsid w:val="005F466B"/>
    <w:rsid w:val="005F46D8"/>
    <w:rsid w:val="005F480F"/>
    <w:rsid w:val="005F5469"/>
    <w:rsid w:val="005F5B50"/>
    <w:rsid w:val="005F63F3"/>
    <w:rsid w:val="005F66F0"/>
    <w:rsid w:val="005F6D7F"/>
    <w:rsid w:val="005F7174"/>
    <w:rsid w:val="00600FFC"/>
    <w:rsid w:val="0060120D"/>
    <w:rsid w:val="006017C1"/>
    <w:rsid w:val="00601ADE"/>
    <w:rsid w:val="00601EEF"/>
    <w:rsid w:val="0060255A"/>
    <w:rsid w:val="0060279D"/>
    <w:rsid w:val="00602998"/>
    <w:rsid w:val="00602EB3"/>
    <w:rsid w:val="0060384A"/>
    <w:rsid w:val="00603DC9"/>
    <w:rsid w:val="00604307"/>
    <w:rsid w:val="006044A3"/>
    <w:rsid w:val="0060487F"/>
    <w:rsid w:val="00604EAD"/>
    <w:rsid w:val="0060513F"/>
    <w:rsid w:val="00605A97"/>
    <w:rsid w:val="006065E2"/>
    <w:rsid w:val="0060694B"/>
    <w:rsid w:val="006104FB"/>
    <w:rsid w:val="0061176D"/>
    <w:rsid w:val="0061200F"/>
    <w:rsid w:val="00612756"/>
    <w:rsid w:val="00612A2F"/>
    <w:rsid w:val="00612AAE"/>
    <w:rsid w:val="00612B07"/>
    <w:rsid w:val="00612FD9"/>
    <w:rsid w:val="0061333D"/>
    <w:rsid w:val="006139E0"/>
    <w:rsid w:val="00614D35"/>
    <w:rsid w:val="006156B4"/>
    <w:rsid w:val="00615DAF"/>
    <w:rsid w:val="00616254"/>
    <w:rsid w:val="0061672A"/>
    <w:rsid w:val="00616E05"/>
    <w:rsid w:val="00617985"/>
    <w:rsid w:val="00620B77"/>
    <w:rsid w:val="0062131B"/>
    <w:rsid w:val="00621E26"/>
    <w:rsid w:val="006224EA"/>
    <w:rsid w:val="0062263A"/>
    <w:rsid w:val="006227DF"/>
    <w:rsid w:val="006236C8"/>
    <w:rsid w:val="00624093"/>
    <w:rsid w:val="00624B45"/>
    <w:rsid w:val="00625A84"/>
    <w:rsid w:val="0062604A"/>
    <w:rsid w:val="00626079"/>
    <w:rsid w:val="00627A5F"/>
    <w:rsid w:val="006301D2"/>
    <w:rsid w:val="00631698"/>
    <w:rsid w:val="006319BC"/>
    <w:rsid w:val="00631E44"/>
    <w:rsid w:val="006344C3"/>
    <w:rsid w:val="006347C6"/>
    <w:rsid w:val="00634C57"/>
    <w:rsid w:val="00634CE7"/>
    <w:rsid w:val="00634DCA"/>
    <w:rsid w:val="006350D5"/>
    <w:rsid w:val="0063642C"/>
    <w:rsid w:val="006365C6"/>
    <w:rsid w:val="006369CC"/>
    <w:rsid w:val="006376B3"/>
    <w:rsid w:val="00637858"/>
    <w:rsid w:val="006404A7"/>
    <w:rsid w:val="00640A38"/>
    <w:rsid w:val="00640E6B"/>
    <w:rsid w:val="00641787"/>
    <w:rsid w:val="0064179B"/>
    <w:rsid w:val="0064200D"/>
    <w:rsid w:val="00642489"/>
    <w:rsid w:val="006425DA"/>
    <w:rsid w:val="00644055"/>
    <w:rsid w:val="00644137"/>
    <w:rsid w:val="0064478C"/>
    <w:rsid w:val="00645160"/>
    <w:rsid w:val="006451E4"/>
    <w:rsid w:val="0064527F"/>
    <w:rsid w:val="0064574B"/>
    <w:rsid w:val="0064587C"/>
    <w:rsid w:val="00645B33"/>
    <w:rsid w:val="006516CB"/>
    <w:rsid w:val="00652165"/>
    <w:rsid w:val="00652E30"/>
    <w:rsid w:val="00653BD0"/>
    <w:rsid w:val="00654110"/>
    <w:rsid w:val="00655BD0"/>
    <w:rsid w:val="00656C5D"/>
    <w:rsid w:val="00656CFB"/>
    <w:rsid w:val="00656D25"/>
    <w:rsid w:val="00657E87"/>
    <w:rsid w:val="00660D2D"/>
    <w:rsid w:val="00661C41"/>
    <w:rsid w:val="00661EC9"/>
    <w:rsid w:val="00662469"/>
    <w:rsid w:val="0066411C"/>
    <w:rsid w:val="00664205"/>
    <w:rsid w:val="00664647"/>
    <w:rsid w:val="00664803"/>
    <w:rsid w:val="0066502F"/>
    <w:rsid w:val="006653CC"/>
    <w:rsid w:val="00665455"/>
    <w:rsid w:val="006657AF"/>
    <w:rsid w:val="00665982"/>
    <w:rsid w:val="00665BA4"/>
    <w:rsid w:val="00666479"/>
    <w:rsid w:val="00666B00"/>
    <w:rsid w:val="00666BF3"/>
    <w:rsid w:val="00667203"/>
    <w:rsid w:val="00667856"/>
    <w:rsid w:val="00667AF2"/>
    <w:rsid w:val="00667F1B"/>
    <w:rsid w:val="00670489"/>
    <w:rsid w:val="006710C9"/>
    <w:rsid w:val="00671D85"/>
    <w:rsid w:val="006723AD"/>
    <w:rsid w:val="00672586"/>
    <w:rsid w:val="006741CD"/>
    <w:rsid w:val="00674B62"/>
    <w:rsid w:val="00674D89"/>
    <w:rsid w:val="0067514E"/>
    <w:rsid w:val="00675E37"/>
    <w:rsid w:val="006762B5"/>
    <w:rsid w:val="0067635D"/>
    <w:rsid w:val="0067657E"/>
    <w:rsid w:val="00676736"/>
    <w:rsid w:val="006769A4"/>
    <w:rsid w:val="006769C6"/>
    <w:rsid w:val="00676D76"/>
    <w:rsid w:val="00676F9F"/>
    <w:rsid w:val="00677519"/>
    <w:rsid w:val="00677591"/>
    <w:rsid w:val="00677594"/>
    <w:rsid w:val="00677FA3"/>
    <w:rsid w:val="0068032F"/>
    <w:rsid w:val="00680443"/>
    <w:rsid w:val="00680D37"/>
    <w:rsid w:val="0068174E"/>
    <w:rsid w:val="00681DCE"/>
    <w:rsid w:val="00682110"/>
    <w:rsid w:val="0068260E"/>
    <w:rsid w:val="00683EB8"/>
    <w:rsid w:val="006846B3"/>
    <w:rsid w:val="00684851"/>
    <w:rsid w:val="00684B9B"/>
    <w:rsid w:val="00684D59"/>
    <w:rsid w:val="00684E25"/>
    <w:rsid w:val="006858A4"/>
    <w:rsid w:val="00685C08"/>
    <w:rsid w:val="00686718"/>
    <w:rsid w:val="00686BFA"/>
    <w:rsid w:val="00686DED"/>
    <w:rsid w:val="00686F03"/>
    <w:rsid w:val="006875A0"/>
    <w:rsid w:val="006878C6"/>
    <w:rsid w:val="00687D27"/>
    <w:rsid w:val="00687D2B"/>
    <w:rsid w:val="006904BB"/>
    <w:rsid w:val="00691943"/>
    <w:rsid w:val="0069225B"/>
    <w:rsid w:val="00693550"/>
    <w:rsid w:val="00694622"/>
    <w:rsid w:val="00695065"/>
    <w:rsid w:val="00695BEF"/>
    <w:rsid w:val="00696225"/>
    <w:rsid w:val="00696251"/>
    <w:rsid w:val="006963A7"/>
    <w:rsid w:val="006966C7"/>
    <w:rsid w:val="006968C1"/>
    <w:rsid w:val="006977F6"/>
    <w:rsid w:val="00697A13"/>
    <w:rsid w:val="00697FFC"/>
    <w:rsid w:val="006A01C3"/>
    <w:rsid w:val="006A08CE"/>
    <w:rsid w:val="006A0DD4"/>
    <w:rsid w:val="006A109C"/>
    <w:rsid w:val="006A209C"/>
    <w:rsid w:val="006A4A8F"/>
    <w:rsid w:val="006A4E91"/>
    <w:rsid w:val="006A5F4B"/>
    <w:rsid w:val="006A6114"/>
    <w:rsid w:val="006A6565"/>
    <w:rsid w:val="006A6A4C"/>
    <w:rsid w:val="006A7665"/>
    <w:rsid w:val="006A7691"/>
    <w:rsid w:val="006A7EE2"/>
    <w:rsid w:val="006B0514"/>
    <w:rsid w:val="006B0F92"/>
    <w:rsid w:val="006B2785"/>
    <w:rsid w:val="006B27C7"/>
    <w:rsid w:val="006B344A"/>
    <w:rsid w:val="006B4CBF"/>
    <w:rsid w:val="006B502E"/>
    <w:rsid w:val="006B58C9"/>
    <w:rsid w:val="006B60ED"/>
    <w:rsid w:val="006B6CC5"/>
    <w:rsid w:val="006B6D3E"/>
    <w:rsid w:val="006B74AC"/>
    <w:rsid w:val="006B78D8"/>
    <w:rsid w:val="006B79EA"/>
    <w:rsid w:val="006B79EE"/>
    <w:rsid w:val="006C0C5D"/>
    <w:rsid w:val="006C113F"/>
    <w:rsid w:val="006C123E"/>
    <w:rsid w:val="006C15A1"/>
    <w:rsid w:val="006C1752"/>
    <w:rsid w:val="006C1BF0"/>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26CE"/>
    <w:rsid w:val="006D317E"/>
    <w:rsid w:val="006D3E8A"/>
    <w:rsid w:val="006D47D9"/>
    <w:rsid w:val="006D61F6"/>
    <w:rsid w:val="006D6CE9"/>
    <w:rsid w:val="006E0095"/>
    <w:rsid w:val="006E1081"/>
    <w:rsid w:val="006E1332"/>
    <w:rsid w:val="006E19CB"/>
    <w:rsid w:val="006E1DF6"/>
    <w:rsid w:val="006E279A"/>
    <w:rsid w:val="006E313B"/>
    <w:rsid w:val="006E34B2"/>
    <w:rsid w:val="006E3A45"/>
    <w:rsid w:val="006E3AB8"/>
    <w:rsid w:val="006E4078"/>
    <w:rsid w:val="006E51C4"/>
    <w:rsid w:val="006E53AD"/>
    <w:rsid w:val="006E58CB"/>
    <w:rsid w:val="006E6A93"/>
    <w:rsid w:val="006E7227"/>
    <w:rsid w:val="006E761A"/>
    <w:rsid w:val="006F0646"/>
    <w:rsid w:val="006F0741"/>
    <w:rsid w:val="006F1C27"/>
    <w:rsid w:val="006F1F09"/>
    <w:rsid w:val="006F2992"/>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1373"/>
    <w:rsid w:val="00701C0D"/>
    <w:rsid w:val="00701C1E"/>
    <w:rsid w:val="0070398A"/>
    <w:rsid w:val="00705242"/>
    <w:rsid w:val="007055E0"/>
    <w:rsid w:val="007056ED"/>
    <w:rsid w:val="00705F4E"/>
    <w:rsid w:val="0070658E"/>
    <w:rsid w:val="007065C5"/>
    <w:rsid w:val="007068E1"/>
    <w:rsid w:val="00706AA0"/>
    <w:rsid w:val="00706AD4"/>
    <w:rsid w:val="00707150"/>
    <w:rsid w:val="007118D5"/>
    <w:rsid w:val="007124D7"/>
    <w:rsid w:val="007129DE"/>
    <w:rsid w:val="00712C20"/>
    <w:rsid w:val="00713549"/>
    <w:rsid w:val="007140BE"/>
    <w:rsid w:val="007147AB"/>
    <w:rsid w:val="00714D3E"/>
    <w:rsid w:val="00715502"/>
    <w:rsid w:val="00715D01"/>
    <w:rsid w:val="00715E4D"/>
    <w:rsid w:val="00715F12"/>
    <w:rsid w:val="0071677A"/>
    <w:rsid w:val="007168F1"/>
    <w:rsid w:val="00716F48"/>
    <w:rsid w:val="007170FB"/>
    <w:rsid w:val="00717114"/>
    <w:rsid w:val="0071779F"/>
    <w:rsid w:val="007202BD"/>
    <w:rsid w:val="00720310"/>
    <w:rsid w:val="00720D7A"/>
    <w:rsid w:val="007210D0"/>
    <w:rsid w:val="007211F5"/>
    <w:rsid w:val="007213C3"/>
    <w:rsid w:val="00721601"/>
    <w:rsid w:val="00722777"/>
    <w:rsid w:val="00723435"/>
    <w:rsid w:val="00723436"/>
    <w:rsid w:val="00723EFB"/>
    <w:rsid w:val="007240E2"/>
    <w:rsid w:val="007243A2"/>
    <w:rsid w:val="0072454C"/>
    <w:rsid w:val="00725647"/>
    <w:rsid w:val="0072583E"/>
    <w:rsid w:val="00725BB5"/>
    <w:rsid w:val="00727240"/>
    <w:rsid w:val="00727C02"/>
    <w:rsid w:val="0073008E"/>
    <w:rsid w:val="00730A8B"/>
    <w:rsid w:val="00730AE8"/>
    <w:rsid w:val="00730DA9"/>
    <w:rsid w:val="00730F1B"/>
    <w:rsid w:val="0073186D"/>
    <w:rsid w:val="00731D3A"/>
    <w:rsid w:val="00732258"/>
    <w:rsid w:val="0073261D"/>
    <w:rsid w:val="0073333D"/>
    <w:rsid w:val="007343D9"/>
    <w:rsid w:val="00734F71"/>
    <w:rsid w:val="00735301"/>
    <w:rsid w:val="00735448"/>
    <w:rsid w:val="00736BB4"/>
    <w:rsid w:val="00736F07"/>
    <w:rsid w:val="007377BD"/>
    <w:rsid w:val="00737DEC"/>
    <w:rsid w:val="0074004D"/>
    <w:rsid w:val="00740DDF"/>
    <w:rsid w:val="00741493"/>
    <w:rsid w:val="007434E5"/>
    <w:rsid w:val="0074499B"/>
    <w:rsid w:val="007450BF"/>
    <w:rsid w:val="00746F45"/>
    <w:rsid w:val="007471A1"/>
    <w:rsid w:val="007477BD"/>
    <w:rsid w:val="007477DA"/>
    <w:rsid w:val="00747EE9"/>
    <w:rsid w:val="00750275"/>
    <w:rsid w:val="007520B6"/>
    <w:rsid w:val="00752180"/>
    <w:rsid w:val="00752323"/>
    <w:rsid w:val="00752330"/>
    <w:rsid w:val="007532B7"/>
    <w:rsid w:val="00753630"/>
    <w:rsid w:val="0075399B"/>
    <w:rsid w:val="00753CAB"/>
    <w:rsid w:val="00754A70"/>
    <w:rsid w:val="00754BC9"/>
    <w:rsid w:val="00755202"/>
    <w:rsid w:val="00755D3A"/>
    <w:rsid w:val="007562AA"/>
    <w:rsid w:val="007563D7"/>
    <w:rsid w:val="00757241"/>
    <w:rsid w:val="0075751D"/>
    <w:rsid w:val="0075763E"/>
    <w:rsid w:val="007578D3"/>
    <w:rsid w:val="00757A01"/>
    <w:rsid w:val="007602CF"/>
    <w:rsid w:val="00760391"/>
    <w:rsid w:val="007607E0"/>
    <w:rsid w:val="007609C6"/>
    <w:rsid w:val="00760B2F"/>
    <w:rsid w:val="007615F3"/>
    <w:rsid w:val="0076175D"/>
    <w:rsid w:val="00761CB5"/>
    <w:rsid w:val="007629D5"/>
    <w:rsid w:val="007635F8"/>
    <w:rsid w:val="00763B85"/>
    <w:rsid w:val="00764231"/>
    <w:rsid w:val="00764974"/>
    <w:rsid w:val="00764D17"/>
    <w:rsid w:val="00764D18"/>
    <w:rsid w:val="0076521E"/>
    <w:rsid w:val="00765BCC"/>
    <w:rsid w:val="0076600D"/>
    <w:rsid w:val="007661E9"/>
    <w:rsid w:val="0076636A"/>
    <w:rsid w:val="00766460"/>
    <w:rsid w:val="00767062"/>
    <w:rsid w:val="00767601"/>
    <w:rsid w:val="00767777"/>
    <w:rsid w:val="00770CFC"/>
    <w:rsid w:val="0077130E"/>
    <w:rsid w:val="007715EE"/>
    <w:rsid w:val="00771972"/>
    <w:rsid w:val="00772279"/>
    <w:rsid w:val="00772DAB"/>
    <w:rsid w:val="00772FF9"/>
    <w:rsid w:val="0077348B"/>
    <w:rsid w:val="007743DB"/>
    <w:rsid w:val="0077463E"/>
    <w:rsid w:val="00774D2C"/>
    <w:rsid w:val="0077605B"/>
    <w:rsid w:val="00776169"/>
    <w:rsid w:val="00776527"/>
    <w:rsid w:val="00777040"/>
    <w:rsid w:val="00777CE6"/>
    <w:rsid w:val="00777D57"/>
    <w:rsid w:val="007800BC"/>
    <w:rsid w:val="00780EF1"/>
    <w:rsid w:val="00781A91"/>
    <w:rsid w:val="00781AD3"/>
    <w:rsid w:val="00781F36"/>
    <w:rsid w:val="00783576"/>
    <w:rsid w:val="00785778"/>
    <w:rsid w:val="00785EC7"/>
    <w:rsid w:val="00786C87"/>
    <w:rsid w:val="0078755E"/>
    <w:rsid w:val="007877C9"/>
    <w:rsid w:val="00790764"/>
    <w:rsid w:val="0079085F"/>
    <w:rsid w:val="00790943"/>
    <w:rsid w:val="00790E96"/>
    <w:rsid w:val="00791005"/>
    <w:rsid w:val="007910A8"/>
    <w:rsid w:val="007918DF"/>
    <w:rsid w:val="00793D78"/>
    <w:rsid w:val="0079420B"/>
    <w:rsid w:val="0079453C"/>
    <w:rsid w:val="00794677"/>
    <w:rsid w:val="00794827"/>
    <w:rsid w:val="00795759"/>
    <w:rsid w:val="00795C29"/>
    <w:rsid w:val="007A011D"/>
    <w:rsid w:val="007A170B"/>
    <w:rsid w:val="007A1D4F"/>
    <w:rsid w:val="007A20EB"/>
    <w:rsid w:val="007A26FD"/>
    <w:rsid w:val="007A282C"/>
    <w:rsid w:val="007A293C"/>
    <w:rsid w:val="007A2A3A"/>
    <w:rsid w:val="007A33E2"/>
    <w:rsid w:val="007A3CAF"/>
    <w:rsid w:val="007A4664"/>
    <w:rsid w:val="007A4782"/>
    <w:rsid w:val="007A4E9B"/>
    <w:rsid w:val="007A50A1"/>
    <w:rsid w:val="007A516D"/>
    <w:rsid w:val="007A5E65"/>
    <w:rsid w:val="007A65E1"/>
    <w:rsid w:val="007A6AAA"/>
    <w:rsid w:val="007A7033"/>
    <w:rsid w:val="007A714A"/>
    <w:rsid w:val="007A775D"/>
    <w:rsid w:val="007B04B0"/>
    <w:rsid w:val="007B04C6"/>
    <w:rsid w:val="007B0834"/>
    <w:rsid w:val="007B0E83"/>
    <w:rsid w:val="007B11FA"/>
    <w:rsid w:val="007B1396"/>
    <w:rsid w:val="007B16D6"/>
    <w:rsid w:val="007B2011"/>
    <w:rsid w:val="007B2BC5"/>
    <w:rsid w:val="007B2CFE"/>
    <w:rsid w:val="007B309B"/>
    <w:rsid w:val="007B309E"/>
    <w:rsid w:val="007B3D5E"/>
    <w:rsid w:val="007B3DCB"/>
    <w:rsid w:val="007B5725"/>
    <w:rsid w:val="007B5C1F"/>
    <w:rsid w:val="007B6689"/>
    <w:rsid w:val="007B6747"/>
    <w:rsid w:val="007B6F72"/>
    <w:rsid w:val="007B74AA"/>
    <w:rsid w:val="007C10BD"/>
    <w:rsid w:val="007C162D"/>
    <w:rsid w:val="007C1F0C"/>
    <w:rsid w:val="007C1FFB"/>
    <w:rsid w:val="007C2B93"/>
    <w:rsid w:val="007C2D94"/>
    <w:rsid w:val="007C3418"/>
    <w:rsid w:val="007C4A6B"/>
    <w:rsid w:val="007C4CDC"/>
    <w:rsid w:val="007C57FA"/>
    <w:rsid w:val="007C581C"/>
    <w:rsid w:val="007C5A80"/>
    <w:rsid w:val="007C5F92"/>
    <w:rsid w:val="007C6227"/>
    <w:rsid w:val="007C6BBD"/>
    <w:rsid w:val="007C6D89"/>
    <w:rsid w:val="007C6F5E"/>
    <w:rsid w:val="007C7C2B"/>
    <w:rsid w:val="007C7C8E"/>
    <w:rsid w:val="007D0382"/>
    <w:rsid w:val="007D0F6B"/>
    <w:rsid w:val="007D14FE"/>
    <w:rsid w:val="007D1A1F"/>
    <w:rsid w:val="007D1AA7"/>
    <w:rsid w:val="007D1D38"/>
    <w:rsid w:val="007D213B"/>
    <w:rsid w:val="007D2E18"/>
    <w:rsid w:val="007D40DF"/>
    <w:rsid w:val="007D42E5"/>
    <w:rsid w:val="007D4458"/>
    <w:rsid w:val="007D5F38"/>
    <w:rsid w:val="007D6AF9"/>
    <w:rsid w:val="007E051D"/>
    <w:rsid w:val="007E0535"/>
    <w:rsid w:val="007E07F2"/>
    <w:rsid w:val="007E0D4A"/>
    <w:rsid w:val="007E1041"/>
    <w:rsid w:val="007E1788"/>
    <w:rsid w:val="007E1EE3"/>
    <w:rsid w:val="007E239D"/>
    <w:rsid w:val="007E29B4"/>
    <w:rsid w:val="007E2F12"/>
    <w:rsid w:val="007E3F0E"/>
    <w:rsid w:val="007E435A"/>
    <w:rsid w:val="007E445C"/>
    <w:rsid w:val="007E49F7"/>
    <w:rsid w:val="007E4AC8"/>
    <w:rsid w:val="007E4C70"/>
    <w:rsid w:val="007E5B5F"/>
    <w:rsid w:val="007E5CF0"/>
    <w:rsid w:val="007E5ECB"/>
    <w:rsid w:val="007E69C6"/>
    <w:rsid w:val="007E78B6"/>
    <w:rsid w:val="007E7E61"/>
    <w:rsid w:val="007F0845"/>
    <w:rsid w:val="007F0873"/>
    <w:rsid w:val="007F20F3"/>
    <w:rsid w:val="007F22F1"/>
    <w:rsid w:val="007F2353"/>
    <w:rsid w:val="007F2390"/>
    <w:rsid w:val="007F2CAC"/>
    <w:rsid w:val="007F2F8E"/>
    <w:rsid w:val="007F4740"/>
    <w:rsid w:val="007F595A"/>
    <w:rsid w:val="007F5C38"/>
    <w:rsid w:val="007F708D"/>
    <w:rsid w:val="007F7E3F"/>
    <w:rsid w:val="0080001B"/>
    <w:rsid w:val="008006B3"/>
    <w:rsid w:val="00800B63"/>
    <w:rsid w:val="0080127B"/>
    <w:rsid w:val="0080158A"/>
    <w:rsid w:val="00801CCF"/>
    <w:rsid w:val="00801E13"/>
    <w:rsid w:val="00803008"/>
    <w:rsid w:val="00803069"/>
    <w:rsid w:val="00803230"/>
    <w:rsid w:val="008032D9"/>
    <w:rsid w:val="0080346B"/>
    <w:rsid w:val="00804155"/>
    <w:rsid w:val="00804C9F"/>
    <w:rsid w:val="0080559E"/>
    <w:rsid w:val="00805AF3"/>
    <w:rsid w:val="00806C9C"/>
    <w:rsid w:val="0080734C"/>
    <w:rsid w:val="00807C82"/>
    <w:rsid w:val="00807D2B"/>
    <w:rsid w:val="008117CC"/>
    <w:rsid w:val="00811FF8"/>
    <w:rsid w:val="008130D2"/>
    <w:rsid w:val="0081335A"/>
    <w:rsid w:val="00813D58"/>
    <w:rsid w:val="00813DCA"/>
    <w:rsid w:val="008161A6"/>
    <w:rsid w:val="008165B8"/>
    <w:rsid w:val="00816905"/>
    <w:rsid w:val="00816D98"/>
    <w:rsid w:val="00816E42"/>
    <w:rsid w:val="00817040"/>
    <w:rsid w:val="00817A17"/>
    <w:rsid w:val="00817EC1"/>
    <w:rsid w:val="0082112D"/>
    <w:rsid w:val="00821624"/>
    <w:rsid w:val="00821FF6"/>
    <w:rsid w:val="008223DB"/>
    <w:rsid w:val="00822574"/>
    <w:rsid w:val="00822910"/>
    <w:rsid w:val="00822980"/>
    <w:rsid w:val="00822F08"/>
    <w:rsid w:val="00824BA6"/>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4A3"/>
    <w:rsid w:val="00832F77"/>
    <w:rsid w:val="008337D4"/>
    <w:rsid w:val="00834304"/>
    <w:rsid w:val="00834FAA"/>
    <w:rsid w:val="00835026"/>
    <w:rsid w:val="008354FB"/>
    <w:rsid w:val="00835FF1"/>
    <w:rsid w:val="00836086"/>
    <w:rsid w:val="00836096"/>
    <w:rsid w:val="0083630F"/>
    <w:rsid w:val="00836A06"/>
    <w:rsid w:val="00836C91"/>
    <w:rsid w:val="008374BC"/>
    <w:rsid w:val="008379D6"/>
    <w:rsid w:val="00837E48"/>
    <w:rsid w:val="00840293"/>
    <w:rsid w:val="008402AD"/>
    <w:rsid w:val="00840714"/>
    <w:rsid w:val="008407EA"/>
    <w:rsid w:val="008408D4"/>
    <w:rsid w:val="00840A91"/>
    <w:rsid w:val="008417B5"/>
    <w:rsid w:val="00841901"/>
    <w:rsid w:val="008458BD"/>
    <w:rsid w:val="00845CE4"/>
    <w:rsid w:val="00846121"/>
    <w:rsid w:val="008461C2"/>
    <w:rsid w:val="008462F1"/>
    <w:rsid w:val="008466C6"/>
    <w:rsid w:val="0084708F"/>
    <w:rsid w:val="008477C8"/>
    <w:rsid w:val="008478A6"/>
    <w:rsid w:val="008502F6"/>
    <w:rsid w:val="0085036C"/>
    <w:rsid w:val="00850E83"/>
    <w:rsid w:val="0085114D"/>
    <w:rsid w:val="008514DE"/>
    <w:rsid w:val="00851F47"/>
    <w:rsid w:val="008520A8"/>
    <w:rsid w:val="0085220A"/>
    <w:rsid w:val="00852217"/>
    <w:rsid w:val="00852421"/>
    <w:rsid w:val="008525EE"/>
    <w:rsid w:val="00853282"/>
    <w:rsid w:val="0085334C"/>
    <w:rsid w:val="00854291"/>
    <w:rsid w:val="00855408"/>
    <w:rsid w:val="00855D03"/>
    <w:rsid w:val="00856D65"/>
    <w:rsid w:val="00856FA4"/>
    <w:rsid w:val="00860D79"/>
    <w:rsid w:val="008616E4"/>
    <w:rsid w:val="00861816"/>
    <w:rsid w:val="00861B41"/>
    <w:rsid w:val="00861B9F"/>
    <w:rsid w:val="00861BE3"/>
    <w:rsid w:val="008625D3"/>
    <w:rsid w:val="00862C0A"/>
    <w:rsid w:val="00863434"/>
    <w:rsid w:val="0086344F"/>
    <w:rsid w:val="008641AC"/>
    <w:rsid w:val="00864FA4"/>
    <w:rsid w:val="00865E4C"/>
    <w:rsid w:val="00866074"/>
    <w:rsid w:val="00867546"/>
    <w:rsid w:val="0086796D"/>
    <w:rsid w:val="00867DAB"/>
    <w:rsid w:val="0087000B"/>
    <w:rsid w:val="008701E4"/>
    <w:rsid w:val="008704E9"/>
    <w:rsid w:val="008708AD"/>
    <w:rsid w:val="00870ECD"/>
    <w:rsid w:val="0087187B"/>
    <w:rsid w:val="00872F5D"/>
    <w:rsid w:val="0087347C"/>
    <w:rsid w:val="008734E7"/>
    <w:rsid w:val="0087368D"/>
    <w:rsid w:val="008740CC"/>
    <w:rsid w:val="0087442A"/>
    <w:rsid w:val="00874FE8"/>
    <w:rsid w:val="00875A32"/>
    <w:rsid w:val="00876086"/>
    <w:rsid w:val="00876651"/>
    <w:rsid w:val="00876E83"/>
    <w:rsid w:val="008772BC"/>
    <w:rsid w:val="00880299"/>
    <w:rsid w:val="00880A0E"/>
    <w:rsid w:val="008817FE"/>
    <w:rsid w:val="00881CD7"/>
    <w:rsid w:val="0088220D"/>
    <w:rsid w:val="00882911"/>
    <w:rsid w:val="00882F6E"/>
    <w:rsid w:val="00883202"/>
    <w:rsid w:val="00884E02"/>
    <w:rsid w:val="0088502B"/>
    <w:rsid w:val="00885BC2"/>
    <w:rsid w:val="00885D40"/>
    <w:rsid w:val="008873D4"/>
    <w:rsid w:val="00890CB1"/>
    <w:rsid w:val="00891EDF"/>
    <w:rsid w:val="00892872"/>
    <w:rsid w:val="0089296D"/>
    <w:rsid w:val="00893E85"/>
    <w:rsid w:val="00893EBE"/>
    <w:rsid w:val="00894031"/>
    <w:rsid w:val="00894C5D"/>
    <w:rsid w:val="008952FE"/>
    <w:rsid w:val="00895508"/>
    <w:rsid w:val="008967E9"/>
    <w:rsid w:val="00896A5C"/>
    <w:rsid w:val="008972D2"/>
    <w:rsid w:val="0089754C"/>
    <w:rsid w:val="008A0659"/>
    <w:rsid w:val="008A0ADD"/>
    <w:rsid w:val="008A0D27"/>
    <w:rsid w:val="008A0E38"/>
    <w:rsid w:val="008A1A3B"/>
    <w:rsid w:val="008A1C59"/>
    <w:rsid w:val="008A1F51"/>
    <w:rsid w:val="008A37E2"/>
    <w:rsid w:val="008A388E"/>
    <w:rsid w:val="008A394E"/>
    <w:rsid w:val="008A3CBA"/>
    <w:rsid w:val="008A4B59"/>
    <w:rsid w:val="008A569C"/>
    <w:rsid w:val="008A5BFA"/>
    <w:rsid w:val="008A63E1"/>
    <w:rsid w:val="008A66B7"/>
    <w:rsid w:val="008A68BB"/>
    <w:rsid w:val="008A6AA5"/>
    <w:rsid w:val="008A7127"/>
    <w:rsid w:val="008B0CBA"/>
    <w:rsid w:val="008B0FD5"/>
    <w:rsid w:val="008B2639"/>
    <w:rsid w:val="008B3537"/>
    <w:rsid w:val="008B3690"/>
    <w:rsid w:val="008B391B"/>
    <w:rsid w:val="008B3A80"/>
    <w:rsid w:val="008B3AEC"/>
    <w:rsid w:val="008B3C07"/>
    <w:rsid w:val="008B3F7B"/>
    <w:rsid w:val="008B43CA"/>
    <w:rsid w:val="008B5324"/>
    <w:rsid w:val="008B5C99"/>
    <w:rsid w:val="008B6106"/>
    <w:rsid w:val="008B7C02"/>
    <w:rsid w:val="008B7D2B"/>
    <w:rsid w:val="008B7EF9"/>
    <w:rsid w:val="008C0049"/>
    <w:rsid w:val="008C0314"/>
    <w:rsid w:val="008C0A2C"/>
    <w:rsid w:val="008C0E88"/>
    <w:rsid w:val="008C1537"/>
    <w:rsid w:val="008C1717"/>
    <w:rsid w:val="008C17B6"/>
    <w:rsid w:val="008C17F0"/>
    <w:rsid w:val="008C1D39"/>
    <w:rsid w:val="008C209F"/>
    <w:rsid w:val="008C3B05"/>
    <w:rsid w:val="008C4B50"/>
    <w:rsid w:val="008C5A37"/>
    <w:rsid w:val="008C7569"/>
    <w:rsid w:val="008C786A"/>
    <w:rsid w:val="008C79C3"/>
    <w:rsid w:val="008D006F"/>
    <w:rsid w:val="008D033D"/>
    <w:rsid w:val="008D04A7"/>
    <w:rsid w:val="008D0DBD"/>
    <w:rsid w:val="008D117E"/>
    <w:rsid w:val="008D127E"/>
    <w:rsid w:val="008D1CA8"/>
    <w:rsid w:val="008D1E0A"/>
    <w:rsid w:val="008D1E6A"/>
    <w:rsid w:val="008D2407"/>
    <w:rsid w:val="008D29A4"/>
    <w:rsid w:val="008D2A16"/>
    <w:rsid w:val="008D2AEC"/>
    <w:rsid w:val="008D3295"/>
    <w:rsid w:val="008D33F5"/>
    <w:rsid w:val="008D35E4"/>
    <w:rsid w:val="008D3ACD"/>
    <w:rsid w:val="008D5CFF"/>
    <w:rsid w:val="008D62D6"/>
    <w:rsid w:val="008D6B82"/>
    <w:rsid w:val="008D6C3A"/>
    <w:rsid w:val="008D70E2"/>
    <w:rsid w:val="008D7710"/>
    <w:rsid w:val="008D77D6"/>
    <w:rsid w:val="008E0001"/>
    <w:rsid w:val="008E039E"/>
    <w:rsid w:val="008E0AE5"/>
    <w:rsid w:val="008E0D78"/>
    <w:rsid w:val="008E1491"/>
    <w:rsid w:val="008E19AF"/>
    <w:rsid w:val="008E1FD8"/>
    <w:rsid w:val="008E292B"/>
    <w:rsid w:val="008E2C57"/>
    <w:rsid w:val="008E3174"/>
    <w:rsid w:val="008E31FF"/>
    <w:rsid w:val="008E3287"/>
    <w:rsid w:val="008E38E4"/>
    <w:rsid w:val="008E3DFA"/>
    <w:rsid w:val="008E51EB"/>
    <w:rsid w:val="008E5746"/>
    <w:rsid w:val="008E5F94"/>
    <w:rsid w:val="008E6DCB"/>
    <w:rsid w:val="008E6F06"/>
    <w:rsid w:val="008E7000"/>
    <w:rsid w:val="008E723E"/>
    <w:rsid w:val="008E7B8E"/>
    <w:rsid w:val="008E7FC9"/>
    <w:rsid w:val="008F0107"/>
    <w:rsid w:val="008F029B"/>
    <w:rsid w:val="008F0589"/>
    <w:rsid w:val="008F1DA0"/>
    <w:rsid w:val="008F2A5D"/>
    <w:rsid w:val="008F2BC7"/>
    <w:rsid w:val="008F3636"/>
    <w:rsid w:val="008F3FC9"/>
    <w:rsid w:val="008F509F"/>
    <w:rsid w:val="008F5383"/>
    <w:rsid w:val="008F585B"/>
    <w:rsid w:val="008F69C3"/>
    <w:rsid w:val="008F7FB0"/>
    <w:rsid w:val="009003A8"/>
    <w:rsid w:val="009005E4"/>
    <w:rsid w:val="00900977"/>
    <w:rsid w:val="009021DA"/>
    <w:rsid w:val="00902442"/>
    <w:rsid w:val="00902500"/>
    <w:rsid w:val="0090250E"/>
    <w:rsid w:val="00902EFF"/>
    <w:rsid w:val="00903A0D"/>
    <w:rsid w:val="00903A8E"/>
    <w:rsid w:val="0090432C"/>
    <w:rsid w:val="00904AFB"/>
    <w:rsid w:val="00904F96"/>
    <w:rsid w:val="00904FA3"/>
    <w:rsid w:val="009052A3"/>
    <w:rsid w:val="00905314"/>
    <w:rsid w:val="009056D7"/>
    <w:rsid w:val="00905B8D"/>
    <w:rsid w:val="00906401"/>
    <w:rsid w:val="009065CB"/>
    <w:rsid w:val="009067EA"/>
    <w:rsid w:val="00906B79"/>
    <w:rsid w:val="00906E5F"/>
    <w:rsid w:val="0090786F"/>
    <w:rsid w:val="00907F11"/>
    <w:rsid w:val="0091001E"/>
    <w:rsid w:val="00910C18"/>
    <w:rsid w:val="009110F7"/>
    <w:rsid w:val="009112E3"/>
    <w:rsid w:val="0091155E"/>
    <w:rsid w:val="00911619"/>
    <w:rsid w:val="00911A66"/>
    <w:rsid w:val="00912437"/>
    <w:rsid w:val="00912A92"/>
    <w:rsid w:val="00912FCB"/>
    <w:rsid w:val="00913237"/>
    <w:rsid w:val="0091476D"/>
    <w:rsid w:val="00915D07"/>
    <w:rsid w:val="009162AE"/>
    <w:rsid w:val="00917251"/>
    <w:rsid w:val="0091728D"/>
    <w:rsid w:val="0092036B"/>
    <w:rsid w:val="009203CC"/>
    <w:rsid w:val="00920B7E"/>
    <w:rsid w:val="00920D6A"/>
    <w:rsid w:val="00920EC4"/>
    <w:rsid w:val="0092180B"/>
    <w:rsid w:val="00921F14"/>
    <w:rsid w:val="0092292F"/>
    <w:rsid w:val="00922D28"/>
    <w:rsid w:val="0092303E"/>
    <w:rsid w:val="009234E1"/>
    <w:rsid w:val="00923CB0"/>
    <w:rsid w:val="00923D8C"/>
    <w:rsid w:val="00924871"/>
    <w:rsid w:val="00924AC8"/>
    <w:rsid w:val="00925429"/>
    <w:rsid w:val="00925615"/>
    <w:rsid w:val="0092597A"/>
    <w:rsid w:val="00926520"/>
    <w:rsid w:val="00926CF0"/>
    <w:rsid w:val="00926FBD"/>
    <w:rsid w:val="009273A9"/>
    <w:rsid w:val="00927FD6"/>
    <w:rsid w:val="00930251"/>
    <w:rsid w:val="0093033E"/>
    <w:rsid w:val="009305FC"/>
    <w:rsid w:val="00930FB1"/>
    <w:rsid w:val="0093139F"/>
    <w:rsid w:val="00931903"/>
    <w:rsid w:val="00931D3C"/>
    <w:rsid w:val="00932097"/>
    <w:rsid w:val="00932443"/>
    <w:rsid w:val="00932782"/>
    <w:rsid w:val="009328EE"/>
    <w:rsid w:val="00932B32"/>
    <w:rsid w:val="00932DB3"/>
    <w:rsid w:val="0093305E"/>
    <w:rsid w:val="00933F4A"/>
    <w:rsid w:val="009341F1"/>
    <w:rsid w:val="00934FF2"/>
    <w:rsid w:val="009358D7"/>
    <w:rsid w:val="00935BD4"/>
    <w:rsid w:val="00935DFE"/>
    <w:rsid w:val="00935F70"/>
    <w:rsid w:val="0093648B"/>
    <w:rsid w:val="00937017"/>
    <w:rsid w:val="009373B2"/>
    <w:rsid w:val="00937AE2"/>
    <w:rsid w:val="0094061F"/>
    <w:rsid w:val="00940F0F"/>
    <w:rsid w:val="00941912"/>
    <w:rsid w:val="0094416B"/>
    <w:rsid w:val="0094427A"/>
    <w:rsid w:val="009449C6"/>
    <w:rsid w:val="00944C7C"/>
    <w:rsid w:val="00945245"/>
    <w:rsid w:val="00945523"/>
    <w:rsid w:val="0094590F"/>
    <w:rsid w:val="00947B6E"/>
    <w:rsid w:val="00950921"/>
    <w:rsid w:val="00951A1F"/>
    <w:rsid w:val="00951D68"/>
    <w:rsid w:val="00951E5B"/>
    <w:rsid w:val="00952050"/>
    <w:rsid w:val="00952315"/>
    <w:rsid w:val="009523D9"/>
    <w:rsid w:val="00952B7B"/>
    <w:rsid w:val="0095357B"/>
    <w:rsid w:val="009538B3"/>
    <w:rsid w:val="00954F39"/>
    <w:rsid w:val="009555FD"/>
    <w:rsid w:val="0095639D"/>
    <w:rsid w:val="0095664B"/>
    <w:rsid w:val="009568DC"/>
    <w:rsid w:val="00956912"/>
    <w:rsid w:val="00957140"/>
    <w:rsid w:val="00957445"/>
    <w:rsid w:val="0095759C"/>
    <w:rsid w:val="009579E0"/>
    <w:rsid w:val="009611FD"/>
    <w:rsid w:val="009618EE"/>
    <w:rsid w:val="00961DDD"/>
    <w:rsid w:val="009624D2"/>
    <w:rsid w:val="009628D9"/>
    <w:rsid w:val="00962D60"/>
    <w:rsid w:val="009636BE"/>
    <w:rsid w:val="009637AE"/>
    <w:rsid w:val="00963A06"/>
    <w:rsid w:val="00963D65"/>
    <w:rsid w:val="00964068"/>
    <w:rsid w:val="009640F6"/>
    <w:rsid w:val="0096469D"/>
    <w:rsid w:val="00964776"/>
    <w:rsid w:val="00964A4E"/>
    <w:rsid w:val="00964B35"/>
    <w:rsid w:val="009651C7"/>
    <w:rsid w:val="0096547B"/>
    <w:rsid w:val="00965797"/>
    <w:rsid w:val="00965A10"/>
    <w:rsid w:val="00965AD0"/>
    <w:rsid w:val="00966781"/>
    <w:rsid w:val="009670A3"/>
    <w:rsid w:val="009674BE"/>
    <w:rsid w:val="00967DBA"/>
    <w:rsid w:val="00970FB5"/>
    <w:rsid w:val="00971710"/>
    <w:rsid w:val="00971B87"/>
    <w:rsid w:val="00971C77"/>
    <w:rsid w:val="0097203A"/>
    <w:rsid w:val="00972835"/>
    <w:rsid w:val="00972FCD"/>
    <w:rsid w:val="00973324"/>
    <w:rsid w:val="009736DF"/>
    <w:rsid w:val="0097386E"/>
    <w:rsid w:val="009741AE"/>
    <w:rsid w:val="009741FC"/>
    <w:rsid w:val="00974782"/>
    <w:rsid w:val="00974923"/>
    <w:rsid w:val="0097527D"/>
    <w:rsid w:val="00975909"/>
    <w:rsid w:val="00975BAF"/>
    <w:rsid w:val="00977C3D"/>
    <w:rsid w:val="009805C9"/>
    <w:rsid w:val="00980D3D"/>
    <w:rsid w:val="0098103E"/>
    <w:rsid w:val="0098157D"/>
    <w:rsid w:val="00983101"/>
    <w:rsid w:val="00983E41"/>
    <w:rsid w:val="009845E1"/>
    <w:rsid w:val="009848AF"/>
    <w:rsid w:val="00984D1B"/>
    <w:rsid w:val="009854B3"/>
    <w:rsid w:val="00986246"/>
    <w:rsid w:val="00986841"/>
    <w:rsid w:val="00987A30"/>
    <w:rsid w:val="00990257"/>
    <w:rsid w:val="00990312"/>
    <w:rsid w:val="0099045F"/>
    <w:rsid w:val="0099182E"/>
    <w:rsid w:val="00991A2D"/>
    <w:rsid w:val="00991D45"/>
    <w:rsid w:val="00992AC0"/>
    <w:rsid w:val="00992BB3"/>
    <w:rsid w:val="00992CF3"/>
    <w:rsid w:val="00993194"/>
    <w:rsid w:val="0099321E"/>
    <w:rsid w:val="009937B7"/>
    <w:rsid w:val="00994171"/>
    <w:rsid w:val="00994868"/>
    <w:rsid w:val="00994976"/>
    <w:rsid w:val="00994D28"/>
    <w:rsid w:val="00994F2C"/>
    <w:rsid w:val="00995720"/>
    <w:rsid w:val="009957CC"/>
    <w:rsid w:val="0099596C"/>
    <w:rsid w:val="00995D25"/>
    <w:rsid w:val="009968D6"/>
    <w:rsid w:val="00997953"/>
    <w:rsid w:val="00997D55"/>
    <w:rsid w:val="009A096C"/>
    <w:rsid w:val="009A0BFF"/>
    <w:rsid w:val="009A10A0"/>
    <w:rsid w:val="009A1CAB"/>
    <w:rsid w:val="009A2359"/>
    <w:rsid w:val="009A24F1"/>
    <w:rsid w:val="009A27E0"/>
    <w:rsid w:val="009A2A2E"/>
    <w:rsid w:val="009A4D57"/>
    <w:rsid w:val="009A51A5"/>
    <w:rsid w:val="009A5309"/>
    <w:rsid w:val="009A60C7"/>
    <w:rsid w:val="009A60D1"/>
    <w:rsid w:val="009A6225"/>
    <w:rsid w:val="009A64F5"/>
    <w:rsid w:val="009B00D2"/>
    <w:rsid w:val="009B039B"/>
    <w:rsid w:val="009B05B3"/>
    <w:rsid w:val="009B0A5E"/>
    <w:rsid w:val="009B0CAF"/>
    <w:rsid w:val="009B0ED1"/>
    <w:rsid w:val="009B1324"/>
    <w:rsid w:val="009B1601"/>
    <w:rsid w:val="009B2558"/>
    <w:rsid w:val="009B284F"/>
    <w:rsid w:val="009B3764"/>
    <w:rsid w:val="009B3840"/>
    <w:rsid w:val="009B52AC"/>
    <w:rsid w:val="009B553D"/>
    <w:rsid w:val="009B59EA"/>
    <w:rsid w:val="009B66CE"/>
    <w:rsid w:val="009B6FD3"/>
    <w:rsid w:val="009B72BE"/>
    <w:rsid w:val="009B78A4"/>
    <w:rsid w:val="009B7A4F"/>
    <w:rsid w:val="009B7CFC"/>
    <w:rsid w:val="009B7DB2"/>
    <w:rsid w:val="009C03DB"/>
    <w:rsid w:val="009C15AF"/>
    <w:rsid w:val="009C1750"/>
    <w:rsid w:val="009C2E29"/>
    <w:rsid w:val="009C3E8F"/>
    <w:rsid w:val="009C554B"/>
    <w:rsid w:val="009C5E83"/>
    <w:rsid w:val="009C667A"/>
    <w:rsid w:val="009C7126"/>
    <w:rsid w:val="009C719E"/>
    <w:rsid w:val="009C7799"/>
    <w:rsid w:val="009D07A9"/>
    <w:rsid w:val="009D0AE2"/>
    <w:rsid w:val="009D0D9F"/>
    <w:rsid w:val="009D0EBB"/>
    <w:rsid w:val="009D2C46"/>
    <w:rsid w:val="009D3081"/>
    <w:rsid w:val="009D3ACD"/>
    <w:rsid w:val="009D3FA4"/>
    <w:rsid w:val="009D4254"/>
    <w:rsid w:val="009D4F21"/>
    <w:rsid w:val="009D587D"/>
    <w:rsid w:val="009D6D47"/>
    <w:rsid w:val="009D7731"/>
    <w:rsid w:val="009D7BFB"/>
    <w:rsid w:val="009E1120"/>
    <w:rsid w:val="009E1393"/>
    <w:rsid w:val="009E1922"/>
    <w:rsid w:val="009E1A3D"/>
    <w:rsid w:val="009E35E6"/>
    <w:rsid w:val="009E3A31"/>
    <w:rsid w:val="009E4080"/>
    <w:rsid w:val="009E4715"/>
    <w:rsid w:val="009E484D"/>
    <w:rsid w:val="009E4A58"/>
    <w:rsid w:val="009E4F3B"/>
    <w:rsid w:val="009E5273"/>
    <w:rsid w:val="009E57A8"/>
    <w:rsid w:val="009E5B85"/>
    <w:rsid w:val="009E5DDB"/>
    <w:rsid w:val="009E7BC6"/>
    <w:rsid w:val="009F150E"/>
    <w:rsid w:val="009F1CA6"/>
    <w:rsid w:val="009F1F7E"/>
    <w:rsid w:val="009F2921"/>
    <w:rsid w:val="009F2A54"/>
    <w:rsid w:val="009F42CF"/>
    <w:rsid w:val="009F4982"/>
    <w:rsid w:val="009F4CA7"/>
    <w:rsid w:val="009F4F6A"/>
    <w:rsid w:val="009F4F95"/>
    <w:rsid w:val="009F55BA"/>
    <w:rsid w:val="009F7D36"/>
    <w:rsid w:val="009F7D61"/>
    <w:rsid w:val="00A00E71"/>
    <w:rsid w:val="00A0187B"/>
    <w:rsid w:val="00A01A7C"/>
    <w:rsid w:val="00A02E8B"/>
    <w:rsid w:val="00A0306F"/>
    <w:rsid w:val="00A03511"/>
    <w:rsid w:val="00A03B10"/>
    <w:rsid w:val="00A03E2E"/>
    <w:rsid w:val="00A04616"/>
    <w:rsid w:val="00A04717"/>
    <w:rsid w:val="00A05D8F"/>
    <w:rsid w:val="00A05EE4"/>
    <w:rsid w:val="00A06545"/>
    <w:rsid w:val="00A06F99"/>
    <w:rsid w:val="00A07CD3"/>
    <w:rsid w:val="00A1040E"/>
    <w:rsid w:val="00A1053B"/>
    <w:rsid w:val="00A10D66"/>
    <w:rsid w:val="00A113A4"/>
    <w:rsid w:val="00A14114"/>
    <w:rsid w:val="00A1580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FE1"/>
    <w:rsid w:val="00A21647"/>
    <w:rsid w:val="00A21B4D"/>
    <w:rsid w:val="00A22073"/>
    <w:rsid w:val="00A2214A"/>
    <w:rsid w:val="00A221E5"/>
    <w:rsid w:val="00A223E0"/>
    <w:rsid w:val="00A22959"/>
    <w:rsid w:val="00A23158"/>
    <w:rsid w:val="00A232D7"/>
    <w:rsid w:val="00A23847"/>
    <w:rsid w:val="00A23E43"/>
    <w:rsid w:val="00A24726"/>
    <w:rsid w:val="00A24DEB"/>
    <w:rsid w:val="00A24ED9"/>
    <w:rsid w:val="00A251DB"/>
    <w:rsid w:val="00A25216"/>
    <w:rsid w:val="00A2597D"/>
    <w:rsid w:val="00A25FAC"/>
    <w:rsid w:val="00A2628E"/>
    <w:rsid w:val="00A266BF"/>
    <w:rsid w:val="00A26777"/>
    <w:rsid w:val="00A2731E"/>
    <w:rsid w:val="00A309AC"/>
    <w:rsid w:val="00A30F65"/>
    <w:rsid w:val="00A3279E"/>
    <w:rsid w:val="00A33DB1"/>
    <w:rsid w:val="00A33EEB"/>
    <w:rsid w:val="00A340F5"/>
    <w:rsid w:val="00A35900"/>
    <w:rsid w:val="00A36581"/>
    <w:rsid w:val="00A36F76"/>
    <w:rsid w:val="00A4027D"/>
    <w:rsid w:val="00A40EAC"/>
    <w:rsid w:val="00A418BC"/>
    <w:rsid w:val="00A419FF"/>
    <w:rsid w:val="00A41C73"/>
    <w:rsid w:val="00A41FCF"/>
    <w:rsid w:val="00A42936"/>
    <w:rsid w:val="00A43B21"/>
    <w:rsid w:val="00A43CF8"/>
    <w:rsid w:val="00A43DF2"/>
    <w:rsid w:val="00A445A8"/>
    <w:rsid w:val="00A44B0D"/>
    <w:rsid w:val="00A44D21"/>
    <w:rsid w:val="00A45087"/>
    <w:rsid w:val="00A452F3"/>
    <w:rsid w:val="00A45489"/>
    <w:rsid w:val="00A45858"/>
    <w:rsid w:val="00A45CED"/>
    <w:rsid w:val="00A465E9"/>
    <w:rsid w:val="00A46650"/>
    <w:rsid w:val="00A46670"/>
    <w:rsid w:val="00A46702"/>
    <w:rsid w:val="00A468E7"/>
    <w:rsid w:val="00A46DE0"/>
    <w:rsid w:val="00A478BA"/>
    <w:rsid w:val="00A50D73"/>
    <w:rsid w:val="00A50F40"/>
    <w:rsid w:val="00A518BB"/>
    <w:rsid w:val="00A51C60"/>
    <w:rsid w:val="00A52A88"/>
    <w:rsid w:val="00A52CAD"/>
    <w:rsid w:val="00A52F34"/>
    <w:rsid w:val="00A53FC7"/>
    <w:rsid w:val="00A55569"/>
    <w:rsid w:val="00A566A0"/>
    <w:rsid w:val="00A601E7"/>
    <w:rsid w:val="00A60AC1"/>
    <w:rsid w:val="00A61210"/>
    <w:rsid w:val="00A61990"/>
    <w:rsid w:val="00A626FF"/>
    <w:rsid w:val="00A62CE1"/>
    <w:rsid w:val="00A6335D"/>
    <w:rsid w:val="00A65469"/>
    <w:rsid w:val="00A65528"/>
    <w:rsid w:val="00A655D3"/>
    <w:rsid w:val="00A662D9"/>
    <w:rsid w:val="00A6630C"/>
    <w:rsid w:val="00A6741E"/>
    <w:rsid w:val="00A67E29"/>
    <w:rsid w:val="00A7016A"/>
    <w:rsid w:val="00A7018D"/>
    <w:rsid w:val="00A7074A"/>
    <w:rsid w:val="00A70794"/>
    <w:rsid w:val="00A7191D"/>
    <w:rsid w:val="00A722F9"/>
    <w:rsid w:val="00A72D42"/>
    <w:rsid w:val="00A73998"/>
    <w:rsid w:val="00A746C9"/>
    <w:rsid w:val="00A74C2A"/>
    <w:rsid w:val="00A74C60"/>
    <w:rsid w:val="00A75E40"/>
    <w:rsid w:val="00A76818"/>
    <w:rsid w:val="00A77A5D"/>
    <w:rsid w:val="00A77D1D"/>
    <w:rsid w:val="00A77E6B"/>
    <w:rsid w:val="00A81652"/>
    <w:rsid w:val="00A82BF0"/>
    <w:rsid w:val="00A82C91"/>
    <w:rsid w:val="00A83150"/>
    <w:rsid w:val="00A8331C"/>
    <w:rsid w:val="00A83398"/>
    <w:rsid w:val="00A83D6E"/>
    <w:rsid w:val="00A83FD5"/>
    <w:rsid w:val="00A84763"/>
    <w:rsid w:val="00A8521A"/>
    <w:rsid w:val="00A857C0"/>
    <w:rsid w:val="00A85ACB"/>
    <w:rsid w:val="00A90335"/>
    <w:rsid w:val="00A9092B"/>
    <w:rsid w:val="00A90F2C"/>
    <w:rsid w:val="00A90FED"/>
    <w:rsid w:val="00A91482"/>
    <w:rsid w:val="00A9189D"/>
    <w:rsid w:val="00A91E71"/>
    <w:rsid w:val="00A91F03"/>
    <w:rsid w:val="00A925B1"/>
    <w:rsid w:val="00A92A3E"/>
    <w:rsid w:val="00A934F9"/>
    <w:rsid w:val="00A934FB"/>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3F1D"/>
    <w:rsid w:val="00AA4282"/>
    <w:rsid w:val="00AA43F2"/>
    <w:rsid w:val="00AA4790"/>
    <w:rsid w:val="00AA52BF"/>
    <w:rsid w:val="00AA559A"/>
    <w:rsid w:val="00AA570E"/>
    <w:rsid w:val="00AA6C31"/>
    <w:rsid w:val="00AA7752"/>
    <w:rsid w:val="00AA7CAD"/>
    <w:rsid w:val="00AA7CE8"/>
    <w:rsid w:val="00AA7FEB"/>
    <w:rsid w:val="00AB1457"/>
    <w:rsid w:val="00AB2AF1"/>
    <w:rsid w:val="00AB32CB"/>
    <w:rsid w:val="00AB3AD7"/>
    <w:rsid w:val="00AB3BA7"/>
    <w:rsid w:val="00AB3EC7"/>
    <w:rsid w:val="00AB5A64"/>
    <w:rsid w:val="00AB5CA1"/>
    <w:rsid w:val="00AB6456"/>
    <w:rsid w:val="00AB75C5"/>
    <w:rsid w:val="00AC044E"/>
    <w:rsid w:val="00AC0580"/>
    <w:rsid w:val="00AC2118"/>
    <w:rsid w:val="00AC2395"/>
    <w:rsid w:val="00AC2960"/>
    <w:rsid w:val="00AC2AC4"/>
    <w:rsid w:val="00AC3B41"/>
    <w:rsid w:val="00AC4284"/>
    <w:rsid w:val="00AC45BD"/>
    <w:rsid w:val="00AC50BB"/>
    <w:rsid w:val="00AC5256"/>
    <w:rsid w:val="00AC5726"/>
    <w:rsid w:val="00AC673A"/>
    <w:rsid w:val="00AC7578"/>
    <w:rsid w:val="00AC78F1"/>
    <w:rsid w:val="00AC7ACA"/>
    <w:rsid w:val="00AD0996"/>
    <w:rsid w:val="00AD0B22"/>
    <w:rsid w:val="00AD0EE7"/>
    <w:rsid w:val="00AD168E"/>
    <w:rsid w:val="00AD306C"/>
    <w:rsid w:val="00AD44CD"/>
    <w:rsid w:val="00AD5AD2"/>
    <w:rsid w:val="00AD6462"/>
    <w:rsid w:val="00AD66C5"/>
    <w:rsid w:val="00AD68C4"/>
    <w:rsid w:val="00AD71F9"/>
    <w:rsid w:val="00AE009C"/>
    <w:rsid w:val="00AE06C5"/>
    <w:rsid w:val="00AE09B3"/>
    <w:rsid w:val="00AE1A83"/>
    <w:rsid w:val="00AE30BE"/>
    <w:rsid w:val="00AE3E6A"/>
    <w:rsid w:val="00AE417E"/>
    <w:rsid w:val="00AE552C"/>
    <w:rsid w:val="00AE56EE"/>
    <w:rsid w:val="00AE6414"/>
    <w:rsid w:val="00AE68C1"/>
    <w:rsid w:val="00AE7269"/>
    <w:rsid w:val="00AE74E0"/>
    <w:rsid w:val="00AE797C"/>
    <w:rsid w:val="00AE7CE7"/>
    <w:rsid w:val="00AE7FAB"/>
    <w:rsid w:val="00AF0DE4"/>
    <w:rsid w:val="00AF12A0"/>
    <w:rsid w:val="00AF1866"/>
    <w:rsid w:val="00AF1E87"/>
    <w:rsid w:val="00AF2BB0"/>
    <w:rsid w:val="00AF436B"/>
    <w:rsid w:val="00AF5131"/>
    <w:rsid w:val="00AF5179"/>
    <w:rsid w:val="00AF5CC2"/>
    <w:rsid w:val="00AF6776"/>
    <w:rsid w:val="00AF6F98"/>
    <w:rsid w:val="00AF7277"/>
    <w:rsid w:val="00B00550"/>
    <w:rsid w:val="00B00875"/>
    <w:rsid w:val="00B00913"/>
    <w:rsid w:val="00B01310"/>
    <w:rsid w:val="00B01593"/>
    <w:rsid w:val="00B01D0F"/>
    <w:rsid w:val="00B01FF9"/>
    <w:rsid w:val="00B023F2"/>
    <w:rsid w:val="00B026FE"/>
    <w:rsid w:val="00B0271F"/>
    <w:rsid w:val="00B03591"/>
    <w:rsid w:val="00B038CA"/>
    <w:rsid w:val="00B041B3"/>
    <w:rsid w:val="00B0467A"/>
    <w:rsid w:val="00B05F00"/>
    <w:rsid w:val="00B06602"/>
    <w:rsid w:val="00B06DB4"/>
    <w:rsid w:val="00B0750D"/>
    <w:rsid w:val="00B07850"/>
    <w:rsid w:val="00B0799C"/>
    <w:rsid w:val="00B102CE"/>
    <w:rsid w:val="00B10A4D"/>
    <w:rsid w:val="00B10C90"/>
    <w:rsid w:val="00B10DFD"/>
    <w:rsid w:val="00B11002"/>
    <w:rsid w:val="00B1114F"/>
    <w:rsid w:val="00B11712"/>
    <w:rsid w:val="00B121B2"/>
    <w:rsid w:val="00B131B1"/>
    <w:rsid w:val="00B133AE"/>
    <w:rsid w:val="00B141B6"/>
    <w:rsid w:val="00B14BC1"/>
    <w:rsid w:val="00B154DE"/>
    <w:rsid w:val="00B162C3"/>
    <w:rsid w:val="00B16DD1"/>
    <w:rsid w:val="00B16EB8"/>
    <w:rsid w:val="00B1700A"/>
    <w:rsid w:val="00B177DF"/>
    <w:rsid w:val="00B17E6E"/>
    <w:rsid w:val="00B17E71"/>
    <w:rsid w:val="00B17FDE"/>
    <w:rsid w:val="00B20632"/>
    <w:rsid w:val="00B2379C"/>
    <w:rsid w:val="00B23D5D"/>
    <w:rsid w:val="00B23E6E"/>
    <w:rsid w:val="00B2450C"/>
    <w:rsid w:val="00B2598C"/>
    <w:rsid w:val="00B26608"/>
    <w:rsid w:val="00B2687D"/>
    <w:rsid w:val="00B271AB"/>
    <w:rsid w:val="00B27BDF"/>
    <w:rsid w:val="00B30ACB"/>
    <w:rsid w:val="00B3108D"/>
    <w:rsid w:val="00B32DDB"/>
    <w:rsid w:val="00B32F57"/>
    <w:rsid w:val="00B3345C"/>
    <w:rsid w:val="00B3385E"/>
    <w:rsid w:val="00B34255"/>
    <w:rsid w:val="00B342DE"/>
    <w:rsid w:val="00B343C4"/>
    <w:rsid w:val="00B34528"/>
    <w:rsid w:val="00B34750"/>
    <w:rsid w:val="00B34CC9"/>
    <w:rsid w:val="00B34CDA"/>
    <w:rsid w:val="00B3563B"/>
    <w:rsid w:val="00B36327"/>
    <w:rsid w:val="00B36BDC"/>
    <w:rsid w:val="00B37387"/>
    <w:rsid w:val="00B37D3A"/>
    <w:rsid w:val="00B37D96"/>
    <w:rsid w:val="00B402FC"/>
    <w:rsid w:val="00B410B8"/>
    <w:rsid w:val="00B422E2"/>
    <w:rsid w:val="00B42517"/>
    <w:rsid w:val="00B42D5F"/>
    <w:rsid w:val="00B43216"/>
    <w:rsid w:val="00B439DA"/>
    <w:rsid w:val="00B4411A"/>
    <w:rsid w:val="00B44A29"/>
    <w:rsid w:val="00B44BD5"/>
    <w:rsid w:val="00B45304"/>
    <w:rsid w:val="00B45DA6"/>
    <w:rsid w:val="00B45FE8"/>
    <w:rsid w:val="00B46604"/>
    <w:rsid w:val="00B47089"/>
    <w:rsid w:val="00B47587"/>
    <w:rsid w:val="00B4776F"/>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57F25"/>
    <w:rsid w:val="00B57FF9"/>
    <w:rsid w:val="00B60AC1"/>
    <w:rsid w:val="00B61FF6"/>
    <w:rsid w:val="00B62316"/>
    <w:rsid w:val="00B62E55"/>
    <w:rsid w:val="00B63A11"/>
    <w:rsid w:val="00B64425"/>
    <w:rsid w:val="00B64C24"/>
    <w:rsid w:val="00B65CEF"/>
    <w:rsid w:val="00B6608F"/>
    <w:rsid w:val="00B67749"/>
    <w:rsid w:val="00B679FB"/>
    <w:rsid w:val="00B70E48"/>
    <w:rsid w:val="00B7188C"/>
    <w:rsid w:val="00B71FBF"/>
    <w:rsid w:val="00B734A0"/>
    <w:rsid w:val="00B73A14"/>
    <w:rsid w:val="00B748BD"/>
    <w:rsid w:val="00B76100"/>
    <w:rsid w:val="00B761FC"/>
    <w:rsid w:val="00B7620F"/>
    <w:rsid w:val="00B7680F"/>
    <w:rsid w:val="00B76B48"/>
    <w:rsid w:val="00B76D1E"/>
    <w:rsid w:val="00B77117"/>
    <w:rsid w:val="00B77543"/>
    <w:rsid w:val="00B77584"/>
    <w:rsid w:val="00B77E34"/>
    <w:rsid w:val="00B80BC9"/>
    <w:rsid w:val="00B80D89"/>
    <w:rsid w:val="00B80EC6"/>
    <w:rsid w:val="00B81288"/>
    <w:rsid w:val="00B816E5"/>
    <w:rsid w:val="00B81D70"/>
    <w:rsid w:val="00B833B9"/>
    <w:rsid w:val="00B838BC"/>
    <w:rsid w:val="00B83AAF"/>
    <w:rsid w:val="00B83E07"/>
    <w:rsid w:val="00B84CF6"/>
    <w:rsid w:val="00B85016"/>
    <w:rsid w:val="00B8561A"/>
    <w:rsid w:val="00B865FC"/>
    <w:rsid w:val="00B86628"/>
    <w:rsid w:val="00B86643"/>
    <w:rsid w:val="00B868F7"/>
    <w:rsid w:val="00B869B1"/>
    <w:rsid w:val="00B86EB1"/>
    <w:rsid w:val="00B871A7"/>
    <w:rsid w:val="00B90131"/>
    <w:rsid w:val="00B92951"/>
    <w:rsid w:val="00B92D1D"/>
    <w:rsid w:val="00B92D7E"/>
    <w:rsid w:val="00B930CE"/>
    <w:rsid w:val="00B935CC"/>
    <w:rsid w:val="00B938C5"/>
    <w:rsid w:val="00B940A8"/>
    <w:rsid w:val="00B9554A"/>
    <w:rsid w:val="00B95940"/>
    <w:rsid w:val="00B95ACA"/>
    <w:rsid w:val="00B95CD4"/>
    <w:rsid w:val="00B9619C"/>
    <w:rsid w:val="00B96AC3"/>
    <w:rsid w:val="00B96D74"/>
    <w:rsid w:val="00B9720E"/>
    <w:rsid w:val="00B97ACC"/>
    <w:rsid w:val="00B97FE2"/>
    <w:rsid w:val="00BA0E0B"/>
    <w:rsid w:val="00BA201A"/>
    <w:rsid w:val="00BA21DF"/>
    <w:rsid w:val="00BA246A"/>
    <w:rsid w:val="00BA361D"/>
    <w:rsid w:val="00BA3787"/>
    <w:rsid w:val="00BA3ECA"/>
    <w:rsid w:val="00BA403A"/>
    <w:rsid w:val="00BA46E8"/>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0C0"/>
    <w:rsid w:val="00BB5AB2"/>
    <w:rsid w:val="00BB5ABF"/>
    <w:rsid w:val="00BB657B"/>
    <w:rsid w:val="00BB6EA2"/>
    <w:rsid w:val="00BB76F3"/>
    <w:rsid w:val="00BB7B5B"/>
    <w:rsid w:val="00BB7EB1"/>
    <w:rsid w:val="00BC003F"/>
    <w:rsid w:val="00BC0930"/>
    <w:rsid w:val="00BC327F"/>
    <w:rsid w:val="00BC3512"/>
    <w:rsid w:val="00BC4B35"/>
    <w:rsid w:val="00BC50BE"/>
    <w:rsid w:val="00BC5332"/>
    <w:rsid w:val="00BC5715"/>
    <w:rsid w:val="00BC59FE"/>
    <w:rsid w:val="00BC5C12"/>
    <w:rsid w:val="00BC641B"/>
    <w:rsid w:val="00BC7154"/>
    <w:rsid w:val="00BC731E"/>
    <w:rsid w:val="00BC7614"/>
    <w:rsid w:val="00BD041B"/>
    <w:rsid w:val="00BD111B"/>
    <w:rsid w:val="00BD25BB"/>
    <w:rsid w:val="00BD2AF8"/>
    <w:rsid w:val="00BD366B"/>
    <w:rsid w:val="00BD3C09"/>
    <w:rsid w:val="00BD410B"/>
    <w:rsid w:val="00BD4A73"/>
    <w:rsid w:val="00BD4EDD"/>
    <w:rsid w:val="00BD4EF4"/>
    <w:rsid w:val="00BD6659"/>
    <w:rsid w:val="00BD6C75"/>
    <w:rsid w:val="00BD6D50"/>
    <w:rsid w:val="00BD7105"/>
    <w:rsid w:val="00BD73D2"/>
    <w:rsid w:val="00BD74E3"/>
    <w:rsid w:val="00BD7821"/>
    <w:rsid w:val="00BE0AD1"/>
    <w:rsid w:val="00BE0EF9"/>
    <w:rsid w:val="00BE10A1"/>
    <w:rsid w:val="00BE115B"/>
    <w:rsid w:val="00BE18B9"/>
    <w:rsid w:val="00BE190A"/>
    <w:rsid w:val="00BE2495"/>
    <w:rsid w:val="00BE24DD"/>
    <w:rsid w:val="00BE386D"/>
    <w:rsid w:val="00BE4DA9"/>
    <w:rsid w:val="00BE511E"/>
    <w:rsid w:val="00BE54BF"/>
    <w:rsid w:val="00BE557B"/>
    <w:rsid w:val="00BE5F23"/>
    <w:rsid w:val="00BE67AA"/>
    <w:rsid w:val="00BE6BAC"/>
    <w:rsid w:val="00BE7F5F"/>
    <w:rsid w:val="00BF02C8"/>
    <w:rsid w:val="00BF1578"/>
    <w:rsid w:val="00BF15CA"/>
    <w:rsid w:val="00BF1D12"/>
    <w:rsid w:val="00BF1D3A"/>
    <w:rsid w:val="00BF2B5B"/>
    <w:rsid w:val="00BF2D41"/>
    <w:rsid w:val="00BF3274"/>
    <w:rsid w:val="00BF32DC"/>
    <w:rsid w:val="00BF35C9"/>
    <w:rsid w:val="00BF4308"/>
    <w:rsid w:val="00BF4329"/>
    <w:rsid w:val="00BF4E43"/>
    <w:rsid w:val="00BF5C4C"/>
    <w:rsid w:val="00BF77FC"/>
    <w:rsid w:val="00C006D6"/>
    <w:rsid w:val="00C00BD7"/>
    <w:rsid w:val="00C00D3A"/>
    <w:rsid w:val="00C01410"/>
    <w:rsid w:val="00C024F0"/>
    <w:rsid w:val="00C02704"/>
    <w:rsid w:val="00C02B16"/>
    <w:rsid w:val="00C02D23"/>
    <w:rsid w:val="00C03D4D"/>
    <w:rsid w:val="00C044F4"/>
    <w:rsid w:val="00C04B78"/>
    <w:rsid w:val="00C052AA"/>
    <w:rsid w:val="00C06EE3"/>
    <w:rsid w:val="00C06F2F"/>
    <w:rsid w:val="00C07279"/>
    <w:rsid w:val="00C07749"/>
    <w:rsid w:val="00C07AD5"/>
    <w:rsid w:val="00C07C67"/>
    <w:rsid w:val="00C108C5"/>
    <w:rsid w:val="00C10950"/>
    <w:rsid w:val="00C110EA"/>
    <w:rsid w:val="00C11244"/>
    <w:rsid w:val="00C11D48"/>
    <w:rsid w:val="00C121E8"/>
    <w:rsid w:val="00C12304"/>
    <w:rsid w:val="00C12316"/>
    <w:rsid w:val="00C1246C"/>
    <w:rsid w:val="00C12FCC"/>
    <w:rsid w:val="00C139A8"/>
    <w:rsid w:val="00C1493E"/>
    <w:rsid w:val="00C15DBD"/>
    <w:rsid w:val="00C161C5"/>
    <w:rsid w:val="00C16556"/>
    <w:rsid w:val="00C167E9"/>
    <w:rsid w:val="00C172F7"/>
    <w:rsid w:val="00C2010D"/>
    <w:rsid w:val="00C20A61"/>
    <w:rsid w:val="00C20CB5"/>
    <w:rsid w:val="00C21382"/>
    <w:rsid w:val="00C21430"/>
    <w:rsid w:val="00C216DF"/>
    <w:rsid w:val="00C21E61"/>
    <w:rsid w:val="00C21F94"/>
    <w:rsid w:val="00C221B9"/>
    <w:rsid w:val="00C224BD"/>
    <w:rsid w:val="00C234DB"/>
    <w:rsid w:val="00C23909"/>
    <w:rsid w:val="00C23C5C"/>
    <w:rsid w:val="00C23F90"/>
    <w:rsid w:val="00C2479A"/>
    <w:rsid w:val="00C24903"/>
    <w:rsid w:val="00C2590D"/>
    <w:rsid w:val="00C25D9C"/>
    <w:rsid w:val="00C27913"/>
    <w:rsid w:val="00C27FA7"/>
    <w:rsid w:val="00C300E2"/>
    <w:rsid w:val="00C31F21"/>
    <w:rsid w:val="00C323C4"/>
    <w:rsid w:val="00C32631"/>
    <w:rsid w:val="00C33301"/>
    <w:rsid w:val="00C33311"/>
    <w:rsid w:val="00C33B68"/>
    <w:rsid w:val="00C33F7D"/>
    <w:rsid w:val="00C34AD4"/>
    <w:rsid w:val="00C35570"/>
    <w:rsid w:val="00C35A2A"/>
    <w:rsid w:val="00C36A79"/>
    <w:rsid w:val="00C37491"/>
    <w:rsid w:val="00C401A9"/>
    <w:rsid w:val="00C401D2"/>
    <w:rsid w:val="00C4031A"/>
    <w:rsid w:val="00C405D4"/>
    <w:rsid w:val="00C419D5"/>
    <w:rsid w:val="00C41D54"/>
    <w:rsid w:val="00C42EBB"/>
    <w:rsid w:val="00C43766"/>
    <w:rsid w:val="00C4513B"/>
    <w:rsid w:val="00C459E9"/>
    <w:rsid w:val="00C475E8"/>
    <w:rsid w:val="00C50E79"/>
    <w:rsid w:val="00C5197D"/>
    <w:rsid w:val="00C525FB"/>
    <w:rsid w:val="00C5390B"/>
    <w:rsid w:val="00C54257"/>
    <w:rsid w:val="00C54697"/>
    <w:rsid w:val="00C550CE"/>
    <w:rsid w:val="00C553A5"/>
    <w:rsid w:val="00C55402"/>
    <w:rsid w:val="00C55AC4"/>
    <w:rsid w:val="00C5603B"/>
    <w:rsid w:val="00C601AA"/>
    <w:rsid w:val="00C60AE3"/>
    <w:rsid w:val="00C61F47"/>
    <w:rsid w:val="00C62828"/>
    <w:rsid w:val="00C63B51"/>
    <w:rsid w:val="00C659B4"/>
    <w:rsid w:val="00C672C1"/>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1070"/>
    <w:rsid w:val="00C8174E"/>
    <w:rsid w:val="00C82191"/>
    <w:rsid w:val="00C83134"/>
    <w:rsid w:val="00C831E7"/>
    <w:rsid w:val="00C832F3"/>
    <w:rsid w:val="00C84307"/>
    <w:rsid w:val="00C845A4"/>
    <w:rsid w:val="00C85545"/>
    <w:rsid w:val="00C855B5"/>
    <w:rsid w:val="00C85F0E"/>
    <w:rsid w:val="00C867F9"/>
    <w:rsid w:val="00C872AA"/>
    <w:rsid w:val="00C87C6B"/>
    <w:rsid w:val="00C90357"/>
    <w:rsid w:val="00C90CF4"/>
    <w:rsid w:val="00C91C20"/>
    <w:rsid w:val="00C922DE"/>
    <w:rsid w:val="00C92843"/>
    <w:rsid w:val="00C92EB6"/>
    <w:rsid w:val="00C93389"/>
    <w:rsid w:val="00C948E6"/>
    <w:rsid w:val="00C94CDD"/>
    <w:rsid w:val="00C95123"/>
    <w:rsid w:val="00C97588"/>
    <w:rsid w:val="00C976DD"/>
    <w:rsid w:val="00CA0346"/>
    <w:rsid w:val="00CA0DA1"/>
    <w:rsid w:val="00CA1454"/>
    <w:rsid w:val="00CA1BD6"/>
    <w:rsid w:val="00CA2201"/>
    <w:rsid w:val="00CA37FF"/>
    <w:rsid w:val="00CA423A"/>
    <w:rsid w:val="00CA47BC"/>
    <w:rsid w:val="00CA4D42"/>
    <w:rsid w:val="00CA5EAD"/>
    <w:rsid w:val="00CA669C"/>
    <w:rsid w:val="00CA6AB4"/>
    <w:rsid w:val="00CA6BE6"/>
    <w:rsid w:val="00CA7255"/>
    <w:rsid w:val="00CA749B"/>
    <w:rsid w:val="00CB111E"/>
    <w:rsid w:val="00CB1857"/>
    <w:rsid w:val="00CB1BEE"/>
    <w:rsid w:val="00CB2351"/>
    <w:rsid w:val="00CB4022"/>
    <w:rsid w:val="00CB4930"/>
    <w:rsid w:val="00CB4BA9"/>
    <w:rsid w:val="00CB4C63"/>
    <w:rsid w:val="00CB5A48"/>
    <w:rsid w:val="00CB5E10"/>
    <w:rsid w:val="00CB613B"/>
    <w:rsid w:val="00CB6152"/>
    <w:rsid w:val="00CB64E1"/>
    <w:rsid w:val="00CB6C6F"/>
    <w:rsid w:val="00CB6E4D"/>
    <w:rsid w:val="00CC009B"/>
    <w:rsid w:val="00CC0834"/>
    <w:rsid w:val="00CC0AEA"/>
    <w:rsid w:val="00CC1B66"/>
    <w:rsid w:val="00CC20FE"/>
    <w:rsid w:val="00CC225C"/>
    <w:rsid w:val="00CC2E7D"/>
    <w:rsid w:val="00CC4408"/>
    <w:rsid w:val="00CC5875"/>
    <w:rsid w:val="00CC5BE8"/>
    <w:rsid w:val="00CC612B"/>
    <w:rsid w:val="00CC655F"/>
    <w:rsid w:val="00CC66F9"/>
    <w:rsid w:val="00CC6BB7"/>
    <w:rsid w:val="00CC6C2A"/>
    <w:rsid w:val="00CC6C3D"/>
    <w:rsid w:val="00CC6FE5"/>
    <w:rsid w:val="00CC7458"/>
    <w:rsid w:val="00CC76BD"/>
    <w:rsid w:val="00CC7A87"/>
    <w:rsid w:val="00CD08BF"/>
    <w:rsid w:val="00CD0D6B"/>
    <w:rsid w:val="00CD1024"/>
    <w:rsid w:val="00CD1060"/>
    <w:rsid w:val="00CD10A5"/>
    <w:rsid w:val="00CD1129"/>
    <w:rsid w:val="00CD1A80"/>
    <w:rsid w:val="00CD1CB5"/>
    <w:rsid w:val="00CD2076"/>
    <w:rsid w:val="00CD24CE"/>
    <w:rsid w:val="00CD29B5"/>
    <w:rsid w:val="00CD2B78"/>
    <w:rsid w:val="00CD3866"/>
    <w:rsid w:val="00CD3FAB"/>
    <w:rsid w:val="00CD52EB"/>
    <w:rsid w:val="00CD5456"/>
    <w:rsid w:val="00CD5C3E"/>
    <w:rsid w:val="00CD5C57"/>
    <w:rsid w:val="00CD6331"/>
    <w:rsid w:val="00CD6C09"/>
    <w:rsid w:val="00CD7E9E"/>
    <w:rsid w:val="00CE14BE"/>
    <w:rsid w:val="00CE17A4"/>
    <w:rsid w:val="00CE1BA9"/>
    <w:rsid w:val="00CE2D8F"/>
    <w:rsid w:val="00CE3532"/>
    <w:rsid w:val="00CE3695"/>
    <w:rsid w:val="00CE3E48"/>
    <w:rsid w:val="00CE46C0"/>
    <w:rsid w:val="00CE47B8"/>
    <w:rsid w:val="00CE54FD"/>
    <w:rsid w:val="00CE5C92"/>
    <w:rsid w:val="00CE62FA"/>
    <w:rsid w:val="00CE670B"/>
    <w:rsid w:val="00CE6833"/>
    <w:rsid w:val="00CE7FE1"/>
    <w:rsid w:val="00CF020B"/>
    <w:rsid w:val="00CF060D"/>
    <w:rsid w:val="00CF112D"/>
    <w:rsid w:val="00CF1183"/>
    <w:rsid w:val="00CF15BF"/>
    <w:rsid w:val="00CF284E"/>
    <w:rsid w:val="00CF2E4D"/>
    <w:rsid w:val="00CF4205"/>
    <w:rsid w:val="00CF4908"/>
    <w:rsid w:val="00CF51EC"/>
    <w:rsid w:val="00CF545D"/>
    <w:rsid w:val="00CF5873"/>
    <w:rsid w:val="00CF60B8"/>
    <w:rsid w:val="00CF6AB7"/>
    <w:rsid w:val="00CF73AE"/>
    <w:rsid w:val="00CF7514"/>
    <w:rsid w:val="00CF7777"/>
    <w:rsid w:val="00CF7897"/>
    <w:rsid w:val="00D00007"/>
    <w:rsid w:val="00D0085A"/>
    <w:rsid w:val="00D0197F"/>
    <w:rsid w:val="00D01B31"/>
    <w:rsid w:val="00D0242D"/>
    <w:rsid w:val="00D02716"/>
    <w:rsid w:val="00D02AA9"/>
    <w:rsid w:val="00D03A72"/>
    <w:rsid w:val="00D040DD"/>
    <w:rsid w:val="00D04134"/>
    <w:rsid w:val="00D04E27"/>
    <w:rsid w:val="00D05C65"/>
    <w:rsid w:val="00D06B56"/>
    <w:rsid w:val="00D06D68"/>
    <w:rsid w:val="00D075BE"/>
    <w:rsid w:val="00D07AFF"/>
    <w:rsid w:val="00D10C15"/>
    <w:rsid w:val="00D11011"/>
    <w:rsid w:val="00D11476"/>
    <w:rsid w:val="00D11E98"/>
    <w:rsid w:val="00D12C25"/>
    <w:rsid w:val="00D133B4"/>
    <w:rsid w:val="00D13986"/>
    <w:rsid w:val="00D13F3E"/>
    <w:rsid w:val="00D14262"/>
    <w:rsid w:val="00D14930"/>
    <w:rsid w:val="00D14C5B"/>
    <w:rsid w:val="00D15FED"/>
    <w:rsid w:val="00D16712"/>
    <w:rsid w:val="00D17137"/>
    <w:rsid w:val="00D17884"/>
    <w:rsid w:val="00D214EF"/>
    <w:rsid w:val="00D215B0"/>
    <w:rsid w:val="00D21D6D"/>
    <w:rsid w:val="00D21D83"/>
    <w:rsid w:val="00D2240D"/>
    <w:rsid w:val="00D22A47"/>
    <w:rsid w:val="00D235B7"/>
    <w:rsid w:val="00D23A99"/>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857"/>
    <w:rsid w:val="00D43ED2"/>
    <w:rsid w:val="00D447AE"/>
    <w:rsid w:val="00D50F46"/>
    <w:rsid w:val="00D51ABF"/>
    <w:rsid w:val="00D533C4"/>
    <w:rsid w:val="00D5384E"/>
    <w:rsid w:val="00D544E7"/>
    <w:rsid w:val="00D5499F"/>
    <w:rsid w:val="00D5560A"/>
    <w:rsid w:val="00D56916"/>
    <w:rsid w:val="00D56FBF"/>
    <w:rsid w:val="00D57677"/>
    <w:rsid w:val="00D576E0"/>
    <w:rsid w:val="00D5781F"/>
    <w:rsid w:val="00D6014A"/>
    <w:rsid w:val="00D60415"/>
    <w:rsid w:val="00D60674"/>
    <w:rsid w:val="00D60BE8"/>
    <w:rsid w:val="00D60E3C"/>
    <w:rsid w:val="00D60FA7"/>
    <w:rsid w:val="00D61FAB"/>
    <w:rsid w:val="00D63BE5"/>
    <w:rsid w:val="00D6475F"/>
    <w:rsid w:val="00D65528"/>
    <w:rsid w:val="00D655D4"/>
    <w:rsid w:val="00D66223"/>
    <w:rsid w:val="00D667B8"/>
    <w:rsid w:val="00D67D55"/>
    <w:rsid w:val="00D70289"/>
    <w:rsid w:val="00D7041F"/>
    <w:rsid w:val="00D70822"/>
    <w:rsid w:val="00D72076"/>
    <w:rsid w:val="00D721B4"/>
    <w:rsid w:val="00D726A9"/>
    <w:rsid w:val="00D72DBA"/>
    <w:rsid w:val="00D73223"/>
    <w:rsid w:val="00D743E0"/>
    <w:rsid w:val="00D7469D"/>
    <w:rsid w:val="00D7490C"/>
    <w:rsid w:val="00D75AC1"/>
    <w:rsid w:val="00D77252"/>
    <w:rsid w:val="00D8084C"/>
    <w:rsid w:val="00D81809"/>
    <w:rsid w:val="00D81E79"/>
    <w:rsid w:val="00D82EF1"/>
    <w:rsid w:val="00D83937"/>
    <w:rsid w:val="00D84CC9"/>
    <w:rsid w:val="00D84F43"/>
    <w:rsid w:val="00D85114"/>
    <w:rsid w:val="00D85821"/>
    <w:rsid w:val="00D8598C"/>
    <w:rsid w:val="00D87C06"/>
    <w:rsid w:val="00D915EA"/>
    <w:rsid w:val="00D919ED"/>
    <w:rsid w:val="00D922A1"/>
    <w:rsid w:val="00D922F4"/>
    <w:rsid w:val="00D928BE"/>
    <w:rsid w:val="00D931D5"/>
    <w:rsid w:val="00D932B8"/>
    <w:rsid w:val="00D95302"/>
    <w:rsid w:val="00D95889"/>
    <w:rsid w:val="00D95B60"/>
    <w:rsid w:val="00D95C5D"/>
    <w:rsid w:val="00D96515"/>
    <w:rsid w:val="00D97D00"/>
    <w:rsid w:val="00DA096C"/>
    <w:rsid w:val="00DA1AB6"/>
    <w:rsid w:val="00DA21B0"/>
    <w:rsid w:val="00DA2E65"/>
    <w:rsid w:val="00DA37DE"/>
    <w:rsid w:val="00DA3ADF"/>
    <w:rsid w:val="00DA4174"/>
    <w:rsid w:val="00DA47DC"/>
    <w:rsid w:val="00DA544C"/>
    <w:rsid w:val="00DA5F8E"/>
    <w:rsid w:val="00DA6364"/>
    <w:rsid w:val="00DA7114"/>
    <w:rsid w:val="00DA7C0C"/>
    <w:rsid w:val="00DA7E2F"/>
    <w:rsid w:val="00DB03DD"/>
    <w:rsid w:val="00DB08A9"/>
    <w:rsid w:val="00DB0B33"/>
    <w:rsid w:val="00DB0FD9"/>
    <w:rsid w:val="00DB2DFA"/>
    <w:rsid w:val="00DB2EC8"/>
    <w:rsid w:val="00DB321D"/>
    <w:rsid w:val="00DB459B"/>
    <w:rsid w:val="00DB47FD"/>
    <w:rsid w:val="00DB5E3A"/>
    <w:rsid w:val="00DB5E9A"/>
    <w:rsid w:val="00DB613B"/>
    <w:rsid w:val="00DB657E"/>
    <w:rsid w:val="00DB67EA"/>
    <w:rsid w:val="00DB7342"/>
    <w:rsid w:val="00DB7489"/>
    <w:rsid w:val="00DB7E0D"/>
    <w:rsid w:val="00DC0CBB"/>
    <w:rsid w:val="00DC17D0"/>
    <w:rsid w:val="00DC1E5D"/>
    <w:rsid w:val="00DC21F3"/>
    <w:rsid w:val="00DC25AB"/>
    <w:rsid w:val="00DC2B41"/>
    <w:rsid w:val="00DC2EA7"/>
    <w:rsid w:val="00DC3128"/>
    <w:rsid w:val="00DC435B"/>
    <w:rsid w:val="00DC4AC4"/>
    <w:rsid w:val="00DC4FD0"/>
    <w:rsid w:val="00DC53D8"/>
    <w:rsid w:val="00DC56FE"/>
    <w:rsid w:val="00DC5B3B"/>
    <w:rsid w:val="00DC6C2D"/>
    <w:rsid w:val="00DC7B1A"/>
    <w:rsid w:val="00DC7F51"/>
    <w:rsid w:val="00DD04B0"/>
    <w:rsid w:val="00DD0C95"/>
    <w:rsid w:val="00DD129F"/>
    <w:rsid w:val="00DD13FC"/>
    <w:rsid w:val="00DD1A3F"/>
    <w:rsid w:val="00DD29B5"/>
    <w:rsid w:val="00DD32DD"/>
    <w:rsid w:val="00DD33E8"/>
    <w:rsid w:val="00DD5287"/>
    <w:rsid w:val="00DD5B36"/>
    <w:rsid w:val="00DD6DAD"/>
    <w:rsid w:val="00DD7849"/>
    <w:rsid w:val="00DE03DE"/>
    <w:rsid w:val="00DE0D8B"/>
    <w:rsid w:val="00DE1237"/>
    <w:rsid w:val="00DE140F"/>
    <w:rsid w:val="00DE17E9"/>
    <w:rsid w:val="00DE1CEC"/>
    <w:rsid w:val="00DE2491"/>
    <w:rsid w:val="00DE277A"/>
    <w:rsid w:val="00DE3E5D"/>
    <w:rsid w:val="00DE450F"/>
    <w:rsid w:val="00DE4865"/>
    <w:rsid w:val="00DE5CA6"/>
    <w:rsid w:val="00DE5E55"/>
    <w:rsid w:val="00DE7156"/>
    <w:rsid w:val="00DE7AC8"/>
    <w:rsid w:val="00DF0714"/>
    <w:rsid w:val="00DF0830"/>
    <w:rsid w:val="00DF199C"/>
    <w:rsid w:val="00DF2AD9"/>
    <w:rsid w:val="00DF2C5D"/>
    <w:rsid w:val="00DF3643"/>
    <w:rsid w:val="00DF42FF"/>
    <w:rsid w:val="00DF4369"/>
    <w:rsid w:val="00DF4423"/>
    <w:rsid w:val="00DF4ADF"/>
    <w:rsid w:val="00DF57D6"/>
    <w:rsid w:val="00DF5D1E"/>
    <w:rsid w:val="00DF63E3"/>
    <w:rsid w:val="00DF77E4"/>
    <w:rsid w:val="00DF7F88"/>
    <w:rsid w:val="00E00B88"/>
    <w:rsid w:val="00E01C0E"/>
    <w:rsid w:val="00E0368F"/>
    <w:rsid w:val="00E03D73"/>
    <w:rsid w:val="00E03E1E"/>
    <w:rsid w:val="00E03F9A"/>
    <w:rsid w:val="00E040DA"/>
    <w:rsid w:val="00E04694"/>
    <w:rsid w:val="00E1168B"/>
    <w:rsid w:val="00E11F8B"/>
    <w:rsid w:val="00E12191"/>
    <w:rsid w:val="00E129E7"/>
    <w:rsid w:val="00E12ABE"/>
    <w:rsid w:val="00E12B1E"/>
    <w:rsid w:val="00E135EB"/>
    <w:rsid w:val="00E13995"/>
    <w:rsid w:val="00E1444C"/>
    <w:rsid w:val="00E14544"/>
    <w:rsid w:val="00E17262"/>
    <w:rsid w:val="00E1742F"/>
    <w:rsid w:val="00E17F36"/>
    <w:rsid w:val="00E20016"/>
    <w:rsid w:val="00E2009B"/>
    <w:rsid w:val="00E20BB9"/>
    <w:rsid w:val="00E20BCC"/>
    <w:rsid w:val="00E20D05"/>
    <w:rsid w:val="00E21E9A"/>
    <w:rsid w:val="00E2251C"/>
    <w:rsid w:val="00E2363D"/>
    <w:rsid w:val="00E23C6A"/>
    <w:rsid w:val="00E2484B"/>
    <w:rsid w:val="00E25391"/>
    <w:rsid w:val="00E253A2"/>
    <w:rsid w:val="00E260F6"/>
    <w:rsid w:val="00E267F2"/>
    <w:rsid w:val="00E27127"/>
    <w:rsid w:val="00E27233"/>
    <w:rsid w:val="00E274BB"/>
    <w:rsid w:val="00E30F15"/>
    <w:rsid w:val="00E31771"/>
    <w:rsid w:val="00E3186D"/>
    <w:rsid w:val="00E31A3E"/>
    <w:rsid w:val="00E3205D"/>
    <w:rsid w:val="00E32080"/>
    <w:rsid w:val="00E32778"/>
    <w:rsid w:val="00E3309D"/>
    <w:rsid w:val="00E34E3F"/>
    <w:rsid w:val="00E350B1"/>
    <w:rsid w:val="00E35A53"/>
    <w:rsid w:val="00E35AA3"/>
    <w:rsid w:val="00E3634A"/>
    <w:rsid w:val="00E3656B"/>
    <w:rsid w:val="00E37069"/>
    <w:rsid w:val="00E3712B"/>
    <w:rsid w:val="00E371BE"/>
    <w:rsid w:val="00E3724A"/>
    <w:rsid w:val="00E378B1"/>
    <w:rsid w:val="00E417BE"/>
    <w:rsid w:val="00E41B25"/>
    <w:rsid w:val="00E41CD5"/>
    <w:rsid w:val="00E42054"/>
    <w:rsid w:val="00E4335A"/>
    <w:rsid w:val="00E4372D"/>
    <w:rsid w:val="00E43A9E"/>
    <w:rsid w:val="00E44243"/>
    <w:rsid w:val="00E4505D"/>
    <w:rsid w:val="00E453F9"/>
    <w:rsid w:val="00E45D7D"/>
    <w:rsid w:val="00E4623F"/>
    <w:rsid w:val="00E4665D"/>
    <w:rsid w:val="00E469FC"/>
    <w:rsid w:val="00E47854"/>
    <w:rsid w:val="00E478E2"/>
    <w:rsid w:val="00E47EBA"/>
    <w:rsid w:val="00E50156"/>
    <w:rsid w:val="00E504EB"/>
    <w:rsid w:val="00E5076C"/>
    <w:rsid w:val="00E50D2E"/>
    <w:rsid w:val="00E50D7D"/>
    <w:rsid w:val="00E51229"/>
    <w:rsid w:val="00E51EF0"/>
    <w:rsid w:val="00E53470"/>
    <w:rsid w:val="00E5368D"/>
    <w:rsid w:val="00E539F6"/>
    <w:rsid w:val="00E54698"/>
    <w:rsid w:val="00E54BE9"/>
    <w:rsid w:val="00E54FB4"/>
    <w:rsid w:val="00E5539A"/>
    <w:rsid w:val="00E55791"/>
    <w:rsid w:val="00E55E1A"/>
    <w:rsid w:val="00E578A2"/>
    <w:rsid w:val="00E579ED"/>
    <w:rsid w:val="00E60043"/>
    <w:rsid w:val="00E61740"/>
    <w:rsid w:val="00E617A3"/>
    <w:rsid w:val="00E61EB5"/>
    <w:rsid w:val="00E6324D"/>
    <w:rsid w:val="00E65084"/>
    <w:rsid w:val="00E6519D"/>
    <w:rsid w:val="00E65683"/>
    <w:rsid w:val="00E66062"/>
    <w:rsid w:val="00E6660E"/>
    <w:rsid w:val="00E66768"/>
    <w:rsid w:val="00E67305"/>
    <w:rsid w:val="00E67696"/>
    <w:rsid w:val="00E709AF"/>
    <w:rsid w:val="00E70C5F"/>
    <w:rsid w:val="00E71009"/>
    <w:rsid w:val="00E713E6"/>
    <w:rsid w:val="00E71A58"/>
    <w:rsid w:val="00E728D7"/>
    <w:rsid w:val="00E72A26"/>
    <w:rsid w:val="00E72A7A"/>
    <w:rsid w:val="00E7335A"/>
    <w:rsid w:val="00E736CE"/>
    <w:rsid w:val="00E73986"/>
    <w:rsid w:val="00E73B5E"/>
    <w:rsid w:val="00E7467D"/>
    <w:rsid w:val="00E747DC"/>
    <w:rsid w:val="00E74A2D"/>
    <w:rsid w:val="00E75597"/>
    <w:rsid w:val="00E75C94"/>
    <w:rsid w:val="00E76A08"/>
    <w:rsid w:val="00E76B9B"/>
    <w:rsid w:val="00E76E61"/>
    <w:rsid w:val="00E76EE4"/>
    <w:rsid w:val="00E77B7A"/>
    <w:rsid w:val="00E77CC0"/>
    <w:rsid w:val="00E80B3D"/>
    <w:rsid w:val="00E80CA3"/>
    <w:rsid w:val="00E81D18"/>
    <w:rsid w:val="00E81D99"/>
    <w:rsid w:val="00E82618"/>
    <w:rsid w:val="00E82A42"/>
    <w:rsid w:val="00E84E09"/>
    <w:rsid w:val="00E852EE"/>
    <w:rsid w:val="00E86E5D"/>
    <w:rsid w:val="00E87CE2"/>
    <w:rsid w:val="00E90CA8"/>
    <w:rsid w:val="00E911C6"/>
    <w:rsid w:val="00E91794"/>
    <w:rsid w:val="00E918E3"/>
    <w:rsid w:val="00E930A1"/>
    <w:rsid w:val="00E93820"/>
    <w:rsid w:val="00E94A86"/>
    <w:rsid w:val="00E94DD2"/>
    <w:rsid w:val="00E951AB"/>
    <w:rsid w:val="00E953F6"/>
    <w:rsid w:val="00E96143"/>
    <w:rsid w:val="00E96833"/>
    <w:rsid w:val="00E96F8D"/>
    <w:rsid w:val="00E97506"/>
    <w:rsid w:val="00E97BB5"/>
    <w:rsid w:val="00E97D5B"/>
    <w:rsid w:val="00E97F14"/>
    <w:rsid w:val="00EA0467"/>
    <w:rsid w:val="00EA0C68"/>
    <w:rsid w:val="00EA0E39"/>
    <w:rsid w:val="00EA1D0E"/>
    <w:rsid w:val="00EA1EC5"/>
    <w:rsid w:val="00EA2072"/>
    <w:rsid w:val="00EA2691"/>
    <w:rsid w:val="00EA2841"/>
    <w:rsid w:val="00EA32BC"/>
    <w:rsid w:val="00EA35A7"/>
    <w:rsid w:val="00EA3B32"/>
    <w:rsid w:val="00EA3CEB"/>
    <w:rsid w:val="00EA3D05"/>
    <w:rsid w:val="00EA4222"/>
    <w:rsid w:val="00EA4402"/>
    <w:rsid w:val="00EA46EA"/>
    <w:rsid w:val="00EA4B8D"/>
    <w:rsid w:val="00EA513E"/>
    <w:rsid w:val="00EA601A"/>
    <w:rsid w:val="00EA70BC"/>
    <w:rsid w:val="00EA7419"/>
    <w:rsid w:val="00EB0AD5"/>
    <w:rsid w:val="00EB0E32"/>
    <w:rsid w:val="00EB1520"/>
    <w:rsid w:val="00EB3882"/>
    <w:rsid w:val="00EB3E60"/>
    <w:rsid w:val="00EB4511"/>
    <w:rsid w:val="00EB48D7"/>
    <w:rsid w:val="00EB49F1"/>
    <w:rsid w:val="00EB4A8E"/>
    <w:rsid w:val="00EB4BC5"/>
    <w:rsid w:val="00EB5BF7"/>
    <w:rsid w:val="00EB5E79"/>
    <w:rsid w:val="00EB61F4"/>
    <w:rsid w:val="00EB6FAC"/>
    <w:rsid w:val="00EB7BAC"/>
    <w:rsid w:val="00EB7CC9"/>
    <w:rsid w:val="00EC03D7"/>
    <w:rsid w:val="00EC12F5"/>
    <w:rsid w:val="00EC13A7"/>
    <w:rsid w:val="00EC2EB6"/>
    <w:rsid w:val="00EC4CA3"/>
    <w:rsid w:val="00EC4FFF"/>
    <w:rsid w:val="00EC5517"/>
    <w:rsid w:val="00EC6E8C"/>
    <w:rsid w:val="00ED0EF0"/>
    <w:rsid w:val="00ED0F1A"/>
    <w:rsid w:val="00ED12B9"/>
    <w:rsid w:val="00ED16B8"/>
    <w:rsid w:val="00ED1959"/>
    <w:rsid w:val="00ED1A00"/>
    <w:rsid w:val="00ED1DF0"/>
    <w:rsid w:val="00ED1ED0"/>
    <w:rsid w:val="00ED2386"/>
    <w:rsid w:val="00ED2EA1"/>
    <w:rsid w:val="00ED3851"/>
    <w:rsid w:val="00ED3E51"/>
    <w:rsid w:val="00ED3F10"/>
    <w:rsid w:val="00ED3F9B"/>
    <w:rsid w:val="00ED4D04"/>
    <w:rsid w:val="00ED566D"/>
    <w:rsid w:val="00ED5907"/>
    <w:rsid w:val="00ED5F5B"/>
    <w:rsid w:val="00ED62C6"/>
    <w:rsid w:val="00ED6491"/>
    <w:rsid w:val="00ED64C1"/>
    <w:rsid w:val="00ED781F"/>
    <w:rsid w:val="00EE0A20"/>
    <w:rsid w:val="00EE0E7E"/>
    <w:rsid w:val="00EE249F"/>
    <w:rsid w:val="00EE2EB4"/>
    <w:rsid w:val="00EE3446"/>
    <w:rsid w:val="00EE3E78"/>
    <w:rsid w:val="00EE41FD"/>
    <w:rsid w:val="00EE460E"/>
    <w:rsid w:val="00EE4B1B"/>
    <w:rsid w:val="00EE5FBA"/>
    <w:rsid w:val="00EE64BA"/>
    <w:rsid w:val="00EE6680"/>
    <w:rsid w:val="00EE6E06"/>
    <w:rsid w:val="00EE7179"/>
    <w:rsid w:val="00EF072A"/>
    <w:rsid w:val="00EF0D90"/>
    <w:rsid w:val="00EF150D"/>
    <w:rsid w:val="00EF1F5A"/>
    <w:rsid w:val="00EF23B5"/>
    <w:rsid w:val="00EF326A"/>
    <w:rsid w:val="00EF3898"/>
    <w:rsid w:val="00EF39FD"/>
    <w:rsid w:val="00EF47BF"/>
    <w:rsid w:val="00EF48DC"/>
    <w:rsid w:val="00EF52F7"/>
    <w:rsid w:val="00EF55AD"/>
    <w:rsid w:val="00EF59B1"/>
    <w:rsid w:val="00EF5A13"/>
    <w:rsid w:val="00EF5FF9"/>
    <w:rsid w:val="00EF77D4"/>
    <w:rsid w:val="00EF7CC7"/>
    <w:rsid w:val="00F00535"/>
    <w:rsid w:val="00F00853"/>
    <w:rsid w:val="00F00866"/>
    <w:rsid w:val="00F00EC8"/>
    <w:rsid w:val="00F0160B"/>
    <w:rsid w:val="00F0193E"/>
    <w:rsid w:val="00F01C0D"/>
    <w:rsid w:val="00F03E2F"/>
    <w:rsid w:val="00F03F8D"/>
    <w:rsid w:val="00F04811"/>
    <w:rsid w:val="00F0488C"/>
    <w:rsid w:val="00F04BDB"/>
    <w:rsid w:val="00F07174"/>
    <w:rsid w:val="00F073ED"/>
    <w:rsid w:val="00F07C4C"/>
    <w:rsid w:val="00F10BA4"/>
    <w:rsid w:val="00F10F11"/>
    <w:rsid w:val="00F11159"/>
    <w:rsid w:val="00F11379"/>
    <w:rsid w:val="00F115E4"/>
    <w:rsid w:val="00F11AC4"/>
    <w:rsid w:val="00F120A5"/>
    <w:rsid w:val="00F12CFB"/>
    <w:rsid w:val="00F13897"/>
    <w:rsid w:val="00F13E60"/>
    <w:rsid w:val="00F13FDB"/>
    <w:rsid w:val="00F14C88"/>
    <w:rsid w:val="00F1533F"/>
    <w:rsid w:val="00F15AAA"/>
    <w:rsid w:val="00F15BEF"/>
    <w:rsid w:val="00F15C73"/>
    <w:rsid w:val="00F17898"/>
    <w:rsid w:val="00F20134"/>
    <w:rsid w:val="00F204BF"/>
    <w:rsid w:val="00F207C2"/>
    <w:rsid w:val="00F21337"/>
    <w:rsid w:val="00F219A1"/>
    <w:rsid w:val="00F21E3B"/>
    <w:rsid w:val="00F23C06"/>
    <w:rsid w:val="00F23E20"/>
    <w:rsid w:val="00F24407"/>
    <w:rsid w:val="00F24756"/>
    <w:rsid w:val="00F24FAA"/>
    <w:rsid w:val="00F25040"/>
    <w:rsid w:val="00F27071"/>
    <w:rsid w:val="00F27331"/>
    <w:rsid w:val="00F276D3"/>
    <w:rsid w:val="00F27EE5"/>
    <w:rsid w:val="00F27FB1"/>
    <w:rsid w:val="00F27FD6"/>
    <w:rsid w:val="00F307CB"/>
    <w:rsid w:val="00F30C0C"/>
    <w:rsid w:val="00F30C65"/>
    <w:rsid w:val="00F31A67"/>
    <w:rsid w:val="00F31B27"/>
    <w:rsid w:val="00F321D2"/>
    <w:rsid w:val="00F32649"/>
    <w:rsid w:val="00F33523"/>
    <w:rsid w:val="00F3364D"/>
    <w:rsid w:val="00F33914"/>
    <w:rsid w:val="00F349BF"/>
    <w:rsid w:val="00F34AF4"/>
    <w:rsid w:val="00F34DDC"/>
    <w:rsid w:val="00F352C5"/>
    <w:rsid w:val="00F36191"/>
    <w:rsid w:val="00F3629F"/>
    <w:rsid w:val="00F36DF3"/>
    <w:rsid w:val="00F37362"/>
    <w:rsid w:val="00F37EDC"/>
    <w:rsid w:val="00F437CC"/>
    <w:rsid w:val="00F44537"/>
    <w:rsid w:val="00F45EEF"/>
    <w:rsid w:val="00F46185"/>
    <w:rsid w:val="00F46423"/>
    <w:rsid w:val="00F4696A"/>
    <w:rsid w:val="00F47067"/>
    <w:rsid w:val="00F47234"/>
    <w:rsid w:val="00F47C48"/>
    <w:rsid w:val="00F51ADD"/>
    <w:rsid w:val="00F525AB"/>
    <w:rsid w:val="00F525EB"/>
    <w:rsid w:val="00F529FB"/>
    <w:rsid w:val="00F52CB5"/>
    <w:rsid w:val="00F53378"/>
    <w:rsid w:val="00F53A68"/>
    <w:rsid w:val="00F53E9C"/>
    <w:rsid w:val="00F54934"/>
    <w:rsid w:val="00F54F86"/>
    <w:rsid w:val="00F55A92"/>
    <w:rsid w:val="00F5615B"/>
    <w:rsid w:val="00F56700"/>
    <w:rsid w:val="00F575D3"/>
    <w:rsid w:val="00F57A76"/>
    <w:rsid w:val="00F57D57"/>
    <w:rsid w:val="00F6178B"/>
    <w:rsid w:val="00F62701"/>
    <w:rsid w:val="00F62BFF"/>
    <w:rsid w:val="00F62CCE"/>
    <w:rsid w:val="00F63092"/>
    <w:rsid w:val="00F63AAE"/>
    <w:rsid w:val="00F63DDE"/>
    <w:rsid w:val="00F63FB7"/>
    <w:rsid w:val="00F6421B"/>
    <w:rsid w:val="00F647F1"/>
    <w:rsid w:val="00F649D2"/>
    <w:rsid w:val="00F64C00"/>
    <w:rsid w:val="00F64D5A"/>
    <w:rsid w:val="00F6602B"/>
    <w:rsid w:val="00F6741E"/>
    <w:rsid w:val="00F6799D"/>
    <w:rsid w:val="00F7150B"/>
    <w:rsid w:val="00F717E4"/>
    <w:rsid w:val="00F71DE6"/>
    <w:rsid w:val="00F72C90"/>
    <w:rsid w:val="00F72D71"/>
    <w:rsid w:val="00F7381C"/>
    <w:rsid w:val="00F73A0C"/>
    <w:rsid w:val="00F752DC"/>
    <w:rsid w:val="00F7549F"/>
    <w:rsid w:val="00F756DB"/>
    <w:rsid w:val="00F766BE"/>
    <w:rsid w:val="00F767A8"/>
    <w:rsid w:val="00F77590"/>
    <w:rsid w:val="00F77A50"/>
    <w:rsid w:val="00F8046A"/>
    <w:rsid w:val="00F82670"/>
    <w:rsid w:val="00F82D14"/>
    <w:rsid w:val="00F84123"/>
    <w:rsid w:val="00F84593"/>
    <w:rsid w:val="00F84E7D"/>
    <w:rsid w:val="00F85066"/>
    <w:rsid w:val="00F8663C"/>
    <w:rsid w:val="00F87A4D"/>
    <w:rsid w:val="00F91B66"/>
    <w:rsid w:val="00F93688"/>
    <w:rsid w:val="00F939F3"/>
    <w:rsid w:val="00F93C6E"/>
    <w:rsid w:val="00F93F2C"/>
    <w:rsid w:val="00F94882"/>
    <w:rsid w:val="00F962AD"/>
    <w:rsid w:val="00F9644E"/>
    <w:rsid w:val="00F96E43"/>
    <w:rsid w:val="00FA0105"/>
    <w:rsid w:val="00FA05A0"/>
    <w:rsid w:val="00FA0AEF"/>
    <w:rsid w:val="00FA0EB0"/>
    <w:rsid w:val="00FA17CC"/>
    <w:rsid w:val="00FA1A7F"/>
    <w:rsid w:val="00FA1CFE"/>
    <w:rsid w:val="00FA1F01"/>
    <w:rsid w:val="00FA26DF"/>
    <w:rsid w:val="00FA32BC"/>
    <w:rsid w:val="00FA3FA8"/>
    <w:rsid w:val="00FA4059"/>
    <w:rsid w:val="00FA4574"/>
    <w:rsid w:val="00FA48A4"/>
    <w:rsid w:val="00FA4CB7"/>
    <w:rsid w:val="00FA5112"/>
    <w:rsid w:val="00FA5526"/>
    <w:rsid w:val="00FA5D4D"/>
    <w:rsid w:val="00FA6CB6"/>
    <w:rsid w:val="00FA70D3"/>
    <w:rsid w:val="00FA70F9"/>
    <w:rsid w:val="00FA7AD7"/>
    <w:rsid w:val="00FA7AEC"/>
    <w:rsid w:val="00FB00D6"/>
    <w:rsid w:val="00FB0AEA"/>
    <w:rsid w:val="00FB0EE2"/>
    <w:rsid w:val="00FB1A79"/>
    <w:rsid w:val="00FB208B"/>
    <w:rsid w:val="00FB2B2D"/>
    <w:rsid w:val="00FB346E"/>
    <w:rsid w:val="00FB35D1"/>
    <w:rsid w:val="00FB4932"/>
    <w:rsid w:val="00FB542E"/>
    <w:rsid w:val="00FB5580"/>
    <w:rsid w:val="00FB564F"/>
    <w:rsid w:val="00FB79BB"/>
    <w:rsid w:val="00FB7DBB"/>
    <w:rsid w:val="00FC04A1"/>
    <w:rsid w:val="00FC05F8"/>
    <w:rsid w:val="00FC077B"/>
    <w:rsid w:val="00FC0950"/>
    <w:rsid w:val="00FC0E5F"/>
    <w:rsid w:val="00FC1070"/>
    <w:rsid w:val="00FC1266"/>
    <w:rsid w:val="00FC1A95"/>
    <w:rsid w:val="00FC1ED4"/>
    <w:rsid w:val="00FC3BEC"/>
    <w:rsid w:val="00FC440B"/>
    <w:rsid w:val="00FC56DE"/>
    <w:rsid w:val="00FC61B5"/>
    <w:rsid w:val="00FC63D9"/>
    <w:rsid w:val="00FC64DE"/>
    <w:rsid w:val="00FC6785"/>
    <w:rsid w:val="00FC684B"/>
    <w:rsid w:val="00FC79D0"/>
    <w:rsid w:val="00FC7D98"/>
    <w:rsid w:val="00FD1135"/>
    <w:rsid w:val="00FD3265"/>
    <w:rsid w:val="00FD3CF7"/>
    <w:rsid w:val="00FD4124"/>
    <w:rsid w:val="00FD41A0"/>
    <w:rsid w:val="00FD4916"/>
    <w:rsid w:val="00FD4D12"/>
    <w:rsid w:val="00FD4DC7"/>
    <w:rsid w:val="00FD4F73"/>
    <w:rsid w:val="00FD595E"/>
    <w:rsid w:val="00FD66A4"/>
    <w:rsid w:val="00FD75AC"/>
    <w:rsid w:val="00FD75D3"/>
    <w:rsid w:val="00FD7802"/>
    <w:rsid w:val="00FD7D3B"/>
    <w:rsid w:val="00FE263A"/>
    <w:rsid w:val="00FE27C7"/>
    <w:rsid w:val="00FE2C7E"/>
    <w:rsid w:val="00FE2F78"/>
    <w:rsid w:val="00FE3137"/>
    <w:rsid w:val="00FE346B"/>
    <w:rsid w:val="00FE346F"/>
    <w:rsid w:val="00FE3E07"/>
    <w:rsid w:val="00FE431E"/>
    <w:rsid w:val="00FE460E"/>
    <w:rsid w:val="00FE48E4"/>
    <w:rsid w:val="00FE5466"/>
    <w:rsid w:val="00FE634C"/>
    <w:rsid w:val="00FE6E69"/>
    <w:rsid w:val="00FE6F59"/>
    <w:rsid w:val="00FF01B6"/>
    <w:rsid w:val="00FF0989"/>
    <w:rsid w:val="00FF1136"/>
    <w:rsid w:val="00FF38A4"/>
    <w:rsid w:val="00FF3D76"/>
    <w:rsid w:val="00FF4E35"/>
    <w:rsid w:val="00FF5838"/>
    <w:rsid w:val="00FF596B"/>
    <w:rsid w:val="00FF5B8C"/>
    <w:rsid w:val="00FF63E6"/>
    <w:rsid w:val="00FF72DC"/>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4332598">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354504476">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18414763">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898828998">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95809952">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66510082">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0638267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4652621">
      <w:bodyDiv w:val="1"/>
      <w:marLeft w:val="0"/>
      <w:marRight w:val="0"/>
      <w:marTop w:val="0"/>
      <w:marBottom w:val="0"/>
      <w:divBdr>
        <w:top w:val="none" w:sz="0" w:space="0" w:color="auto"/>
        <w:left w:val="none" w:sz="0" w:space="0" w:color="auto"/>
        <w:bottom w:val="none" w:sz="0" w:space="0" w:color="auto"/>
        <w:right w:val="none" w:sz="0" w:space="0" w:color="auto"/>
      </w:divBdr>
    </w:div>
    <w:div w:id="1658848773">
      <w:bodyDiv w:val="1"/>
      <w:marLeft w:val="0"/>
      <w:marRight w:val="0"/>
      <w:marTop w:val="0"/>
      <w:marBottom w:val="0"/>
      <w:divBdr>
        <w:top w:val="none" w:sz="0" w:space="0" w:color="auto"/>
        <w:left w:val="none" w:sz="0" w:space="0" w:color="auto"/>
        <w:bottom w:val="none" w:sz="0" w:space="0" w:color="auto"/>
        <w:right w:val="none" w:sz="0" w:space="0" w:color="auto"/>
      </w:divBdr>
    </w:div>
    <w:div w:id="182041887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9517120">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ENGL-celorok-2020\ENGL-Odv&#283;tv&#237;%20grafy-celorok-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ENGL-celorok-2020\ENGL-Odv&#283;tv&#237;%20grafy-celorok-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ENGL-celorok-2020\ENGL-Odv&#283;tv&#237;%20grafy-celorok-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ENGL-celorok-2020\ENGL-Odv&#283;tv&#237;%20grafy-celorok-20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ENGL-celorok-2020\ENGL-Odv&#283;tv&#237;%20grafy-celorok-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964570317024053E-2"/>
          <c:y val="1.6203564535994225E-2"/>
          <c:w val="0.93146421518997324"/>
          <c:h val="0.72261665159978317"/>
        </c:manualLayout>
      </c:layout>
      <c:barChart>
        <c:barDir val="col"/>
        <c:grouping val="stacked"/>
        <c:varyColors val="0"/>
        <c:ser>
          <c:idx val="0"/>
          <c:order val="0"/>
          <c:tx>
            <c:strRef>
              <c:f>'GRAF příspěvky IPP'!$AX$27</c:f>
              <c:strCache>
                <c:ptCount val="1"/>
                <c:pt idx="0">
                  <c:v>Manufact. of transport equipment (29, 30)</c:v>
                </c:pt>
              </c:strCache>
            </c:strRef>
          </c:tx>
          <c:spPr>
            <a:solidFill>
              <a:srgbClr val="E8AFB2"/>
            </a:solidFill>
          </c:spPr>
          <c:invertIfNegative val="0"/>
          <c:cat>
            <c:numRef>
              <c:f>'GRAF příspěvky IPP'!$AY$26:$BI$26</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'GRAF příspěvky IPP'!$AY$27:$BI$27</c:f>
              <c:numCache>
                <c:formatCode>0.0</c:formatCode>
                <c:ptCount val="11"/>
                <c:pt idx="0">
                  <c:v>4.0187040552281479</c:v>
                </c:pt>
                <c:pt idx="1">
                  <c:v>0.27559267265750659</c:v>
                </c:pt>
                <c:pt idx="2">
                  <c:v>-0.37158555124836035</c:v>
                </c:pt>
                <c:pt idx="3">
                  <c:v>2.2485645301168762</c:v>
                </c:pt>
                <c:pt idx="4">
                  <c:v>2.2460585189047308</c:v>
                </c:pt>
                <c:pt idx="5">
                  <c:v>2.1324764387372728</c:v>
                </c:pt>
                <c:pt idx="6">
                  <c:v>1.7874918438614782</c:v>
                </c:pt>
                <c:pt idx="7">
                  <c:v>0.63356806260005483</c:v>
                </c:pt>
                <c:pt idx="8">
                  <c:v>-1.6681964490201845E-2</c:v>
                </c:pt>
                <c:pt idx="9">
                  <c:v>-2.3389403330391949</c:v>
                </c:pt>
                <c:pt idx="10">
                  <c:v>1.1004281540367753</c:v>
                </c:pt>
              </c:numCache>
            </c:numRef>
          </c:val>
          <c:extLst>
            <c:ext xmlns:c16="http://schemas.microsoft.com/office/drawing/2014/chart" uri="{C3380CC4-5D6E-409C-BE32-E72D297353CC}">
              <c16:uniqueId val="{00000000-FBEC-4A78-B8BE-76AA9E11E993}"/>
            </c:ext>
          </c:extLst>
        </c:ser>
        <c:ser>
          <c:idx val="1"/>
          <c:order val="1"/>
          <c:tx>
            <c:strRef>
              <c:f>'GRAF příspěvky IPP'!$AX$28</c:f>
              <c:strCache>
                <c:ptCount val="1"/>
                <c:pt idx="0">
                  <c:v>Rubber, electro technical ind. (22, 27)</c:v>
                </c:pt>
              </c:strCache>
            </c:strRef>
          </c:tx>
          <c:spPr>
            <a:solidFill>
              <a:srgbClr val="BD1B21"/>
            </a:solidFill>
          </c:spPr>
          <c:invertIfNegative val="0"/>
          <c:cat>
            <c:numRef>
              <c:f>'GRAF příspěvky IPP'!$AY$26:$BI$26</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'GRAF příspěvky IPP'!$AY$28:$BI$28</c:f>
              <c:numCache>
                <c:formatCode>0.0</c:formatCode>
                <c:ptCount val="11"/>
                <c:pt idx="0">
                  <c:v>1.0561338774336075</c:v>
                </c:pt>
                <c:pt idx="1">
                  <c:v>0.51953008943111678</c:v>
                </c:pt>
                <c:pt idx="2">
                  <c:v>8.9765115816348898E-2</c:v>
                </c:pt>
                <c:pt idx="3">
                  <c:v>0.86871515925583642</c:v>
                </c:pt>
                <c:pt idx="4">
                  <c:v>1.0707625358782411</c:v>
                </c:pt>
                <c:pt idx="5">
                  <c:v>0.41910973360039355</c:v>
                </c:pt>
                <c:pt idx="6">
                  <c:v>1.2013053357731418</c:v>
                </c:pt>
                <c:pt idx="7">
                  <c:v>0.4166398902590383</c:v>
                </c:pt>
                <c:pt idx="8">
                  <c:v>0.39132458065509379</c:v>
                </c:pt>
                <c:pt idx="9">
                  <c:v>-1.1404766766641485</c:v>
                </c:pt>
                <c:pt idx="10">
                  <c:v>1.4189264847146648</c:v>
                </c:pt>
              </c:numCache>
            </c:numRef>
          </c:val>
          <c:extLst>
            <c:ext xmlns:c16="http://schemas.microsoft.com/office/drawing/2014/chart" uri="{C3380CC4-5D6E-409C-BE32-E72D297353CC}">
              <c16:uniqueId val="{00000001-FBEC-4A78-B8BE-76AA9E11E993}"/>
            </c:ext>
          </c:extLst>
        </c:ser>
        <c:ser>
          <c:idx val="2"/>
          <c:order val="2"/>
          <c:tx>
            <c:strRef>
              <c:f>'GRAF příspěvky IPP'!$AX$29</c:f>
              <c:strCache>
                <c:ptCount val="1"/>
                <c:pt idx="0">
                  <c:v>Machinery (28)</c:v>
                </c:pt>
              </c:strCache>
            </c:strRef>
          </c:tx>
          <c:spPr>
            <a:solidFill>
              <a:srgbClr val="BFE3F7"/>
            </a:solidFill>
          </c:spPr>
          <c:invertIfNegative val="0"/>
          <c:cat>
            <c:numRef>
              <c:f>'GRAF příspěvky IPP'!$AY$26:$BI$26</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'GRAF příspěvky IPP'!$AY$29:$BI$29</c:f>
              <c:numCache>
                <c:formatCode>0.0</c:formatCode>
                <c:ptCount val="11"/>
                <c:pt idx="0">
                  <c:v>0.8820149645239056</c:v>
                </c:pt>
                <c:pt idx="1">
                  <c:v>0.2125728670028548</c:v>
                </c:pt>
                <c:pt idx="2">
                  <c:v>0.23027863853480524</c:v>
                </c:pt>
                <c:pt idx="3">
                  <c:v>0.29059305239257294</c:v>
                </c:pt>
                <c:pt idx="4">
                  <c:v>0.23933737728389862</c:v>
                </c:pt>
                <c:pt idx="5">
                  <c:v>0.19993549519672627</c:v>
                </c:pt>
                <c:pt idx="6">
                  <c:v>0.77144546321235496</c:v>
                </c:pt>
                <c:pt idx="7">
                  <c:v>0.14757910886737832</c:v>
                </c:pt>
                <c:pt idx="8">
                  <c:v>-6.8544223250247643E-2</c:v>
                </c:pt>
                <c:pt idx="9">
                  <c:v>-1.0549511596336691</c:v>
                </c:pt>
                <c:pt idx="10">
                  <c:v>0.68346484072350966</c:v>
                </c:pt>
              </c:numCache>
            </c:numRef>
          </c:val>
          <c:extLst>
            <c:ext xmlns:c16="http://schemas.microsoft.com/office/drawing/2014/chart" uri="{C3380CC4-5D6E-409C-BE32-E72D297353CC}">
              <c16:uniqueId val="{00000002-FBEC-4A78-B8BE-76AA9E11E993}"/>
            </c:ext>
          </c:extLst>
        </c:ser>
        <c:ser>
          <c:idx val="3"/>
          <c:order val="3"/>
          <c:tx>
            <c:strRef>
              <c:f>'GRAF příspěvky IPP'!$AX$30</c:f>
              <c:strCache>
                <c:ptCount val="1"/>
                <c:pt idx="0">
                  <c:v>Fabricated metal product industry (25)</c:v>
                </c:pt>
              </c:strCache>
            </c:strRef>
          </c:tx>
          <c:spPr>
            <a:solidFill>
              <a:srgbClr val="48AEE7"/>
            </a:solidFill>
          </c:spPr>
          <c:invertIfNegative val="0"/>
          <c:cat>
            <c:numRef>
              <c:f>'GRAF příspěvky IPP'!$AY$26:$BI$26</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'GRAF příspěvky IPP'!$AY$30:$BI$30</c:f>
              <c:numCache>
                <c:formatCode>0.0</c:formatCode>
                <c:ptCount val="11"/>
                <c:pt idx="0">
                  <c:v>0.47004717942139845</c:v>
                </c:pt>
                <c:pt idx="1">
                  <c:v>-5.3181834799391946E-2</c:v>
                </c:pt>
                <c:pt idx="2">
                  <c:v>0.23405360592326518</c:v>
                </c:pt>
                <c:pt idx="3">
                  <c:v>0.46286075204908445</c:v>
                </c:pt>
                <c:pt idx="4">
                  <c:v>0.76209689214442877</c:v>
                </c:pt>
                <c:pt idx="5">
                  <c:v>0.41678082791308829</c:v>
                </c:pt>
                <c:pt idx="6">
                  <c:v>0.78822249468106176</c:v>
                </c:pt>
                <c:pt idx="7">
                  <c:v>0.41632616980289383</c:v>
                </c:pt>
                <c:pt idx="8">
                  <c:v>-8.2911895741773378E-2</c:v>
                </c:pt>
                <c:pt idx="9">
                  <c:v>-0.78431333347895049</c:v>
                </c:pt>
                <c:pt idx="10">
                  <c:v>0.94371847243509843</c:v>
                </c:pt>
              </c:numCache>
            </c:numRef>
          </c:val>
          <c:extLst>
            <c:ext xmlns:c16="http://schemas.microsoft.com/office/drawing/2014/chart" uri="{C3380CC4-5D6E-409C-BE32-E72D297353CC}">
              <c16:uniqueId val="{00000003-FBEC-4A78-B8BE-76AA9E11E993}"/>
            </c:ext>
          </c:extLst>
        </c:ser>
        <c:ser>
          <c:idx val="4"/>
          <c:order val="4"/>
          <c:tx>
            <c:strRef>
              <c:f>'GRAF příspěvky IPP'!$AX$31</c:f>
              <c:strCache>
                <c:ptCount val="1"/>
                <c:pt idx="0">
                  <c:v>Metallurgy (24)</c:v>
                </c:pt>
              </c:strCache>
            </c:strRef>
          </c:tx>
          <c:spPr>
            <a:solidFill>
              <a:schemeClr val="accent3">
                <a:lumMod val="60000"/>
                <a:lumOff val="40000"/>
              </a:schemeClr>
            </a:solidFill>
            <a:ln>
              <a:noFill/>
            </a:ln>
          </c:spPr>
          <c:invertIfNegative val="0"/>
          <c:cat>
            <c:numRef>
              <c:f>'GRAF příspěvky IPP'!$AY$26:$BI$26</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'GRAF příspěvky IPP'!$AY$31:$BI$31</c:f>
              <c:numCache>
                <c:formatCode>0.0</c:formatCode>
                <c:ptCount val="11"/>
                <c:pt idx="0">
                  <c:v>0.2491058058288774</c:v>
                </c:pt>
                <c:pt idx="1">
                  <c:v>-0.33307225245083977</c:v>
                </c:pt>
                <c:pt idx="2">
                  <c:v>-5.2176280362576835E-2</c:v>
                </c:pt>
                <c:pt idx="3">
                  <c:v>9.1339936160471216E-2</c:v>
                </c:pt>
                <c:pt idx="4">
                  <c:v>-2.7582546328035994E-2</c:v>
                </c:pt>
                <c:pt idx="5">
                  <c:v>-3.5044086544851936E-2</c:v>
                </c:pt>
                <c:pt idx="6">
                  <c:v>-1.565550398235557E-2</c:v>
                </c:pt>
                <c:pt idx="7">
                  <c:v>8.0798811896574452E-2</c:v>
                </c:pt>
                <c:pt idx="8">
                  <c:v>-0.1773347710162278</c:v>
                </c:pt>
                <c:pt idx="9">
                  <c:v>-0.19482322473097899</c:v>
                </c:pt>
                <c:pt idx="10">
                  <c:v>0.31711489095879841</c:v>
                </c:pt>
              </c:numCache>
            </c:numRef>
          </c:val>
          <c:extLst>
            <c:ext xmlns:c16="http://schemas.microsoft.com/office/drawing/2014/chart" uri="{C3380CC4-5D6E-409C-BE32-E72D297353CC}">
              <c16:uniqueId val="{00000004-FBEC-4A78-B8BE-76AA9E11E993}"/>
            </c:ext>
          </c:extLst>
        </c:ser>
        <c:ser>
          <c:idx val="5"/>
          <c:order val="5"/>
          <c:tx>
            <c:strRef>
              <c:f>'GRAF příspěvky IPP'!$AX$32</c:f>
              <c:strCache>
                <c:ptCount val="1"/>
                <c:pt idx="0">
                  <c:v>Food industry, beverages (10, 11)</c:v>
                </c:pt>
              </c:strCache>
            </c:strRef>
          </c:tx>
          <c:spPr>
            <a:solidFill>
              <a:srgbClr val="92D050"/>
            </a:solidFill>
            <a:ln>
              <a:noFill/>
            </a:ln>
          </c:spPr>
          <c:invertIfNegative val="0"/>
          <c:cat>
            <c:numRef>
              <c:f>'GRAF příspěvky IPP'!$AY$26:$BI$26</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'GRAF příspěvky IPP'!$AY$32:$BI$32</c:f>
              <c:numCache>
                <c:formatCode>0.0</c:formatCode>
                <c:ptCount val="11"/>
                <c:pt idx="0">
                  <c:v>-0.10542549630649267</c:v>
                </c:pt>
                <c:pt idx="1">
                  <c:v>-9.8011923889022134E-2</c:v>
                </c:pt>
                <c:pt idx="2">
                  <c:v>-2.4691684344032211E-2</c:v>
                </c:pt>
                <c:pt idx="3">
                  <c:v>0.22632803152498732</c:v>
                </c:pt>
                <c:pt idx="4">
                  <c:v>0.2993124834917591</c:v>
                </c:pt>
                <c:pt idx="5">
                  <c:v>-1.0074757355259353E-2</c:v>
                </c:pt>
                <c:pt idx="6">
                  <c:v>0.13122571493171567</c:v>
                </c:pt>
                <c:pt idx="7">
                  <c:v>0.24105770459303671</c:v>
                </c:pt>
                <c:pt idx="8">
                  <c:v>4.50431383558988E-2</c:v>
                </c:pt>
                <c:pt idx="9">
                  <c:v>-0.13605811055761927</c:v>
                </c:pt>
                <c:pt idx="10">
                  <c:v>0.28282315383098583</c:v>
                </c:pt>
              </c:numCache>
            </c:numRef>
          </c:val>
          <c:extLst>
            <c:ext xmlns:c16="http://schemas.microsoft.com/office/drawing/2014/chart" uri="{C3380CC4-5D6E-409C-BE32-E72D297353CC}">
              <c16:uniqueId val="{00000005-FBEC-4A78-B8BE-76AA9E11E993}"/>
            </c:ext>
          </c:extLst>
        </c:ser>
        <c:ser>
          <c:idx val="6"/>
          <c:order val="6"/>
          <c:tx>
            <c:strRef>
              <c:f>'GRAF příspěvky IPP'!$AX$33</c:f>
              <c:strCache>
                <c:ptCount val="1"/>
                <c:pt idx="0">
                  <c:v>Manufact. of PC, electron.,optic. prod. (26)</c:v>
                </c:pt>
              </c:strCache>
            </c:strRef>
          </c:tx>
          <c:spPr>
            <a:solidFill>
              <a:srgbClr val="FDDEB3"/>
            </a:solidFill>
          </c:spPr>
          <c:invertIfNegative val="0"/>
          <c:cat>
            <c:numRef>
              <c:f>'GRAF příspěvky IPP'!$AY$26:$BI$26</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'GRAF příspěvky IPP'!$AY$33:$BI$33</c:f>
              <c:numCache>
                <c:formatCode>0.0</c:formatCode>
                <c:ptCount val="11"/>
                <c:pt idx="0">
                  <c:v>-0.10359604880800667</c:v>
                </c:pt>
                <c:pt idx="1">
                  <c:v>-0.62775348873755987</c:v>
                </c:pt>
                <c:pt idx="2">
                  <c:v>0.25889985415802419</c:v>
                </c:pt>
                <c:pt idx="3">
                  <c:v>0.32500511993232978</c:v>
                </c:pt>
                <c:pt idx="4">
                  <c:v>1.9444712497032453E-2</c:v>
                </c:pt>
                <c:pt idx="5">
                  <c:v>6.9340308725786684E-2</c:v>
                </c:pt>
                <c:pt idx="6">
                  <c:v>0.24174726973565361</c:v>
                </c:pt>
                <c:pt idx="7">
                  <c:v>0.36797464154264958</c:v>
                </c:pt>
                <c:pt idx="8">
                  <c:v>-0.27300478009256213</c:v>
                </c:pt>
                <c:pt idx="9">
                  <c:v>-9.5520413536078555E-2</c:v>
                </c:pt>
                <c:pt idx="10">
                  <c:v>6.1349404829024776E-2</c:v>
                </c:pt>
              </c:numCache>
            </c:numRef>
          </c:val>
          <c:extLst>
            <c:ext xmlns:c16="http://schemas.microsoft.com/office/drawing/2014/chart" uri="{C3380CC4-5D6E-409C-BE32-E72D297353CC}">
              <c16:uniqueId val="{00000006-FBEC-4A78-B8BE-76AA9E11E993}"/>
            </c:ext>
          </c:extLst>
        </c:ser>
        <c:ser>
          <c:idx val="7"/>
          <c:order val="7"/>
          <c:tx>
            <c:strRef>
              <c:f>'GRAF příspěvky IPP'!$AX$34</c:f>
              <c:strCache>
                <c:ptCount val="1"/>
                <c:pt idx="0">
                  <c:v>Chemical and pharmaceutical ind. (20, 21)</c:v>
                </c:pt>
              </c:strCache>
            </c:strRef>
          </c:tx>
          <c:spPr>
            <a:solidFill>
              <a:srgbClr val="F8A124"/>
            </a:solidFill>
            <a:ln>
              <a:noFill/>
            </a:ln>
          </c:spPr>
          <c:invertIfNegative val="0"/>
          <c:cat>
            <c:numRef>
              <c:f>'GRAF příspěvky IPP'!$AY$26:$BI$26</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'GRAF příspěvky IPP'!$AY$34:$BI$34</c:f>
              <c:numCache>
                <c:formatCode>0.0</c:formatCode>
                <c:ptCount val="11"/>
                <c:pt idx="0">
                  <c:v>-0.16156575585733979</c:v>
                </c:pt>
                <c:pt idx="1">
                  <c:v>8.6682655638041811E-2</c:v>
                </c:pt>
                <c:pt idx="2">
                  <c:v>-2.7149440767918046E-2</c:v>
                </c:pt>
                <c:pt idx="3">
                  <c:v>0.29845988497299419</c:v>
                </c:pt>
                <c:pt idx="4">
                  <c:v>-4.8215366302412521E-2</c:v>
                </c:pt>
                <c:pt idx="5">
                  <c:v>-0.17668220570989085</c:v>
                </c:pt>
                <c:pt idx="6">
                  <c:v>0.62602466997723716</c:v>
                </c:pt>
                <c:pt idx="7">
                  <c:v>8.9846852688779275E-2</c:v>
                </c:pt>
                <c:pt idx="8">
                  <c:v>0.10046501968954087</c:v>
                </c:pt>
                <c:pt idx="9">
                  <c:v>-9.0999749509208028E-2</c:v>
                </c:pt>
                <c:pt idx="10">
                  <c:v>0.34310143113188724</c:v>
                </c:pt>
              </c:numCache>
            </c:numRef>
          </c:val>
          <c:extLst>
            <c:ext xmlns:c16="http://schemas.microsoft.com/office/drawing/2014/chart" uri="{C3380CC4-5D6E-409C-BE32-E72D297353CC}">
              <c16:uniqueId val="{00000007-FBEC-4A78-B8BE-76AA9E11E993}"/>
            </c:ext>
          </c:extLst>
        </c:ser>
        <c:ser>
          <c:idx val="8"/>
          <c:order val="8"/>
          <c:tx>
            <c:strRef>
              <c:f>'GRAF příspěvky IPP'!$AX$35</c:f>
              <c:strCache>
                <c:ptCount val="1"/>
                <c:pt idx="0">
                  <c:v>Remaining manufacturing industries</c:v>
                </c:pt>
              </c:strCache>
            </c:strRef>
          </c:tx>
          <c:spPr>
            <a:solidFill>
              <a:schemeClr val="bg1">
                <a:lumMod val="85000"/>
              </a:schemeClr>
            </a:solidFill>
            <a:ln w="19050">
              <a:noFill/>
            </a:ln>
          </c:spPr>
          <c:invertIfNegative val="0"/>
          <c:cat>
            <c:numRef>
              <c:f>'GRAF příspěvky IPP'!$AY$26:$BI$26</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'GRAF příspěvky IPP'!$AY$35:$BI$35</c:f>
              <c:numCache>
                <c:formatCode>0.0</c:formatCode>
                <c:ptCount val="11"/>
                <c:pt idx="0">
                  <c:v>-0.56916406339645897</c:v>
                </c:pt>
                <c:pt idx="1">
                  <c:v>-0.67742779643732831</c:v>
                </c:pt>
                <c:pt idx="2">
                  <c:v>0.49387110283879532</c:v>
                </c:pt>
                <c:pt idx="3">
                  <c:v>0.79463437886935173</c:v>
                </c:pt>
                <c:pt idx="4">
                  <c:v>0.38090270740310611</c:v>
                </c:pt>
                <c:pt idx="5">
                  <c:v>0.17970615335130233</c:v>
                </c:pt>
                <c:pt idx="6">
                  <c:v>0.72069777432432625</c:v>
                </c:pt>
                <c:pt idx="7">
                  <c:v>0.5297068811203568</c:v>
                </c:pt>
                <c:pt idx="8">
                  <c:v>-8.3812887789100177E-2</c:v>
                </c:pt>
                <c:pt idx="9">
                  <c:v>-0.35135335252020361</c:v>
                </c:pt>
                <c:pt idx="10">
                  <c:v>0.98876363368527698</c:v>
                </c:pt>
              </c:numCache>
            </c:numRef>
          </c:val>
          <c:extLst>
            <c:ext xmlns:c16="http://schemas.microsoft.com/office/drawing/2014/chart" uri="{C3380CC4-5D6E-409C-BE32-E72D297353CC}">
              <c16:uniqueId val="{00000008-FBEC-4A78-B8BE-76AA9E11E993}"/>
            </c:ext>
          </c:extLst>
        </c:ser>
        <c:ser>
          <c:idx val="9"/>
          <c:order val="9"/>
          <c:tx>
            <c:strRef>
              <c:f>'GRAF příspěvky IPP'!$AX$36</c:f>
              <c:strCache>
                <c:ptCount val="1"/>
                <c:pt idx="0">
                  <c:v>Mining and energetics (B, D)</c:v>
                </c:pt>
              </c:strCache>
            </c:strRef>
          </c:tx>
          <c:spPr>
            <a:solidFill>
              <a:srgbClr val="808080"/>
            </a:solidFill>
            <a:ln w="28575">
              <a:noFill/>
            </a:ln>
          </c:spPr>
          <c:invertIfNegative val="0"/>
          <c:cat>
            <c:numRef>
              <c:f>'GRAF příspěvky IPP'!$AY$26:$BI$26</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'GRAF příspěvky IPP'!$AY$36:$BI$36</c:f>
              <c:numCache>
                <c:formatCode>0.0</c:formatCode>
                <c:ptCount val="11"/>
                <c:pt idx="0">
                  <c:v>-9.607120546763695E-2</c:v>
                </c:pt>
                <c:pt idx="1">
                  <c:v>-0.2109667662153778</c:v>
                </c:pt>
                <c:pt idx="2">
                  <c:v>-0.66791465814835604</c:v>
                </c:pt>
                <c:pt idx="3">
                  <c:v>-0.50641695797450248</c:v>
                </c:pt>
                <c:pt idx="4">
                  <c:v>-0.4354627250727533</c:v>
                </c:pt>
                <c:pt idx="5">
                  <c:v>-0.11818229951456684</c:v>
                </c:pt>
                <c:pt idx="6">
                  <c:v>0.48507387148538372</c:v>
                </c:pt>
                <c:pt idx="7">
                  <c:v>0.13857733752924239</c:v>
                </c:pt>
                <c:pt idx="8">
                  <c:v>-0.17877596012042432</c:v>
                </c:pt>
                <c:pt idx="9">
                  <c:v>-1.0008706198299531</c:v>
                </c:pt>
                <c:pt idx="10">
                  <c:v>0.50424113315397279</c:v>
                </c:pt>
              </c:numCache>
            </c:numRef>
          </c:val>
          <c:extLst>
            <c:ext xmlns:c16="http://schemas.microsoft.com/office/drawing/2014/chart" uri="{C3380CC4-5D6E-409C-BE32-E72D297353CC}">
              <c16:uniqueId val="{00000009-FBEC-4A78-B8BE-76AA9E11E993}"/>
            </c:ext>
          </c:extLst>
        </c:ser>
        <c:dLbls>
          <c:showLegendKey val="0"/>
          <c:showVal val="0"/>
          <c:showCatName val="0"/>
          <c:showSerName val="0"/>
          <c:showPercent val="0"/>
          <c:showBubbleSize val="0"/>
        </c:dLbls>
        <c:gapWidth val="70"/>
        <c:overlap val="100"/>
        <c:axId val="112768128"/>
        <c:axId val="112769664"/>
      </c:barChart>
      <c:lineChart>
        <c:grouping val="standard"/>
        <c:varyColors val="0"/>
        <c:ser>
          <c:idx val="10"/>
          <c:order val="10"/>
          <c:tx>
            <c:strRef>
              <c:f>'GRAF příspěvky IPP'!$AX$37</c:f>
              <c:strCache>
                <c:ptCount val="1"/>
                <c:pt idx="0">
                  <c:v>Total industry (NACE B, C, D)</c:v>
                </c:pt>
              </c:strCache>
            </c:strRef>
          </c:tx>
          <c:spPr>
            <a:ln w="19050">
              <a:noFill/>
              <a:prstDash val="sysDash"/>
            </a:ln>
          </c:spPr>
          <c:marker>
            <c:symbol val="circle"/>
            <c:size val="6"/>
            <c:spPr>
              <a:solidFill>
                <a:schemeClr val="bg1"/>
              </a:solidFill>
              <a:ln>
                <a:solidFill>
                  <a:schemeClr val="tx1">
                    <a:lumMod val="95000"/>
                    <a:lumOff val="5000"/>
                  </a:schemeClr>
                </a:solidFill>
              </a:ln>
            </c:spPr>
          </c:marker>
          <c:cat>
            <c:numRef>
              <c:f>'GRAF příspěvky IPP'!$AY$26:$BI$26</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'GRAF příspěvky IPP'!$AY$37:$BI$37</c:f>
              <c:numCache>
                <c:formatCode>0.0</c:formatCode>
                <c:ptCount val="11"/>
                <c:pt idx="0">
                  <c:v>5.6401833126000014</c:v>
                </c:pt>
                <c:pt idx="1">
                  <c:v>-0.90603577779999966</c:v>
                </c:pt>
                <c:pt idx="2">
                  <c:v>0.16335070239999538</c:v>
                </c:pt>
                <c:pt idx="3">
                  <c:v>5.1000838873000021</c:v>
                </c:pt>
                <c:pt idx="4">
                  <c:v>4.5066545898999948</c:v>
                </c:pt>
                <c:pt idx="5">
                  <c:v>3.077365608400001</c:v>
                </c:pt>
                <c:pt idx="6">
                  <c:v>6.7375789339999983</c:v>
                </c:pt>
                <c:pt idx="7">
                  <c:v>3.0620754609000045</c:v>
                </c:pt>
                <c:pt idx="8">
                  <c:v>-0.34423374380000382</c:v>
                </c:pt>
                <c:pt idx="9">
                  <c:v>-7.1883069735000049</c:v>
                </c:pt>
                <c:pt idx="10">
                  <c:v>6.643931599499993</c:v>
                </c:pt>
              </c:numCache>
            </c:numRef>
          </c:val>
          <c:smooth val="0"/>
          <c:extLst>
            <c:ext xmlns:c16="http://schemas.microsoft.com/office/drawing/2014/chart" uri="{C3380CC4-5D6E-409C-BE32-E72D297353CC}">
              <c16:uniqueId val="{0000000A-FBEC-4A78-B8BE-76AA9E11E993}"/>
            </c:ext>
          </c:extLst>
        </c:ser>
        <c:ser>
          <c:idx val="11"/>
          <c:order val="11"/>
          <c:tx>
            <c:strRef>
              <c:f>'GRAF příspěvky IPP'!$AX$38</c:f>
              <c:strCache>
                <c:ptCount val="1"/>
              </c:strCache>
            </c:strRef>
          </c:tx>
          <c:spPr>
            <a:ln w="19050">
              <a:noFill/>
              <a:prstDash val="dash"/>
            </a:ln>
          </c:spPr>
          <c:marker>
            <c:symbol val="none"/>
          </c:marker>
          <c:cat>
            <c:numRef>
              <c:f>'GRAF příspěvky IPP'!$AY$26:$BI$26</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'GRAF příspěvky IPP'!$AY$38:$BI$38</c:f>
              <c:numCache>
                <c:formatCode>General</c:formatCode>
                <c:ptCount val="11"/>
              </c:numCache>
            </c:numRef>
          </c:val>
          <c:smooth val="0"/>
          <c:extLst>
            <c:ext xmlns:c16="http://schemas.microsoft.com/office/drawing/2014/chart" uri="{C3380CC4-5D6E-409C-BE32-E72D297353CC}">
              <c16:uniqueId val="{0000000B-FBEC-4A78-B8BE-76AA9E11E993}"/>
            </c:ext>
          </c:extLst>
        </c:ser>
        <c:ser>
          <c:idx val="12"/>
          <c:order val="12"/>
          <c:tx>
            <c:strRef>
              <c:f>'GRAF příspěvky IPP'!$AX$39</c:f>
              <c:strCache>
                <c:ptCount val="1"/>
                <c:pt idx="0">
                  <c:v>Sales: total industry</c:v>
                </c:pt>
              </c:strCache>
            </c:strRef>
          </c:tx>
          <c:spPr>
            <a:ln w="19050">
              <a:solidFill>
                <a:prstClr val="black">
                  <a:lumMod val="95000"/>
                  <a:lumOff val="5000"/>
                </a:prstClr>
              </a:solidFill>
              <a:prstDash val="sysDash"/>
            </a:ln>
          </c:spPr>
          <c:marker>
            <c:symbol val="none"/>
          </c:marker>
          <c:cat>
            <c:numRef>
              <c:f>'GRAF příspěvky IPP'!$AY$26:$BI$26</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'GRAF příspěvky IPP'!$AY$39:$BI$39</c:f>
              <c:numCache>
                <c:formatCode>0.0</c:formatCode>
                <c:ptCount val="11"/>
                <c:pt idx="0">
                  <c:v>7.5249559659000056</c:v>
                </c:pt>
                <c:pt idx="1">
                  <c:v>2.0202466914000041</c:v>
                </c:pt>
                <c:pt idx="2">
                  <c:v>1.5219869785999975</c:v>
                </c:pt>
                <c:pt idx="3">
                  <c:v>9.1294819820000015</c:v>
                </c:pt>
                <c:pt idx="4">
                  <c:v>2.2410048244999956</c:v>
                </c:pt>
                <c:pt idx="5">
                  <c:v>0.82079141740000239</c:v>
                </c:pt>
                <c:pt idx="6">
                  <c:v>7.4675904977000016</c:v>
                </c:pt>
                <c:pt idx="7">
                  <c:v>3.519910568100002</c:v>
                </c:pt>
                <c:pt idx="8">
                  <c:v>0.89447335159999852</c:v>
                </c:pt>
                <c:pt idx="9">
                  <c:v>-6.1210800392999971</c:v>
                </c:pt>
                <c:pt idx="10">
                  <c:v>10.816976392399994</c:v>
                </c:pt>
              </c:numCache>
            </c:numRef>
          </c:val>
          <c:smooth val="0"/>
          <c:extLst>
            <c:ext xmlns:c16="http://schemas.microsoft.com/office/drawing/2014/chart" uri="{C3380CC4-5D6E-409C-BE32-E72D297353CC}">
              <c16:uniqueId val="{0000000C-FBEC-4A78-B8BE-76AA9E11E993}"/>
            </c:ext>
          </c:extLst>
        </c:ser>
        <c:ser>
          <c:idx val="13"/>
          <c:order val="13"/>
          <c:tx>
            <c:strRef>
              <c:f>'GRAF příspěvky IPP'!$AX$40</c:f>
              <c:strCache>
                <c:ptCount val="1"/>
                <c:pt idx="0">
                  <c:v>in that sales from direct export</c:v>
                </c:pt>
              </c:strCache>
            </c:strRef>
          </c:tx>
          <c:spPr>
            <a:ln w="19050">
              <a:solidFill>
                <a:schemeClr val="bg1">
                  <a:lumMod val="65000"/>
                </a:schemeClr>
              </a:solidFill>
              <a:prstDash val="dash"/>
            </a:ln>
          </c:spPr>
          <c:marker>
            <c:symbol val="none"/>
          </c:marker>
          <c:cat>
            <c:numRef>
              <c:f>'GRAF příspěvky IPP'!$AY$26:$BI$26</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'GRAF příspěvky IPP'!$AY$40:$BI$40</c:f>
              <c:numCache>
                <c:formatCode>0.0</c:formatCode>
                <c:ptCount val="11"/>
                <c:pt idx="0">
                  <c:v>15.469535951200001</c:v>
                </c:pt>
                <c:pt idx="1">
                  <c:v>3.247135339899998</c:v>
                </c:pt>
                <c:pt idx="2">
                  <c:v>4.0495693422000016</c:v>
                </c:pt>
                <c:pt idx="3">
                  <c:v>16.800712510500006</c:v>
                </c:pt>
                <c:pt idx="4">
                  <c:v>4.9151457015999966</c:v>
                </c:pt>
                <c:pt idx="5">
                  <c:v>2.2374406922999981</c:v>
                </c:pt>
                <c:pt idx="6">
                  <c:v>5.6719233272000054</c:v>
                </c:pt>
                <c:pt idx="7">
                  <c:v>2.8234489278000012</c:v>
                </c:pt>
                <c:pt idx="8">
                  <c:v>4.9321756000040295E-3</c:v>
                </c:pt>
                <c:pt idx="9">
                  <c:v>-6.0676591449000057</c:v>
                </c:pt>
                <c:pt idx="10">
                  <c:v>10.953112416799996</c:v>
                </c:pt>
              </c:numCache>
            </c:numRef>
          </c:val>
          <c:smooth val="0"/>
          <c:extLst>
            <c:ext xmlns:c16="http://schemas.microsoft.com/office/drawing/2014/chart" uri="{C3380CC4-5D6E-409C-BE32-E72D297353CC}">
              <c16:uniqueId val="{0000000D-FBEC-4A78-B8BE-76AA9E11E993}"/>
            </c:ext>
          </c:extLst>
        </c:ser>
        <c:dLbls>
          <c:showLegendKey val="0"/>
          <c:showVal val="0"/>
          <c:showCatName val="0"/>
          <c:showSerName val="0"/>
          <c:showPercent val="0"/>
          <c:showBubbleSize val="0"/>
        </c:dLbls>
        <c:marker val="1"/>
        <c:smooth val="0"/>
        <c:axId val="112768128"/>
        <c:axId val="112769664"/>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18"/>
          <c:min val="-8"/>
        </c:scaling>
        <c:delete val="0"/>
        <c:axPos val="l"/>
        <c:majorGridlines>
          <c:spPr>
            <a:ln>
              <a:solidFill>
                <a:srgbClr val="BEBEBE"/>
              </a:solidFill>
            </a:ln>
          </c:spPr>
        </c:majorGridlines>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2"/>
      </c:valAx>
      <c:spPr>
        <a:noFill/>
        <a:ln w="6350">
          <a:solidFill>
            <a:prstClr val="black">
              <a:lumMod val="95000"/>
              <a:lumOff val="5000"/>
            </a:prstClr>
          </a:solidFill>
        </a:ln>
      </c:spPr>
    </c:plotArea>
    <c:legend>
      <c:legendPos val="r"/>
      <c:layout>
        <c:manualLayout>
          <c:xMode val="edge"/>
          <c:yMode val="edge"/>
          <c:x val="7.9159500821296188E-3"/>
          <c:y val="0.78581593103687919"/>
          <c:w val="0.98417619449090221"/>
          <c:h val="0.20017434930643618"/>
        </c:manualLayout>
      </c:layout>
      <c:overlay val="0"/>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5647041011259352E-2"/>
          <c:w val="0.84974974879787502"/>
          <c:h val="0.75764088390324136"/>
        </c:manualLayout>
      </c:layout>
      <c:barChart>
        <c:barDir val="col"/>
        <c:grouping val="clustered"/>
        <c:varyColors val="0"/>
        <c:ser>
          <c:idx val="0"/>
          <c:order val="0"/>
          <c:tx>
            <c:strRef>
              <c:f>'výkonnost odvětví 2'!$A$32</c:f>
              <c:strCache>
                <c:ptCount val="1"/>
                <c:pt idx="0">
                  <c:v>Total industry orders</c:v>
                </c:pt>
              </c:strCache>
            </c:strRef>
          </c:tx>
          <c:spPr>
            <a:solidFill>
              <a:schemeClr val="bg1">
                <a:lumMod val="65000"/>
              </a:schemeClr>
            </a:solidFill>
            <a:ln>
              <a:noFill/>
            </a:ln>
          </c:spPr>
          <c:invertIfNegative val="0"/>
          <c:cat>
            <c:multiLvlStrRef>
              <c:f>'výkonnost odvětví 2'!$R$30:$AT$31</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2'!$R$32:$AT$32</c:f>
              <c:numCache>
                <c:formatCode>##0.0</c:formatCode>
                <c:ptCount val="29"/>
                <c:pt idx="0">
                  <c:v>8.5341066790000042</c:v>
                </c:pt>
                <c:pt idx="1">
                  <c:v>6.3751337507000017</c:v>
                </c:pt>
                <c:pt idx="2">
                  <c:v>6.0389152520999971</c:v>
                </c:pt>
                <c:pt idx="3">
                  <c:v>5.2688806407000044</c:v>
                </c:pt>
                <c:pt idx="4">
                  <c:v>2.6303368083000009</c:v>
                </c:pt>
                <c:pt idx="5">
                  <c:v>7.5468571480000008</c:v>
                </c:pt>
                <c:pt idx="6">
                  <c:v>2.3582562295000002</c:v>
                </c:pt>
                <c:pt idx="7">
                  <c:v>6.6387502374000036</c:v>
                </c:pt>
                <c:pt idx="8">
                  <c:v>7.2930461770999955</c:v>
                </c:pt>
                <c:pt idx="9">
                  <c:v>8.1858416139999974</c:v>
                </c:pt>
                <c:pt idx="10">
                  <c:v>7.9475457356000021</c:v>
                </c:pt>
                <c:pt idx="11">
                  <c:v>7.3525292791999988</c:v>
                </c:pt>
                <c:pt idx="12">
                  <c:v>3.4332835439000036</c:v>
                </c:pt>
                <c:pt idx="13">
                  <c:v>3.7186041536999994</c:v>
                </c:pt>
                <c:pt idx="14">
                  <c:v>3.8026421203999945</c:v>
                </c:pt>
                <c:pt idx="15">
                  <c:v>3.106459229500004</c:v>
                </c:pt>
                <c:pt idx="16">
                  <c:v>3.2183595436000019</c:v>
                </c:pt>
                <c:pt idx="17">
                  <c:v>1.4149495925999958</c:v>
                </c:pt>
                <c:pt idx="18">
                  <c:v>-0.22815532609999423</c:v>
                </c:pt>
                <c:pt idx="19">
                  <c:v>-3.810834207100001</c:v>
                </c:pt>
                <c:pt idx="20">
                  <c:v>-2.0840873764000065</c:v>
                </c:pt>
                <c:pt idx="21">
                  <c:v>-27.668452791999997</c:v>
                </c:pt>
                <c:pt idx="22">
                  <c:v>-1.3192166399000058</c:v>
                </c:pt>
                <c:pt idx="23">
                  <c:v>7.1511733200999998</c:v>
                </c:pt>
                <c:pt idx="24">
                  <c:v>8.3933103138000007</c:v>
                </c:pt>
                <c:pt idx="25">
                  <c:v>47.920282285599995</c:v>
                </c:pt>
                <c:pt idx="26">
                  <c:v>7.3037126863000026</c:v>
                </c:pt>
                <c:pt idx="27">
                  <c:v>3.5943563839000063</c:v>
                </c:pt>
              </c:numCache>
            </c:numRef>
          </c:val>
          <c:extLst>
            <c:ext xmlns:c16="http://schemas.microsoft.com/office/drawing/2014/chart" uri="{C3380CC4-5D6E-409C-BE32-E72D297353CC}">
              <c16:uniqueId val="{00000000-94B8-4BCC-83A0-4202A764A754}"/>
            </c:ext>
          </c:extLst>
        </c:ser>
        <c:dLbls>
          <c:showLegendKey val="0"/>
          <c:showVal val="0"/>
          <c:showCatName val="0"/>
          <c:showSerName val="0"/>
          <c:showPercent val="0"/>
          <c:showBubbleSize val="0"/>
        </c:dLbls>
        <c:gapWidth val="30"/>
        <c:axId val="112768128"/>
        <c:axId val="112769664"/>
      </c:barChart>
      <c:lineChart>
        <c:grouping val="standard"/>
        <c:varyColors val="0"/>
        <c:ser>
          <c:idx val="1"/>
          <c:order val="1"/>
          <c:tx>
            <c:strRef>
              <c:f>'výkonnost odvětví 2'!$A$33</c:f>
              <c:strCache>
                <c:ptCount val="1"/>
                <c:pt idx="0">
                  <c:v>In that: domestic orders</c:v>
                </c:pt>
              </c:strCache>
            </c:strRef>
          </c:tx>
          <c:spPr>
            <a:ln w="15875">
              <a:noFill/>
              <a:prstDash val="sysDot"/>
            </a:ln>
          </c:spPr>
          <c:marker>
            <c:symbol val="diamond"/>
            <c:size val="5"/>
            <c:spPr>
              <a:solidFill>
                <a:srgbClr val="984807"/>
              </a:solidFill>
              <a:ln>
                <a:noFill/>
              </a:ln>
            </c:spPr>
          </c:marker>
          <c:cat>
            <c:multiLvlStrRef>
              <c:f>'výkonnost odvětví 2'!$R$30:$AT$31</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2'!$R$33:$AT$33</c:f>
              <c:numCache>
                <c:formatCode>##0.0</c:formatCode>
                <c:ptCount val="29"/>
                <c:pt idx="0">
                  <c:v>4.3678555678000066</c:v>
                </c:pt>
                <c:pt idx="1">
                  <c:v>9.9380074582000049</c:v>
                </c:pt>
                <c:pt idx="2">
                  <c:v>-2.8625917786000059</c:v>
                </c:pt>
                <c:pt idx="3">
                  <c:v>-0.24449638430000675</c:v>
                </c:pt>
                <c:pt idx="4">
                  <c:v>1.5608556055999969</c:v>
                </c:pt>
                <c:pt idx="5">
                  <c:v>1.4530189575000065</c:v>
                </c:pt>
                <c:pt idx="6">
                  <c:v>0.19507191760000353</c:v>
                </c:pt>
                <c:pt idx="7">
                  <c:v>2.810568046100002</c:v>
                </c:pt>
                <c:pt idx="8">
                  <c:v>12.6195755233</c:v>
                </c:pt>
                <c:pt idx="9">
                  <c:v>15.740843176200002</c:v>
                </c:pt>
                <c:pt idx="10">
                  <c:v>15.881411785300003</c:v>
                </c:pt>
                <c:pt idx="11">
                  <c:v>15.4396235432</c:v>
                </c:pt>
                <c:pt idx="12">
                  <c:v>1.4059943362999974</c:v>
                </c:pt>
                <c:pt idx="13">
                  <c:v>2.5119296337000065</c:v>
                </c:pt>
                <c:pt idx="14">
                  <c:v>4.7248831052000071</c:v>
                </c:pt>
                <c:pt idx="15">
                  <c:v>3.5273288478999945</c:v>
                </c:pt>
                <c:pt idx="16">
                  <c:v>8.0476176921000047</c:v>
                </c:pt>
                <c:pt idx="17">
                  <c:v>5.293639082599995</c:v>
                </c:pt>
                <c:pt idx="18">
                  <c:v>0.41940306940000482</c:v>
                </c:pt>
                <c:pt idx="19">
                  <c:v>-1.3456257084999947</c:v>
                </c:pt>
                <c:pt idx="20">
                  <c:v>5.5521264895999991</c:v>
                </c:pt>
                <c:pt idx="21">
                  <c:v>-25.896794335699994</c:v>
                </c:pt>
                <c:pt idx="22">
                  <c:v>-3.0500801793999983</c:v>
                </c:pt>
                <c:pt idx="23">
                  <c:v>6.9102540989999994</c:v>
                </c:pt>
                <c:pt idx="24">
                  <c:v>-2.8240111939999935</c:v>
                </c:pt>
                <c:pt idx="25">
                  <c:v>43.485654564800001</c:v>
                </c:pt>
                <c:pt idx="26">
                  <c:v>9.2738562507000069</c:v>
                </c:pt>
                <c:pt idx="27">
                  <c:v>5.3992358315999951</c:v>
                </c:pt>
              </c:numCache>
            </c:numRef>
          </c:val>
          <c:smooth val="0"/>
          <c:extLst>
            <c:ext xmlns:c16="http://schemas.microsoft.com/office/drawing/2014/chart" uri="{C3380CC4-5D6E-409C-BE32-E72D297353CC}">
              <c16:uniqueId val="{00000001-94B8-4BCC-83A0-4202A764A754}"/>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2"/>
          <c:order val="2"/>
          <c:tx>
            <c:strRef>
              <c:f>'výkonnost odvětví 2'!$A$34</c:f>
              <c:strCache>
                <c:ptCount val="1"/>
                <c:pt idx="0">
                  <c:v>Production capacities (industry, total) </c:v>
                </c:pt>
              </c:strCache>
            </c:strRef>
          </c:tx>
          <c:spPr>
            <a:ln w="15875">
              <a:solidFill>
                <a:schemeClr val="accent6">
                  <a:lumMod val="75000"/>
                </a:schemeClr>
              </a:solidFill>
            </a:ln>
          </c:spPr>
          <c:marker>
            <c:symbol val="none"/>
          </c:marker>
          <c:cat>
            <c:multiLvlStrRef>
              <c:f>'výkonnost odvětví 2'!$R$30:$AT$31</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2'!$R$34:$AT$34</c:f>
              <c:numCache>
                <c:formatCode>##0.0</c:formatCode>
                <c:ptCount val="29"/>
                <c:pt idx="0">
                  <c:v>86.2</c:v>
                </c:pt>
                <c:pt idx="1">
                  <c:v>85</c:v>
                </c:pt>
                <c:pt idx="2">
                  <c:v>85.6</c:v>
                </c:pt>
                <c:pt idx="3">
                  <c:v>83.9</c:v>
                </c:pt>
                <c:pt idx="4">
                  <c:v>84.5</c:v>
                </c:pt>
                <c:pt idx="5">
                  <c:v>84.7</c:v>
                </c:pt>
                <c:pt idx="6">
                  <c:v>84.7</c:v>
                </c:pt>
                <c:pt idx="7">
                  <c:v>84.1</c:v>
                </c:pt>
                <c:pt idx="8">
                  <c:v>84.9</c:v>
                </c:pt>
                <c:pt idx="9">
                  <c:v>83.1</c:v>
                </c:pt>
                <c:pt idx="10">
                  <c:v>84.4</c:v>
                </c:pt>
                <c:pt idx="11">
                  <c:v>84.3</c:v>
                </c:pt>
                <c:pt idx="12">
                  <c:v>85.8</c:v>
                </c:pt>
                <c:pt idx="13">
                  <c:v>85.4</c:v>
                </c:pt>
                <c:pt idx="14">
                  <c:v>86.2</c:v>
                </c:pt>
                <c:pt idx="15">
                  <c:v>85.8</c:v>
                </c:pt>
                <c:pt idx="16">
                  <c:v>85.8</c:v>
                </c:pt>
                <c:pt idx="17">
                  <c:v>85.9</c:v>
                </c:pt>
                <c:pt idx="18">
                  <c:v>84.8</c:v>
                </c:pt>
                <c:pt idx="19">
                  <c:v>84.1</c:v>
                </c:pt>
                <c:pt idx="20">
                  <c:v>84.2</c:v>
                </c:pt>
                <c:pt idx="21">
                  <c:v>71</c:v>
                </c:pt>
                <c:pt idx="22">
                  <c:v>75.5</c:v>
                </c:pt>
                <c:pt idx="23">
                  <c:v>81.099999999999994</c:v>
                </c:pt>
                <c:pt idx="24">
                  <c:v>83.4</c:v>
                </c:pt>
                <c:pt idx="25">
                  <c:v>87.5</c:v>
                </c:pt>
                <c:pt idx="26">
                  <c:v>88.1</c:v>
                </c:pt>
                <c:pt idx="27">
                  <c:v>77.3</c:v>
                </c:pt>
                <c:pt idx="28">
                  <c:v>81.7</c:v>
                </c:pt>
              </c:numCache>
            </c:numRef>
          </c:val>
          <c:smooth val="0"/>
          <c:extLst>
            <c:ext xmlns:c16="http://schemas.microsoft.com/office/drawing/2014/chart" uri="{C3380CC4-5D6E-409C-BE32-E72D297353CC}">
              <c16:uniqueId val="{00000002-94B8-4BCC-83A0-4202A764A754}"/>
            </c:ext>
          </c:extLst>
        </c:ser>
        <c:ser>
          <c:idx val="3"/>
          <c:order val="3"/>
          <c:tx>
            <c:strRef>
              <c:f>'výkonnost odvětví 2'!$A$35</c:f>
              <c:strCache>
                <c:ptCount val="1"/>
                <c:pt idx="0">
                  <c:v>Production capacities (motor vehicle ind.)</c:v>
                </c:pt>
              </c:strCache>
            </c:strRef>
          </c:tx>
          <c:spPr>
            <a:ln w="15875">
              <a:solidFill>
                <a:schemeClr val="accent6">
                  <a:lumMod val="75000"/>
                </a:schemeClr>
              </a:solidFill>
              <a:prstDash val="sysDash"/>
            </a:ln>
          </c:spPr>
          <c:marker>
            <c:symbol val="none"/>
          </c:marker>
          <c:cat>
            <c:multiLvlStrRef>
              <c:f>'výkonnost odvětví 2'!$R$30:$AT$31</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2'!$R$35:$AT$35</c:f>
              <c:numCache>
                <c:formatCode>0.0</c:formatCode>
                <c:ptCount val="29"/>
                <c:pt idx="0">
                  <c:v>92.8</c:v>
                </c:pt>
                <c:pt idx="1">
                  <c:v>91.1</c:v>
                </c:pt>
                <c:pt idx="2">
                  <c:v>93.1</c:v>
                </c:pt>
                <c:pt idx="3">
                  <c:v>88.7</c:v>
                </c:pt>
                <c:pt idx="4">
                  <c:v>91.6</c:v>
                </c:pt>
                <c:pt idx="5">
                  <c:v>90.3</c:v>
                </c:pt>
                <c:pt idx="6">
                  <c:v>93.1</c:v>
                </c:pt>
                <c:pt idx="7">
                  <c:v>90.9</c:v>
                </c:pt>
                <c:pt idx="8">
                  <c:v>93.2</c:v>
                </c:pt>
                <c:pt idx="9">
                  <c:v>87.3</c:v>
                </c:pt>
                <c:pt idx="10">
                  <c:v>90.7</c:v>
                </c:pt>
                <c:pt idx="11">
                  <c:v>90.5</c:v>
                </c:pt>
                <c:pt idx="12">
                  <c:v>91.1</c:v>
                </c:pt>
                <c:pt idx="13">
                  <c:v>91.6</c:v>
                </c:pt>
                <c:pt idx="14">
                  <c:v>92.1</c:v>
                </c:pt>
                <c:pt idx="15">
                  <c:v>93</c:v>
                </c:pt>
                <c:pt idx="16">
                  <c:v>92.8</c:v>
                </c:pt>
                <c:pt idx="17">
                  <c:v>93.6</c:v>
                </c:pt>
                <c:pt idx="18">
                  <c:v>92.3</c:v>
                </c:pt>
                <c:pt idx="19">
                  <c:v>93.4</c:v>
                </c:pt>
                <c:pt idx="20">
                  <c:v>90.5</c:v>
                </c:pt>
                <c:pt idx="21">
                  <c:v>50.8</c:v>
                </c:pt>
                <c:pt idx="22" formatCode="General">
                  <c:v>75.3</c:v>
                </c:pt>
                <c:pt idx="23" formatCode="General">
                  <c:v>90.9</c:v>
                </c:pt>
                <c:pt idx="24" formatCode="General">
                  <c:v>90.3</c:v>
                </c:pt>
                <c:pt idx="25" formatCode="General">
                  <c:v>99.1</c:v>
                </c:pt>
                <c:pt idx="26" formatCode="General">
                  <c:v>94.7</c:v>
                </c:pt>
                <c:pt idx="27" formatCode="General">
                  <c:v>56.5</c:v>
                </c:pt>
                <c:pt idx="28" formatCode="General">
                  <c:v>79.3</c:v>
                </c:pt>
              </c:numCache>
            </c:numRef>
          </c:val>
          <c:smooth val="0"/>
          <c:extLst>
            <c:ext xmlns:c16="http://schemas.microsoft.com/office/drawing/2014/chart" uri="{C3380CC4-5D6E-409C-BE32-E72D297353CC}">
              <c16:uniqueId val="{00000003-94B8-4BCC-83A0-4202A764A754}"/>
            </c:ext>
          </c:extLst>
        </c:ser>
        <c:ser>
          <c:idx val="4"/>
          <c:order val="4"/>
          <c:tx>
            <c:strRef>
              <c:f>'výkonnost odvětví 2'!$A$36</c:f>
              <c:strCache>
                <c:ptCount val="1"/>
                <c:pt idx="0">
                  <c:v>Barrier: inadequate demand</c:v>
                </c:pt>
              </c:strCache>
            </c:strRef>
          </c:tx>
          <c:spPr>
            <a:ln w="15875">
              <a:solidFill>
                <a:srgbClr val="00B050"/>
              </a:solidFill>
            </a:ln>
          </c:spPr>
          <c:marker>
            <c:symbol val="none"/>
          </c:marker>
          <c:cat>
            <c:multiLvlStrRef>
              <c:f>'výkonnost odvětví 2'!$R$30:$AT$31</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2'!$R$36:$AT$36</c:f>
              <c:numCache>
                <c:formatCode>#\ ##0.0</c:formatCode>
                <c:ptCount val="29"/>
                <c:pt idx="0">
                  <c:v>43.6</c:v>
                </c:pt>
                <c:pt idx="1">
                  <c:v>49.6</c:v>
                </c:pt>
                <c:pt idx="2">
                  <c:v>47.8</c:v>
                </c:pt>
                <c:pt idx="3">
                  <c:v>47.8</c:v>
                </c:pt>
                <c:pt idx="4">
                  <c:v>45.7</c:v>
                </c:pt>
                <c:pt idx="5">
                  <c:v>45.5</c:v>
                </c:pt>
                <c:pt idx="6">
                  <c:v>43</c:v>
                </c:pt>
                <c:pt idx="7">
                  <c:v>43.8</c:v>
                </c:pt>
                <c:pt idx="8">
                  <c:v>42.7</c:v>
                </c:pt>
                <c:pt idx="9">
                  <c:v>41.6</c:v>
                </c:pt>
                <c:pt idx="10">
                  <c:v>40.299999999999997</c:v>
                </c:pt>
                <c:pt idx="11">
                  <c:v>37.299999999999997</c:v>
                </c:pt>
                <c:pt idx="12">
                  <c:v>35.4</c:v>
                </c:pt>
                <c:pt idx="13">
                  <c:v>36</c:v>
                </c:pt>
                <c:pt idx="14">
                  <c:v>31.6</c:v>
                </c:pt>
                <c:pt idx="15">
                  <c:v>33.4</c:v>
                </c:pt>
                <c:pt idx="16">
                  <c:v>33.700000000000003</c:v>
                </c:pt>
                <c:pt idx="17">
                  <c:v>35.299999999999997</c:v>
                </c:pt>
                <c:pt idx="18">
                  <c:v>40.1</c:v>
                </c:pt>
                <c:pt idx="19">
                  <c:v>47.3</c:v>
                </c:pt>
                <c:pt idx="20">
                  <c:v>50.4</c:v>
                </c:pt>
                <c:pt idx="21">
                  <c:v>58.4</c:v>
                </c:pt>
                <c:pt idx="22">
                  <c:v>63.2</c:v>
                </c:pt>
                <c:pt idx="23">
                  <c:v>47.9</c:v>
                </c:pt>
                <c:pt idx="24">
                  <c:v>48.7</c:v>
                </c:pt>
                <c:pt idx="25">
                  <c:v>38.5</c:v>
                </c:pt>
                <c:pt idx="26">
                  <c:v>24.5</c:v>
                </c:pt>
                <c:pt idx="27">
                  <c:v>28.2</c:v>
                </c:pt>
                <c:pt idx="28">
                  <c:v>28</c:v>
                </c:pt>
              </c:numCache>
            </c:numRef>
          </c:val>
          <c:smooth val="0"/>
          <c:extLst>
            <c:ext xmlns:c16="http://schemas.microsoft.com/office/drawing/2014/chart" uri="{C3380CC4-5D6E-409C-BE32-E72D297353CC}">
              <c16:uniqueId val="{00000004-94B8-4BCC-83A0-4202A764A754}"/>
            </c:ext>
          </c:extLst>
        </c:ser>
        <c:ser>
          <c:idx val="5"/>
          <c:order val="5"/>
          <c:tx>
            <c:strRef>
              <c:f>'výkonnost odvětví 2'!$A$37</c:f>
              <c:strCache>
                <c:ptCount val="1"/>
                <c:pt idx="0">
                  <c:v>Barrier: shortage of employees</c:v>
                </c:pt>
              </c:strCache>
            </c:strRef>
          </c:tx>
          <c:spPr>
            <a:ln w="15875">
              <a:solidFill>
                <a:srgbClr val="00B050"/>
              </a:solidFill>
              <a:prstDash val="dash"/>
            </a:ln>
          </c:spPr>
          <c:marker>
            <c:symbol val="none"/>
          </c:marker>
          <c:cat>
            <c:multiLvlStrRef>
              <c:f>'výkonnost odvětví 2'!$R$30:$AT$31</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2'!$R$37:$AT$37</c:f>
              <c:numCache>
                <c:formatCode>#\ ##0.0</c:formatCode>
                <c:ptCount val="29"/>
                <c:pt idx="0">
                  <c:v>6.7</c:v>
                </c:pt>
                <c:pt idx="1">
                  <c:v>6.9</c:v>
                </c:pt>
                <c:pt idx="2">
                  <c:v>8.1</c:v>
                </c:pt>
                <c:pt idx="3">
                  <c:v>13.9</c:v>
                </c:pt>
                <c:pt idx="4">
                  <c:v>15.4</c:v>
                </c:pt>
                <c:pt idx="5">
                  <c:v>16.899999999999999</c:v>
                </c:pt>
                <c:pt idx="6">
                  <c:v>18.8</c:v>
                </c:pt>
                <c:pt idx="7">
                  <c:v>28.8</c:v>
                </c:pt>
                <c:pt idx="8">
                  <c:v>32.799999999999997</c:v>
                </c:pt>
                <c:pt idx="9">
                  <c:v>34.700000000000003</c:v>
                </c:pt>
                <c:pt idx="10">
                  <c:v>41.3</c:v>
                </c:pt>
                <c:pt idx="11">
                  <c:v>38.299999999999997</c:v>
                </c:pt>
                <c:pt idx="12">
                  <c:v>43.4</c:v>
                </c:pt>
                <c:pt idx="13">
                  <c:v>43.7</c:v>
                </c:pt>
                <c:pt idx="14">
                  <c:v>43.7</c:v>
                </c:pt>
                <c:pt idx="15">
                  <c:v>44.8</c:v>
                </c:pt>
                <c:pt idx="16">
                  <c:v>38.799999999999997</c:v>
                </c:pt>
                <c:pt idx="17">
                  <c:v>36.4</c:v>
                </c:pt>
                <c:pt idx="18">
                  <c:v>39.5</c:v>
                </c:pt>
                <c:pt idx="19">
                  <c:v>37.200000000000003</c:v>
                </c:pt>
                <c:pt idx="20">
                  <c:v>28.2</c:v>
                </c:pt>
                <c:pt idx="21">
                  <c:v>16.600000000000001</c:v>
                </c:pt>
                <c:pt idx="22">
                  <c:v>15.1</c:v>
                </c:pt>
                <c:pt idx="23">
                  <c:v>13.7</c:v>
                </c:pt>
                <c:pt idx="24">
                  <c:v>20.3</c:v>
                </c:pt>
                <c:pt idx="25">
                  <c:v>21.5</c:v>
                </c:pt>
                <c:pt idx="26">
                  <c:v>26.2</c:v>
                </c:pt>
                <c:pt idx="27">
                  <c:v>21</c:v>
                </c:pt>
                <c:pt idx="28">
                  <c:v>25</c:v>
                </c:pt>
              </c:numCache>
            </c:numRef>
          </c:val>
          <c:smooth val="0"/>
          <c:extLst>
            <c:ext xmlns:c16="http://schemas.microsoft.com/office/drawing/2014/chart" uri="{C3380CC4-5D6E-409C-BE32-E72D297353CC}">
              <c16:uniqueId val="{00000005-94B8-4BCC-83A0-4202A764A754}"/>
            </c:ext>
          </c:extLst>
        </c:ser>
        <c:ser>
          <c:idx val="6"/>
          <c:order val="6"/>
          <c:tx>
            <c:strRef>
              <c:f>'výkonnost odvětví 2'!$A$38</c:f>
              <c:strCache>
                <c:ptCount val="1"/>
                <c:pt idx="0">
                  <c:v>Barrier: shortage of material/equipment</c:v>
                </c:pt>
              </c:strCache>
            </c:strRef>
          </c:tx>
          <c:spPr>
            <a:ln w="15875">
              <a:solidFill>
                <a:srgbClr val="92D050"/>
              </a:solidFill>
              <a:prstDash val="sysDash"/>
            </a:ln>
          </c:spPr>
          <c:marker>
            <c:symbol val="none"/>
          </c:marker>
          <c:cat>
            <c:multiLvlStrRef>
              <c:f>'výkonnost odvětví 2'!$R$30:$AT$31</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2'!$R$38:$AT$38</c:f>
              <c:numCache>
                <c:formatCode>#\ ##0.0</c:formatCode>
                <c:ptCount val="29"/>
                <c:pt idx="0">
                  <c:v>7.8</c:v>
                </c:pt>
                <c:pt idx="1">
                  <c:v>10.1</c:v>
                </c:pt>
                <c:pt idx="2">
                  <c:v>10.5</c:v>
                </c:pt>
                <c:pt idx="3">
                  <c:v>10</c:v>
                </c:pt>
                <c:pt idx="4">
                  <c:v>11.1</c:v>
                </c:pt>
                <c:pt idx="5">
                  <c:v>7.1</c:v>
                </c:pt>
                <c:pt idx="6">
                  <c:v>8.5</c:v>
                </c:pt>
                <c:pt idx="7">
                  <c:v>7.8</c:v>
                </c:pt>
                <c:pt idx="8">
                  <c:v>9.9</c:v>
                </c:pt>
                <c:pt idx="9">
                  <c:v>7.8</c:v>
                </c:pt>
                <c:pt idx="10">
                  <c:v>10</c:v>
                </c:pt>
                <c:pt idx="11">
                  <c:v>20.8</c:v>
                </c:pt>
                <c:pt idx="12">
                  <c:v>13.9</c:v>
                </c:pt>
                <c:pt idx="13">
                  <c:v>12.8</c:v>
                </c:pt>
                <c:pt idx="14">
                  <c:v>14.1</c:v>
                </c:pt>
                <c:pt idx="15">
                  <c:v>20</c:v>
                </c:pt>
                <c:pt idx="16">
                  <c:v>27.1</c:v>
                </c:pt>
                <c:pt idx="17">
                  <c:v>26.8</c:v>
                </c:pt>
                <c:pt idx="18">
                  <c:v>23.8</c:v>
                </c:pt>
                <c:pt idx="19">
                  <c:v>9.4</c:v>
                </c:pt>
                <c:pt idx="20">
                  <c:v>17.399999999999999</c:v>
                </c:pt>
                <c:pt idx="21">
                  <c:v>11.5</c:v>
                </c:pt>
                <c:pt idx="22">
                  <c:v>7.6</c:v>
                </c:pt>
                <c:pt idx="23">
                  <c:v>8.6</c:v>
                </c:pt>
                <c:pt idx="24">
                  <c:v>19</c:v>
                </c:pt>
                <c:pt idx="25">
                  <c:v>31.2</c:v>
                </c:pt>
                <c:pt idx="26">
                  <c:v>46</c:v>
                </c:pt>
                <c:pt idx="27">
                  <c:v>44.1</c:v>
                </c:pt>
                <c:pt idx="28">
                  <c:v>39.6</c:v>
                </c:pt>
              </c:numCache>
            </c:numRef>
          </c:val>
          <c:smooth val="0"/>
          <c:extLst>
            <c:ext xmlns:c16="http://schemas.microsoft.com/office/drawing/2014/chart" uri="{C3380CC4-5D6E-409C-BE32-E72D297353CC}">
              <c16:uniqueId val="{00000006-94B8-4BCC-83A0-4202A764A754}"/>
            </c:ext>
          </c:extLst>
        </c:ser>
        <c:ser>
          <c:idx val="7"/>
          <c:order val="7"/>
          <c:tx>
            <c:strRef>
              <c:f>'výkonnost odvětví 2'!$A$39</c:f>
              <c:strCache>
                <c:ptCount val="1"/>
                <c:pt idx="0">
                  <c:v>Balance of confidence indicator in industry</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2'!$R$30:$AT$31</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2'!$R$39:$AT$39</c:f>
              <c:numCache>
                <c:formatCode>#\ ##0.0</c:formatCode>
                <c:ptCount val="29"/>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c:v>
                </c:pt>
                <c:pt idx="17">
                  <c:v>-2</c:v>
                </c:pt>
                <c:pt idx="18">
                  <c:v>-3</c:v>
                </c:pt>
                <c:pt idx="19">
                  <c:v>-6.7</c:v>
                </c:pt>
                <c:pt idx="20">
                  <c:v>-5</c:v>
                </c:pt>
                <c:pt idx="21">
                  <c:v>-25</c:v>
                </c:pt>
                <c:pt idx="22">
                  <c:v>-6.3</c:v>
                </c:pt>
                <c:pt idx="23">
                  <c:v>-10</c:v>
                </c:pt>
                <c:pt idx="24">
                  <c:v>-1.3</c:v>
                </c:pt>
                <c:pt idx="25">
                  <c:v>5.3</c:v>
                </c:pt>
                <c:pt idx="26">
                  <c:v>-1.3</c:v>
                </c:pt>
                <c:pt idx="27">
                  <c:v>-5.3</c:v>
                </c:pt>
                <c:pt idx="28">
                  <c:v>-0.3</c:v>
                </c:pt>
              </c:numCache>
            </c:numRef>
          </c:val>
          <c:smooth val="0"/>
          <c:extLst>
            <c:ext xmlns:c16="http://schemas.microsoft.com/office/drawing/2014/chart" uri="{C3380CC4-5D6E-409C-BE32-E72D297353CC}">
              <c16:uniqueId val="{00000007-94B8-4BCC-83A0-4202A764A754}"/>
            </c:ext>
          </c:extLst>
        </c:ser>
        <c:dLbls>
          <c:showLegendKey val="0"/>
          <c:showVal val="0"/>
          <c:showCatName val="0"/>
          <c:showSerName val="0"/>
          <c:showPercent val="0"/>
          <c:showBubbleSize val="0"/>
        </c:dLbls>
        <c:marker val="1"/>
        <c:smooth val="0"/>
        <c:axId val="1239819375"/>
        <c:axId val="1239826863"/>
      </c:lineChart>
      <c:catAx>
        <c:axId val="112768128"/>
        <c:scaling>
          <c:orientation val="minMax"/>
        </c:scaling>
        <c:delete val="0"/>
        <c:axPos val="b"/>
        <c:numFmt formatCode="General" sourceLinked="1"/>
        <c:majorTickMark val="out"/>
        <c:minorTickMark val="none"/>
        <c:tickLblPos val="low"/>
        <c:crossAx val="112769664"/>
        <c:crosses val="autoZero"/>
        <c:auto val="1"/>
        <c:lblAlgn val="ctr"/>
        <c:lblOffset val="0"/>
        <c:noMultiLvlLbl val="0"/>
      </c:catAx>
      <c:valAx>
        <c:axId val="112769664"/>
        <c:scaling>
          <c:orientation val="minMax"/>
          <c:max val="60"/>
          <c:min val="-40"/>
        </c:scaling>
        <c:delete val="0"/>
        <c:axPos val="l"/>
        <c:majorGridlines>
          <c:spPr>
            <a:ln>
              <a:solidFill>
                <a:srgbClr val="BEBEBE"/>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Orders</a:t>
                </a:r>
                <a:endParaRPr lang="cs-CZ" sz="700">
                  <a:effectLst/>
                </a:endParaRPr>
              </a:p>
            </c:rich>
          </c:tx>
          <c:overlay val="0"/>
        </c:title>
        <c:numFmt formatCode="0" sourceLinked="0"/>
        <c:majorTickMark val="out"/>
        <c:minorTickMark val="none"/>
        <c:tickLblPos val="nextTo"/>
        <c:crossAx val="112768128"/>
        <c:crosses val="autoZero"/>
        <c:crossBetween val="between"/>
        <c:majorUnit val="10"/>
      </c:valAx>
      <c:valAx>
        <c:axId val="1239826863"/>
        <c:scaling>
          <c:orientation val="minMax"/>
          <c:max val="10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Utilisation of capacities, Growth barriers, Balance of confidence</a:t>
                </a:r>
                <a:endParaRPr lang="cs-CZ" sz="700">
                  <a:effectLst/>
                </a:endParaRPr>
              </a:p>
            </c:rich>
          </c:tx>
          <c:overlay val="0"/>
        </c:title>
        <c:numFmt formatCode="#,##0" sourceLinked="0"/>
        <c:majorTickMark val="out"/>
        <c:minorTickMark val="none"/>
        <c:tickLblPos val="nextTo"/>
        <c:crossAx val="1239819375"/>
        <c:crosses val="max"/>
        <c:crossBetween val="between"/>
        <c:majorUnit val="10"/>
      </c:valAx>
      <c:catAx>
        <c:axId val="1239819375"/>
        <c:scaling>
          <c:orientation val="minMax"/>
        </c:scaling>
        <c:delete val="1"/>
        <c:axPos val="b"/>
        <c:numFmt formatCode="General" sourceLinked="1"/>
        <c:majorTickMark val="out"/>
        <c:minorTickMark val="none"/>
        <c:tickLblPos val="nextTo"/>
        <c:crossAx val="1239826863"/>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8.0033308468213139E-3"/>
          <c:y val="0.85586448957034"/>
          <c:w val="0.98749355022027863"/>
          <c:h val="0.13713064866950375"/>
        </c:manualLayout>
      </c:layout>
      <c:overlay val="0"/>
      <c:spPr>
        <a:ln w="6350">
          <a:solidFill>
            <a:prstClr val="black">
              <a:lumMod val="95000"/>
              <a:lumOff val="5000"/>
            </a:prstClr>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052184788939127E-2"/>
          <c:y val="2.1373653391166647E-2"/>
          <c:w val="0.85502161272928101"/>
          <c:h val="0.74711966440217237"/>
        </c:manualLayout>
      </c:layout>
      <c:barChart>
        <c:barDir val="col"/>
        <c:grouping val="stacked"/>
        <c:varyColors val="0"/>
        <c:ser>
          <c:idx val="1"/>
          <c:order val="1"/>
          <c:tx>
            <c:strRef>
              <c:f>'výkonnost odvětví 3'!$Y$10</c:f>
              <c:strCache>
                <c:ptCount val="1"/>
                <c:pt idx="0">
                  <c:v>Buildings (contribution in p.p.)</c:v>
                </c:pt>
              </c:strCache>
            </c:strRef>
          </c:tx>
          <c:spPr>
            <a:solidFill>
              <a:srgbClr val="A6CDE9"/>
            </a:solidFill>
            <a:ln>
              <a:noFill/>
            </a:ln>
          </c:spPr>
          <c:invertIfNegative val="0"/>
          <c:cat>
            <c:multiLvlStrRef>
              <c:f>'výkonnost odvětví 3'!$V$31:$W$59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3'!$Y$31:$Y$59</c:f>
              <c:numCache>
                <c:formatCode>0.0</c:formatCode>
                <c:ptCount val="29"/>
                <c:pt idx="0">
                  <c:v>6.1332628878020472</c:v>
                </c:pt>
                <c:pt idx="1">
                  <c:v>5.1611029387020881</c:v>
                </c:pt>
                <c:pt idx="2">
                  <c:v>0.82789337777956651</c:v>
                </c:pt>
                <c:pt idx="3">
                  <c:v>-1.792443206462254</c:v>
                </c:pt>
                <c:pt idx="4">
                  <c:v>-5.0624228474210264</c:v>
                </c:pt>
                <c:pt idx="5">
                  <c:v>-5.0837956877529207</c:v>
                </c:pt>
                <c:pt idx="6">
                  <c:v>0.80068413098652258</c:v>
                </c:pt>
                <c:pt idx="7">
                  <c:v>4.0229578720745067</c:v>
                </c:pt>
                <c:pt idx="8">
                  <c:v>2.3707415602985482</c:v>
                </c:pt>
                <c:pt idx="9">
                  <c:v>10.127474072202558</c:v>
                </c:pt>
                <c:pt idx="10">
                  <c:v>3.4985302779650396</c:v>
                </c:pt>
                <c:pt idx="11">
                  <c:v>2.7010793303841334</c:v>
                </c:pt>
                <c:pt idx="12">
                  <c:v>13.58981677167807</c:v>
                </c:pt>
                <c:pt idx="13">
                  <c:v>6.2954664988362632</c:v>
                </c:pt>
                <c:pt idx="14">
                  <c:v>7.7040894172433472</c:v>
                </c:pt>
                <c:pt idx="15">
                  <c:v>2.6018478445540052</c:v>
                </c:pt>
                <c:pt idx="16">
                  <c:v>2.902580138628347</c:v>
                </c:pt>
                <c:pt idx="17">
                  <c:v>2.4244946978317015</c:v>
                </c:pt>
                <c:pt idx="18">
                  <c:v>-0.69452357804114084</c:v>
                </c:pt>
                <c:pt idx="19">
                  <c:v>2.4262746292667692</c:v>
                </c:pt>
                <c:pt idx="20">
                  <c:v>-0.3509850836675944</c:v>
                </c:pt>
                <c:pt idx="21">
                  <c:v>-7.4196046801003988</c:v>
                </c:pt>
                <c:pt idx="22">
                  <c:v>-7.1685933920563025</c:v>
                </c:pt>
                <c:pt idx="23">
                  <c:v>-8.6185225202649214</c:v>
                </c:pt>
                <c:pt idx="24">
                  <c:v>-5.1411661804072324</c:v>
                </c:pt>
                <c:pt idx="25">
                  <c:v>3.2684432641148571</c:v>
                </c:pt>
                <c:pt idx="26">
                  <c:v>2.982124117225045</c:v>
                </c:pt>
                <c:pt idx="27">
                  <c:v>6.0632264260203561</c:v>
                </c:pt>
              </c:numCache>
            </c:numRef>
          </c:val>
          <c:extLst>
            <c:ext xmlns:c16="http://schemas.microsoft.com/office/drawing/2014/chart" uri="{C3380CC4-5D6E-409C-BE32-E72D297353CC}">
              <c16:uniqueId val="{00000000-1319-45AB-91F2-248633915C3A}"/>
            </c:ext>
          </c:extLst>
        </c:ser>
        <c:ser>
          <c:idx val="2"/>
          <c:order val="2"/>
          <c:tx>
            <c:strRef>
              <c:f>'výkonnost odvětví 3'!$Z$10</c:f>
              <c:strCache>
                <c:ptCount val="1"/>
                <c:pt idx="0">
                  <c:v>Civil engineering works (contrib. in p.p.)</c:v>
                </c:pt>
              </c:strCache>
            </c:strRef>
          </c:tx>
          <c:spPr>
            <a:solidFill>
              <a:srgbClr val="E8AFB2"/>
            </a:solidFill>
            <a:ln>
              <a:noFill/>
            </a:ln>
          </c:spPr>
          <c:invertIfNegative val="0"/>
          <c:cat>
            <c:multiLvlStrRef>
              <c:f>'výkonnost odvětví 3'!$V$31:$W$59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3'!$Z$31:$Z$59</c:f>
              <c:numCache>
                <c:formatCode>0.0</c:formatCode>
                <c:ptCount val="29"/>
                <c:pt idx="0">
                  <c:v>3.0644338505720308</c:v>
                </c:pt>
                <c:pt idx="1">
                  <c:v>6.8180179259183973</c:v>
                </c:pt>
                <c:pt idx="2">
                  <c:v>7.0179431775016399</c:v>
                </c:pt>
                <c:pt idx="3">
                  <c:v>2.730611648088177</c:v>
                </c:pt>
                <c:pt idx="4">
                  <c:v>-1.2082218219742173</c:v>
                </c:pt>
                <c:pt idx="5">
                  <c:v>-5.1375373424938786</c:v>
                </c:pt>
                <c:pt idx="6">
                  <c:v>-6.7128245144582364</c:v>
                </c:pt>
                <c:pt idx="7">
                  <c:v>-5.672093550500878</c:v>
                </c:pt>
                <c:pt idx="8">
                  <c:v>-3.2052093816174203</c:v>
                </c:pt>
                <c:pt idx="9">
                  <c:v>-1.1403993727014583</c:v>
                </c:pt>
                <c:pt idx="10">
                  <c:v>-1.4444952024671565</c:v>
                </c:pt>
                <c:pt idx="11">
                  <c:v>0.23728682710972981</c:v>
                </c:pt>
                <c:pt idx="12">
                  <c:v>1.7538255902919127</c:v>
                </c:pt>
                <c:pt idx="13">
                  <c:v>1.2042218152710626</c:v>
                </c:pt>
                <c:pt idx="14">
                  <c:v>4.7031010298825633</c:v>
                </c:pt>
                <c:pt idx="15">
                  <c:v>1.7060394592294705</c:v>
                </c:pt>
                <c:pt idx="16">
                  <c:v>0.73329395346685111</c:v>
                </c:pt>
                <c:pt idx="17">
                  <c:v>1.8741086038878019</c:v>
                </c:pt>
                <c:pt idx="18">
                  <c:v>0.7564974358767329</c:v>
                </c:pt>
                <c:pt idx="19">
                  <c:v>0.84455333356029649</c:v>
                </c:pt>
                <c:pt idx="20">
                  <c:v>3.2039225261120103</c:v>
                </c:pt>
                <c:pt idx="21">
                  <c:v>1.2159283677885731</c:v>
                </c:pt>
                <c:pt idx="22">
                  <c:v>-1.8702967995115634</c:v>
                </c:pt>
                <c:pt idx="23">
                  <c:v>0.34456386356438634</c:v>
                </c:pt>
                <c:pt idx="24">
                  <c:v>-4.149342813092647E-2</c:v>
                </c:pt>
                <c:pt idx="25">
                  <c:v>1.0291755083189913</c:v>
                </c:pt>
                <c:pt idx="26">
                  <c:v>-0.24413521365457616</c:v>
                </c:pt>
                <c:pt idx="27">
                  <c:v>-0.88219102636033031</c:v>
                </c:pt>
              </c:numCache>
            </c:numRef>
          </c:val>
          <c:extLst>
            <c:ext xmlns:c16="http://schemas.microsoft.com/office/drawing/2014/chart" uri="{C3380CC4-5D6E-409C-BE32-E72D297353CC}">
              <c16:uniqueId val="{00000001-1319-45AB-91F2-248633915C3A}"/>
            </c:ext>
          </c:extLst>
        </c:ser>
        <c:dLbls>
          <c:showLegendKey val="0"/>
          <c:showVal val="0"/>
          <c:showCatName val="0"/>
          <c:showSerName val="0"/>
          <c:showPercent val="0"/>
          <c:showBubbleSize val="0"/>
        </c:dLbls>
        <c:gapWidth val="30"/>
        <c:overlap val="100"/>
        <c:axId val="112768128"/>
        <c:axId val="112769664"/>
      </c:barChart>
      <c:lineChart>
        <c:grouping val="standard"/>
        <c:varyColors val="0"/>
        <c:ser>
          <c:idx val="0"/>
          <c:order val="0"/>
          <c:tx>
            <c:strRef>
              <c:f>'výkonnost odvětví 3'!$X$10</c:f>
              <c:strCache>
                <c:ptCount val="1"/>
                <c:pt idx="0">
                  <c:v>Total construction output</c:v>
                </c:pt>
              </c:strCache>
            </c:strRef>
          </c:tx>
          <c:spPr>
            <a:ln>
              <a:noFill/>
            </a:ln>
          </c:spPr>
          <c:marker>
            <c:symbol val="diamond"/>
            <c:size val="5"/>
            <c:spPr>
              <a:solidFill>
                <a:schemeClr val="bg1"/>
              </a:solidFill>
              <a:ln>
                <a:solidFill>
                  <a:schemeClr val="tx1">
                    <a:lumMod val="95000"/>
                    <a:lumOff val="5000"/>
                  </a:schemeClr>
                </a:solidFill>
              </a:ln>
            </c:spPr>
          </c:marker>
          <c:cat>
            <c:multiLvlStrRef>
              <c:f>'výkonnost odvětví 3'!$V$31:$W$59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3'!$X$31:$X$59</c:f>
              <c:numCache>
                <c:formatCode>0.0</c:formatCode>
                <c:ptCount val="29"/>
                <c:pt idx="0">
                  <c:v>9.1976967383740771</c:v>
                </c:pt>
                <c:pt idx="1">
                  <c:v>11.979120864620469</c:v>
                </c:pt>
                <c:pt idx="2">
                  <c:v>7.8458365552812097</c:v>
                </c:pt>
                <c:pt idx="3">
                  <c:v>0.93816844162589064</c:v>
                </c:pt>
                <c:pt idx="4">
                  <c:v>-6.2706446693952387</c:v>
                </c:pt>
                <c:pt idx="5">
                  <c:v>-10.221333030246782</c:v>
                </c:pt>
                <c:pt idx="6">
                  <c:v>-5.9121403834717228</c:v>
                </c:pt>
                <c:pt idx="7">
                  <c:v>-1.6491356784263616</c:v>
                </c:pt>
                <c:pt idx="8">
                  <c:v>-0.83446782131888142</c:v>
                </c:pt>
                <c:pt idx="9">
                  <c:v>8.9870746995010791</c:v>
                </c:pt>
                <c:pt idx="10">
                  <c:v>2.0540350754978789</c:v>
                </c:pt>
                <c:pt idx="11">
                  <c:v>2.93836615749386</c:v>
                </c:pt>
                <c:pt idx="12">
                  <c:v>15.343642361969984</c:v>
                </c:pt>
                <c:pt idx="13">
                  <c:v>7.4996883141073454</c:v>
                </c:pt>
                <c:pt idx="14">
                  <c:v>12.407190447125899</c:v>
                </c:pt>
                <c:pt idx="15">
                  <c:v>4.3078873037834882</c:v>
                </c:pt>
                <c:pt idx="16">
                  <c:v>3.6358740920951789</c:v>
                </c:pt>
                <c:pt idx="17">
                  <c:v>4.2986033017194956</c:v>
                </c:pt>
                <c:pt idx="18">
                  <c:v>6.1973857835596391E-2</c:v>
                </c:pt>
                <c:pt idx="19">
                  <c:v>3.2708279628270702</c:v>
                </c:pt>
                <c:pt idx="20">
                  <c:v>2.8529374424444143</c:v>
                </c:pt>
                <c:pt idx="21">
                  <c:v>-6.2036763123118277</c:v>
                </c:pt>
                <c:pt idx="22">
                  <c:v>-9.0388901915678588</c:v>
                </c:pt>
                <c:pt idx="23">
                  <c:v>-8.2739586567005432</c:v>
                </c:pt>
                <c:pt idx="24">
                  <c:v>-5.1826596085381595</c:v>
                </c:pt>
                <c:pt idx="25">
                  <c:v>4.2976187724338644</c:v>
                </c:pt>
                <c:pt idx="26">
                  <c:v>2.7379889035704394</c:v>
                </c:pt>
                <c:pt idx="27">
                  <c:v>5.1810353996600185</c:v>
                </c:pt>
              </c:numCache>
            </c:numRef>
          </c:val>
          <c:smooth val="0"/>
          <c:extLst>
            <c:ext xmlns:c16="http://schemas.microsoft.com/office/drawing/2014/chart" uri="{C3380CC4-5D6E-409C-BE32-E72D297353CC}">
              <c16:uniqueId val="{00000002-1319-45AB-91F2-248633915C3A}"/>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3"/>
          <c:order val="3"/>
          <c:tx>
            <c:strRef>
              <c:f>'výkonnost odvětví 3'!$AA$10</c:f>
              <c:strCache>
                <c:ptCount val="1"/>
                <c:pt idx="0">
                  <c:v>New domestic construction orders </c:v>
                </c:pt>
              </c:strCache>
            </c:strRef>
          </c:tx>
          <c:spPr>
            <a:ln w="15875">
              <a:solidFill>
                <a:srgbClr val="984807"/>
              </a:solidFill>
            </a:ln>
          </c:spPr>
          <c:marker>
            <c:symbol val="none"/>
          </c:marker>
          <c:cat>
            <c:multiLvlStrRef>
              <c:f>'výkonnost odvětví 3'!$V$31:$W$59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3'!$AA$31:$AA$59</c:f>
              <c:numCache>
                <c:formatCode>0.0</c:formatCode>
                <c:ptCount val="29"/>
                <c:pt idx="0">
                  <c:v>-3.1547956675580053</c:v>
                </c:pt>
                <c:pt idx="1">
                  <c:v>9.7504961091663205</c:v>
                </c:pt>
                <c:pt idx="2">
                  <c:v>-1.097606022761255</c:v>
                </c:pt>
                <c:pt idx="3">
                  <c:v>-2.3987783410040464</c:v>
                </c:pt>
                <c:pt idx="4">
                  <c:v>-6.6406358945753823</c:v>
                </c:pt>
                <c:pt idx="5">
                  <c:v>-0.49977652269311079</c:v>
                </c:pt>
                <c:pt idx="6">
                  <c:v>-7.0322087253454839</c:v>
                </c:pt>
                <c:pt idx="7">
                  <c:v>10.122126124559955</c:v>
                </c:pt>
                <c:pt idx="8">
                  <c:v>16.177217458847437</c:v>
                </c:pt>
                <c:pt idx="9">
                  <c:v>9.5350878984013008</c:v>
                </c:pt>
                <c:pt idx="10">
                  <c:v>-1.2817324431350698</c:v>
                </c:pt>
                <c:pt idx="11">
                  <c:v>15.620806693503823</c:v>
                </c:pt>
                <c:pt idx="12">
                  <c:v>30.10697387368856</c:v>
                </c:pt>
                <c:pt idx="13">
                  <c:v>32.836878110611963</c:v>
                </c:pt>
                <c:pt idx="14">
                  <c:v>5.2768249907951201</c:v>
                </c:pt>
                <c:pt idx="15">
                  <c:v>1.8944565811032277</c:v>
                </c:pt>
                <c:pt idx="16">
                  <c:v>14.157245632065781</c:v>
                </c:pt>
                <c:pt idx="17">
                  <c:v>-9.3849543241233135</c:v>
                </c:pt>
                <c:pt idx="18">
                  <c:v>17.407871000993993</c:v>
                </c:pt>
                <c:pt idx="19">
                  <c:v>5.8323004254463768</c:v>
                </c:pt>
                <c:pt idx="20">
                  <c:v>-12.441635069859245</c:v>
                </c:pt>
                <c:pt idx="21">
                  <c:v>7.497345722028669</c:v>
                </c:pt>
                <c:pt idx="22">
                  <c:v>2.0599736606932879</c:v>
                </c:pt>
                <c:pt idx="23">
                  <c:v>7.5507850088630164</c:v>
                </c:pt>
                <c:pt idx="24">
                  <c:v>28.188227371706034</c:v>
                </c:pt>
                <c:pt idx="25">
                  <c:v>21.356647205514562</c:v>
                </c:pt>
                <c:pt idx="26">
                  <c:v>10.238212063911533</c:v>
                </c:pt>
                <c:pt idx="27">
                  <c:v>2.0582698922261216</c:v>
                </c:pt>
              </c:numCache>
            </c:numRef>
          </c:val>
          <c:smooth val="0"/>
          <c:extLst>
            <c:ext xmlns:c16="http://schemas.microsoft.com/office/drawing/2014/chart" uri="{C3380CC4-5D6E-409C-BE32-E72D297353CC}">
              <c16:uniqueId val="{00000003-1319-45AB-91F2-248633915C3A}"/>
            </c:ext>
          </c:extLst>
        </c:ser>
        <c:ser>
          <c:idx val="4"/>
          <c:order val="4"/>
          <c:tx>
            <c:strRef>
              <c:f>'výkonnost odvětví 3'!$AB$10</c:f>
              <c:strCache>
                <c:ptCount val="1"/>
                <c:pt idx="0">
                  <c:v>Barrier: inadequate demand </c:v>
                </c:pt>
              </c:strCache>
            </c:strRef>
          </c:tx>
          <c:spPr>
            <a:ln w="15875">
              <a:solidFill>
                <a:srgbClr val="00B050"/>
              </a:solidFill>
            </a:ln>
          </c:spPr>
          <c:marker>
            <c:symbol val="none"/>
          </c:marker>
          <c:cat>
            <c:multiLvlStrRef>
              <c:f>'výkonnost odvětví 3'!$V$31:$W$59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3'!$AB$31:$AB$59</c:f>
              <c:numCache>
                <c:formatCode>#\ ##0.0</c:formatCode>
                <c:ptCount val="29"/>
                <c:pt idx="0">
                  <c:v>65.8</c:v>
                </c:pt>
                <c:pt idx="1">
                  <c:v>60.4</c:v>
                </c:pt>
                <c:pt idx="2">
                  <c:v>58.9</c:v>
                </c:pt>
                <c:pt idx="3">
                  <c:v>57.6</c:v>
                </c:pt>
                <c:pt idx="4">
                  <c:v>54.5</c:v>
                </c:pt>
                <c:pt idx="5">
                  <c:v>61.1</c:v>
                </c:pt>
                <c:pt idx="6">
                  <c:v>60.4</c:v>
                </c:pt>
                <c:pt idx="7">
                  <c:v>57</c:v>
                </c:pt>
                <c:pt idx="8">
                  <c:v>53.9</c:v>
                </c:pt>
                <c:pt idx="9">
                  <c:v>54.3</c:v>
                </c:pt>
                <c:pt idx="10">
                  <c:v>50</c:v>
                </c:pt>
                <c:pt idx="11">
                  <c:v>48.3</c:v>
                </c:pt>
                <c:pt idx="12">
                  <c:v>40.299999999999997</c:v>
                </c:pt>
                <c:pt idx="13">
                  <c:v>38.200000000000003</c:v>
                </c:pt>
                <c:pt idx="14">
                  <c:v>33.4</c:v>
                </c:pt>
                <c:pt idx="15">
                  <c:v>24.1</c:v>
                </c:pt>
                <c:pt idx="16">
                  <c:v>25.4</c:v>
                </c:pt>
                <c:pt idx="17">
                  <c:v>23.3</c:v>
                </c:pt>
                <c:pt idx="18">
                  <c:v>17.899999999999999</c:v>
                </c:pt>
                <c:pt idx="19">
                  <c:v>20.9</c:v>
                </c:pt>
                <c:pt idx="20">
                  <c:v>30.3</c:v>
                </c:pt>
                <c:pt idx="21">
                  <c:v>29.3</c:v>
                </c:pt>
                <c:pt idx="22">
                  <c:v>38.799999999999997</c:v>
                </c:pt>
                <c:pt idx="23" formatCode="General">
                  <c:v>41.2</c:v>
                </c:pt>
                <c:pt idx="24">
                  <c:v>31.3</c:v>
                </c:pt>
                <c:pt idx="25">
                  <c:v>34.200000000000003</c:v>
                </c:pt>
                <c:pt idx="26">
                  <c:v>23.8</c:v>
                </c:pt>
                <c:pt idx="27">
                  <c:v>20.5</c:v>
                </c:pt>
                <c:pt idx="28">
                  <c:v>19</c:v>
                </c:pt>
              </c:numCache>
            </c:numRef>
          </c:val>
          <c:smooth val="0"/>
          <c:extLst>
            <c:ext xmlns:c16="http://schemas.microsoft.com/office/drawing/2014/chart" uri="{C3380CC4-5D6E-409C-BE32-E72D297353CC}">
              <c16:uniqueId val="{00000004-1319-45AB-91F2-248633915C3A}"/>
            </c:ext>
          </c:extLst>
        </c:ser>
        <c:ser>
          <c:idx val="5"/>
          <c:order val="5"/>
          <c:tx>
            <c:strRef>
              <c:f>'výkonnost odvětví 3'!$AC$10</c:f>
              <c:strCache>
                <c:ptCount val="1"/>
                <c:pt idx="0">
                  <c:v>Barrier: shortage of employees</c:v>
                </c:pt>
              </c:strCache>
            </c:strRef>
          </c:tx>
          <c:spPr>
            <a:ln w="15875">
              <a:solidFill>
                <a:srgbClr val="00B050"/>
              </a:solidFill>
              <a:prstDash val="dash"/>
            </a:ln>
          </c:spPr>
          <c:marker>
            <c:symbol val="none"/>
          </c:marker>
          <c:cat>
            <c:multiLvlStrRef>
              <c:f>'výkonnost odvětví 3'!$V$31:$W$59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3'!$AC$31:$AC$59</c:f>
              <c:numCache>
                <c:formatCode>#\ ##0.0</c:formatCode>
                <c:ptCount val="29"/>
                <c:pt idx="0">
                  <c:v>6.8</c:v>
                </c:pt>
                <c:pt idx="1">
                  <c:v>7.9</c:v>
                </c:pt>
                <c:pt idx="2">
                  <c:v>7.2</c:v>
                </c:pt>
                <c:pt idx="3">
                  <c:v>7</c:v>
                </c:pt>
                <c:pt idx="4">
                  <c:v>5.8</c:v>
                </c:pt>
                <c:pt idx="5">
                  <c:v>6.7</c:v>
                </c:pt>
                <c:pt idx="6">
                  <c:v>7.8</c:v>
                </c:pt>
                <c:pt idx="7">
                  <c:v>10.7</c:v>
                </c:pt>
                <c:pt idx="8">
                  <c:v>11.5</c:v>
                </c:pt>
                <c:pt idx="9">
                  <c:v>14</c:v>
                </c:pt>
                <c:pt idx="10">
                  <c:v>22.7</c:v>
                </c:pt>
                <c:pt idx="11">
                  <c:v>23.1</c:v>
                </c:pt>
                <c:pt idx="12">
                  <c:v>23.5</c:v>
                </c:pt>
                <c:pt idx="13">
                  <c:v>29.3</c:v>
                </c:pt>
                <c:pt idx="14">
                  <c:v>30.4</c:v>
                </c:pt>
                <c:pt idx="15">
                  <c:v>40.799999999999997</c:v>
                </c:pt>
                <c:pt idx="16">
                  <c:v>34.299999999999997</c:v>
                </c:pt>
                <c:pt idx="17">
                  <c:v>43</c:v>
                </c:pt>
                <c:pt idx="18">
                  <c:v>55</c:v>
                </c:pt>
                <c:pt idx="19">
                  <c:v>49.7</c:v>
                </c:pt>
                <c:pt idx="20">
                  <c:v>50</c:v>
                </c:pt>
                <c:pt idx="21">
                  <c:v>46.3</c:v>
                </c:pt>
                <c:pt idx="22">
                  <c:v>38.200000000000003</c:v>
                </c:pt>
                <c:pt idx="23" formatCode="0.0">
                  <c:v>34</c:v>
                </c:pt>
                <c:pt idx="24">
                  <c:v>43.6</c:v>
                </c:pt>
                <c:pt idx="25">
                  <c:v>32</c:v>
                </c:pt>
                <c:pt idx="26">
                  <c:v>42.6</c:v>
                </c:pt>
                <c:pt idx="27">
                  <c:v>45.2</c:v>
                </c:pt>
                <c:pt idx="28">
                  <c:v>51.7</c:v>
                </c:pt>
              </c:numCache>
            </c:numRef>
          </c:val>
          <c:smooth val="0"/>
          <c:extLst>
            <c:ext xmlns:c16="http://schemas.microsoft.com/office/drawing/2014/chart" uri="{C3380CC4-5D6E-409C-BE32-E72D297353CC}">
              <c16:uniqueId val="{00000005-1319-45AB-91F2-248633915C3A}"/>
            </c:ext>
          </c:extLst>
        </c:ser>
        <c:ser>
          <c:idx val="6"/>
          <c:order val="6"/>
          <c:tx>
            <c:strRef>
              <c:f>'výkonnost odvětví 3'!$AD$10</c:f>
              <c:strCache>
                <c:ptCount val="1"/>
                <c:pt idx="0">
                  <c:v>Barrier: shortage of material/equipment</c:v>
                </c:pt>
              </c:strCache>
            </c:strRef>
          </c:tx>
          <c:spPr>
            <a:ln w="15875">
              <a:solidFill>
                <a:srgbClr val="00B050"/>
              </a:solidFill>
              <a:prstDash val="sysDash"/>
            </a:ln>
          </c:spPr>
          <c:marker>
            <c:symbol val="none"/>
          </c:marker>
          <c:cat>
            <c:multiLvlStrRef>
              <c:f>'výkonnost odvětví 3'!$V$31:$W$59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3'!$AD$31:$AD$59</c:f>
              <c:numCache>
                <c:formatCode>#\ ##0.0</c:formatCode>
                <c:ptCount val="29"/>
                <c:pt idx="0">
                  <c:v>0.2</c:v>
                </c:pt>
                <c:pt idx="1">
                  <c:v>0.5</c:v>
                </c:pt>
                <c:pt idx="2">
                  <c:v>3.7</c:v>
                </c:pt>
                <c:pt idx="3">
                  <c:v>0.3</c:v>
                </c:pt>
                <c:pt idx="4">
                  <c:v>0.9</c:v>
                </c:pt>
                <c:pt idx="5">
                  <c:v>0.8</c:v>
                </c:pt>
                <c:pt idx="6">
                  <c:v>0.1</c:v>
                </c:pt>
                <c:pt idx="7">
                  <c:v>1</c:v>
                </c:pt>
                <c:pt idx="8">
                  <c:v>0.6</c:v>
                </c:pt>
                <c:pt idx="9">
                  <c:v>0.5</c:v>
                </c:pt>
                <c:pt idx="10">
                  <c:v>2.4</c:v>
                </c:pt>
                <c:pt idx="11">
                  <c:v>3.5</c:v>
                </c:pt>
                <c:pt idx="12">
                  <c:v>5.7</c:v>
                </c:pt>
                <c:pt idx="13">
                  <c:v>2.4</c:v>
                </c:pt>
                <c:pt idx="14">
                  <c:v>5.6</c:v>
                </c:pt>
                <c:pt idx="15">
                  <c:v>3.3</c:v>
                </c:pt>
                <c:pt idx="16">
                  <c:v>4.5</c:v>
                </c:pt>
                <c:pt idx="17">
                  <c:v>6.7</c:v>
                </c:pt>
                <c:pt idx="18">
                  <c:v>4.3</c:v>
                </c:pt>
                <c:pt idx="19">
                  <c:v>4</c:v>
                </c:pt>
                <c:pt idx="20">
                  <c:v>2.1</c:v>
                </c:pt>
                <c:pt idx="21">
                  <c:v>4</c:v>
                </c:pt>
                <c:pt idx="22">
                  <c:v>0.3</c:v>
                </c:pt>
                <c:pt idx="23">
                  <c:v>0.7</c:v>
                </c:pt>
                <c:pt idx="24">
                  <c:v>1</c:v>
                </c:pt>
                <c:pt idx="25">
                  <c:v>3.9</c:v>
                </c:pt>
                <c:pt idx="26">
                  <c:v>14</c:v>
                </c:pt>
                <c:pt idx="27">
                  <c:v>22.3</c:v>
                </c:pt>
                <c:pt idx="28">
                  <c:v>26.3</c:v>
                </c:pt>
              </c:numCache>
            </c:numRef>
          </c:val>
          <c:smooth val="0"/>
          <c:extLst>
            <c:ext xmlns:c16="http://schemas.microsoft.com/office/drawing/2014/chart" uri="{C3380CC4-5D6E-409C-BE32-E72D297353CC}">
              <c16:uniqueId val="{00000006-1319-45AB-91F2-248633915C3A}"/>
            </c:ext>
          </c:extLst>
        </c:ser>
        <c:ser>
          <c:idx val="7"/>
          <c:order val="7"/>
          <c:tx>
            <c:strRef>
              <c:f>'výkonnost odvětví 3'!$AE$10</c:f>
              <c:strCache>
                <c:ptCount val="1"/>
                <c:pt idx="0">
                  <c:v>Balance of onfidence in construction </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3'!$V$31:$W$59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3'!$AE$31:$AE$59</c:f>
              <c:numCache>
                <c:formatCode>0.0</c:formatCode>
                <c:ptCount val="29"/>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pt idx="25">
                  <c:v>-5.5</c:v>
                </c:pt>
                <c:pt idx="26">
                  <c:v>-4.5</c:v>
                </c:pt>
                <c:pt idx="27">
                  <c:v>-6.5</c:v>
                </c:pt>
                <c:pt idx="28">
                  <c:v>6.5</c:v>
                </c:pt>
              </c:numCache>
            </c:numRef>
          </c:val>
          <c:smooth val="0"/>
          <c:extLst>
            <c:ext xmlns:c16="http://schemas.microsoft.com/office/drawing/2014/chart" uri="{C3380CC4-5D6E-409C-BE32-E72D297353CC}">
              <c16:uniqueId val="{00000007-1319-45AB-91F2-248633915C3A}"/>
            </c:ext>
          </c:extLst>
        </c:ser>
        <c:dLbls>
          <c:showLegendKey val="0"/>
          <c:showVal val="0"/>
          <c:showCatName val="0"/>
          <c:showSerName val="0"/>
          <c:showPercent val="0"/>
          <c:showBubbleSize val="0"/>
        </c:dLbls>
        <c:marker val="1"/>
        <c:smooth val="0"/>
        <c:axId val="1118074639"/>
        <c:axId val="1118080463"/>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30"/>
          <c:min val="-20"/>
        </c:scaling>
        <c:delete val="0"/>
        <c:axPos val="l"/>
        <c:majorGridlines>
          <c:spPr>
            <a:ln>
              <a:solidFill>
                <a:srgbClr val="BEBEBE"/>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Contribution to changes of construction output</a:t>
                </a:r>
                <a:endParaRPr lang="cs-CZ" sz="700">
                  <a:effectLst/>
                </a:endParaRPr>
              </a:p>
            </c:rich>
          </c:tx>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5"/>
      </c:valAx>
      <c:valAx>
        <c:axId val="1118080463"/>
        <c:scaling>
          <c:orientation val="minMax"/>
          <c:max val="90"/>
          <c:min val="-6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Orders, Balance of confidence, Growth barriers</a:t>
                </a:r>
                <a:endParaRPr lang="cs-CZ" sz="700">
                  <a:effectLst/>
                </a:endParaRPr>
              </a:p>
            </c:rich>
          </c:tx>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118074639"/>
        <c:crosses val="max"/>
        <c:crossBetween val="between"/>
        <c:majorUnit val="15"/>
      </c:valAx>
      <c:catAx>
        <c:axId val="1118074639"/>
        <c:scaling>
          <c:orientation val="minMax"/>
        </c:scaling>
        <c:delete val="1"/>
        <c:axPos val="b"/>
        <c:numFmt formatCode="General" sourceLinked="1"/>
        <c:majorTickMark val="out"/>
        <c:minorTickMark val="none"/>
        <c:tickLblPos val="nextTo"/>
        <c:crossAx val="1118080463"/>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9.2069300125758653E-5"/>
          <c:y val="0.85936692045041818"/>
          <c:w val="0.99540838138221588"/>
          <c:h val="0.13362821778942557"/>
        </c:manualLayout>
      </c:layout>
      <c:overlay val="0"/>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213E-2"/>
          <c:y val="1.5803328678987455E-2"/>
          <c:w val="0.86647319020345381"/>
          <c:h val="0.7103501120970378"/>
        </c:manualLayout>
      </c:layout>
      <c:barChart>
        <c:barDir val="col"/>
        <c:grouping val="stacked"/>
        <c:varyColors val="0"/>
        <c:ser>
          <c:idx val="0"/>
          <c:order val="1"/>
          <c:tx>
            <c:strRef>
              <c:f>'Služby-příspěvkyk růstu-4'!$D$25</c:f>
              <c:strCache>
                <c:ptCount val="1"/>
                <c:pt idx="0">
                  <c:v>Transporting and storage</c:v>
                </c:pt>
              </c:strCache>
            </c:strRef>
          </c:tx>
          <c:spPr>
            <a:solidFill>
              <a:srgbClr val="92D050"/>
            </a:solidFill>
            <a:ln>
              <a:noFill/>
            </a:ln>
          </c:spPr>
          <c:invertIfNegative val="0"/>
          <c:cat>
            <c:multiLvlStrRef>
              <c:f>'Služby-příspěvkyk růstu-4'!$A$38:$B$66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růstu-4'!$D$38:$D$66</c:f>
              <c:numCache>
                <c:formatCode>0.0</c:formatCode>
                <c:ptCount val="29"/>
                <c:pt idx="0">
                  <c:v>0.17627373165999941</c:v>
                </c:pt>
                <c:pt idx="1">
                  <c:v>-4.1398260783598456E-2</c:v>
                </c:pt>
                <c:pt idx="2">
                  <c:v>0.20127676583260182</c:v>
                </c:pt>
                <c:pt idx="3">
                  <c:v>4.2331882175001848E-2</c:v>
                </c:pt>
                <c:pt idx="4">
                  <c:v>0.2604828945619988</c:v>
                </c:pt>
                <c:pt idx="5">
                  <c:v>0.2004471947790982</c:v>
                </c:pt>
                <c:pt idx="6">
                  <c:v>0.14004615678000035</c:v>
                </c:pt>
                <c:pt idx="7">
                  <c:v>0.860592831148001</c:v>
                </c:pt>
                <c:pt idx="8">
                  <c:v>1.6559965627289983</c:v>
                </c:pt>
                <c:pt idx="9">
                  <c:v>1.093454887462999</c:v>
                </c:pt>
                <c:pt idx="10">
                  <c:v>1.1374484601479997</c:v>
                </c:pt>
                <c:pt idx="11">
                  <c:v>0.60470809717899932</c:v>
                </c:pt>
                <c:pt idx="12">
                  <c:v>1.7518533558900011</c:v>
                </c:pt>
                <c:pt idx="13">
                  <c:v>1.9191714775479998</c:v>
                </c:pt>
                <c:pt idx="14">
                  <c:v>1.4689069805629986</c:v>
                </c:pt>
                <c:pt idx="15">
                  <c:v>0.49822211685500045</c:v>
                </c:pt>
                <c:pt idx="16">
                  <c:v>0.75210969494300106</c:v>
                </c:pt>
                <c:pt idx="17">
                  <c:v>-7.8943058121998602E-2</c:v>
                </c:pt>
                <c:pt idx="18">
                  <c:v>-0.67615596099700137</c:v>
                </c:pt>
                <c:pt idx="19">
                  <c:v>-0.53883087511919869</c:v>
                </c:pt>
                <c:pt idx="20">
                  <c:v>-1.7873099078691994</c:v>
                </c:pt>
                <c:pt idx="21">
                  <c:v>-6.8790162520431002</c:v>
                </c:pt>
                <c:pt idx="22">
                  <c:v>-4.2156758486250006</c:v>
                </c:pt>
                <c:pt idx="23">
                  <c:v>-1.7596921701599992</c:v>
                </c:pt>
                <c:pt idx="24">
                  <c:v>-0.1569416952537</c:v>
                </c:pt>
                <c:pt idx="25">
                  <c:v>6.9452061820127984</c:v>
                </c:pt>
                <c:pt idx="26">
                  <c:v>4.1021141164383979</c:v>
                </c:pt>
                <c:pt idx="27">
                  <c:v>4.5411081672439781</c:v>
                </c:pt>
              </c:numCache>
            </c:numRef>
          </c:val>
          <c:extLst>
            <c:ext xmlns:c16="http://schemas.microsoft.com/office/drawing/2014/chart" uri="{C3380CC4-5D6E-409C-BE32-E72D297353CC}">
              <c16:uniqueId val="{00000000-438C-4A49-85B5-C696EC50A22E}"/>
            </c:ext>
          </c:extLst>
        </c:ser>
        <c:ser>
          <c:idx val="1"/>
          <c:order val="2"/>
          <c:tx>
            <c:strRef>
              <c:f>'Služby-příspěvkyk růstu-4'!$E$25</c:f>
              <c:strCache>
                <c:ptCount val="1"/>
                <c:pt idx="0">
                  <c:v>Accommodation, food service activities</c:v>
                </c:pt>
              </c:strCache>
            </c:strRef>
          </c:tx>
          <c:spPr>
            <a:solidFill>
              <a:srgbClr val="00B0F0"/>
            </a:solidFill>
            <a:ln>
              <a:noFill/>
            </a:ln>
          </c:spPr>
          <c:invertIfNegative val="0"/>
          <c:cat>
            <c:multiLvlStrRef>
              <c:f>'Služby-příspěvkyk růstu-4'!$A$38:$B$66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růstu-4'!$E$38:$E$66</c:f>
              <c:numCache>
                <c:formatCode>0.0</c:formatCode>
                <c:ptCount val="29"/>
                <c:pt idx="0">
                  <c:v>0.23064326026020021</c:v>
                </c:pt>
                <c:pt idx="1">
                  <c:v>0.65490030172000013</c:v>
                </c:pt>
                <c:pt idx="2">
                  <c:v>0.65615704203699965</c:v>
                </c:pt>
                <c:pt idx="3">
                  <c:v>0.40198126828160025</c:v>
                </c:pt>
                <c:pt idx="4">
                  <c:v>0.47264498177679992</c:v>
                </c:pt>
                <c:pt idx="5">
                  <c:v>0.16809598308499973</c:v>
                </c:pt>
                <c:pt idx="6">
                  <c:v>0.56785028038259988</c:v>
                </c:pt>
                <c:pt idx="7">
                  <c:v>0.60026021753880032</c:v>
                </c:pt>
                <c:pt idx="8">
                  <c:v>0.9071617575674995</c:v>
                </c:pt>
                <c:pt idx="9">
                  <c:v>1.2351843183736004</c:v>
                </c:pt>
                <c:pt idx="10">
                  <c:v>0.55372633890920031</c:v>
                </c:pt>
                <c:pt idx="11">
                  <c:v>0.45414701226059961</c:v>
                </c:pt>
                <c:pt idx="12">
                  <c:v>0.20562277238639989</c:v>
                </c:pt>
                <c:pt idx="13">
                  <c:v>4.6481198053399883E-2</c:v>
                </c:pt>
                <c:pt idx="14">
                  <c:v>5.8790755202600166E-2</c:v>
                </c:pt>
                <c:pt idx="15">
                  <c:v>-3.8611122396599744E-2</c:v>
                </c:pt>
                <c:pt idx="16">
                  <c:v>0.19877668230760023</c:v>
                </c:pt>
                <c:pt idx="17">
                  <c:v>0.19106550885020049</c:v>
                </c:pt>
                <c:pt idx="18">
                  <c:v>-2.1031638824599897E-2</c:v>
                </c:pt>
                <c:pt idx="19">
                  <c:v>-1.8881872245599823E-2</c:v>
                </c:pt>
                <c:pt idx="20">
                  <c:v>-1.157864857912162</c:v>
                </c:pt>
                <c:pt idx="21">
                  <c:v>-4.9674966649835008</c:v>
                </c:pt>
                <c:pt idx="22">
                  <c:v>-1.9520417393251031</c:v>
                </c:pt>
                <c:pt idx="23">
                  <c:v>-4.5017067627894241</c:v>
                </c:pt>
                <c:pt idx="24">
                  <c:v>-3.6938923324187498</c:v>
                </c:pt>
                <c:pt idx="25">
                  <c:v>1.3740162264831814</c:v>
                </c:pt>
                <c:pt idx="26">
                  <c:v>0.63496524511919994</c:v>
                </c:pt>
                <c:pt idx="27">
                  <c:v>2.8400409946004515</c:v>
                </c:pt>
              </c:numCache>
            </c:numRef>
          </c:val>
          <c:extLst>
            <c:ext xmlns:c16="http://schemas.microsoft.com/office/drawing/2014/chart" uri="{C3380CC4-5D6E-409C-BE32-E72D297353CC}">
              <c16:uniqueId val="{00000001-438C-4A49-85B5-C696EC50A22E}"/>
            </c:ext>
          </c:extLst>
        </c:ser>
        <c:ser>
          <c:idx val="2"/>
          <c:order val="3"/>
          <c:tx>
            <c:strRef>
              <c:f>'Služby-příspěvkyk růstu-4'!$F$25</c:f>
              <c:strCache>
                <c:ptCount val="1"/>
                <c:pt idx="0">
                  <c:v>Information and communication</c:v>
                </c:pt>
              </c:strCache>
            </c:strRef>
          </c:tx>
          <c:spPr>
            <a:solidFill>
              <a:srgbClr val="E6E100"/>
            </a:solidFill>
            <a:ln>
              <a:noFill/>
            </a:ln>
          </c:spPr>
          <c:invertIfNegative val="0"/>
          <c:cat>
            <c:multiLvlStrRef>
              <c:f>'Služby-příspěvkyk růstu-4'!$A$38:$B$66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růstu-4'!$F$38:$F$66</c:f>
              <c:numCache>
                <c:formatCode>0.0</c:formatCode>
                <c:ptCount val="29"/>
                <c:pt idx="0">
                  <c:v>1.4083798915137009</c:v>
                </c:pt>
                <c:pt idx="1">
                  <c:v>0.82540650715499964</c:v>
                </c:pt>
                <c:pt idx="2">
                  <c:v>0.80424272675400077</c:v>
                </c:pt>
                <c:pt idx="3">
                  <c:v>1.3174140502479994</c:v>
                </c:pt>
                <c:pt idx="4">
                  <c:v>0.35985664064800121</c:v>
                </c:pt>
                <c:pt idx="5">
                  <c:v>0.1575138368199987</c:v>
                </c:pt>
                <c:pt idx="6">
                  <c:v>0.32598498922399954</c:v>
                </c:pt>
                <c:pt idx="7">
                  <c:v>0.17761340848900062</c:v>
                </c:pt>
                <c:pt idx="8">
                  <c:v>0.76438636704000096</c:v>
                </c:pt>
                <c:pt idx="9">
                  <c:v>0.98207704425299935</c:v>
                </c:pt>
                <c:pt idx="10">
                  <c:v>0.7709388166100013</c:v>
                </c:pt>
                <c:pt idx="11">
                  <c:v>0.58294315828299903</c:v>
                </c:pt>
                <c:pt idx="12">
                  <c:v>1.4398200028309998</c:v>
                </c:pt>
                <c:pt idx="13">
                  <c:v>0.76531943813199921</c:v>
                </c:pt>
                <c:pt idx="14">
                  <c:v>1.415831001736001</c:v>
                </c:pt>
                <c:pt idx="15">
                  <c:v>0.98684323348800107</c:v>
                </c:pt>
                <c:pt idx="16">
                  <c:v>1.2348474246799988</c:v>
                </c:pt>
                <c:pt idx="17">
                  <c:v>1.1603884990619995</c:v>
                </c:pt>
                <c:pt idx="18">
                  <c:v>0.91591834325400012</c:v>
                </c:pt>
                <c:pt idx="19">
                  <c:v>1.1621880049516005</c:v>
                </c:pt>
                <c:pt idx="20">
                  <c:v>0.8191341781949999</c:v>
                </c:pt>
                <c:pt idx="21">
                  <c:v>1.3223529237600361E-2</c:v>
                </c:pt>
                <c:pt idx="22">
                  <c:v>-0.20840783961799986</c:v>
                </c:pt>
                <c:pt idx="23">
                  <c:v>-0.54142483054800161</c:v>
                </c:pt>
                <c:pt idx="24">
                  <c:v>0.71345327861799956</c:v>
                </c:pt>
                <c:pt idx="25">
                  <c:v>1.5468236089918046</c:v>
                </c:pt>
                <c:pt idx="26">
                  <c:v>1.4415115757943988</c:v>
                </c:pt>
                <c:pt idx="27">
                  <c:v>1.9056402188684927</c:v>
                </c:pt>
              </c:numCache>
            </c:numRef>
          </c:val>
          <c:extLst>
            <c:ext xmlns:c16="http://schemas.microsoft.com/office/drawing/2014/chart" uri="{C3380CC4-5D6E-409C-BE32-E72D297353CC}">
              <c16:uniqueId val="{00000002-438C-4A49-85B5-C696EC50A22E}"/>
            </c:ext>
          </c:extLst>
        </c:ser>
        <c:ser>
          <c:idx val="4"/>
          <c:order val="4"/>
          <c:tx>
            <c:strRef>
              <c:f>'Služby-příspěvkyk růstu-4'!$G$25</c:f>
              <c:strCache>
                <c:ptCount val="1"/>
                <c:pt idx="0">
                  <c:v>Real estate activities</c:v>
                </c:pt>
              </c:strCache>
            </c:strRef>
          </c:tx>
          <c:spPr>
            <a:solidFill>
              <a:schemeClr val="accent5">
                <a:lumMod val="60000"/>
                <a:lumOff val="40000"/>
              </a:schemeClr>
            </a:solidFill>
            <a:ln>
              <a:noFill/>
              <a:prstDash val="sysDash"/>
            </a:ln>
          </c:spPr>
          <c:invertIfNegative val="0"/>
          <c:cat>
            <c:multiLvlStrRef>
              <c:f>'Služby-příspěvkyk růstu-4'!$A$38:$B$66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růstu-4'!$G$38:$G$66</c:f>
              <c:numCache>
                <c:formatCode>0.0</c:formatCode>
                <c:ptCount val="29"/>
                <c:pt idx="0">
                  <c:v>4.7588818498199993E-2</c:v>
                </c:pt>
                <c:pt idx="1">
                  <c:v>-7.3007550905993803E-3</c:v>
                </c:pt>
                <c:pt idx="2">
                  <c:v>0.12810762983039936</c:v>
                </c:pt>
                <c:pt idx="3">
                  <c:v>2.4617916117599462E-2</c:v>
                </c:pt>
                <c:pt idx="4">
                  <c:v>0.25752090895739993</c:v>
                </c:pt>
                <c:pt idx="5">
                  <c:v>-4.2228184845005496E-3</c:v>
                </c:pt>
                <c:pt idx="6">
                  <c:v>0.1499318310138007</c:v>
                </c:pt>
                <c:pt idx="7">
                  <c:v>-6.6530028186599532E-2</c:v>
                </c:pt>
                <c:pt idx="8">
                  <c:v>0.20977398058900024</c:v>
                </c:pt>
                <c:pt idx="9">
                  <c:v>0.44953617213779962</c:v>
                </c:pt>
                <c:pt idx="10">
                  <c:v>-2.2338348474500478E-2</c:v>
                </c:pt>
                <c:pt idx="11">
                  <c:v>0.13984723093739981</c:v>
                </c:pt>
                <c:pt idx="12">
                  <c:v>2.6966101253399585E-2</c:v>
                </c:pt>
                <c:pt idx="13">
                  <c:v>-0.24884766500039976</c:v>
                </c:pt>
                <c:pt idx="14">
                  <c:v>-0.12645184379759991</c:v>
                </c:pt>
                <c:pt idx="15">
                  <c:v>-0.22378801642200052</c:v>
                </c:pt>
                <c:pt idx="16">
                  <c:v>0.14753986907940025</c:v>
                </c:pt>
                <c:pt idx="17">
                  <c:v>-7.379708629200365E-3</c:v>
                </c:pt>
                <c:pt idx="18">
                  <c:v>-0.23287434101939938</c:v>
                </c:pt>
                <c:pt idx="19">
                  <c:v>-0.10147037326200034</c:v>
                </c:pt>
                <c:pt idx="20">
                  <c:v>0.42431890762080055</c:v>
                </c:pt>
                <c:pt idx="21">
                  <c:v>-0.29919163957060046</c:v>
                </c:pt>
                <c:pt idx="22">
                  <c:v>-0.26426338474666694</c:v>
                </c:pt>
                <c:pt idx="23">
                  <c:v>-0.23118426949069976</c:v>
                </c:pt>
                <c:pt idx="24">
                  <c:v>-0.20088632198500025</c:v>
                </c:pt>
                <c:pt idx="25">
                  <c:v>0.43472502460904949</c:v>
                </c:pt>
                <c:pt idx="26">
                  <c:v>2.7135230949999569E-3</c:v>
                </c:pt>
                <c:pt idx="27">
                  <c:v>0.23850631303799988</c:v>
                </c:pt>
              </c:numCache>
            </c:numRef>
          </c:val>
          <c:extLst>
            <c:ext xmlns:c16="http://schemas.microsoft.com/office/drawing/2014/chart" uri="{C3380CC4-5D6E-409C-BE32-E72D297353CC}">
              <c16:uniqueId val="{00000003-438C-4A49-85B5-C696EC50A22E}"/>
            </c:ext>
          </c:extLst>
        </c:ser>
        <c:ser>
          <c:idx val="5"/>
          <c:order val="5"/>
          <c:tx>
            <c:strRef>
              <c:f>'Služby-příspěvkyk růstu-4'!$H$25</c:f>
              <c:strCache>
                <c:ptCount val="1"/>
                <c:pt idx="0">
                  <c:v>Professional, scientific and technical act.</c:v>
                </c:pt>
              </c:strCache>
            </c:strRef>
          </c:tx>
          <c:spPr>
            <a:solidFill>
              <a:schemeClr val="accent6">
                <a:lumMod val="60000"/>
                <a:lumOff val="40000"/>
              </a:schemeClr>
            </a:solidFill>
            <a:ln>
              <a:noFill/>
            </a:ln>
          </c:spPr>
          <c:invertIfNegative val="0"/>
          <c:cat>
            <c:multiLvlStrRef>
              <c:f>'Služby-příspěvkyk růstu-4'!$A$38:$B$66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růstu-4'!$H$38:$H$66</c:f>
              <c:numCache>
                <c:formatCode>0.0</c:formatCode>
                <c:ptCount val="29"/>
                <c:pt idx="0">
                  <c:v>1.0468505532869989</c:v>
                </c:pt>
                <c:pt idx="1">
                  <c:v>0.72007462619999962</c:v>
                </c:pt>
                <c:pt idx="2">
                  <c:v>1.0906393004400001</c:v>
                </c:pt>
                <c:pt idx="3">
                  <c:v>-4.2990021238901367E-2</c:v>
                </c:pt>
                <c:pt idx="4">
                  <c:v>-0.43098075353700094</c:v>
                </c:pt>
                <c:pt idx="5">
                  <c:v>-1.3389465804999987</c:v>
                </c:pt>
                <c:pt idx="6">
                  <c:v>3.0728374200130306E-4</c:v>
                </c:pt>
                <c:pt idx="7">
                  <c:v>-0.3121071665494991</c:v>
                </c:pt>
                <c:pt idx="8">
                  <c:v>0.95807798756000018</c:v>
                </c:pt>
                <c:pt idx="9">
                  <c:v>0.59447839488779997</c:v>
                </c:pt>
                <c:pt idx="10">
                  <c:v>0.30863690562089996</c:v>
                </c:pt>
                <c:pt idx="11">
                  <c:v>0.42814590144940085</c:v>
                </c:pt>
                <c:pt idx="12">
                  <c:v>1.0521629274264988</c:v>
                </c:pt>
                <c:pt idx="13">
                  <c:v>0.5501113250554992</c:v>
                </c:pt>
                <c:pt idx="14">
                  <c:v>0.3596254694963989</c:v>
                </c:pt>
                <c:pt idx="15">
                  <c:v>-0.26680052765060136</c:v>
                </c:pt>
                <c:pt idx="16">
                  <c:v>0.70988848618690059</c:v>
                </c:pt>
                <c:pt idx="17">
                  <c:v>0.59156625867140045</c:v>
                </c:pt>
                <c:pt idx="18">
                  <c:v>-0.77754044718210014</c:v>
                </c:pt>
                <c:pt idx="19">
                  <c:v>-0.56889162351999967</c:v>
                </c:pt>
                <c:pt idx="20">
                  <c:v>-0.8629875625277994</c:v>
                </c:pt>
                <c:pt idx="21">
                  <c:v>-3.1826786933129991</c:v>
                </c:pt>
                <c:pt idx="22">
                  <c:v>-1.495126859429508</c:v>
                </c:pt>
                <c:pt idx="23">
                  <c:v>-1.5495215129057995</c:v>
                </c:pt>
                <c:pt idx="24">
                  <c:v>-1.5895367811931036</c:v>
                </c:pt>
                <c:pt idx="25">
                  <c:v>2.7169285281228999</c:v>
                </c:pt>
                <c:pt idx="26">
                  <c:v>1.7632854739205988</c:v>
                </c:pt>
                <c:pt idx="27">
                  <c:v>2.0934710358268047</c:v>
                </c:pt>
              </c:numCache>
            </c:numRef>
          </c:val>
          <c:extLst>
            <c:ext xmlns:c16="http://schemas.microsoft.com/office/drawing/2014/chart" uri="{C3380CC4-5D6E-409C-BE32-E72D297353CC}">
              <c16:uniqueId val="{00000004-438C-4A49-85B5-C696EC50A22E}"/>
            </c:ext>
          </c:extLst>
        </c:ser>
        <c:ser>
          <c:idx val="6"/>
          <c:order val="6"/>
          <c:tx>
            <c:strRef>
              <c:f>'Služby-příspěvkyk růstu-4'!$I$25</c:f>
              <c:strCache>
                <c:ptCount val="1"/>
                <c:pt idx="0">
                  <c:v>Administr. and support service activities</c:v>
                </c:pt>
              </c:strCache>
            </c:strRef>
          </c:tx>
          <c:spPr>
            <a:solidFill>
              <a:schemeClr val="accent1">
                <a:lumMod val="20000"/>
                <a:lumOff val="80000"/>
              </a:schemeClr>
            </a:solidFill>
            <a:ln>
              <a:noFill/>
            </a:ln>
          </c:spPr>
          <c:invertIfNegative val="0"/>
          <c:cat>
            <c:multiLvlStrRef>
              <c:f>'Služby-příspěvkyk růstu-4'!$A$38:$B$66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růstu-4'!$I$38:$I$66</c:f>
              <c:numCache>
                <c:formatCode>0.0</c:formatCode>
                <c:ptCount val="29"/>
                <c:pt idx="0">
                  <c:v>0.51550370389650024</c:v>
                </c:pt>
                <c:pt idx="1">
                  <c:v>0.62101310773750029</c:v>
                </c:pt>
                <c:pt idx="2">
                  <c:v>0.43506961802500044</c:v>
                </c:pt>
                <c:pt idx="3">
                  <c:v>0.50168865387909933</c:v>
                </c:pt>
                <c:pt idx="4">
                  <c:v>0.4550707532813994</c:v>
                </c:pt>
                <c:pt idx="5">
                  <c:v>0.16398578688570073</c:v>
                </c:pt>
                <c:pt idx="6">
                  <c:v>0.26977885261849965</c:v>
                </c:pt>
                <c:pt idx="7">
                  <c:v>0.51378188366290034</c:v>
                </c:pt>
                <c:pt idx="8">
                  <c:v>1.3201331730339996</c:v>
                </c:pt>
                <c:pt idx="9">
                  <c:v>1.0879288678141008</c:v>
                </c:pt>
                <c:pt idx="10">
                  <c:v>0.6413410787324999</c:v>
                </c:pt>
                <c:pt idx="11">
                  <c:v>0.30531118010650066</c:v>
                </c:pt>
                <c:pt idx="12">
                  <c:v>0.53332072309840028</c:v>
                </c:pt>
                <c:pt idx="13">
                  <c:v>0.3784029238782004</c:v>
                </c:pt>
                <c:pt idx="14">
                  <c:v>0.43569101400389965</c:v>
                </c:pt>
                <c:pt idx="15">
                  <c:v>-1.3079338160200678E-2</c:v>
                </c:pt>
                <c:pt idx="16">
                  <c:v>0.47288540072630031</c:v>
                </c:pt>
                <c:pt idx="17">
                  <c:v>0.12968213694649977</c:v>
                </c:pt>
                <c:pt idx="18">
                  <c:v>-0.12322397481159968</c:v>
                </c:pt>
                <c:pt idx="19">
                  <c:v>-0.21537552647130032</c:v>
                </c:pt>
                <c:pt idx="20">
                  <c:v>-1.1051686942920007</c:v>
                </c:pt>
                <c:pt idx="21">
                  <c:v>-4.3129281059486004</c:v>
                </c:pt>
                <c:pt idx="22">
                  <c:v>-4.446067523157895</c:v>
                </c:pt>
                <c:pt idx="23">
                  <c:v>-2.3716048373778</c:v>
                </c:pt>
                <c:pt idx="24">
                  <c:v>-1.4736020338190001</c:v>
                </c:pt>
                <c:pt idx="25">
                  <c:v>1.7704532307217178</c:v>
                </c:pt>
                <c:pt idx="26">
                  <c:v>1.8501751321200004</c:v>
                </c:pt>
                <c:pt idx="27">
                  <c:v>1.0500907454198474</c:v>
                </c:pt>
              </c:numCache>
            </c:numRef>
          </c:val>
          <c:extLst>
            <c:ext xmlns:c16="http://schemas.microsoft.com/office/drawing/2014/chart" uri="{C3380CC4-5D6E-409C-BE32-E72D297353CC}">
              <c16:uniqueId val="{00000005-438C-4A49-85B5-C696EC50A22E}"/>
            </c:ext>
          </c:extLst>
        </c:ser>
        <c:dLbls>
          <c:showLegendKey val="0"/>
          <c:showVal val="0"/>
          <c:showCatName val="0"/>
          <c:showSerName val="0"/>
          <c:showPercent val="0"/>
          <c:showBubbleSize val="0"/>
        </c:dLbls>
        <c:gapWidth val="20"/>
        <c:overlap val="100"/>
        <c:axId val="156100864"/>
        <c:axId val="156573696"/>
      </c:barChart>
      <c:lineChart>
        <c:grouping val="standard"/>
        <c:varyColors val="0"/>
        <c:ser>
          <c:idx val="3"/>
          <c:order val="0"/>
          <c:tx>
            <c:strRef>
              <c:f>'Služby-příspěvkyk růstu-4'!$C$25</c:f>
              <c:strCache>
                <c:ptCount val="1"/>
                <c:pt idx="0">
                  <c:v>Total services</c:v>
                </c:pt>
              </c:strCache>
            </c:strRef>
          </c:tx>
          <c:spPr>
            <a:ln>
              <a:noFill/>
            </a:ln>
          </c:spPr>
          <c:marker>
            <c:symbol val="dash"/>
            <c:size val="9"/>
            <c:spPr>
              <a:solidFill>
                <a:schemeClr val="tx1">
                  <a:lumMod val="95000"/>
                  <a:lumOff val="5000"/>
                </a:schemeClr>
              </a:solidFill>
              <a:ln>
                <a:noFill/>
              </a:ln>
            </c:spPr>
          </c:marker>
          <c:cat>
            <c:multiLvlStrRef>
              <c:f>'Služby-příspěvkyk růstu-4'!$A$38:$B$66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růstu-4'!$C$38:$C$66</c:f>
              <c:numCache>
                <c:formatCode>0.0</c:formatCode>
                <c:ptCount val="29"/>
                <c:pt idx="0">
                  <c:v>3.3387856580999937</c:v>
                </c:pt>
                <c:pt idx="1">
                  <c:v>2.7067375338999966</c:v>
                </c:pt>
                <c:pt idx="2">
                  <c:v>3.2734904207</c:v>
                </c:pt>
                <c:pt idx="3">
                  <c:v>2.2083913160000037</c:v>
                </c:pt>
                <c:pt idx="4">
                  <c:v>1.3295921479000015</c:v>
                </c:pt>
                <c:pt idx="5">
                  <c:v>-0.87633228709999855</c:v>
                </c:pt>
                <c:pt idx="6">
                  <c:v>1.4335470749000052</c:v>
                </c:pt>
                <c:pt idx="7">
                  <c:v>1.6242102724999938</c:v>
                </c:pt>
                <c:pt idx="8">
                  <c:v>5.6462151451000011</c:v>
                </c:pt>
                <c:pt idx="9">
                  <c:v>5.4476828922000067</c:v>
                </c:pt>
                <c:pt idx="10">
                  <c:v>3.4016118395999939</c:v>
                </c:pt>
                <c:pt idx="11">
                  <c:v>2.5063195031000021</c:v>
                </c:pt>
                <c:pt idx="12">
                  <c:v>5.071288603499994</c:v>
                </c:pt>
                <c:pt idx="13">
                  <c:v>3.4823349595999957</c:v>
                </c:pt>
                <c:pt idx="14">
                  <c:v>3.6926675579999966</c:v>
                </c:pt>
                <c:pt idx="15">
                  <c:v>1.0671514554999959</c:v>
                </c:pt>
                <c:pt idx="16">
                  <c:v>3.5777212416000026</c:v>
                </c:pt>
                <c:pt idx="17">
                  <c:v>1.9765133558999963</c:v>
                </c:pt>
                <c:pt idx="18">
                  <c:v>-0.81695782319999921</c:v>
                </c:pt>
                <c:pt idx="19">
                  <c:v>-0.15568719549999344</c:v>
                </c:pt>
                <c:pt idx="20">
                  <c:v>-3.6980250129000041</c:v>
                </c:pt>
                <c:pt idx="21">
                  <c:v>-19.645345248799998</c:v>
                </c:pt>
                <c:pt idx="22">
                  <c:v>-12.600965308100001</c:v>
                </c:pt>
                <c:pt idx="23">
                  <c:v>-10.912584080000002</c:v>
                </c:pt>
                <c:pt idx="24">
                  <c:v>-6.4084553470000003</c:v>
                </c:pt>
                <c:pt idx="25">
                  <c:v>14.780549300900006</c:v>
                </c:pt>
                <c:pt idx="26">
                  <c:v>9.8381160276999964</c:v>
                </c:pt>
                <c:pt idx="27">
                  <c:v>12.662339231000004</c:v>
                </c:pt>
              </c:numCache>
            </c:numRef>
          </c:val>
          <c:smooth val="0"/>
          <c:extLst>
            <c:ext xmlns:c16="http://schemas.microsoft.com/office/drawing/2014/chart" uri="{C3380CC4-5D6E-409C-BE32-E72D297353CC}">
              <c16:uniqueId val="{00000006-438C-4A49-85B5-C696EC50A22E}"/>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růstu-4'!$J$25</c:f>
              <c:strCache>
                <c:ptCount val="1"/>
                <c:pt idx="0">
                  <c:v>Balance of confidence in services</c:v>
                </c:pt>
              </c:strCache>
            </c:strRef>
          </c:tx>
          <c:spPr>
            <a:ln w="3175">
              <a:solidFill>
                <a:schemeClr val="bg1">
                  <a:lumMod val="50000"/>
                </a:schemeClr>
              </a:solidFill>
              <a:prstDash val="sysDash"/>
            </a:ln>
          </c:spPr>
          <c:marker>
            <c:symbol val="diamond"/>
            <c:size val="5"/>
            <c:spPr>
              <a:solidFill>
                <a:srgbClr val="FFFF00"/>
              </a:solidFill>
              <a:ln w="6350">
                <a:solidFill>
                  <a:schemeClr val="tx1">
                    <a:lumMod val="95000"/>
                    <a:lumOff val="5000"/>
                  </a:schemeClr>
                </a:solidFill>
              </a:ln>
            </c:spPr>
          </c:marker>
          <c:cat>
            <c:multiLvlStrRef>
              <c:f>'Služby-příspěvkyk růstu-4'!$A$38:$B$66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růstu-4'!$J$38:$J$66</c:f>
              <c:numCache>
                <c:formatCode>0.0</c:formatCode>
                <c:ptCount val="29"/>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pt idx="24">
                  <c:v>8</c:v>
                </c:pt>
                <c:pt idx="25">
                  <c:v>22.3</c:v>
                </c:pt>
                <c:pt idx="26">
                  <c:v>24.3</c:v>
                </c:pt>
                <c:pt idx="27">
                  <c:v>27</c:v>
                </c:pt>
                <c:pt idx="28">
                  <c:v>31</c:v>
                </c:pt>
              </c:numCache>
            </c:numRef>
          </c:val>
          <c:smooth val="0"/>
          <c:extLst>
            <c:ext xmlns:c16="http://schemas.microsoft.com/office/drawing/2014/chart" uri="{C3380CC4-5D6E-409C-BE32-E72D297353CC}">
              <c16:uniqueId val="{00000007-438C-4A49-85B5-C696EC50A22E}"/>
            </c:ext>
          </c:extLst>
        </c:ser>
        <c:ser>
          <c:idx val="8"/>
          <c:order val="8"/>
          <c:tx>
            <c:strRef>
              <c:f>'Služby-příspěvkyk růstu-4'!$K$25</c:f>
              <c:strCache>
                <c:ptCount val="1"/>
                <c:pt idx="0">
                  <c:v>Growth barrier: inadequate demand</c:v>
                </c:pt>
              </c:strCache>
            </c:strRef>
          </c:tx>
          <c:spPr>
            <a:ln w="15875">
              <a:solidFill>
                <a:schemeClr val="bg2">
                  <a:lumMod val="25000"/>
                </a:schemeClr>
              </a:solidFill>
            </a:ln>
          </c:spPr>
          <c:marker>
            <c:symbol val="none"/>
          </c:marker>
          <c:cat>
            <c:multiLvlStrRef>
              <c:f>'Služby-příspěvkyk růstu-4'!$A$38:$B$66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růstu-4'!$K$38:$K$66</c:f>
              <c:numCache>
                <c:formatCode>#\ ##0.0</c:formatCode>
                <c:ptCount val="29"/>
                <c:pt idx="0">
                  <c:v>26.2</c:v>
                </c:pt>
                <c:pt idx="1">
                  <c:v>29</c:v>
                </c:pt>
                <c:pt idx="2">
                  <c:v>26.9</c:v>
                </c:pt>
                <c:pt idx="3">
                  <c:v>23.3</c:v>
                </c:pt>
                <c:pt idx="4">
                  <c:v>24</c:v>
                </c:pt>
                <c:pt idx="5">
                  <c:v>24.5</c:v>
                </c:pt>
                <c:pt idx="6">
                  <c:v>21</c:v>
                </c:pt>
                <c:pt idx="7">
                  <c:v>23.3</c:v>
                </c:pt>
                <c:pt idx="8">
                  <c:v>26.2</c:v>
                </c:pt>
                <c:pt idx="9">
                  <c:v>20.5</c:v>
                </c:pt>
                <c:pt idx="10">
                  <c:v>19.899999999999999</c:v>
                </c:pt>
                <c:pt idx="11">
                  <c:v>20.9</c:v>
                </c:pt>
                <c:pt idx="12">
                  <c:v>17.3</c:v>
                </c:pt>
                <c:pt idx="13">
                  <c:v>18.600000000000001</c:v>
                </c:pt>
                <c:pt idx="14">
                  <c:v>18.899999999999999</c:v>
                </c:pt>
                <c:pt idx="15">
                  <c:v>19.8</c:v>
                </c:pt>
                <c:pt idx="16">
                  <c:v>20.7</c:v>
                </c:pt>
                <c:pt idx="17">
                  <c:v>17.100000000000001</c:v>
                </c:pt>
                <c:pt idx="18">
                  <c:v>21.7</c:v>
                </c:pt>
                <c:pt idx="19">
                  <c:v>14.1</c:v>
                </c:pt>
                <c:pt idx="20">
                  <c:v>20.399999999999999</c:v>
                </c:pt>
                <c:pt idx="21">
                  <c:v>29.1</c:v>
                </c:pt>
                <c:pt idx="22">
                  <c:v>30.9</c:v>
                </c:pt>
                <c:pt idx="23">
                  <c:v>39</c:v>
                </c:pt>
                <c:pt idx="24">
                  <c:v>35.799999999999997</c:v>
                </c:pt>
                <c:pt idx="25">
                  <c:v>37.1</c:v>
                </c:pt>
                <c:pt idx="26">
                  <c:v>30.9</c:v>
                </c:pt>
                <c:pt idx="27">
                  <c:v>26.8</c:v>
                </c:pt>
                <c:pt idx="28">
                  <c:v>30.4</c:v>
                </c:pt>
              </c:numCache>
            </c:numRef>
          </c:val>
          <c:smooth val="0"/>
          <c:extLst>
            <c:ext xmlns:c16="http://schemas.microsoft.com/office/drawing/2014/chart" uri="{C3380CC4-5D6E-409C-BE32-E72D297353CC}">
              <c16:uniqueId val="{00000008-438C-4A49-85B5-C696EC50A22E}"/>
            </c:ext>
          </c:extLst>
        </c:ser>
        <c:ser>
          <c:idx val="9"/>
          <c:order val="9"/>
          <c:tx>
            <c:strRef>
              <c:f>'Služby-příspěvkyk růstu-4'!$L$25</c:f>
              <c:strCache>
                <c:ptCount val="1"/>
                <c:pt idx="0">
                  <c:v>Growth barrier: shortage of employees</c:v>
                </c:pt>
              </c:strCache>
            </c:strRef>
          </c:tx>
          <c:spPr>
            <a:ln w="15875">
              <a:solidFill>
                <a:schemeClr val="bg2">
                  <a:lumMod val="25000"/>
                </a:schemeClr>
              </a:solidFill>
              <a:prstDash val="sysDash"/>
            </a:ln>
          </c:spPr>
          <c:marker>
            <c:symbol val="none"/>
          </c:marker>
          <c:cat>
            <c:multiLvlStrRef>
              <c:f>'Služby-příspěvkyk růstu-4'!$A$38:$B$66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růstu-4'!$L$38:$L$66</c:f>
              <c:numCache>
                <c:formatCode>#\ ##0.0</c:formatCode>
                <c:ptCount val="29"/>
                <c:pt idx="0">
                  <c:v>2.8</c:v>
                </c:pt>
                <c:pt idx="1">
                  <c:v>5.7</c:v>
                </c:pt>
                <c:pt idx="2">
                  <c:v>5.9</c:v>
                </c:pt>
                <c:pt idx="3">
                  <c:v>5.8</c:v>
                </c:pt>
                <c:pt idx="4">
                  <c:v>8.6999999999999993</c:v>
                </c:pt>
                <c:pt idx="5">
                  <c:v>4.5999999999999996</c:v>
                </c:pt>
                <c:pt idx="6">
                  <c:v>7.1</c:v>
                </c:pt>
                <c:pt idx="7">
                  <c:v>9.1</c:v>
                </c:pt>
                <c:pt idx="8">
                  <c:v>10.1</c:v>
                </c:pt>
                <c:pt idx="9">
                  <c:v>10</c:v>
                </c:pt>
                <c:pt idx="10">
                  <c:v>9.3000000000000007</c:v>
                </c:pt>
                <c:pt idx="11">
                  <c:v>12.2</c:v>
                </c:pt>
                <c:pt idx="12">
                  <c:v>14.2</c:v>
                </c:pt>
                <c:pt idx="13">
                  <c:v>16.600000000000001</c:v>
                </c:pt>
                <c:pt idx="14">
                  <c:v>17.3</c:v>
                </c:pt>
                <c:pt idx="15">
                  <c:v>18.600000000000001</c:v>
                </c:pt>
                <c:pt idx="16">
                  <c:v>19.600000000000001</c:v>
                </c:pt>
                <c:pt idx="17">
                  <c:v>16.600000000000001</c:v>
                </c:pt>
                <c:pt idx="18">
                  <c:v>21.2</c:v>
                </c:pt>
                <c:pt idx="19">
                  <c:v>19.100000000000001</c:v>
                </c:pt>
                <c:pt idx="20">
                  <c:v>19.7</c:v>
                </c:pt>
                <c:pt idx="21">
                  <c:v>12.1</c:v>
                </c:pt>
                <c:pt idx="22">
                  <c:v>9.8000000000000007</c:v>
                </c:pt>
                <c:pt idx="23">
                  <c:v>11.1</c:v>
                </c:pt>
                <c:pt idx="24">
                  <c:v>11.2</c:v>
                </c:pt>
                <c:pt idx="25">
                  <c:v>10.8</c:v>
                </c:pt>
                <c:pt idx="26">
                  <c:v>16.3</c:v>
                </c:pt>
                <c:pt idx="27">
                  <c:v>18.899999999999999</c:v>
                </c:pt>
                <c:pt idx="28">
                  <c:v>19.3</c:v>
                </c:pt>
              </c:numCache>
            </c:numRef>
          </c:val>
          <c:smooth val="0"/>
          <c:extLst>
            <c:ext xmlns:c16="http://schemas.microsoft.com/office/drawing/2014/chart" uri="{C3380CC4-5D6E-409C-BE32-E72D297353CC}">
              <c16:uniqueId val="{00000009-438C-4A49-85B5-C696EC50A22E}"/>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5"/>
          <c:min val="-21"/>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en-GB" sz="700" i="1">
                    <a:effectLst/>
                  </a:rPr>
                  <a:t>Contribution to changes in sales in services</a:t>
                </a:r>
                <a:endParaRPr lang="cs-CZ" sz="700">
                  <a:effectLst/>
                </a:endParaRPr>
              </a:p>
            </c:rich>
          </c:tx>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3"/>
      </c:valAx>
      <c:valAx>
        <c:axId val="156575232"/>
        <c:scaling>
          <c:orientation val="minMax"/>
          <c:max val="100"/>
          <c:min val="-2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en-GB" sz="700" i="1">
                    <a:effectLst/>
                  </a:rPr>
                  <a:t>Balance of confidence, Growth barriers</a:t>
                </a:r>
                <a:endParaRPr lang="cs-CZ" sz="700">
                  <a:effectLst/>
                </a:endParaRPr>
              </a:p>
            </c:rich>
          </c:tx>
          <c:layout>
            <c:manualLayout>
              <c:xMode val="edge"/>
              <c:yMode val="edge"/>
              <c:x val="0.97060564907475944"/>
              <c:y val="0.10925373649828851"/>
            </c:manualLayout>
          </c:layout>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1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solidFill>
        </a:ln>
      </c:spPr>
    </c:plotArea>
    <c:legend>
      <c:legendPos val="r"/>
      <c:layout>
        <c:manualLayout>
          <c:xMode val="edge"/>
          <c:yMode val="edge"/>
          <c:x val="6.4054887921738678E-5"/>
          <c:y val="0.81821506531821531"/>
          <c:w val="0.98649823440865303"/>
          <c:h val="0.17117269183021638"/>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213E-2"/>
          <c:y val="1.5803328678987455E-2"/>
          <c:w val="0.86647319020345381"/>
          <c:h val="0.77402356920644666"/>
        </c:manualLayout>
      </c:layout>
      <c:barChart>
        <c:barDir val="col"/>
        <c:grouping val="clustered"/>
        <c:varyColors val="0"/>
        <c:ser>
          <c:idx val="3"/>
          <c:order val="0"/>
          <c:tx>
            <c:strRef>
              <c:f>'výkonnost odvětví 5'!$C$10</c:f>
              <c:strCache>
                <c:ptCount val="1"/>
                <c:pt idx="0">
                  <c:v>Retail (without motor. segment)</c:v>
                </c:pt>
              </c:strCache>
            </c:strRef>
          </c:tx>
          <c:spPr>
            <a:solidFill>
              <a:srgbClr val="BEBEBE"/>
            </a:solidFill>
            <a:ln>
              <a:noFill/>
            </a:ln>
          </c:spPr>
          <c:invertIfNegative val="0"/>
          <c:cat>
            <c:multiLvlStrRef>
              <c:f>'výkonnost odvětví 5'!$A$31:$B$59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5'!$C$31:$C$59</c:f>
              <c:numCache>
                <c:formatCode>##0.0</c:formatCode>
                <c:ptCount val="29"/>
                <c:pt idx="0">
                  <c:v>5.9629437730999939</c:v>
                </c:pt>
                <c:pt idx="1">
                  <c:v>5.5942049784000005</c:v>
                </c:pt>
                <c:pt idx="2">
                  <c:v>5.5012484798999992</c:v>
                </c:pt>
                <c:pt idx="3">
                  <c:v>6.0276233044999969</c:v>
                </c:pt>
                <c:pt idx="4">
                  <c:v>5.2867215003000041</c:v>
                </c:pt>
                <c:pt idx="5">
                  <c:v>4.7635779651999997</c:v>
                </c:pt>
                <c:pt idx="6">
                  <c:v>4.7795776032999981</c:v>
                </c:pt>
                <c:pt idx="7">
                  <c:v>3.8964899322999997</c:v>
                </c:pt>
                <c:pt idx="8">
                  <c:v>5.2310555753000045</c:v>
                </c:pt>
                <c:pt idx="9">
                  <c:v>6.4725508764000068</c:v>
                </c:pt>
                <c:pt idx="10">
                  <c:v>5.9734111239999947</c:v>
                </c:pt>
                <c:pt idx="11">
                  <c:v>6.1682850682000065</c:v>
                </c:pt>
                <c:pt idx="12">
                  <c:v>6.3413097881000056</c:v>
                </c:pt>
                <c:pt idx="13">
                  <c:v>4.6706928929999947</c:v>
                </c:pt>
                <c:pt idx="14">
                  <c:v>4.2011641704000056</c:v>
                </c:pt>
                <c:pt idx="15">
                  <c:v>4.8161828603000032</c:v>
                </c:pt>
                <c:pt idx="16">
                  <c:v>5.6584053785000066</c:v>
                </c:pt>
                <c:pt idx="17">
                  <c:v>4.8300705571000009</c:v>
                </c:pt>
                <c:pt idx="18">
                  <c:v>4.5406581594999977</c:v>
                </c:pt>
                <c:pt idx="19">
                  <c:v>4.196988668399996</c:v>
                </c:pt>
                <c:pt idx="20">
                  <c:v>0.12908217749999551</c:v>
                </c:pt>
                <c:pt idx="21">
                  <c:v>-2.8976566630000065</c:v>
                </c:pt>
                <c:pt idx="22">
                  <c:v>1.3167079119999983</c:v>
                </c:pt>
                <c:pt idx="23">
                  <c:v>-2.0214892853999942</c:v>
                </c:pt>
                <c:pt idx="24">
                  <c:v>-0.25450931490000528</c:v>
                </c:pt>
                <c:pt idx="25">
                  <c:v>7.2758830861999968</c:v>
                </c:pt>
                <c:pt idx="26">
                  <c:v>3.9166814666999983</c:v>
                </c:pt>
                <c:pt idx="27">
                  <c:v>6.1668547292999989</c:v>
                </c:pt>
              </c:numCache>
            </c:numRef>
          </c:val>
          <c:extLst>
            <c:ext xmlns:c16="http://schemas.microsoft.com/office/drawing/2014/chart" uri="{C3380CC4-5D6E-409C-BE32-E72D297353CC}">
              <c16:uniqueId val="{00000000-6488-41DC-A06B-949FF1B3883D}"/>
            </c:ext>
          </c:extLst>
        </c:ser>
        <c:dLbls>
          <c:showLegendKey val="0"/>
          <c:showVal val="0"/>
          <c:showCatName val="0"/>
          <c:showSerName val="0"/>
          <c:showPercent val="0"/>
          <c:showBubbleSize val="0"/>
        </c:dLbls>
        <c:gapWidth val="31"/>
        <c:axId val="156100864"/>
        <c:axId val="156573696"/>
      </c:barChart>
      <c:lineChart>
        <c:grouping val="standard"/>
        <c:varyColors val="0"/>
        <c:ser>
          <c:idx val="0"/>
          <c:order val="1"/>
          <c:tx>
            <c:strRef>
              <c:f>'výkonnost odvětví 5'!$D$10</c:f>
              <c:strCache>
                <c:ptCount val="1"/>
                <c:pt idx="0">
                  <c:v>Retail with non-food goods</c:v>
                </c:pt>
              </c:strCache>
            </c:strRef>
          </c:tx>
          <c:spPr>
            <a:ln w="15875">
              <a:solidFill>
                <a:srgbClr val="00B050"/>
              </a:solidFill>
            </a:ln>
          </c:spPr>
          <c:marker>
            <c:symbol val="none"/>
          </c:marker>
          <c:cat>
            <c:multiLvlStrRef>
              <c:f>'výkonnost odvětví 5'!$A$31:$B$59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5'!$D$31:$D$59</c:f>
              <c:numCache>
                <c:formatCode>0.0</c:formatCode>
                <c:ptCount val="29"/>
                <c:pt idx="0">
                  <c:v>7.2715196739000021</c:v>
                </c:pt>
                <c:pt idx="1">
                  <c:v>8.3670083482000024</c:v>
                </c:pt>
                <c:pt idx="2">
                  <c:v>5.8714962675999942</c:v>
                </c:pt>
                <c:pt idx="3">
                  <c:v>7.1796031766999988</c:v>
                </c:pt>
                <c:pt idx="4">
                  <c:v>5.992849787099999</c:v>
                </c:pt>
                <c:pt idx="5">
                  <c:v>5.3652608760999954</c:v>
                </c:pt>
                <c:pt idx="6">
                  <c:v>6.9198240850000019</c:v>
                </c:pt>
                <c:pt idx="7">
                  <c:v>7.0074928439999979</c:v>
                </c:pt>
                <c:pt idx="8">
                  <c:v>8.6852873061999958</c:v>
                </c:pt>
                <c:pt idx="9">
                  <c:v>9.2363312134999944</c:v>
                </c:pt>
                <c:pt idx="10">
                  <c:v>8.5628601745000026</c:v>
                </c:pt>
                <c:pt idx="11">
                  <c:v>8.8840041140000068</c:v>
                </c:pt>
                <c:pt idx="12">
                  <c:v>8.9088398325000071</c:v>
                </c:pt>
                <c:pt idx="13">
                  <c:v>7.5663649659999948</c:v>
                </c:pt>
                <c:pt idx="14">
                  <c:v>6.1198352104999998</c:v>
                </c:pt>
                <c:pt idx="15">
                  <c:v>7.7062771978000058</c:v>
                </c:pt>
                <c:pt idx="16">
                  <c:v>9.2922875281000046</c:v>
                </c:pt>
                <c:pt idx="17">
                  <c:v>7.0020782769999954</c:v>
                </c:pt>
                <c:pt idx="18">
                  <c:v>7.8244667778999997</c:v>
                </c:pt>
                <c:pt idx="19">
                  <c:v>6.6837416494000053</c:v>
                </c:pt>
                <c:pt idx="20">
                  <c:v>8.1510700699993777E-2</c:v>
                </c:pt>
                <c:pt idx="21">
                  <c:v>0.7559899058999946</c:v>
                </c:pt>
                <c:pt idx="22">
                  <c:v>3.6224656044999932</c:v>
                </c:pt>
                <c:pt idx="23">
                  <c:v>-1.9911408056999989</c:v>
                </c:pt>
                <c:pt idx="24">
                  <c:v>2.1065596202000023</c:v>
                </c:pt>
                <c:pt idx="25">
                  <c:v>11.361493757299996</c:v>
                </c:pt>
                <c:pt idx="26">
                  <c:v>7.6021912932999953</c:v>
                </c:pt>
                <c:pt idx="27">
                  <c:v>9.9294145094000044</c:v>
                </c:pt>
              </c:numCache>
            </c:numRef>
          </c:val>
          <c:smooth val="0"/>
          <c:extLst>
            <c:ext xmlns:c16="http://schemas.microsoft.com/office/drawing/2014/chart" uri="{C3380CC4-5D6E-409C-BE32-E72D297353CC}">
              <c16:uniqueId val="{00000001-6488-41DC-A06B-949FF1B3883D}"/>
            </c:ext>
          </c:extLst>
        </c:ser>
        <c:ser>
          <c:idx val="1"/>
          <c:order val="2"/>
          <c:tx>
            <c:strRef>
              <c:f>'výkonnost odvětví 5'!$E$10</c:f>
              <c:strCache>
                <c:ptCount val="1"/>
                <c:pt idx="0">
                  <c:v>Retail with food, total</c:v>
                </c:pt>
              </c:strCache>
            </c:strRef>
          </c:tx>
          <c:spPr>
            <a:ln w="15875">
              <a:solidFill>
                <a:srgbClr val="0070C0"/>
              </a:solidFill>
            </a:ln>
          </c:spPr>
          <c:marker>
            <c:symbol val="none"/>
          </c:marker>
          <c:cat>
            <c:multiLvlStrRef>
              <c:f>'výkonnost odvětví 5'!$A$31:$B$59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5'!$E$31:$E$59</c:f>
              <c:numCache>
                <c:formatCode>0.0</c:formatCode>
                <c:ptCount val="29"/>
                <c:pt idx="0">
                  <c:v>4.5876844758000033</c:v>
                </c:pt>
                <c:pt idx="1">
                  <c:v>3.0424029370999932</c:v>
                </c:pt>
                <c:pt idx="2">
                  <c:v>4.9263563212000037</c:v>
                </c:pt>
                <c:pt idx="3">
                  <c:v>3.9150013738999974</c:v>
                </c:pt>
                <c:pt idx="4">
                  <c:v>4.5995763954000068</c:v>
                </c:pt>
                <c:pt idx="5">
                  <c:v>3.9376332190000056</c:v>
                </c:pt>
                <c:pt idx="6">
                  <c:v>2.591765420599998</c:v>
                </c:pt>
                <c:pt idx="7">
                  <c:v>-0.23256164999999385</c:v>
                </c:pt>
                <c:pt idx="8">
                  <c:v>1.8918609717999999</c:v>
                </c:pt>
                <c:pt idx="9">
                  <c:v>3.6041123518999996</c:v>
                </c:pt>
                <c:pt idx="10">
                  <c:v>3.0516559300999972</c:v>
                </c:pt>
                <c:pt idx="11">
                  <c:v>2.5811256036000003</c:v>
                </c:pt>
                <c:pt idx="12">
                  <c:v>3.7066780967000028</c:v>
                </c:pt>
                <c:pt idx="13">
                  <c:v>1.323651567400006</c:v>
                </c:pt>
                <c:pt idx="14">
                  <c:v>2.362942357600005</c:v>
                </c:pt>
                <c:pt idx="15">
                  <c:v>1.3214242518999981</c:v>
                </c:pt>
                <c:pt idx="16">
                  <c:v>1.6645836688999935</c:v>
                </c:pt>
                <c:pt idx="17">
                  <c:v>2.9944110046999981</c:v>
                </c:pt>
                <c:pt idx="18">
                  <c:v>1.5968521353999989</c:v>
                </c:pt>
                <c:pt idx="19">
                  <c:v>1.6366635083000034</c:v>
                </c:pt>
                <c:pt idx="20">
                  <c:v>2.4117608905000054</c:v>
                </c:pt>
                <c:pt idx="21">
                  <c:v>-3.0566916679999991</c:v>
                </c:pt>
                <c:pt idx="22">
                  <c:v>-1.0441902567999932</c:v>
                </c:pt>
                <c:pt idx="23">
                  <c:v>0.69822811010000407</c:v>
                </c:pt>
                <c:pt idx="24">
                  <c:v>-1.1475745756000038</c:v>
                </c:pt>
                <c:pt idx="25">
                  <c:v>1.1151025701999941</c:v>
                </c:pt>
                <c:pt idx="26">
                  <c:v>-0.78127660490000039</c:v>
                </c:pt>
                <c:pt idx="27">
                  <c:v>-0.50252165039999852</c:v>
                </c:pt>
              </c:numCache>
            </c:numRef>
          </c:val>
          <c:smooth val="0"/>
          <c:extLst>
            <c:ext xmlns:c16="http://schemas.microsoft.com/office/drawing/2014/chart" uri="{C3380CC4-5D6E-409C-BE32-E72D297353CC}">
              <c16:uniqueId val="{00000002-6488-41DC-A06B-949FF1B3883D}"/>
            </c:ext>
          </c:extLst>
        </c:ser>
        <c:ser>
          <c:idx val="2"/>
          <c:order val="3"/>
          <c:tx>
            <c:strRef>
              <c:f>'výkonnost odvětví 5'!$F$10</c:f>
              <c:strCache>
                <c:ptCount val="1"/>
                <c:pt idx="0">
                  <c:v>Retail with food in specialised shops</c:v>
                </c:pt>
              </c:strCache>
            </c:strRef>
          </c:tx>
          <c:spPr>
            <a:ln w="15875">
              <a:solidFill>
                <a:srgbClr val="00B0F0"/>
              </a:solidFill>
              <a:prstDash val="sysDash"/>
            </a:ln>
          </c:spPr>
          <c:marker>
            <c:symbol val="none"/>
          </c:marker>
          <c:cat>
            <c:multiLvlStrRef>
              <c:f>'výkonnost odvětví 5'!$A$31:$B$59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5'!$F$31:$F$59</c:f>
              <c:numCache>
                <c:formatCode>0.0</c:formatCode>
                <c:ptCount val="29"/>
                <c:pt idx="0">
                  <c:v>2.6690178399999951</c:v>
                </c:pt>
                <c:pt idx="1">
                  <c:v>2.2128227439000057</c:v>
                </c:pt>
                <c:pt idx="2">
                  <c:v>1.9202398683000013</c:v>
                </c:pt>
                <c:pt idx="3">
                  <c:v>2.7073259998000054</c:v>
                </c:pt>
                <c:pt idx="4">
                  <c:v>4.1610559200999973</c:v>
                </c:pt>
                <c:pt idx="5">
                  <c:v>1.8660943609999947</c:v>
                </c:pt>
                <c:pt idx="6">
                  <c:v>4.7366658035000029</c:v>
                </c:pt>
                <c:pt idx="7">
                  <c:v>2.0187861211000069</c:v>
                </c:pt>
                <c:pt idx="8">
                  <c:v>3.4615535926999996</c:v>
                </c:pt>
                <c:pt idx="9">
                  <c:v>3.916856426199999</c:v>
                </c:pt>
                <c:pt idx="10">
                  <c:v>1.1265036291000001</c:v>
                </c:pt>
                <c:pt idx="11">
                  <c:v>3.3543429389000039</c:v>
                </c:pt>
                <c:pt idx="12">
                  <c:v>2.3535225098000012</c:v>
                </c:pt>
                <c:pt idx="13">
                  <c:v>0.45949150689999385</c:v>
                </c:pt>
                <c:pt idx="14">
                  <c:v>-0.3179062024999979</c:v>
                </c:pt>
                <c:pt idx="15">
                  <c:v>-2.0474008079000043</c:v>
                </c:pt>
                <c:pt idx="16">
                  <c:v>-0.49759468509999749</c:v>
                </c:pt>
                <c:pt idx="17">
                  <c:v>-1.2062333295999963</c:v>
                </c:pt>
                <c:pt idx="18">
                  <c:v>-2.1788461824999956</c:v>
                </c:pt>
                <c:pt idx="19">
                  <c:v>-1.4449130142999991</c:v>
                </c:pt>
                <c:pt idx="20">
                  <c:v>-5.2832493653999961</c:v>
                </c:pt>
                <c:pt idx="21">
                  <c:v>-21.630136793999995</c:v>
                </c:pt>
                <c:pt idx="22">
                  <c:v>-2.9377238973000033</c:v>
                </c:pt>
                <c:pt idx="23">
                  <c:v>-19.2276622901</c:v>
                </c:pt>
                <c:pt idx="24">
                  <c:v>-6.5251495061000071</c:v>
                </c:pt>
                <c:pt idx="25">
                  <c:v>4.0799849115999933</c:v>
                </c:pt>
                <c:pt idx="26">
                  <c:v>8.7569142999996075E-2</c:v>
                </c:pt>
                <c:pt idx="27">
                  <c:v>6.8164131789999942</c:v>
                </c:pt>
              </c:numCache>
            </c:numRef>
          </c:val>
          <c:smooth val="0"/>
          <c:extLst>
            <c:ext xmlns:c16="http://schemas.microsoft.com/office/drawing/2014/chart" uri="{C3380CC4-5D6E-409C-BE32-E72D297353CC}">
              <c16:uniqueId val="{00000003-6488-41DC-A06B-949FF1B3883D}"/>
            </c:ext>
          </c:extLst>
        </c:ser>
        <c:ser>
          <c:idx val="4"/>
          <c:order val="4"/>
          <c:tx>
            <c:strRef>
              <c:f>'výkonnost odvětví 5'!$G$10</c:f>
              <c:strCache>
                <c:ptCount val="1"/>
                <c:pt idx="0">
                  <c:v>Retail sale of fuels</c:v>
                </c:pt>
              </c:strCache>
            </c:strRef>
          </c:tx>
          <c:spPr>
            <a:ln w="15875">
              <a:solidFill>
                <a:schemeClr val="accent6">
                  <a:lumMod val="75000"/>
                </a:schemeClr>
              </a:solidFill>
            </a:ln>
          </c:spPr>
          <c:marker>
            <c:symbol val="none"/>
          </c:marker>
          <c:cat>
            <c:multiLvlStrRef>
              <c:f>'výkonnost odvětví 5'!$A$31:$B$59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5'!$G$31:$G$59</c:f>
              <c:numCache>
                <c:formatCode>0.0</c:formatCode>
                <c:ptCount val="29"/>
                <c:pt idx="0">
                  <c:v>6.1518283433999983</c:v>
                </c:pt>
                <c:pt idx="1">
                  <c:v>4.5607610110999985</c:v>
                </c:pt>
                <c:pt idx="2">
                  <c:v>6.1322263153000023</c:v>
                </c:pt>
                <c:pt idx="3">
                  <c:v>8.9560664269999961</c:v>
                </c:pt>
                <c:pt idx="4">
                  <c:v>5.1322984467000055</c:v>
                </c:pt>
                <c:pt idx="5">
                  <c:v>5.3476340171000061</c:v>
                </c:pt>
                <c:pt idx="6">
                  <c:v>4.6018851928999993</c:v>
                </c:pt>
                <c:pt idx="7">
                  <c:v>5.1791474957999952</c:v>
                </c:pt>
                <c:pt idx="8">
                  <c:v>4.2377818723000047</c:v>
                </c:pt>
                <c:pt idx="9">
                  <c:v>5.9231834445999993</c:v>
                </c:pt>
                <c:pt idx="10">
                  <c:v>6.277465477800007</c:v>
                </c:pt>
                <c:pt idx="11">
                  <c:v>6.3286157347999961</c:v>
                </c:pt>
                <c:pt idx="12">
                  <c:v>5.527956407800005</c:v>
                </c:pt>
                <c:pt idx="13">
                  <c:v>4.6539179964999988</c:v>
                </c:pt>
                <c:pt idx="14">
                  <c:v>3.0533633685000012</c:v>
                </c:pt>
                <c:pt idx="15">
                  <c:v>3.1034954821000014</c:v>
                </c:pt>
                <c:pt idx="16">
                  <c:v>4.7294051002999993</c:v>
                </c:pt>
                <c:pt idx="17">
                  <c:v>2.2193073045000062</c:v>
                </c:pt>
                <c:pt idx="18">
                  <c:v>1.5346987166000048</c:v>
                </c:pt>
                <c:pt idx="19">
                  <c:v>0.54012315949999845</c:v>
                </c:pt>
                <c:pt idx="20">
                  <c:v>-7.0431704789999969</c:v>
                </c:pt>
                <c:pt idx="21">
                  <c:v>-17.114932415300004</c:v>
                </c:pt>
                <c:pt idx="22">
                  <c:v>-0.40724422739999966</c:v>
                </c:pt>
                <c:pt idx="23">
                  <c:v>-11.329794839300007</c:v>
                </c:pt>
                <c:pt idx="24">
                  <c:v>-7.4498472892999956</c:v>
                </c:pt>
                <c:pt idx="25">
                  <c:v>10.003209825100001</c:v>
                </c:pt>
                <c:pt idx="26">
                  <c:v>3.3450686440999959</c:v>
                </c:pt>
                <c:pt idx="27">
                  <c:v>10.038771875400002</c:v>
                </c:pt>
              </c:numCache>
            </c:numRef>
          </c:val>
          <c:smooth val="0"/>
          <c:extLst>
            <c:ext xmlns:c16="http://schemas.microsoft.com/office/drawing/2014/chart" uri="{C3380CC4-5D6E-409C-BE32-E72D297353CC}">
              <c16:uniqueId val="{00000004-6488-41DC-A06B-949FF1B3883D}"/>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5"/>
          <c:order val="5"/>
          <c:tx>
            <c:strRef>
              <c:f>'výkonnost odvětví 5'!$H$10</c:f>
              <c:strCache>
                <c:ptCount val="1"/>
                <c:pt idx="0">
                  <c:v>Balance of consumer confidence indicator</c:v>
                </c:pt>
              </c:strCache>
            </c:strRef>
          </c:tx>
          <c:spPr>
            <a:ln w="15875">
              <a:solidFill>
                <a:schemeClr val="bg1">
                  <a:lumMod val="75000"/>
                </a:schemeClr>
              </a:solidFill>
              <a:prstDash val="sysDash"/>
            </a:ln>
          </c:spPr>
          <c:marker>
            <c:symbol val="diamond"/>
            <c:size val="6"/>
            <c:spPr>
              <a:solidFill>
                <a:srgbClr val="FFFF00"/>
              </a:solidFill>
              <a:ln>
                <a:solidFill>
                  <a:schemeClr val="tx1">
                    <a:lumMod val="95000"/>
                    <a:lumOff val="5000"/>
                  </a:schemeClr>
                </a:solidFill>
              </a:ln>
            </c:spPr>
          </c:marker>
          <c:cat>
            <c:multiLvlStrRef>
              <c:f>'výkonnost odvětví 5'!$A$31:$B$59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'výkonnost odvětví 5'!$H$31:$H$59</c:f>
              <c:numCache>
                <c:formatCode>0.0</c:formatCode>
                <c:ptCount val="29"/>
                <c:pt idx="0">
                  <c:v>-1.75</c:v>
                </c:pt>
                <c:pt idx="1">
                  <c:v>0.25</c:v>
                </c:pt>
                <c:pt idx="2">
                  <c:v>-3.75</c:v>
                </c:pt>
                <c:pt idx="3">
                  <c:v>-0.25</c:v>
                </c:pt>
                <c:pt idx="4">
                  <c:v>-1.5</c:v>
                </c:pt>
                <c:pt idx="5">
                  <c:v>0</c:v>
                </c:pt>
                <c:pt idx="6">
                  <c:v>-2.25</c:v>
                </c:pt>
                <c:pt idx="7">
                  <c:v>0.75</c:v>
                </c:pt>
                <c:pt idx="8">
                  <c:v>1.25</c:v>
                </c:pt>
                <c:pt idx="9">
                  <c:v>-0.5</c:v>
                </c:pt>
                <c:pt idx="10">
                  <c:v>0.5</c:v>
                </c:pt>
                <c:pt idx="11">
                  <c:v>5</c:v>
                </c:pt>
                <c:pt idx="12">
                  <c:v>3.75</c:v>
                </c:pt>
                <c:pt idx="13">
                  <c:v>6</c:v>
                </c:pt>
                <c:pt idx="14">
                  <c:v>4</c:v>
                </c:pt>
                <c:pt idx="15">
                  <c:v>1</c:v>
                </c:pt>
                <c:pt idx="16">
                  <c:v>3.25</c:v>
                </c:pt>
                <c:pt idx="17">
                  <c:v>0</c:v>
                </c:pt>
                <c:pt idx="18">
                  <c:v>2.25</c:v>
                </c:pt>
                <c:pt idx="19">
                  <c:v>-0.5</c:v>
                </c:pt>
                <c:pt idx="20">
                  <c:v>-1.75</c:v>
                </c:pt>
                <c:pt idx="21">
                  <c:v>-9.25</c:v>
                </c:pt>
                <c:pt idx="22">
                  <c:v>-8.75</c:v>
                </c:pt>
                <c:pt idx="23">
                  <c:v>-18.5</c:v>
                </c:pt>
                <c:pt idx="24">
                  <c:v>-16.25</c:v>
                </c:pt>
                <c:pt idx="25">
                  <c:v>-6.75</c:v>
                </c:pt>
                <c:pt idx="26">
                  <c:v>-4.5</c:v>
                </c:pt>
                <c:pt idx="27">
                  <c:v>-17</c:v>
                </c:pt>
                <c:pt idx="28">
                  <c:v>-16.5</c:v>
                </c:pt>
              </c:numCache>
            </c:numRef>
          </c:val>
          <c:smooth val="0"/>
          <c:extLst>
            <c:ext xmlns:c16="http://schemas.microsoft.com/office/drawing/2014/chart" uri="{C3380CC4-5D6E-409C-BE32-E72D297353CC}">
              <c16:uniqueId val="{00000005-6488-41DC-A06B-949FF1B3883D}"/>
            </c:ext>
          </c:extLst>
        </c:ser>
        <c:dLbls>
          <c:showLegendKey val="0"/>
          <c:showVal val="0"/>
          <c:showCatName val="0"/>
          <c:showSerName val="0"/>
          <c:showPercent val="0"/>
          <c:showBubbleSize val="0"/>
        </c:dLbls>
        <c:marker val="1"/>
        <c:smooth val="0"/>
        <c:axId val="1300100448"/>
        <c:axId val="1300099616"/>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5"/>
          <c:min val="-35"/>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en-GB" sz="700" i="1">
                    <a:effectLst/>
                  </a:rPr>
                  <a:t>Sales</a:t>
                </a:r>
                <a:endParaRPr lang="cs-CZ" sz="700">
                  <a:effectLst/>
                </a:endParaRPr>
              </a:p>
            </c:rich>
          </c:tx>
          <c:layout>
            <c:manualLayout>
              <c:xMode val="edge"/>
              <c:yMode val="edge"/>
              <c:x val="0"/>
              <c:y val="0.2922709169117092"/>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5"/>
      </c:valAx>
      <c:valAx>
        <c:axId val="1300099616"/>
        <c:scaling>
          <c:orientation val="minMax"/>
          <c:max val="30"/>
          <c:min val="-2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en-GB" sz="700" b="0" i="1" u="none" strike="noStrike" baseline="0">
                    <a:effectLst/>
                  </a:rPr>
                  <a:t>Consumer confidence balance</a:t>
                </a:r>
                <a:endParaRPr lang="cs-CZ" sz="700" b="0" i="1" u="none" strike="noStrike" baseline="0">
                  <a:effectLst/>
                </a:endParaRPr>
              </a:p>
            </c:rich>
          </c:tx>
          <c:layout>
            <c:manualLayout>
              <c:xMode val="edge"/>
              <c:yMode val="edge"/>
              <c:x val="0.97060568193100361"/>
              <c:y val="0.25775438813456547"/>
            </c:manualLayout>
          </c:layout>
          <c:overlay val="0"/>
        </c:title>
        <c:numFmt formatCode="0" sourceLinked="0"/>
        <c:majorTickMark val="out"/>
        <c:minorTickMark val="none"/>
        <c:tickLblPos val="nextTo"/>
        <c:txPr>
          <a:bodyPr/>
          <a:lstStyle/>
          <a:p>
            <a:pPr>
              <a:defRPr sz="800"/>
            </a:pPr>
            <a:endParaRPr lang="cs-CZ"/>
          </a:p>
        </c:txPr>
        <c:crossAx val="1300100448"/>
        <c:crosses val="max"/>
        <c:crossBetween val="between"/>
        <c:majorUnit val="5"/>
      </c:valAx>
      <c:catAx>
        <c:axId val="1300100448"/>
        <c:scaling>
          <c:orientation val="minMax"/>
        </c:scaling>
        <c:delete val="1"/>
        <c:axPos val="b"/>
        <c:numFmt formatCode="General" sourceLinked="1"/>
        <c:majorTickMark val="out"/>
        <c:minorTickMark val="none"/>
        <c:tickLblPos val="nextTo"/>
        <c:crossAx val="1300099616"/>
        <c:crosses val="autoZero"/>
        <c:auto val="1"/>
        <c:lblAlgn val="ctr"/>
        <c:lblOffset val="100"/>
        <c:noMultiLvlLbl val="0"/>
      </c:catAx>
      <c:spPr>
        <a:ln>
          <a:solidFill>
            <a:schemeClr val="tx1"/>
          </a:solidFill>
        </a:ln>
      </c:spPr>
    </c:plotArea>
    <c:legend>
      <c:legendPos val="r"/>
      <c:layout>
        <c:manualLayout>
          <c:xMode val="edge"/>
          <c:yMode val="edge"/>
          <c:x val="6.4094212627732858E-5"/>
          <c:y val="0.87481369385991214"/>
          <c:w val="0.98649823440865303"/>
          <c:h val="0.11811147757237564"/>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9F55-3592-4766-9FD6-B0A733997092}">
  <ds:schemaRefs>
    <ds:schemaRef ds:uri="http://schemas.openxmlformats.org/officeDocument/2006/bibliography"/>
  </ds:schemaRefs>
</ds:datastoreItem>
</file>

<file path=customXml/itemProps2.xml><?xml version="1.0" encoding="utf-8"?>
<ds:datastoreItem xmlns:ds="http://schemas.openxmlformats.org/officeDocument/2006/customXml" ds:itemID="{CFB23EC8-6603-43D9-A1EE-D16A2C4C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1</Pages>
  <Words>4137</Words>
  <Characters>24415</Characters>
  <Application>Microsoft Office Word</Application>
  <DocSecurity>0</DocSecurity>
  <Lines>203</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28496</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4</cp:revision>
  <cp:lastPrinted>2019-04-08T10:52:00Z</cp:lastPrinted>
  <dcterms:created xsi:type="dcterms:W3CDTF">2022-04-21T10:41:00Z</dcterms:created>
  <dcterms:modified xsi:type="dcterms:W3CDTF">2022-04-21T10:47:00Z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2022-03-21T18:27:05Z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4e549edd-b07e-4b32-91fb-7727dcdc0524</vt:lpwstr>
  </property>
  <property fmtid="{D5CDD505-2E9C-101B-9397-08002B2CF9AE}" pid="8" name="MSIP_Label_29db9e61-aac5-4f6e-805d-ceb8cb9983a1_ContentBits">
    <vt:lpwstr>0</vt:lpwstr>
  </property>
</Properties>
</file>