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B9" w:rsidRPr="005319A2" w:rsidRDefault="003407B9" w:rsidP="00942D1D">
      <w:pPr>
        <w:pStyle w:val="Normlnweb"/>
        <w:spacing w:before="0" w:beforeAutospacing="0" w:after="0" w:afterAutospacing="0"/>
        <w:ind w:left="709" w:hanging="709"/>
        <w:jc w:val="center"/>
        <w:rPr>
          <w:rFonts w:ascii="Arial" w:hAnsi="Arial" w:cs="Arial"/>
          <w:bCs/>
          <w:i/>
          <w:iCs/>
          <w:color w:val="auto"/>
          <w:lang w:val="en-GB"/>
        </w:rPr>
      </w:pPr>
      <w:bookmarkStart w:id="0" w:name="_GoBack"/>
      <w:bookmarkEnd w:id="0"/>
      <w:r w:rsidRPr="00162CB6">
        <w:rPr>
          <w:rFonts w:ascii="Arial" w:hAnsi="Arial" w:cs="Arial"/>
          <w:b/>
          <w:bCs/>
          <w:i/>
          <w:iCs/>
          <w:color w:val="auto"/>
          <w:szCs w:val="17"/>
          <w:lang w:val="en-GB"/>
        </w:rPr>
        <w:t>12</w:t>
      </w:r>
      <w:r w:rsidR="00F935E4">
        <w:rPr>
          <w:rFonts w:ascii="Arial" w:hAnsi="Arial" w:cs="Arial"/>
          <w:b/>
          <w:bCs/>
          <w:i/>
          <w:iCs/>
          <w:color w:val="auto"/>
          <w:szCs w:val="17"/>
          <w:lang w:val="en-GB"/>
        </w:rPr>
        <w:t>.</w:t>
      </w:r>
      <w:r w:rsidRPr="00162CB6">
        <w:rPr>
          <w:rFonts w:ascii="Arial" w:hAnsi="Arial" w:cs="Arial"/>
          <w:b/>
          <w:bCs/>
          <w:i/>
          <w:iCs/>
          <w:color w:val="auto"/>
          <w:szCs w:val="17"/>
          <w:lang w:val="en-GB"/>
        </w:rPr>
        <w:t xml:space="preserve"> ORGANIZATIONAL STRUCTURE OF THE NATIONAL ECONOMY</w:t>
      </w:r>
    </w:p>
    <w:p w:rsidR="003407B9" w:rsidRPr="00162CB6" w:rsidRDefault="003407B9">
      <w:pPr>
        <w:pStyle w:val="Normlnweb"/>
        <w:spacing w:before="0" w:beforeAutospacing="0" w:after="0" w:afterAutospacing="0"/>
        <w:rPr>
          <w:rFonts w:ascii="Arial" w:hAnsi="Arial" w:cs="Arial"/>
          <w:i/>
          <w:iCs/>
          <w:color w:val="auto"/>
          <w:sz w:val="20"/>
          <w:szCs w:val="17"/>
          <w:lang w:val="en-GB"/>
        </w:rPr>
      </w:pPr>
    </w:p>
    <w:p w:rsidR="003407B9" w:rsidRPr="00162CB6" w:rsidRDefault="003407B9">
      <w:pPr>
        <w:pStyle w:val="Normlnweb"/>
        <w:spacing w:before="0" w:beforeAutospacing="0" w:after="0" w:afterAutospacing="0"/>
        <w:ind w:firstLine="709"/>
        <w:jc w:val="both"/>
        <w:rPr>
          <w:rFonts w:ascii="Arial" w:hAnsi="Arial" w:cs="Arial"/>
          <w:i/>
          <w:iCs/>
          <w:color w:val="auto"/>
          <w:sz w:val="20"/>
          <w:szCs w:val="17"/>
          <w:lang w:val="en-GB"/>
        </w:rPr>
      </w:pPr>
      <w:r w:rsidRPr="00162CB6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Data on the organizational structure of the national economy are compiled from information kept in the </w:t>
      </w:r>
      <w:r w:rsidR="00D976F0" w:rsidRPr="00162CB6">
        <w:rPr>
          <w:rFonts w:ascii="Arial" w:hAnsi="Arial" w:cs="Arial"/>
          <w:b/>
          <w:i/>
          <w:iCs/>
          <w:color w:val="auto"/>
          <w:sz w:val="20"/>
          <w:szCs w:val="17"/>
          <w:lang w:val="en-GB"/>
        </w:rPr>
        <w:t xml:space="preserve">Statistical </w:t>
      </w:r>
      <w:r w:rsidRPr="00162CB6">
        <w:rPr>
          <w:rFonts w:ascii="Arial" w:hAnsi="Arial" w:cs="Arial"/>
          <w:b/>
          <w:bCs/>
          <w:i/>
          <w:iCs/>
          <w:color w:val="auto"/>
          <w:sz w:val="20"/>
          <w:szCs w:val="17"/>
          <w:lang w:val="en-GB"/>
        </w:rPr>
        <w:t>Business Register</w:t>
      </w:r>
      <w:r w:rsidR="00460474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.</w:t>
      </w:r>
    </w:p>
    <w:p w:rsidR="003407B9" w:rsidRPr="00E01C44" w:rsidRDefault="003407B9" w:rsidP="00F37BB9">
      <w:pPr>
        <w:pStyle w:val="Normlnweb"/>
        <w:spacing w:before="120" w:beforeAutospacing="0" w:after="0" w:afterAutospacing="0"/>
        <w:ind w:firstLine="709"/>
        <w:jc w:val="both"/>
        <w:rPr>
          <w:rFonts w:ascii="Arial" w:hAnsi="Arial" w:cs="Arial"/>
          <w:i/>
          <w:color w:val="auto"/>
          <w:sz w:val="20"/>
          <w:szCs w:val="20"/>
          <w:lang w:val="en-GB"/>
        </w:rPr>
      </w:pPr>
      <w:r w:rsidRPr="00162CB6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The </w:t>
      </w:r>
      <w:r w:rsidR="00D976F0" w:rsidRPr="00162CB6"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Statistical </w:t>
      </w:r>
      <w:r w:rsidRPr="00162CB6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Business Register keeps record of businesses, i.e. legal persons, organi</w:t>
      </w:r>
      <w:r w:rsidR="00510FFF" w:rsidRPr="00162CB6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z</w:t>
      </w:r>
      <w:r w:rsidRPr="00162CB6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ational units of the</w:t>
      </w:r>
      <w:r w:rsidR="00B51847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 </w:t>
      </w:r>
      <w:r w:rsidRPr="00162CB6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state,</w:t>
      </w:r>
      <w:r w:rsidR="00303854" w:rsidRPr="00162CB6"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 unit trusts,</w:t>
      </w:r>
      <w:r w:rsidR="00D46073"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 and </w:t>
      </w:r>
      <w:r w:rsidRPr="00162CB6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natural persons with the status of entrepreneur.</w:t>
      </w:r>
      <w:r w:rsidR="00E00685" w:rsidRPr="00162CB6"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 </w:t>
      </w:r>
      <w:r w:rsidR="00DC177E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A </w:t>
      </w:r>
      <w:r w:rsidR="00484ABF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b</w:t>
      </w:r>
      <w:r w:rsidR="00E01306" w:rsidRPr="00E01C44">
        <w:rPr>
          <w:rFonts w:ascii="Arial" w:hAnsi="Arial" w:cs="Arial"/>
          <w:i/>
          <w:color w:val="auto"/>
          <w:sz w:val="20"/>
          <w:szCs w:val="20"/>
          <w:lang w:val="en-GB"/>
        </w:rPr>
        <w:t>usiness</w:t>
      </w:r>
      <w:r w:rsidR="00484ABF">
        <w:rPr>
          <w:rFonts w:ascii="Arial" w:hAnsi="Arial" w:cs="Arial"/>
          <w:i/>
          <w:color w:val="auto"/>
          <w:sz w:val="20"/>
          <w:szCs w:val="20"/>
          <w:lang w:val="en-GB"/>
        </w:rPr>
        <w:t xml:space="preserve"> with identified activity</w:t>
      </w:r>
      <w:r w:rsidR="00E01306" w:rsidRPr="00E01C44">
        <w:rPr>
          <w:rFonts w:ascii="Arial" w:hAnsi="Arial" w:cs="Arial"/>
          <w:i/>
          <w:color w:val="auto"/>
          <w:sz w:val="20"/>
          <w:szCs w:val="20"/>
          <w:lang w:val="en-GB"/>
        </w:rPr>
        <w:t xml:space="preserve"> is such a</w:t>
      </w:r>
      <w:r w:rsidR="00E01C44">
        <w:rPr>
          <w:rFonts w:ascii="Arial" w:hAnsi="Arial" w:cs="Arial"/>
          <w:i/>
          <w:color w:val="auto"/>
          <w:sz w:val="20"/>
          <w:szCs w:val="20"/>
          <w:lang w:val="en-GB"/>
        </w:rPr>
        <w:t> </w:t>
      </w:r>
      <w:r w:rsidR="00E01306" w:rsidRPr="00E01C44">
        <w:rPr>
          <w:rFonts w:ascii="Arial" w:hAnsi="Arial" w:cs="Arial"/>
          <w:i/>
          <w:color w:val="auto"/>
          <w:sz w:val="20"/>
          <w:szCs w:val="20"/>
          <w:lang w:val="en-GB"/>
        </w:rPr>
        <w:t xml:space="preserve">business that according to information from administrative sources or statistical surveys reports economic activity. </w:t>
      </w:r>
      <w:r w:rsidR="00917361">
        <w:rPr>
          <w:rFonts w:ascii="Arial" w:hAnsi="Arial" w:cs="Arial"/>
          <w:i/>
          <w:color w:val="auto"/>
          <w:sz w:val="20"/>
          <w:szCs w:val="20"/>
          <w:lang w:val="en-GB"/>
        </w:rPr>
        <w:t>Since</w:t>
      </w:r>
      <w:r w:rsidR="00701D47">
        <w:rPr>
          <w:rFonts w:ascii="Arial" w:hAnsi="Arial" w:cs="Arial"/>
          <w:i/>
          <w:color w:val="auto"/>
          <w:sz w:val="20"/>
          <w:szCs w:val="20"/>
          <w:lang w:val="en-GB"/>
        </w:rPr>
        <w:t> </w:t>
      </w:r>
      <w:r w:rsidR="00917361">
        <w:rPr>
          <w:rFonts w:ascii="Arial" w:hAnsi="Arial" w:cs="Arial"/>
          <w:i/>
          <w:color w:val="auto"/>
          <w:sz w:val="20"/>
          <w:szCs w:val="20"/>
          <w:lang w:val="en-GB"/>
        </w:rPr>
        <w:t>2013, t</w:t>
      </w:r>
      <w:r w:rsidR="00E01306" w:rsidRPr="00E01C44">
        <w:rPr>
          <w:rFonts w:ascii="Arial" w:hAnsi="Arial" w:cs="Arial"/>
          <w:i/>
          <w:color w:val="auto"/>
          <w:sz w:val="20"/>
          <w:szCs w:val="20"/>
          <w:lang w:val="en-GB"/>
        </w:rPr>
        <w:t>he</w:t>
      </w:r>
      <w:r w:rsidR="00E01C44">
        <w:rPr>
          <w:rFonts w:ascii="Arial" w:hAnsi="Arial" w:cs="Arial"/>
          <w:i/>
          <w:color w:val="auto"/>
          <w:sz w:val="20"/>
          <w:szCs w:val="20"/>
          <w:lang w:val="en-GB"/>
        </w:rPr>
        <w:t> </w:t>
      </w:r>
      <w:r w:rsidR="00E01306" w:rsidRPr="00E01C44">
        <w:rPr>
          <w:rFonts w:ascii="Arial" w:hAnsi="Arial" w:cs="Arial"/>
          <w:i/>
          <w:color w:val="auto"/>
          <w:sz w:val="20"/>
          <w:szCs w:val="20"/>
          <w:lang w:val="en-GB"/>
        </w:rPr>
        <w:t xml:space="preserve">Statistical Business Register </w:t>
      </w:r>
      <w:r w:rsidR="00083EAE">
        <w:rPr>
          <w:rFonts w:ascii="Arial" w:hAnsi="Arial" w:cs="Arial"/>
          <w:i/>
          <w:color w:val="auto"/>
          <w:sz w:val="20"/>
          <w:szCs w:val="20"/>
          <w:lang w:val="en-GB"/>
        </w:rPr>
        <w:t>has been</w:t>
      </w:r>
      <w:r w:rsidR="00083EAE" w:rsidRPr="00E01C44">
        <w:rPr>
          <w:rFonts w:ascii="Arial" w:hAnsi="Arial" w:cs="Arial"/>
          <w:i/>
          <w:color w:val="auto"/>
          <w:sz w:val="20"/>
          <w:szCs w:val="20"/>
          <w:lang w:val="en-GB"/>
        </w:rPr>
        <w:t xml:space="preserve"> </w:t>
      </w:r>
      <w:r w:rsidR="00E01306" w:rsidRPr="00E01C44">
        <w:rPr>
          <w:rFonts w:ascii="Arial" w:hAnsi="Arial" w:cs="Arial"/>
          <w:i/>
          <w:color w:val="auto"/>
          <w:sz w:val="20"/>
          <w:szCs w:val="20"/>
          <w:lang w:val="en-GB"/>
        </w:rPr>
        <w:t>continually updated with data from the</w:t>
      </w:r>
      <w:r w:rsidR="00E01C44">
        <w:rPr>
          <w:rFonts w:ascii="Arial" w:hAnsi="Arial" w:cs="Arial"/>
          <w:i/>
          <w:color w:val="auto"/>
          <w:sz w:val="20"/>
          <w:szCs w:val="20"/>
          <w:lang w:val="en-GB"/>
        </w:rPr>
        <w:t> </w:t>
      </w:r>
      <w:r w:rsidR="00E01306" w:rsidRPr="00E01C44">
        <w:rPr>
          <w:rFonts w:ascii="Arial" w:hAnsi="Arial" w:cs="Arial"/>
          <w:i/>
          <w:color w:val="auto"/>
          <w:sz w:val="20"/>
          <w:szCs w:val="20"/>
          <w:lang w:val="en-GB"/>
        </w:rPr>
        <w:t>Administrative Business Register. It</w:t>
      </w:r>
      <w:r w:rsidR="00E01C44">
        <w:rPr>
          <w:rFonts w:ascii="Arial" w:hAnsi="Arial" w:cs="Arial"/>
          <w:i/>
          <w:color w:val="auto"/>
          <w:sz w:val="20"/>
          <w:szCs w:val="20"/>
          <w:lang w:val="en-GB"/>
        </w:rPr>
        <w:t> </w:t>
      </w:r>
      <w:r w:rsidR="00E01306" w:rsidRPr="00E01C44">
        <w:rPr>
          <w:rFonts w:ascii="Arial" w:hAnsi="Arial" w:cs="Arial"/>
          <w:i/>
          <w:color w:val="auto"/>
          <w:sz w:val="20"/>
          <w:szCs w:val="20"/>
          <w:lang w:val="en-GB"/>
        </w:rPr>
        <w:t>serves mainly to prepare</w:t>
      </w:r>
      <w:r w:rsidR="00D46073">
        <w:rPr>
          <w:rFonts w:ascii="Arial" w:hAnsi="Arial" w:cs="Arial"/>
          <w:i/>
          <w:color w:val="auto"/>
          <w:sz w:val="20"/>
          <w:szCs w:val="20"/>
          <w:lang w:val="en-GB"/>
        </w:rPr>
        <w:t xml:space="preserve"> and </w:t>
      </w:r>
      <w:r w:rsidR="00E01306" w:rsidRPr="00E01C44">
        <w:rPr>
          <w:rFonts w:ascii="Arial" w:hAnsi="Arial" w:cs="Arial"/>
          <w:i/>
          <w:color w:val="auto"/>
          <w:sz w:val="20"/>
          <w:szCs w:val="20"/>
          <w:lang w:val="en-GB"/>
        </w:rPr>
        <w:t>conduct statistical surveys.</w:t>
      </w:r>
    </w:p>
    <w:p w:rsidR="003407B9" w:rsidRPr="00162CB6" w:rsidRDefault="00E01306">
      <w:pPr>
        <w:pStyle w:val="Normlnweb"/>
        <w:spacing w:before="120" w:beforeAutospacing="0" w:after="0" w:afterAutospacing="0"/>
        <w:ind w:firstLine="709"/>
        <w:jc w:val="both"/>
        <w:rPr>
          <w:rFonts w:ascii="Arial" w:hAnsi="Arial" w:cs="Arial"/>
          <w:i/>
          <w:iCs/>
          <w:color w:val="auto"/>
          <w:sz w:val="20"/>
          <w:szCs w:val="17"/>
          <w:lang w:val="en-GB"/>
        </w:rPr>
      </w:pPr>
      <w:r>
        <w:rPr>
          <w:rFonts w:ascii="Arial" w:hAnsi="Arial" w:cs="Arial"/>
          <w:b/>
          <w:bCs/>
          <w:i/>
          <w:iCs/>
          <w:color w:val="auto"/>
          <w:sz w:val="20"/>
          <w:szCs w:val="17"/>
          <w:lang w:val="en-GB"/>
        </w:rPr>
        <w:t>Business companies</w:t>
      </w:r>
      <w:r w:rsidR="00D46073">
        <w:rPr>
          <w:rFonts w:ascii="Arial" w:hAnsi="Arial" w:cs="Arial"/>
          <w:b/>
          <w:bCs/>
          <w:i/>
          <w:iCs/>
          <w:color w:val="auto"/>
          <w:sz w:val="20"/>
          <w:szCs w:val="17"/>
          <w:lang w:val="en-GB"/>
        </w:rPr>
        <w:t xml:space="preserve"> and </w:t>
      </w:r>
      <w:r>
        <w:rPr>
          <w:rFonts w:ascii="Arial" w:hAnsi="Arial" w:cs="Arial"/>
          <w:b/>
          <w:bCs/>
          <w:i/>
          <w:iCs/>
          <w:color w:val="auto"/>
          <w:sz w:val="20"/>
          <w:szCs w:val="17"/>
          <w:lang w:val="en-GB"/>
        </w:rPr>
        <w:t>partnerships</w:t>
      </w:r>
      <w:r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 include general commercial partnerships, limited liability companies, limited partnerships, joint-stock companies,</w:t>
      </w:r>
      <w:r w:rsidR="00D46073"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 and </w:t>
      </w:r>
      <w:r>
        <w:rPr>
          <w:rFonts w:ascii="Arial" w:hAnsi="Arial" w:cs="Arial"/>
          <w:i/>
          <w:iCs/>
          <w:color w:val="auto"/>
          <w:sz w:val="20"/>
          <w:szCs w:val="17"/>
          <w:lang w:val="en-GB"/>
        </w:rPr>
        <w:t>since 2010 also European companies (</w:t>
      </w:r>
      <w:r>
        <w:rPr>
          <w:rFonts w:ascii="Arial" w:hAnsi="Arial" w:cs="Arial"/>
          <w:i/>
          <w:iCs/>
          <w:color w:val="auto"/>
          <w:sz w:val="20"/>
          <w:szCs w:val="17"/>
          <w:lang w:val="la-Latn"/>
        </w:rPr>
        <w:t>Societas Europaea</w:t>
      </w:r>
      <w:r>
        <w:rPr>
          <w:rFonts w:ascii="Arial" w:hAnsi="Arial" w:cs="Arial"/>
          <w:i/>
          <w:iCs/>
          <w:color w:val="auto"/>
          <w:sz w:val="20"/>
          <w:szCs w:val="17"/>
          <w:lang w:val="en-GB"/>
        </w:rPr>
        <w:t>)</w:t>
      </w:r>
      <w:r w:rsidR="00D46073"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 and </w:t>
      </w:r>
      <w:r>
        <w:rPr>
          <w:rFonts w:ascii="Arial" w:hAnsi="Arial" w:cs="Arial"/>
          <w:i/>
          <w:iCs/>
          <w:color w:val="auto"/>
          <w:sz w:val="20"/>
          <w:szCs w:val="17"/>
          <w:lang w:val="en-GB"/>
        </w:rPr>
        <w:t>Europe</w:t>
      </w:r>
      <w:r w:rsidR="00460474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an economic interest groupings.</w:t>
      </w:r>
    </w:p>
    <w:p w:rsidR="003407B9" w:rsidRPr="00162CB6" w:rsidRDefault="00E01306">
      <w:pPr>
        <w:pStyle w:val="Normlnweb"/>
        <w:spacing w:before="120" w:beforeAutospacing="0" w:after="0" w:afterAutospacing="0"/>
        <w:ind w:firstLine="709"/>
        <w:jc w:val="both"/>
        <w:rPr>
          <w:rFonts w:ascii="Arial" w:hAnsi="Arial" w:cs="Arial"/>
          <w:i/>
          <w:iCs/>
          <w:color w:val="auto"/>
          <w:sz w:val="20"/>
          <w:szCs w:val="17"/>
          <w:lang w:val="en-GB"/>
        </w:rPr>
      </w:pPr>
      <w:r>
        <w:rPr>
          <w:rFonts w:ascii="Arial" w:hAnsi="Arial" w:cs="Arial"/>
          <w:b/>
          <w:bCs/>
          <w:i/>
          <w:iCs/>
          <w:color w:val="auto"/>
          <w:sz w:val="20"/>
          <w:szCs w:val="17"/>
          <w:lang w:val="en-GB"/>
        </w:rPr>
        <w:t>Cooperatives</w:t>
      </w:r>
      <w:r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 include also </w:t>
      </w:r>
      <w:r w:rsidR="00B80500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European cooperative societies</w:t>
      </w:r>
      <w:r w:rsidR="00AD65DA"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 (</w:t>
      </w:r>
      <w:r w:rsidR="00F13B57" w:rsidRPr="00F13B57">
        <w:rPr>
          <w:rFonts w:ascii="Arial" w:hAnsi="Arial" w:cs="Arial"/>
          <w:i/>
          <w:iCs/>
          <w:color w:val="auto"/>
          <w:sz w:val="20"/>
          <w:szCs w:val="17"/>
          <w:lang w:val="la-Latn"/>
        </w:rPr>
        <w:t>Societas Cooperativa Europaea</w:t>
      </w:r>
      <w:r w:rsidR="00AD65DA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).</w:t>
      </w:r>
    </w:p>
    <w:p w:rsidR="003407B9" w:rsidRPr="00162CB6" w:rsidRDefault="00E01306">
      <w:pPr>
        <w:pStyle w:val="Normlnweb"/>
        <w:spacing w:before="120" w:beforeAutospacing="0" w:after="0" w:afterAutospacing="0"/>
        <w:ind w:firstLine="709"/>
        <w:jc w:val="both"/>
        <w:rPr>
          <w:rFonts w:ascii="Arial" w:hAnsi="Arial" w:cs="Arial"/>
          <w:i/>
          <w:iCs/>
          <w:color w:val="auto"/>
          <w:sz w:val="20"/>
          <w:szCs w:val="17"/>
          <w:lang w:val="en-GB"/>
        </w:rPr>
      </w:pPr>
      <w:r>
        <w:rPr>
          <w:rFonts w:ascii="Arial" w:hAnsi="Arial" w:cs="Arial"/>
          <w:b/>
          <w:bCs/>
          <w:i/>
          <w:iCs/>
          <w:color w:val="auto"/>
          <w:sz w:val="20"/>
          <w:szCs w:val="17"/>
          <w:lang w:val="en-GB"/>
        </w:rPr>
        <w:t>Natural persons</w:t>
      </w:r>
      <w:r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 include private entrepreneurs who are in business under the Trade Act, agricultural entrepreneurs – natural persons,</w:t>
      </w:r>
      <w:r w:rsidR="00D46073"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 and </w:t>
      </w:r>
      <w:r>
        <w:rPr>
          <w:rFonts w:ascii="Arial" w:hAnsi="Arial" w:cs="Arial"/>
          <w:i/>
          <w:iCs/>
          <w:color w:val="auto"/>
          <w:sz w:val="20"/>
          <w:szCs w:val="17"/>
          <w:lang w:val="en-GB"/>
        </w:rPr>
        <w:t>natural persons carrying out other business activities governed by special regulations.</w:t>
      </w:r>
    </w:p>
    <w:p w:rsidR="003407B9" w:rsidRPr="00162CB6" w:rsidRDefault="00E01306">
      <w:pPr>
        <w:pStyle w:val="Normlnweb"/>
        <w:spacing w:before="120" w:beforeAutospacing="0" w:after="0" w:afterAutospacing="0"/>
        <w:ind w:firstLine="709"/>
        <w:jc w:val="both"/>
        <w:rPr>
          <w:rFonts w:ascii="Arial" w:hAnsi="Arial" w:cs="Arial"/>
          <w:i/>
          <w:iCs/>
          <w:color w:val="auto"/>
          <w:sz w:val="20"/>
          <w:szCs w:val="17"/>
          <w:lang w:val="en-GB"/>
        </w:rPr>
      </w:pPr>
      <w:r>
        <w:rPr>
          <w:rFonts w:ascii="Arial" w:hAnsi="Arial" w:cs="Arial"/>
          <w:b/>
          <w:bCs/>
          <w:i/>
          <w:iCs/>
          <w:color w:val="auto"/>
          <w:sz w:val="20"/>
          <w:szCs w:val="17"/>
          <w:lang w:val="en-GB"/>
        </w:rPr>
        <w:t>Private entrepreneurs in business under the Trade Act</w:t>
      </w:r>
      <w:r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 are natural persons with trade licence.</w:t>
      </w:r>
    </w:p>
    <w:p w:rsidR="003407B9" w:rsidRPr="00162CB6" w:rsidRDefault="00E01306">
      <w:pPr>
        <w:pStyle w:val="Normlnweb"/>
        <w:spacing w:before="120" w:beforeAutospacing="0" w:after="0" w:afterAutospacing="0"/>
        <w:ind w:firstLine="709"/>
        <w:jc w:val="both"/>
        <w:rPr>
          <w:rFonts w:ascii="Arial" w:hAnsi="Arial" w:cs="Arial"/>
          <w:i/>
          <w:iCs/>
          <w:color w:val="auto"/>
          <w:sz w:val="20"/>
          <w:szCs w:val="17"/>
          <w:lang w:val="en-GB"/>
        </w:rPr>
      </w:pPr>
      <w:r>
        <w:rPr>
          <w:rFonts w:ascii="Arial" w:hAnsi="Arial" w:cs="Arial"/>
          <w:b/>
          <w:bCs/>
          <w:i/>
          <w:iCs/>
          <w:color w:val="auto"/>
          <w:sz w:val="20"/>
          <w:szCs w:val="17"/>
          <w:lang w:val="en-GB"/>
        </w:rPr>
        <w:t xml:space="preserve">Private entrepreneurs in business under other acts </w:t>
      </w:r>
      <w:r>
        <w:rPr>
          <w:rFonts w:ascii="Arial" w:hAnsi="Arial" w:cs="Arial"/>
          <w:i/>
          <w:iCs/>
          <w:color w:val="auto"/>
          <w:sz w:val="20"/>
          <w:szCs w:val="17"/>
          <w:lang w:val="en-GB"/>
        </w:rPr>
        <w:t>include agricultural entrepreneurs – natural persons, members of professional chambers</w:t>
      </w:r>
      <w:r w:rsidR="003B7301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,</w:t>
      </w:r>
      <w:r w:rsidR="00D46073"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 and </w:t>
      </w:r>
      <w:r>
        <w:rPr>
          <w:rFonts w:ascii="Arial" w:hAnsi="Arial" w:cs="Arial"/>
          <w:i/>
          <w:iCs/>
          <w:color w:val="auto"/>
          <w:sz w:val="20"/>
          <w:szCs w:val="17"/>
          <w:lang w:val="en-GB"/>
        </w:rPr>
        <w:t>other natural persons whose business activities are governed by separate legal regulations.</w:t>
      </w:r>
    </w:p>
    <w:p w:rsidR="003407B9" w:rsidRPr="00162CB6" w:rsidRDefault="007929F8">
      <w:pPr>
        <w:pStyle w:val="Normlnweb"/>
        <w:spacing w:before="120" w:beforeAutospacing="0" w:after="0" w:afterAutospacing="0"/>
        <w:ind w:firstLine="709"/>
        <w:jc w:val="both"/>
        <w:rPr>
          <w:rFonts w:ascii="Arial" w:hAnsi="Arial" w:cs="Arial"/>
          <w:i/>
          <w:iCs/>
          <w:color w:val="auto"/>
          <w:sz w:val="20"/>
          <w:szCs w:val="17"/>
          <w:lang w:val="en-GB"/>
        </w:rPr>
      </w:pPr>
      <w:r w:rsidRPr="003F1F13">
        <w:rPr>
          <w:rFonts w:ascii="Arial" w:hAnsi="Arial" w:cs="Arial"/>
          <w:b/>
          <w:bCs/>
          <w:i/>
          <w:iCs/>
          <w:color w:val="auto"/>
          <w:sz w:val="20"/>
          <w:szCs w:val="17"/>
          <w:lang w:val="en-GB"/>
        </w:rPr>
        <w:t>Associations of natural persons</w:t>
      </w:r>
      <w:r w:rsidR="00D46073">
        <w:rPr>
          <w:rFonts w:ascii="Arial" w:hAnsi="Arial" w:cs="Arial"/>
          <w:bCs/>
          <w:i/>
          <w:iCs/>
          <w:color w:val="auto"/>
          <w:sz w:val="20"/>
          <w:szCs w:val="17"/>
          <w:lang w:val="en-GB"/>
        </w:rPr>
        <w:t xml:space="preserve"> and </w:t>
      </w:r>
      <w:r w:rsidRPr="003F1F13">
        <w:rPr>
          <w:rFonts w:ascii="Arial" w:hAnsi="Arial" w:cs="Arial"/>
          <w:b/>
          <w:bCs/>
          <w:i/>
          <w:iCs/>
          <w:color w:val="auto"/>
          <w:sz w:val="20"/>
          <w:szCs w:val="17"/>
          <w:lang w:val="en-GB"/>
        </w:rPr>
        <w:t>associations of legal persons</w:t>
      </w:r>
      <w:r w:rsidR="00E01306" w:rsidRPr="003F1F13"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 include </w:t>
      </w:r>
      <w:r w:rsidR="00717A78" w:rsidRPr="003F1F13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associations</w:t>
      </w:r>
      <w:r w:rsidR="00D46073"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 and </w:t>
      </w:r>
      <w:r w:rsidR="00717A78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subsidiary associations including foreign</w:t>
      </w:r>
      <w:r w:rsidR="007C73B3" w:rsidRPr="007C73B3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,</w:t>
      </w:r>
      <w:r w:rsidR="00717A78"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 trade unions</w:t>
      </w:r>
      <w:r w:rsidR="00D46073"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 and </w:t>
      </w:r>
      <w:r w:rsidR="007C73B3">
        <w:rPr>
          <w:rFonts w:ascii="Arial" w:hAnsi="Arial" w:cs="Arial"/>
          <w:i/>
          <w:color w:val="auto"/>
          <w:sz w:val="20"/>
          <w:szCs w:val="17"/>
          <w:lang w:val="en-GB"/>
        </w:rPr>
        <w:t>employers</w:t>
      </w:r>
      <w:r w:rsidR="008979C9">
        <w:rPr>
          <w:rFonts w:ascii="Arial" w:hAnsi="Arial" w:cs="Arial"/>
          <w:i/>
          <w:color w:val="auto"/>
          <w:sz w:val="20"/>
          <w:szCs w:val="17"/>
          <w:lang w:val="en-GB"/>
        </w:rPr>
        <w:t>’</w:t>
      </w:r>
      <w:r w:rsidR="007C73B3">
        <w:rPr>
          <w:rFonts w:ascii="Arial" w:hAnsi="Arial" w:cs="Arial"/>
          <w:i/>
          <w:color w:val="auto"/>
          <w:sz w:val="20"/>
          <w:szCs w:val="17"/>
          <w:lang w:val="en-GB"/>
        </w:rPr>
        <w:t xml:space="preserve"> </w:t>
      </w:r>
      <w:r w:rsidR="007C73B3" w:rsidRPr="00C23D7A">
        <w:rPr>
          <w:rFonts w:ascii="Arial" w:hAnsi="Arial" w:cs="Arial"/>
          <w:i/>
          <w:color w:val="auto"/>
          <w:sz w:val="20"/>
          <w:szCs w:val="17"/>
          <w:lang w:val="en-GB"/>
        </w:rPr>
        <w:t>organi</w:t>
      </w:r>
      <w:r w:rsidR="001B0F77" w:rsidRPr="00C23D7A">
        <w:rPr>
          <w:rFonts w:ascii="Arial" w:hAnsi="Arial" w:cs="Arial"/>
          <w:i/>
          <w:color w:val="auto"/>
          <w:sz w:val="20"/>
          <w:szCs w:val="17"/>
          <w:lang w:val="en-GB"/>
        </w:rPr>
        <w:t>z</w:t>
      </w:r>
      <w:r w:rsidR="007C73B3" w:rsidRPr="00C23D7A">
        <w:rPr>
          <w:rFonts w:ascii="Arial" w:hAnsi="Arial" w:cs="Arial"/>
          <w:i/>
          <w:color w:val="auto"/>
          <w:sz w:val="20"/>
          <w:szCs w:val="17"/>
          <w:lang w:val="en-GB"/>
        </w:rPr>
        <w:t>ations</w:t>
      </w:r>
      <w:r w:rsidR="00D46073"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 and </w:t>
      </w:r>
      <w:r w:rsidR="00717A78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their</w:t>
      </w:r>
      <w:r w:rsidR="007C73B3" w:rsidRPr="007C73B3"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 organi</w:t>
      </w:r>
      <w:r w:rsidR="003A4060"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zational units including international, </w:t>
      </w:r>
      <w:r w:rsidR="00E01306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political parties</w:t>
      </w:r>
      <w:r w:rsidR="00D46073"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 and </w:t>
      </w:r>
      <w:r w:rsidR="00E01306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movements, churches</w:t>
      </w:r>
      <w:r w:rsidR="00D46073"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 and </w:t>
      </w:r>
      <w:r w:rsidR="00E01306"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religious societies, professional organizations, chambers, </w:t>
      </w:r>
      <w:r w:rsidR="00D3305E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international non</w:t>
      </w:r>
      <w:r w:rsidR="00D46073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-governmental organizations and </w:t>
      </w:r>
      <w:r w:rsidR="003617EF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their organizational u</w:t>
      </w:r>
      <w:r w:rsidR="00D46073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nits, hunting associations, and </w:t>
      </w:r>
      <w:r w:rsidR="003617EF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special-interest associations of legal persons.</w:t>
      </w:r>
    </w:p>
    <w:p w:rsidR="003407B9" w:rsidRPr="00162CB6" w:rsidRDefault="00E01306">
      <w:pPr>
        <w:pStyle w:val="Normlnweb"/>
        <w:tabs>
          <w:tab w:val="left" w:pos="0"/>
        </w:tabs>
        <w:spacing w:before="120" w:beforeAutospacing="0" w:after="0" w:afterAutospacing="0"/>
        <w:ind w:firstLine="709"/>
        <w:jc w:val="both"/>
        <w:rPr>
          <w:rFonts w:ascii="Arial" w:hAnsi="Arial" w:cs="Arial"/>
          <w:i/>
          <w:iCs/>
          <w:color w:val="auto"/>
          <w:sz w:val="20"/>
          <w:szCs w:val="17"/>
          <w:lang w:val="en-GB"/>
        </w:rPr>
      </w:pPr>
      <w:r>
        <w:rPr>
          <w:rFonts w:ascii="Arial" w:hAnsi="Arial" w:cs="Arial"/>
          <w:i/>
          <w:iCs/>
          <w:color w:val="auto"/>
          <w:sz w:val="20"/>
          <w:szCs w:val="17"/>
          <w:lang w:val="en-GB"/>
        </w:rPr>
        <w:t>The </w:t>
      </w:r>
      <w:r w:rsidR="00752F72"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disaggregation </w:t>
      </w:r>
      <w:r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by principal activity corresponds to sections of </w:t>
      </w:r>
      <w:r w:rsidR="00975638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the Classification of Economic Activities (CZ-NACE). Businesses are classified to institutional sectors</w:t>
      </w:r>
      <w:r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 in accordance with the </w:t>
      </w:r>
      <w:r w:rsidR="00D21685"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Classification </w:t>
      </w:r>
      <w:r>
        <w:rPr>
          <w:rFonts w:ascii="Arial" w:hAnsi="Arial" w:cs="Arial"/>
          <w:i/>
          <w:iCs/>
          <w:color w:val="auto"/>
          <w:sz w:val="20"/>
          <w:szCs w:val="17"/>
          <w:lang w:val="en-GB"/>
        </w:rPr>
        <w:t>of Institutional Sectors</w:t>
      </w:r>
      <w:r w:rsidR="00D46073"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 and </w:t>
      </w:r>
      <w:r>
        <w:rPr>
          <w:rFonts w:ascii="Arial" w:hAnsi="Arial" w:cs="Arial"/>
          <w:i/>
          <w:iCs/>
          <w:color w:val="auto"/>
          <w:sz w:val="20"/>
          <w:szCs w:val="17"/>
          <w:lang w:val="en-GB"/>
        </w:rPr>
        <w:t>Subsectors; see Chapter </w:t>
      </w:r>
      <w:r>
        <w:rPr>
          <w:rFonts w:ascii="Arial" w:hAnsi="Arial" w:cs="Arial"/>
          <w:b/>
          <w:i/>
          <w:iCs/>
          <w:color w:val="auto"/>
          <w:sz w:val="20"/>
          <w:szCs w:val="17"/>
          <w:lang w:val="en-GB"/>
        </w:rPr>
        <w:t>5</w:t>
      </w:r>
      <w:r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 National Accounts for </w:t>
      </w:r>
      <w:r w:rsidR="00FD41CB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a</w:t>
      </w:r>
      <w:r w:rsidR="00942D1D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 </w:t>
      </w:r>
      <w:r>
        <w:rPr>
          <w:rFonts w:ascii="Arial" w:hAnsi="Arial" w:cs="Arial"/>
          <w:i/>
          <w:iCs/>
          <w:color w:val="auto"/>
          <w:sz w:val="20"/>
          <w:szCs w:val="17"/>
          <w:lang w:val="en-GB"/>
        </w:rPr>
        <w:t>description</w:t>
      </w:r>
      <w:r w:rsidR="00FD41CB"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 of institutional sectors</w:t>
      </w:r>
      <w:r>
        <w:rPr>
          <w:rFonts w:ascii="Arial" w:hAnsi="Arial" w:cs="Arial"/>
          <w:i/>
          <w:iCs/>
          <w:color w:val="auto"/>
          <w:sz w:val="20"/>
          <w:szCs w:val="17"/>
          <w:lang w:val="en-GB"/>
        </w:rPr>
        <w:t>.</w:t>
      </w:r>
    </w:p>
    <w:p w:rsidR="00917361" w:rsidRDefault="00975638" w:rsidP="001F44E7">
      <w:pPr>
        <w:pStyle w:val="Normlnweb"/>
        <w:tabs>
          <w:tab w:val="left" w:pos="0"/>
        </w:tabs>
        <w:spacing w:before="120" w:beforeAutospacing="0" w:after="0" w:afterAutospacing="0"/>
        <w:ind w:firstLine="709"/>
        <w:jc w:val="both"/>
        <w:rPr>
          <w:rFonts w:ascii="Arial" w:hAnsi="Arial" w:cs="Arial"/>
          <w:i/>
          <w:iCs/>
          <w:color w:val="auto"/>
          <w:sz w:val="20"/>
          <w:szCs w:val="17"/>
          <w:lang w:val="en-GB"/>
        </w:rPr>
      </w:pPr>
      <w:r>
        <w:rPr>
          <w:rFonts w:ascii="Arial" w:hAnsi="Arial" w:cs="Arial"/>
          <w:i/>
          <w:iCs/>
          <w:color w:val="auto"/>
          <w:sz w:val="20"/>
          <w:szCs w:val="17"/>
          <w:lang w:val="en-GB"/>
        </w:rPr>
        <w:t>In 2014, foreign natural persons were reclassified to the households sector in</w:t>
      </w:r>
      <w:r w:rsidR="00F13B57"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 </w:t>
      </w:r>
      <w:r w:rsidR="004F2D81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compliance with the ESA 2010 European s</w:t>
      </w:r>
      <w:r w:rsidR="00B51847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tandard (the Regulation (EU) No </w:t>
      </w:r>
      <w:r w:rsidR="004F2D81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549/2013 on the European system of national</w:t>
      </w:r>
      <w:r w:rsidR="00D46073"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 and </w:t>
      </w:r>
      <w:r w:rsidR="00B51847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regional accounts in the </w:t>
      </w:r>
      <w:r w:rsidR="004F2D81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European Union). Therefore, since</w:t>
      </w:r>
      <w:r w:rsidR="00B51847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 </w:t>
      </w:r>
      <w:r w:rsidR="000122A5"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2014, data in Tables </w:t>
      </w:r>
      <w:r w:rsidR="000122A5">
        <w:rPr>
          <w:rFonts w:ascii="Arial" w:hAnsi="Arial" w:cs="Arial"/>
          <w:b/>
          <w:i/>
          <w:iCs/>
          <w:color w:val="auto"/>
          <w:sz w:val="20"/>
          <w:szCs w:val="17"/>
          <w:lang w:val="en-GB"/>
        </w:rPr>
        <w:t>12</w:t>
      </w:r>
      <w:r w:rsidR="000122A5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-5 to </w:t>
      </w:r>
      <w:r w:rsidR="000122A5">
        <w:rPr>
          <w:rFonts w:ascii="Arial" w:hAnsi="Arial" w:cs="Arial"/>
          <w:b/>
          <w:i/>
          <w:iCs/>
          <w:color w:val="auto"/>
          <w:sz w:val="20"/>
          <w:szCs w:val="17"/>
          <w:lang w:val="en-GB"/>
        </w:rPr>
        <w:t>12</w:t>
      </w:r>
      <w:r w:rsidR="000122A5"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-11, </w:t>
      </w:r>
      <w:r w:rsidR="000122A5">
        <w:rPr>
          <w:rFonts w:ascii="Arial" w:hAnsi="Arial" w:cs="Arial"/>
          <w:b/>
          <w:i/>
          <w:iCs/>
          <w:color w:val="auto"/>
          <w:sz w:val="20"/>
          <w:szCs w:val="17"/>
          <w:lang w:val="en-GB"/>
        </w:rPr>
        <w:t>12</w:t>
      </w:r>
      <w:r w:rsidR="000122A5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-14,</w:t>
      </w:r>
      <w:r w:rsidR="00D46073"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 and </w:t>
      </w:r>
      <w:r w:rsidR="000122A5">
        <w:rPr>
          <w:rFonts w:ascii="Arial" w:hAnsi="Arial" w:cs="Arial"/>
          <w:b/>
          <w:i/>
          <w:iCs/>
          <w:color w:val="auto"/>
          <w:sz w:val="20"/>
          <w:szCs w:val="17"/>
          <w:lang w:val="en-GB"/>
        </w:rPr>
        <w:t>12</w:t>
      </w:r>
      <w:r w:rsidR="000122A5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-15 are incomparable</w:t>
      </w:r>
      <w:r w:rsidR="00006BB7"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 to those of previous years.</w:t>
      </w:r>
    </w:p>
    <w:p w:rsidR="007B7C6B" w:rsidRDefault="007E7090" w:rsidP="001F44E7">
      <w:pPr>
        <w:pStyle w:val="Normlnweb"/>
        <w:tabs>
          <w:tab w:val="left" w:pos="0"/>
        </w:tabs>
        <w:spacing w:before="120" w:beforeAutospacing="0" w:after="0" w:afterAutospacing="0"/>
        <w:ind w:firstLine="709"/>
        <w:jc w:val="both"/>
        <w:rPr>
          <w:rFonts w:ascii="Arial" w:hAnsi="Arial" w:cs="Arial"/>
          <w:i/>
          <w:iCs/>
          <w:color w:val="auto"/>
          <w:sz w:val="20"/>
          <w:szCs w:val="17"/>
          <w:lang w:val="en-GB"/>
        </w:rPr>
      </w:pPr>
      <w:r w:rsidRPr="00942D1D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Da</w:t>
      </w:r>
      <w:r w:rsidR="00B51847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ta for 2016 are influenced by a change in the </w:t>
      </w:r>
      <w:r w:rsidRPr="00942D1D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methodology regarding</w:t>
      </w:r>
      <w:r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 classification of businesses to public</w:t>
      </w:r>
      <w:r w:rsidR="00C20C93"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 (</w:t>
      </w:r>
      <w:r w:rsidRPr="007E7090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enterprises and</w:t>
      </w:r>
      <w:r w:rsidR="00C20C93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) corporations</w:t>
      </w:r>
      <w:r w:rsidR="00D46073">
        <w:rPr>
          <w:rFonts w:ascii="Arial" w:hAnsi="Arial" w:cs="Arial"/>
          <w:i/>
          <w:iCs/>
          <w:color w:val="auto"/>
          <w:sz w:val="20"/>
          <w:szCs w:val="17"/>
          <w:lang w:val="en-GB"/>
        </w:rPr>
        <w:t xml:space="preserve"> and </w:t>
      </w:r>
      <w:r w:rsidR="00C20C93">
        <w:rPr>
          <w:rFonts w:ascii="Arial" w:hAnsi="Arial" w:cs="Arial"/>
          <w:i/>
          <w:iCs/>
          <w:color w:val="auto"/>
          <w:sz w:val="20"/>
          <w:szCs w:val="17"/>
          <w:lang w:val="en-GB"/>
        </w:rPr>
        <w:t>to general government.</w:t>
      </w:r>
    </w:p>
    <w:p w:rsidR="003407B9" w:rsidRPr="00162CB6" w:rsidRDefault="003407B9">
      <w:pPr>
        <w:pStyle w:val="Normlnweb"/>
        <w:tabs>
          <w:tab w:val="left" w:pos="0"/>
        </w:tabs>
        <w:spacing w:before="0" w:beforeAutospacing="0" w:after="0" w:afterAutospacing="0"/>
        <w:rPr>
          <w:rFonts w:ascii="Arial" w:hAnsi="Arial" w:cs="Arial"/>
          <w:i/>
          <w:iCs/>
          <w:color w:val="auto"/>
          <w:sz w:val="20"/>
          <w:szCs w:val="17"/>
          <w:lang w:val="en-GB"/>
        </w:rPr>
      </w:pPr>
    </w:p>
    <w:p w:rsidR="003407B9" w:rsidRPr="00162CB6" w:rsidRDefault="003407B9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iCs/>
          <w:color w:val="auto"/>
          <w:sz w:val="20"/>
          <w:szCs w:val="17"/>
          <w:lang w:val="en-GB"/>
        </w:rPr>
      </w:pPr>
    </w:p>
    <w:p w:rsidR="003407B9" w:rsidRPr="00162CB6" w:rsidRDefault="00E01306">
      <w:pPr>
        <w:jc w:val="center"/>
        <w:rPr>
          <w:rFonts w:ascii="Arial" w:hAnsi="Arial" w:cs="Arial"/>
          <w:i/>
          <w:iCs/>
          <w:sz w:val="20"/>
          <w:szCs w:val="17"/>
        </w:rPr>
      </w:pPr>
      <w:r>
        <w:rPr>
          <w:rFonts w:ascii="Arial" w:hAnsi="Arial" w:cs="Arial"/>
          <w:i/>
          <w:iCs/>
          <w:sz w:val="20"/>
          <w:szCs w:val="17"/>
        </w:rPr>
        <w:t>*          *          *</w:t>
      </w:r>
    </w:p>
    <w:p w:rsidR="003407B9" w:rsidRPr="00162CB6" w:rsidRDefault="003407B9">
      <w:pPr>
        <w:jc w:val="both"/>
        <w:rPr>
          <w:rFonts w:ascii="Arial" w:hAnsi="Arial" w:cs="Arial"/>
          <w:i/>
          <w:iCs/>
          <w:sz w:val="20"/>
          <w:szCs w:val="17"/>
        </w:rPr>
      </w:pPr>
    </w:p>
    <w:p w:rsidR="003407B9" w:rsidRPr="00162CB6" w:rsidRDefault="003407B9">
      <w:pPr>
        <w:jc w:val="both"/>
        <w:rPr>
          <w:rFonts w:ascii="Arial" w:hAnsi="Arial" w:cs="Arial"/>
          <w:i/>
          <w:iCs/>
          <w:sz w:val="20"/>
          <w:szCs w:val="17"/>
        </w:rPr>
      </w:pPr>
    </w:p>
    <w:p w:rsidR="003407B9" w:rsidRPr="00162CB6" w:rsidRDefault="00E01306" w:rsidP="000E19C9">
      <w:pPr>
        <w:pStyle w:val="Normlnweb"/>
        <w:spacing w:before="0" w:beforeAutospacing="0" w:after="0" w:afterAutospacing="0"/>
        <w:ind w:firstLine="709"/>
        <w:jc w:val="both"/>
        <w:rPr>
          <w:rFonts w:ascii="Arial" w:hAnsi="Arial" w:cs="Arial"/>
          <w:i/>
          <w:iCs/>
          <w:color w:val="auto"/>
          <w:sz w:val="20"/>
          <w:lang w:val="en-GB"/>
        </w:rPr>
      </w:pPr>
      <w:r>
        <w:rPr>
          <w:rFonts w:ascii="Arial" w:hAnsi="Arial" w:cs="Arial"/>
          <w:i/>
          <w:iCs/>
          <w:color w:val="auto"/>
          <w:sz w:val="20"/>
          <w:lang w:val="en-GB"/>
        </w:rPr>
        <w:t>Further data can be found on the web</w:t>
      </w:r>
      <w:r w:rsidR="00917361">
        <w:rPr>
          <w:rFonts w:ascii="Arial" w:hAnsi="Arial" w:cs="Arial"/>
          <w:i/>
          <w:iCs/>
          <w:color w:val="auto"/>
          <w:sz w:val="20"/>
          <w:lang w:val="en-GB"/>
        </w:rPr>
        <w:t>site</w:t>
      </w:r>
      <w:r>
        <w:rPr>
          <w:rFonts w:ascii="Arial" w:hAnsi="Arial" w:cs="Arial"/>
          <w:i/>
          <w:iCs/>
          <w:color w:val="auto"/>
          <w:sz w:val="20"/>
          <w:lang w:val="en-GB"/>
        </w:rPr>
        <w:t xml:space="preserve"> of t</w:t>
      </w:r>
      <w:r w:rsidR="00DC177E">
        <w:rPr>
          <w:rFonts w:ascii="Arial" w:hAnsi="Arial" w:cs="Arial"/>
          <w:i/>
          <w:iCs/>
          <w:color w:val="auto"/>
          <w:sz w:val="20"/>
          <w:lang w:val="en-GB"/>
        </w:rPr>
        <w:t>he Czech Statistical Office at:</w:t>
      </w:r>
    </w:p>
    <w:p w:rsidR="00942D1D" w:rsidRPr="00942D1D" w:rsidRDefault="00942D1D">
      <w:pPr>
        <w:pStyle w:val="Normlnweb"/>
        <w:spacing w:before="120" w:beforeAutospacing="0" w:after="0" w:afterAutospacing="0"/>
        <w:ind w:left="705" w:hanging="705"/>
        <w:jc w:val="both"/>
        <w:rPr>
          <w:rFonts w:ascii="Arial" w:hAnsi="Arial" w:cs="Arial"/>
          <w:color w:val="auto"/>
          <w:sz w:val="20"/>
          <w:lang w:val="en-GB"/>
        </w:rPr>
      </w:pPr>
      <w:r w:rsidRPr="00942D1D">
        <w:rPr>
          <w:rFonts w:ascii="Arial" w:hAnsi="Arial" w:cs="Arial"/>
          <w:color w:val="auto"/>
          <w:sz w:val="20"/>
          <w:szCs w:val="20"/>
        </w:rPr>
        <w:t>–</w:t>
      </w:r>
      <w:r w:rsidRPr="00942D1D">
        <w:rPr>
          <w:rFonts w:ascii="Arial" w:hAnsi="Arial" w:cs="Arial"/>
          <w:color w:val="auto"/>
          <w:sz w:val="20"/>
          <w:lang w:val="en-GB"/>
        </w:rPr>
        <w:t> </w:t>
      </w:r>
      <w:hyperlink r:id="rId4" w:history="1">
        <w:r>
          <w:rPr>
            <w:rStyle w:val="Hypertextovodkaz"/>
            <w:rFonts w:ascii="Arial" w:hAnsi="Arial" w:cs="Arial"/>
            <w:sz w:val="20"/>
            <w:lang w:val="en-GB"/>
          </w:rPr>
          <w:t>www.czso.cz/csu/czso/organizational-statistics</w:t>
        </w:r>
      </w:hyperlink>
    </w:p>
    <w:sectPr w:rsidR="00942D1D" w:rsidRPr="00942D1D" w:rsidSect="006D6282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1CD"/>
    <w:rsid w:val="00006BB7"/>
    <w:rsid w:val="000122A5"/>
    <w:rsid w:val="000452C4"/>
    <w:rsid w:val="00056F32"/>
    <w:rsid w:val="000662DF"/>
    <w:rsid w:val="000822A3"/>
    <w:rsid w:val="00083EAE"/>
    <w:rsid w:val="00086EBB"/>
    <w:rsid w:val="0009361B"/>
    <w:rsid w:val="000B2607"/>
    <w:rsid w:val="000D08F9"/>
    <w:rsid w:val="000D31D3"/>
    <w:rsid w:val="000E19C9"/>
    <w:rsid w:val="000E603F"/>
    <w:rsid w:val="000E70BA"/>
    <w:rsid w:val="00114952"/>
    <w:rsid w:val="001234D0"/>
    <w:rsid w:val="00152A6E"/>
    <w:rsid w:val="00154E7D"/>
    <w:rsid w:val="0015660D"/>
    <w:rsid w:val="00162CB6"/>
    <w:rsid w:val="00187065"/>
    <w:rsid w:val="0019453C"/>
    <w:rsid w:val="001B0F77"/>
    <w:rsid w:val="001B15B7"/>
    <w:rsid w:val="001C26A2"/>
    <w:rsid w:val="001E49AD"/>
    <w:rsid w:val="001E54F0"/>
    <w:rsid w:val="001F44E7"/>
    <w:rsid w:val="00204942"/>
    <w:rsid w:val="00210D5A"/>
    <w:rsid w:val="00271467"/>
    <w:rsid w:val="002719ED"/>
    <w:rsid w:val="00276441"/>
    <w:rsid w:val="00280FA9"/>
    <w:rsid w:val="002902FF"/>
    <w:rsid w:val="002A5EFA"/>
    <w:rsid w:val="002D429B"/>
    <w:rsid w:val="002E0812"/>
    <w:rsid w:val="002F0B3F"/>
    <w:rsid w:val="0030244A"/>
    <w:rsid w:val="00303854"/>
    <w:rsid w:val="00303D53"/>
    <w:rsid w:val="003261CD"/>
    <w:rsid w:val="003267FC"/>
    <w:rsid w:val="00331C47"/>
    <w:rsid w:val="003407B9"/>
    <w:rsid w:val="00342C0B"/>
    <w:rsid w:val="00356595"/>
    <w:rsid w:val="003617EF"/>
    <w:rsid w:val="00381CF5"/>
    <w:rsid w:val="00385D8E"/>
    <w:rsid w:val="003A1245"/>
    <w:rsid w:val="003A2156"/>
    <w:rsid w:val="003A4060"/>
    <w:rsid w:val="003B7301"/>
    <w:rsid w:val="003E1AF2"/>
    <w:rsid w:val="003E522A"/>
    <w:rsid w:val="003F1F13"/>
    <w:rsid w:val="003F5614"/>
    <w:rsid w:val="004063E9"/>
    <w:rsid w:val="00422331"/>
    <w:rsid w:val="00426F4C"/>
    <w:rsid w:val="004577F8"/>
    <w:rsid w:val="00460474"/>
    <w:rsid w:val="00472769"/>
    <w:rsid w:val="00480959"/>
    <w:rsid w:val="00484ABF"/>
    <w:rsid w:val="0049478C"/>
    <w:rsid w:val="004B51DF"/>
    <w:rsid w:val="004D481F"/>
    <w:rsid w:val="004E2604"/>
    <w:rsid w:val="004E5FF1"/>
    <w:rsid w:val="004F2D81"/>
    <w:rsid w:val="004F41EA"/>
    <w:rsid w:val="00502E7B"/>
    <w:rsid w:val="00505101"/>
    <w:rsid w:val="00510CE1"/>
    <w:rsid w:val="00510FFF"/>
    <w:rsid w:val="005264F9"/>
    <w:rsid w:val="005319A2"/>
    <w:rsid w:val="00541841"/>
    <w:rsid w:val="00554F19"/>
    <w:rsid w:val="00575256"/>
    <w:rsid w:val="005B12B3"/>
    <w:rsid w:val="005B3907"/>
    <w:rsid w:val="005F3271"/>
    <w:rsid w:val="00645793"/>
    <w:rsid w:val="006602FA"/>
    <w:rsid w:val="00675C19"/>
    <w:rsid w:val="006827A4"/>
    <w:rsid w:val="006828DC"/>
    <w:rsid w:val="00684B91"/>
    <w:rsid w:val="006857E6"/>
    <w:rsid w:val="00691BA4"/>
    <w:rsid w:val="00694893"/>
    <w:rsid w:val="006B17E9"/>
    <w:rsid w:val="006D12D6"/>
    <w:rsid w:val="006D6282"/>
    <w:rsid w:val="006F2589"/>
    <w:rsid w:val="00701D47"/>
    <w:rsid w:val="00704C82"/>
    <w:rsid w:val="0071397B"/>
    <w:rsid w:val="00717A78"/>
    <w:rsid w:val="00731C3F"/>
    <w:rsid w:val="0073416E"/>
    <w:rsid w:val="007474A5"/>
    <w:rsid w:val="00752F72"/>
    <w:rsid w:val="00753DB2"/>
    <w:rsid w:val="0076189B"/>
    <w:rsid w:val="00764BC1"/>
    <w:rsid w:val="00782001"/>
    <w:rsid w:val="007929F8"/>
    <w:rsid w:val="007A0A76"/>
    <w:rsid w:val="007A20B0"/>
    <w:rsid w:val="007A21BF"/>
    <w:rsid w:val="007B7C6B"/>
    <w:rsid w:val="007C73B3"/>
    <w:rsid w:val="007D7DF0"/>
    <w:rsid w:val="007E7090"/>
    <w:rsid w:val="00811DDB"/>
    <w:rsid w:val="00821023"/>
    <w:rsid w:val="008272AD"/>
    <w:rsid w:val="00840BE8"/>
    <w:rsid w:val="00847899"/>
    <w:rsid w:val="008515EC"/>
    <w:rsid w:val="0085384E"/>
    <w:rsid w:val="008539C7"/>
    <w:rsid w:val="00853E87"/>
    <w:rsid w:val="00863CFD"/>
    <w:rsid w:val="0089640A"/>
    <w:rsid w:val="008979C9"/>
    <w:rsid w:val="008C3BB4"/>
    <w:rsid w:val="008C4473"/>
    <w:rsid w:val="008E7D3D"/>
    <w:rsid w:val="00907A0A"/>
    <w:rsid w:val="00917361"/>
    <w:rsid w:val="00931D43"/>
    <w:rsid w:val="009323FD"/>
    <w:rsid w:val="00942D1D"/>
    <w:rsid w:val="0095499C"/>
    <w:rsid w:val="00956B6F"/>
    <w:rsid w:val="00975638"/>
    <w:rsid w:val="009777D5"/>
    <w:rsid w:val="00990F17"/>
    <w:rsid w:val="009A0561"/>
    <w:rsid w:val="009C1765"/>
    <w:rsid w:val="009C2978"/>
    <w:rsid w:val="009E7505"/>
    <w:rsid w:val="009F35AF"/>
    <w:rsid w:val="009F6A64"/>
    <w:rsid w:val="009F7A66"/>
    <w:rsid w:val="00A146DE"/>
    <w:rsid w:val="00A170C3"/>
    <w:rsid w:val="00A314DF"/>
    <w:rsid w:val="00A44E44"/>
    <w:rsid w:val="00A634EB"/>
    <w:rsid w:val="00A63735"/>
    <w:rsid w:val="00A83145"/>
    <w:rsid w:val="00AA05F9"/>
    <w:rsid w:val="00AC38A6"/>
    <w:rsid w:val="00AC569D"/>
    <w:rsid w:val="00AC610C"/>
    <w:rsid w:val="00AD65DA"/>
    <w:rsid w:val="00AF49DC"/>
    <w:rsid w:val="00AF4DCC"/>
    <w:rsid w:val="00B44A14"/>
    <w:rsid w:val="00B4564A"/>
    <w:rsid w:val="00B51847"/>
    <w:rsid w:val="00B76545"/>
    <w:rsid w:val="00B76FA0"/>
    <w:rsid w:val="00B80500"/>
    <w:rsid w:val="00B902E5"/>
    <w:rsid w:val="00BB3B3C"/>
    <w:rsid w:val="00BC2FB9"/>
    <w:rsid w:val="00BD4F00"/>
    <w:rsid w:val="00BD5DCF"/>
    <w:rsid w:val="00BE19C1"/>
    <w:rsid w:val="00BF2F1A"/>
    <w:rsid w:val="00C04219"/>
    <w:rsid w:val="00C133FC"/>
    <w:rsid w:val="00C20C93"/>
    <w:rsid w:val="00C23D7A"/>
    <w:rsid w:val="00C24954"/>
    <w:rsid w:val="00C71F15"/>
    <w:rsid w:val="00C8383A"/>
    <w:rsid w:val="00C906BA"/>
    <w:rsid w:val="00C91922"/>
    <w:rsid w:val="00CA57FF"/>
    <w:rsid w:val="00CC4D2B"/>
    <w:rsid w:val="00CC7713"/>
    <w:rsid w:val="00CD275B"/>
    <w:rsid w:val="00CE2612"/>
    <w:rsid w:val="00CE4213"/>
    <w:rsid w:val="00D21685"/>
    <w:rsid w:val="00D2785B"/>
    <w:rsid w:val="00D3305E"/>
    <w:rsid w:val="00D347BE"/>
    <w:rsid w:val="00D41A03"/>
    <w:rsid w:val="00D433E8"/>
    <w:rsid w:val="00D46073"/>
    <w:rsid w:val="00D64DCA"/>
    <w:rsid w:val="00D929E6"/>
    <w:rsid w:val="00D976F0"/>
    <w:rsid w:val="00DC177E"/>
    <w:rsid w:val="00DD2A57"/>
    <w:rsid w:val="00DD5566"/>
    <w:rsid w:val="00DD7C90"/>
    <w:rsid w:val="00E00685"/>
    <w:rsid w:val="00E01306"/>
    <w:rsid w:val="00E01C44"/>
    <w:rsid w:val="00E0634E"/>
    <w:rsid w:val="00E117BF"/>
    <w:rsid w:val="00E3208A"/>
    <w:rsid w:val="00E6426D"/>
    <w:rsid w:val="00E714B9"/>
    <w:rsid w:val="00E8392A"/>
    <w:rsid w:val="00EC3B52"/>
    <w:rsid w:val="00EC56C0"/>
    <w:rsid w:val="00ED19D0"/>
    <w:rsid w:val="00ED6988"/>
    <w:rsid w:val="00F0497C"/>
    <w:rsid w:val="00F13581"/>
    <w:rsid w:val="00F1385B"/>
    <w:rsid w:val="00F13B57"/>
    <w:rsid w:val="00F37BB9"/>
    <w:rsid w:val="00F4304A"/>
    <w:rsid w:val="00F43550"/>
    <w:rsid w:val="00F55269"/>
    <w:rsid w:val="00F57910"/>
    <w:rsid w:val="00F62485"/>
    <w:rsid w:val="00F92D7A"/>
    <w:rsid w:val="00F935E4"/>
    <w:rsid w:val="00FA3912"/>
    <w:rsid w:val="00FC7ACE"/>
    <w:rsid w:val="00FD058F"/>
    <w:rsid w:val="00FD17E3"/>
    <w:rsid w:val="00FD3A88"/>
    <w:rsid w:val="00FD41CB"/>
    <w:rsid w:val="00FD45F3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DA6B61-F8E7-4529-AE35-90B6E89E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6282"/>
    <w:rPr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6D628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78B3"/>
      <w:lang w:val="cs-CZ"/>
    </w:rPr>
  </w:style>
  <w:style w:type="character" w:styleId="Hypertextovodkaz">
    <w:name w:val="Hyperlink"/>
    <w:uiPriority w:val="99"/>
    <w:unhideWhenUsed/>
    <w:rsid w:val="00CE2612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1397B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4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634EB"/>
    <w:rPr>
      <w:rFonts w:ascii="Tahoma" w:hAnsi="Tahoma" w:cs="Tahoma"/>
      <w:sz w:val="16"/>
      <w:szCs w:val="16"/>
      <w:lang w:val="en-GB"/>
    </w:rPr>
  </w:style>
  <w:style w:type="character" w:styleId="Zdraznn">
    <w:name w:val="Emphasis"/>
    <w:uiPriority w:val="20"/>
    <w:qFormat/>
    <w:rsid w:val="00BF2F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zso.cz/csu/czso/organizational-statistic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Data on the organizational structure of the national economy are compiled from information kept in the Business Register (BR)</vt:lpstr>
    </vt:vector>
  </TitlesOfParts>
  <Company>csu</Company>
  <LinksUpToDate>false</LinksUpToDate>
  <CharactersWithSpaces>3175</CharactersWithSpaces>
  <SharedDoc>false</SharedDoc>
  <HLinks>
    <vt:vector size="6" baseType="variant">
      <vt:variant>
        <vt:i4>5046395</vt:i4>
      </vt:variant>
      <vt:variant>
        <vt:i4>0</vt:i4>
      </vt:variant>
      <vt:variant>
        <vt:i4>0</vt:i4>
      </vt:variant>
      <vt:variant>
        <vt:i4>5</vt:i4>
      </vt:variant>
      <vt:variant>
        <vt:lpwstr>http://www.czso.cz/eng/redakce.nsf/i/business_register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on the organizational structure of the national economy are compiled from information kept in the Business Register (BR)</dc:title>
  <dc:creator>csu</dc:creator>
  <cp:lastModifiedBy>Ing. Dana Habartová</cp:lastModifiedBy>
  <cp:revision>4</cp:revision>
  <cp:lastPrinted>2017-03-16T13:45:00Z</cp:lastPrinted>
  <dcterms:created xsi:type="dcterms:W3CDTF">2017-03-21T10:18:00Z</dcterms:created>
  <dcterms:modified xsi:type="dcterms:W3CDTF">2017-10-16T07:12:00Z</dcterms:modified>
</cp:coreProperties>
</file>