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DB6382" w:rsidRDefault="00161BC6" w:rsidP="001669D2">
      <w:pPr>
        <w:rPr>
          <w:rFonts w:cs="Arial"/>
          <w:lang w:eastAsia="ar-SA"/>
        </w:rPr>
        <w:sectPr w:rsidR="00A75E40" w:rsidRPr="00DB6382" w:rsidSect="0085114D">
          <w:pgSz w:w="11906" w:h="16838" w:code="9"/>
          <w:pgMar w:top="1134" w:right="1134" w:bottom="1418" w:left="1134" w:header="709" w:footer="709" w:gutter="0"/>
          <w:pgNumType w:start="1"/>
          <w:cols w:space="708"/>
          <w:docGrid w:linePitch="360"/>
        </w:sectPr>
      </w:pPr>
      <w:r w:rsidRPr="00161BC6">
        <w:rPr>
          <w:noProof/>
        </w:rPr>
        <w:pict>
          <v:shape id="_x0000_s1044" type="#_x0000_t75" style="position:absolute;margin-left:340.7pt;margin-top:-16.7pt;width:137.9pt;height:49.3pt;z-index:-1" wrapcoords="-86 0 -86 21360 21600 21360 21600 0 -86 0">
            <v:imagedata r:id="rId8" o:title="NIPOS_cerna"/>
            <w10:wrap type="tight"/>
          </v:shape>
        </w:pict>
      </w:r>
      <w:r>
        <w:rPr>
          <w:rFonts w:cs="Arial"/>
          <w:noProof/>
        </w:rPr>
        <w:pict>
          <v:group id="Group 24" o:spid="_x0000_s1035" style="position:absolute;margin-left:45pt;margin-top:36.75pt;width:177.15pt;height:43.65pt;z-index:5;mso-position-horizontal-relative:page;mso-position-vertical-relative:page" coordorigin="567,851" coordsize="2714,667" wrapcoords="11166 0 5308 1117 4942 1490 4942 5959 275 8193 -92 8938 -92 14152 3569 17876 5583 17876 5583 21228 15742 21228 15834 21228 16017 17876 17573 17876 21325 13779 21234 11917 21600 8938 21325 7076 16108 5959 16475 1490 16200 0 11166 0">
            <o:lock v:ext="edit" aspectratio="t"/>
            <v:rect id="Rectangle 9" o:spid="_x0000_s1036" style="position:absolute;left:1215;top:901;width:676;height:154;visibility:visible" fillcolor="#0071bc" stroked="f">
              <o:lock v:ext="edit" aspectratio="t"/>
            </v:rect>
            <v:rect id="Rectangle 10" o:spid="_x0000_s1037" style="position:absolute;left:567;top:1131;width:1324;height:154;visibility:visible" fillcolor="#0071bc" stroked="f">
              <o:lock v:ext="edit" aspectratio="t"/>
            </v:rect>
            <v:rect id="Rectangle 11" o:spid="_x0000_s1038" style="position:absolute;left:1288;top:1361;width:603;height:153;visibility:visible" fillcolor="#0071bc" stroked="f">
              <o:lock v:ext="edit" aspectratio="t"/>
            </v:rect>
            <v:shape id="Freeform 12" o:spid="_x0000_s1039" style="position:absolute;left:1969;top:1311;width:600;height:207;visibility:visible;mso-wrap-style:square;v-text-anchor:top"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40" style="position:absolute;left:1962;top:1081;width:1319;height:208;visibility:visible;mso-wrap-style:square;v-text-anchor:top"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41" style="position:absolute;left:1962;top:851;width:679;height:208;visibility:visible;mso-wrap-style:square;v-text-anchor:top"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w10:anchorlock/>
          </v:group>
        </w:pict>
      </w:r>
      <w:r>
        <w:rPr>
          <w:rFonts w:cs="Arial"/>
          <w:noProof/>
        </w:rPr>
        <w:pict>
          <v:shapetype id="_x0000_t202" coordsize="21600,21600" o:spt="202" path="m,l,21600r21600,l21600,xe">
            <v:stroke joinstyle="miter"/>
            <v:path gradientshapeok="t" o:connecttype="rect"/>
          </v:shapetype>
          <v:shape id="_x0000_s1034" type="#_x0000_t202" style="position:absolute;margin-left:134.3pt;margin-top:631.5pt;width:403.95pt;height:96pt;z-index:4;visibility:visible;mso-position-horizontal-relative:page;mso-position-vertical-relative:page;mso-width-relative:margin;mso-height-relative:margin" filled="f" stroked="f">
            <v:textbox style="mso-next-textbox:#_x0000_s1034" inset="0,0,0,0">
              <w:txbxContent>
                <w:p w:rsidR="00C73D1B" w:rsidRPr="006C5577" w:rsidRDefault="00C73D1B" w:rsidP="004924DC">
                  <w:r>
                    <w:t>Z</w:t>
                  </w:r>
                  <w:r w:rsidRPr="006C5577">
                    <w:t xml:space="preserve">pracoval: </w:t>
                  </w:r>
                  <w:r>
                    <w:t xml:space="preserve">Český statistický úřad - </w:t>
                  </w:r>
                  <w:r w:rsidRPr="006C5577">
                    <w:t xml:space="preserve">Odbor </w:t>
                  </w:r>
                  <w:r>
                    <w:t>statistik rozvoje společnosti (63), Národní informační a poradenské středisko pro kulturu (NIPOS) - Centrum informací a statistik kultury</w:t>
                  </w:r>
                </w:p>
                <w:p w:rsidR="00C73D1B" w:rsidRPr="006C5577" w:rsidRDefault="00C73D1B" w:rsidP="004924DC">
                  <w:r w:rsidRPr="006C5577">
                    <w:t>Ředitel odboru</w:t>
                  </w:r>
                  <w:r>
                    <w:t xml:space="preserve"> 63</w:t>
                  </w:r>
                  <w:r w:rsidRPr="006C5577">
                    <w:t xml:space="preserve">: </w:t>
                  </w:r>
                  <w:r>
                    <w:t>Martin Mana</w:t>
                  </w:r>
                </w:p>
                <w:p w:rsidR="00C73D1B" w:rsidRPr="006C5577" w:rsidRDefault="00C73D1B" w:rsidP="004924DC">
                  <w:r w:rsidRPr="006C5577">
                    <w:t xml:space="preserve">Kontaktní osoba: </w:t>
                  </w:r>
                  <w:r>
                    <w:t xml:space="preserve">Milan </w:t>
                  </w:r>
                  <w:proofErr w:type="spellStart"/>
                  <w:r>
                    <w:t>Dedera</w:t>
                  </w:r>
                  <w:proofErr w:type="spellEnd"/>
                  <w:r w:rsidRPr="006C5577">
                    <w:t>,</w:t>
                  </w:r>
                  <w:r>
                    <w:t xml:space="preserve"> e-mail: milan.dedera@czso.cz</w:t>
                  </w:r>
                </w:p>
              </w:txbxContent>
            </v:textbox>
            <w10:wrap anchorx="page" anchory="page"/>
            <w10:anchorlock/>
          </v:shape>
        </w:pict>
      </w:r>
      <w:r>
        <w:rPr>
          <w:rFonts w:cs="Arial"/>
          <w:noProof/>
        </w:rPr>
        <w:pict>
          <v:shape id="_x0000_s1033" type="#_x0000_t202" style="position:absolute;margin-left:131.4pt;margin-top:421pt;width:403.9pt;height:132.8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next-textbox:#_x0000_s1033;mso-fit-shape-to-text:t" inset="0,0,0,0">
              <w:txbxContent>
                <w:p w:rsidR="00C73D1B" w:rsidRPr="004924DC" w:rsidRDefault="00C73D1B" w:rsidP="004924DC">
                  <w:pPr>
                    <w:pStyle w:val="TLIdentifikace-sted"/>
                  </w:pPr>
                  <w:r>
                    <w:t>Lidé a společnost</w:t>
                  </w:r>
                </w:p>
                <w:p w:rsidR="00C73D1B" w:rsidRPr="004924DC" w:rsidRDefault="00C73D1B" w:rsidP="004924DC">
                  <w:pPr>
                    <w:pStyle w:val="TLIdentifikace-sted"/>
                  </w:pPr>
                  <w:r>
                    <w:t>Praha 2017</w:t>
                  </w:r>
                </w:p>
                <w:p w:rsidR="00C73D1B" w:rsidRPr="004924DC" w:rsidRDefault="00C73D1B" w:rsidP="004924DC">
                  <w:pPr>
                    <w:pStyle w:val="TLIdentifikace-sted"/>
                  </w:pPr>
                  <w:r w:rsidRPr="004924DC">
                    <w:t xml:space="preserve">Kód publikace: </w:t>
                  </w:r>
                  <w:r>
                    <w:t>090005-17</w:t>
                  </w:r>
                </w:p>
                <w:p w:rsidR="00C73D1B" w:rsidRPr="004924DC" w:rsidRDefault="00C73D1B" w:rsidP="004924DC">
                  <w:pPr>
                    <w:pStyle w:val="TLIdentifikace-sted"/>
                  </w:pPr>
                  <w:r w:rsidRPr="004924DC">
                    <w:t xml:space="preserve">Č. </w:t>
                  </w:r>
                  <w:proofErr w:type="spellStart"/>
                  <w:r w:rsidRPr="004924DC">
                    <w:t>j</w:t>
                  </w:r>
                  <w:proofErr w:type="spellEnd"/>
                  <w:r w:rsidRPr="004924DC">
                    <w:t xml:space="preserve">.: </w:t>
                  </w:r>
                  <w:r>
                    <w:t>1238/2017</w:t>
                  </w:r>
                  <w:r w:rsidRPr="00882FF9">
                    <w:t>-63</w:t>
                  </w:r>
                </w:p>
              </w:txbxContent>
            </v:textbox>
            <w10:wrap anchorx="page" anchory="page"/>
            <w10:anchorlock/>
          </v:shape>
        </w:pict>
      </w:r>
      <w:r>
        <w:rPr>
          <w:rFonts w:cs="Arial"/>
          <w:noProof/>
        </w:rPr>
        <w:pict>
          <v:shape id="Textové pole 2" o:spid="_x0000_s1032" type="#_x0000_t202" style="position:absolute;margin-left:131.4pt;margin-top:215pt;width:403.9pt;height:77.2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1uwIAALcFAAAOAAAAZHJzL2Uyb0RvYy54bWysVNuOmzAQfa/Uf7D8znIpJICWrHZDqCpt&#10;L9JuP8ABE6yCTW0nsK36Qf2O/ljHJiR7eana8mANnvGZ25m5vBq7Fh2oVEzwDPsXHkaUl6JifJfh&#10;z/eFE2OkNOEVaQWnGX6gCl+tXr+6HPqUBqIRbUUlAhCu0qHPcKN1n7quKhvaEXUhespBWQvZEQ2/&#10;cudWkgyA3rVu4HkLdxCy6qUoqVJwm09KvLL4dU1L/bGuFdWozTDEpu0p7bk1p7u6JOlOkr5h5TEM&#10;8hdRdIRxcHqCyokmaC/ZC6iOlVIoUeuLUnSuqGtWUpsDZON7z7K5a0hPbS5QHNWfyqT+H2z54fBJ&#10;IlZlOEgw4qSDHt3TUYvDr5+oFy1FganR0KsUTO96MNbjjRih1zZf1d+K8otCXKwbwnf0WkoxNJRU&#10;EKNvXrqPnk44yoBsh/eiAl9kr4UFGmvZmQJCSRCgQ68eTv2BeFAJl5EfJNEbUJWgCxZJvIxsB12S&#10;zs97qfRbKjpkhAxLIICFJ4dbpU04JJ1NjDcuCta2lgQtf3IBhtMNOIenRmfCsD39nnjJJt7EoRMG&#10;i40TennuXBfr0FkU/jLK3+Trde7/MH79MG1YVVFu3Mz88sM/69+R6RMzTgxTomWVgTMhKbnbrluJ&#10;DgT4XdjPFh00ZzP3aRi2CJDLs5T8IPRugsQpFvHSCYswcpKlFzuen9wkCy9Mwrx4mtIt4/TfU0JD&#10;hpMoiCY2nYN+lptnv5e5kbRjGjZIy7oMxycjkhoObnhlW6sJayf5USlM+OdSQLvnRlvGGpJOdNXj&#10;dpwGZB6EragegMJSAMGAjLD9QGiE/IbRAJskw+rrnkiKUfuOwxiYtTMLcha2s0B4CU8zrDGaxLWe&#10;1tO+l2zXAPI8aNcwKgWzJDYzNUVxHDDYDjaX4yYz6+fxv7U679vVbwAAAP//AwBQSwMEFAAGAAgA&#10;AAAhALDgQI3gAAAADAEAAA8AAABkcnMvZG93bnJldi54bWxMj7FOwzAQhnck3sE6JBZEHadK0oY4&#10;FUKwsFFY2Nz4mkTY5yh2k9Cnx53odqf79d33V7vFGjbh6HtHEsQqAYbUON1TK+Hr8+1xA8wHRVoZ&#10;RyjhFz3s6tubSpXazfSB0z60LELIl0pCF8JQcu6bDq3yKzcgxdvRjVaFuI4t16OaI9waniZJzq3q&#10;KX7o1IAvHTY/+5OVkC+vw8P7FtP53JiJvs9CBBRS3t8tz0/AAi7hPwwX/agOdXQ6uBNpz4yENN+u&#10;YzQO6zQDdkkkRSGAHSI/KzLgdcWvS9R/AAAA//8DAFBLAQItABQABgAIAAAAIQC2gziS/gAAAOEB&#10;AAATAAAAAAAAAAAAAAAAAAAAAABbQ29udGVudF9UeXBlc10ueG1sUEsBAi0AFAAGAAgAAAAhADj9&#10;If/WAAAAlAEAAAsAAAAAAAAAAAAAAAAALwEAAF9yZWxzLy5yZWxzUEsBAi0AFAAGAAgAAAAhANcx&#10;D/W7AgAAtwUAAA4AAAAAAAAAAAAAAAAALgIAAGRycy9lMm9Eb2MueG1sUEsBAi0AFAAGAAgAAAAh&#10;ALDgQI3gAAAADAEAAA8AAAAAAAAAAAAAAAAAFQUAAGRycy9kb3ducmV2LnhtbFBLBQYAAAAABAAE&#10;APMAAAAiBgAAAAA=&#10;" filled="f" stroked="f">
            <v:textbox style="mso-next-textbox:#Textové pole 2;mso-fit-shape-to-text:t" inset="0,0,0,0">
              <w:txbxContent>
                <w:p w:rsidR="00C73D1B" w:rsidRPr="000E6FBD" w:rsidRDefault="00C73D1B" w:rsidP="000E6FBD">
                  <w:pPr>
                    <w:pStyle w:val="Nzev"/>
                  </w:pPr>
                  <w:r>
                    <w:t>VÝSLEDKY ÚČTU KULTURY</w:t>
                  </w:r>
                </w:p>
                <w:p w:rsidR="00C73D1B" w:rsidRPr="0012192F" w:rsidRDefault="00C73D1B" w:rsidP="0012192F">
                  <w:pPr>
                    <w:pStyle w:val="Podtitul"/>
                  </w:pPr>
                </w:p>
                <w:p w:rsidR="00C73D1B" w:rsidRPr="0012192F" w:rsidRDefault="00C73D1B" w:rsidP="0012192F">
                  <w:pPr>
                    <w:pStyle w:val="Podtitul"/>
                  </w:pPr>
                  <w:r>
                    <w:t>za rok 2015</w:t>
                  </w:r>
                </w:p>
              </w:txbxContent>
            </v:textbox>
            <w10:wrap anchorx="page" anchory="page"/>
            <w10:anchorlock/>
          </v:shape>
        </w:pict>
      </w:r>
      <w:r>
        <w:rPr>
          <w:rFonts w:cs="Arial"/>
          <w:noProof/>
        </w:rPr>
        <w:pict>
          <v:shape id="_x0000_s1031" type="#_x0000_t202" style="position:absolute;margin-left:134.65pt;margin-top:759.8pt;width:403.95pt;height:14.15pt;z-index:6;visibility:visible;mso-position-horizontal-relative:page;mso-position-vertical-relative:page;mso-width-relative:margin;mso-height-relative:margin" wrapcoords="0 0" filled="f" stroked="f">
            <v:textbox style="mso-next-textbox:#_x0000_s1031" inset="0,0,0,0">
              <w:txbxContent>
                <w:p w:rsidR="00C73D1B" w:rsidRPr="004924DC" w:rsidRDefault="00C73D1B" w:rsidP="004924DC">
                  <w:r w:rsidRPr="004924DC">
                    <w:t xml:space="preserve">© Český statistický úřad, </w:t>
                  </w:r>
                  <w:r>
                    <w:t>Praha</w:t>
                  </w:r>
                  <w:r w:rsidRPr="004924DC">
                    <w:t xml:space="preserve">, </w:t>
                  </w:r>
                  <w:r>
                    <w:t>2017</w:t>
                  </w:r>
                </w:p>
                <w:p w:rsidR="00C73D1B" w:rsidRPr="005251DD" w:rsidRDefault="00C73D1B" w:rsidP="00665BA4"/>
                <w:p w:rsidR="00C73D1B" w:rsidRPr="005251DD" w:rsidRDefault="00C73D1B" w:rsidP="00FC684B"/>
                <w:p w:rsidR="00C73D1B" w:rsidRDefault="00C73D1B"/>
                <w:p w:rsidR="00C73D1B" w:rsidRPr="00097407" w:rsidRDefault="00C73D1B" w:rsidP="00665BA4">
                  <w:r w:rsidRPr="00097407">
                    <w:t xml:space="preserve">© </w:t>
                  </w:r>
                  <w:r w:rsidRPr="005251DD">
                    <w:t>Český statistický úřad</w:t>
                  </w:r>
                  <w:r>
                    <w:t xml:space="preserve">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C73D1B" w:rsidRPr="005251DD" w:rsidRDefault="00C73D1B" w:rsidP="00665BA4"/>
                <w:p w:rsidR="00C73D1B" w:rsidRPr="005251DD" w:rsidRDefault="00C73D1B" w:rsidP="00FC684B"/>
              </w:txbxContent>
            </v:textbox>
            <w10:wrap anchorx="page" anchory="page"/>
            <w10:anchorlock/>
          </v:shape>
        </w:pict>
      </w:r>
      <w:r>
        <w:rPr>
          <w:rFonts w:cs="Arial"/>
          <w:noProof/>
        </w:rPr>
        <w:pict>
          <v:line id="Přímá spojnice 33" o:spid="_x0000_s1030" style="position:absolute;z-index:1;visibility:visible;mso-wrap-distance-top:-3e-5mm;mso-wrap-distance-bottom:-3e-5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rsidRPr="00DB6382">
        <w:rPr>
          <w:rFonts w:cs="Arial"/>
        </w:rPr>
        <w:br w:type="page"/>
      </w:r>
      <w:r>
        <w:rPr>
          <w:rFonts w:cs="Arial"/>
          <w:noProof/>
        </w:rPr>
        <w:lastRenderedPageBreak/>
        <w:pict>
          <v:shape id="_x0000_s1029" type="#_x0000_t202" style="position:absolute;margin-left:57pt;margin-top:113.4pt;width:481.85pt;height:605.55pt;z-index:7;visibility:visible;mso-position-horizontal-relative:page;mso-position-vertical-relative:page;mso-width-relative:margin;mso-height-relative:margin" filled="f" stroked="f">
            <v:textbox style="mso-next-textbox:#_x0000_s1029;mso-fit-shape-to-text:t" inset="0,0,0,0">
              <w:txbxContent>
                <w:p w:rsidR="00C73D1B" w:rsidRPr="006F5416" w:rsidRDefault="00C73D1B" w:rsidP="006F5416">
                  <w:pPr>
                    <w:pStyle w:val="TLKontaktyerven"/>
                  </w:pPr>
                  <w:r w:rsidRPr="006F5416">
                    <w:t>KONTAKTY V ÚSTŘEDÍ</w:t>
                  </w:r>
                </w:p>
                <w:p w:rsidR="00C73D1B" w:rsidRPr="007D40DF" w:rsidRDefault="00C73D1B"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C73D1B" w:rsidRPr="00D235B7" w:rsidRDefault="00C73D1B"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274 052 648, 274 052 304, 274 052 451 | e-mail: infoservis@czso.cz</w:t>
                  </w:r>
                </w:p>
                <w:p w:rsidR="00C73D1B" w:rsidRPr="00D235B7" w:rsidRDefault="00C73D1B"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C73D1B" w:rsidRPr="00D235B7" w:rsidRDefault="00C73D1B"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C73D1B" w:rsidRPr="00D235B7" w:rsidRDefault="00C73D1B"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C73D1B" w:rsidRPr="004A61C5" w:rsidRDefault="00C73D1B" w:rsidP="00825C4D">
                  <w:pPr>
                    <w:pStyle w:val="TLKontakty"/>
                    <w:spacing w:after="80" w:line="240" w:lineRule="auto"/>
                    <w:contextualSpacing w:val="0"/>
                    <w:rPr>
                      <w:color w:val="auto"/>
                    </w:rPr>
                  </w:pPr>
                </w:p>
                <w:p w:rsidR="00C73D1B" w:rsidRPr="00D66223" w:rsidRDefault="00C73D1B" w:rsidP="00D66223">
                  <w:pPr>
                    <w:pStyle w:val="TLKontaktyerven"/>
                  </w:pPr>
                  <w:r w:rsidRPr="00D66223">
                    <w:t>INFORMAČNÍ SLUŽBY V REGIONECH</w:t>
                  </w:r>
                </w:p>
                <w:p w:rsidR="00C73D1B" w:rsidRPr="00992CF3" w:rsidRDefault="00C73D1B"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C73D1B" w:rsidRPr="00992CF3" w:rsidRDefault="00C73D1B"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C73D1B" w:rsidRPr="004A61C5" w:rsidRDefault="00C73D1B" w:rsidP="00825C4D">
                  <w:pPr>
                    <w:pStyle w:val="TLKontakty"/>
                    <w:spacing w:after="80" w:line="240" w:lineRule="auto"/>
                    <w:rPr>
                      <w:color w:val="auto"/>
                    </w:rPr>
                  </w:pPr>
                </w:p>
                <w:p w:rsidR="00C73D1B" w:rsidRPr="00992CF3" w:rsidRDefault="00C73D1B" w:rsidP="00825C4D">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C73D1B" w:rsidRPr="00992CF3" w:rsidRDefault="00C73D1B"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C73D1B" w:rsidRPr="004A61C5" w:rsidRDefault="00C73D1B" w:rsidP="00825C4D">
                  <w:pPr>
                    <w:pStyle w:val="TLKontakty"/>
                    <w:spacing w:after="80" w:line="240" w:lineRule="auto"/>
                    <w:rPr>
                      <w:color w:val="auto"/>
                    </w:rPr>
                  </w:pPr>
                </w:p>
                <w:p w:rsidR="00C73D1B" w:rsidRPr="00992CF3" w:rsidRDefault="00C73D1B" w:rsidP="00825C4D">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C73D1B" w:rsidRPr="00992CF3" w:rsidRDefault="00C73D1B"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C73D1B" w:rsidRPr="004A61C5" w:rsidRDefault="00C73D1B" w:rsidP="00825C4D">
                  <w:pPr>
                    <w:pStyle w:val="TLKontakty"/>
                    <w:spacing w:after="80" w:line="240" w:lineRule="auto"/>
                    <w:rPr>
                      <w:color w:val="auto"/>
                    </w:rPr>
                  </w:pPr>
                </w:p>
                <w:p w:rsidR="00C73D1B" w:rsidRPr="004A61C5" w:rsidRDefault="00C73D1B" w:rsidP="00825C4D">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377 612 108, 377 612 249</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C73D1B" w:rsidRPr="004A61C5" w:rsidRDefault="00C73D1B" w:rsidP="00825C4D">
                  <w:pPr>
                    <w:pStyle w:val="TLKontakty"/>
                    <w:spacing w:after="80" w:line="240" w:lineRule="auto"/>
                    <w:rPr>
                      <w:color w:val="auto"/>
                    </w:rPr>
                  </w:pPr>
                </w:p>
                <w:p w:rsidR="00C73D1B" w:rsidRPr="004A61C5" w:rsidRDefault="00C73D1B" w:rsidP="00825C4D">
                  <w:pPr>
                    <w:pStyle w:val="TLKontakty"/>
                    <w:spacing w:after="80" w:line="240" w:lineRule="auto"/>
                    <w:rPr>
                      <w:b w:val="0"/>
                      <w:color w:val="auto"/>
                    </w:rPr>
                  </w:pPr>
                  <w:r w:rsidRPr="00D66223">
                    <w:t>Karlovy Vary</w:t>
                  </w:r>
                  <w:r w:rsidRPr="004A61C5">
                    <w:rPr>
                      <w:b w:val="0"/>
                      <w:color w:val="auto"/>
                    </w:rPr>
                    <w:t xml:space="preserve"> | Sportovní 28, 360 01 Karlovy Vary, tel.</w:t>
                  </w:r>
                  <w:r>
                    <w:rPr>
                      <w:b w:val="0"/>
                      <w:color w:val="auto"/>
                    </w:rPr>
                    <w:t xml:space="preserve">: </w:t>
                  </w:r>
                  <w:r w:rsidRPr="004A61C5">
                    <w:rPr>
                      <w:b w:val="0"/>
                      <w:color w:val="auto"/>
                    </w:rPr>
                    <w:t>353 114 529, 353 114 525</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C73D1B" w:rsidRPr="004A61C5" w:rsidRDefault="00C73D1B" w:rsidP="00825C4D">
                  <w:pPr>
                    <w:pStyle w:val="TLKontakty"/>
                    <w:spacing w:after="80" w:line="240" w:lineRule="auto"/>
                    <w:rPr>
                      <w:color w:val="auto"/>
                    </w:rPr>
                  </w:pPr>
                </w:p>
                <w:p w:rsidR="00C73D1B" w:rsidRPr="004A61C5" w:rsidRDefault="00C73D1B" w:rsidP="00825C4D">
                  <w:pPr>
                    <w:pStyle w:val="TLKontakty"/>
                    <w:spacing w:after="80" w:line="240" w:lineRule="auto"/>
                    <w:rPr>
                      <w:b w:val="0"/>
                      <w:color w:val="auto"/>
                    </w:rPr>
                  </w:pPr>
                  <w:r w:rsidRPr="00D66223">
                    <w:t>Ústí nad Labem</w:t>
                  </w:r>
                  <w:r w:rsidRPr="004A61C5">
                    <w:rPr>
                      <w:b w:val="0"/>
                      <w:color w:val="auto"/>
                    </w:rPr>
                    <w:t xml:space="preserve"> | </w:t>
                  </w:r>
                  <w:proofErr w:type="spellStart"/>
                  <w:r w:rsidRPr="004A61C5">
                    <w:rPr>
                      <w:b w:val="0"/>
                      <w:color w:val="auto"/>
                    </w:rPr>
                    <w:t>Špálova</w:t>
                  </w:r>
                  <w:proofErr w:type="spellEnd"/>
                  <w:r w:rsidRPr="004A61C5">
                    <w:rPr>
                      <w:b w:val="0"/>
                      <w:color w:val="auto"/>
                    </w:rPr>
                    <w:t xml:space="preserve">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C73D1B" w:rsidRPr="004A61C5" w:rsidRDefault="00C73D1B" w:rsidP="00825C4D">
                  <w:pPr>
                    <w:pStyle w:val="TLKontakty"/>
                    <w:spacing w:after="80" w:line="240" w:lineRule="auto"/>
                    <w:rPr>
                      <w:color w:val="auto"/>
                    </w:rPr>
                  </w:pPr>
                </w:p>
                <w:p w:rsidR="00C73D1B" w:rsidRPr="004A61C5" w:rsidRDefault="00C73D1B" w:rsidP="00825C4D">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C73D1B" w:rsidRPr="004A61C5" w:rsidRDefault="00C73D1B" w:rsidP="00825C4D">
                  <w:pPr>
                    <w:pStyle w:val="TLKontakty"/>
                    <w:spacing w:after="80" w:line="240" w:lineRule="auto"/>
                    <w:rPr>
                      <w:b w:val="0"/>
                      <w:color w:val="auto"/>
                    </w:rPr>
                  </w:pPr>
                </w:p>
                <w:p w:rsidR="00C73D1B" w:rsidRPr="004A61C5" w:rsidRDefault="00C73D1B" w:rsidP="00825C4D">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C73D1B" w:rsidRPr="004A61C5" w:rsidRDefault="00C73D1B" w:rsidP="00825C4D">
                  <w:pPr>
                    <w:pStyle w:val="TLKontakty"/>
                    <w:spacing w:after="80" w:line="240" w:lineRule="auto"/>
                    <w:rPr>
                      <w:color w:val="auto"/>
                    </w:rPr>
                  </w:pPr>
                </w:p>
                <w:p w:rsidR="00C73D1B" w:rsidRPr="004A61C5" w:rsidRDefault="00C73D1B" w:rsidP="00825C4D">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C73D1B" w:rsidRPr="004A61C5" w:rsidRDefault="00C73D1B" w:rsidP="00825C4D">
                  <w:pPr>
                    <w:pStyle w:val="TLKontakty"/>
                    <w:spacing w:after="80" w:line="240" w:lineRule="auto"/>
                    <w:rPr>
                      <w:b w:val="0"/>
                      <w:color w:val="auto"/>
                    </w:rPr>
                  </w:pPr>
                </w:p>
                <w:p w:rsidR="00C73D1B" w:rsidRPr="004A61C5" w:rsidRDefault="00C73D1B" w:rsidP="00825C4D">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567 109 062, 567 109 080</w:t>
                  </w:r>
                </w:p>
                <w:p w:rsidR="00C73D1B" w:rsidRPr="004A61C5" w:rsidRDefault="00C73D1B"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C73D1B" w:rsidRDefault="00C73D1B" w:rsidP="00825C4D">
                  <w:pPr>
                    <w:pStyle w:val="TLKontakty"/>
                    <w:spacing w:after="80" w:line="240" w:lineRule="auto"/>
                  </w:pPr>
                </w:p>
                <w:p w:rsidR="00C73D1B" w:rsidRPr="004A61C5" w:rsidRDefault="00C73D1B" w:rsidP="00825C4D">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542 528 115, 542 528 105</w:t>
                  </w:r>
                </w:p>
                <w:p w:rsidR="00C73D1B" w:rsidRPr="004A61C5" w:rsidRDefault="00C73D1B"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C73D1B" w:rsidRPr="004A61C5" w:rsidRDefault="00C73D1B" w:rsidP="00825C4D">
                  <w:pPr>
                    <w:pStyle w:val="TLKontakty"/>
                    <w:spacing w:after="80" w:line="240" w:lineRule="auto"/>
                    <w:rPr>
                      <w:b w:val="0"/>
                      <w:color w:val="auto"/>
                    </w:rPr>
                  </w:pPr>
                </w:p>
                <w:p w:rsidR="00C73D1B" w:rsidRPr="005E7C78" w:rsidRDefault="00C73D1B" w:rsidP="00825C4D">
                  <w:pPr>
                    <w:pStyle w:val="TLKontakty"/>
                    <w:spacing w:after="80" w:line="240" w:lineRule="auto"/>
                    <w:rPr>
                      <w:b w:val="0"/>
                      <w:color w:val="auto"/>
                    </w:rPr>
                  </w:pPr>
                  <w:r w:rsidRPr="00D66223">
                    <w:t>Olomouc</w:t>
                  </w:r>
                  <w:r w:rsidRPr="005E7C78">
                    <w:rPr>
                      <w:b w:val="0"/>
                      <w:color w:val="auto"/>
                    </w:rPr>
                    <w:t xml:space="preserve"> | </w:t>
                  </w:r>
                  <w:proofErr w:type="spellStart"/>
                  <w:r w:rsidRPr="005E7C78">
                    <w:rPr>
                      <w:b w:val="0"/>
                      <w:color w:val="auto"/>
                    </w:rPr>
                    <w:t>Jeremenkova</w:t>
                  </w:r>
                  <w:proofErr w:type="spellEnd"/>
                  <w:r w:rsidRPr="005E7C78">
                    <w:rPr>
                      <w:b w:val="0"/>
                      <w:color w:val="auto"/>
                    </w:rPr>
                    <w:t xml:space="preserve"> 1142/42, 772 11 Olomouc, </w:t>
                  </w:r>
                  <w:r>
                    <w:rPr>
                      <w:b w:val="0"/>
                      <w:color w:val="auto"/>
                    </w:rPr>
                    <w:t xml:space="preserve">tel.: </w:t>
                  </w:r>
                  <w:r w:rsidRPr="005E7C78">
                    <w:rPr>
                      <w:b w:val="0"/>
                      <w:color w:val="auto"/>
                    </w:rPr>
                    <w:t>585 731 516,</w:t>
                  </w:r>
                  <w:r>
                    <w:rPr>
                      <w:b w:val="0"/>
                      <w:color w:val="auto"/>
                    </w:rPr>
                    <w:t xml:space="preserve"> </w:t>
                  </w:r>
                  <w:r w:rsidRPr="005E7C78">
                    <w:rPr>
                      <w:b w:val="0"/>
                      <w:color w:val="auto"/>
                    </w:rPr>
                    <w:t>585 731 509</w:t>
                  </w:r>
                </w:p>
                <w:p w:rsidR="00C73D1B" w:rsidRPr="005E7C78" w:rsidRDefault="00C73D1B"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C73D1B" w:rsidRPr="005E7C78" w:rsidRDefault="00C73D1B" w:rsidP="00825C4D">
                  <w:pPr>
                    <w:pStyle w:val="TLKontakty"/>
                    <w:spacing w:after="80" w:line="240" w:lineRule="auto"/>
                    <w:rPr>
                      <w:b w:val="0"/>
                      <w:color w:val="auto"/>
                    </w:rPr>
                  </w:pPr>
                </w:p>
                <w:p w:rsidR="00C73D1B" w:rsidRPr="005E7C78" w:rsidRDefault="00C73D1B" w:rsidP="00825C4D">
                  <w:pPr>
                    <w:pStyle w:val="TLKontakty"/>
                    <w:spacing w:after="80" w:line="240" w:lineRule="auto"/>
                    <w:rPr>
                      <w:b w:val="0"/>
                      <w:color w:val="auto"/>
                    </w:rPr>
                  </w:pPr>
                  <w:r w:rsidRPr="00D66223">
                    <w:t>Ostrava</w:t>
                  </w:r>
                  <w:r w:rsidRPr="005E7C78">
                    <w:rPr>
                      <w:b w:val="0"/>
                      <w:color w:val="auto"/>
                    </w:rPr>
                    <w:t xml:space="preserve"> | </w:t>
                  </w:r>
                  <w:proofErr w:type="spellStart"/>
                  <w:r w:rsidRPr="005E7C78">
                    <w:rPr>
                      <w:b w:val="0"/>
                      <w:color w:val="auto"/>
                    </w:rPr>
                    <w:t>Repinova</w:t>
                  </w:r>
                  <w:proofErr w:type="spellEnd"/>
                  <w:r w:rsidRPr="005E7C78">
                    <w:rPr>
                      <w:b w:val="0"/>
                      <w:color w:val="auto"/>
                    </w:rPr>
                    <w:t xml:space="preserve"> 17, 702 03 Ostrava,</w:t>
                  </w:r>
                  <w:r>
                    <w:rPr>
                      <w:b w:val="0"/>
                      <w:color w:val="auto"/>
                    </w:rPr>
                    <w:t xml:space="preserve"> tel: </w:t>
                  </w:r>
                  <w:r w:rsidRPr="005E7C78">
                    <w:rPr>
                      <w:b w:val="0"/>
                      <w:color w:val="auto"/>
                    </w:rPr>
                    <w:t>595 131 230, 595 131 232</w:t>
                  </w:r>
                </w:p>
                <w:p w:rsidR="00C73D1B" w:rsidRPr="005E7C78" w:rsidRDefault="00C73D1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p w:rsidR="00C73D1B" w:rsidRPr="005E7C78" w:rsidRDefault="00C73D1B" w:rsidP="00825C4D">
                  <w:pPr>
                    <w:pStyle w:val="TLKontakty"/>
                    <w:spacing w:after="80" w:line="240" w:lineRule="auto"/>
                    <w:rPr>
                      <w:b w:val="0"/>
                      <w:color w:val="auto"/>
                    </w:rPr>
                  </w:pPr>
                </w:p>
                <w:p w:rsidR="00C73D1B" w:rsidRPr="005E7C78" w:rsidRDefault="00C73D1B" w:rsidP="00825C4D">
                  <w:pPr>
                    <w:pStyle w:val="TLKontakty"/>
                    <w:spacing w:after="80" w:line="240" w:lineRule="auto"/>
                    <w:rPr>
                      <w:b w:val="0"/>
                      <w:color w:val="auto"/>
                    </w:rPr>
                  </w:pPr>
                  <w:r w:rsidRPr="00D66223">
                    <w:t>Zlín</w:t>
                  </w:r>
                  <w:r w:rsidRPr="005E7C78">
                    <w:rPr>
                      <w:b w:val="0"/>
                      <w:color w:val="auto"/>
                    </w:rPr>
                    <w:t xml:space="preserve"> | tř. Tomáše Bati 1565, 761 76 Zlín, </w:t>
                  </w:r>
                  <w:r>
                    <w:rPr>
                      <w:b w:val="0"/>
                      <w:color w:val="auto"/>
                    </w:rPr>
                    <w:t xml:space="preserve">tel.: </w:t>
                  </w:r>
                  <w:r w:rsidRPr="005E7C78">
                    <w:rPr>
                      <w:b w:val="0"/>
                      <w:color w:val="auto"/>
                    </w:rPr>
                    <w:t>577 004 931, 577 004 935</w:t>
                  </w:r>
                </w:p>
                <w:p w:rsidR="00C73D1B" w:rsidRDefault="00C73D1B"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txbxContent>
            </v:textbox>
            <w10:wrap anchorx="page" anchory="page"/>
            <w10:anchorlock/>
          </v:shape>
        </w:pict>
      </w:r>
      <w:r>
        <w:rPr>
          <w:rFonts w:cs="Arial"/>
          <w:noProof/>
        </w:rPr>
        <w:pict>
          <v:shape id="_x0000_s1027" type="#_x0000_t202" style="position:absolute;margin-left:56.7pt;margin-top:747pt;width:481.9pt;height:28.35pt;z-index:9;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DJ&#10;AqEUugIAALYFAAAOAAAAAAAAAAAAAAAAAC4CAABkcnMvZTJvRG9jLnhtbFBLAQItABQABgAIAAAA&#10;IQDV24r64gAAAA4BAAAPAAAAAAAAAAAAAAAAABQFAABkcnMvZG93bnJldi54bWxQSwUGAAAAAAQA&#10;BADzAAAAIwYAAAAA&#10;" filled="f" stroked="f">
            <v:textbox style="mso-next-textbox:#_x0000_s1027" inset="0,0,0,0">
              <w:txbxContent>
                <w:p w:rsidR="00C73D1B" w:rsidRPr="00321924" w:rsidRDefault="00C73D1B" w:rsidP="008F029B">
                  <w:r w:rsidRPr="00321924">
                    <w:rPr>
                      <w:szCs w:val="26"/>
                    </w:rPr>
                    <w:t xml:space="preserve">ISBN </w:t>
                  </w:r>
                  <w:r w:rsidRPr="00FC73E3">
                    <w:rPr>
                      <w:szCs w:val="26"/>
                    </w:rPr>
                    <w:t>978-80-250-2773-8</w:t>
                  </w:r>
                  <w:r>
                    <w:br/>
                    <w:t>© Český statistický úřad, Praha</w:t>
                  </w:r>
                  <w:r w:rsidRPr="00321924">
                    <w:t xml:space="preserve">, </w:t>
                  </w:r>
                  <w:r>
                    <w:t>2017</w:t>
                  </w:r>
                </w:p>
                <w:p w:rsidR="00C73D1B" w:rsidRDefault="00C73D1B"/>
                <w:p w:rsidR="00C73D1B" w:rsidRPr="00841D9F" w:rsidRDefault="00C73D1B" w:rsidP="000A3A2C">
                  <w:r w:rsidRPr="00841D9F">
                    <w:rPr>
                      <w:szCs w:val="26"/>
                    </w:rPr>
                    <w:t xml:space="preserve">ISBN XX-XXXX-XXX-X  </w:t>
                  </w:r>
                  <w:r w:rsidRPr="00841D9F">
                    <w:t>(pouze u nepravidelných a ročních publikací)</w:t>
                  </w:r>
                </w:p>
                <w:p w:rsidR="00C73D1B" w:rsidRPr="00AF2852" w:rsidRDefault="00C73D1B" w:rsidP="000A3A2C">
                  <w:r w:rsidRPr="00841D9F">
                    <w:t>© Český sta</w:t>
                  </w:r>
                  <w:r>
                    <w:t xml:space="preserve">tistický úřad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w:r>
      <w:r>
        <w:rPr>
          <w:rFonts w:cs="Arial"/>
          <w:noProof/>
        </w:rPr>
        <w:pict>
          <v:shape id="_x0000_s1026" type="#_x0000_t202" style="position:absolute;margin-left:56.95pt;margin-top:56.95pt;width:481.85pt;height:45.1pt;z-index:8;visibility:visible;mso-position-horizontal-relative:page;mso-position-vertical-relative:page;mso-width-relative:margin;mso-height-relative:margin" filled="f" stroked="f">
            <v:textbox style="mso-next-textbox:#_x0000_s1026;mso-fit-shape-to-text:t" inset="0,0,0,0">
              <w:txbxContent>
                <w:p w:rsidR="00C73D1B" w:rsidRPr="009A1902" w:rsidRDefault="00C73D1B"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p w:rsidR="00EE4B1B" w:rsidRPr="00DB6382" w:rsidRDefault="00EE4B1B" w:rsidP="001669D2">
      <w:pPr>
        <w:pStyle w:val="Obsah"/>
        <w:spacing w:after="240"/>
        <w:rPr>
          <w:rFonts w:cs="Arial"/>
        </w:rPr>
      </w:pPr>
      <w:r w:rsidRPr="00DB6382">
        <w:rPr>
          <w:rFonts w:cs="Arial"/>
        </w:rPr>
        <w:lastRenderedPageBreak/>
        <w:t>Obsah</w:t>
      </w:r>
    </w:p>
    <w:p w:rsidR="00F9539D" w:rsidRDefault="00161BC6" w:rsidP="00F9539D">
      <w:pPr>
        <w:pStyle w:val="Obsah1"/>
        <w:rPr>
          <w:rFonts w:asciiTheme="minorHAnsi" w:eastAsiaTheme="minorEastAsia" w:hAnsiTheme="minorHAnsi" w:cstheme="minorBidi"/>
          <w:noProof/>
          <w:sz w:val="22"/>
          <w:szCs w:val="22"/>
        </w:rPr>
      </w:pPr>
      <w:r>
        <w:fldChar w:fldCharType="begin"/>
      </w:r>
      <w:r w:rsidR="00DB6382">
        <w:instrText xml:space="preserve"> TOC \o "1-3" \h \z \u </w:instrText>
      </w:r>
      <w:r>
        <w:fldChar w:fldCharType="separate"/>
      </w:r>
      <w:hyperlink w:anchor="_Toc483227177" w:history="1">
        <w:r w:rsidR="00F9539D" w:rsidRPr="00F21693">
          <w:rPr>
            <w:rStyle w:val="Hypertextovodkaz"/>
            <w:noProof/>
          </w:rPr>
          <w:t>1. Úvod</w:t>
        </w:r>
        <w:r w:rsidR="00F9539D">
          <w:rPr>
            <w:noProof/>
            <w:webHidden/>
          </w:rPr>
          <w:tab/>
        </w:r>
        <w:r>
          <w:rPr>
            <w:noProof/>
            <w:webHidden/>
          </w:rPr>
          <w:fldChar w:fldCharType="begin"/>
        </w:r>
        <w:r w:rsidR="00F9539D">
          <w:rPr>
            <w:noProof/>
            <w:webHidden/>
          </w:rPr>
          <w:instrText xml:space="preserve"> PAGEREF _Toc483227177 \h </w:instrText>
        </w:r>
        <w:r>
          <w:rPr>
            <w:noProof/>
            <w:webHidden/>
          </w:rPr>
        </w:r>
        <w:r>
          <w:rPr>
            <w:noProof/>
            <w:webHidden/>
          </w:rPr>
          <w:fldChar w:fldCharType="separate"/>
        </w:r>
        <w:r w:rsidR="0060219B">
          <w:rPr>
            <w:noProof/>
            <w:webHidden/>
          </w:rPr>
          <w:t>4</w:t>
        </w:r>
        <w:r>
          <w:rPr>
            <w:noProof/>
            <w:webHidden/>
          </w:rPr>
          <w:fldChar w:fldCharType="end"/>
        </w:r>
      </w:hyperlink>
    </w:p>
    <w:p w:rsidR="00F9539D" w:rsidRDefault="00161BC6" w:rsidP="00F9539D">
      <w:pPr>
        <w:pStyle w:val="Obsah2"/>
        <w:spacing w:line="480" w:lineRule="auto"/>
        <w:rPr>
          <w:rFonts w:asciiTheme="minorHAnsi" w:eastAsiaTheme="minorEastAsia" w:hAnsiTheme="minorHAnsi" w:cstheme="minorBidi"/>
          <w:noProof/>
          <w:sz w:val="22"/>
          <w:szCs w:val="22"/>
        </w:rPr>
      </w:pPr>
      <w:hyperlink w:anchor="_Toc483227178" w:history="1">
        <w:r w:rsidR="00F9539D" w:rsidRPr="00F21693">
          <w:rPr>
            <w:rStyle w:val="Hypertextovodkaz"/>
            <w:noProof/>
          </w:rPr>
          <w:t>1.1. Vymezení a členění sektoru kultury</w:t>
        </w:r>
        <w:r w:rsidR="00F9539D">
          <w:rPr>
            <w:noProof/>
            <w:webHidden/>
          </w:rPr>
          <w:tab/>
        </w:r>
        <w:r>
          <w:rPr>
            <w:noProof/>
            <w:webHidden/>
          </w:rPr>
          <w:fldChar w:fldCharType="begin"/>
        </w:r>
        <w:r w:rsidR="00F9539D">
          <w:rPr>
            <w:noProof/>
            <w:webHidden/>
          </w:rPr>
          <w:instrText xml:space="preserve"> PAGEREF _Toc483227178 \h </w:instrText>
        </w:r>
        <w:r>
          <w:rPr>
            <w:noProof/>
            <w:webHidden/>
          </w:rPr>
        </w:r>
        <w:r>
          <w:rPr>
            <w:noProof/>
            <w:webHidden/>
          </w:rPr>
          <w:fldChar w:fldCharType="separate"/>
        </w:r>
        <w:r w:rsidR="0060219B">
          <w:rPr>
            <w:noProof/>
            <w:webHidden/>
          </w:rPr>
          <w:t>4</w:t>
        </w:r>
        <w:r>
          <w:rPr>
            <w:noProof/>
            <w:webHidden/>
          </w:rPr>
          <w:fldChar w:fldCharType="end"/>
        </w:r>
      </w:hyperlink>
    </w:p>
    <w:p w:rsidR="00F9539D" w:rsidRDefault="00161BC6" w:rsidP="00F9539D">
      <w:pPr>
        <w:pStyle w:val="Obsah2"/>
        <w:spacing w:line="480" w:lineRule="auto"/>
        <w:rPr>
          <w:rFonts w:asciiTheme="minorHAnsi" w:eastAsiaTheme="minorEastAsia" w:hAnsiTheme="minorHAnsi" w:cstheme="minorBidi"/>
          <w:noProof/>
          <w:sz w:val="22"/>
          <w:szCs w:val="22"/>
        </w:rPr>
      </w:pPr>
      <w:hyperlink w:anchor="_Toc483227179" w:history="1">
        <w:r w:rsidR="00F9539D" w:rsidRPr="00F21693">
          <w:rPr>
            <w:rStyle w:val="Hypertextovodkaz"/>
            <w:noProof/>
          </w:rPr>
          <w:t>1.2. Zdroje dat a související problémy</w:t>
        </w:r>
        <w:r w:rsidR="00F9539D">
          <w:rPr>
            <w:noProof/>
            <w:webHidden/>
          </w:rPr>
          <w:tab/>
        </w:r>
        <w:r>
          <w:rPr>
            <w:noProof/>
            <w:webHidden/>
          </w:rPr>
          <w:fldChar w:fldCharType="begin"/>
        </w:r>
        <w:r w:rsidR="00F9539D">
          <w:rPr>
            <w:noProof/>
            <w:webHidden/>
          </w:rPr>
          <w:instrText xml:space="preserve"> PAGEREF _Toc483227179 \h </w:instrText>
        </w:r>
        <w:r>
          <w:rPr>
            <w:noProof/>
            <w:webHidden/>
          </w:rPr>
        </w:r>
        <w:r>
          <w:rPr>
            <w:noProof/>
            <w:webHidden/>
          </w:rPr>
          <w:fldChar w:fldCharType="separate"/>
        </w:r>
        <w:r w:rsidR="0060219B">
          <w:rPr>
            <w:noProof/>
            <w:webHidden/>
          </w:rPr>
          <w:t>7</w:t>
        </w:r>
        <w:r>
          <w:rPr>
            <w:noProof/>
            <w:webHidden/>
          </w:rPr>
          <w:fldChar w:fldCharType="end"/>
        </w:r>
      </w:hyperlink>
    </w:p>
    <w:p w:rsidR="00F9539D" w:rsidRDefault="00161BC6" w:rsidP="00F9539D">
      <w:pPr>
        <w:pStyle w:val="Obsah1"/>
        <w:rPr>
          <w:rFonts w:asciiTheme="minorHAnsi" w:eastAsiaTheme="minorEastAsia" w:hAnsiTheme="minorHAnsi" w:cstheme="minorBidi"/>
          <w:noProof/>
          <w:sz w:val="22"/>
          <w:szCs w:val="22"/>
        </w:rPr>
      </w:pPr>
      <w:hyperlink w:anchor="_Toc483227180" w:history="1">
        <w:r w:rsidR="00F9539D" w:rsidRPr="00F21693">
          <w:rPr>
            <w:rStyle w:val="Hypertextovodkaz"/>
            <w:noProof/>
          </w:rPr>
          <w:t>2. Hospodaření kulturních institucí v roce 2014</w:t>
        </w:r>
        <w:r w:rsidR="00F9539D">
          <w:rPr>
            <w:noProof/>
            <w:webHidden/>
          </w:rPr>
          <w:tab/>
        </w:r>
        <w:r>
          <w:rPr>
            <w:noProof/>
            <w:webHidden/>
          </w:rPr>
          <w:fldChar w:fldCharType="begin"/>
        </w:r>
        <w:r w:rsidR="00F9539D">
          <w:rPr>
            <w:noProof/>
            <w:webHidden/>
          </w:rPr>
          <w:instrText xml:space="preserve"> PAGEREF _Toc483227180 \h </w:instrText>
        </w:r>
        <w:r>
          <w:rPr>
            <w:noProof/>
            <w:webHidden/>
          </w:rPr>
        </w:r>
        <w:r>
          <w:rPr>
            <w:noProof/>
            <w:webHidden/>
          </w:rPr>
          <w:fldChar w:fldCharType="separate"/>
        </w:r>
        <w:r w:rsidR="0060219B">
          <w:rPr>
            <w:noProof/>
            <w:webHidden/>
          </w:rPr>
          <w:t>9</w:t>
        </w:r>
        <w:r>
          <w:rPr>
            <w:noProof/>
            <w:webHidden/>
          </w:rPr>
          <w:fldChar w:fldCharType="end"/>
        </w:r>
      </w:hyperlink>
    </w:p>
    <w:p w:rsidR="00F9539D" w:rsidRDefault="00161BC6" w:rsidP="00F9539D">
      <w:pPr>
        <w:pStyle w:val="Obsah2"/>
        <w:spacing w:line="480" w:lineRule="auto"/>
        <w:rPr>
          <w:rFonts w:asciiTheme="minorHAnsi" w:eastAsiaTheme="minorEastAsia" w:hAnsiTheme="minorHAnsi" w:cstheme="minorBidi"/>
          <w:noProof/>
          <w:sz w:val="22"/>
          <w:szCs w:val="22"/>
        </w:rPr>
      </w:pPr>
      <w:hyperlink w:anchor="_Toc483227181" w:history="1">
        <w:r w:rsidR="00F9539D" w:rsidRPr="00F21693">
          <w:rPr>
            <w:rStyle w:val="Hypertextovodkaz"/>
            <w:noProof/>
          </w:rPr>
          <w:t>2.1. Zdroje financování kultury</w:t>
        </w:r>
        <w:r w:rsidR="00F9539D">
          <w:rPr>
            <w:noProof/>
            <w:webHidden/>
          </w:rPr>
          <w:tab/>
        </w:r>
        <w:r>
          <w:rPr>
            <w:noProof/>
            <w:webHidden/>
          </w:rPr>
          <w:fldChar w:fldCharType="begin"/>
        </w:r>
        <w:r w:rsidR="00F9539D">
          <w:rPr>
            <w:noProof/>
            <w:webHidden/>
          </w:rPr>
          <w:instrText xml:space="preserve"> PAGEREF _Toc483227181 \h </w:instrText>
        </w:r>
        <w:r>
          <w:rPr>
            <w:noProof/>
            <w:webHidden/>
          </w:rPr>
        </w:r>
        <w:r>
          <w:rPr>
            <w:noProof/>
            <w:webHidden/>
          </w:rPr>
          <w:fldChar w:fldCharType="separate"/>
        </w:r>
        <w:r w:rsidR="0060219B">
          <w:rPr>
            <w:noProof/>
            <w:webHidden/>
          </w:rPr>
          <w:t>9</w:t>
        </w:r>
        <w:r>
          <w:rPr>
            <w:noProof/>
            <w:webHidden/>
          </w:rPr>
          <w:fldChar w:fldCharType="end"/>
        </w:r>
      </w:hyperlink>
    </w:p>
    <w:p w:rsidR="00F9539D" w:rsidRDefault="00161BC6" w:rsidP="00F9539D">
      <w:pPr>
        <w:pStyle w:val="Obsah2"/>
        <w:spacing w:line="480" w:lineRule="auto"/>
        <w:rPr>
          <w:rFonts w:asciiTheme="minorHAnsi" w:eastAsiaTheme="minorEastAsia" w:hAnsiTheme="minorHAnsi" w:cstheme="minorBidi"/>
          <w:noProof/>
          <w:sz w:val="22"/>
          <w:szCs w:val="22"/>
        </w:rPr>
      </w:pPr>
      <w:hyperlink w:anchor="_Toc483227182" w:history="1">
        <w:r w:rsidR="00F9539D" w:rsidRPr="00F21693">
          <w:rPr>
            <w:rStyle w:val="Hypertextovodkaz"/>
            <w:noProof/>
          </w:rPr>
          <w:t>2.2. Mikroekonomický pohled</w:t>
        </w:r>
        <w:r w:rsidR="00F9539D">
          <w:rPr>
            <w:noProof/>
            <w:webHidden/>
          </w:rPr>
          <w:tab/>
        </w:r>
        <w:r>
          <w:rPr>
            <w:noProof/>
            <w:webHidden/>
          </w:rPr>
          <w:fldChar w:fldCharType="begin"/>
        </w:r>
        <w:r w:rsidR="00F9539D">
          <w:rPr>
            <w:noProof/>
            <w:webHidden/>
          </w:rPr>
          <w:instrText xml:space="preserve"> PAGEREF _Toc483227182 \h </w:instrText>
        </w:r>
        <w:r>
          <w:rPr>
            <w:noProof/>
            <w:webHidden/>
          </w:rPr>
        </w:r>
        <w:r>
          <w:rPr>
            <w:noProof/>
            <w:webHidden/>
          </w:rPr>
          <w:fldChar w:fldCharType="separate"/>
        </w:r>
        <w:r w:rsidR="0060219B">
          <w:rPr>
            <w:noProof/>
            <w:webHidden/>
          </w:rPr>
          <w:t>10</w:t>
        </w:r>
        <w:r>
          <w:rPr>
            <w:noProof/>
            <w:webHidden/>
          </w:rPr>
          <w:fldChar w:fldCharType="end"/>
        </w:r>
      </w:hyperlink>
    </w:p>
    <w:p w:rsidR="00F9539D" w:rsidRDefault="00161BC6" w:rsidP="00F9539D">
      <w:pPr>
        <w:pStyle w:val="Obsah3"/>
        <w:spacing w:line="480" w:lineRule="auto"/>
        <w:rPr>
          <w:rFonts w:asciiTheme="minorHAnsi" w:eastAsiaTheme="minorEastAsia" w:hAnsiTheme="minorHAnsi" w:cstheme="minorBidi"/>
          <w:noProof/>
          <w:sz w:val="22"/>
          <w:szCs w:val="22"/>
        </w:rPr>
      </w:pPr>
      <w:hyperlink w:anchor="_Toc483227183" w:history="1">
        <w:r w:rsidR="00F9539D" w:rsidRPr="00F21693">
          <w:rPr>
            <w:rStyle w:val="Hypertextovodkaz"/>
            <w:noProof/>
          </w:rPr>
          <w:t>2.2.1. Finanční hospodaření</w:t>
        </w:r>
        <w:r w:rsidR="00F9539D">
          <w:rPr>
            <w:noProof/>
            <w:webHidden/>
          </w:rPr>
          <w:tab/>
        </w:r>
        <w:r>
          <w:rPr>
            <w:noProof/>
            <w:webHidden/>
          </w:rPr>
          <w:fldChar w:fldCharType="begin"/>
        </w:r>
        <w:r w:rsidR="00F9539D">
          <w:rPr>
            <w:noProof/>
            <w:webHidden/>
          </w:rPr>
          <w:instrText xml:space="preserve"> PAGEREF _Toc483227183 \h </w:instrText>
        </w:r>
        <w:r>
          <w:rPr>
            <w:noProof/>
            <w:webHidden/>
          </w:rPr>
        </w:r>
        <w:r>
          <w:rPr>
            <w:noProof/>
            <w:webHidden/>
          </w:rPr>
          <w:fldChar w:fldCharType="separate"/>
        </w:r>
        <w:r w:rsidR="0060219B">
          <w:rPr>
            <w:noProof/>
            <w:webHidden/>
          </w:rPr>
          <w:t>10</w:t>
        </w:r>
        <w:r>
          <w:rPr>
            <w:noProof/>
            <w:webHidden/>
          </w:rPr>
          <w:fldChar w:fldCharType="end"/>
        </w:r>
      </w:hyperlink>
    </w:p>
    <w:p w:rsidR="00F9539D" w:rsidRDefault="00161BC6" w:rsidP="00F9539D">
      <w:pPr>
        <w:pStyle w:val="Obsah3"/>
        <w:spacing w:line="480" w:lineRule="auto"/>
        <w:rPr>
          <w:rFonts w:asciiTheme="minorHAnsi" w:eastAsiaTheme="minorEastAsia" w:hAnsiTheme="minorHAnsi" w:cstheme="minorBidi"/>
          <w:noProof/>
          <w:sz w:val="22"/>
          <w:szCs w:val="22"/>
        </w:rPr>
      </w:pPr>
      <w:hyperlink w:anchor="_Toc483227184" w:history="1">
        <w:r w:rsidR="00F9539D" w:rsidRPr="00F21693">
          <w:rPr>
            <w:rStyle w:val="Hypertextovodkaz"/>
            <w:noProof/>
          </w:rPr>
          <w:t>2.2.2. Spotřeba živé práce</w:t>
        </w:r>
        <w:r w:rsidR="00F9539D">
          <w:rPr>
            <w:noProof/>
            <w:webHidden/>
          </w:rPr>
          <w:tab/>
        </w:r>
        <w:r>
          <w:rPr>
            <w:noProof/>
            <w:webHidden/>
          </w:rPr>
          <w:fldChar w:fldCharType="begin"/>
        </w:r>
        <w:r w:rsidR="00F9539D">
          <w:rPr>
            <w:noProof/>
            <w:webHidden/>
          </w:rPr>
          <w:instrText xml:space="preserve"> PAGEREF _Toc483227184 \h </w:instrText>
        </w:r>
        <w:r>
          <w:rPr>
            <w:noProof/>
            <w:webHidden/>
          </w:rPr>
        </w:r>
        <w:r>
          <w:rPr>
            <w:noProof/>
            <w:webHidden/>
          </w:rPr>
          <w:fldChar w:fldCharType="separate"/>
        </w:r>
        <w:r w:rsidR="0060219B">
          <w:rPr>
            <w:noProof/>
            <w:webHidden/>
          </w:rPr>
          <w:t>11</w:t>
        </w:r>
        <w:r>
          <w:rPr>
            <w:noProof/>
            <w:webHidden/>
          </w:rPr>
          <w:fldChar w:fldCharType="end"/>
        </w:r>
      </w:hyperlink>
    </w:p>
    <w:p w:rsidR="00F9539D" w:rsidRDefault="00161BC6" w:rsidP="00F9539D">
      <w:pPr>
        <w:pStyle w:val="Obsah3"/>
        <w:spacing w:line="480" w:lineRule="auto"/>
        <w:rPr>
          <w:rFonts w:asciiTheme="minorHAnsi" w:eastAsiaTheme="minorEastAsia" w:hAnsiTheme="minorHAnsi" w:cstheme="minorBidi"/>
          <w:noProof/>
          <w:sz w:val="22"/>
          <w:szCs w:val="22"/>
        </w:rPr>
      </w:pPr>
      <w:hyperlink w:anchor="_Toc483227185" w:history="1">
        <w:r w:rsidR="00F9539D" w:rsidRPr="00F21693">
          <w:rPr>
            <w:rStyle w:val="Hypertextovodkaz"/>
            <w:noProof/>
          </w:rPr>
          <w:t>2.2.3. Investice</w:t>
        </w:r>
        <w:r w:rsidR="00F9539D">
          <w:rPr>
            <w:noProof/>
            <w:webHidden/>
          </w:rPr>
          <w:tab/>
        </w:r>
        <w:r>
          <w:rPr>
            <w:noProof/>
            <w:webHidden/>
          </w:rPr>
          <w:fldChar w:fldCharType="begin"/>
        </w:r>
        <w:r w:rsidR="00F9539D">
          <w:rPr>
            <w:noProof/>
            <w:webHidden/>
          </w:rPr>
          <w:instrText xml:space="preserve"> PAGEREF _Toc483227185 \h </w:instrText>
        </w:r>
        <w:r>
          <w:rPr>
            <w:noProof/>
            <w:webHidden/>
          </w:rPr>
        </w:r>
        <w:r>
          <w:rPr>
            <w:noProof/>
            <w:webHidden/>
          </w:rPr>
          <w:fldChar w:fldCharType="separate"/>
        </w:r>
        <w:r w:rsidR="0060219B">
          <w:rPr>
            <w:noProof/>
            <w:webHidden/>
          </w:rPr>
          <w:t>12</w:t>
        </w:r>
        <w:r>
          <w:rPr>
            <w:noProof/>
            <w:webHidden/>
          </w:rPr>
          <w:fldChar w:fldCharType="end"/>
        </w:r>
      </w:hyperlink>
    </w:p>
    <w:p w:rsidR="00F9539D" w:rsidRDefault="00161BC6" w:rsidP="00F9539D">
      <w:pPr>
        <w:pStyle w:val="Obsah3"/>
        <w:spacing w:line="480" w:lineRule="auto"/>
        <w:rPr>
          <w:rFonts w:asciiTheme="minorHAnsi" w:eastAsiaTheme="minorEastAsia" w:hAnsiTheme="minorHAnsi" w:cstheme="minorBidi"/>
          <w:noProof/>
          <w:sz w:val="22"/>
          <w:szCs w:val="22"/>
        </w:rPr>
      </w:pPr>
      <w:hyperlink w:anchor="_Toc483227186" w:history="1">
        <w:r w:rsidR="00F9539D" w:rsidRPr="00F21693">
          <w:rPr>
            <w:rStyle w:val="Hypertextovodkaz"/>
            <w:noProof/>
          </w:rPr>
          <w:t>2.2.4. Zahraniční obchod</w:t>
        </w:r>
        <w:r w:rsidR="00F9539D">
          <w:rPr>
            <w:noProof/>
            <w:webHidden/>
          </w:rPr>
          <w:tab/>
        </w:r>
        <w:r>
          <w:rPr>
            <w:noProof/>
            <w:webHidden/>
          </w:rPr>
          <w:fldChar w:fldCharType="begin"/>
        </w:r>
        <w:r w:rsidR="00F9539D">
          <w:rPr>
            <w:noProof/>
            <w:webHidden/>
          </w:rPr>
          <w:instrText xml:space="preserve"> PAGEREF _Toc483227186 \h </w:instrText>
        </w:r>
        <w:r>
          <w:rPr>
            <w:noProof/>
            <w:webHidden/>
          </w:rPr>
        </w:r>
        <w:r>
          <w:rPr>
            <w:noProof/>
            <w:webHidden/>
          </w:rPr>
          <w:fldChar w:fldCharType="separate"/>
        </w:r>
        <w:r w:rsidR="0060219B">
          <w:rPr>
            <w:noProof/>
            <w:webHidden/>
          </w:rPr>
          <w:t>12</w:t>
        </w:r>
        <w:r>
          <w:rPr>
            <w:noProof/>
            <w:webHidden/>
          </w:rPr>
          <w:fldChar w:fldCharType="end"/>
        </w:r>
      </w:hyperlink>
    </w:p>
    <w:p w:rsidR="00F9539D" w:rsidRDefault="00161BC6" w:rsidP="00F9539D">
      <w:pPr>
        <w:pStyle w:val="Obsah2"/>
        <w:spacing w:line="480" w:lineRule="auto"/>
        <w:rPr>
          <w:rFonts w:asciiTheme="minorHAnsi" w:eastAsiaTheme="minorEastAsia" w:hAnsiTheme="minorHAnsi" w:cstheme="minorBidi"/>
          <w:noProof/>
          <w:sz w:val="22"/>
          <w:szCs w:val="22"/>
        </w:rPr>
      </w:pPr>
      <w:hyperlink w:anchor="_Toc483227187" w:history="1">
        <w:r w:rsidR="00F9539D" w:rsidRPr="00F21693">
          <w:rPr>
            <w:rStyle w:val="Hypertextovodkaz"/>
            <w:noProof/>
          </w:rPr>
          <w:t>2.3. Makroekonomický pohled</w:t>
        </w:r>
        <w:r w:rsidR="00F9539D">
          <w:rPr>
            <w:noProof/>
            <w:webHidden/>
          </w:rPr>
          <w:tab/>
        </w:r>
        <w:r>
          <w:rPr>
            <w:noProof/>
            <w:webHidden/>
          </w:rPr>
          <w:fldChar w:fldCharType="begin"/>
        </w:r>
        <w:r w:rsidR="00F9539D">
          <w:rPr>
            <w:noProof/>
            <w:webHidden/>
          </w:rPr>
          <w:instrText xml:space="preserve"> PAGEREF _Toc483227187 \h </w:instrText>
        </w:r>
        <w:r>
          <w:rPr>
            <w:noProof/>
            <w:webHidden/>
          </w:rPr>
        </w:r>
        <w:r>
          <w:rPr>
            <w:noProof/>
            <w:webHidden/>
          </w:rPr>
          <w:fldChar w:fldCharType="separate"/>
        </w:r>
        <w:r w:rsidR="0060219B">
          <w:rPr>
            <w:noProof/>
            <w:webHidden/>
          </w:rPr>
          <w:t>13</w:t>
        </w:r>
        <w:r>
          <w:rPr>
            <w:noProof/>
            <w:webHidden/>
          </w:rPr>
          <w:fldChar w:fldCharType="end"/>
        </w:r>
      </w:hyperlink>
    </w:p>
    <w:p w:rsidR="00F9539D" w:rsidRDefault="00161BC6" w:rsidP="00F9539D">
      <w:pPr>
        <w:pStyle w:val="Obsah1"/>
        <w:rPr>
          <w:rFonts w:asciiTheme="minorHAnsi" w:eastAsiaTheme="minorEastAsia" w:hAnsiTheme="minorHAnsi" w:cstheme="minorBidi"/>
          <w:noProof/>
          <w:sz w:val="22"/>
          <w:szCs w:val="22"/>
        </w:rPr>
      </w:pPr>
      <w:hyperlink w:anchor="_Toc483227188" w:history="1">
        <w:r w:rsidR="00F9539D" w:rsidRPr="00F21693">
          <w:rPr>
            <w:rStyle w:val="Hypertextovodkaz"/>
            <w:noProof/>
          </w:rPr>
          <w:t>3. Závěr</w:t>
        </w:r>
        <w:r w:rsidR="00F9539D">
          <w:rPr>
            <w:noProof/>
            <w:webHidden/>
          </w:rPr>
          <w:tab/>
        </w:r>
        <w:r>
          <w:rPr>
            <w:noProof/>
            <w:webHidden/>
          </w:rPr>
          <w:fldChar w:fldCharType="begin"/>
        </w:r>
        <w:r w:rsidR="00F9539D">
          <w:rPr>
            <w:noProof/>
            <w:webHidden/>
          </w:rPr>
          <w:instrText xml:space="preserve"> PAGEREF _Toc483227188 \h </w:instrText>
        </w:r>
        <w:r>
          <w:rPr>
            <w:noProof/>
            <w:webHidden/>
          </w:rPr>
        </w:r>
        <w:r>
          <w:rPr>
            <w:noProof/>
            <w:webHidden/>
          </w:rPr>
          <w:fldChar w:fldCharType="separate"/>
        </w:r>
        <w:r w:rsidR="0060219B">
          <w:rPr>
            <w:noProof/>
            <w:webHidden/>
          </w:rPr>
          <w:t>14</w:t>
        </w:r>
        <w:r>
          <w:rPr>
            <w:noProof/>
            <w:webHidden/>
          </w:rPr>
          <w:fldChar w:fldCharType="end"/>
        </w:r>
      </w:hyperlink>
    </w:p>
    <w:p w:rsidR="00F9539D" w:rsidRDefault="00161BC6" w:rsidP="00F9539D">
      <w:pPr>
        <w:pStyle w:val="Obsah1"/>
        <w:rPr>
          <w:rFonts w:asciiTheme="minorHAnsi" w:eastAsiaTheme="minorEastAsia" w:hAnsiTheme="minorHAnsi" w:cstheme="minorBidi"/>
          <w:noProof/>
          <w:sz w:val="22"/>
          <w:szCs w:val="22"/>
        </w:rPr>
      </w:pPr>
      <w:hyperlink w:anchor="_Toc483227189" w:history="1">
        <w:r w:rsidR="00F9539D" w:rsidRPr="00F21693">
          <w:rPr>
            <w:rStyle w:val="Hypertextovodkaz"/>
            <w:noProof/>
          </w:rPr>
          <w:t>4. Použité zdroje a literatura</w:t>
        </w:r>
        <w:r w:rsidR="00F9539D">
          <w:rPr>
            <w:noProof/>
            <w:webHidden/>
          </w:rPr>
          <w:tab/>
        </w:r>
        <w:r>
          <w:rPr>
            <w:noProof/>
            <w:webHidden/>
          </w:rPr>
          <w:fldChar w:fldCharType="begin"/>
        </w:r>
        <w:r w:rsidR="00F9539D">
          <w:rPr>
            <w:noProof/>
            <w:webHidden/>
          </w:rPr>
          <w:instrText xml:space="preserve"> PAGEREF _Toc483227189 \h </w:instrText>
        </w:r>
        <w:r>
          <w:rPr>
            <w:noProof/>
            <w:webHidden/>
          </w:rPr>
        </w:r>
        <w:r>
          <w:rPr>
            <w:noProof/>
            <w:webHidden/>
          </w:rPr>
          <w:fldChar w:fldCharType="separate"/>
        </w:r>
        <w:r w:rsidR="0060219B">
          <w:rPr>
            <w:noProof/>
            <w:webHidden/>
          </w:rPr>
          <w:t>16</w:t>
        </w:r>
        <w:r>
          <w:rPr>
            <w:noProof/>
            <w:webHidden/>
          </w:rPr>
          <w:fldChar w:fldCharType="end"/>
        </w:r>
      </w:hyperlink>
    </w:p>
    <w:p w:rsidR="00F9539D" w:rsidRDefault="00161BC6" w:rsidP="00F9539D">
      <w:pPr>
        <w:pStyle w:val="Obsah1"/>
        <w:rPr>
          <w:rFonts w:asciiTheme="minorHAnsi" w:eastAsiaTheme="minorEastAsia" w:hAnsiTheme="minorHAnsi" w:cstheme="minorBidi"/>
          <w:noProof/>
          <w:sz w:val="22"/>
          <w:szCs w:val="22"/>
        </w:rPr>
      </w:pPr>
      <w:hyperlink w:anchor="_Toc483227190" w:history="1">
        <w:r w:rsidR="00F9539D" w:rsidRPr="00F21693">
          <w:rPr>
            <w:rStyle w:val="Hypertextovodkaz"/>
            <w:rFonts w:cs="Arial"/>
            <w:noProof/>
          </w:rPr>
          <w:t>5. Tabulková příloha</w:t>
        </w:r>
        <w:r w:rsidR="00F9539D">
          <w:rPr>
            <w:noProof/>
            <w:webHidden/>
          </w:rPr>
          <w:tab/>
        </w:r>
        <w:r>
          <w:rPr>
            <w:noProof/>
            <w:webHidden/>
          </w:rPr>
          <w:fldChar w:fldCharType="begin"/>
        </w:r>
        <w:r w:rsidR="00F9539D">
          <w:rPr>
            <w:noProof/>
            <w:webHidden/>
          </w:rPr>
          <w:instrText xml:space="preserve"> PAGEREF _Toc483227190 \h </w:instrText>
        </w:r>
        <w:r>
          <w:rPr>
            <w:noProof/>
            <w:webHidden/>
          </w:rPr>
        </w:r>
        <w:r>
          <w:rPr>
            <w:noProof/>
            <w:webHidden/>
          </w:rPr>
          <w:fldChar w:fldCharType="separate"/>
        </w:r>
        <w:r w:rsidR="0060219B">
          <w:rPr>
            <w:noProof/>
            <w:webHidden/>
          </w:rPr>
          <w:t>17</w:t>
        </w:r>
        <w:r>
          <w:rPr>
            <w:noProof/>
            <w:webHidden/>
          </w:rPr>
          <w:fldChar w:fldCharType="end"/>
        </w:r>
      </w:hyperlink>
    </w:p>
    <w:p w:rsidR="00DB6382" w:rsidRDefault="00161BC6" w:rsidP="001669D2">
      <w:r>
        <w:fldChar w:fldCharType="end"/>
      </w:r>
    </w:p>
    <w:p w:rsidR="00D7626D" w:rsidRPr="006E4CC9" w:rsidRDefault="00DB6382" w:rsidP="006E4CC9">
      <w:pPr>
        <w:pStyle w:val="Nadpis1"/>
      </w:pPr>
      <w:r>
        <w:br w:type="page"/>
      </w:r>
      <w:bookmarkStart w:id="0" w:name="_Toc451166910"/>
      <w:bookmarkStart w:id="1" w:name="_Toc451166926"/>
      <w:bookmarkStart w:id="2" w:name="_Toc451175099"/>
      <w:bookmarkStart w:id="3" w:name="_Toc451180155"/>
      <w:bookmarkStart w:id="4" w:name="_Toc483227177"/>
      <w:r w:rsidR="00D7626D" w:rsidRPr="006E4CC9">
        <w:lastRenderedPageBreak/>
        <w:t>1. Ú</w:t>
      </w:r>
      <w:r w:rsidRPr="006E4CC9">
        <w:t>vod</w:t>
      </w:r>
      <w:bookmarkEnd w:id="0"/>
      <w:bookmarkEnd w:id="1"/>
      <w:bookmarkEnd w:id="2"/>
      <w:bookmarkEnd w:id="3"/>
      <w:bookmarkEnd w:id="4"/>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Satelitní účet kultury ČR (dále také „účet kultury“) byl v návaznosti na úkol vyplývající z </w:t>
      </w:r>
      <w:r w:rsidRPr="00F17074">
        <w:rPr>
          <w:rFonts w:cs="Arial"/>
          <w:b/>
          <w:szCs w:val="20"/>
        </w:rPr>
        <w:t xml:space="preserve">usnesení vlády ČR č. 1452 z roku 2008, </w:t>
      </w:r>
      <w:r w:rsidRPr="00F17074">
        <w:rPr>
          <w:rFonts w:cs="Arial"/>
          <w:szCs w:val="20"/>
        </w:rPr>
        <w:t>poprvé zpracován v ověřovacím provedení za referenční rok 2009. V průběhu sestavování účtu i v rámci hodno</w:t>
      </w:r>
      <w:r w:rsidRPr="00F17074">
        <w:rPr>
          <w:rFonts w:cs="Arial"/>
          <w:szCs w:val="20"/>
        </w:rPr>
        <w:softHyphen/>
        <w:t>cení jeho výsledků za tento rok a za rok následující se ukázalo, že některé předpoklady a záměry obsažené v původním meto</w:t>
      </w:r>
      <w:r w:rsidRPr="00F17074">
        <w:rPr>
          <w:rFonts w:cs="Arial"/>
          <w:szCs w:val="20"/>
        </w:rPr>
        <w:softHyphen/>
        <w:t>dickém manuálu k účtu nemohou být zcela naplněny, resp. musí být po</w:t>
      </w:r>
      <w:r w:rsidRPr="00F17074">
        <w:rPr>
          <w:rFonts w:cs="Arial"/>
          <w:szCs w:val="20"/>
        </w:rPr>
        <w:softHyphen/>
        <w:t>opraven</w:t>
      </w:r>
      <w:proofErr w:type="spellStart"/>
      <w:r w:rsidRPr="00F17074">
        <w:rPr>
          <w:rFonts w:cs="Arial"/>
          <w:szCs w:val="20"/>
        </w:rPr>
        <w:t>y</w:t>
      </w:r>
      <w:proofErr w:type="spellEnd"/>
      <w:r w:rsidRPr="00F17074">
        <w:rPr>
          <w:rFonts w:cs="Arial"/>
          <w:szCs w:val="20"/>
        </w:rPr>
        <w:t>.</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Změny se týkaly zejména vymezení rozsahu sektoru kultury. S ohledem na složitost a různorodost kulturních aktivit byly řešeny otázky zahrnutí navazujících produkčních etap tvorby kulturních statků (např.</w:t>
      </w:r>
      <w:r w:rsidR="00B86977">
        <w:rPr>
          <w:rFonts w:cs="Arial"/>
          <w:szCs w:val="20"/>
        </w:rPr>
        <w:t> </w:t>
      </w:r>
      <w:r w:rsidRPr="00F17074">
        <w:rPr>
          <w:rFonts w:cs="Arial"/>
          <w:szCs w:val="20"/>
        </w:rPr>
        <w:t>nakladatelské a vydavatelské činnosti) a také maloobchodních činností (např. prodej knih, starožitností atd.).</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Pro prvé ověřovací sestavení kulturního účtu za rok 2009 byl sektor kultury vymezen v rámci dohody zainteresovaných insti</w:t>
      </w:r>
      <w:r w:rsidRPr="00F17074">
        <w:rPr>
          <w:rFonts w:cs="Arial"/>
          <w:szCs w:val="20"/>
        </w:rPr>
        <w:softHyphen/>
        <w:t xml:space="preserve">tucí (MK ČR resp. NIPOS a ČSÚ). Na podzim roku 2011 byl však ukončen projekt </w:t>
      </w:r>
      <w:proofErr w:type="spellStart"/>
      <w:r w:rsidRPr="00F17074">
        <w:rPr>
          <w:rFonts w:cs="Arial"/>
          <w:szCs w:val="20"/>
        </w:rPr>
        <w:t>ESSnet</w:t>
      </w:r>
      <w:proofErr w:type="spellEnd"/>
      <w:r w:rsidRPr="00F17074">
        <w:rPr>
          <w:rFonts w:cs="Arial"/>
          <w:szCs w:val="20"/>
        </w:rPr>
        <w:t xml:space="preserve"> </w:t>
      </w:r>
      <w:proofErr w:type="spellStart"/>
      <w:r w:rsidRPr="00F17074">
        <w:rPr>
          <w:rFonts w:cs="Arial"/>
          <w:szCs w:val="20"/>
        </w:rPr>
        <w:t>Culture</w:t>
      </w:r>
      <w:proofErr w:type="spellEnd"/>
      <w:r w:rsidRPr="00F17074">
        <w:rPr>
          <w:rFonts w:cs="Arial"/>
          <w:szCs w:val="20"/>
        </w:rPr>
        <w:t xml:space="preserve"> organizovaný </w:t>
      </w:r>
      <w:proofErr w:type="spellStart"/>
      <w:r w:rsidRPr="00F17074">
        <w:rPr>
          <w:rFonts w:cs="Arial"/>
          <w:szCs w:val="20"/>
        </w:rPr>
        <w:t>Eurosta</w:t>
      </w:r>
      <w:r w:rsidRPr="00F17074">
        <w:rPr>
          <w:rFonts w:cs="Arial"/>
          <w:szCs w:val="20"/>
        </w:rPr>
        <w:softHyphen/>
        <w:t>tem</w:t>
      </w:r>
      <w:proofErr w:type="spellEnd"/>
      <w:r w:rsidRPr="00F17074">
        <w:rPr>
          <w:rFonts w:cs="Arial"/>
          <w:szCs w:val="20"/>
        </w:rPr>
        <w:t xml:space="preserve">, jehož úkolem - mimo jiné - bylo jednotné vymezení sektoru kultury v rámci celé EU. Výsledky výše uvedeného projektu byly zapracovány do novelizované metodiky sestavení kulturního účtu a staly se východiskem pro sestavení účtu za rok 2010 a následující léta. </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Co se změn – v porovnání s původním pojetím kulturního účtu za rok 2009 – týče, byl sektor kultury rozšířen o některé maloobchodní činnosti (NACE 47.63, 78 a 79), překladatelské a tlumočnické služby (NACE 74.30), pronájem videokazet a disků (NACE 77.22) a umělecké vzdělávání (NACE 85.52). Nutno dodat, že některé maloobchodní aktivity (NACE 47.78 a 79) se však vztahují ke kultuře jen částečně a odpovídající data je proto nezbytné složitými postupy kvantifikovat (resp. částečně i odhadovat).</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Další odlišnosti oproti prvému ověřovacímu zpracování účtu spočívaly v rozsahu a kvalitě zjištěných dat. Pomocí doplňkových zjišťování (např. v uměleckých řemeslech, či v archivech) se postupně rozšiřoval okruh respondentů, jejichž data jsou k sestavení kulturního účtu využita. Svůj význam pro kvalitu dat měla také skutečnost, že si respondenti začali postupně zvykat na vyka</w:t>
      </w:r>
      <w:r w:rsidRPr="00F17074">
        <w:rPr>
          <w:rFonts w:cs="Arial"/>
          <w:szCs w:val="20"/>
        </w:rPr>
        <w:softHyphen/>
        <w:t xml:space="preserve">zování ekonomických údajů, které byly do statistických šetření KULT zavedeny teprve v referenčním roce 2009. </w:t>
      </w:r>
    </w:p>
    <w:p w:rsidR="00F17074" w:rsidRPr="00F17074" w:rsidRDefault="00F17074" w:rsidP="00F17074">
      <w:pPr>
        <w:widowControl w:val="0"/>
        <w:autoSpaceDE w:val="0"/>
        <w:autoSpaceDN w:val="0"/>
        <w:adjustRightInd w:val="0"/>
        <w:jc w:val="both"/>
        <w:rPr>
          <w:rFonts w:cs="Arial"/>
          <w:szCs w:val="20"/>
        </w:rPr>
      </w:pPr>
      <w:r w:rsidRPr="00F17074">
        <w:rPr>
          <w:rFonts w:cs="Arial"/>
          <w:szCs w:val="20"/>
        </w:rPr>
        <w:t>Z výše uvedeného je patrné, že srovnávání výsledků účtů kultury v celé časové řadě má nemalá úskalí. Zejména data za referenční rok 2009, která vycházejí z užšího vymezení sektoru kultury, nejsou s daty za pozdější roční období v přijatelné míře porovnatelná. Tuto skutečnost je třeba mít - při práci s uvedenými údaji - vždy na paměti.</w:t>
      </w:r>
    </w:p>
    <w:p w:rsidR="00544C52" w:rsidRDefault="00F17074" w:rsidP="00F17074">
      <w:pPr>
        <w:widowControl w:val="0"/>
        <w:autoSpaceDE w:val="0"/>
        <w:autoSpaceDN w:val="0"/>
        <w:adjustRightInd w:val="0"/>
        <w:jc w:val="both"/>
        <w:rPr>
          <w:rFonts w:cs="Arial"/>
          <w:szCs w:val="20"/>
        </w:rPr>
      </w:pPr>
      <w:r w:rsidRPr="00F17074">
        <w:rPr>
          <w:rFonts w:cs="Arial"/>
          <w:szCs w:val="20"/>
        </w:rPr>
        <w:t xml:space="preserve">V roce 2015 byl </w:t>
      </w:r>
      <w:r w:rsidRPr="00F17074">
        <w:rPr>
          <w:rFonts w:cs="Arial"/>
          <w:b/>
          <w:szCs w:val="20"/>
        </w:rPr>
        <w:t>usnesením vlády ČR č. 266 k návrhu Státní kulturní politiky na léta 2015 – 2020</w:t>
      </w:r>
      <w:r w:rsidRPr="00F17074">
        <w:rPr>
          <w:rFonts w:cs="Arial"/>
          <w:szCs w:val="20"/>
        </w:rPr>
        <w:t xml:space="preserve"> (s výhledem do roku 2025) úkol týkající se sestavování Satelitního účtu kultury prodloužen do dalšího období a navíc rozšířen o vyhodnocení časové řady výsledků zmíněného účtu za léta 2010 – 2015. Toto zadání je formulováno jako společný úkol MK, resp. NIPOS a ČSÚ, jehož nositelem je MK (jak vyplývá z uvedeného usnesení).</w:t>
      </w:r>
    </w:p>
    <w:p w:rsidR="00D7626D" w:rsidRPr="006E4CC9" w:rsidRDefault="00D7626D" w:rsidP="006E4CC9">
      <w:pPr>
        <w:pStyle w:val="Nadpis2"/>
        <w:rPr>
          <w:szCs w:val="24"/>
        </w:rPr>
      </w:pPr>
      <w:bookmarkStart w:id="5" w:name="_Toc451166911"/>
      <w:bookmarkStart w:id="6" w:name="_Toc451166927"/>
      <w:bookmarkStart w:id="7" w:name="_Toc451175100"/>
      <w:bookmarkStart w:id="8" w:name="_Toc451180156"/>
      <w:bookmarkStart w:id="9" w:name="_Toc483227178"/>
      <w:r w:rsidRPr="006E4CC9">
        <w:t>1.1. Vymezení a členění sektoru kultury</w:t>
      </w:r>
      <w:bookmarkEnd w:id="5"/>
      <w:bookmarkEnd w:id="6"/>
      <w:bookmarkEnd w:id="7"/>
      <w:bookmarkEnd w:id="8"/>
      <w:bookmarkEnd w:id="9"/>
    </w:p>
    <w:p w:rsidR="00F17074" w:rsidRPr="00F17074" w:rsidRDefault="00F17074" w:rsidP="00F17074">
      <w:pPr>
        <w:widowControl w:val="0"/>
        <w:overflowPunct w:val="0"/>
        <w:autoSpaceDE w:val="0"/>
        <w:autoSpaceDN w:val="0"/>
        <w:adjustRightInd w:val="0"/>
        <w:jc w:val="both"/>
        <w:rPr>
          <w:rFonts w:cs="Arial"/>
        </w:rPr>
      </w:pPr>
      <w:r w:rsidRPr="00F17074">
        <w:rPr>
          <w:rFonts w:cs="Arial"/>
        </w:rPr>
        <w:t>Před vlastním zjišťováním a hodnocením ekonomického rozměru kultury je nutné jasně určit rozsah a strukturu objektu, který je předmětem našeho zájmu. Nejdříve je třeba odli</w:t>
      </w:r>
      <w:r w:rsidRPr="00F17074">
        <w:rPr>
          <w:rFonts w:cs="Arial"/>
        </w:rPr>
        <w:softHyphen/>
        <w:t>šit jeho vymezení z pohledu věcného od vymezení průřezového cha</w:t>
      </w:r>
      <w:r w:rsidRPr="00F17074">
        <w:rPr>
          <w:rFonts w:cs="Arial"/>
        </w:rPr>
        <w:softHyphen/>
        <w:t>rakteru, které vychází z účelu resp. funkce a z průběhu dějů v čase. V prvém případě lze hovořit o jednotlivých oblastech či sférách, poskytovatelích, kulturních a kreativních sektorech kultury a ve druhém o tzv. kulturním cyklu.</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souladu s dostupnými mezinárodními dokumenty (</w:t>
      </w:r>
      <w:proofErr w:type="spellStart"/>
      <w:r w:rsidRPr="00F17074">
        <w:rPr>
          <w:rFonts w:cs="Arial"/>
        </w:rPr>
        <w:t>E</w:t>
      </w:r>
      <w:r w:rsidR="00E90EA6">
        <w:rPr>
          <w:rFonts w:cs="Arial"/>
        </w:rPr>
        <w:t>urostat</w:t>
      </w:r>
      <w:proofErr w:type="spellEnd"/>
      <w:r w:rsidRPr="00F17074">
        <w:rPr>
          <w:rFonts w:cs="Arial"/>
        </w:rPr>
        <w:t xml:space="preserve">, UNESCO, OECD) rozlišujeme tyto kulturní </w:t>
      </w:r>
      <w:r w:rsidRPr="00F17074">
        <w:rPr>
          <w:rFonts w:cs="Arial"/>
        </w:rPr>
        <w:lastRenderedPageBreak/>
        <w:t>oblasti či od</w:t>
      </w:r>
      <w:r w:rsidRPr="00F17074">
        <w:rPr>
          <w:rFonts w:cs="Arial"/>
        </w:rPr>
        <w:softHyphen/>
        <w:t>větví označené „O 11 – O 19“ (s uvedením CZ - NACE):</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kulturní dědictví - </w:t>
      </w:r>
      <w:proofErr w:type="gramStart"/>
      <w:r w:rsidRPr="00F17074">
        <w:rPr>
          <w:rFonts w:cs="Arial"/>
        </w:rPr>
        <w:t>O.11</w:t>
      </w:r>
      <w:proofErr w:type="gramEnd"/>
      <w:r w:rsidRPr="00F17074">
        <w:rPr>
          <w:rFonts w:cs="Arial"/>
        </w:rPr>
        <w:t xml:space="preserve"> (91.01, 02, 03, 47.78, 79)</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interpretační (scénické) umění - </w:t>
      </w:r>
      <w:proofErr w:type="gramStart"/>
      <w:r w:rsidRPr="00F17074">
        <w:rPr>
          <w:rFonts w:cs="Arial"/>
        </w:rPr>
        <w:t>O.12</w:t>
      </w:r>
      <w:proofErr w:type="gramEnd"/>
      <w:r w:rsidRPr="00F17074">
        <w:rPr>
          <w:rFonts w:cs="Arial"/>
        </w:rPr>
        <w:t xml:space="preserve"> (90.01, 02, 04)</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výtvarné (vizuální) umění a řemesla - </w:t>
      </w:r>
      <w:proofErr w:type="gramStart"/>
      <w:r w:rsidRPr="00F17074">
        <w:rPr>
          <w:rFonts w:cs="Arial"/>
        </w:rPr>
        <w:t>O.13</w:t>
      </w:r>
      <w:proofErr w:type="gramEnd"/>
      <w:r w:rsidRPr="00F17074">
        <w:rPr>
          <w:rFonts w:cs="Arial"/>
        </w:rPr>
        <w:t xml:space="preserve"> (74.10, 20, 90.03, část sekce C)</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periodický a neperiodický tisk - </w:t>
      </w:r>
      <w:proofErr w:type="gramStart"/>
      <w:r w:rsidRPr="00F17074">
        <w:rPr>
          <w:rFonts w:cs="Arial"/>
        </w:rPr>
        <w:t>O.14</w:t>
      </w:r>
      <w:proofErr w:type="gramEnd"/>
      <w:r w:rsidRPr="00F17074">
        <w:rPr>
          <w:rFonts w:cs="Arial"/>
        </w:rPr>
        <w:t xml:space="preserve"> (58.11,13, 63.91, 74.30, 47.61, 62)</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audiovizuální a interaktivní média </w:t>
      </w:r>
      <w:r w:rsidR="00E90EA6" w:rsidRPr="00F17074">
        <w:rPr>
          <w:rFonts w:cs="Arial"/>
        </w:rPr>
        <w:t>-</w:t>
      </w:r>
      <w:r w:rsidR="00E90EA6">
        <w:rPr>
          <w:rFonts w:cs="Arial"/>
        </w:rPr>
        <w:t xml:space="preserve"> </w:t>
      </w:r>
      <w:proofErr w:type="gramStart"/>
      <w:r w:rsidRPr="00F17074">
        <w:rPr>
          <w:rFonts w:cs="Arial"/>
        </w:rPr>
        <w:t>O.15</w:t>
      </w:r>
      <w:proofErr w:type="gramEnd"/>
      <w:r w:rsidRPr="00F17074">
        <w:rPr>
          <w:rFonts w:cs="Arial"/>
        </w:rPr>
        <w:t xml:space="preserve"> (58.21, 59.11, 12, 13, 14, 20, 60.10, 20, 47.63, 77.22)</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architektura </w:t>
      </w:r>
      <w:r w:rsidR="00E90EA6" w:rsidRPr="00F17074">
        <w:rPr>
          <w:rFonts w:cs="Arial"/>
        </w:rPr>
        <w:t>-</w:t>
      </w:r>
      <w:r w:rsidR="00E90EA6">
        <w:rPr>
          <w:rFonts w:cs="Arial"/>
        </w:rPr>
        <w:t xml:space="preserve"> </w:t>
      </w:r>
      <w:proofErr w:type="gramStart"/>
      <w:r w:rsidRPr="00F17074">
        <w:rPr>
          <w:rFonts w:cs="Arial"/>
        </w:rPr>
        <w:t>O.16</w:t>
      </w:r>
      <w:proofErr w:type="gramEnd"/>
      <w:r w:rsidRPr="00F17074">
        <w:rPr>
          <w:rFonts w:cs="Arial"/>
        </w:rPr>
        <w:t xml:space="preserve"> (71.11)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reklama </w:t>
      </w:r>
      <w:r w:rsidR="00E90EA6" w:rsidRPr="00F17074">
        <w:rPr>
          <w:rFonts w:cs="Arial"/>
        </w:rPr>
        <w:t>-</w:t>
      </w:r>
      <w:r w:rsidR="00E90EA6">
        <w:rPr>
          <w:rFonts w:cs="Arial"/>
        </w:rPr>
        <w:t xml:space="preserve"> </w:t>
      </w:r>
      <w:proofErr w:type="gramStart"/>
      <w:r w:rsidRPr="00F17074">
        <w:rPr>
          <w:rFonts w:cs="Arial"/>
        </w:rPr>
        <w:t>O.17</w:t>
      </w:r>
      <w:proofErr w:type="gramEnd"/>
      <w:r w:rsidRPr="00F17074">
        <w:rPr>
          <w:rFonts w:cs="Arial"/>
        </w:rPr>
        <w:t xml:space="preserve"> (73.11)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umělecké vzdělávání </w:t>
      </w:r>
      <w:r w:rsidR="00E90EA6" w:rsidRPr="00F17074">
        <w:rPr>
          <w:rFonts w:cs="Arial"/>
        </w:rPr>
        <w:t>-</w:t>
      </w:r>
      <w:r w:rsidR="00E90EA6">
        <w:rPr>
          <w:rFonts w:cs="Arial"/>
        </w:rPr>
        <w:t xml:space="preserve"> </w:t>
      </w:r>
      <w:proofErr w:type="gramStart"/>
      <w:r w:rsidRPr="00F17074">
        <w:rPr>
          <w:rFonts w:cs="Arial"/>
        </w:rPr>
        <w:t>O.18</w:t>
      </w:r>
      <w:proofErr w:type="gramEnd"/>
      <w:r w:rsidRPr="00F17074">
        <w:rPr>
          <w:rFonts w:cs="Arial"/>
        </w:rPr>
        <w:t xml:space="preserve"> (85.52)</w:t>
      </w:r>
    </w:p>
    <w:p w:rsid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správa kultury vč. její podpory </w:t>
      </w:r>
      <w:r w:rsidR="00E90EA6" w:rsidRPr="00F17074">
        <w:rPr>
          <w:rFonts w:cs="Arial"/>
        </w:rPr>
        <w:t>-</w:t>
      </w:r>
      <w:r w:rsidR="00E90EA6">
        <w:rPr>
          <w:rFonts w:cs="Arial"/>
        </w:rPr>
        <w:t xml:space="preserve"> </w:t>
      </w:r>
      <w:proofErr w:type="gramStart"/>
      <w:r w:rsidRPr="00F17074">
        <w:rPr>
          <w:rFonts w:cs="Arial"/>
        </w:rPr>
        <w:t>O.19</w:t>
      </w:r>
      <w:proofErr w:type="gramEnd"/>
      <w:r w:rsidRPr="00F17074">
        <w:rPr>
          <w:rFonts w:cs="Arial"/>
        </w:rPr>
        <w:t xml:space="preserve"> (84.11 - část, 12 - část, 94.99.2)</w:t>
      </w:r>
    </w:p>
    <w:p w:rsidR="00722C25" w:rsidRPr="00F17074" w:rsidRDefault="00722C25" w:rsidP="00722C25">
      <w:pPr>
        <w:widowControl w:val="0"/>
        <w:overflowPunct w:val="0"/>
        <w:autoSpaceDE w:val="0"/>
        <w:autoSpaceDN w:val="0"/>
        <w:adjustRightInd w:val="0"/>
        <w:spacing w:after="0"/>
        <w:ind w:left="641"/>
        <w:jc w:val="both"/>
        <w:rPr>
          <w:rFonts w:cs="Arial"/>
        </w:rPr>
      </w:pPr>
    </w:p>
    <w:p w:rsidR="00F17074" w:rsidRPr="00F17074" w:rsidRDefault="00F17074" w:rsidP="00F17074">
      <w:pPr>
        <w:widowControl w:val="0"/>
        <w:overflowPunct w:val="0"/>
        <w:autoSpaceDE w:val="0"/>
        <w:autoSpaceDN w:val="0"/>
        <w:adjustRightInd w:val="0"/>
        <w:jc w:val="both"/>
        <w:rPr>
          <w:rFonts w:cs="Arial"/>
        </w:rPr>
      </w:pPr>
      <w:r w:rsidRPr="00F17074">
        <w:rPr>
          <w:rFonts w:cs="Arial"/>
        </w:rPr>
        <w:t>Z praktických důvodů, souvisejících s problémy se získáním a členěním potřebných dat, je nutné výše uvedené oblasti do</w:t>
      </w:r>
      <w:r w:rsidRPr="00F17074">
        <w:rPr>
          <w:rFonts w:cs="Arial"/>
        </w:rPr>
        <w:softHyphen/>
        <w:t xml:space="preserve">plnit o další blíže neurčenou oblast či oblasti, kterou budeme nazývat „neznámá oblast“.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rámci jednotlivých oblastí rozeznáváme kulturní činnosti (představují či zprostředkovávají kulturní projevy) jako např. čin</w:t>
      </w:r>
      <w:r w:rsidRPr="00F17074">
        <w:rPr>
          <w:rFonts w:cs="Arial"/>
        </w:rPr>
        <w:softHyphen/>
        <w:t>nost muzeí a galerií a dále kulturní služby či statky (např. konzervace a archivace v rámci muzeí či originály zvukových na</w:t>
      </w:r>
      <w:r w:rsidRPr="00F17074">
        <w:rPr>
          <w:rFonts w:cs="Arial"/>
        </w:rPr>
        <w:softHyphen/>
        <w:t>hrávek). Nositele uvedených kulturních činností, popř. služeb či statků, lze také souhrnně označit za poskytovatele kulturních statků a služeb (dále také „poskytovatele“). Mezi ně patří např. muzea, knihovny, divadla, kina, rozhlas či televize. Nutno dodat, že jejich počet je do značné míry dán pragmatickými důvody spočívajícími v dosažitelnosti statistických dat (zejména cestou statistických zjišťování). Jinými slovy řečeno to znamená, že data o některých významných kulturních aktivitách (např. archeo</w:t>
      </w:r>
      <w:r w:rsidRPr="00F17074">
        <w:rPr>
          <w:rFonts w:cs="Arial"/>
        </w:rPr>
        <w:softHyphen/>
        <w:t>logických nalezištích, uměleckých řemeslech, činnosti spisovatelů, malířů či sochařů apod.) v současné době nejsou, popř. z velké části nejsou k dispozici.</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souladu se zaměřením prováděných statistických šetření v kultuře (KULT) přiřazujeme stávající institucionálně vyme</w:t>
      </w:r>
      <w:r w:rsidRPr="00F17074">
        <w:rPr>
          <w:rFonts w:cs="Arial"/>
        </w:rPr>
        <w:softHyphen/>
        <w:t xml:space="preserve">zené poskytovatele (respondenty šetření) k obsahově vymezeným kulturním oblastem (odvětvím) tj. </w:t>
      </w:r>
      <w:proofErr w:type="gramStart"/>
      <w:r w:rsidRPr="00F17074">
        <w:rPr>
          <w:rFonts w:cs="Arial"/>
        </w:rPr>
        <w:t>O.11</w:t>
      </w:r>
      <w:proofErr w:type="gramEnd"/>
      <w:r w:rsidRPr="00F17074">
        <w:rPr>
          <w:rFonts w:cs="Arial"/>
        </w:rPr>
        <w:t xml:space="preserve"> – O.19, takto : </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historická památka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muzeum a galerie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archiv - (</w:t>
      </w:r>
      <w:proofErr w:type="gramStart"/>
      <w:r w:rsidRPr="00F17074">
        <w:rPr>
          <w:rFonts w:cs="Arial"/>
        </w:rPr>
        <w:t>O.11</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knihovna - (O. 11)</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divadlo - (</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koncertní sál - (</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kulturní domy </w:t>
      </w:r>
      <w:r w:rsidR="00E90EA6" w:rsidRPr="00F17074">
        <w:rPr>
          <w:rFonts w:cs="Arial"/>
        </w:rPr>
        <w:t xml:space="preserve">- </w:t>
      </w:r>
      <w:r w:rsidRPr="00F17074">
        <w:rPr>
          <w:rFonts w:cs="Arial"/>
        </w:rPr>
        <w:t>(</w:t>
      </w:r>
      <w:proofErr w:type="gramStart"/>
      <w:r w:rsidRPr="00F17074">
        <w:rPr>
          <w:rFonts w:cs="Arial"/>
        </w:rPr>
        <w:t>O.12</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výstavní sál - (</w:t>
      </w:r>
      <w:proofErr w:type="gramStart"/>
      <w:r w:rsidRPr="00F17074">
        <w:rPr>
          <w:rFonts w:cs="Arial"/>
        </w:rPr>
        <w:t>O.13</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nakladatelství/vydavatelství - (</w:t>
      </w:r>
      <w:proofErr w:type="gramStart"/>
      <w:r w:rsidRPr="00F17074">
        <w:rPr>
          <w:rFonts w:cs="Arial"/>
        </w:rPr>
        <w:t>O.14</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výrobci a distributoři audiovizuálních děl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rozhlas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televize - (</w:t>
      </w:r>
      <w:proofErr w:type="gramStart"/>
      <w:r w:rsidRPr="00F17074">
        <w:rPr>
          <w:rFonts w:cs="Arial"/>
        </w:rPr>
        <w:t>O.15</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 xml:space="preserve">školy uměleckého vzdělávání </w:t>
      </w:r>
      <w:r w:rsidR="00E90EA6" w:rsidRPr="00F17074">
        <w:rPr>
          <w:rFonts w:cs="Arial"/>
        </w:rPr>
        <w:t>-</w:t>
      </w:r>
      <w:r w:rsidRPr="00F17074">
        <w:rPr>
          <w:rFonts w:cs="Arial"/>
        </w:rPr>
        <w:t xml:space="preserve"> (</w:t>
      </w:r>
      <w:proofErr w:type="gramStart"/>
      <w:r w:rsidRPr="00F17074">
        <w:rPr>
          <w:rFonts w:cs="Arial"/>
        </w:rPr>
        <w:t>O.18</w:t>
      </w:r>
      <w:proofErr w:type="gramEnd"/>
      <w:r w:rsidRPr="00F17074">
        <w:rPr>
          <w:rFonts w:cs="Arial"/>
        </w:rPr>
        <w:t>)</w:t>
      </w:r>
    </w:p>
    <w:p w:rsidR="00F17074" w:rsidRP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organizace ochrany aut.práv - (</w:t>
      </w:r>
      <w:proofErr w:type="gramStart"/>
      <w:r w:rsidRPr="00F17074">
        <w:rPr>
          <w:rFonts w:cs="Arial"/>
        </w:rPr>
        <w:t>O.19</w:t>
      </w:r>
      <w:proofErr w:type="gramEnd"/>
      <w:r w:rsidRPr="00F17074">
        <w:rPr>
          <w:rFonts w:cs="Arial"/>
        </w:rPr>
        <w:t>)</w:t>
      </w:r>
    </w:p>
    <w:p w:rsidR="00F17074" w:rsidRDefault="00F17074" w:rsidP="00722C25">
      <w:pPr>
        <w:widowControl w:val="0"/>
        <w:numPr>
          <w:ilvl w:val="0"/>
          <w:numId w:val="8"/>
        </w:numPr>
        <w:tabs>
          <w:tab w:val="clear" w:pos="643"/>
        </w:tabs>
        <w:overflowPunct w:val="0"/>
        <w:autoSpaceDE w:val="0"/>
        <w:autoSpaceDN w:val="0"/>
        <w:adjustRightInd w:val="0"/>
        <w:spacing w:after="0"/>
        <w:ind w:left="641" w:hanging="357"/>
        <w:jc w:val="both"/>
        <w:rPr>
          <w:rFonts w:cs="Arial"/>
        </w:rPr>
      </w:pPr>
      <w:r w:rsidRPr="00F17074">
        <w:rPr>
          <w:rFonts w:cs="Arial"/>
        </w:rPr>
        <w:t>ostatní poskytovatelé - (</w:t>
      </w:r>
      <w:proofErr w:type="gramStart"/>
      <w:r w:rsidRPr="00F17074">
        <w:rPr>
          <w:rFonts w:cs="Arial"/>
        </w:rPr>
        <w:t>O.11</w:t>
      </w:r>
      <w:proofErr w:type="gramEnd"/>
      <w:r w:rsidRPr="00F17074">
        <w:rPr>
          <w:rFonts w:cs="Arial"/>
        </w:rPr>
        <w:t xml:space="preserve"> - O.19)</w:t>
      </w:r>
    </w:p>
    <w:p w:rsidR="00722C25" w:rsidRPr="00F17074" w:rsidRDefault="00722C25" w:rsidP="00722C25">
      <w:pPr>
        <w:widowControl w:val="0"/>
        <w:overflowPunct w:val="0"/>
        <w:autoSpaceDE w:val="0"/>
        <w:autoSpaceDN w:val="0"/>
        <w:adjustRightInd w:val="0"/>
        <w:spacing w:after="0"/>
        <w:ind w:left="641"/>
        <w:jc w:val="both"/>
        <w:rPr>
          <w:rFonts w:cs="Arial"/>
        </w:rPr>
      </w:pPr>
    </w:p>
    <w:p w:rsidR="00F17074" w:rsidRPr="00F17074" w:rsidRDefault="00F17074" w:rsidP="00F17074">
      <w:pPr>
        <w:widowControl w:val="0"/>
        <w:overflowPunct w:val="0"/>
        <w:autoSpaceDE w:val="0"/>
        <w:autoSpaceDN w:val="0"/>
        <w:adjustRightInd w:val="0"/>
        <w:jc w:val="both"/>
        <w:rPr>
          <w:rFonts w:cs="Arial"/>
        </w:rPr>
      </w:pPr>
      <w:r w:rsidRPr="00F17074">
        <w:rPr>
          <w:rFonts w:cs="Arial"/>
        </w:rPr>
        <w:t>Jak je z uvedeného členění patrné, např. ve velmi významné oblasti architektonických čin</w:t>
      </w:r>
      <w:r w:rsidRPr="00F17074">
        <w:rPr>
          <w:rFonts w:cs="Arial"/>
        </w:rPr>
        <w:softHyphen/>
        <w:t>ností (</w:t>
      </w:r>
      <w:proofErr w:type="gramStart"/>
      <w:r w:rsidRPr="00F17074">
        <w:rPr>
          <w:rFonts w:cs="Arial"/>
        </w:rPr>
        <w:t>O.16</w:t>
      </w:r>
      <w:proofErr w:type="gramEnd"/>
      <w:r w:rsidRPr="00F17074">
        <w:rPr>
          <w:rFonts w:cs="Arial"/>
        </w:rPr>
        <w:t>) se zatím žádný jed</w:t>
      </w:r>
      <w:r w:rsidRPr="00F17074">
        <w:rPr>
          <w:rFonts w:cs="Arial"/>
        </w:rPr>
        <w:softHyphen/>
        <w:t xml:space="preserve">noznačně vymezený poskytovatel - z důvodu nedostatku odpovídajících dat získávaných statistickými šetřeními - nenachází. Obvykle je rozsah kulturních oblastí širší než činnosti poskytovatelů, kteří do nich jsou zařazeni. Poskytovatelé jsou tak svým způsobem vybranými (statisticky zvlášť sledovanými) reprezentanty jednotlivých oblastí, kteří však vyčerpávajícím způsobem celou oblast nepokrývají.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lastRenderedPageBreak/>
        <w:t>Za údaje o ostatních poskytovatelích se považují zjišťovaná data o činnosti v těch kulturních oblastech, které</w:t>
      </w:r>
      <w:r w:rsidR="000D418C">
        <w:rPr>
          <w:rFonts w:cs="Arial"/>
        </w:rPr>
        <w:t> </w:t>
      </w:r>
      <w:r w:rsidRPr="00F17074">
        <w:rPr>
          <w:rFonts w:cs="Arial"/>
        </w:rPr>
        <w:t>nelze jedno</w:t>
      </w:r>
      <w:r w:rsidRPr="00F17074">
        <w:rPr>
          <w:rFonts w:cs="Arial"/>
        </w:rPr>
        <w:softHyphen/>
        <w:t>značně přiřadit k předcházejícím poskytovatelům (např. maloobchodní prodej knih, starožitností, uměleckých předmětů, tvorba hudebních nahrávek, služby designu, aktivity zpravodajských agentur, správní činnosti ministerstva kultury a jím řízených insti</w:t>
      </w:r>
      <w:r w:rsidRPr="00F17074">
        <w:rPr>
          <w:rFonts w:cs="Arial"/>
        </w:rPr>
        <w:softHyphen/>
        <w:t xml:space="preserve">tucí atd.).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Z podobných důvodů jako v případě oblastí </w:t>
      </w:r>
      <w:r w:rsidR="000D418C" w:rsidRPr="00F17074">
        <w:rPr>
          <w:rFonts w:cs="Arial"/>
        </w:rPr>
        <w:t>-</w:t>
      </w:r>
      <w:r w:rsidRPr="00F17074">
        <w:rPr>
          <w:rFonts w:cs="Arial"/>
        </w:rPr>
        <w:t xml:space="preserve"> tj. nemožnosti věrohodného rozčlenění souhrnných dat - je nutné před</w:t>
      </w:r>
      <w:r w:rsidRPr="00F17074">
        <w:rPr>
          <w:rFonts w:cs="Arial"/>
        </w:rPr>
        <w:softHyphen/>
        <w:t xml:space="preserve">pokládat i tzv. „neznámého poskytovatele“. V této souvislosti je patrné, že postupné snižování významu (váhy) dat uvedených za neznámou oblast či neznámého poskytovatele v relaci k celkovým údajům za kulturu by mělo být projevem zdokonalování účtu kultury jako takového. To je však velmi obtížný a dlouhodobý úkol související zejména s možnostmi rozšiřování a prohlubování statistického výkaznictví (ochota respondentů, finanční možnosti a pracovní kapacity statistických pracovišť, snahy o snižování administrativní zátěže apod.).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Jak je z výše uvedeného zřejmé, členění poskytovatelů kulturních služeb, které je do značné míry ovlivněno možnostmi získání potřebných dat za danou sféru kulturních aktivit, se bude se změnami ve statistickém zjišťování v čase měnit.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Lze použít i jiné členění sektoru kultury než je výše uvedené, které můžeme označit za výchozí či základní. Tak např. kul</w:t>
      </w:r>
      <w:r w:rsidRPr="00F17074">
        <w:rPr>
          <w:rFonts w:cs="Arial"/>
        </w:rPr>
        <w:softHyphen/>
        <w:t xml:space="preserve">turní oblasti lze seskupit do čtyř tzv. sfér. Každá z nich odráží rozhodující příbuzné rysy několika oblastí. Za takovou skupinu příbuzných oblastí lze považovat sféru kulturního (hmotného a nehmotného) dědictví, kam patří např. památky, archeologická naleziště, muzea a galerie, archivy a knihovny, dále sféru živé originální umělecké tvorby (např. interpretační a výtvarné umění, umělecká řemesla, design, architektura, reklama) a sféru kulturních medií (např. film, televize, rozhlas, vydávání software a tisk). Čtvrtou sféru </w:t>
      </w:r>
      <w:r w:rsidR="000D418C" w:rsidRPr="00F17074">
        <w:rPr>
          <w:rFonts w:cs="Arial"/>
        </w:rPr>
        <w:t>-</w:t>
      </w:r>
      <w:r w:rsidR="000D418C">
        <w:rPr>
          <w:rFonts w:cs="Arial"/>
        </w:rPr>
        <w:t xml:space="preserve"> </w:t>
      </w:r>
      <w:r w:rsidRPr="00F17074">
        <w:rPr>
          <w:rFonts w:cs="Arial"/>
        </w:rPr>
        <w:t xml:space="preserve">ač ne ryze kulturní - by mohly tvořit správní (režijní) činnosti (včetně ochrany autorských práv a podpory kultury), které </w:t>
      </w:r>
      <w:r w:rsidR="00EC42F4" w:rsidRPr="00F17074">
        <w:rPr>
          <w:rFonts w:cs="Arial"/>
        </w:rPr>
        <w:t>jsou s kulturou</w:t>
      </w:r>
      <w:r w:rsidRPr="00F17074">
        <w:rPr>
          <w:rFonts w:cs="Arial"/>
        </w:rPr>
        <w:t xml:space="preserve"> </w:t>
      </w:r>
      <w:r w:rsidR="000D418C" w:rsidRPr="00F17074">
        <w:rPr>
          <w:rFonts w:cs="Arial"/>
        </w:rPr>
        <w:t>-</w:t>
      </w:r>
      <w:r w:rsidRPr="00F17074">
        <w:rPr>
          <w:rFonts w:cs="Arial"/>
        </w:rPr>
        <w:t xml:space="preserve"> jako s každou jinou oblastí lidských aktivit - neoddělitelně spojeny a dále umělecké vzdělávání.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Samozřejmě nemalý význam mají i jiná členění kulturního sektoru. Evropská Komise člení kulturu v zásadě na kulturní sektor a kreativní sektor. Prvý tvoří oblast tradičního umění (výtvarné a interpretační umění, kulturní dědictví) a oblast kulturních průmyslů (film a video, televize a rozhlas, videohry, hudba, knihy a tisk), druhý </w:t>
      </w:r>
      <w:r w:rsidR="000D418C" w:rsidRPr="00F17074">
        <w:rPr>
          <w:rFonts w:cs="Arial"/>
        </w:rPr>
        <w:t>-</w:t>
      </w:r>
      <w:r w:rsidRPr="00F17074">
        <w:rPr>
          <w:rFonts w:cs="Arial"/>
        </w:rPr>
        <w:t xml:space="preserve"> kreativní sektor tvoří ob</w:t>
      </w:r>
      <w:r w:rsidRPr="00F17074">
        <w:rPr>
          <w:rFonts w:cs="Arial"/>
        </w:rPr>
        <w:softHyphen/>
        <w:t>last kreativních prů</w:t>
      </w:r>
      <w:r w:rsidRPr="00F17074">
        <w:rPr>
          <w:rFonts w:cs="Arial"/>
        </w:rPr>
        <w:softHyphen/>
        <w:t>myslů (design, architektura a reklamní průmysl) a oblast příbuzných odvětví (výroba PC, přehrávačů apod.). Jak dále uvidíme, toto členění má mimo jiné nemalý význam z pohledu uplatňování tržních vztahů v kultuře a v této souvislosti rozdílných ekono</w:t>
      </w:r>
      <w:r w:rsidRPr="00F17074">
        <w:rPr>
          <w:rFonts w:cs="Arial"/>
        </w:rPr>
        <w:softHyphen/>
        <w:t xml:space="preserve">mických výsledků kulturních oblastí.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V souvislosti s vymezením kultury z pohledu účelu či času hovoříme o druhém rozměru kultury - kulturním cyklu. Ten před</w:t>
      </w:r>
      <w:r w:rsidRPr="00F17074">
        <w:rPr>
          <w:rFonts w:cs="Arial"/>
        </w:rPr>
        <w:softHyphen/>
        <w:t xml:space="preserve">stavuje souhrn fází či etap členících kulturu (resp. její oblasti) na tvorbu či produkci, uchovávání hodnot, šíření kulturních služeb a statků, obchod s nimi, vzdělávání a spotřebu kulturní produkce. Průřezový charakter pojetí kulturního cyklu svým způsobem sektor kultury jako takový překračuje a zasahuje také do jiných odvětví či sfér lidských aktivit (např. vzdělávání, obchod).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Co se týče faktoru času, lze mezi kulturním cyklem a kulturními sférami (skupinami oblastí) nalézt určité styčné body. Za</w:t>
      </w:r>
      <w:r w:rsidRPr="00F17074">
        <w:rPr>
          <w:rFonts w:cs="Arial"/>
        </w:rPr>
        <w:softHyphen/>
        <w:t xml:space="preserve">tímco cyklus lze připodobnit k momentálnímu řezu právě probíhajícími kulturními aktivitami, tak sféry člení kulturu z dlouhodobého pohledu. S určitou mírou zobecnění lze říci, že kulturní dědictví vychází z minulosti, živá tvorba produkující kulturní služby a statky spotřebovávané v daném čase a na daném místě se váže na přítomnost a média rozšiřující zmíněné služby a statky směřují do budoucnosti.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Lze také říci, že výše uvedené čtyři sféry zároveň představují základní etapy kulturního cyklu (uchovávání kulturních hod</w:t>
      </w:r>
      <w:r w:rsidRPr="00F17074">
        <w:rPr>
          <w:rFonts w:cs="Arial"/>
        </w:rPr>
        <w:softHyphen/>
        <w:t xml:space="preserve">not, jejich tvorbu, šíření kulturních služeb a statků, umělecké vzdělávání a související správní činnosti). </w:t>
      </w:r>
    </w:p>
    <w:p w:rsidR="00F17074" w:rsidRPr="00F17074" w:rsidRDefault="00F17074" w:rsidP="00F17074">
      <w:pPr>
        <w:widowControl w:val="0"/>
        <w:overflowPunct w:val="0"/>
        <w:autoSpaceDE w:val="0"/>
        <w:autoSpaceDN w:val="0"/>
        <w:adjustRightInd w:val="0"/>
        <w:jc w:val="both"/>
        <w:rPr>
          <w:rFonts w:cs="Arial"/>
        </w:rPr>
      </w:pPr>
      <w:r w:rsidRPr="00F17074">
        <w:rPr>
          <w:rFonts w:cs="Arial"/>
        </w:rPr>
        <w:t xml:space="preserve">Jak ukázaly již výsledky prvého zpracování kulturního účtu za rok 2009, z ekonomického pohledu se vine </w:t>
      </w:r>
      <w:r w:rsidRPr="00F17074">
        <w:rPr>
          <w:rFonts w:cs="Arial"/>
        </w:rPr>
        <w:lastRenderedPageBreak/>
        <w:t xml:space="preserve">silná dělicí čára mezi tzv. „tradičními“ a „novými“ kulturními obory či odvětvími. Mezi prvými lze uvést na čelném místě celou sféru kulturního dědictví a dále část živé originální umělecké tvory (divadlo, soubory, festivaly, výstavní sály a kulturní domy a režijní činnosti v kultuře). Tyto aktivity v zásadě nejsou finančně soběstačné a směřuje k nim 50 - 60 % veřejných výdajů na kulturu. Naopak tomu je v případě pořizování zvukových nahrávek, televizního a rozhlasového vysílání, výroby a distribuce audiovizuálních děl, tvorby videoher, architektonických, návrhářských a reklamních činností. </w:t>
      </w:r>
    </w:p>
    <w:p w:rsidR="00D7626D" w:rsidRDefault="00F17074" w:rsidP="00F17074">
      <w:pPr>
        <w:widowControl w:val="0"/>
        <w:overflowPunct w:val="0"/>
        <w:autoSpaceDE w:val="0"/>
        <w:autoSpaceDN w:val="0"/>
        <w:adjustRightInd w:val="0"/>
        <w:jc w:val="both"/>
        <w:rPr>
          <w:rFonts w:cs="Arial"/>
        </w:rPr>
      </w:pPr>
      <w:r w:rsidRPr="00F17074">
        <w:rPr>
          <w:rFonts w:cs="Arial"/>
        </w:rPr>
        <w:t xml:space="preserve">K otázce členění sektoru kultury je třeba dodat, že může být různorodé. Pro jeho odpovídající postižení je podstatné získat potřebná data za co nejnižší části celku, kterým je kulturní sektor jako takový, tj. za jednotlivé oblasti či poskytovatele kulturních služeb. S jejich využitím lze uspokojit informační potřeby spojené s různým členěním kulturního sektoru. </w:t>
      </w:r>
    </w:p>
    <w:p w:rsidR="00D7626D" w:rsidRPr="006E4CC9" w:rsidRDefault="00DB6382" w:rsidP="006E4CC9">
      <w:pPr>
        <w:pStyle w:val="Nadpis2"/>
      </w:pPr>
      <w:bookmarkStart w:id="10" w:name="_Toc451166912"/>
      <w:bookmarkStart w:id="11" w:name="_Toc451166928"/>
      <w:bookmarkStart w:id="12" w:name="_Toc451175101"/>
      <w:bookmarkStart w:id="13" w:name="_Toc451180157"/>
      <w:bookmarkStart w:id="14" w:name="_Toc483227179"/>
      <w:r w:rsidRPr="006E4CC9">
        <w:t xml:space="preserve">1.2. </w:t>
      </w:r>
      <w:r w:rsidR="00D7626D" w:rsidRPr="006E4CC9">
        <w:t>Zdroje dat a související problémy</w:t>
      </w:r>
      <w:bookmarkEnd w:id="10"/>
      <w:bookmarkEnd w:id="11"/>
      <w:bookmarkEnd w:id="12"/>
      <w:bookmarkEnd w:id="13"/>
      <w:bookmarkEnd w:id="14"/>
      <w:r w:rsidR="00D7626D" w:rsidRPr="006E4CC9">
        <w:t xml:space="preserve"> </w:t>
      </w:r>
    </w:p>
    <w:p w:rsidR="00722C25" w:rsidRPr="00722C25" w:rsidRDefault="00722C25" w:rsidP="00EC42F4">
      <w:pPr>
        <w:jc w:val="both"/>
      </w:pPr>
      <w:r w:rsidRPr="00722C25">
        <w:t>K sestavení účtu kultury se využívají různorodá data z administrativních zdrojů i ze statistických zjišťování. Do prvé skupiny patří v prvé řadě údaje z veřejných rozpočtů (státní rozpočet a místní rozpočty). Také sem patří dostupné údaje na internetu, obsahující data o některých poskytovatelích kulturních služeb.</w:t>
      </w:r>
    </w:p>
    <w:p w:rsidR="00722C25" w:rsidRPr="00722C25" w:rsidRDefault="00722C25" w:rsidP="00EC42F4">
      <w:pPr>
        <w:jc w:val="both"/>
      </w:pPr>
      <w:r w:rsidRPr="00722C25">
        <w:t>Druhou skupinu tvoří zejména data získaná šetřením v domácnostech (cestou tzv. rodinných účtů) a dále statistickým zjiš</w:t>
      </w:r>
      <w:r w:rsidRPr="00722C25">
        <w:softHyphen/>
        <w:t>ťováním přímo u kulturních institucí (pod označením KULT). Šetření v domácnostech provádí ČSÚ, který šetří také držitele licencí rozhlasového a televizního vysílání. Data od naprosté většiny dalších kulturních institucí (poskytovatelů) sbírá pomocí výše zmíněného šetření KULT (MK) NIPOS. Některá data (zejména o zpravodajských agenturách, činnosti archi</w:t>
      </w:r>
      <w:r w:rsidRPr="00722C25">
        <w:softHyphen/>
        <w:t>tektů, fotografické činnosti a činnosti reklamních agentur, maloobchodu atd. jsou získávána v rámci šetření tzv. podnikové sta</w:t>
      </w:r>
      <w:r w:rsidRPr="00722C25">
        <w:softHyphen/>
        <w:t>tis</w:t>
      </w:r>
      <w:r w:rsidRPr="00722C25">
        <w:softHyphen/>
        <w:t>ti</w:t>
      </w:r>
      <w:proofErr w:type="spellStart"/>
      <w:r w:rsidRPr="00722C25">
        <w:t>ky</w:t>
      </w:r>
      <w:proofErr w:type="spellEnd"/>
      <w:r w:rsidRPr="00722C25">
        <w:t xml:space="preserve"> ČSÚ (SBS). Ze</w:t>
      </w:r>
      <w:r w:rsidR="000D418C">
        <w:t> </w:t>
      </w:r>
      <w:r w:rsidRPr="00722C25">
        <w:t>statistického zjišťování tohoto úřadu (NI 1-01) jsou získávána také data o neziskových institucích (včetně</w:t>
      </w:r>
      <w:r w:rsidR="000D418C">
        <w:t> o</w:t>
      </w:r>
      <w:r w:rsidRPr="00722C25">
        <w:t xml:space="preserve">rganizací ochrany autorských práv). </w:t>
      </w:r>
    </w:p>
    <w:p w:rsidR="00722C25" w:rsidRPr="00722C25" w:rsidRDefault="00722C25" w:rsidP="00EC42F4">
      <w:pPr>
        <w:jc w:val="both"/>
      </w:pPr>
      <w:r w:rsidRPr="00722C25">
        <w:t xml:space="preserve">V referenčním roce 2014 byla v návaznosti na záměry </w:t>
      </w:r>
      <w:proofErr w:type="spellStart"/>
      <w:r w:rsidRPr="00722C25">
        <w:t>Eurostatu</w:t>
      </w:r>
      <w:proofErr w:type="spellEnd"/>
      <w:r w:rsidRPr="00722C25">
        <w:t xml:space="preserve"> a dle specifikace výrobků uměleckých řemesel provedené Národním ústavem lidové kultury zkvalitněna metodika kvantifikace obratu zahraničního obchodu s kulturními službami a statky. O rok později došlo k významnému posunu v souvislosti s využitím nového zdroje dat charakterizujícího celkový rozsah živé práce vynaložené v kulturních aktivitách a to jak v institucích s převažující kulturní činností, tak i mimo ně (Výběrové šetření pracovních sil).</w:t>
      </w:r>
    </w:p>
    <w:p w:rsidR="00722C25" w:rsidRPr="00722C25" w:rsidRDefault="00722C25" w:rsidP="00EC42F4">
      <w:pPr>
        <w:jc w:val="both"/>
      </w:pPr>
      <w:r w:rsidRPr="00722C25">
        <w:t xml:space="preserve">Pro potřeby sestavení účtu se dále využívají různé doplňkové zdroje informací. Některé údaje o zaměstnanosti lze čerpat ze statistiky práce a mezd a také z Registru </w:t>
      </w:r>
      <w:r w:rsidR="00EC42F4" w:rsidRPr="00722C25">
        <w:t>ekonomických</w:t>
      </w:r>
      <w:r w:rsidRPr="00722C25">
        <w:t xml:space="preserve"> subjektů (počty pojištěnců). Uvedená zjišťování provádí ČSÚ, který také dodává makroekonomická data z národního účetnictví (zejména ve formě matice dodávek a užití). </w:t>
      </w:r>
    </w:p>
    <w:p w:rsidR="00722C25" w:rsidRPr="00722C25" w:rsidRDefault="00722C25" w:rsidP="00EC42F4">
      <w:pPr>
        <w:jc w:val="both"/>
      </w:pPr>
      <w:r w:rsidRPr="00722C25">
        <w:t xml:space="preserve">Údaje o archivech má k dispozici MV ČR, některé informace o kinech Unie filmových distributorů atd. </w:t>
      </w:r>
    </w:p>
    <w:p w:rsidR="00722C25" w:rsidRPr="00722C25" w:rsidRDefault="00722C25" w:rsidP="00EC42F4">
      <w:pPr>
        <w:jc w:val="both"/>
      </w:pPr>
      <w:r w:rsidRPr="00722C25">
        <w:t>Konečně informace o některých kulturních institucích a aktivitách nezahrnutých do pravidelných statistických šetření jsou zjišťována NIPOS u vybraných respondentů jednorázově formou tzv. doplňkových šetření (archivy, uměle</w:t>
      </w:r>
      <w:r w:rsidR="000D418C">
        <w:t xml:space="preserve">cká řemesla, amatérská divadla </w:t>
      </w:r>
      <w:r w:rsidRPr="00722C25">
        <w:t>atd.).</w:t>
      </w:r>
    </w:p>
    <w:p w:rsidR="00722C25" w:rsidRPr="00722C25" w:rsidRDefault="00722C25" w:rsidP="00EC42F4">
      <w:pPr>
        <w:jc w:val="both"/>
      </w:pPr>
      <w:r w:rsidRPr="00722C25">
        <w:t>Nutno dodat, že se na mapě statistického sledování sektoru kultury najdou ještě “bílá místa”. Některé</w:t>
      </w:r>
      <w:r w:rsidR="000D418C">
        <w:t> </w:t>
      </w:r>
      <w:r w:rsidRPr="00722C25">
        <w:t>činnosti prozatím nejsou statistickým zjišťováním pokryty (např. archeologická naleziště), zatímco jiné jsou pokryty jen částečně (např. umělecká řemesla). Ani v případě zahrnutí daných kulturních aktivit do statistického zjišťování však není získání potřebných údajů snadné. Základní překážkou je vysoká míra neodpovědí (</w:t>
      </w:r>
      <w:proofErr w:type="spellStart"/>
      <w:r w:rsidRPr="00722C25">
        <w:t>nonresponse</w:t>
      </w:r>
      <w:proofErr w:type="spellEnd"/>
      <w:r w:rsidRPr="00722C25">
        <w:t>) a to zejména v případě ekonomických údajů, které jsou pro sesta</w:t>
      </w:r>
      <w:r w:rsidRPr="00722C25">
        <w:softHyphen/>
        <w:t>vení kulturního účtu nezbytnou podmínkou.</w:t>
      </w:r>
    </w:p>
    <w:p w:rsidR="00722C25" w:rsidRPr="00722C25" w:rsidRDefault="00722C25" w:rsidP="00EC42F4">
      <w:pPr>
        <w:jc w:val="both"/>
      </w:pPr>
      <w:r w:rsidRPr="00722C25">
        <w:lastRenderedPageBreak/>
        <w:t>Získáním dat však nesnáze nekončí. Je třeba se vypořádat s </w:t>
      </w:r>
      <w:r w:rsidR="00EC42F4" w:rsidRPr="00722C25">
        <w:t>problémy</w:t>
      </w:r>
      <w:r w:rsidRPr="00722C25">
        <w:t xml:space="preserve"> souvisejícími s kl</w:t>
      </w:r>
      <w:r w:rsidR="000D418C">
        <w:t>asifikacemi (NACE,</w:t>
      </w:r>
      <w:r w:rsidR="00B86977">
        <w:t> </w:t>
      </w:r>
      <w:r w:rsidR="000D418C">
        <w:t>COICOP, ISCO</w:t>
      </w:r>
      <w:r w:rsidRPr="00722C25">
        <w:t>). Údaje o kulturních činnostech jsou velmi často zahrnuty v agregovaných položkách s jinými aktivitami. V případech, kdy nejsou, bývá z úsporných důvodů výběrový soubor šetření nedostatečně velký na to, aby bylo možno získat a dopočítávat výsledky v potřebném jemném členění (např.</w:t>
      </w:r>
      <w:r w:rsidR="00B86977">
        <w:t> </w:t>
      </w:r>
      <w:r w:rsidRPr="00722C25">
        <w:t xml:space="preserve">na čtyři místa </w:t>
      </w:r>
      <w:r w:rsidR="000D418C">
        <w:t xml:space="preserve">klasifikace </w:t>
      </w:r>
      <w:r w:rsidRPr="00722C25">
        <w:t xml:space="preserve">NACE). </w:t>
      </w:r>
    </w:p>
    <w:p w:rsidR="00722C25" w:rsidRPr="00722C25" w:rsidRDefault="00722C25" w:rsidP="00EC42F4">
      <w:pPr>
        <w:jc w:val="both"/>
      </w:pPr>
      <w:r w:rsidRPr="00722C25">
        <w:t xml:space="preserve">Jednou věcí je získat data (velmi často ne zcela úplná a „čistá“, popř. v jiném než potřebném členění) a druhou získat je v potřebném či přijatelném časovém termínu. Data o veřejných výdajích jsou k dispozici zhruba pět měsíců, údaje o výdajích domácností osm a o podnicích či neziskových institucích až třináct měsíců po referenčním období. Podobné to je s dopočtenými údaji sbíranými od kulturních institucí (poskytovatelů). Nejpozději jsou dosažitelná data ze systému národního účetnictví (více než rok po referenčním období), která jsou navíc postupně zpřesňována. V porovnání s koncem referenčního období (roku) jsou proto výsledky účtu kultury o cca 16 měsíců opožděny. </w:t>
      </w:r>
    </w:p>
    <w:p w:rsidR="00D7626D" w:rsidRDefault="00722C25" w:rsidP="00722C25">
      <w:pPr>
        <w:widowControl w:val="0"/>
        <w:overflowPunct w:val="0"/>
        <w:autoSpaceDE w:val="0"/>
        <w:autoSpaceDN w:val="0"/>
        <w:adjustRightInd w:val="0"/>
        <w:jc w:val="both"/>
        <w:rPr>
          <w:rFonts w:cs="Arial"/>
        </w:rPr>
      </w:pPr>
      <w:r w:rsidRPr="00722C25">
        <w:rPr>
          <w:rFonts w:cs="Arial"/>
        </w:rPr>
        <w:t>Samozřejmě nemalé rozdíly jsou i v kvalitě informací. Vysokou věrohodnost lze předpo</w:t>
      </w:r>
      <w:r w:rsidRPr="00722C25">
        <w:rPr>
          <w:rFonts w:cs="Arial"/>
        </w:rPr>
        <w:softHyphen/>
        <w:t>kládat u dat týkajících se veřejných výdajů na kulturu, která vycházejí z čerpání státního rozpočtu. Problematičtější v tomto směru jsou všechny údaje zjištěné statistickým šetřením, ať už v domácnostech (rodinné účty, výběrové šetření pracovních sil), tak zejména specializovanými zjišťováními v kulturních institucích (výběrová statistická šetření KULT prováděná NIPOS a ČSÚ), dalšími šetřeními ČSÚ v podnicích a šetřeními doplňkovými. Kvalita těchto dat je ovlivněna všemi problematickými okolnostmi, počínaje úplností základního souboru respondentů, metodami sestavení výběrového souboru, mírou neodpovědí, úrovní dopočtů apod.</w:t>
      </w:r>
    </w:p>
    <w:p w:rsidR="00D7626D" w:rsidRPr="006E4CC9" w:rsidRDefault="00D84174" w:rsidP="00D84174">
      <w:pPr>
        <w:pStyle w:val="Nadpis1"/>
        <w:rPr>
          <w:szCs w:val="24"/>
        </w:rPr>
      </w:pPr>
      <w:r>
        <w:rPr>
          <w:rFonts w:cs="Arial"/>
        </w:rPr>
        <w:br w:type="page"/>
      </w:r>
      <w:bookmarkStart w:id="15" w:name="_Toc451166913"/>
      <w:bookmarkStart w:id="16" w:name="_Toc451166929"/>
      <w:bookmarkStart w:id="17" w:name="_Toc451175102"/>
      <w:bookmarkStart w:id="18" w:name="_Toc451180158"/>
      <w:bookmarkStart w:id="19" w:name="_Toc483227180"/>
      <w:r w:rsidR="00D7626D" w:rsidRPr="006E4CC9">
        <w:lastRenderedPageBreak/>
        <w:t>2. Hospodaření kulturních institucí v roce 201</w:t>
      </w:r>
      <w:bookmarkEnd w:id="15"/>
      <w:bookmarkEnd w:id="16"/>
      <w:bookmarkEnd w:id="17"/>
      <w:bookmarkEnd w:id="18"/>
      <w:bookmarkEnd w:id="19"/>
      <w:r w:rsidR="002315E3">
        <w:t>5</w:t>
      </w:r>
    </w:p>
    <w:p w:rsidR="00D7626D" w:rsidRPr="00DF5C19" w:rsidRDefault="00D7626D" w:rsidP="00DF5C19">
      <w:pPr>
        <w:pStyle w:val="Nadpis2"/>
        <w:rPr>
          <w:szCs w:val="24"/>
        </w:rPr>
      </w:pPr>
      <w:bookmarkStart w:id="20" w:name="_Toc451166914"/>
      <w:bookmarkStart w:id="21" w:name="_Toc451166930"/>
      <w:bookmarkStart w:id="22" w:name="_Toc451175103"/>
      <w:bookmarkStart w:id="23" w:name="_Toc451180159"/>
      <w:bookmarkStart w:id="24" w:name="_Toc483227181"/>
      <w:r w:rsidRPr="00DF5C19">
        <w:t>2.1. Zdroje financování kultury</w:t>
      </w:r>
      <w:bookmarkEnd w:id="20"/>
      <w:bookmarkEnd w:id="21"/>
      <w:bookmarkEnd w:id="22"/>
      <w:bookmarkEnd w:id="23"/>
      <w:bookmarkEnd w:id="24"/>
    </w:p>
    <w:p w:rsidR="00722C25" w:rsidRPr="00722C25" w:rsidRDefault="00722C25" w:rsidP="00722C25">
      <w:pPr>
        <w:widowControl w:val="0"/>
        <w:overflowPunct w:val="0"/>
        <w:autoSpaceDE w:val="0"/>
        <w:autoSpaceDN w:val="0"/>
        <w:adjustRightInd w:val="0"/>
        <w:spacing w:after="360"/>
        <w:ind w:right="102"/>
        <w:jc w:val="both"/>
        <w:rPr>
          <w:rFonts w:cs="Arial"/>
        </w:rPr>
      </w:pPr>
      <w:r w:rsidRPr="00722C25">
        <w:rPr>
          <w:rFonts w:cs="Arial"/>
        </w:rPr>
        <w:t xml:space="preserve">Celková výše finančních zdrojů vstupujících do sektoru kultury dosáhla v roce 2015 více než 226,6 mld. Kč (viz tab. </w:t>
      </w:r>
      <w:proofErr w:type="gramStart"/>
      <w:r w:rsidRPr="00722C25">
        <w:rPr>
          <w:rFonts w:cs="Arial"/>
        </w:rPr>
        <w:t>č.1 v příloze</w:t>
      </w:r>
      <w:proofErr w:type="gramEnd"/>
      <w:r w:rsidRPr="00722C25">
        <w:rPr>
          <w:rFonts w:cs="Arial"/>
        </w:rPr>
        <w:t xml:space="preserve">). V porovnání s rokem předcházejícím to bylo o 0,8 mld. Kč (o téměř 0,4 %) více. Použitelnými zdroji se rozumí veškeré provozní příjmy (snížené o zaplacené daně), investiční dotace, přijaté úvěry a půjčky (bez splacených), dary apod. získané institucemi s převažujícími kulturními </w:t>
      </w:r>
      <w:r w:rsidR="00EC42F4" w:rsidRPr="00722C25">
        <w:rPr>
          <w:rFonts w:cs="Arial"/>
        </w:rPr>
        <w:t>aktivitami během</w:t>
      </w:r>
      <w:r w:rsidRPr="00722C25">
        <w:rPr>
          <w:rFonts w:cs="Arial"/>
        </w:rPr>
        <w:t xml:space="preserve"> refe</w:t>
      </w:r>
      <w:r w:rsidRPr="00722C25">
        <w:rPr>
          <w:rFonts w:cs="Arial"/>
        </w:rPr>
        <w:softHyphen/>
        <w:t xml:space="preserve">renčního roku. </w:t>
      </w:r>
    </w:p>
    <w:p w:rsidR="00722C25" w:rsidRPr="00722C25" w:rsidRDefault="00722C25" w:rsidP="00722C25">
      <w:pPr>
        <w:widowControl w:val="0"/>
        <w:overflowPunct w:val="0"/>
        <w:autoSpaceDE w:val="0"/>
        <w:autoSpaceDN w:val="0"/>
        <w:adjustRightInd w:val="0"/>
        <w:spacing w:after="360"/>
        <w:ind w:right="102"/>
        <w:jc w:val="both"/>
        <w:rPr>
          <w:rFonts w:cs="Arial"/>
        </w:rPr>
      </w:pPr>
      <w:r w:rsidRPr="00722C25">
        <w:rPr>
          <w:rFonts w:cs="Arial"/>
        </w:rPr>
        <w:t xml:space="preserve">Co se původu finančních zdrojů týče, největší část jich pochází z oblasti finančních a nefinančních podniků (dále také “podniky”), na druhém místě jsou domácnosti, na třetím veřejné rozpočty, dále neziskové instituce a na posledním místě je mezinárodní prostředí (uvedené pořadí se po řadu let nemění). </w:t>
      </w:r>
    </w:p>
    <w:p w:rsidR="00722C25" w:rsidRPr="00722C25" w:rsidRDefault="00722C25" w:rsidP="00722C25">
      <w:pPr>
        <w:widowControl w:val="0"/>
        <w:overflowPunct w:val="0"/>
        <w:autoSpaceDE w:val="0"/>
        <w:autoSpaceDN w:val="0"/>
        <w:adjustRightInd w:val="0"/>
        <w:spacing w:after="360"/>
        <w:ind w:right="102"/>
        <w:jc w:val="both"/>
        <w:rPr>
          <w:rFonts w:cs="Arial"/>
        </w:rPr>
      </w:pPr>
      <w:r w:rsidRPr="00722C25">
        <w:rPr>
          <w:rFonts w:cs="Arial"/>
        </w:rPr>
        <w:t>V jednotlivých oblastech (odvětvích) kultury je obrázek podílů zdrojů financování poněkud odlišný. Zatímco</w:t>
      </w:r>
      <w:r w:rsidR="00B86977">
        <w:rPr>
          <w:rFonts w:cs="Arial"/>
        </w:rPr>
        <w:t> </w:t>
      </w:r>
      <w:r w:rsidRPr="00722C25">
        <w:rPr>
          <w:rFonts w:cs="Arial"/>
        </w:rPr>
        <w:t>v kulturním dě</w:t>
      </w:r>
      <w:r w:rsidRPr="00722C25">
        <w:rPr>
          <w:rFonts w:cs="Arial"/>
        </w:rPr>
        <w:softHyphen/>
        <w:t xml:space="preserve">dictví, interpretačním umění, uměleckém vzdělávání a v činnostech správního </w:t>
      </w:r>
      <w:r w:rsidR="00EC42F4" w:rsidRPr="00722C25">
        <w:rPr>
          <w:rFonts w:cs="Arial"/>
        </w:rPr>
        <w:t>charakteru</w:t>
      </w:r>
      <w:r w:rsidRPr="00722C25">
        <w:rPr>
          <w:rFonts w:cs="Arial"/>
        </w:rPr>
        <w:t xml:space="preserve"> jsou rozhodující veřejné rozpočty (se zhruba dvoutřetinovým podílem), v tržně orientovaných odvětvích (výtvarné umění, tisk, média, architektura, reklama) to jsou zdroje podniků a domácností. </w:t>
      </w:r>
    </w:p>
    <w:p w:rsidR="00DF5C19" w:rsidRDefault="00722C25" w:rsidP="00D14FA7">
      <w:pPr>
        <w:widowControl w:val="0"/>
        <w:overflowPunct w:val="0"/>
        <w:autoSpaceDE w:val="0"/>
        <w:autoSpaceDN w:val="0"/>
        <w:adjustRightInd w:val="0"/>
        <w:spacing w:after="360"/>
        <w:ind w:right="102"/>
        <w:jc w:val="both"/>
        <w:rPr>
          <w:rFonts w:cs="Arial"/>
        </w:rPr>
      </w:pPr>
      <w:r w:rsidRPr="00722C25">
        <w:rPr>
          <w:rFonts w:cs="Arial"/>
        </w:rPr>
        <w:t xml:space="preserve">Jak ukazuje následující tabulka, v pětileté časové řadě (2010 - 2015) jsou patrné tendence růstu podílu domácností a zejména zahraničí na celkových zdrojích, stagnace podílu veřejných rozpočtů a naopak poklesu (či v posledním roce stagnace) podílu podniků. S ohledem na poměrně nízkou absolutní úroveň jsou výkyvy podílů ostatních zdrojů velmi vysoké. </w:t>
      </w:r>
    </w:p>
    <w:p w:rsidR="00DF5C19" w:rsidRDefault="00DF5C19" w:rsidP="00D14FA7">
      <w:pPr>
        <w:widowControl w:val="0"/>
        <w:overflowPunct w:val="0"/>
        <w:autoSpaceDE w:val="0"/>
        <w:autoSpaceDN w:val="0"/>
        <w:adjustRightInd w:val="0"/>
        <w:spacing w:after="360"/>
        <w:ind w:right="102"/>
        <w:jc w:val="both"/>
        <w:rPr>
          <w:rFonts w:cs="Arial"/>
        </w:rPr>
      </w:pPr>
    </w:p>
    <w:tbl>
      <w:tblPr>
        <w:tblW w:w="9654" w:type="dxa"/>
        <w:tblInd w:w="55" w:type="dxa"/>
        <w:tblLayout w:type="fixed"/>
        <w:tblCellMar>
          <w:left w:w="70" w:type="dxa"/>
          <w:right w:w="70" w:type="dxa"/>
        </w:tblCellMar>
        <w:tblLook w:val="04A0"/>
      </w:tblPr>
      <w:tblGrid>
        <w:gridCol w:w="1858"/>
        <w:gridCol w:w="1299"/>
        <w:gridCol w:w="544"/>
        <w:gridCol w:w="755"/>
        <w:gridCol w:w="521"/>
        <w:gridCol w:w="779"/>
        <w:gridCol w:w="496"/>
        <w:gridCol w:w="803"/>
        <w:gridCol w:w="473"/>
        <w:gridCol w:w="826"/>
        <w:gridCol w:w="308"/>
        <w:gridCol w:w="992"/>
      </w:tblGrid>
      <w:tr w:rsidR="000D418C" w:rsidRPr="00FC56DE" w:rsidTr="00C73D1B">
        <w:trPr>
          <w:trHeight w:val="465"/>
        </w:trPr>
        <w:tc>
          <w:tcPr>
            <w:tcW w:w="9654" w:type="dxa"/>
            <w:gridSpan w:val="12"/>
            <w:tcBorders>
              <w:left w:val="nil"/>
              <w:bottom w:val="single" w:sz="4" w:space="0" w:color="auto"/>
            </w:tcBorders>
          </w:tcPr>
          <w:p w:rsidR="000D418C" w:rsidRDefault="000D418C" w:rsidP="00435C42">
            <w:pPr>
              <w:pStyle w:val="Zkladnodstavec"/>
              <w:spacing w:line="240" w:lineRule="auto"/>
              <w:rPr>
                <w:rFonts w:cs="Arial"/>
                <w:b/>
                <w:szCs w:val="16"/>
              </w:rPr>
            </w:pPr>
            <w:r>
              <w:rPr>
                <w:rFonts w:cs="Arial"/>
              </w:rPr>
              <w:br w:type="page"/>
            </w:r>
            <w:r>
              <w:rPr>
                <w:rFonts w:eastAsia="Times New Roman"/>
                <w:color w:val="auto"/>
              </w:rPr>
              <w:br w:type="page"/>
            </w:r>
            <w:r>
              <w:rPr>
                <w:rFonts w:cs="Arial"/>
                <w:b/>
                <w:szCs w:val="16"/>
              </w:rPr>
              <w:t>Podíly jednotlivých zdrojů na financování kultury</w:t>
            </w:r>
          </w:p>
          <w:p w:rsidR="000D418C" w:rsidRPr="00435C42" w:rsidRDefault="000D418C" w:rsidP="00435C42">
            <w:pPr>
              <w:pStyle w:val="Zkladnodstavec"/>
              <w:spacing w:line="240" w:lineRule="auto"/>
              <w:jc w:val="right"/>
              <w:rPr>
                <w:rFonts w:cs="Arial"/>
                <w:szCs w:val="16"/>
                <w:lang w:val="en-US"/>
              </w:rPr>
            </w:pPr>
            <w:r w:rsidRPr="00435C42">
              <w:rPr>
                <w:rFonts w:cs="Arial"/>
                <w:sz w:val="16"/>
                <w:szCs w:val="16"/>
              </w:rPr>
              <w:t xml:space="preserve">v </w:t>
            </w:r>
            <w:r w:rsidRPr="00435C42">
              <w:rPr>
                <w:rFonts w:cs="Arial"/>
                <w:sz w:val="16"/>
                <w:szCs w:val="16"/>
                <w:lang w:val="en-US"/>
              </w:rPr>
              <w:t>%</w:t>
            </w:r>
            <w:r w:rsidRPr="00435C42">
              <w:rPr>
                <w:rFonts w:cs="Arial"/>
                <w:sz w:val="16"/>
                <w:szCs w:val="16"/>
              </w:rPr>
              <w:t xml:space="preserve"> </w:t>
            </w:r>
          </w:p>
        </w:tc>
      </w:tr>
      <w:tr w:rsidR="00722C25" w:rsidRPr="00FC56DE" w:rsidTr="00722C25">
        <w:trPr>
          <w:trHeight w:val="465"/>
        </w:trPr>
        <w:tc>
          <w:tcPr>
            <w:tcW w:w="1858" w:type="dxa"/>
            <w:tcBorders>
              <w:top w:val="single" w:sz="4" w:space="0" w:color="auto"/>
              <w:left w:val="nil"/>
              <w:bottom w:val="single" w:sz="8" w:space="0" w:color="000000"/>
              <w:right w:val="single" w:sz="8" w:space="0" w:color="auto"/>
            </w:tcBorders>
            <w:shd w:val="clear" w:color="auto" w:fill="F5DADD"/>
            <w:vAlign w:val="center"/>
            <w:hideMark/>
          </w:tcPr>
          <w:p w:rsidR="00722C25" w:rsidRPr="006C123E" w:rsidRDefault="00722C25" w:rsidP="00D14FA7">
            <w:pPr>
              <w:pStyle w:val="Zkladnodstavec"/>
              <w:jc w:val="center"/>
              <w:rPr>
                <w:rFonts w:cs="Arial"/>
                <w:b/>
                <w:sz w:val="16"/>
                <w:szCs w:val="16"/>
              </w:rPr>
            </w:pPr>
            <w:r>
              <w:rPr>
                <w:rFonts w:cs="Arial"/>
                <w:b/>
                <w:sz w:val="16"/>
                <w:szCs w:val="16"/>
              </w:rPr>
              <w:t>Původ zdroje</w:t>
            </w:r>
          </w:p>
        </w:tc>
        <w:tc>
          <w:tcPr>
            <w:tcW w:w="1299" w:type="dxa"/>
            <w:tcBorders>
              <w:top w:val="single" w:sz="4" w:space="0" w:color="auto"/>
              <w:left w:val="nil"/>
              <w:bottom w:val="single" w:sz="8" w:space="0" w:color="auto"/>
              <w:right w:val="single" w:sz="8" w:space="0" w:color="auto"/>
            </w:tcBorders>
            <w:shd w:val="clear" w:color="auto" w:fill="F5DADD"/>
            <w:vAlign w:val="center"/>
            <w:hideMark/>
          </w:tcPr>
          <w:p w:rsidR="00722C25" w:rsidRPr="006C123E" w:rsidRDefault="00722C25" w:rsidP="00722C25">
            <w:pPr>
              <w:pStyle w:val="Zkladnodstavec"/>
              <w:jc w:val="center"/>
              <w:rPr>
                <w:rFonts w:cs="Arial"/>
                <w:b/>
                <w:sz w:val="16"/>
                <w:szCs w:val="16"/>
              </w:rPr>
            </w:pPr>
            <w:r>
              <w:rPr>
                <w:rFonts w:cs="Arial"/>
                <w:b/>
                <w:sz w:val="16"/>
                <w:szCs w:val="16"/>
              </w:rPr>
              <w:t>2010</w:t>
            </w:r>
          </w:p>
        </w:tc>
        <w:tc>
          <w:tcPr>
            <w:tcW w:w="1299" w:type="dxa"/>
            <w:gridSpan w:val="2"/>
            <w:tcBorders>
              <w:top w:val="single" w:sz="4" w:space="0" w:color="auto"/>
              <w:left w:val="nil"/>
              <w:bottom w:val="single" w:sz="8" w:space="0" w:color="auto"/>
              <w:right w:val="single" w:sz="8" w:space="0" w:color="auto"/>
            </w:tcBorders>
            <w:shd w:val="clear" w:color="auto" w:fill="F5DADD"/>
            <w:vAlign w:val="center"/>
            <w:hideMark/>
          </w:tcPr>
          <w:p w:rsidR="00722C25" w:rsidRPr="006C123E" w:rsidRDefault="00722C25" w:rsidP="00722C25">
            <w:pPr>
              <w:pStyle w:val="Zkladnodstavec"/>
              <w:jc w:val="center"/>
              <w:rPr>
                <w:rFonts w:cs="Arial"/>
                <w:b/>
                <w:sz w:val="16"/>
                <w:szCs w:val="16"/>
              </w:rPr>
            </w:pPr>
            <w:r>
              <w:rPr>
                <w:rFonts w:cs="Arial"/>
                <w:b/>
                <w:sz w:val="16"/>
                <w:szCs w:val="16"/>
              </w:rPr>
              <w:t>2012</w:t>
            </w:r>
          </w:p>
        </w:tc>
        <w:tc>
          <w:tcPr>
            <w:tcW w:w="1300" w:type="dxa"/>
            <w:gridSpan w:val="2"/>
            <w:tcBorders>
              <w:top w:val="single" w:sz="4" w:space="0" w:color="auto"/>
              <w:left w:val="nil"/>
              <w:bottom w:val="single" w:sz="8" w:space="0" w:color="auto"/>
              <w:right w:val="single" w:sz="8" w:space="0" w:color="auto"/>
            </w:tcBorders>
            <w:shd w:val="clear" w:color="auto" w:fill="F5DADD"/>
            <w:vAlign w:val="center"/>
            <w:hideMark/>
          </w:tcPr>
          <w:p w:rsidR="00722C25" w:rsidRPr="006C123E" w:rsidRDefault="00722C25" w:rsidP="00722C25">
            <w:pPr>
              <w:pStyle w:val="Zkladnodstavec"/>
              <w:jc w:val="center"/>
              <w:rPr>
                <w:rFonts w:cs="Arial"/>
                <w:b/>
                <w:sz w:val="16"/>
                <w:szCs w:val="16"/>
              </w:rPr>
            </w:pPr>
            <w:r>
              <w:rPr>
                <w:rFonts w:cs="Arial"/>
                <w:b/>
                <w:sz w:val="16"/>
                <w:szCs w:val="16"/>
              </w:rPr>
              <w:t>2013</w:t>
            </w:r>
          </w:p>
        </w:tc>
        <w:tc>
          <w:tcPr>
            <w:tcW w:w="1299" w:type="dxa"/>
            <w:gridSpan w:val="2"/>
            <w:tcBorders>
              <w:top w:val="single" w:sz="4" w:space="0" w:color="auto"/>
              <w:left w:val="nil"/>
              <w:bottom w:val="single" w:sz="8" w:space="0" w:color="auto"/>
              <w:right w:val="single" w:sz="8" w:space="0" w:color="auto"/>
            </w:tcBorders>
            <w:shd w:val="clear" w:color="auto" w:fill="F5DADD"/>
            <w:vAlign w:val="center"/>
            <w:hideMark/>
          </w:tcPr>
          <w:p w:rsidR="00722C25" w:rsidRPr="006C123E" w:rsidRDefault="00722C25" w:rsidP="00722C25">
            <w:pPr>
              <w:pStyle w:val="Zkladnodstavec"/>
              <w:jc w:val="center"/>
              <w:rPr>
                <w:rFonts w:cs="Arial"/>
                <w:b/>
                <w:sz w:val="16"/>
                <w:szCs w:val="16"/>
              </w:rPr>
            </w:pPr>
            <w:r>
              <w:rPr>
                <w:rFonts w:cs="Arial"/>
                <w:b/>
                <w:sz w:val="16"/>
                <w:szCs w:val="16"/>
              </w:rPr>
              <w:t>2014</w:t>
            </w:r>
          </w:p>
        </w:tc>
        <w:tc>
          <w:tcPr>
            <w:tcW w:w="1299" w:type="dxa"/>
            <w:gridSpan w:val="2"/>
            <w:tcBorders>
              <w:top w:val="single" w:sz="4" w:space="0" w:color="auto"/>
              <w:left w:val="nil"/>
              <w:bottom w:val="single" w:sz="8" w:space="0" w:color="auto"/>
              <w:right w:val="single" w:sz="4" w:space="0" w:color="auto"/>
            </w:tcBorders>
            <w:shd w:val="clear" w:color="auto" w:fill="F5DADD"/>
            <w:vAlign w:val="center"/>
          </w:tcPr>
          <w:p w:rsidR="00722C25" w:rsidRDefault="00722C25" w:rsidP="00722C25">
            <w:pPr>
              <w:pStyle w:val="Zkladnodstavec"/>
              <w:jc w:val="center"/>
              <w:rPr>
                <w:rFonts w:cs="Arial"/>
                <w:b/>
                <w:sz w:val="16"/>
                <w:szCs w:val="16"/>
              </w:rPr>
            </w:pPr>
            <w:r>
              <w:rPr>
                <w:rFonts w:cs="Arial"/>
                <w:b/>
                <w:sz w:val="16"/>
                <w:szCs w:val="16"/>
              </w:rPr>
              <w:t>2015</w:t>
            </w:r>
          </w:p>
        </w:tc>
        <w:tc>
          <w:tcPr>
            <w:tcW w:w="1300" w:type="dxa"/>
            <w:gridSpan w:val="2"/>
            <w:tcBorders>
              <w:top w:val="single" w:sz="4" w:space="0" w:color="auto"/>
              <w:left w:val="single" w:sz="4" w:space="0" w:color="auto"/>
              <w:bottom w:val="single" w:sz="8" w:space="0" w:color="auto"/>
              <w:right w:val="nil"/>
            </w:tcBorders>
            <w:shd w:val="clear" w:color="auto" w:fill="F5DADD"/>
            <w:vAlign w:val="center"/>
            <w:hideMark/>
          </w:tcPr>
          <w:p w:rsidR="00722C25" w:rsidRPr="00D14FA7" w:rsidRDefault="002315E3" w:rsidP="00722C25">
            <w:pPr>
              <w:pStyle w:val="Zkladnodstavec"/>
              <w:jc w:val="center"/>
              <w:rPr>
                <w:rFonts w:cs="Arial"/>
                <w:b/>
                <w:sz w:val="16"/>
                <w:szCs w:val="16"/>
                <w:lang w:val="en-US"/>
              </w:rPr>
            </w:pPr>
            <w:r>
              <w:rPr>
                <w:rFonts w:cs="Arial"/>
                <w:b/>
                <w:sz w:val="16"/>
                <w:szCs w:val="16"/>
              </w:rPr>
              <w:t>Index 2015</w:t>
            </w:r>
            <w:r w:rsidR="00722C25">
              <w:rPr>
                <w:rFonts w:cs="Arial"/>
                <w:b/>
                <w:sz w:val="16"/>
                <w:szCs w:val="16"/>
              </w:rPr>
              <w:t>/10</w:t>
            </w:r>
          </w:p>
        </w:tc>
      </w:tr>
      <w:tr w:rsidR="00722C25" w:rsidRPr="006C123E" w:rsidTr="00722C25">
        <w:trPr>
          <w:trHeight w:val="282"/>
        </w:trPr>
        <w:tc>
          <w:tcPr>
            <w:tcW w:w="1858" w:type="dxa"/>
            <w:tcBorders>
              <w:top w:val="nil"/>
              <w:left w:val="nil"/>
              <w:bottom w:val="nil"/>
              <w:right w:val="nil"/>
            </w:tcBorders>
            <w:shd w:val="clear" w:color="auto" w:fill="auto"/>
            <w:noWrap/>
            <w:vAlign w:val="bottom"/>
            <w:hideMark/>
          </w:tcPr>
          <w:p w:rsidR="00722C25" w:rsidRPr="006C123E" w:rsidRDefault="00722C25" w:rsidP="00D14FA7">
            <w:pPr>
              <w:pStyle w:val="Zkladnodstavec"/>
              <w:rPr>
                <w:rFonts w:cs="Arial"/>
                <w:sz w:val="16"/>
                <w:szCs w:val="16"/>
              </w:rPr>
            </w:pPr>
            <w:r>
              <w:rPr>
                <w:rFonts w:cs="Arial"/>
                <w:sz w:val="16"/>
                <w:szCs w:val="16"/>
              </w:rPr>
              <w:t>Veřejné rozpočty</w:t>
            </w:r>
          </w:p>
        </w:tc>
        <w:tc>
          <w:tcPr>
            <w:tcW w:w="1299" w:type="dxa"/>
            <w:tcBorders>
              <w:top w:val="nil"/>
              <w:left w:val="single" w:sz="8" w:space="0" w:color="auto"/>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13,5</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14,5</w:t>
            </w:r>
          </w:p>
        </w:tc>
        <w:tc>
          <w:tcPr>
            <w:tcW w:w="1300"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15,8</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15,9</w:t>
            </w:r>
          </w:p>
        </w:tc>
        <w:tc>
          <w:tcPr>
            <w:tcW w:w="1299" w:type="dxa"/>
            <w:gridSpan w:val="2"/>
            <w:tcBorders>
              <w:top w:val="single" w:sz="8" w:space="0" w:color="auto"/>
              <w:left w:val="nil"/>
              <w:right w:val="single" w:sz="4" w:space="0" w:color="auto"/>
            </w:tcBorders>
            <w:vAlign w:val="center"/>
          </w:tcPr>
          <w:p w:rsidR="00722C25" w:rsidRDefault="00722C25" w:rsidP="00722C25">
            <w:pPr>
              <w:pStyle w:val="Zkladnodstavec"/>
              <w:jc w:val="center"/>
              <w:rPr>
                <w:rFonts w:cs="Arial"/>
                <w:color w:val="auto"/>
                <w:sz w:val="16"/>
                <w:szCs w:val="16"/>
              </w:rPr>
            </w:pPr>
            <w:r>
              <w:rPr>
                <w:rFonts w:cs="Arial"/>
                <w:color w:val="auto"/>
                <w:sz w:val="16"/>
                <w:szCs w:val="16"/>
              </w:rPr>
              <w:t>15,1</w:t>
            </w:r>
          </w:p>
        </w:tc>
        <w:tc>
          <w:tcPr>
            <w:tcW w:w="1300" w:type="dxa"/>
            <w:gridSpan w:val="2"/>
            <w:tcBorders>
              <w:top w:val="nil"/>
              <w:left w:val="single" w:sz="4" w:space="0" w:color="auto"/>
              <w:bottom w:val="nil"/>
              <w:right w:val="nil"/>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111,9</w:t>
            </w:r>
          </w:p>
        </w:tc>
      </w:tr>
      <w:tr w:rsidR="00722C25" w:rsidRPr="006C123E" w:rsidTr="00722C25">
        <w:trPr>
          <w:trHeight w:val="282"/>
        </w:trPr>
        <w:tc>
          <w:tcPr>
            <w:tcW w:w="1858" w:type="dxa"/>
            <w:tcBorders>
              <w:top w:val="nil"/>
              <w:left w:val="nil"/>
              <w:bottom w:val="nil"/>
              <w:right w:val="nil"/>
            </w:tcBorders>
            <w:shd w:val="clear" w:color="auto" w:fill="auto"/>
            <w:noWrap/>
            <w:vAlign w:val="bottom"/>
            <w:hideMark/>
          </w:tcPr>
          <w:p w:rsidR="00722C25" w:rsidRPr="006C123E" w:rsidRDefault="00722C25" w:rsidP="00D14FA7">
            <w:pPr>
              <w:pStyle w:val="Zkladnodstavec"/>
              <w:rPr>
                <w:rFonts w:cs="Arial"/>
                <w:sz w:val="16"/>
                <w:szCs w:val="16"/>
              </w:rPr>
            </w:pPr>
            <w:r>
              <w:rPr>
                <w:rFonts w:cs="Arial"/>
                <w:sz w:val="16"/>
                <w:szCs w:val="16"/>
              </w:rPr>
              <w:t>Domácnosti</w:t>
            </w:r>
          </w:p>
        </w:tc>
        <w:tc>
          <w:tcPr>
            <w:tcW w:w="1299" w:type="dxa"/>
            <w:tcBorders>
              <w:top w:val="nil"/>
              <w:left w:val="single" w:sz="8" w:space="0" w:color="auto"/>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16,8</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19,3</w:t>
            </w:r>
          </w:p>
        </w:tc>
        <w:tc>
          <w:tcPr>
            <w:tcW w:w="1300"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19,5</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20,2</w:t>
            </w:r>
          </w:p>
        </w:tc>
        <w:tc>
          <w:tcPr>
            <w:tcW w:w="1299" w:type="dxa"/>
            <w:gridSpan w:val="2"/>
            <w:tcBorders>
              <w:top w:val="nil"/>
              <w:left w:val="nil"/>
              <w:bottom w:val="nil"/>
              <w:right w:val="single" w:sz="4" w:space="0" w:color="auto"/>
            </w:tcBorders>
            <w:vAlign w:val="center"/>
          </w:tcPr>
          <w:p w:rsidR="00722C25" w:rsidRDefault="00722C25" w:rsidP="00722C25">
            <w:pPr>
              <w:pStyle w:val="Zkladnodstavec"/>
              <w:jc w:val="center"/>
              <w:rPr>
                <w:rFonts w:cs="Arial"/>
                <w:color w:val="auto"/>
                <w:sz w:val="16"/>
                <w:szCs w:val="16"/>
              </w:rPr>
            </w:pPr>
            <w:r>
              <w:rPr>
                <w:rFonts w:cs="Arial"/>
                <w:color w:val="auto"/>
                <w:sz w:val="16"/>
                <w:szCs w:val="16"/>
              </w:rPr>
              <w:t>19,8</w:t>
            </w:r>
          </w:p>
        </w:tc>
        <w:tc>
          <w:tcPr>
            <w:tcW w:w="1300" w:type="dxa"/>
            <w:gridSpan w:val="2"/>
            <w:tcBorders>
              <w:top w:val="nil"/>
              <w:left w:val="single" w:sz="4" w:space="0" w:color="auto"/>
              <w:bottom w:val="nil"/>
              <w:right w:val="nil"/>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117,9</w:t>
            </w:r>
          </w:p>
        </w:tc>
      </w:tr>
      <w:tr w:rsidR="00722C25" w:rsidRPr="006C123E" w:rsidTr="00722C25">
        <w:trPr>
          <w:trHeight w:val="282"/>
        </w:trPr>
        <w:tc>
          <w:tcPr>
            <w:tcW w:w="1858" w:type="dxa"/>
            <w:tcBorders>
              <w:top w:val="nil"/>
              <w:left w:val="nil"/>
              <w:bottom w:val="nil"/>
              <w:right w:val="nil"/>
            </w:tcBorders>
            <w:shd w:val="clear" w:color="auto" w:fill="auto"/>
            <w:noWrap/>
            <w:vAlign w:val="bottom"/>
            <w:hideMark/>
          </w:tcPr>
          <w:p w:rsidR="00722C25" w:rsidRPr="006C123E" w:rsidRDefault="00722C25" w:rsidP="00D14FA7">
            <w:pPr>
              <w:pStyle w:val="Zkladnodstavec"/>
              <w:rPr>
                <w:rFonts w:cs="Arial"/>
                <w:sz w:val="16"/>
                <w:szCs w:val="16"/>
              </w:rPr>
            </w:pPr>
            <w:r>
              <w:rPr>
                <w:rFonts w:cs="Arial"/>
                <w:sz w:val="16"/>
                <w:szCs w:val="16"/>
              </w:rPr>
              <w:t>Podniky</w:t>
            </w:r>
          </w:p>
        </w:tc>
        <w:tc>
          <w:tcPr>
            <w:tcW w:w="1299" w:type="dxa"/>
            <w:tcBorders>
              <w:top w:val="nil"/>
              <w:left w:val="single" w:sz="8" w:space="0" w:color="auto"/>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66,7</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62,2</w:t>
            </w:r>
          </w:p>
        </w:tc>
        <w:tc>
          <w:tcPr>
            <w:tcW w:w="1300"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62,5</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61,8</w:t>
            </w:r>
          </w:p>
        </w:tc>
        <w:tc>
          <w:tcPr>
            <w:tcW w:w="1299" w:type="dxa"/>
            <w:gridSpan w:val="2"/>
            <w:tcBorders>
              <w:top w:val="nil"/>
              <w:left w:val="nil"/>
              <w:bottom w:val="nil"/>
              <w:right w:val="single" w:sz="4" w:space="0" w:color="auto"/>
            </w:tcBorders>
            <w:vAlign w:val="center"/>
          </w:tcPr>
          <w:p w:rsidR="00722C25" w:rsidRDefault="00722C25" w:rsidP="00722C25">
            <w:pPr>
              <w:pStyle w:val="Zkladnodstavec"/>
              <w:jc w:val="center"/>
              <w:rPr>
                <w:rFonts w:cs="Arial"/>
                <w:color w:val="auto"/>
                <w:sz w:val="16"/>
                <w:szCs w:val="16"/>
              </w:rPr>
            </w:pPr>
            <w:r>
              <w:rPr>
                <w:rFonts w:cs="Arial"/>
                <w:color w:val="auto"/>
                <w:sz w:val="16"/>
                <w:szCs w:val="16"/>
              </w:rPr>
              <w:t>62,3</w:t>
            </w:r>
          </w:p>
        </w:tc>
        <w:tc>
          <w:tcPr>
            <w:tcW w:w="1300" w:type="dxa"/>
            <w:gridSpan w:val="2"/>
            <w:tcBorders>
              <w:top w:val="nil"/>
              <w:left w:val="single" w:sz="4" w:space="0" w:color="auto"/>
              <w:bottom w:val="nil"/>
              <w:right w:val="nil"/>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93,4</w:t>
            </w:r>
          </w:p>
        </w:tc>
      </w:tr>
      <w:tr w:rsidR="00722C25" w:rsidRPr="006C123E" w:rsidTr="00722C25">
        <w:trPr>
          <w:trHeight w:val="282"/>
        </w:trPr>
        <w:tc>
          <w:tcPr>
            <w:tcW w:w="1858" w:type="dxa"/>
            <w:tcBorders>
              <w:top w:val="nil"/>
              <w:left w:val="nil"/>
              <w:bottom w:val="nil"/>
              <w:right w:val="nil"/>
            </w:tcBorders>
            <w:shd w:val="clear" w:color="auto" w:fill="auto"/>
            <w:noWrap/>
            <w:vAlign w:val="bottom"/>
            <w:hideMark/>
          </w:tcPr>
          <w:p w:rsidR="00722C25" w:rsidRPr="006C123E" w:rsidRDefault="00722C25" w:rsidP="00D14FA7">
            <w:pPr>
              <w:pStyle w:val="Zkladnodstavec"/>
              <w:rPr>
                <w:rFonts w:cs="Arial"/>
                <w:sz w:val="16"/>
                <w:szCs w:val="16"/>
              </w:rPr>
            </w:pPr>
            <w:r>
              <w:rPr>
                <w:rFonts w:cs="Arial"/>
                <w:sz w:val="16"/>
                <w:szCs w:val="16"/>
              </w:rPr>
              <w:t>Neziskové instituce</w:t>
            </w:r>
          </w:p>
        </w:tc>
        <w:tc>
          <w:tcPr>
            <w:tcW w:w="1299" w:type="dxa"/>
            <w:tcBorders>
              <w:top w:val="nil"/>
              <w:left w:val="single" w:sz="8" w:space="0" w:color="auto"/>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2,8</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3,2</w:t>
            </w:r>
          </w:p>
        </w:tc>
        <w:tc>
          <w:tcPr>
            <w:tcW w:w="1300"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1,1</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1,1</w:t>
            </w:r>
          </w:p>
        </w:tc>
        <w:tc>
          <w:tcPr>
            <w:tcW w:w="1299" w:type="dxa"/>
            <w:gridSpan w:val="2"/>
            <w:tcBorders>
              <w:top w:val="nil"/>
              <w:left w:val="nil"/>
              <w:bottom w:val="nil"/>
              <w:right w:val="single" w:sz="4" w:space="0" w:color="auto"/>
            </w:tcBorders>
            <w:vAlign w:val="center"/>
          </w:tcPr>
          <w:p w:rsidR="00722C25" w:rsidRDefault="00722C25" w:rsidP="00722C25">
            <w:pPr>
              <w:pStyle w:val="Zkladnodstavec"/>
              <w:jc w:val="center"/>
              <w:rPr>
                <w:rFonts w:cs="Arial"/>
                <w:color w:val="auto"/>
                <w:sz w:val="16"/>
                <w:szCs w:val="16"/>
              </w:rPr>
            </w:pPr>
            <w:r>
              <w:rPr>
                <w:rFonts w:cs="Arial"/>
                <w:color w:val="auto"/>
                <w:sz w:val="16"/>
                <w:szCs w:val="16"/>
              </w:rPr>
              <w:t>1,6</w:t>
            </w:r>
          </w:p>
        </w:tc>
        <w:tc>
          <w:tcPr>
            <w:tcW w:w="1300" w:type="dxa"/>
            <w:gridSpan w:val="2"/>
            <w:tcBorders>
              <w:top w:val="nil"/>
              <w:left w:val="single" w:sz="4" w:space="0" w:color="auto"/>
              <w:bottom w:val="nil"/>
              <w:right w:val="nil"/>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57,1</w:t>
            </w:r>
          </w:p>
        </w:tc>
      </w:tr>
      <w:tr w:rsidR="00722C25" w:rsidRPr="006C123E" w:rsidTr="00722C25">
        <w:trPr>
          <w:trHeight w:val="282"/>
        </w:trPr>
        <w:tc>
          <w:tcPr>
            <w:tcW w:w="1858" w:type="dxa"/>
            <w:tcBorders>
              <w:top w:val="nil"/>
              <w:left w:val="nil"/>
              <w:bottom w:val="nil"/>
              <w:right w:val="nil"/>
            </w:tcBorders>
            <w:shd w:val="clear" w:color="auto" w:fill="auto"/>
            <w:noWrap/>
            <w:vAlign w:val="bottom"/>
            <w:hideMark/>
          </w:tcPr>
          <w:p w:rsidR="00722C25" w:rsidRPr="006C123E" w:rsidRDefault="00722C25" w:rsidP="00D14FA7">
            <w:pPr>
              <w:pStyle w:val="Zkladnodstavec"/>
              <w:rPr>
                <w:rFonts w:cs="Arial"/>
                <w:sz w:val="16"/>
                <w:szCs w:val="16"/>
              </w:rPr>
            </w:pPr>
            <w:r>
              <w:rPr>
                <w:rFonts w:cs="Arial"/>
                <w:sz w:val="16"/>
                <w:szCs w:val="16"/>
              </w:rPr>
              <w:t>Ostatní svět</w:t>
            </w:r>
          </w:p>
        </w:tc>
        <w:tc>
          <w:tcPr>
            <w:tcW w:w="1299" w:type="dxa"/>
            <w:tcBorders>
              <w:top w:val="nil"/>
              <w:left w:val="single" w:sz="8" w:space="0" w:color="auto"/>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0,2</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0,8</w:t>
            </w:r>
          </w:p>
        </w:tc>
        <w:tc>
          <w:tcPr>
            <w:tcW w:w="1300"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1,1</w:t>
            </w:r>
          </w:p>
        </w:tc>
        <w:tc>
          <w:tcPr>
            <w:tcW w:w="1299" w:type="dxa"/>
            <w:gridSpan w:val="2"/>
            <w:tcBorders>
              <w:top w:val="nil"/>
              <w:left w:val="nil"/>
              <w:bottom w:val="nil"/>
              <w:right w:val="single" w:sz="8" w:space="0" w:color="auto"/>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1,0</w:t>
            </w:r>
          </w:p>
        </w:tc>
        <w:tc>
          <w:tcPr>
            <w:tcW w:w="1299" w:type="dxa"/>
            <w:gridSpan w:val="2"/>
            <w:tcBorders>
              <w:top w:val="nil"/>
              <w:left w:val="nil"/>
              <w:bottom w:val="nil"/>
              <w:right w:val="single" w:sz="4" w:space="0" w:color="auto"/>
            </w:tcBorders>
            <w:vAlign w:val="center"/>
          </w:tcPr>
          <w:p w:rsidR="00722C25" w:rsidRDefault="00722C25" w:rsidP="00722C25">
            <w:pPr>
              <w:pStyle w:val="Zkladnodstavec"/>
              <w:jc w:val="center"/>
              <w:rPr>
                <w:rFonts w:cs="Arial"/>
                <w:color w:val="auto"/>
                <w:sz w:val="16"/>
                <w:szCs w:val="16"/>
              </w:rPr>
            </w:pPr>
            <w:r>
              <w:rPr>
                <w:rFonts w:cs="Arial"/>
                <w:color w:val="auto"/>
                <w:sz w:val="16"/>
                <w:szCs w:val="16"/>
              </w:rPr>
              <w:t>1,2</w:t>
            </w:r>
          </w:p>
        </w:tc>
        <w:tc>
          <w:tcPr>
            <w:tcW w:w="1300" w:type="dxa"/>
            <w:gridSpan w:val="2"/>
            <w:tcBorders>
              <w:top w:val="nil"/>
              <w:left w:val="single" w:sz="4" w:space="0" w:color="auto"/>
              <w:bottom w:val="nil"/>
              <w:right w:val="nil"/>
            </w:tcBorders>
            <w:shd w:val="clear" w:color="auto" w:fill="auto"/>
            <w:noWrap/>
            <w:vAlign w:val="center"/>
            <w:hideMark/>
          </w:tcPr>
          <w:p w:rsidR="00722C25" w:rsidRPr="006C123E" w:rsidRDefault="00722C25" w:rsidP="00722C25">
            <w:pPr>
              <w:pStyle w:val="Zkladnodstavec"/>
              <w:jc w:val="center"/>
              <w:rPr>
                <w:rFonts w:cs="Arial"/>
                <w:color w:val="auto"/>
                <w:sz w:val="16"/>
                <w:szCs w:val="16"/>
              </w:rPr>
            </w:pPr>
            <w:r>
              <w:rPr>
                <w:rFonts w:cs="Arial"/>
                <w:color w:val="auto"/>
                <w:sz w:val="16"/>
                <w:szCs w:val="16"/>
              </w:rPr>
              <w:t>600,0</w:t>
            </w:r>
          </w:p>
        </w:tc>
      </w:tr>
      <w:tr w:rsidR="00722C25" w:rsidRPr="006C123E" w:rsidTr="00722C25">
        <w:trPr>
          <w:trHeight w:val="170"/>
        </w:trPr>
        <w:tc>
          <w:tcPr>
            <w:tcW w:w="1858" w:type="dxa"/>
            <w:tcBorders>
              <w:top w:val="nil"/>
              <w:left w:val="nil"/>
              <w:bottom w:val="nil"/>
              <w:right w:val="nil"/>
            </w:tcBorders>
            <w:shd w:val="clear" w:color="auto" w:fill="auto"/>
            <w:vAlign w:val="center"/>
            <w:hideMark/>
          </w:tcPr>
          <w:p w:rsidR="00722C25" w:rsidRDefault="00722C25" w:rsidP="003B4B72">
            <w:pPr>
              <w:pStyle w:val="Zkladnodstavec"/>
              <w:rPr>
                <w:rFonts w:cs="Arial"/>
                <w:sz w:val="16"/>
                <w:szCs w:val="16"/>
              </w:rPr>
            </w:pPr>
          </w:p>
          <w:p w:rsidR="00722C25" w:rsidRPr="006C123E" w:rsidRDefault="00722C25" w:rsidP="003B4B72">
            <w:pPr>
              <w:pStyle w:val="Zkladnodstavec"/>
              <w:rPr>
                <w:rFonts w:cs="Arial"/>
                <w:sz w:val="16"/>
                <w:szCs w:val="16"/>
              </w:rPr>
            </w:pPr>
          </w:p>
        </w:tc>
        <w:tc>
          <w:tcPr>
            <w:tcW w:w="1843" w:type="dxa"/>
            <w:gridSpan w:val="2"/>
            <w:tcBorders>
              <w:top w:val="nil"/>
              <w:left w:val="nil"/>
              <w:bottom w:val="nil"/>
              <w:right w:val="nil"/>
            </w:tcBorders>
            <w:shd w:val="clear" w:color="auto" w:fill="auto"/>
            <w:noWrap/>
            <w:vAlign w:val="bottom"/>
            <w:hideMark/>
          </w:tcPr>
          <w:p w:rsidR="00722C25" w:rsidRPr="006C123E" w:rsidRDefault="00722C25" w:rsidP="003B4B72">
            <w:pPr>
              <w:pStyle w:val="Zkladnodstavec"/>
              <w:rPr>
                <w:rFonts w:cs="Arial"/>
                <w:sz w:val="16"/>
                <w:szCs w:val="16"/>
              </w:rPr>
            </w:pPr>
          </w:p>
        </w:tc>
        <w:tc>
          <w:tcPr>
            <w:tcW w:w="1276" w:type="dxa"/>
            <w:gridSpan w:val="2"/>
            <w:tcBorders>
              <w:top w:val="nil"/>
              <w:left w:val="nil"/>
              <w:bottom w:val="nil"/>
              <w:right w:val="nil"/>
            </w:tcBorders>
            <w:shd w:val="clear" w:color="auto" w:fill="auto"/>
            <w:noWrap/>
            <w:vAlign w:val="bottom"/>
            <w:hideMark/>
          </w:tcPr>
          <w:p w:rsidR="00722C25" w:rsidRPr="006C123E" w:rsidRDefault="00722C25" w:rsidP="003B4B72">
            <w:pPr>
              <w:pStyle w:val="Zkladnodstavec"/>
              <w:rPr>
                <w:rFonts w:cs="Arial"/>
                <w:sz w:val="16"/>
                <w:szCs w:val="16"/>
              </w:rPr>
            </w:pPr>
          </w:p>
        </w:tc>
        <w:tc>
          <w:tcPr>
            <w:tcW w:w="1275" w:type="dxa"/>
            <w:gridSpan w:val="2"/>
            <w:tcBorders>
              <w:top w:val="nil"/>
              <w:left w:val="nil"/>
              <w:bottom w:val="nil"/>
              <w:right w:val="nil"/>
            </w:tcBorders>
            <w:shd w:val="clear" w:color="auto" w:fill="auto"/>
            <w:noWrap/>
            <w:vAlign w:val="bottom"/>
            <w:hideMark/>
          </w:tcPr>
          <w:p w:rsidR="00722C25" w:rsidRPr="006C123E" w:rsidRDefault="00722C25" w:rsidP="003B4B72">
            <w:pPr>
              <w:pStyle w:val="Zkladnodstavec"/>
              <w:rPr>
                <w:rFonts w:cs="Arial"/>
                <w:sz w:val="16"/>
                <w:szCs w:val="16"/>
              </w:rPr>
            </w:pPr>
          </w:p>
        </w:tc>
        <w:tc>
          <w:tcPr>
            <w:tcW w:w="1276" w:type="dxa"/>
            <w:gridSpan w:val="2"/>
            <w:tcBorders>
              <w:top w:val="nil"/>
              <w:left w:val="nil"/>
              <w:bottom w:val="nil"/>
              <w:right w:val="nil"/>
            </w:tcBorders>
            <w:shd w:val="clear" w:color="auto" w:fill="auto"/>
            <w:noWrap/>
            <w:vAlign w:val="bottom"/>
            <w:hideMark/>
          </w:tcPr>
          <w:p w:rsidR="00722C25" w:rsidRPr="006C123E" w:rsidRDefault="00722C25" w:rsidP="003B4B72">
            <w:pPr>
              <w:pStyle w:val="Zkladnodstavec"/>
              <w:rPr>
                <w:rFonts w:cs="Arial"/>
                <w:sz w:val="16"/>
                <w:szCs w:val="16"/>
              </w:rPr>
            </w:pPr>
          </w:p>
        </w:tc>
        <w:tc>
          <w:tcPr>
            <w:tcW w:w="1134" w:type="dxa"/>
            <w:gridSpan w:val="2"/>
            <w:tcBorders>
              <w:top w:val="nil"/>
              <w:left w:val="nil"/>
              <w:bottom w:val="nil"/>
              <w:right w:val="nil"/>
            </w:tcBorders>
          </w:tcPr>
          <w:p w:rsidR="00722C25" w:rsidRPr="006C123E" w:rsidRDefault="00722C25" w:rsidP="003B4B72">
            <w:pPr>
              <w:pStyle w:val="Zkladnodstavec"/>
              <w:rPr>
                <w:rFonts w:cs="Arial"/>
                <w:sz w:val="16"/>
                <w:szCs w:val="16"/>
              </w:rPr>
            </w:pPr>
          </w:p>
        </w:tc>
        <w:tc>
          <w:tcPr>
            <w:tcW w:w="992" w:type="dxa"/>
            <w:tcBorders>
              <w:top w:val="nil"/>
              <w:left w:val="nil"/>
              <w:bottom w:val="nil"/>
              <w:right w:val="nil"/>
            </w:tcBorders>
            <w:shd w:val="clear" w:color="auto" w:fill="auto"/>
            <w:noWrap/>
            <w:vAlign w:val="bottom"/>
            <w:hideMark/>
          </w:tcPr>
          <w:p w:rsidR="00722C25" w:rsidRPr="006C123E" w:rsidRDefault="00722C25" w:rsidP="003B4B72">
            <w:pPr>
              <w:pStyle w:val="Zkladnodstavec"/>
              <w:rPr>
                <w:rFonts w:cs="Arial"/>
                <w:sz w:val="16"/>
                <w:szCs w:val="16"/>
              </w:rPr>
            </w:pPr>
          </w:p>
        </w:tc>
      </w:tr>
    </w:tbl>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Z veřejných rozpočtů bylo v roce 2015 věnováno na kulturu téměř 34,3 mld. Kč, tj. o 1 599 mil. Kč (o 4,5 %) méně než v roce předcházejícím. Tato částka představuje konsolidované provozní a investiční výdaje organizačních složek státu, územních samosprávných celků a státních mimorozpočtových fondů (fondu kultury a fondu pro podporu a rozvoj české kinematografie) na bázi po</w:t>
      </w:r>
      <w:r w:rsidRPr="00722C25">
        <w:rPr>
          <w:rFonts w:cs="Arial"/>
        </w:rPr>
        <w:softHyphen/>
        <w:t xml:space="preserve">kladního plnění.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Z celkové výše výdajů bylo více než 28,2 mld. Kč určeno na provozní účely a necelých 6,1 mld. Kč na investice. Z pohledu úrovně veřejných zdrojů bylo nejvíce - jak provozních, tak i investičních prostředků - vydáno na kulturu z obecních a městských rozpočtů (téměř 49 %) a to zejména do oblasti kulturního dědictví, interpretačního umění a uměleckého vzdělávání.</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 xml:space="preserve">Celková finanční částka věnovaná kultuře v roce 2015 představovala 1,93 % veřejných rozpočtů.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 xml:space="preserve">Nepřímou pomoc státu kultuře je nemožné kvantifikovat, mimo jiné i proto, že její část může přicházet </w:t>
      </w:r>
      <w:r w:rsidRPr="00722C25">
        <w:rPr>
          <w:rFonts w:cs="Arial"/>
        </w:rPr>
        <w:lastRenderedPageBreak/>
        <w:t>i prostřednictvím vý</w:t>
      </w:r>
      <w:r w:rsidRPr="00722C25">
        <w:rPr>
          <w:rFonts w:cs="Arial"/>
        </w:rPr>
        <w:softHyphen/>
        <w:t xml:space="preserve">dajů domácností a podniků (snížení základu daně v případě daru kulturní instituci).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Výdaje domácností na kulturu se v roce 2015 v porovnání s předcházejícím rokem mírně poklesly (o 1,5 %) a dosáhly 44,9 mld. Kč. Jejich váha v celkových finančních zdrojích kul</w:t>
      </w:r>
      <w:r w:rsidRPr="00722C25">
        <w:rPr>
          <w:rFonts w:cs="Arial"/>
        </w:rPr>
        <w:softHyphen/>
        <w:t xml:space="preserve">tury však v posledních pěti letech rostla (s výjimkou zahraničních zdrojů nejvíce).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 xml:space="preserve">Výdaje domácností směřovaly zejména do sféry médií a tisku (televize, rozhlas, kino, knihy a tisk atd.) a to ve výši 31,4 mld. Kč, což představuje podíl téměř 70 %. Mnohem méně prostředků domácnosti vydaly v oblasti kulturního dědictví, živé umělecké tvorby (interpretační a výtvarné umění) a uměleckého vzdělávání (celkem 8,5 mld. Kč). Výdaje domácností na kulturu mají nejčastěji podobu vstupného, nákupu občerstvení a upomínkových předmětů, řemeslných výrobků, koncesionářských poplatků, jiných poplatků za služby, úhrad školného, zápisného a úhrad nákupů zboží kulturní povahy (knihy, časopisy, obrazy, starožitnosti atd.).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Podíl výdajů domácností na kulturu na celkových čistých peněžních výdajích domácností dosáhl v roce 2015 zhruba 3,2 %.</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V rámci ostatních zdrojů financování kultury (65 % podíl na celkových zdrojích) mají nejvýznamnější postavení fi</w:t>
      </w:r>
      <w:r w:rsidRPr="00722C25">
        <w:rPr>
          <w:rFonts w:cs="Arial"/>
        </w:rPr>
        <w:softHyphen/>
        <w:t>nanční a nefinanční podniky (141,1 mld. Kč), dále nevládní neziskové instituce (3,5 mld. Kč). Rostoucím zdrojem doplňkového charakteru byly prostředky ze zahraničí (2,7 mld. Kč). V porovnání s předcházejícím rokem byly ostatní zdroje o 3,1 mld. Kč (2,1 %) vyšší.</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Co se týče jejich rozdělení do jednotlivých oblastí, směřovaly ostatní zdroje zejména do reklamy (67,4</w:t>
      </w:r>
      <w:r w:rsidR="000D418C">
        <w:rPr>
          <w:rFonts w:cs="Arial"/>
        </w:rPr>
        <w:t> </w:t>
      </w:r>
      <w:r w:rsidRPr="00722C25">
        <w:rPr>
          <w:rFonts w:cs="Arial"/>
        </w:rPr>
        <w:t>mld. Kč), médií (22,8 mld. Kč) a tisku (20,7 mld. Kč). Na druhé straně mnohem méně do oborů živé umělecké tvorby, ve kterých tradičně převa</w:t>
      </w:r>
      <w:r w:rsidRPr="00722C25">
        <w:rPr>
          <w:rFonts w:cs="Arial"/>
        </w:rPr>
        <w:softHyphen/>
        <w:t>žuje účast zdrojů veřejných.</w:t>
      </w:r>
    </w:p>
    <w:p w:rsidR="00722C25" w:rsidRPr="00722C25" w:rsidRDefault="00722C25" w:rsidP="00722C25">
      <w:pPr>
        <w:widowControl w:val="0"/>
        <w:overflowPunct w:val="0"/>
        <w:autoSpaceDE w:val="0"/>
        <w:autoSpaceDN w:val="0"/>
        <w:adjustRightInd w:val="0"/>
        <w:ind w:right="100"/>
        <w:jc w:val="both"/>
        <w:rPr>
          <w:rFonts w:cs="Arial"/>
        </w:rPr>
      </w:pPr>
      <w:r w:rsidRPr="00722C25">
        <w:rPr>
          <w:rFonts w:cs="Arial"/>
        </w:rPr>
        <w:t>Mírné zvýšení celkových finančních zdrojů kultury má bezesporu souvislost s </w:t>
      </w:r>
      <w:r w:rsidR="00EC42F4" w:rsidRPr="00722C25">
        <w:rPr>
          <w:rFonts w:cs="Arial"/>
        </w:rPr>
        <w:t>postupným návratem</w:t>
      </w:r>
      <w:r w:rsidRPr="00722C25">
        <w:rPr>
          <w:rFonts w:cs="Arial"/>
        </w:rPr>
        <w:t xml:space="preserve"> reálného eko</w:t>
      </w:r>
      <w:r w:rsidRPr="00722C25">
        <w:rPr>
          <w:rFonts w:cs="Arial"/>
        </w:rPr>
        <w:softHyphen/>
        <w:t>nomického růstu počínajícím již v roce 2013.</w:t>
      </w:r>
    </w:p>
    <w:p w:rsidR="00D7626D" w:rsidRDefault="00722C25" w:rsidP="00722C25">
      <w:pPr>
        <w:widowControl w:val="0"/>
        <w:overflowPunct w:val="0"/>
        <w:autoSpaceDE w:val="0"/>
        <w:autoSpaceDN w:val="0"/>
        <w:adjustRightInd w:val="0"/>
        <w:ind w:right="100"/>
        <w:jc w:val="both"/>
        <w:rPr>
          <w:rFonts w:cs="Arial"/>
        </w:rPr>
      </w:pPr>
      <w:r w:rsidRPr="00722C25">
        <w:rPr>
          <w:rFonts w:cs="Arial"/>
        </w:rPr>
        <w:t>Rozdílná míra uplatnění zdrojů v jednotlivých kulturních oblastech je odrazem odlišné úrovně rozvoje tržních vztahů v kulturním sektoru. Zatímco se veřejné zdroje nejvíce angažují v oblasti kulturního dědictví, uměleckého vzdělávání, interpre</w:t>
      </w:r>
      <w:r w:rsidRPr="00722C25">
        <w:rPr>
          <w:rFonts w:cs="Arial"/>
        </w:rPr>
        <w:softHyphen/>
        <w:t xml:space="preserve">tačního umění a správy, tak domácnosti a zejména podniky v oblastech tisku, audiovize, reklamy a architektury. </w:t>
      </w:r>
    </w:p>
    <w:p w:rsidR="00D7626D" w:rsidRDefault="00D7626D" w:rsidP="006E4CC9">
      <w:pPr>
        <w:pStyle w:val="Nadpis2"/>
      </w:pPr>
      <w:bookmarkStart w:id="25" w:name="_Toc451166915"/>
      <w:bookmarkStart w:id="26" w:name="_Toc451166931"/>
      <w:bookmarkStart w:id="27" w:name="_Toc451175104"/>
      <w:bookmarkStart w:id="28" w:name="_Toc451180160"/>
      <w:bookmarkStart w:id="29" w:name="_Toc483227182"/>
      <w:r w:rsidRPr="006E4CC9">
        <w:t>2.2. Mikroekonomický pohled</w:t>
      </w:r>
      <w:bookmarkEnd w:id="25"/>
      <w:bookmarkEnd w:id="26"/>
      <w:bookmarkEnd w:id="27"/>
      <w:bookmarkEnd w:id="28"/>
      <w:bookmarkEnd w:id="29"/>
    </w:p>
    <w:p w:rsidR="00722C25" w:rsidRPr="00722C25" w:rsidRDefault="00722C25" w:rsidP="00722C25">
      <w:pPr>
        <w:pStyle w:val="Nadpis3"/>
        <w:spacing w:after="240"/>
      </w:pPr>
      <w:bookmarkStart w:id="30" w:name="_Toc483227183"/>
      <w:r>
        <w:t>2.2.1. Finanční hospodaření</w:t>
      </w:r>
      <w:bookmarkEnd w:id="30"/>
    </w:p>
    <w:p w:rsidR="00722C25" w:rsidRPr="00722C25" w:rsidRDefault="00722C25" w:rsidP="00EC42F4">
      <w:pPr>
        <w:jc w:val="both"/>
      </w:pPr>
      <w:r w:rsidRPr="00722C25">
        <w:t>Tabulky č. 3 a  4 uvedené v příloze umožňují hodnotit základní ekonomické ukazatele z výkazů zisku a ztrát kulturních institucí získané zejména z ročních zjišťování podniko</w:t>
      </w:r>
      <w:r w:rsidRPr="00722C25">
        <w:softHyphen/>
        <w:t>vého charakteru (výkazy P 5 – 01, NI a KULT). Je třeba dodat, že podniky jsou v rámci těchto šetření zařazovány do jednotlivých odvětví či oborů dle zásady převažující části tržeb, a tak jejich veškeré tržby nutně nepocházejí z aktivit kulturního charakteru. Na druhé straně nejsou zahrnuty podniky, které mohou provozovat i kulturní činnosti, avšak převažující část jejic</w:t>
      </w:r>
      <w:r w:rsidR="000D418C">
        <w:t>h tržeb souvisí s aktivitami ne</w:t>
      </w:r>
      <w:r w:rsidRPr="00722C25">
        <w:t xml:space="preserve">-kulturními. Cenou za úplnější pohled, který tak získáváme, je nižší přesnost (resp. „odvětvová“ jemnost či čistota) zjištěných dat. </w:t>
      </w:r>
    </w:p>
    <w:p w:rsidR="00722C25" w:rsidRPr="00722C25" w:rsidRDefault="00722C25" w:rsidP="00EC42F4">
      <w:pPr>
        <w:jc w:val="both"/>
      </w:pPr>
      <w:r w:rsidRPr="00722C25">
        <w:t xml:space="preserve">Jak ukazují tab. </w:t>
      </w:r>
      <w:proofErr w:type="gramStart"/>
      <w:r w:rsidRPr="00722C25">
        <w:t>č.</w:t>
      </w:r>
      <w:proofErr w:type="gramEnd"/>
      <w:r w:rsidRPr="00722C25">
        <w:t> 3, 4 a 10 hospodaření sektoru kultury skončilo v roce 2015 kladným hospodářským výsledkem ve výši 16,6 mld. Kč. Tato částka zhruba odpovídá ziskové marži (zisk po zdanění dělený tržbami) ve výši 8,4 % (tj. o 1,5 </w:t>
      </w:r>
      <w:proofErr w:type="spellStart"/>
      <w:proofErr w:type="gramStart"/>
      <w:r w:rsidRPr="00722C25">
        <w:t>p.b</w:t>
      </w:r>
      <w:proofErr w:type="spellEnd"/>
      <w:r w:rsidRPr="00722C25">
        <w:t>. více</w:t>
      </w:r>
      <w:proofErr w:type="gramEnd"/>
      <w:r w:rsidRPr="00722C25">
        <w:t xml:space="preserve"> než v roce 2014). Také tento výsledek svědčí o tom, že ekonomické oživení patrné od roku 2014 neminulo ani kulturu. </w:t>
      </w:r>
    </w:p>
    <w:p w:rsidR="00722C25" w:rsidRPr="00722C25" w:rsidRDefault="00722C25" w:rsidP="00EC42F4">
      <w:pPr>
        <w:jc w:val="both"/>
      </w:pPr>
      <w:r w:rsidRPr="00722C25">
        <w:lastRenderedPageBreak/>
        <w:t>Hospodaření jednotlivých oblastí kultury a poskytovatelů kulturních služeb je tradičně velmi nevyrovnané. Zatímco v kulturním dědictví a částečně i v interpretačním umění bylo dosaženo nemalé ztráty (archivy,</w:t>
      </w:r>
      <w:r w:rsidR="000D418C">
        <w:t> </w:t>
      </w:r>
      <w:r w:rsidRPr="00722C25">
        <w:t>knihovny či festivaly), jiná odvětví byla naopak značně zisková (reklama, architektura, média, tisk). Podle stupně ekonomické soběstačnosti (relace mezi tržbami za vlastní výkony a celkovými výdaji) lze v rámci sektoru kultury odlišit dvě rozdílné sféry hospodaření. Do prvé patří oblasti tradičního umění orientované spíše na publikum a návštěvnost, pro které je nepostradatelná finanční podpora z veřejných zdrojů (kulturní dědictví, divadla, soubory, festivaly atd.) a do druhé – orientované na trh – lze zařadit sféru krea</w:t>
      </w:r>
      <w:r w:rsidRPr="00722C25">
        <w:softHyphen/>
        <w:t>tivních aktivit (reklama, architektura, design) a dále média a tisk.</w:t>
      </w:r>
    </w:p>
    <w:p w:rsidR="00D7626D" w:rsidRDefault="00722C25" w:rsidP="00EC42F4">
      <w:pPr>
        <w:jc w:val="both"/>
      </w:pPr>
      <w:r w:rsidRPr="00722C25">
        <w:t>To je zřejmé i na úrovni stupně soběstačnosti (relace tržeb za vlastní výkony k celkovým výdajům), který při průměrné úrovni 87,9 % dosahuje v např. v tvorbě videoher 143 %, v designu 111,7 %. Na druhé straně v interpretačním umění pouze 36,6 %.</w:t>
      </w:r>
    </w:p>
    <w:p w:rsidR="00B405D1" w:rsidRDefault="00B405D1" w:rsidP="00B405D1">
      <w:pPr>
        <w:pStyle w:val="Nadpis3"/>
        <w:spacing w:after="240"/>
      </w:pPr>
      <w:bookmarkStart w:id="31" w:name="_Toc483227184"/>
      <w:r>
        <w:t>2.2.2. Spotřeba živé práce</w:t>
      </w:r>
      <w:bookmarkEnd w:id="31"/>
    </w:p>
    <w:p w:rsidR="00B405D1" w:rsidRPr="00B405D1" w:rsidRDefault="00B405D1" w:rsidP="00EC42F4">
      <w:pPr>
        <w:jc w:val="both"/>
      </w:pPr>
      <w:r w:rsidRPr="00B405D1">
        <w:t xml:space="preserve">Kvantifikace rozsahu práce vstupující do kulturních aktivit je poměrně složitá. Pracovní zapojení má více forem a skutečností je, že relativně nejpřesněji je evidován rozsah práce zaměstnanců s pracovní smlouvou. Problematičtější je postižení prací na základě dohod, prací dobrovolníků a také zapojení OSVČ či podnikatelů a jejich rodinných příslušníků. </w:t>
      </w:r>
    </w:p>
    <w:p w:rsidR="00B405D1" w:rsidRPr="00B405D1" w:rsidRDefault="00B405D1" w:rsidP="00EC42F4">
      <w:pPr>
        <w:jc w:val="both"/>
      </w:pPr>
      <w:r w:rsidRPr="00B405D1">
        <w:t xml:space="preserve">Počínaje referenčním rokem 2015 je možné využít dvou rozdílných zdrojů dat. Spolu s klasickými statistickými šetřeními v kulturních institucích (KULT, SBS, NI a doplňková zjišťování) přichází nově v úvahu tzv. Výběrové šetření pracovních sil (dále také „VŠPS“), které má </w:t>
      </w:r>
      <w:r w:rsidR="000D418C" w:rsidRPr="00B405D1">
        <w:t>-</w:t>
      </w:r>
      <w:r w:rsidRPr="00B405D1">
        <w:t xml:space="preserve"> za cenu nižší přesnosti - širší záběr. Umožňuje tak postihnout různorodé pracovní zapojení v kulturních aktivitách, i mimo ně. </w:t>
      </w:r>
    </w:p>
    <w:p w:rsidR="00B405D1" w:rsidRPr="00B405D1" w:rsidRDefault="00B405D1" w:rsidP="00EC42F4">
      <w:pPr>
        <w:jc w:val="both"/>
      </w:pPr>
      <w:r w:rsidRPr="00B405D1">
        <w:t>Tabulka č. 7a obsahuje údaje o zaměstnanosti a mzdách v kultuře vycházející z klasických šetření podnikového charakteru. Podle jejích výsledků v kultuře v roce 2015 pracovalo více než 98 tis. pracovníků, z toho zhruba 89 tis zaměstnanců (přepočtený stav) a zbytek dobrovolníků bez nároku na odměnu. Nad</w:t>
      </w:r>
      <w:r w:rsidR="000D418C">
        <w:t> </w:t>
      </w:r>
      <w:r w:rsidRPr="00B405D1">
        <w:t>tento počet lze zřejmě předpo</w:t>
      </w:r>
      <w:r w:rsidRPr="00B405D1">
        <w:softHyphen/>
        <w:t>kládat dalších několik tisíc osob pracujících v resortu na základě dohod o pracovní činnosti či v postavení osoby samo</w:t>
      </w:r>
      <w:r w:rsidRPr="00B405D1">
        <w:softHyphen/>
        <w:t>statně výdělečně činné (jejich počet výše uvedená zjišťování nepostihují). Pokud bychom přepočetli výši vykázaných ostatních osobních výdajů a honorářů v kultuře pomocí průměrných mezd, dojdeme k počtu dalších cca 8 tis. pracovníků zapojených na základě dohod a autorských smluv. To je celkem cca 100 tis. osob pracujících v institucích s převažující kulturní činností (v</w:t>
      </w:r>
      <w:r w:rsidR="000D418C">
        <w:t> </w:t>
      </w:r>
      <w:r w:rsidRPr="00B405D1">
        <w:t xml:space="preserve">přepočtu na plnou pracovní dobu). </w:t>
      </w:r>
    </w:p>
    <w:p w:rsidR="00B405D1" w:rsidRPr="00B405D1" w:rsidRDefault="00B405D1" w:rsidP="00EC42F4">
      <w:pPr>
        <w:jc w:val="both"/>
      </w:pPr>
      <w:r w:rsidRPr="00B405D1">
        <w:t>Průměrná hrubá měsíční mzda v kultuře v roce 2015 dosáhla 25 966 Kč. V porovnání s předcházejícím rokem se zvýšila o 1,5 % (reálně jen o 1,1</w:t>
      </w:r>
      <w:r w:rsidR="000D418C">
        <w:t xml:space="preserve"> </w:t>
      </w:r>
      <w:r w:rsidRPr="00B405D1">
        <w:t xml:space="preserve">%), avšak ve srovnání s průměrnou mzdou dosaženou v celé ekonomice (26 467 Kč) byla o 501 Kč (o 1,9 %) nižší. Zejména v případě kultury platí, že průměr (jako charakteristika celého souboru) má velmi nízkou vypovídací schopnost. Také do oblasti mezd se promítají podstatné rozdíly v úrovni hospodaření dvou odlišných sfér sektoru kultury - tradičních odvětví na straně jedné - a médií, tisku a kreativních oborů na straně druhé (viz tab. </w:t>
      </w:r>
      <w:proofErr w:type="gramStart"/>
      <w:r w:rsidRPr="00B405D1">
        <w:t>č.</w:t>
      </w:r>
      <w:proofErr w:type="gramEnd"/>
      <w:r w:rsidRPr="00B405D1">
        <w:t> 10). Zatímco v sektoru klasických kulturních odvětví průměrná měsíční mzda mírně přesáhla 20 tis. Kč, tak v kulturních průmyslech (tisk,</w:t>
      </w:r>
      <w:r w:rsidR="000D418C">
        <w:t> </w:t>
      </w:r>
      <w:r w:rsidRPr="00B405D1">
        <w:t>audio</w:t>
      </w:r>
      <w:r w:rsidR="000D418C">
        <w:t>-</w:t>
      </w:r>
      <w:r w:rsidRPr="00B405D1">
        <w:t xml:space="preserve">video) to bylo více než 31 tis. Kč. Celkově platí, že více než 70 % zaměstnanců v sektoru kultury pracuje v odvětvích s nižší než celostátní průměrnou mzdou (tab. </w:t>
      </w:r>
      <w:proofErr w:type="gramStart"/>
      <w:r w:rsidRPr="00B405D1">
        <w:t>č.</w:t>
      </w:r>
      <w:proofErr w:type="gramEnd"/>
      <w:r w:rsidRPr="00B405D1">
        <w:t xml:space="preserve"> 7 a). </w:t>
      </w:r>
    </w:p>
    <w:p w:rsidR="00B405D1" w:rsidRPr="00B405D1" w:rsidRDefault="00B405D1" w:rsidP="00EC42F4">
      <w:pPr>
        <w:jc w:val="both"/>
      </w:pPr>
      <w:r w:rsidRPr="00B405D1">
        <w:t>Výběrové šetření pracovních sil prováděné ČSÚ rozšiřuje pohled na spotřebu živé práce vynaložené v kulturních aktivitách o instituce s převažující jinou než kulturní činností a dále o zapojení podnikatelů, popř.</w:t>
      </w:r>
      <w:r w:rsidR="000D418C">
        <w:t> </w:t>
      </w:r>
      <w:r w:rsidRPr="00B405D1">
        <w:t xml:space="preserve">jejich rodinných příslušníků (viz tab. </w:t>
      </w:r>
      <w:proofErr w:type="gramStart"/>
      <w:r w:rsidRPr="00B405D1">
        <w:t>č.</w:t>
      </w:r>
      <w:proofErr w:type="gramEnd"/>
      <w:r w:rsidRPr="00B405D1">
        <w:t xml:space="preserve"> 7 b). Určité omezení spočívá ve skutečnosti, že neposkytuje údaje o finančních nákladech vynaložené práce a o počtu dobrovolných pracovníků. </w:t>
      </w:r>
    </w:p>
    <w:p w:rsidR="00B405D1" w:rsidRPr="00B405D1" w:rsidRDefault="00B405D1" w:rsidP="00EC42F4">
      <w:pPr>
        <w:jc w:val="both"/>
      </w:pPr>
      <w:r w:rsidRPr="00B405D1">
        <w:lastRenderedPageBreak/>
        <w:t>Celkový rozsah pracovního zapojení v kulturních ak</w:t>
      </w:r>
      <w:r w:rsidR="000D418C">
        <w:t xml:space="preserve">tivitách (včetně institucí </w:t>
      </w:r>
      <w:proofErr w:type="gramStart"/>
      <w:r w:rsidR="000D418C">
        <w:t>ne–</w:t>
      </w:r>
      <w:r w:rsidRPr="00B405D1">
        <w:t>kulturního</w:t>
      </w:r>
      <w:proofErr w:type="gramEnd"/>
      <w:r w:rsidRPr="00B405D1">
        <w:t xml:space="preserve"> zaměření) představoval - dle výše uvedeného zdroje dat </w:t>
      </w:r>
      <w:r w:rsidR="000D418C" w:rsidRPr="00B405D1">
        <w:t>-</w:t>
      </w:r>
      <w:r w:rsidRPr="00B405D1">
        <w:t xml:space="preserve"> téměř 211 tis. pracujících osob. Z tohoto počtu bylo necelých 76 tis. podnikatelů.  Ze zbývajícího počtu 134,8 tis. osob bylo 112,5 tis. osob zaměstnáno na plný pracovní úvazek a 22,3 tis. osob na úvazek částečný či formou dohody o pracovní činnosti (popř. dohody o proved</w:t>
      </w:r>
      <w:r w:rsidR="00A0370B">
        <w:t>e</w:t>
      </w:r>
      <w:r w:rsidRPr="00B405D1">
        <w:t>ní práce), nebo pracovali jako pomáhající rodinní příslušníci.</w:t>
      </w:r>
    </w:p>
    <w:p w:rsidR="00B405D1" w:rsidRPr="00B405D1" w:rsidRDefault="00B405D1" w:rsidP="00EC42F4">
      <w:pPr>
        <w:jc w:val="both"/>
      </w:pPr>
      <w:r w:rsidRPr="00B405D1">
        <w:t>Výsledky uvedeného šetření umožňují kvantifikovat spotřebu živé práce v členění na instituce (právnické či fyz</w:t>
      </w:r>
      <w:r w:rsidR="000D418C">
        <w:t xml:space="preserve">ické osoby) s kulturní a s </w:t>
      </w:r>
      <w:proofErr w:type="gramStart"/>
      <w:r w:rsidR="000D418C">
        <w:t>ne–</w:t>
      </w:r>
      <w:r w:rsidRPr="00B405D1">
        <w:t>kulturní</w:t>
      </w:r>
      <w:proofErr w:type="gramEnd"/>
      <w:r w:rsidRPr="00B405D1">
        <w:t xml:space="preserve"> převažující činností. Z celkového </w:t>
      </w:r>
      <w:proofErr w:type="gramStart"/>
      <w:r w:rsidRPr="00B405D1">
        <w:t>počtu  téměř</w:t>
      </w:r>
      <w:proofErr w:type="gramEnd"/>
      <w:r w:rsidRPr="00B405D1">
        <w:t xml:space="preserve">  211 tis. pracujících osob jich v jiných než kulturních institucích pracovalo 37,5 tis., </w:t>
      </w:r>
      <w:proofErr w:type="spellStart"/>
      <w:r w:rsidRPr="00B405D1">
        <w:t>tj</w:t>
      </w:r>
      <w:proofErr w:type="spellEnd"/>
      <w:r w:rsidRPr="00B405D1">
        <w:t xml:space="preserve"> necelých 18 %. Ze zbývajícího počtu 173,1</w:t>
      </w:r>
      <w:r w:rsidR="000D418C">
        <w:t> </w:t>
      </w:r>
      <w:r w:rsidRPr="00B405D1">
        <w:t>tis. pracovníků kulturních institucí bylo aktivních 89 tis. (51,4%) v povoláních ku</w:t>
      </w:r>
      <w:r w:rsidR="00A0370B">
        <w:t>l</w:t>
      </w:r>
      <w:r w:rsidRPr="00B405D1">
        <w:t xml:space="preserve">turního charakteru (např. jako zpěváci, herci či designéři) a 84,1 </w:t>
      </w:r>
      <w:r w:rsidR="000D418C">
        <w:t>tis. (48,6 %) v povoláních ne-</w:t>
      </w:r>
      <w:r w:rsidRPr="00B405D1">
        <w:t xml:space="preserve">kulturního zaměření (administrativa, účetnictví, IT profese atd.). </w:t>
      </w:r>
    </w:p>
    <w:p w:rsidR="00B405D1" w:rsidRPr="00B405D1" w:rsidRDefault="00B405D1" w:rsidP="00EC42F4">
      <w:pPr>
        <w:jc w:val="both"/>
      </w:pPr>
      <w:r w:rsidRPr="00B405D1">
        <w:t>Jak je zřejmé, kulturní činnosti (povolání) nejsou zvlášť silně centralizovány do kulturního sektoru, resp.</w:t>
      </w:r>
      <w:r w:rsidR="000D418C">
        <w:t> </w:t>
      </w:r>
      <w:r w:rsidRPr="00B405D1">
        <w:t>institucí, jejichž větší část příjmů je generována kulturními aktivitami. Z celkového počtu těch, jejichž</w:t>
      </w:r>
      <w:r w:rsidR="000D418C">
        <w:t> </w:t>
      </w:r>
      <w:r w:rsidRPr="00B405D1">
        <w:t>náplň práce má kulturní obsah (126,6 tis. osob) jich patří do kulturního sekt</w:t>
      </w:r>
      <w:r w:rsidR="00A0370B">
        <w:t>o</w:t>
      </w:r>
      <w:r w:rsidRPr="00B405D1">
        <w:t xml:space="preserve">ru zhruba 70 %. </w:t>
      </w:r>
    </w:p>
    <w:p w:rsidR="00B405D1" w:rsidRPr="00B405D1" w:rsidRDefault="00B405D1" w:rsidP="00EC42F4">
      <w:pPr>
        <w:jc w:val="both"/>
      </w:pPr>
      <w:r w:rsidRPr="00B405D1">
        <w:t>Přepočtený počet zaměstnanců kulturního sektoru představuje 2,3 % z počtu zaměstnanců pracujících v celé ekonomice (měřeno mzdovými náklady by byla váha ku</w:t>
      </w:r>
      <w:r w:rsidR="00A0370B">
        <w:t>l</w:t>
      </w:r>
      <w:r w:rsidRPr="00B405D1">
        <w:t>turního sektoru mírně nižší - 2,2 %).</w:t>
      </w:r>
    </w:p>
    <w:p w:rsidR="00B405D1" w:rsidRDefault="00B405D1" w:rsidP="00EC42F4">
      <w:pPr>
        <w:jc w:val="both"/>
      </w:pPr>
      <w:r w:rsidRPr="00B405D1">
        <w:t>Pokud bychom k institucím s převažující kulturní činností připočetli i zaměstnance ku</w:t>
      </w:r>
      <w:r w:rsidR="00A0370B">
        <w:t>l</w:t>
      </w:r>
      <w:r w:rsidRPr="00B405D1">
        <w:t>turních pro</w:t>
      </w:r>
      <w:r w:rsidRPr="00B405D1">
        <w:softHyphen/>
        <w:t>fesí mimo ku</w:t>
      </w:r>
      <w:r w:rsidR="00A0370B">
        <w:t>l</w:t>
      </w:r>
      <w:r w:rsidRPr="00B405D1">
        <w:t xml:space="preserve">turní sektor (z výsledků VŠPS), došli bychom k podílu 2,9 %. Konečně po započtení všech osob pracujících jak na plný pracovní úvazek či na základě dohod, tak i dobrovolníků a </w:t>
      </w:r>
      <w:proofErr w:type="gramStart"/>
      <w:r w:rsidRPr="00B405D1">
        <w:t>podnikatelů  by</w:t>
      </w:r>
      <w:proofErr w:type="gramEnd"/>
      <w:r w:rsidRPr="00B405D1">
        <w:t xml:space="preserve">  dosáhl  podíl kulturních aktivit v ekonomice </w:t>
      </w:r>
      <w:r>
        <w:t xml:space="preserve">téměř </w:t>
      </w:r>
      <w:r w:rsidRPr="00B405D1">
        <w:t>4,4 %.</w:t>
      </w:r>
    </w:p>
    <w:p w:rsidR="00B405D1" w:rsidRDefault="00B405D1" w:rsidP="00B405D1">
      <w:pPr>
        <w:pStyle w:val="Nadpis3"/>
        <w:spacing w:after="240"/>
      </w:pPr>
      <w:bookmarkStart w:id="32" w:name="_Toc483227185"/>
      <w:r>
        <w:t>2.2.3. Investice</w:t>
      </w:r>
      <w:bookmarkEnd w:id="32"/>
    </w:p>
    <w:p w:rsidR="00B405D1" w:rsidRPr="00B405D1" w:rsidRDefault="00B405D1" w:rsidP="00EC42F4">
      <w:pPr>
        <w:jc w:val="both"/>
      </w:pPr>
      <w:r w:rsidRPr="00B405D1">
        <w:t>V p</w:t>
      </w:r>
      <w:r w:rsidR="00A0370B">
        <w:t>o</w:t>
      </w:r>
      <w:r w:rsidRPr="00B405D1">
        <w:t>rovnání s rokem 2014 se objem investičních výdajů zvýšil o 12,5 % (o 1,5 mld. Kč).</w:t>
      </w:r>
    </w:p>
    <w:p w:rsidR="00B405D1" w:rsidRPr="00B405D1" w:rsidRDefault="00B405D1" w:rsidP="00EC42F4">
      <w:pPr>
        <w:jc w:val="both"/>
      </w:pPr>
      <w:r w:rsidRPr="00B405D1">
        <w:t>Rozdílné ekonomické podmínky a výsledky kulturních institucí mají svůj odraz také v investiční aktivitě. Při</w:t>
      </w:r>
      <w:r w:rsidR="000D418C">
        <w:t> </w:t>
      </w:r>
      <w:r w:rsidRPr="00B405D1">
        <w:t xml:space="preserve">průměrné intenzitě investic v přepočtu 152 tis. Kč na zaměstnance v celém kulturním sektoru, to bylo v oborech tradičního umění jen 95,9 tis. Kč, v kreativních průmyslech 196,9 tis. Kč a v kulturních průmyslech (tisk a média) až 205,6 tis. Kč (viz tab. </w:t>
      </w:r>
      <w:proofErr w:type="gramStart"/>
      <w:r w:rsidRPr="00B405D1">
        <w:t>č.</w:t>
      </w:r>
      <w:proofErr w:type="gramEnd"/>
      <w:r w:rsidRPr="00B405D1">
        <w:t> 10). Intenzita investic se v porovnání s rokem 2014 zvýšila nejvíce v tradičních kulturních odvětvích (o 1,6 %), v menší míře také v kulturních průmyslech, naopak poklesla v kreativních průmyslech.</w:t>
      </w:r>
    </w:p>
    <w:p w:rsidR="00B405D1" w:rsidRDefault="00B405D1" w:rsidP="00EC42F4">
      <w:pPr>
        <w:jc w:val="both"/>
      </w:pPr>
      <w:r w:rsidRPr="00B405D1">
        <w:t xml:space="preserve">Co se týče zdrojového krytí investičních výdajů, veřejné finanční zdroje se na něm podílely zhruba ze 45 % (v oblasti kulturního dědictví to bylo 58 %), zahraniční zdroje z 5 % a vlastní popř. jiné ze zbývajících téměř 50 %. V porovnání s rokem 2014 se podíl veřejných zdrojů téměř o 3 </w:t>
      </w:r>
      <w:proofErr w:type="spellStart"/>
      <w:r w:rsidRPr="00B405D1">
        <w:t>p.b</w:t>
      </w:r>
      <w:proofErr w:type="spellEnd"/>
      <w:r w:rsidRPr="00B405D1">
        <w:t xml:space="preserve">. snížil, podíl zahraničních zdrojů se naopak o více než 4 </w:t>
      </w:r>
      <w:proofErr w:type="spellStart"/>
      <w:r w:rsidRPr="00B405D1">
        <w:t>p.b</w:t>
      </w:r>
      <w:proofErr w:type="spellEnd"/>
      <w:r w:rsidRPr="00B405D1">
        <w:t xml:space="preserve">. zvýšil (viz tab. </w:t>
      </w:r>
      <w:proofErr w:type="gramStart"/>
      <w:r w:rsidRPr="00B405D1">
        <w:t>č.</w:t>
      </w:r>
      <w:proofErr w:type="gramEnd"/>
      <w:r w:rsidRPr="00B405D1">
        <w:t> 8).</w:t>
      </w:r>
    </w:p>
    <w:p w:rsidR="00B405D1" w:rsidRDefault="00B405D1" w:rsidP="00B405D1">
      <w:pPr>
        <w:pStyle w:val="Nadpis3"/>
        <w:spacing w:after="240"/>
      </w:pPr>
      <w:bookmarkStart w:id="33" w:name="_Toc483227186"/>
      <w:r>
        <w:t>2.2.4. Zahraniční obchod</w:t>
      </w:r>
      <w:bookmarkEnd w:id="33"/>
    </w:p>
    <w:p w:rsidR="00B405D1" w:rsidRPr="00B405D1" w:rsidRDefault="00B405D1" w:rsidP="00EC42F4">
      <w:pPr>
        <w:jc w:val="both"/>
      </w:pPr>
      <w:r w:rsidRPr="00B405D1">
        <w:t>Pohled na hospodaření sektoru lze částečně doplnit daty o vývozu a dovozu kulturního zboží a služeb (viz</w:t>
      </w:r>
      <w:r w:rsidR="000D418C">
        <w:t> </w:t>
      </w:r>
      <w:r w:rsidRPr="00B405D1">
        <w:t xml:space="preserve">tab. </w:t>
      </w:r>
      <w:proofErr w:type="gramStart"/>
      <w:r w:rsidRPr="00B405D1">
        <w:t>č.</w:t>
      </w:r>
      <w:proofErr w:type="gramEnd"/>
      <w:r w:rsidRPr="00B405D1">
        <w:t xml:space="preserve"> 9). V zahraničním obchodu se zbožím a službami kulturního charakteru bylo dosaženo </w:t>
      </w:r>
      <w:r w:rsidR="000D418C" w:rsidRPr="00B405D1">
        <w:t>-</w:t>
      </w:r>
      <w:r w:rsidRPr="00B405D1">
        <w:t xml:space="preserve"> podobně jako v předcházejících letech </w:t>
      </w:r>
      <w:r w:rsidR="000D418C" w:rsidRPr="00B405D1">
        <w:t>-</w:t>
      </w:r>
      <w:r w:rsidRPr="00B405D1">
        <w:t xml:space="preserve"> kladného salda (2,1 mld. Kč). V porovnání s rokem 2014 se kladný přebytek obchodní výměny snížil o 40% (1,4 mld. Kč), zejména pak v důsledku slabších výsledků v oblasti interpretačního umění, audiovizuální a interaktivní techniky a reklamy. Z územního pohledu mělo na snížení aktivního salda nemalý vliv zvýšení dovozu z mimoevropských teritorií. </w:t>
      </w:r>
    </w:p>
    <w:p w:rsidR="00B405D1" w:rsidRPr="00B405D1" w:rsidRDefault="00B405D1" w:rsidP="00EC42F4">
      <w:pPr>
        <w:jc w:val="both"/>
      </w:pPr>
      <w:r w:rsidRPr="00B405D1">
        <w:t xml:space="preserve">K věrohodnosti výše uvedených výsledků je však třeba dodat, že uvedené údaje neodrážejí celý rozsah obchodní výměny v oblasti kultury (příslušná šetření jsou výběrová). </w:t>
      </w:r>
    </w:p>
    <w:p w:rsidR="00B405D1" w:rsidRPr="00B405D1" w:rsidRDefault="00B405D1" w:rsidP="00EC42F4">
      <w:pPr>
        <w:jc w:val="both"/>
      </w:pPr>
      <w:r w:rsidRPr="00B405D1">
        <w:lastRenderedPageBreak/>
        <w:t xml:space="preserve">Případné porovnání s léty předcházejícími roku 2014 je ztíženo navíc tím, že metodika propočtu ukazatelů zahraničního obchodu byla v roce 2014 aktualizována v návaznosti na záměry </w:t>
      </w:r>
      <w:proofErr w:type="spellStart"/>
      <w:r w:rsidRPr="00B405D1">
        <w:t>Eurostatu</w:t>
      </w:r>
      <w:proofErr w:type="spellEnd"/>
      <w:r w:rsidRPr="00B405D1">
        <w:t xml:space="preserve"> v této oblasti a dále podle specifikace výrobků uměleckých řemesel provedené Národním ústavem lidové kultury.</w:t>
      </w:r>
    </w:p>
    <w:p w:rsidR="00D7626D" w:rsidRPr="006E4CC9" w:rsidRDefault="00D7626D" w:rsidP="006E4CC9">
      <w:pPr>
        <w:pStyle w:val="Nadpis2"/>
        <w:rPr>
          <w:szCs w:val="24"/>
        </w:rPr>
      </w:pPr>
      <w:bookmarkStart w:id="34" w:name="_Toc451166916"/>
      <w:bookmarkStart w:id="35" w:name="_Toc451166932"/>
      <w:bookmarkStart w:id="36" w:name="_Toc451175105"/>
      <w:bookmarkStart w:id="37" w:name="_Toc451180161"/>
      <w:bookmarkStart w:id="38" w:name="_Toc483227187"/>
      <w:r w:rsidRPr="006E4CC9">
        <w:t>2.3. Makroekonomický pohled</w:t>
      </w:r>
      <w:bookmarkEnd w:id="34"/>
      <w:bookmarkEnd w:id="35"/>
      <w:bookmarkEnd w:id="36"/>
      <w:bookmarkEnd w:id="37"/>
      <w:bookmarkEnd w:id="38"/>
    </w:p>
    <w:p w:rsidR="00B405D1" w:rsidRPr="00B405D1" w:rsidRDefault="00B405D1" w:rsidP="00B405D1">
      <w:pPr>
        <w:widowControl w:val="0"/>
        <w:overflowPunct w:val="0"/>
        <w:autoSpaceDE w:val="0"/>
        <w:autoSpaceDN w:val="0"/>
        <w:adjustRightInd w:val="0"/>
        <w:jc w:val="both"/>
        <w:rPr>
          <w:rFonts w:cs="Arial"/>
        </w:rPr>
      </w:pPr>
      <w:bookmarkStart w:id="39" w:name="page15"/>
      <w:bookmarkEnd w:id="39"/>
      <w:r w:rsidRPr="00B405D1">
        <w:rPr>
          <w:rFonts w:cs="Arial"/>
        </w:rPr>
        <w:t>Charakteristiku úrovně hospodaření kultury, jako celku i jejích jednotlivých částí, zcela při</w:t>
      </w:r>
      <w:r w:rsidRPr="00B405D1">
        <w:rPr>
          <w:rFonts w:cs="Arial"/>
        </w:rPr>
        <w:softHyphen/>
        <w:t xml:space="preserve">rozeně provází otázka místa a váhy tohoto sektoru v ekonomice. Při hledání odpovědi je třeba využít údajů a metod národního účetnictví.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S ohledem na disponibilní data o sektoru kultury se jeví jako nejvhodnější pro vyčíslení makroekonomických ukazatelů vý</w:t>
      </w:r>
      <w:r w:rsidRPr="00B405D1">
        <w:rPr>
          <w:rFonts w:cs="Arial"/>
        </w:rPr>
        <w:softHyphen/>
        <w:t xml:space="preserve">robní (odvětvová) metoda výpočtu hrubého domácího produktu (HDP). Podle ní se tento ukazatel rovná součtu hrubé přidané hodnoty zjištěné odpočtem </w:t>
      </w:r>
      <w:proofErr w:type="spellStart"/>
      <w:r w:rsidRPr="00B405D1">
        <w:rPr>
          <w:rFonts w:cs="Arial"/>
        </w:rPr>
        <w:t>mezispotřeby</w:t>
      </w:r>
      <w:proofErr w:type="spellEnd"/>
      <w:r w:rsidRPr="00B405D1">
        <w:rPr>
          <w:rFonts w:cs="Arial"/>
        </w:rPr>
        <w:t xml:space="preserve"> od hodnoty produkce (HPH) a čistých daní, tj. daní z daného odvětví snížených o dotace poskytnuté tomuto odvětví.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Vstupní data do propočtu by měla vycházet z údajů národního účetnictví, zejména pak z tabulek dodávek a užití. Tyto údaje představují svým způsobem optimální informační soustavu co do své komplexnosti, konzistence a mezinárodní srov</w:t>
      </w:r>
      <w:r w:rsidRPr="00B405D1">
        <w:rPr>
          <w:rFonts w:cs="Arial"/>
        </w:rPr>
        <w:softHyphen/>
        <w:t xml:space="preserve">natelnosti. Uvedené přednosti jsou však vykoupeny vysokou pracností a z pohledu uživatelů dat dlouhou dobou čekání na (postupně upřesňované) výsledky.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Nutno dodat, že na základě těchto údajů lze makroekonomické ukazatele sektoru kultury spíše odhadovat než přesně kal</w:t>
      </w:r>
      <w:r w:rsidRPr="00B405D1">
        <w:rPr>
          <w:rFonts w:cs="Arial"/>
        </w:rPr>
        <w:softHyphen/>
        <w:t>kulova</w:t>
      </w:r>
      <w:proofErr w:type="spellStart"/>
      <w:r w:rsidRPr="00B405D1">
        <w:rPr>
          <w:rFonts w:cs="Arial"/>
        </w:rPr>
        <w:t>t</w:t>
      </w:r>
      <w:proofErr w:type="spellEnd"/>
      <w:r w:rsidRPr="00B405D1">
        <w:rPr>
          <w:rFonts w:cs="Arial"/>
        </w:rPr>
        <w:t xml:space="preserve">. Je tomu tak zejména pro </w:t>
      </w:r>
      <w:r w:rsidR="00B86977" w:rsidRPr="00B405D1">
        <w:t>-</w:t>
      </w:r>
      <w:r w:rsidRPr="00B405D1">
        <w:rPr>
          <w:rFonts w:cs="Arial"/>
        </w:rPr>
        <w:t xml:space="preserve"> z našeho pohledu - nevhodné členění dat v tabulkách dodávek a užití pouze do úrovně oddílů (na 2 místa NACE), zatímco jsou kulturní aktivity často až na úrovni tříd (4 místa NACE). Jedním příkladem za všechny mohou být architektonické činnosti v tabulkách dodávek a užití, které zahrnují celý oddíl 71 CZ-NACE. Za součást kulturního sektoru je však považována pouze třída 71.11. Data odpovídající kulturním aktivitám je nutno získávat složitým postupem s využitím znalosti různých vztahů </w:t>
      </w:r>
      <w:r w:rsidR="00B86977" w:rsidRPr="00B405D1">
        <w:t>-</w:t>
      </w:r>
      <w:r w:rsidRPr="00B405D1">
        <w:rPr>
          <w:rFonts w:cs="Arial"/>
        </w:rPr>
        <w:t xml:space="preserve"> např. v úrovni produktivity práce mezi třídami či podílu spotřeby materiálu, energie a služeb na výnosech atd. - mezi údaji zjištěnými v rámci statistických šetření (podniková šetření, KULT, NI).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Z předběžných údajů obsažených v tabulkách dodávek a užití byla propočtena váha kulturního sektoru na celkové pro</w:t>
      </w:r>
      <w:r w:rsidRPr="00B405D1">
        <w:rPr>
          <w:rFonts w:cs="Arial"/>
        </w:rPr>
        <w:softHyphen/>
        <w:t xml:space="preserve">dukci ČR v roce 2014 v rozsahu 1,97 % (201,2 mld. Kč) a na hrubé přidané hodnotě v úrovni 2,17 % (83,5 mld. Kč).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Pomocí upřesněných údajů lze tato data poopravit. Podíl kulturního sek</w:t>
      </w:r>
      <w:r w:rsidR="00B86977">
        <w:rPr>
          <w:rFonts w:cs="Arial"/>
        </w:rPr>
        <w:t>toru na celkové produkci lze od</w:t>
      </w:r>
      <w:r w:rsidRPr="00B405D1">
        <w:rPr>
          <w:rFonts w:cs="Arial"/>
        </w:rPr>
        <w:t xml:space="preserve">hadovat na 2,01 % (204,4 mld. Kč), jeho podíl na HPH ve výši 2,1 % (82 mld. Kč) a  na HDP v úrovni 1,35 % (58,1 mld. Kč). Poměrně nižší objem HDP v porovnání s HPH je dán relativně nízkou úrovní daní vztahujících se ke kulturnímu sektoru a naopak vysokou částkou přijatých provozních dotací. </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Z předběžných dat lze za rok 2015 předpokládat (odhadovat), že objem produkce v kulturním sektoru dosáhl 213 mld. Kč (2,01 % na celostátní produkci) a úroveň HPH 87,4 mld. Kč (tj. 2,13 % z celkové HPH vytvořené v ekonomice). Objem HDP vytvořeného v kultuře lze odhadovat v úrovni 65,6 mld. Kč (1,44 % z celkového HDP). Výchozí předběžné údaje budou dále zpřesňovány a výše uvedený odhad zřejmě mírně pozmění.</w:t>
      </w:r>
    </w:p>
    <w:p w:rsidR="00B405D1" w:rsidRPr="00B405D1" w:rsidRDefault="00B405D1" w:rsidP="00B405D1">
      <w:pPr>
        <w:widowControl w:val="0"/>
        <w:overflowPunct w:val="0"/>
        <w:autoSpaceDE w:val="0"/>
        <w:autoSpaceDN w:val="0"/>
        <w:adjustRightInd w:val="0"/>
        <w:jc w:val="both"/>
        <w:rPr>
          <w:rFonts w:cs="Arial"/>
        </w:rPr>
      </w:pPr>
      <w:r w:rsidRPr="00B405D1">
        <w:rPr>
          <w:rFonts w:cs="Arial"/>
        </w:rPr>
        <w:t>Nicméně, tato předběžná data nasvědčují tomu, že v rámci růstu celé ekonomiky v roce 2015 se zvýšila i ekonomická vý</w:t>
      </w:r>
      <w:r w:rsidRPr="00B405D1">
        <w:rPr>
          <w:rFonts w:cs="Arial"/>
        </w:rPr>
        <w:softHyphen/>
        <w:t xml:space="preserve">konnost a efektivnost subjektů v kultuře. Výrazný nárůst produkce mezi léta 2014 a 2015, doprovázený mírnějším zvýšením </w:t>
      </w:r>
      <w:proofErr w:type="spellStart"/>
      <w:r w:rsidRPr="00B405D1">
        <w:rPr>
          <w:rFonts w:cs="Arial"/>
        </w:rPr>
        <w:t>mezispotřeby</w:t>
      </w:r>
      <w:proofErr w:type="spellEnd"/>
      <w:r w:rsidRPr="00B405D1">
        <w:rPr>
          <w:rFonts w:cs="Arial"/>
        </w:rPr>
        <w:t>, vedl k celkovému zvýšení hrubé přidané hodno</w:t>
      </w:r>
      <w:r>
        <w:rPr>
          <w:rFonts w:cs="Arial"/>
        </w:rPr>
        <w:t>ty a hrubého domácího produktu.</w:t>
      </w:r>
    </w:p>
    <w:p w:rsidR="00D7626D" w:rsidRPr="006E4CC9" w:rsidRDefault="00D7626D" w:rsidP="006E4CC9">
      <w:pPr>
        <w:pStyle w:val="Nadpis1"/>
        <w:rPr>
          <w:szCs w:val="24"/>
        </w:rPr>
      </w:pPr>
      <w:bookmarkStart w:id="40" w:name="_Toc451166917"/>
      <w:bookmarkStart w:id="41" w:name="_Toc451166933"/>
      <w:bookmarkStart w:id="42" w:name="_Toc451175106"/>
      <w:bookmarkStart w:id="43" w:name="_Toc451180162"/>
      <w:bookmarkStart w:id="44" w:name="_Toc483227188"/>
      <w:r w:rsidRPr="006E4CC9">
        <w:lastRenderedPageBreak/>
        <w:t>3. Závěr</w:t>
      </w:r>
      <w:bookmarkEnd w:id="40"/>
      <w:bookmarkEnd w:id="41"/>
      <w:bookmarkEnd w:id="42"/>
      <w:bookmarkEnd w:id="43"/>
      <w:bookmarkEnd w:id="44"/>
    </w:p>
    <w:p w:rsidR="00B405D1" w:rsidRPr="00B405D1" w:rsidRDefault="00B405D1" w:rsidP="00EC42F4">
      <w:pPr>
        <w:jc w:val="both"/>
      </w:pPr>
      <w:r w:rsidRPr="00B405D1">
        <w:t xml:space="preserve">Nutno dodat, že ač se kulturní účet za období roku </w:t>
      </w:r>
      <w:bookmarkStart w:id="45" w:name="_GoBack"/>
      <w:bookmarkEnd w:id="45"/>
      <w:r w:rsidRPr="00B405D1">
        <w:t>2015 zpracovává již po sedmé, lze považo</w:t>
      </w:r>
      <w:r w:rsidRPr="00B405D1">
        <w:softHyphen/>
        <w:t>vat ověření metodických přístupů za téměř stejně významné jako hledání věcných výsledků. S ohledem na rozšíření sektoru kultury, jeho úplnějšího postižení statistickým zjišťováním i částečné uplatnění pozměněných metodických přístupů, jsme stále v období zdokonalování časové řady kulturního účtu, což ovlivňuje věrohodnost porovnávání a hodnocení dynamiky vývoje jednotlivých ukazatelů. Bez ohledu na tuto skutečnost však i toto zpracování kulturního účtu ukázalo, že některé významné poznatky o kulturním sektoru se každo</w:t>
      </w:r>
      <w:r w:rsidRPr="00B405D1">
        <w:softHyphen/>
        <w:t xml:space="preserve">ročně v zásadě potvrzují (např. ekonomické postavení jednotlivých oblastí v rámci sektoru, počty zaměstnanců, úroveň investic atd.). </w:t>
      </w:r>
    </w:p>
    <w:p w:rsidR="00B405D1" w:rsidRPr="00B405D1" w:rsidRDefault="00B405D1" w:rsidP="00EC42F4">
      <w:pPr>
        <w:jc w:val="both"/>
      </w:pPr>
      <w:r w:rsidRPr="00B405D1">
        <w:t>Základní otázkou, na kterou by měl dát účet kultury odpověď, je původ, rozsah a užití finančních zdrojů v sektoru kultury. Z administrativních dat bylo zjištěno, že veřejný sektor se podílí na příjmech kulturních institucí částkou 34,3 mld. Kč (tj. 15,1 %) s tím, že tyto prostředky plynou zejména do oblasti kulturního dědictví, živé umělecké tvorby a do uměleckého vzdělávání. Podle šetření v domácnostech dosáhly výdaje směřující z rodinných rozpočtů do kultury, zejména do oblasti médií a živé tvorby, 44,9 mld. Kč (tj. 19,8 % celkových zdrojů). Oproti poklesu veřejných zdrojů a výdajů domácností na kulturu se zdroje vytvořené v podnicích (141,1 mld. Kč, tj. 62,3 % z celkových zdrojů), neziskových institucích (3,5 mld. Kč) a  zdroje pocházející ze zahraničí (2,7 mld. Kč) v porovnání s rokem 2014 zvýšily. Celkové finanční zdroje uplatněné v kulturních institucích tak celkově o 0,4 % (o 0,8 mld. Kč) meziročně vzrostly. Přízni</w:t>
      </w:r>
      <w:r w:rsidRPr="00B405D1">
        <w:softHyphen/>
        <w:t>vější hospodářské podmínky let 2014 – 2015 v porovnání s předcházejícím obdobím rokem přispěly k nárůstu disponibilních finančních zdrojů (provozního i investičního charakteru) v </w:t>
      </w:r>
      <w:r w:rsidR="00EC42F4" w:rsidRPr="00B405D1">
        <w:t>kulturním</w:t>
      </w:r>
      <w:r w:rsidRPr="00B405D1">
        <w:t xml:space="preserve"> sektoru celkově o 7,3 mld. Kč (tj. o více než 3,3 %). Skutečností však je, že v porovnání s rokem 2014 </w:t>
      </w:r>
      <w:proofErr w:type="gramStart"/>
      <w:r w:rsidRPr="00B405D1">
        <w:t>se  v roce</w:t>
      </w:r>
      <w:proofErr w:type="gramEnd"/>
      <w:r w:rsidRPr="00B405D1">
        <w:t xml:space="preserve"> 2015 tempo růstu finančních zdrojů snížilo. </w:t>
      </w:r>
    </w:p>
    <w:p w:rsidR="00B405D1" w:rsidRPr="00B405D1" w:rsidRDefault="00B405D1" w:rsidP="00EC42F4">
      <w:pPr>
        <w:jc w:val="both"/>
      </w:pPr>
      <w:r w:rsidRPr="00B405D1">
        <w:t xml:space="preserve">Dále se potvrzuje, že se jednotlivé kulturní oblasti významně liší stupněm uplatnění tržních principů a v této souvislosti také úrovní hospodaření, s tím související výší průměrných mezd, investiční aktivitou atd. Případné prohlubování této diferenciace bude zřejmě záviset na technickém rozvoji na straně jedné a rozsahem podpory neziskových aktivit (kulturní dědictví a část živé tvorby) z veřejných zdrojů na straně druhé. </w:t>
      </w:r>
    </w:p>
    <w:p w:rsidR="00B405D1" w:rsidRPr="00B405D1" w:rsidRDefault="00B405D1" w:rsidP="00EC42F4">
      <w:pPr>
        <w:jc w:val="both"/>
      </w:pPr>
      <w:r w:rsidRPr="00B405D1">
        <w:t>Problematické ekonomické výsledky výše jmenovaných kulturních oblastí by bylo možné přisuzovat i omezeným mož</w:t>
      </w:r>
      <w:r w:rsidRPr="00B405D1">
        <w:softHyphen/>
        <w:t>nostem finančních ukazatelů pro vyjádření rozsahu a kvality výkonu některých činností (např. péče o kulturní dědictví, vzdě</w:t>
      </w:r>
      <w:r w:rsidRPr="00B405D1">
        <w:softHyphen/>
        <w:t xml:space="preserve">lávací činnost kulturních institucí, působení kultury a jejích hodnot na jedince i společnost). V této souvislosti je proto na místě doplnit ekonomické ukazatele naturálními, z nichž se jako </w:t>
      </w:r>
      <w:proofErr w:type="gramStart"/>
      <w:r w:rsidRPr="00B405D1">
        <w:t>nejvhodnější  pro</w:t>
      </w:r>
      <w:proofErr w:type="gramEnd"/>
      <w:r w:rsidRPr="00B405D1">
        <w:t xml:space="preserve"> svou komplexnost jeví ukazatel počtu návštěv</w:t>
      </w:r>
      <w:r w:rsidRPr="00B405D1">
        <w:softHyphen/>
        <w:t>ník</w:t>
      </w:r>
      <w:proofErr w:type="spellStart"/>
      <w:r w:rsidRPr="00B405D1">
        <w:t>ů</w:t>
      </w:r>
      <w:proofErr w:type="spellEnd"/>
      <w:r w:rsidRPr="00B405D1">
        <w:t xml:space="preserve">. Nutno dodat, že celková návštěvnost kulturních institucí se v porovnání s rokem 2014 zvýšila o 2,6 % (viz tab. </w:t>
      </w:r>
      <w:proofErr w:type="gramStart"/>
      <w:r w:rsidRPr="00B405D1">
        <w:t>č.</w:t>
      </w:r>
      <w:proofErr w:type="gramEnd"/>
      <w:r w:rsidRPr="00B405D1">
        <w:t xml:space="preserve"> 13). Zvýšení návštěvnosti se týkalo většiny významných poskytovatelů služeb tradiční kultury. </w:t>
      </w:r>
    </w:p>
    <w:p w:rsidR="00B405D1" w:rsidRPr="00B405D1" w:rsidRDefault="00B405D1" w:rsidP="00EC42F4">
      <w:pPr>
        <w:jc w:val="both"/>
      </w:pPr>
      <w:r w:rsidRPr="00B405D1">
        <w:t xml:space="preserve">Lepší hospodářské výsledky v porovnání s předcházejícím rokem dokládá vyšší tvorba zisku (zvýšení ze 14,7 mld. Kč na 16,6 mld. Kč (o 13 %) a ziskové marže (z 6,9 % na 8,4 %, tj. o 1,5 </w:t>
      </w:r>
      <w:proofErr w:type="spellStart"/>
      <w:r w:rsidRPr="00B405D1">
        <w:t>proc</w:t>
      </w:r>
      <w:proofErr w:type="spellEnd"/>
      <w:r w:rsidRPr="00B405D1">
        <w:t xml:space="preserve">. </w:t>
      </w:r>
      <w:proofErr w:type="gramStart"/>
      <w:r w:rsidRPr="00B405D1">
        <w:t>bodu</w:t>
      </w:r>
      <w:proofErr w:type="gramEnd"/>
      <w:r w:rsidRPr="00B405D1">
        <w:t xml:space="preserve"> – viz </w:t>
      </w:r>
      <w:proofErr w:type="spellStart"/>
      <w:r w:rsidRPr="00B405D1">
        <w:t>tab.č</w:t>
      </w:r>
      <w:proofErr w:type="spellEnd"/>
      <w:r w:rsidRPr="00B405D1">
        <w:t xml:space="preserve">. 3 a  10). Také meziroční tempo růstu těchto ukazatelů bylo o poznání nižší než v roce 2014. </w:t>
      </w:r>
    </w:p>
    <w:p w:rsidR="00B405D1" w:rsidRPr="00B405D1" w:rsidRDefault="00B405D1" w:rsidP="00EC42F4">
      <w:pPr>
        <w:jc w:val="both"/>
      </w:pPr>
      <w:r w:rsidRPr="00B405D1">
        <w:t>V </w:t>
      </w:r>
      <w:proofErr w:type="spellStart"/>
      <w:r w:rsidRPr="00B405D1">
        <w:t>makroukazatelích</w:t>
      </w:r>
      <w:proofErr w:type="spellEnd"/>
      <w:r w:rsidRPr="00B405D1">
        <w:t xml:space="preserve"> se porovnání se zpřesněnými údaji za rok 2014 jeví také příznivě. Při rychlejším růstu produkce (o 4,2 %) se mírněji zvýšila </w:t>
      </w:r>
      <w:proofErr w:type="spellStart"/>
      <w:r w:rsidRPr="00B405D1">
        <w:t>mezispotřeba</w:t>
      </w:r>
      <w:proofErr w:type="spellEnd"/>
      <w:r w:rsidRPr="00B405D1">
        <w:t xml:space="preserve"> (o 2,6</w:t>
      </w:r>
      <w:r w:rsidR="00B86977">
        <w:t xml:space="preserve"> </w:t>
      </w:r>
      <w:r w:rsidRPr="00B405D1">
        <w:t>%) a hrubá při</w:t>
      </w:r>
      <w:r w:rsidRPr="00B405D1">
        <w:softHyphen/>
        <w:t>daná hodnota tak vzrostla o 6,6</w:t>
      </w:r>
      <w:r w:rsidR="00B86977">
        <w:t xml:space="preserve"> </w:t>
      </w:r>
      <w:r w:rsidRPr="00B405D1">
        <w:t xml:space="preserve">%. Ještě vyšší byl meziroční přírůstek HDP (viz tab. </w:t>
      </w:r>
      <w:proofErr w:type="gramStart"/>
      <w:r w:rsidRPr="00B405D1">
        <w:t>č.</w:t>
      </w:r>
      <w:proofErr w:type="gramEnd"/>
      <w:r w:rsidRPr="00B405D1">
        <w:t xml:space="preserve"> 11). </w:t>
      </w:r>
    </w:p>
    <w:p w:rsidR="00B405D1" w:rsidRPr="00B405D1" w:rsidRDefault="00B405D1" w:rsidP="00EC42F4">
      <w:pPr>
        <w:jc w:val="both"/>
      </w:pPr>
      <w:r w:rsidRPr="00B405D1">
        <w:t>Jak se ukazuje, váha či podíl sektoru kultury na ekonomice jako celku v několika významných ukazatelích osciluje (v poměr</w:t>
      </w:r>
      <w:r w:rsidRPr="00B405D1">
        <w:softHyphen/>
        <w:t xml:space="preserve">ně širokém rozmezí) od 1,4 do 4,4 %. </w:t>
      </w:r>
    </w:p>
    <w:p w:rsidR="00B405D1" w:rsidRPr="00B405D1" w:rsidRDefault="00B405D1" w:rsidP="00EC42F4">
      <w:pPr>
        <w:jc w:val="both"/>
      </w:pPr>
      <w:r w:rsidRPr="00B405D1">
        <w:lastRenderedPageBreak/>
        <w:t>Veřejné zdroje věnované kultuře představují 1,93 % celkových konsolidovaných výdajů veřejných rozpočtů a</w:t>
      </w:r>
      <w:r w:rsidR="00B86977">
        <w:t> </w:t>
      </w:r>
      <w:r w:rsidRPr="00B405D1">
        <w:t xml:space="preserve">podíl výdajů domácností na kulturu k celkovým výdajům domácností dosahuje 3,2 %. Rozsah vynaložené živé práce v kultuře lze uvažovat v rozmezí od 2,2 % (měřeno mzdovými náklady) až po 4,4 % (měřeno počtem všech osob pracujících v kulturních institucích a činnostech). Konečně předběžně odhadovaný podíl hrubé přidané hodnoty a produkce v kultuře mírně přesahuje dvouprocentní úroveň (2,13 % a 2,01 %), zatímco podíl odhadované úrovně hrubého domácího produktu kultury svou výší tuto úroveň nedosahuje (1,44 % celostátního ukazatele). Jak je zřejmé z porovnání podílu kultury na ukazatelích vstupů (rozsahu živé práce) a výstupů (HPH a HDP), tento sektor v úrovni produktivity za ostatními odvětvími zaostává. </w:t>
      </w:r>
    </w:p>
    <w:p w:rsidR="00D7626D" w:rsidRPr="00DB6382" w:rsidRDefault="00B405D1" w:rsidP="00EC42F4">
      <w:pPr>
        <w:jc w:val="both"/>
      </w:pPr>
      <w:r w:rsidRPr="00B405D1">
        <w:t>Pokud bychom však přidali na pomyslnou misku vah neměřitelnou část výkonů a společenského dosahu sektoru kultury, byl by jeho podíl jistě mnohem vyšší. To, co nelze finančně vyjádřit je však mimo naše možnosti. Je třeba se zabývat tím, co doká</w:t>
      </w:r>
      <w:r w:rsidRPr="00B405D1">
        <w:softHyphen/>
        <w:t>žeme ovlivnit a provádět žádoucí změny - zejména v oblasti statistických zjišťování – která nám umožní postupně zvyšovat rozsah kulturních aktivit zahrnutých do satelitního kulturního účtu a naopak snižovat stupeň jeho nepřesnosti.</w:t>
      </w:r>
    </w:p>
    <w:p w:rsidR="00224971" w:rsidRPr="00224971" w:rsidRDefault="00275A70" w:rsidP="00224971">
      <w:pPr>
        <w:pStyle w:val="Nadpis1"/>
        <w:spacing w:after="240"/>
      </w:pPr>
      <w:bookmarkStart w:id="46" w:name="page17"/>
      <w:bookmarkEnd w:id="46"/>
      <w:r>
        <w:br w:type="page"/>
      </w:r>
      <w:bookmarkStart w:id="47" w:name="_Toc451166918"/>
      <w:bookmarkStart w:id="48" w:name="_Toc451166934"/>
      <w:bookmarkStart w:id="49" w:name="_Toc451175107"/>
      <w:bookmarkStart w:id="50" w:name="_Toc451180163"/>
      <w:bookmarkStart w:id="51" w:name="_Toc483227189"/>
      <w:r w:rsidR="00D7626D" w:rsidRPr="006E4CC9">
        <w:lastRenderedPageBreak/>
        <w:t>4. Použité zdroje a literatura</w:t>
      </w:r>
      <w:bookmarkEnd w:id="47"/>
      <w:bookmarkEnd w:id="48"/>
      <w:bookmarkEnd w:id="49"/>
      <w:bookmarkEnd w:id="50"/>
      <w:bookmarkEnd w:id="51"/>
    </w:p>
    <w:p w:rsidR="00D7626D" w:rsidRPr="00DB6382" w:rsidRDefault="00A12C6B" w:rsidP="001669D2">
      <w:pPr>
        <w:widowControl w:val="0"/>
        <w:autoSpaceDE w:val="0"/>
        <w:autoSpaceDN w:val="0"/>
        <w:adjustRightInd w:val="0"/>
        <w:rPr>
          <w:rFonts w:cs="Arial"/>
          <w:sz w:val="24"/>
        </w:rPr>
      </w:pPr>
      <w:r>
        <w:rPr>
          <w:rFonts w:cs="Arial"/>
          <w:szCs w:val="20"/>
        </w:rPr>
        <w:t>Systém účtů kultury. Praha</w:t>
      </w:r>
      <w:r w:rsidR="00D7626D" w:rsidRPr="00DB6382">
        <w:rPr>
          <w:rFonts w:cs="Arial"/>
          <w:szCs w:val="20"/>
        </w:rPr>
        <w:t>: NIPOS, 2011 a 2014.</w:t>
      </w:r>
    </w:p>
    <w:p w:rsidR="00D7626D" w:rsidRPr="00DB6382" w:rsidRDefault="00D7626D" w:rsidP="001669D2">
      <w:pPr>
        <w:widowControl w:val="0"/>
        <w:autoSpaceDE w:val="0"/>
        <w:autoSpaceDN w:val="0"/>
        <w:adjustRightInd w:val="0"/>
        <w:rPr>
          <w:rFonts w:cs="Arial"/>
          <w:sz w:val="24"/>
        </w:rPr>
      </w:pPr>
      <w:r w:rsidRPr="00DB6382">
        <w:rPr>
          <w:rFonts w:cs="Arial"/>
          <w:szCs w:val="20"/>
        </w:rPr>
        <w:t>Výsledky účtu kultur</w:t>
      </w:r>
      <w:r w:rsidR="00A12C6B">
        <w:rPr>
          <w:rFonts w:cs="Arial"/>
          <w:szCs w:val="20"/>
        </w:rPr>
        <w:t>y ČR za rok 2009 -  2013. Praha</w:t>
      </w:r>
      <w:r w:rsidR="00B405D1">
        <w:rPr>
          <w:rFonts w:cs="Arial"/>
          <w:szCs w:val="20"/>
        </w:rPr>
        <w:t>: NIPOS, 2011 – 2016</w:t>
      </w:r>
      <w:r w:rsidRPr="00DB6382">
        <w:rPr>
          <w:rFonts w:cs="Arial"/>
          <w:szCs w:val="20"/>
        </w:rPr>
        <w:t>.</w:t>
      </w:r>
    </w:p>
    <w:p w:rsidR="00D7626D" w:rsidRPr="00DB6382" w:rsidRDefault="00D7626D" w:rsidP="001669D2">
      <w:pPr>
        <w:widowControl w:val="0"/>
        <w:overflowPunct w:val="0"/>
        <w:autoSpaceDE w:val="0"/>
        <w:autoSpaceDN w:val="0"/>
        <w:adjustRightInd w:val="0"/>
        <w:ind w:left="420" w:hanging="427"/>
        <w:rPr>
          <w:rFonts w:cs="Arial"/>
          <w:sz w:val="24"/>
        </w:rPr>
      </w:pPr>
      <w:proofErr w:type="spellStart"/>
      <w:r w:rsidRPr="00DB6382">
        <w:rPr>
          <w:rFonts w:cs="Arial"/>
          <w:szCs w:val="20"/>
        </w:rPr>
        <w:t>ESSnet</w:t>
      </w:r>
      <w:proofErr w:type="spellEnd"/>
      <w:r w:rsidRPr="00DB6382">
        <w:rPr>
          <w:rFonts w:cs="Arial"/>
          <w:szCs w:val="20"/>
        </w:rPr>
        <w:t xml:space="preserve"> on </w:t>
      </w:r>
      <w:proofErr w:type="spellStart"/>
      <w:r w:rsidRPr="00DB6382">
        <w:rPr>
          <w:rFonts w:cs="Arial"/>
          <w:szCs w:val="20"/>
        </w:rPr>
        <w:t>Culture</w:t>
      </w:r>
      <w:proofErr w:type="spellEnd"/>
      <w:r w:rsidRPr="00DB6382">
        <w:rPr>
          <w:rFonts w:cs="Arial"/>
          <w:szCs w:val="20"/>
        </w:rPr>
        <w:t xml:space="preserve"> </w:t>
      </w:r>
      <w:proofErr w:type="spellStart"/>
      <w:r w:rsidRPr="00DB6382">
        <w:rPr>
          <w:rFonts w:cs="Arial"/>
          <w:szCs w:val="20"/>
        </w:rPr>
        <w:t>statistics</w:t>
      </w:r>
      <w:proofErr w:type="spellEnd"/>
      <w:r w:rsidRPr="00DB6382">
        <w:rPr>
          <w:rFonts w:cs="Arial"/>
          <w:szCs w:val="20"/>
        </w:rPr>
        <w:t xml:space="preserve"> 2009 – 2011, </w:t>
      </w:r>
      <w:proofErr w:type="spellStart"/>
      <w:r w:rsidRPr="00DB6382">
        <w:rPr>
          <w:rFonts w:cs="Arial"/>
          <w:szCs w:val="20"/>
        </w:rPr>
        <w:t>Task</w:t>
      </w:r>
      <w:proofErr w:type="spellEnd"/>
      <w:r w:rsidRPr="00DB6382">
        <w:rPr>
          <w:rFonts w:cs="Arial"/>
          <w:szCs w:val="20"/>
        </w:rPr>
        <w:t xml:space="preserve"> </w:t>
      </w:r>
      <w:proofErr w:type="spellStart"/>
      <w:r w:rsidRPr="00DB6382">
        <w:rPr>
          <w:rFonts w:cs="Arial"/>
          <w:szCs w:val="20"/>
        </w:rPr>
        <w:t>Force</w:t>
      </w:r>
      <w:proofErr w:type="spellEnd"/>
      <w:r w:rsidRPr="00DB6382">
        <w:rPr>
          <w:rFonts w:cs="Arial"/>
          <w:szCs w:val="20"/>
        </w:rPr>
        <w:t xml:space="preserve"> 1: Framework </w:t>
      </w:r>
      <w:proofErr w:type="spellStart"/>
      <w:r w:rsidRPr="00DB6382">
        <w:rPr>
          <w:rFonts w:cs="Arial"/>
          <w:szCs w:val="20"/>
        </w:rPr>
        <w:t>and</w:t>
      </w:r>
      <w:proofErr w:type="spellEnd"/>
      <w:r w:rsidRPr="00DB6382">
        <w:rPr>
          <w:rFonts w:cs="Arial"/>
          <w:szCs w:val="20"/>
        </w:rPr>
        <w:t xml:space="preserve"> </w:t>
      </w:r>
      <w:proofErr w:type="spellStart"/>
      <w:r w:rsidRPr="00DB6382">
        <w:rPr>
          <w:rFonts w:cs="Arial"/>
          <w:szCs w:val="20"/>
        </w:rPr>
        <w:t>definitions</w:t>
      </w:r>
      <w:proofErr w:type="spellEnd"/>
      <w:r w:rsidRPr="00DB6382">
        <w:rPr>
          <w:rFonts w:cs="Arial"/>
          <w:szCs w:val="20"/>
        </w:rPr>
        <w:t xml:space="preserve"> (</w:t>
      </w:r>
      <w:proofErr w:type="spellStart"/>
      <w:r w:rsidRPr="00DB6382">
        <w:rPr>
          <w:rFonts w:cs="Arial"/>
          <w:szCs w:val="20"/>
        </w:rPr>
        <w:t>Final</w:t>
      </w:r>
      <w:proofErr w:type="spellEnd"/>
      <w:r w:rsidRPr="00DB6382">
        <w:rPr>
          <w:rFonts w:cs="Arial"/>
          <w:szCs w:val="20"/>
        </w:rPr>
        <w:t xml:space="preserve"> Report 2011)</w:t>
      </w:r>
      <w:r w:rsidR="00DF5C19">
        <w:rPr>
          <w:rFonts w:cs="Arial"/>
          <w:szCs w:val="20"/>
        </w:rPr>
        <w:t>.</w:t>
      </w:r>
    </w:p>
    <w:p w:rsidR="00D7626D" w:rsidRPr="00DB6382" w:rsidRDefault="00D7626D" w:rsidP="001669D2">
      <w:pPr>
        <w:widowControl w:val="0"/>
        <w:autoSpaceDE w:val="0"/>
        <w:autoSpaceDN w:val="0"/>
        <w:adjustRightInd w:val="0"/>
        <w:rPr>
          <w:rFonts w:cs="Arial"/>
          <w:sz w:val="24"/>
        </w:rPr>
      </w:pPr>
      <w:proofErr w:type="spellStart"/>
      <w:r w:rsidRPr="00DB6382">
        <w:rPr>
          <w:rFonts w:cs="Arial"/>
          <w:szCs w:val="20"/>
        </w:rPr>
        <w:t>National</w:t>
      </w:r>
      <w:proofErr w:type="spellEnd"/>
      <w:r w:rsidRPr="00DB6382">
        <w:rPr>
          <w:rFonts w:cs="Arial"/>
          <w:szCs w:val="20"/>
        </w:rPr>
        <w:t xml:space="preserve"> report on public </w:t>
      </w:r>
      <w:proofErr w:type="spellStart"/>
      <w:r w:rsidRPr="00DB6382">
        <w:rPr>
          <w:rFonts w:cs="Arial"/>
          <w:szCs w:val="20"/>
        </w:rPr>
        <w:t>expenditure</w:t>
      </w:r>
      <w:proofErr w:type="spellEnd"/>
      <w:r w:rsidRPr="00DB6382">
        <w:rPr>
          <w:rFonts w:cs="Arial"/>
          <w:szCs w:val="20"/>
        </w:rPr>
        <w:t xml:space="preserve">. </w:t>
      </w:r>
      <w:proofErr w:type="spellStart"/>
      <w:r w:rsidRPr="00DB6382">
        <w:rPr>
          <w:rFonts w:cs="Arial"/>
          <w:szCs w:val="20"/>
        </w:rPr>
        <w:t>Eries</w:t>
      </w:r>
      <w:proofErr w:type="spellEnd"/>
      <w:r w:rsidRPr="00DB6382">
        <w:rPr>
          <w:rFonts w:cs="Arial"/>
          <w:szCs w:val="20"/>
        </w:rPr>
        <w:t>, 2004</w:t>
      </w:r>
      <w:r w:rsidR="00DF5C19">
        <w:rPr>
          <w:rFonts w:cs="Arial"/>
          <w:szCs w:val="20"/>
        </w:rPr>
        <w:t>.</w:t>
      </w:r>
    </w:p>
    <w:p w:rsidR="00882FF9" w:rsidRDefault="00D7626D" w:rsidP="00882FF9">
      <w:pPr>
        <w:widowControl w:val="0"/>
        <w:autoSpaceDE w:val="0"/>
        <w:autoSpaceDN w:val="0"/>
        <w:adjustRightInd w:val="0"/>
        <w:rPr>
          <w:rFonts w:cs="Arial"/>
          <w:sz w:val="24"/>
        </w:rPr>
      </w:pPr>
      <w:proofErr w:type="spellStart"/>
      <w:r w:rsidRPr="00DB6382">
        <w:rPr>
          <w:rFonts w:cs="Arial"/>
          <w:szCs w:val="20"/>
        </w:rPr>
        <w:t>The</w:t>
      </w:r>
      <w:proofErr w:type="spellEnd"/>
      <w:r w:rsidRPr="00DB6382">
        <w:rPr>
          <w:rFonts w:cs="Arial"/>
          <w:szCs w:val="20"/>
        </w:rPr>
        <w:t xml:space="preserve"> </w:t>
      </w:r>
      <w:proofErr w:type="spellStart"/>
      <w:r w:rsidRPr="00DB6382">
        <w:rPr>
          <w:rFonts w:cs="Arial"/>
          <w:szCs w:val="20"/>
        </w:rPr>
        <w:t>Economy</w:t>
      </w:r>
      <w:proofErr w:type="spellEnd"/>
      <w:r w:rsidRPr="00DB6382">
        <w:rPr>
          <w:rFonts w:cs="Arial"/>
          <w:szCs w:val="20"/>
        </w:rPr>
        <w:t xml:space="preserve"> </w:t>
      </w:r>
      <w:proofErr w:type="spellStart"/>
      <w:r w:rsidRPr="00DB6382">
        <w:rPr>
          <w:rFonts w:cs="Arial"/>
          <w:szCs w:val="20"/>
        </w:rPr>
        <w:t>of</w:t>
      </w:r>
      <w:proofErr w:type="spellEnd"/>
      <w:r w:rsidRPr="00DB6382">
        <w:rPr>
          <w:rFonts w:cs="Arial"/>
          <w:szCs w:val="20"/>
        </w:rPr>
        <w:t xml:space="preserve"> </w:t>
      </w:r>
      <w:proofErr w:type="spellStart"/>
      <w:r w:rsidRPr="00DB6382">
        <w:rPr>
          <w:rFonts w:cs="Arial"/>
          <w:szCs w:val="20"/>
        </w:rPr>
        <w:t>Culture</w:t>
      </w:r>
      <w:proofErr w:type="spellEnd"/>
      <w:r w:rsidRPr="00DB6382">
        <w:rPr>
          <w:rFonts w:cs="Arial"/>
          <w:szCs w:val="20"/>
        </w:rPr>
        <w:t xml:space="preserve">. Studie KEA </w:t>
      </w:r>
      <w:proofErr w:type="spellStart"/>
      <w:r w:rsidRPr="00DB6382">
        <w:rPr>
          <w:rFonts w:cs="Arial"/>
          <w:szCs w:val="20"/>
        </w:rPr>
        <w:t>European</w:t>
      </w:r>
      <w:proofErr w:type="spellEnd"/>
      <w:r w:rsidRPr="00DB6382">
        <w:rPr>
          <w:rFonts w:cs="Arial"/>
          <w:szCs w:val="20"/>
        </w:rPr>
        <w:t xml:space="preserve"> </w:t>
      </w:r>
      <w:proofErr w:type="spellStart"/>
      <w:r w:rsidRPr="00DB6382">
        <w:rPr>
          <w:rFonts w:cs="Arial"/>
          <w:szCs w:val="20"/>
        </w:rPr>
        <w:t>Affairs</w:t>
      </w:r>
      <w:proofErr w:type="spellEnd"/>
      <w:r w:rsidRPr="00DB6382">
        <w:rPr>
          <w:rFonts w:cs="Arial"/>
          <w:szCs w:val="20"/>
        </w:rPr>
        <w:t xml:space="preserve"> pro Evropskou komisi, (2006).</w:t>
      </w:r>
    </w:p>
    <w:p w:rsidR="00D7626D" w:rsidRPr="00DB6382" w:rsidRDefault="00D7626D" w:rsidP="00882FF9">
      <w:pPr>
        <w:widowControl w:val="0"/>
        <w:autoSpaceDE w:val="0"/>
        <w:autoSpaceDN w:val="0"/>
        <w:adjustRightInd w:val="0"/>
        <w:rPr>
          <w:rFonts w:cs="Arial"/>
          <w:sz w:val="24"/>
        </w:rPr>
      </w:pPr>
      <w:r w:rsidRPr="00DB6382">
        <w:rPr>
          <w:rFonts w:cs="Arial"/>
          <w:szCs w:val="20"/>
        </w:rPr>
        <w:t>Statistická zjišťování ČSÚ a NIPOS a administrativní zdroje dat MF, MV, ČSSZ a Unie filmových distributorů a různá doplňková zjišťování provedená NIPOS.</w:t>
      </w:r>
    </w:p>
    <w:p w:rsidR="00D7626D" w:rsidRPr="00DB6382" w:rsidRDefault="00D7626D" w:rsidP="001669D2">
      <w:pPr>
        <w:widowControl w:val="0"/>
        <w:autoSpaceDE w:val="0"/>
        <w:autoSpaceDN w:val="0"/>
        <w:adjustRightInd w:val="0"/>
        <w:rPr>
          <w:rFonts w:cs="Arial"/>
          <w:sz w:val="24"/>
        </w:rPr>
      </w:pPr>
      <w:r w:rsidRPr="00DB6382">
        <w:rPr>
          <w:rFonts w:cs="Arial"/>
          <w:szCs w:val="20"/>
        </w:rPr>
        <w:t>Tabulk</w:t>
      </w:r>
      <w:r w:rsidR="00F9539D">
        <w:rPr>
          <w:rFonts w:cs="Arial"/>
          <w:szCs w:val="20"/>
        </w:rPr>
        <w:t>y dodávek a užití ČSÚ za rok 2014 a 2015</w:t>
      </w:r>
      <w:r w:rsidRPr="00DB6382">
        <w:rPr>
          <w:rFonts w:cs="Arial"/>
          <w:szCs w:val="20"/>
        </w:rPr>
        <w:t>.</w:t>
      </w:r>
    </w:p>
    <w:p w:rsidR="00D7626D" w:rsidRPr="00DB6382" w:rsidRDefault="00D7626D" w:rsidP="001669D2">
      <w:pPr>
        <w:widowControl w:val="0"/>
        <w:autoSpaceDE w:val="0"/>
        <w:autoSpaceDN w:val="0"/>
        <w:adjustRightInd w:val="0"/>
        <w:rPr>
          <w:rFonts w:cs="Arial"/>
          <w:sz w:val="24"/>
        </w:rPr>
      </w:pPr>
      <w:r w:rsidRPr="00DB6382">
        <w:rPr>
          <w:rFonts w:cs="Arial"/>
          <w:szCs w:val="20"/>
        </w:rPr>
        <w:t>Klasifikace ekonomick</w:t>
      </w:r>
      <w:r w:rsidR="00A12C6B">
        <w:rPr>
          <w:rFonts w:cs="Arial"/>
          <w:szCs w:val="20"/>
        </w:rPr>
        <w:t>ých činností (CZ- NACE). Praha</w:t>
      </w:r>
      <w:r w:rsidRPr="00DB6382">
        <w:rPr>
          <w:rFonts w:cs="Arial"/>
          <w:szCs w:val="20"/>
        </w:rPr>
        <w:t>: ČSÚ, 2008.</w:t>
      </w:r>
    </w:p>
    <w:p w:rsidR="007E667A" w:rsidRPr="007E667A" w:rsidRDefault="001669D2" w:rsidP="00224971">
      <w:pPr>
        <w:pStyle w:val="Nadpis1"/>
        <w:tabs>
          <w:tab w:val="left" w:pos="9356"/>
        </w:tabs>
        <w:spacing w:after="360"/>
        <w:rPr>
          <w:rFonts w:cs="Arial"/>
        </w:rPr>
      </w:pPr>
      <w:bookmarkStart w:id="52" w:name="page18"/>
      <w:bookmarkEnd w:id="52"/>
      <w:r>
        <w:rPr>
          <w:rFonts w:cs="Arial"/>
        </w:rPr>
        <w:br w:type="page"/>
      </w:r>
      <w:bookmarkStart w:id="53" w:name="_Toc451166919"/>
      <w:bookmarkStart w:id="54" w:name="_Toc451166935"/>
      <w:bookmarkStart w:id="55" w:name="_Toc451175108"/>
      <w:bookmarkStart w:id="56" w:name="_Toc451180164"/>
      <w:bookmarkStart w:id="57" w:name="_Toc483227190"/>
      <w:r w:rsidR="00D7626D" w:rsidRPr="00DB6382">
        <w:rPr>
          <w:rFonts w:cs="Arial"/>
        </w:rPr>
        <w:lastRenderedPageBreak/>
        <w:t>5. Tabulková příloha</w:t>
      </w:r>
      <w:bookmarkEnd w:id="53"/>
      <w:bookmarkEnd w:id="54"/>
      <w:bookmarkEnd w:id="55"/>
      <w:bookmarkEnd w:id="56"/>
      <w:bookmarkEnd w:id="57"/>
    </w:p>
    <w:p w:rsidR="007E667A" w:rsidRPr="007E667A" w:rsidRDefault="007E667A" w:rsidP="007E667A">
      <w:pPr>
        <w:tabs>
          <w:tab w:val="left" w:pos="9356"/>
        </w:tabs>
        <w:spacing w:before="240" w:after="0"/>
        <w:rPr>
          <w:rFonts w:cs="Arial"/>
          <w:sz w:val="18"/>
        </w:rPr>
      </w:pPr>
      <w:r w:rsidRPr="007E667A">
        <w:rPr>
          <w:rFonts w:cs="Arial"/>
          <w:sz w:val="18"/>
        </w:rPr>
        <w:t>Tabulka 1 Zdroje financování kultury podl</w:t>
      </w:r>
      <w:r w:rsidR="00954DD8">
        <w:rPr>
          <w:rFonts w:cs="Arial"/>
          <w:sz w:val="18"/>
        </w:rPr>
        <w:t>e kulturních oblastí v roce 2015</w:t>
      </w:r>
      <w:r>
        <w:rPr>
          <w:rFonts w:cs="Arial"/>
          <w:sz w:val="18"/>
        </w:rPr>
        <w:t xml:space="preserve"> ……………………………</w:t>
      </w:r>
      <w:r w:rsidR="00A0370B">
        <w:rPr>
          <w:rFonts w:cs="Arial"/>
          <w:sz w:val="18"/>
        </w:rPr>
        <w:t>…………………….</w:t>
      </w:r>
      <w:r w:rsidR="00A0370B">
        <w:rPr>
          <w:rFonts w:cs="Arial"/>
          <w:sz w:val="18"/>
        </w:rPr>
        <w:tab/>
      </w:r>
      <w:r w:rsidR="000B14FF">
        <w:rPr>
          <w:rFonts w:cs="Arial"/>
          <w:sz w:val="18"/>
        </w:rPr>
        <w:t>18</w:t>
      </w:r>
    </w:p>
    <w:p w:rsidR="007E667A" w:rsidRPr="007E667A" w:rsidRDefault="007E667A" w:rsidP="007E667A">
      <w:pPr>
        <w:tabs>
          <w:tab w:val="left" w:pos="9356"/>
        </w:tabs>
        <w:spacing w:before="240" w:after="0"/>
        <w:rPr>
          <w:rFonts w:cs="Arial"/>
          <w:sz w:val="18"/>
        </w:rPr>
      </w:pPr>
      <w:r w:rsidRPr="007E667A">
        <w:rPr>
          <w:rFonts w:cs="Arial"/>
          <w:sz w:val="18"/>
        </w:rPr>
        <w:t>Tabulka 2 Umístění finančních zdrojů podle kulturních oblastí a poskytovate</w:t>
      </w:r>
      <w:r w:rsidR="00954DD8">
        <w:rPr>
          <w:rFonts w:cs="Arial"/>
          <w:sz w:val="18"/>
        </w:rPr>
        <w:t>lů kulturních služeb v roce 2015</w:t>
      </w:r>
      <w:r w:rsidR="00A0370B">
        <w:rPr>
          <w:rFonts w:cs="Arial"/>
          <w:sz w:val="18"/>
        </w:rPr>
        <w:t xml:space="preserve"> ………</w:t>
      </w:r>
      <w:r w:rsidR="00EC42F4">
        <w:rPr>
          <w:rFonts w:cs="Arial"/>
          <w:sz w:val="18"/>
        </w:rPr>
        <w:t>…</w:t>
      </w:r>
      <w:r w:rsidR="00EC42F4">
        <w:rPr>
          <w:rFonts w:cs="Arial"/>
          <w:sz w:val="18"/>
        </w:rPr>
        <w:tab/>
      </w:r>
      <w:r w:rsidR="000B14FF">
        <w:rPr>
          <w:rFonts w:cs="Arial"/>
          <w:sz w:val="18"/>
        </w:rPr>
        <w:t>19</w:t>
      </w:r>
    </w:p>
    <w:p w:rsidR="007E667A" w:rsidRPr="007E667A" w:rsidRDefault="007E667A" w:rsidP="007E667A">
      <w:pPr>
        <w:tabs>
          <w:tab w:val="left" w:pos="9356"/>
        </w:tabs>
        <w:spacing w:before="240" w:after="0"/>
        <w:rPr>
          <w:rFonts w:cs="Arial"/>
          <w:sz w:val="18"/>
        </w:rPr>
      </w:pPr>
      <w:r w:rsidRPr="007E667A">
        <w:rPr>
          <w:rFonts w:cs="Arial"/>
          <w:sz w:val="18"/>
        </w:rPr>
        <w:t>Tabulka 3 Příjmy a výdaje kulturních institucí podl</w:t>
      </w:r>
      <w:r w:rsidR="00954DD8">
        <w:rPr>
          <w:rFonts w:cs="Arial"/>
          <w:sz w:val="18"/>
        </w:rPr>
        <w:t>e kulturních oblastí v roce 2015</w:t>
      </w:r>
      <w:r w:rsidR="00A0370B">
        <w:rPr>
          <w:rFonts w:cs="Arial"/>
          <w:sz w:val="18"/>
        </w:rPr>
        <w:t xml:space="preserve"> …………………………………….….</w:t>
      </w:r>
      <w:r w:rsidR="00EC42F4">
        <w:rPr>
          <w:rFonts w:cs="Arial"/>
          <w:sz w:val="18"/>
        </w:rPr>
        <w:tab/>
      </w:r>
      <w:r w:rsidR="000B14FF">
        <w:rPr>
          <w:rFonts w:cs="Arial"/>
          <w:sz w:val="18"/>
        </w:rPr>
        <w:t>20</w:t>
      </w:r>
    </w:p>
    <w:p w:rsidR="007E667A" w:rsidRPr="007E667A" w:rsidRDefault="007E667A" w:rsidP="007E667A">
      <w:pPr>
        <w:tabs>
          <w:tab w:val="left" w:pos="9356"/>
        </w:tabs>
        <w:spacing w:before="240" w:after="0"/>
        <w:rPr>
          <w:rFonts w:cs="Arial"/>
          <w:sz w:val="18"/>
        </w:rPr>
      </w:pPr>
      <w:r w:rsidRPr="007E667A">
        <w:rPr>
          <w:rFonts w:cs="Arial"/>
          <w:sz w:val="18"/>
        </w:rPr>
        <w:t>Tabulka 4 Příjmy a výdaje kulturních institucí podle poskytovate</w:t>
      </w:r>
      <w:r w:rsidR="00954DD8">
        <w:rPr>
          <w:rFonts w:cs="Arial"/>
          <w:sz w:val="18"/>
        </w:rPr>
        <w:t>lů kulturních služeb v roce 2015</w:t>
      </w:r>
      <w:r>
        <w:rPr>
          <w:rFonts w:cs="Arial"/>
          <w:sz w:val="18"/>
        </w:rPr>
        <w:t xml:space="preserve"> ……………………….</w:t>
      </w:r>
      <w:r w:rsidRPr="007E667A">
        <w:rPr>
          <w:rFonts w:cs="Arial"/>
          <w:sz w:val="18"/>
        </w:rPr>
        <w:tab/>
      </w:r>
      <w:r w:rsidR="000B14FF">
        <w:rPr>
          <w:rFonts w:cs="Arial"/>
          <w:sz w:val="18"/>
        </w:rPr>
        <w:t>21</w:t>
      </w:r>
    </w:p>
    <w:p w:rsidR="007E667A" w:rsidRPr="007E667A" w:rsidRDefault="007E667A" w:rsidP="007E667A">
      <w:pPr>
        <w:tabs>
          <w:tab w:val="left" w:pos="9356"/>
        </w:tabs>
        <w:spacing w:before="240" w:after="0"/>
        <w:rPr>
          <w:rFonts w:cs="Arial"/>
          <w:sz w:val="18"/>
        </w:rPr>
      </w:pPr>
      <w:r w:rsidRPr="007E667A">
        <w:rPr>
          <w:rFonts w:cs="Arial"/>
          <w:sz w:val="18"/>
        </w:rPr>
        <w:t>Tabulka 5 Makroekonomické ukazatele podl</w:t>
      </w:r>
      <w:r w:rsidR="00954DD8">
        <w:rPr>
          <w:rFonts w:cs="Arial"/>
          <w:sz w:val="18"/>
        </w:rPr>
        <w:t>e kulturních oblastí v roce 2015</w:t>
      </w:r>
      <w:r w:rsidRPr="007E667A">
        <w:rPr>
          <w:rFonts w:cs="Arial"/>
          <w:sz w:val="18"/>
        </w:rPr>
        <w:t xml:space="preserve"> (odhad)</w:t>
      </w:r>
      <w:r w:rsidR="00954DD8">
        <w:rPr>
          <w:rFonts w:cs="Arial"/>
          <w:sz w:val="18"/>
        </w:rPr>
        <w:t xml:space="preserve"> …………………</w:t>
      </w:r>
      <w:r w:rsidR="000B14FF">
        <w:rPr>
          <w:rFonts w:cs="Arial"/>
          <w:sz w:val="18"/>
        </w:rPr>
        <w:t>………………….</w:t>
      </w:r>
      <w:r w:rsidR="000B14FF">
        <w:rPr>
          <w:rFonts w:cs="Arial"/>
          <w:sz w:val="18"/>
        </w:rPr>
        <w:tab/>
        <w:t>22</w:t>
      </w:r>
    </w:p>
    <w:p w:rsidR="007E667A" w:rsidRPr="007E667A" w:rsidRDefault="007E667A" w:rsidP="007E667A">
      <w:pPr>
        <w:tabs>
          <w:tab w:val="left" w:pos="9356"/>
        </w:tabs>
        <w:spacing w:before="240" w:after="0"/>
        <w:rPr>
          <w:rFonts w:cs="Arial"/>
          <w:sz w:val="18"/>
        </w:rPr>
      </w:pPr>
      <w:r w:rsidRPr="007E667A">
        <w:rPr>
          <w:rFonts w:cs="Arial"/>
          <w:sz w:val="18"/>
        </w:rPr>
        <w:t xml:space="preserve">Tabulka 6 Vybrané ukazatele v </w:t>
      </w:r>
      <w:proofErr w:type="spellStart"/>
      <w:r w:rsidRPr="007E667A">
        <w:rPr>
          <w:rFonts w:cs="Arial"/>
          <w:sz w:val="18"/>
        </w:rPr>
        <w:t>trojsektorovém</w:t>
      </w:r>
      <w:proofErr w:type="spellEnd"/>
      <w:r w:rsidRPr="007E667A">
        <w:rPr>
          <w:rFonts w:cs="Arial"/>
          <w:sz w:val="18"/>
        </w:rPr>
        <w:t xml:space="preserve"> členění kultury za r</w:t>
      </w:r>
      <w:r w:rsidR="00954DD8">
        <w:rPr>
          <w:rFonts w:cs="Arial"/>
          <w:sz w:val="18"/>
        </w:rPr>
        <w:t>ok 2015</w:t>
      </w:r>
      <w:r w:rsidRPr="007E667A">
        <w:rPr>
          <w:rFonts w:cs="Arial"/>
          <w:sz w:val="18"/>
        </w:rPr>
        <w:t xml:space="preserve"> (</w:t>
      </w:r>
      <w:proofErr w:type="spellStart"/>
      <w:r w:rsidRPr="007E667A">
        <w:rPr>
          <w:rFonts w:cs="Arial"/>
          <w:sz w:val="18"/>
        </w:rPr>
        <w:t>sl</w:t>
      </w:r>
      <w:proofErr w:type="spellEnd"/>
      <w:r w:rsidRPr="007E667A">
        <w:rPr>
          <w:rFonts w:cs="Arial"/>
          <w:sz w:val="18"/>
        </w:rPr>
        <w:t>. 3 – 5 odhad)</w:t>
      </w:r>
      <w:r w:rsidR="00EC42F4">
        <w:rPr>
          <w:rFonts w:cs="Arial"/>
          <w:sz w:val="18"/>
        </w:rPr>
        <w:t xml:space="preserve"> ………………………</w:t>
      </w:r>
      <w:proofErr w:type="gramStart"/>
      <w:r w:rsidR="00EC42F4">
        <w:rPr>
          <w:rFonts w:cs="Arial"/>
          <w:sz w:val="18"/>
        </w:rPr>
        <w:t>…....</w:t>
      </w:r>
      <w:r w:rsidR="00EC42F4">
        <w:rPr>
          <w:rFonts w:cs="Arial"/>
          <w:sz w:val="18"/>
        </w:rPr>
        <w:tab/>
      </w:r>
      <w:r w:rsidR="000B14FF">
        <w:rPr>
          <w:rFonts w:cs="Arial"/>
          <w:sz w:val="18"/>
        </w:rPr>
        <w:t>23</w:t>
      </w:r>
      <w:proofErr w:type="gramEnd"/>
    </w:p>
    <w:p w:rsidR="007E667A" w:rsidRDefault="007E667A" w:rsidP="007E667A">
      <w:pPr>
        <w:tabs>
          <w:tab w:val="left" w:pos="9356"/>
        </w:tabs>
        <w:spacing w:before="240" w:after="0"/>
        <w:rPr>
          <w:rFonts w:cs="Arial"/>
          <w:sz w:val="18"/>
        </w:rPr>
      </w:pPr>
      <w:r w:rsidRPr="007E667A">
        <w:rPr>
          <w:rFonts w:cs="Arial"/>
          <w:sz w:val="18"/>
        </w:rPr>
        <w:t>Tabulka 7</w:t>
      </w:r>
      <w:r w:rsidR="00954DD8">
        <w:rPr>
          <w:rFonts w:cs="Arial"/>
          <w:sz w:val="18"/>
        </w:rPr>
        <w:t>a</w:t>
      </w:r>
      <w:r w:rsidRPr="007E667A">
        <w:rPr>
          <w:rFonts w:cs="Arial"/>
          <w:sz w:val="18"/>
        </w:rPr>
        <w:t xml:space="preserve"> Zaměstnan</w:t>
      </w:r>
      <w:r w:rsidR="00954DD8">
        <w:rPr>
          <w:rFonts w:cs="Arial"/>
          <w:sz w:val="18"/>
        </w:rPr>
        <w:t>ost a mzdy v kultuře v roce 2015</w:t>
      </w:r>
      <w:r w:rsidR="00EC42F4">
        <w:rPr>
          <w:rFonts w:cs="Arial"/>
          <w:sz w:val="18"/>
        </w:rPr>
        <w:t xml:space="preserve"> ………………………………………………………………………</w:t>
      </w:r>
      <w:r w:rsidR="00EC42F4">
        <w:rPr>
          <w:rFonts w:cs="Arial"/>
          <w:sz w:val="18"/>
        </w:rPr>
        <w:tab/>
      </w:r>
      <w:r w:rsidR="000B14FF">
        <w:rPr>
          <w:rFonts w:cs="Arial"/>
          <w:sz w:val="18"/>
        </w:rPr>
        <w:t>24</w:t>
      </w:r>
    </w:p>
    <w:p w:rsidR="00954DD8" w:rsidRPr="007E667A" w:rsidRDefault="00954DD8" w:rsidP="007E667A">
      <w:pPr>
        <w:tabs>
          <w:tab w:val="left" w:pos="9356"/>
        </w:tabs>
        <w:spacing w:before="240" w:after="0"/>
        <w:rPr>
          <w:rFonts w:cs="Arial"/>
          <w:sz w:val="18"/>
        </w:rPr>
      </w:pPr>
      <w:r w:rsidRPr="007E667A">
        <w:rPr>
          <w:rFonts w:cs="Arial"/>
          <w:sz w:val="18"/>
        </w:rPr>
        <w:t>Tabulka 7</w:t>
      </w:r>
      <w:r>
        <w:rPr>
          <w:rFonts w:cs="Arial"/>
          <w:sz w:val="18"/>
        </w:rPr>
        <w:t>b</w:t>
      </w:r>
      <w:r w:rsidRPr="007E667A">
        <w:rPr>
          <w:rFonts w:cs="Arial"/>
          <w:sz w:val="18"/>
        </w:rPr>
        <w:t xml:space="preserve"> </w:t>
      </w:r>
      <w:r w:rsidRPr="00B86977">
        <w:rPr>
          <w:rFonts w:cs="Arial"/>
          <w:spacing w:val="-4"/>
          <w:sz w:val="18"/>
        </w:rPr>
        <w:t xml:space="preserve">Zaměstnanost v kultuře podle kulturních oblastí v roce 2015 (s využitím Výběrového šetření pracovních </w:t>
      </w:r>
      <w:r w:rsidR="00B86977">
        <w:rPr>
          <w:rFonts w:cs="Arial"/>
          <w:spacing w:val="-4"/>
          <w:sz w:val="18"/>
        </w:rPr>
        <w:t xml:space="preserve">sil) </w:t>
      </w:r>
      <w:proofErr w:type="gramStart"/>
      <w:r w:rsidR="00B86977">
        <w:rPr>
          <w:rFonts w:cs="Arial"/>
          <w:spacing w:val="-4"/>
          <w:sz w:val="18"/>
        </w:rPr>
        <w:t xml:space="preserve">….. </w:t>
      </w:r>
      <w:r w:rsidR="000B14FF">
        <w:rPr>
          <w:rFonts w:cs="Arial"/>
          <w:sz w:val="18"/>
        </w:rPr>
        <w:t>25</w:t>
      </w:r>
      <w:proofErr w:type="gramEnd"/>
    </w:p>
    <w:p w:rsidR="007E667A" w:rsidRPr="007E667A" w:rsidRDefault="007E667A" w:rsidP="007E667A">
      <w:pPr>
        <w:tabs>
          <w:tab w:val="left" w:pos="9356"/>
        </w:tabs>
        <w:spacing w:before="240" w:after="0"/>
        <w:rPr>
          <w:rFonts w:cs="Arial"/>
          <w:sz w:val="18"/>
        </w:rPr>
      </w:pPr>
      <w:r w:rsidRPr="007E667A">
        <w:rPr>
          <w:rFonts w:cs="Arial"/>
          <w:sz w:val="18"/>
        </w:rPr>
        <w:t>Tabulka 8 Zdroje a rozsah investi</w:t>
      </w:r>
      <w:r w:rsidR="00954DD8">
        <w:rPr>
          <w:rFonts w:cs="Arial"/>
          <w:sz w:val="18"/>
        </w:rPr>
        <w:t>c kulturního sektoru v roce</w:t>
      </w:r>
      <w:r w:rsidR="000B14FF">
        <w:rPr>
          <w:rFonts w:cs="Arial"/>
          <w:sz w:val="18"/>
        </w:rPr>
        <w:t xml:space="preserve"> 2015 ………………………………………………………….</w:t>
      </w:r>
      <w:r w:rsidR="000B14FF">
        <w:rPr>
          <w:rFonts w:cs="Arial"/>
          <w:sz w:val="18"/>
        </w:rPr>
        <w:tab/>
        <w:t>26</w:t>
      </w:r>
    </w:p>
    <w:p w:rsidR="007E667A" w:rsidRPr="007E667A" w:rsidRDefault="007E667A" w:rsidP="007E667A">
      <w:pPr>
        <w:tabs>
          <w:tab w:val="left" w:pos="9356"/>
        </w:tabs>
        <w:spacing w:before="240" w:after="0"/>
        <w:rPr>
          <w:rFonts w:cs="Arial"/>
          <w:sz w:val="18"/>
        </w:rPr>
      </w:pPr>
      <w:r w:rsidRPr="007E667A">
        <w:rPr>
          <w:rFonts w:cs="Arial"/>
          <w:sz w:val="18"/>
        </w:rPr>
        <w:t>Tabulka 9 Zahraniční obchod se zbožím a službam</w:t>
      </w:r>
      <w:r w:rsidR="00954DD8">
        <w:rPr>
          <w:rFonts w:cs="Arial"/>
          <w:sz w:val="18"/>
        </w:rPr>
        <w:t xml:space="preserve">i kulturního sektoru </w:t>
      </w:r>
      <w:r w:rsidR="000B14FF">
        <w:rPr>
          <w:rFonts w:cs="Arial"/>
          <w:sz w:val="18"/>
        </w:rPr>
        <w:t>v roce 2015 …………………………….……</w:t>
      </w:r>
      <w:proofErr w:type="gramStart"/>
      <w:r w:rsidR="000B14FF">
        <w:rPr>
          <w:rFonts w:cs="Arial"/>
          <w:sz w:val="18"/>
        </w:rPr>
        <w:t>…..</w:t>
      </w:r>
      <w:r w:rsidR="000B14FF">
        <w:rPr>
          <w:rFonts w:cs="Arial"/>
          <w:sz w:val="18"/>
        </w:rPr>
        <w:tab/>
        <w:t>27</w:t>
      </w:r>
      <w:proofErr w:type="gramEnd"/>
    </w:p>
    <w:p w:rsidR="007E667A" w:rsidRPr="007E667A" w:rsidRDefault="007E667A" w:rsidP="007E667A">
      <w:pPr>
        <w:tabs>
          <w:tab w:val="left" w:pos="9356"/>
        </w:tabs>
        <w:spacing w:before="240" w:after="0"/>
        <w:rPr>
          <w:rFonts w:cs="Arial"/>
          <w:sz w:val="18"/>
        </w:rPr>
      </w:pPr>
      <w:r w:rsidRPr="007E667A">
        <w:rPr>
          <w:rFonts w:cs="Arial"/>
          <w:sz w:val="18"/>
        </w:rPr>
        <w:t>Tabulka 10 Analytická tabulka základních ukaza</w:t>
      </w:r>
      <w:r w:rsidR="00954DD8">
        <w:rPr>
          <w:rFonts w:cs="Arial"/>
          <w:sz w:val="18"/>
        </w:rPr>
        <w:t>telů sektoru kultury za rok 2015</w:t>
      </w:r>
      <w:r w:rsidR="00EC42F4">
        <w:rPr>
          <w:rFonts w:cs="Arial"/>
          <w:sz w:val="18"/>
        </w:rPr>
        <w:t xml:space="preserve"> …………………………………….……</w:t>
      </w:r>
      <w:r w:rsidR="00EC42F4">
        <w:rPr>
          <w:rFonts w:cs="Arial"/>
          <w:sz w:val="18"/>
        </w:rPr>
        <w:tab/>
      </w:r>
      <w:r w:rsidR="000B14FF">
        <w:rPr>
          <w:rFonts w:cs="Arial"/>
          <w:sz w:val="18"/>
        </w:rPr>
        <w:t>28</w:t>
      </w:r>
    </w:p>
    <w:p w:rsidR="007E667A" w:rsidRPr="007E667A" w:rsidRDefault="007E667A" w:rsidP="007E667A">
      <w:pPr>
        <w:tabs>
          <w:tab w:val="left" w:pos="9356"/>
        </w:tabs>
        <w:spacing w:before="240" w:after="0"/>
        <w:rPr>
          <w:rFonts w:cs="Arial"/>
          <w:sz w:val="18"/>
        </w:rPr>
      </w:pPr>
      <w:r w:rsidRPr="007E667A">
        <w:rPr>
          <w:rFonts w:cs="Arial"/>
          <w:sz w:val="18"/>
        </w:rPr>
        <w:t>Tabulka 11 Časové řady vybraných ukazatelů s</w:t>
      </w:r>
      <w:r w:rsidR="00954DD8">
        <w:rPr>
          <w:rFonts w:cs="Arial"/>
          <w:sz w:val="18"/>
        </w:rPr>
        <w:t>ektoru kultury za léta 2010 – 15</w:t>
      </w:r>
      <w:r>
        <w:rPr>
          <w:rFonts w:cs="Arial"/>
          <w:sz w:val="18"/>
        </w:rPr>
        <w:t xml:space="preserve"> ……………………………………</w:t>
      </w:r>
      <w:r w:rsidR="000B14FF">
        <w:rPr>
          <w:rFonts w:cs="Arial"/>
          <w:sz w:val="18"/>
        </w:rPr>
        <w:t>…….</w:t>
      </w:r>
      <w:r w:rsidR="000B14FF">
        <w:rPr>
          <w:rFonts w:cs="Arial"/>
          <w:sz w:val="18"/>
        </w:rPr>
        <w:tab/>
        <w:t>29</w:t>
      </w:r>
    </w:p>
    <w:p w:rsidR="007E667A" w:rsidRPr="007E667A" w:rsidRDefault="007E667A" w:rsidP="007E667A">
      <w:pPr>
        <w:tabs>
          <w:tab w:val="left" w:pos="9356"/>
        </w:tabs>
        <w:spacing w:before="240" w:after="0"/>
        <w:rPr>
          <w:rFonts w:cs="Arial"/>
          <w:sz w:val="18"/>
        </w:rPr>
      </w:pPr>
      <w:r w:rsidRPr="007E667A">
        <w:rPr>
          <w:rFonts w:cs="Arial"/>
          <w:sz w:val="18"/>
        </w:rPr>
        <w:t>Tabulka 12 Počet vybraných poskytovate</w:t>
      </w:r>
      <w:r w:rsidR="00954DD8">
        <w:rPr>
          <w:rFonts w:cs="Arial"/>
          <w:sz w:val="18"/>
        </w:rPr>
        <w:t xml:space="preserve">lů kulturních služeb v </w:t>
      </w:r>
      <w:r w:rsidR="000B14FF">
        <w:rPr>
          <w:rFonts w:cs="Arial"/>
          <w:sz w:val="18"/>
        </w:rPr>
        <w:t>roce 2015 …………………………………………………</w:t>
      </w:r>
      <w:r w:rsidR="000B14FF">
        <w:rPr>
          <w:rFonts w:cs="Arial"/>
          <w:sz w:val="18"/>
        </w:rPr>
        <w:tab/>
        <w:t>30</w:t>
      </w:r>
    </w:p>
    <w:p w:rsidR="007E667A" w:rsidRPr="007E667A" w:rsidRDefault="007E667A" w:rsidP="007E667A">
      <w:pPr>
        <w:tabs>
          <w:tab w:val="left" w:pos="9356"/>
        </w:tabs>
        <w:spacing w:before="240" w:after="0"/>
        <w:rPr>
          <w:rFonts w:cs="Arial"/>
          <w:sz w:val="18"/>
        </w:rPr>
      </w:pPr>
      <w:r w:rsidRPr="007E667A">
        <w:rPr>
          <w:rFonts w:cs="Arial"/>
          <w:sz w:val="18"/>
        </w:rPr>
        <w:t>Tabulka 13 Relativní vyjádření výkonu poskytovatelů kulturních služeb v nat</w:t>
      </w:r>
      <w:r w:rsidR="00954DD8">
        <w:rPr>
          <w:rFonts w:cs="Arial"/>
          <w:sz w:val="18"/>
        </w:rPr>
        <w:t xml:space="preserve">urálních </w:t>
      </w:r>
      <w:r w:rsidR="000B14FF">
        <w:rPr>
          <w:rFonts w:cs="Arial"/>
          <w:sz w:val="18"/>
        </w:rPr>
        <w:t>ukazatelích v roce 2015 ……</w:t>
      </w:r>
      <w:proofErr w:type="gramStart"/>
      <w:r w:rsidR="000B14FF">
        <w:rPr>
          <w:rFonts w:cs="Arial"/>
          <w:sz w:val="18"/>
        </w:rPr>
        <w:t>…..</w:t>
      </w:r>
      <w:r w:rsidR="000B14FF">
        <w:rPr>
          <w:rFonts w:cs="Arial"/>
          <w:sz w:val="18"/>
        </w:rPr>
        <w:tab/>
        <w:t>31</w:t>
      </w:r>
      <w:proofErr w:type="gramEnd"/>
    </w:p>
    <w:p w:rsidR="00C73D1B" w:rsidRDefault="00C73D1B" w:rsidP="007E667A">
      <w:pPr>
        <w:rPr>
          <w:rFonts w:cs="Arial"/>
        </w:rPr>
        <w:sectPr w:rsidR="00C73D1B" w:rsidSect="0040293A">
          <w:headerReference w:type="even" r:id="rId9"/>
          <w:headerReference w:type="default" r:id="rId10"/>
          <w:footerReference w:type="even" r:id="rId11"/>
          <w:footerReference w:type="default" r:id="rId12"/>
          <w:pgSz w:w="11906" w:h="16838" w:code="9"/>
          <w:pgMar w:top="1387" w:right="1134" w:bottom="1418" w:left="1134" w:header="680" w:footer="680" w:gutter="0"/>
          <w:cols w:space="708"/>
          <w:docGrid w:linePitch="360"/>
        </w:sectPr>
      </w:pPr>
    </w:p>
    <w:tbl>
      <w:tblPr>
        <w:tblW w:w="13820" w:type="dxa"/>
        <w:tblInd w:w="55" w:type="dxa"/>
        <w:tblCellMar>
          <w:left w:w="70" w:type="dxa"/>
          <w:right w:w="70" w:type="dxa"/>
        </w:tblCellMar>
        <w:tblLook w:val="04A0"/>
      </w:tblPr>
      <w:tblGrid>
        <w:gridCol w:w="1540"/>
        <w:gridCol w:w="1080"/>
        <w:gridCol w:w="1060"/>
        <w:gridCol w:w="1140"/>
        <w:gridCol w:w="1151"/>
        <w:gridCol w:w="1180"/>
        <w:gridCol w:w="1001"/>
        <w:gridCol w:w="1120"/>
        <w:gridCol w:w="1131"/>
        <w:gridCol w:w="1201"/>
        <w:gridCol w:w="1060"/>
        <w:gridCol w:w="1280"/>
      </w:tblGrid>
      <w:tr w:rsidR="00C73D1B" w:rsidRPr="00C73D1B" w:rsidTr="00C73D1B">
        <w:trPr>
          <w:trHeight w:val="315"/>
        </w:trPr>
        <w:tc>
          <w:tcPr>
            <w:tcW w:w="9220" w:type="dxa"/>
            <w:gridSpan w:val="8"/>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b/>
                <w:bCs/>
                <w:color w:val="BC091B"/>
                <w:sz w:val="24"/>
              </w:rPr>
            </w:pPr>
            <w:bookmarkStart w:id="58" w:name="RANGE!A1"/>
            <w:r w:rsidRPr="00C73D1B">
              <w:rPr>
                <w:rFonts w:cs="Arial"/>
                <w:b/>
                <w:bCs/>
                <w:color w:val="BC091B"/>
                <w:sz w:val="24"/>
              </w:rPr>
              <w:lastRenderedPageBreak/>
              <w:t>Tabulka 1 Zdroje financování kultury podle kulturních oblastí v roce 2015</w:t>
            </w:r>
            <w:bookmarkEnd w:id="58"/>
          </w:p>
        </w:tc>
        <w:tc>
          <w:tcPr>
            <w:tcW w:w="10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C73D1B">
        <w:trPr>
          <w:trHeight w:val="225"/>
        </w:trPr>
        <w:tc>
          <w:tcPr>
            <w:tcW w:w="15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2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2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C73D1B">
        <w:trPr>
          <w:trHeight w:val="300"/>
        </w:trPr>
        <w:tc>
          <w:tcPr>
            <w:tcW w:w="1540"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OBLAST</w:t>
            </w:r>
          </w:p>
        </w:tc>
        <w:tc>
          <w:tcPr>
            <w:tcW w:w="3280" w:type="dxa"/>
            <w:gridSpan w:val="3"/>
            <w:tcBorders>
              <w:top w:val="nil"/>
              <w:left w:val="nil"/>
              <w:bottom w:val="single" w:sz="4" w:space="0" w:color="auto"/>
              <w:right w:val="single" w:sz="4" w:space="0" w:color="000000"/>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Veřejný sektor</w:t>
            </w:r>
          </w:p>
        </w:tc>
        <w:tc>
          <w:tcPr>
            <w:tcW w:w="4400" w:type="dxa"/>
            <w:gridSpan w:val="4"/>
            <w:tcBorders>
              <w:top w:val="nil"/>
              <w:left w:val="nil"/>
              <w:bottom w:val="single" w:sz="4" w:space="0" w:color="auto"/>
              <w:right w:val="single" w:sz="4" w:space="0" w:color="000000"/>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Soukromý sektor</w:t>
            </w:r>
          </w:p>
        </w:tc>
        <w:tc>
          <w:tcPr>
            <w:tcW w:w="3320" w:type="dxa"/>
            <w:gridSpan w:val="3"/>
            <w:tcBorders>
              <w:top w:val="nil"/>
              <w:left w:val="nil"/>
              <w:bottom w:val="single" w:sz="4" w:space="0" w:color="auto"/>
              <w:right w:val="single" w:sz="4" w:space="0" w:color="000000"/>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Ostatní svět</w:t>
            </w:r>
          </w:p>
        </w:tc>
        <w:tc>
          <w:tcPr>
            <w:tcW w:w="1280" w:type="dxa"/>
            <w:vMerge w:val="restart"/>
            <w:tcBorders>
              <w:top w:val="nil"/>
              <w:left w:val="nil"/>
              <w:bottom w:val="single" w:sz="4" w:space="0" w:color="000000"/>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ZDROJE CELKEM</w:t>
            </w:r>
          </w:p>
        </w:tc>
      </w:tr>
      <w:tr w:rsidR="00C73D1B" w:rsidRPr="00C73D1B" w:rsidTr="00C73D1B">
        <w:trPr>
          <w:trHeight w:val="750"/>
        </w:trPr>
        <w:tc>
          <w:tcPr>
            <w:tcW w:w="154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08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Ústřední vládní instituce</w:t>
            </w:r>
          </w:p>
        </w:tc>
        <w:tc>
          <w:tcPr>
            <w:tcW w:w="1060" w:type="dxa"/>
            <w:tcBorders>
              <w:top w:val="nil"/>
              <w:left w:val="single" w:sz="4" w:space="0" w:color="auto"/>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Místní vládní instituce</w:t>
            </w:r>
          </w:p>
        </w:tc>
        <w:tc>
          <w:tcPr>
            <w:tcW w:w="11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Veřejný sektor celkem</w:t>
            </w:r>
          </w:p>
        </w:tc>
        <w:tc>
          <w:tcPr>
            <w:tcW w:w="114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Přímé výdaje domácností</w:t>
            </w:r>
          </w:p>
        </w:tc>
        <w:tc>
          <w:tcPr>
            <w:tcW w:w="1180" w:type="dxa"/>
            <w:tcBorders>
              <w:top w:val="nil"/>
              <w:left w:val="single" w:sz="4" w:space="0" w:color="auto"/>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Nefinanční a finanční podniky</w:t>
            </w:r>
            <w:r w:rsidRPr="00C73D1B">
              <w:rPr>
                <w:rFonts w:cs="Arial"/>
                <w:b/>
                <w:bCs/>
                <w:color w:val="000000"/>
                <w:sz w:val="18"/>
                <w:szCs w:val="18"/>
                <w:vertAlign w:val="superscript"/>
              </w:rPr>
              <w:t>1)</w:t>
            </w:r>
          </w:p>
        </w:tc>
        <w:tc>
          <w:tcPr>
            <w:tcW w:w="96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Nevládní neziskové instituce</w:t>
            </w:r>
            <w:r w:rsidRPr="00C73D1B">
              <w:rPr>
                <w:rFonts w:cs="Arial"/>
                <w:b/>
                <w:bCs/>
                <w:color w:val="000000"/>
                <w:sz w:val="18"/>
                <w:szCs w:val="18"/>
                <w:vertAlign w:val="superscript"/>
              </w:rPr>
              <w:t>1)</w:t>
            </w:r>
          </w:p>
        </w:tc>
        <w:tc>
          <w:tcPr>
            <w:tcW w:w="1120" w:type="dxa"/>
            <w:tcBorders>
              <w:top w:val="nil"/>
              <w:left w:val="single" w:sz="4" w:space="0" w:color="auto"/>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Soukromý sektor celkem</w:t>
            </w:r>
          </w:p>
        </w:tc>
        <w:tc>
          <w:tcPr>
            <w:tcW w:w="108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Evropské strukturální fondy</w:t>
            </w:r>
          </w:p>
        </w:tc>
        <w:tc>
          <w:tcPr>
            <w:tcW w:w="1180" w:type="dxa"/>
            <w:tcBorders>
              <w:top w:val="nil"/>
              <w:left w:val="single" w:sz="4" w:space="0" w:color="auto"/>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Jiné mezinárodní instituce</w:t>
            </w:r>
          </w:p>
        </w:tc>
        <w:tc>
          <w:tcPr>
            <w:tcW w:w="106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Ostatní svět celkem</w:t>
            </w:r>
          </w:p>
        </w:tc>
        <w:tc>
          <w:tcPr>
            <w:tcW w:w="1280" w:type="dxa"/>
            <w:vMerge/>
            <w:tcBorders>
              <w:top w:val="nil"/>
              <w:left w:val="nil"/>
              <w:bottom w:val="single" w:sz="4" w:space="0" w:color="000000"/>
              <w:right w:val="nil"/>
            </w:tcBorders>
            <w:vAlign w:val="center"/>
            <w:hideMark/>
          </w:tcPr>
          <w:p w:rsidR="00C73D1B" w:rsidRPr="00C73D1B" w:rsidRDefault="00C73D1B" w:rsidP="00C73D1B">
            <w:pPr>
              <w:spacing w:after="0" w:line="240" w:lineRule="auto"/>
              <w:rPr>
                <w:rFonts w:cs="Arial"/>
                <w:b/>
                <w:bCs/>
                <w:color w:val="000000"/>
                <w:sz w:val="18"/>
                <w:szCs w:val="18"/>
              </w:rPr>
            </w:pP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dědictví</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4 838 821</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7 645 733</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12 484 554</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2 757 748</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3 313 711</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379 850</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6 451 309</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483 887</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16 754</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500 641</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19 436 504</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Interpretační umění</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1 064 217</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3 360 842</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4 425 059</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2 519 491</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4 527 542</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231 018</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7 278 051</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244 133</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23 273</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267 406</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11 970 516</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Výtvarné umění</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38 279</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36 623</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74 902</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2 222 346</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5 678 999</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104 296</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8 005 641</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26 963</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6 525</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33 488</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8 114 031</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Periodický a neperiodický tisk</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34 390</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17 344</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51 734</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11 837 368</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20 738 105</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32 575 473</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10 223</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10 223</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32 637 430</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Audiovizuální a interaktivní média</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643 603</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778 316</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1 421 919</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19 565 503</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18 516 011</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2 353 214</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40 434 728</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49 477</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1 853 975</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1 903 452</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43 760 099</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Architektura</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136 524</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20 781 136</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262</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20 917 922</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23 735</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23 735</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20 941 657</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Reklama</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110 981</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67 350 304</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67 461 285</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67 461 285</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Umělecké vzdělávání</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14 508</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7 608 079</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7 622 587</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1 012 500</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1 012 500</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6 601</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6 601</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8 641 688</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Správa a podpora kulturní činnosti</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1 768 032</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17 655</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1 785 687</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70 010</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243 025</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476 722</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789 757</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637</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637</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2 576 081</w:t>
            </w:r>
          </w:p>
        </w:tc>
      </w:tr>
      <w:tr w:rsidR="00C73D1B" w:rsidRPr="00C73D1B" w:rsidTr="00C73D1B">
        <w:trPr>
          <w:trHeight w:val="600"/>
        </w:trPr>
        <w:tc>
          <w:tcPr>
            <w:tcW w:w="15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Neznámá oblast</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336 669</w:t>
            </w:r>
          </w:p>
        </w:tc>
        <w:tc>
          <w:tcPr>
            <w:tcW w:w="106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6 078 478</w:t>
            </w:r>
          </w:p>
        </w:tc>
        <w:tc>
          <w:tcPr>
            <w:tcW w:w="11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6 415 147</w:t>
            </w:r>
          </w:p>
        </w:tc>
        <w:tc>
          <w:tcPr>
            <w:tcW w:w="11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4 653 692</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96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1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4 653 692</w:t>
            </w:r>
          </w:p>
        </w:tc>
        <w:tc>
          <w:tcPr>
            <w:tcW w:w="10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18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2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11 068 839</w:t>
            </w:r>
          </w:p>
        </w:tc>
      </w:tr>
      <w:tr w:rsidR="00C73D1B" w:rsidRPr="00C73D1B" w:rsidTr="00C73D1B">
        <w:trPr>
          <w:trHeight w:val="600"/>
        </w:trPr>
        <w:tc>
          <w:tcPr>
            <w:tcW w:w="15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108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8 738 519</w:t>
            </w:r>
          </w:p>
        </w:tc>
        <w:tc>
          <w:tcPr>
            <w:tcW w:w="1060" w:type="dxa"/>
            <w:tcBorders>
              <w:top w:val="nil"/>
              <w:left w:val="single" w:sz="4" w:space="0" w:color="auto"/>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25 543 070</w:t>
            </w:r>
          </w:p>
        </w:tc>
        <w:tc>
          <w:tcPr>
            <w:tcW w:w="11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34 281 589</w:t>
            </w:r>
          </w:p>
        </w:tc>
        <w:tc>
          <w:tcPr>
            <w:tcW w:w="114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44 886 163</w:t>
            </w:r>
          </w:p>
        </w:tc>
        <w:tc>
          <w:tcPr>
            <w:tcW w:w="1180" w:type="dxa"/>
            <w:tcBorders>
              <w:top w:val="nil"/>
              <w:left w:val="single" w:sz="4" w:space="0" w:color="auto"/>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141 148 833</w:t>
            </w:r>
          </w:p>
        </w:tc>
        <w:tc>
          <w:tcPr>
            <w:tcW w:w="96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3 545 362</w:t>
            </w:r>
          </w:p>
        </w:tc>
        <w:tc>
          <w:tcPr>
            <w:tcW w:w="1120" w:type="dxa"/>
            <w:tcBorders>
              <w:top w:val="nil"/>
              <w:left w:val="single" w:sz="4" w:space="0" w:color="auto"/>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189 580 358</w:t>
            </w:r>
          </w:p>
        </w:tc>
        <w:tc>
          <w:tcPr>
            <w:tcW w:w="108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845 656</w:t>
            </w:r>
          </w:p>
        </w:tc>
        <w:tc>
          <w:tcPr>
            <w:tcW w:w="1180" w:type="dxa"/>
            <w:tcBorders>
              <w:top w:val="nil"/>
              <w:left w:val="single" w:sz="4" w:space="0" w:color="auto"/>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1 900 527</w:t>
            </w:r>
          </w:p>
        </w:tc>
        <w:tc>
          <w:tcPr>
            <w:tcW w:w="106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2 746 183</w:t>
            </w:r>
          </w:p>
        </w:tc>
        <w:tc>
          <w:tcPr>
            <w:tcW w:w="128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226 608 130</w:t>
            </w:r>
          </w:p>
        </w:tc>
      </w:tr>
      <w:tr w:rsidR="00C73D1B" w:rsidRPr="00C73D1B" w:rsidTr="00C73D1B">
        <w:trPr>
          <w:trHeight w:val="300"/>
        </w:trPr>
        <w:tc>
          <w:tcPr>
            <w:tcW w:w="12540" w:type="dxa"/>
            <w:gridSpan w:val="11"/>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1) Celkové příjmy jsou sníženy o příjmy z veřejného sektoru, domácností, mezinárodního prostředí, zaplacené daně a zvýšeny (sníženy) o změnu stavu úvěrů apod.</w:t>
            </w:r>
          </w:p>
        </w:tc>
        <w:tc>
          <w:tcPr>
            <w:tcW w:w="12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bl>
    <w:p w:rsidR="0040293A" w:rsidRDefault="0040293A" w:rsidP="007E667A">
      <w:pPr>
        <w:rPr>
          <w:rFonts w:cs="Arial"/>
        </w:rPr>
      </w:pPr>
    </w:p>
    <w:p w:rsidR="004F69CE" w:rsidRDefault="004F69CE" w:rsidP="004F69CE"/>
    <w:tbl>
      <w:tblPr>
        <w:tblW w:w="14640" w:type="dxa"/>
        <w:tblInd w:w="55" w:type="dxa"/>
        <w:tblCellMar>
          <w:left w:w="70" w:type="dxa"/>
          <w:right w:w="70" w:type="dxa"/>
        </w:tblCellMar>
        <w:tblLook w:val="04A0"/>
      </w:tblPr>
      <w:tblGrid>
        <w:gridCol w:w="1740"/>
        <w:gridCol w:w="1011"/>
        <w:gridCol w:w="960"/>
        <w:gridCol w:w="900"/>
        <w:gridCol w:w="961"/>
        <w:gridCol w:w="880"/>
        <w:gridCol w:w="880"/>
        <w:gridCol w:w="880"/>
        <w:gridCol w:w="900"/>
        <w:gridCol w:w="880"/>
        <w:gridCol w:w="940"/>
        <w:gridCol w:w="880"/>
        <w:gridCol w:w="841"/>
        <w:gridCol w:w="1000"/>
        <w:gridCol w:w="1100"/>
      </w:tblGrid>
      <w:tr w:rsidR="00C73D1B" w:rsidRPr="00C73D1B" w:rsidTr="00C73D1B">
        <w:trPr>
          <w:trHeight w:val="315"/>
        </w:trPr>
        <w:tc>
          <w:tcPr>
            <w:tcW w:w="12540" w:type="dxa"/>
            <w:gridSpan w:val="13"/>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2 Umístění finančních zdrojů podle kulturních oblastí a poskytovatelů kulturních služeb v roce 2015</w:t>
            </w:r>
          </w:p>
        </w:tc>
        <w:tc>
          <w:tcPr>
            <w:tcW w:w="100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C73D1B">
        <w:trPr>
          <w:trHeight w:val="300"/>
        </w:trPr>
        <w:tc>
          <w:tcPr>
            <w:tcW w:w="17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8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C73D1B">
        <w:trPr>
          <w:trHeight w:val="1185"/>
        </w:trPr>
        <w:tc>
          <w:tcPr>
            <w:tcW w:w="17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OBLAST</w:t>
            </w:r>
          </w:p>
        </w:tc>
        <w:tc>
          <w:tcPr>
            <w:tcW w:w="96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Historické památky</w:t>
            </w:r>
          </w:p>
        </w:tc>
        <w:tc>
          <w:tcPr>
            <w:tcW w:w="96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Muzeum a galerie</w:t>
            </w:r>
          </w:p>
        </w:tc>
        <w:tc>
          <w:tcPr>
            <w:tcW w:w="90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Archivy</w:t>
            </w:r>
          </w:p>
        </w:tc>
        <w:tc>
          <w:tcPr>
            <w:tcW w:w="90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Knihovny</w:t>
            </w:r>
          </w:p>
        </w:tc>
        <w:tc>
          <w:tcPr>
            <w:tcW w:w="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Divadla</w:t>
            </w:r>
          </w:p>
        </w:tc>
        <w:tc>
          <w:tcPr>
            <w:tcW w:w="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Hudební soubory</w:t>
            </w:r>
          </w:p>
        </w:tc>
        <w:tc>
          <w:tcPr>
            <w:tcW w:w="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Kulturní domy</w:t>
            </w:r>
          </w:p>
        </w:tc>
        <w:tc>
          <w:tcPr>
            <w:tcW w:w="90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Výstavní sály</w:t>
            </w:r>
          </w:p>
        </w:tc>
        <w:tc>
          <w:tcPr>
            <w:tcW w:w="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Rozhlas</w:t>
            </w:r>
          </w:p>
        </w:tc>
        <w:tc>
          <w:tcPr>
            <w:tcW w:w="9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Televize</w:t>
            </w:r>
          </w:p>
        </w:tc>
        <w:tc>
          <w:tcPr>
            <w:tcW w:w="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 xml:space="preserve">Školy umělec. </w:t>
            </w:r>
            <w:proofErr w:type="spellStart"/>
            <w:r w:rsidRPr="00C73D1B">
              <w:rPr>
                <w:rFonts w:cs="Arial"/>
                <w:b/>
                <w:bCs/>
                <w:color w:val="000000"/>
                <w:sz w:val="18"/>
                <w:szCs w:val="18"/>
              </w:rPr>
              <w:t>vzděl</w:t>
            </w:r>
            <w:proofErr w:type="spellEnd"/>
            <w:r w:rsidRPr="00C73D1B">
              <w:rPr>
                <w:rFonts w:cs="Arial"/>
                <w:b/>
                <w:bCs/>
                <w:color w:val="000000"/>
                <w:sz w:val="18"/>
                <w:szCs w:val="18"/>
              </w:rPr>
              <w:t>.</w:t>
            </w:r>
          </w:p>
        </w:tc>
        <w:tc>
          <w:tcPr>
            <w:tcW w:w="8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 xml:space="preserve">Organ. </w:t>
            </w:r>
            <w:proofErr w:type="gramStart"/>
            <w:r w:rsidRPr="00C73D1B">
              <w:rPr>
                <w:rFonts w:cs="Arial"/>
                <w:b/>
                <w:bCs/>
                <w:color w:val="000000"/>
                <w:sz w:val="18"/>
                <w:szCs w:val="18"/>
              </w:rPr>
              <w:t>ochrany</w:t>
            </w:r>
            <w:proofErr w:type="gramEnd"/>
            <w:r w:rsidRPr="00C73D1B">
              <w:rPr>
                <w:rFonts w:cs="Arial"/>
                <w:b/>
                <w:bCs/>
                <w:color w:val="000000"/>
                <w:sz w:val="18"/>
                <w:szCs w:val="18"/>
              </w:rPr>
              <w:t xml:space="preserve"> autor. práv</w:t>
            </w:r>
          </w:p>
        </w:tc>
        <w:tc>
          <w:tcPr>
            <w:tcW w:w="100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 xml:space="preserve">Ostatní </w:t>
            </w:r>
            <w:proofErr w:type="spellStart"/>
            <w:r w:rsidRPr="00C73D1B">
              <w:rPr>
                <w:rFonts w:cs="Arial"/>
                <w:b/>
                <w:bCs/>
                <w:color w:val="000000"/>
                <w:sz w:val="18"/>
                <w:szCs w:val="18"/>
              </w:rPr>
              <w:t>poskyto</w:t>
            </w:r>
            <w:proofErr w:type="spellEnd"/>
            <w:r w:rsidRPr="00C73D1B">
              <w:rPr>
                <w:rFonts w:cs="Arial"/>
                <w:b/>
                <w:bCs/>
                <w:color w:val="000000"/>
                <w:sz w:val="18"/>
                <w:szCs w:val="18"/>
              </w:rPr>
              <w:t>-</w:t>
            </w:r>
            <w:proofErr w:type="spellStart"/>
            <w:r w:rsidRPr="00C73D1B">
              <w:rPr>
                <w:rFonts w:cs="Arial"/>
                <w:b/>
                <w:bCs/>
                <w:color w:val="000000"/>
                <w:sz w:val="18"/>
                <w:szCs w:val="18"/>
              </w:rPr>
              <w:t>vatelé</w:t>
            </w:r>
            <w:proofErr w:type="spellEnd"/>
          </w:p>
        </w:tc>
        <w:tc>
          <w:tcPr>
            <w:tcW w:w="110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CELKEM</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dědictví</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3 145 595</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6 340 855</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1 558 523</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3 238 178</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5 153 353</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19 436 504</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Interpretační umění</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5 342 767</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1 306 520</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3 327 803</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1 993 426</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11 970 516</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Výtvarné umění</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613 943</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7 500 088</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8 114 031</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Výrobci a distributoři audiovizuálních děl</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4 944 879</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20 255 581</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18 559 639</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43 760 099</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Umělecké vzdělávání</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821 151</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7 820 537</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8 641 688</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Správa a podpora kulturní činnosti</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507 620</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2 068 461</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2 576 081</w:t>
            </w:r>
          </w:p>
        </w:tc>
      </w:tr>
      <w:tr w:rsidR="00C73D1B" w:rsidRPr="00C73D1B" w:rsidTr="00C73D1B">
        <w:trPr>
          <w:trHeight w:val="840"/>
        </w:trPr>
        <w:tc>
          <w:tcPr>
            <w:tcW w:w="17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Neznámá oblast</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9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8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x</w:t>
            </w:r>
          </w:p>
        </w:tc>
        <w:tc>
          <w:tcPr>
            <w:tcW w:w="10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132 109 211</w:t>
            </w:r>
          </w:p>
        </w:tc>
        <w:tc>
          <w:tcPr>
            <w:tcW w:w="11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132 109 211</w:t>
            </w:r>
          </w:p>
        </w:tc>
      </w:tr>
      <w:tr w:rsidR="00C73D1B" w:rsidRPr="00C73D1B" w:rsidTr="00C73D1B">
        <w:trPr>
          <w:trHeight w:val="840"/>
        </w:trPr>
        <w:tc>
          <w:tcPr>
            <w:tcW w:w="17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96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3 145 595</w:t>
            </w:r>
          </w:p>
        </w:tc>
        <w:tc>
          <w:tcPr>
            <w:tcW w:w="96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6 340 855</w:t>
            </w:r>
          </w:p>
        </w:tc>
        <w:tc>
          <w:tcPr>
            <w:tcW w:w="90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1 558 523</w:t>
            </w:r>
          </w:p>
        </w:tc>
        <w:tc>
          <w:tcPr>
            <w:tcW w:w="90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3 238 178</w:t>
            </w:r>
          </w:p>
        </w:tc>
        <w:tc>
          <w:tcPr>
            <w:tcW w:w="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5 342 767</w:t>
            </w:r>
          </w:p>
        </w:tc>
        <w:tc>
          <w:tcPr>
            <w:tcW w:w="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1 306 520</w:t>
            </w:r>
          </w:p>
        </w:tc>
        <w:tc>
          <w:tcPr>
            <w:tcW w:w="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3 327 803</w:t>
            </w:r>
          </w:p>
        </w:tc>
        <w:tc>
          <w:tcPr>
            <w:tcW w:w="90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613 943</w:t>
            </w:r>
          </w:p>
        </w:tc>
        <w:tc>
          <w:tcPr>
            <w:tcW w:w="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4 944 879</w:t>
            </w:r>
          </w:p>
        </w:tc>
        <w:tc>
          <w:tcPr>
            <w:tcW w:w="9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20 255 581</w:t>
            </w:r>
          </w:p>
        </w:tc>
        <w:tc>
          <w:tcPr>
            <w:tcW w:w="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821 151</w:t>
            </w:r>
          </w:p>
        </w:tc>
        <w:tc>
          <w:tcPr>
            <w:tcW w:w="8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507 620</w:t>
            </w:r>
          </w:p>
        </w:tc>
        <w:tc>
          <w:tcPr>
            <w:tcW w:w="100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175 204 715</w:t>
            </w:r>
          </w:p>
        </w:tc>
        <w:tc>
          <w:tcPr>
            <w:tcW w:w="110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226 608 130</w:t>
            </w:r>
          </w:p>
        </w:tc>
      </w:tr>
    </w:tbl>
    <w:p w:rsidR="00C73D1B" w:rsidRDefault="00C73D1B" w:rsidP="004F69CE"/>
    <w:p w:rsidR="004F69CE" w:rsidRDefault="004F69CE" w:rsidP="004F69CE"/>
    <w:tbl>
      <w:tblPr>
        <w:tblW w:w="14180" w:type="dxa"/>
        <w:tblInd w:w="55" w:type="dxa"/>
        <w:tblCellMar>
          <w:left w:w="70" w:type="dxa"/>
          <w:right w:w="70" w:type="dxa"/>
        </w:tblCellMar>
        <w:tblLook w:val="04A0"/>
      </w:tblPr>
      <w:tblGrid>
        <w:gridCol w:w="2180"/>
        <w:gridCol w:w="1620"/>
        <w:gridCol w:w="1640"/>
        <w:gridCol w:w="1700"/>
        <w:gridCol w:w="1780"/>
        <w:gridCol w:w="1720"/>
        <w:gridCol w:w="1640"/>
        <w:gridCol w:w="1900"/>
      </w:tblGrid>
      <w:tr w:rsidR="00C73D1B" w:rsidRPr="00C73D1B" w:rsidTr="00C73D1B">
        <w:trPr>
          <w:trHeight w:val="315"/>
        </w:trPr>
        <w:tc>
          <w:tcPr>
            <w:tcW w:w="10640" w:type="dxa"/>
            <w:gridSpan w:val="6"/>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3 Příjmy a výdaje kulturních institucí podle kulturních oblastí v roce 2015</w:t>
            </w:r>
          </w:p>
        </w:tc>
        <w:tc>
          <w:tcPr>
            <w:tcW w:w="164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90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C73D1B">
        <w:trPr>
          <w:trHeight w:val="300"/>
        </w:trPr>
        <w:tc>
          <w:tcPr>
            <w:tcW w:w="21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7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72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6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90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C73D1B">
        <w:trPr>
          <w:trHeight w:val="300"/>
        </w:trPr>
        <w:tc>
          <w:tcPr>
            <w:tcW w:w="2180"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OBLAST</w:t>
            </w:r>
          </w:p>
        </w:tc>
        <w:tc>
          <w:tcPr>
            <w:tcW w:w="1620"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Příjmy (výnosy) celkem</w:t>
            </w:r>
          </w:p>
        </w:tc>
        <w:tc>
          <w:tcPr>
            <w:tcW w:w="16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z toho</w:t>
            </w:r>
          </w:p>
        </w:tc>
        <w:tc>
          <w:tcPr>
            <w:tcW w:w="1700"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Výdaje (náklady) celkem</w:t>
            </w:r>
          </w:p>
        </w:tc>
        <w:tc>
          <w:tcPr>
            <w:tcW w:w="5140" w:type="dxa"/>
            <w:gridSpan w:val="3"/>
            <w:tcBorders>
              <w:top w:val="single" w:sz="4" w:space="0" w:color="auto"/>
              <w:left w:val="nil"/>
              <w:bottom w:val="single" w:sz="4" w:space="0" w:color="auto"/>
              <w:right w:val="single" w:sz="4" w:space="0" w:color="000000"/>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 tom</w:t>
            </w:r>
          </w:p>
        </w:tc>
        <w:tc>
          <w:tcPr>
            <w:tcW w:w="1900" w:type="dxa"/>
            <w:vMerge w:val="restart"/>
            <w:tcBorders>
              <w:top w:val="nil"/>
              <w:left w:val="nil"/>
              <w:bottom w:val="single" w:sz="4" w:space="0" w:color="000000"/>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Rozdíl příjmů (výnosů) a výdajů (nákladů)</w:t>
            </w:r>
          </w:p>
        </w:tc>
      </w:tr>
      <w:tr w:rsidR="00C73D1B" w:rsidRPr="00C73D1B" w:rsidTr="00C73D1B">
        <w:trPr>
          <w:trHeight w:val="720"/>
        </w:trPr>
        <w:tc>
          <w:tcPr>
            <w:tcW w:w="218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62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6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tržby za vlastní výkony</w:t>
            </w:r>
          </w:p>
        </w:tc>
        <w:tc>
          <w:tcPr>
            <w:tcW w:w="170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7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spotřeba materiálu, energie, zboží a služeb</w:t>
            </w:r>
          </w:p>
        </w:tc>
        <w:tc>
          <w:tcPr>
            <w:tcW w:w="172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osobní náklady</w:t>
            </w:r>
          </w:p>
        </w:tc>
        <w:tc>
          <w:tcPr>
            <w:tcW w:w="164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ostatní výdaje (náklady)</w:t>
            </w:r>
          </w:p>
        </w:tc>
        <w:tc>
          <w:tcPr>
            <w:tcW w:w="1900" w:type="dxa"/>
            <w:vMerge/>
            <w:tcBorders>
              <w:top w:val="nil"/>
              <w:left w:val="nil"/>
              <w:bottom w:val="single" w:sz="4" w:space="0" w:color="000000"/>
              <w:right w:val="nil"/>
            </w:tcBorders>
            <w:vAlign w:val="center"/>
            <w:hideMark/>
          </w:tcPr>
          <w:p w:rsidR="00C73D1B" w:rsidRPr="00C73D1B" w:rsidRDefault="00C73D1B" w:rsidP="00C73D1B">
            <w:pPr>
              <w:spacing w:after="0" w:line="240" w:lineRule="auto"/>
              <w:rPr>
                <w:rFonts w:cs="Arial"/>
                <w:b/>
                <w:bCs/>
                <w:color w:val="000000"/>
                <w:sz w:val="18"/>
                <w:szCs w:val="18"/>
              </w:rPr>
            </w:pP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dědictví</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18 604 654</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9 326 215</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18 527 856</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5 616 822</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6 663 541</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6 247 493</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76 798</w:t>
            </w:r>
          </w:p>
        </w:tc>
      </w:tr>
      <w:tr w:rsidR="00C73D1B" w:rsidRPr="00C73D1B" w:rsidTr="00C73D1B">
        <w:trPr>
          <w:trHeight w:val="720"/>
        </w:trPr>
        <w:tc>
          <w:tcPr>
            <w:tcW w:w="21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Interpretační umění</w:t>
            </w:r>
          </w:p>
        </w:tc>
        <w:tc>
          <w:tcPr>
            <w:tcW w:w="16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11 537 870</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4 211 774</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11 514 338</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4 865 541</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5 100 717</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1 548 080</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23 532</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Výtvarné umění</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8 419 212</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7 631 985</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7 097 923</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4 376 742</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1 008 877</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1 712 304</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1 321 289</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Periodický a neperiodický tisk</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40 937 888</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34 723 123</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35 993 541</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17 222 204</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10 280 687</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8 490 650</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4 944 347</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Audiovizuální a interaktivní média</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46 133 754</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34 589 123</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42 811 729</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27 386 477</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6 621 300</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8 803 952</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3 322 025</w:t>
            </w:r>
          </w:p>
        </w:tc>
      </w:tr>
      <w:tr w:rsidR="00C73D1B" w:rsidRPr="00C73D1B" w:rsidTr="00C73D1B">
        <w:trPr>
          <w:trHeight w:val="720"/>
        </w:trPr>
        <w:tc>
          <w:tcPr>
            <w:tcW w:w="21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Architektura</w:t>
            </w:r>
          </w:p>
        </w:tc>
        <w:tc>
          <w:tcPr>
            <w:tcW w:w="16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21 493 562</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20 813 473</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18 904 830</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13 151 496</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3 077 454</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2 675 880</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2 588 732</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Reklama</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68 039 997</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64 592 374</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63 842 501</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42 862 427</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6 248 859</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14 731 215</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4 197 496</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Umělecké vzdělávání</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785 960</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533 322</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671 885</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312 909</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274 572</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84 404</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114 075</w:t>
            </w:r>
          </w:p>
        </w:tc>
      </w:tr>
      <w:tr w:rsidR="00C73D1B" w:rsidRPr="00C73D1B" w:rsidTr="00C73D1B">
        <w:trPr>
          <w:trHeight w:val="720"/>
        </w:trPr>
        <w:tc>
          <w:tcPr>
            <w:tcW w:w="21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Správa a podpora kulturní činnosti</w:t>
            </w:r>
          </w:p>
        </w:tc>
        <w:tc>
          <w:tcPr>
            <w:tcW w:w="1620" w:type="dxa"/>
            <w:tcBorders>
              <w:top w:val="nil"/>
              <w:left w:val="single" w:sz="4" w:space="0" w:color="auto"/>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2 495 259</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993 854</w:t>
            </w:r>
          </w:p>
        </w:tc>
        <w:tc>
          <w:tcPr>
            <w:tcW w:w="170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2 481 145</w:t>
            </w:r>
          </w:p>
        </w:tc>
        <w:tc>
          <w:tcPr>
            <w:tcW w:w="17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918 906</w:t>
            </w:r>
          </w:p>
        </w:tc>
        <w:tc>
          <w:tcPr>
            <w:tcW w:w="17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1 173 890</w:t>
            </w:r>
          </w:p>
        </w:tc>
        <w:tc>
          <w:tcPr>
            <w:tcW w:w="16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388 349</w:t>
            </w:r>
          </w:p>
        </w:tc>
        <w:tc>
          <w:tcPr>
            <w:tcW w:w="190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14 114</w:t>
            </w:r>
          </w:p>
        </w:tc>
      </w:tr>
      <w:tr w:rsidR="00C73D1B" w:rsidRPr="00C73D1B" w:rsidTr="00C73D1B">
        <w:trPr>
          <w:trHeight w:val="720"/>
        </w:trPr>
        <w:tc>
          <w:tcPr>
            <w:tcW w:w="218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1620" w:type="dxa"/>
            <w:tcBorders>
              <w:top w:val="nil"/>
              <w:left w:val="single" w:sz="4" w:space="0" w:color="auto"/>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218 448 156</w:t>
            </w:r>
          </w:p>
        </w:tc>
        <w:tc>
          <w:tcPr>
            <w:tcW w:w="16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177 415 243</w:t>
            </w:r>
          </w:p>
        </w:tc>
        <w:tc>
          <w:tcPr>
            <w:tcW w:w="170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201 845 748</w:t>
            </w:r>
          </w:p>
        </w:tc>
        <w:tc>
          <w:tcPr>
            <w:tcW w:w="17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116 713 524</w:t>
            </w:r>
          </w:p>
        </w:tc>
        <w:tc>
          <w:tcPr>
            <w:tcW w:w="172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40 449 897</w:t>
            </w:r>
          </w:p>
        </w:tc>
        <w:tc>
          <w:tcPr>
            <w:tcW w:w="16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44 682 327</w:t>
            </w:r>
          </w:p>
        </w:tc>
        <w:tc>
          <w:tcPr>
            <w:tcW w:w="190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16 602 408</w:t>
            </w:r>
          </w:p>
        </w:tc>
      </w:tr>
    </w:tbl>
    <w:p w:rsidR="00C73D1B" w:rsidRDefault="00C73D1B" w:rsidP="004F69CE"/>
    <w:p w:rsidR="00C73D1B" w:rsidRDefault="00C73D1B" w:rsidP="004F69CE"/>
    <w:tbl>
      <w:tblPr>
        <w:tblW w:w="13440" w:type="dxa"/>
        <w:tblInd w:w="55" w:type="dxa"/>
        <w:tblCellMar>
          <w:left w:w="70" w:type="dxa"/>
          <w:right w:w="70" w:type="dxa"/>
        </w:tblCellMar>
        <w:tblLook w:val="04A0"/>
      </w:tblPr>
      <w:tblGrid>
        <w:gridCol w:w="1680"/>
        <w:gridCol w:w="1680"/>
        <w:gridCol w:w="1680"/>
        <w:gridCol w:w="1680"/>
        <w:gridCol w:w="1680"/>
        <w:gridCol w:w="1680"/>
        <w:gridCol w:w="1680"/>
        <w:gridCol w:w="1680"/>
      </w:tblGrid>
      <w:tr w:rsidR="00C73D1B" w:rsidRPr="00C73D1B" w:rsidTr="00C73D1B">
        <w:trPr>
          <w:trHeight w:val="315"/>
        </w:trPr>
        <w:tc>
          <w:tcPr>
            <w:tcW w:w="11760" w:type="dxa"/>
            <w:gridSpan w:val="7"/>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4 Příjmy a výdaje kulturních institucí podle poskytovatelů kulturních služeb v roce 2015</w:t>
            </w: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C73D1B">
        <w:trPr>
          <w:trHeight w:val="300"/>
        </w:trPr>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C73D1B">
        <w:trPr>
          <w:trHeight w:val="300"/>
        </w:trPr>
        <w:tc>
          <w:tcPr>
            <w:tcW w:w="1680" w:type="dxa"/>
            <w:vMerge w:val="restart"/>
            <w:tcBorders>
              <w:top w:val="single" w:sz="4" w:space="0" w:color="auto"/>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POSKYTOVATEL</w:t>
            </w:r>
          </w:p>
        </w:tc>
        <w:tc>
          <w:tcPr>
            <w:tcW w:w="1680" w:type="dxa"/>
            <w:vMerge w:val="restart"/>
            <w:tcBorders>
              <w:top w:val="single" w:sz="4" w:space="0" w:color="auto"/>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Příjmy (výnosy) celkem</w:t>
            </w:r>
          </w:p>
        </w:tc>
        <w:tc>
          <w:tcPr>
            <w:tcW w:w="1680" w:type="dxa"/>
            <w:tcBorders>
              <w:top w:val="single" w:sz="4" w:space="0" w:color="auto"/>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z toho</w:t>
            </w:r>
          </w:p>
        </w:tc>
        <w:tc>
          <w:tcPr>
            <w:tcW w:w="1680" w:type="dxa"/>
            <w:vMerge w:val="restart"/>
            <w:tcBorders>
              <w:top w:val="single" w:sz="4" w:space="0" w:color="auto"/>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Výdaje (náklady) celkem</w:t>
            </w:r>
          </w:p>
        </w:tc>
        <w:tc>
          <w:tcPr>
            <w:tcW w:w="5040" w:type="dxa"/>
            <w:gridSpan w:val="3"/>
            <w:tcBorders>
              <w:top w:val="single" w:sz="4" w:space="0" w:color="auto"/>
              <w:left w:val="nil"/>
              <w:bottom w:val="nil"/>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v tom</w:t>
            </w:r>
          </w:p>
        </w:tc>
        <w:tc>
          <w:tcPr>
            <w:tcW w:w="1680" w:type="dxa"/>
            <w:vMerge w:val="restart"/>
            <w:tcBorders>
              <w:top w:val="single" w:sz="4" w:space="0" w:color="auto"/>
              <w:left w:val="single" w:sz="4" w:space="0" w:color="auto"/>
              <w:bottom w:val="nil"/>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Rozdíl příjmů (výnosů) a výdajů (nákladů)</w:t>
            </w:r>
          </w:p>
        </w:tc>
      </w:tr>
      <w:tr w:rsidR="00C73D1B" w:rsidRPr="00C73D1B" w:rsidTr="00C73D1B">
        <w:trPr>
          <w:trHeight w:val="960"/>
        </w:trPr>
        <w:tc>
          <w:tcPr>
            <w:tcW w:w="1680" w:type="dxa"/>
            <w:vMerge/>
            <w:tcBorders>
              <w:top w:val="single" w:sz="4" w:space="0" w:color="auto"/>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680" w:type="dxa"/>
            <w:vMerge/>
            <w:tcBorders>
              <w:top w:val="single" w:sz="4" w:space="0" w:color="auto"/>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6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tržby za vlastní výkony</w:t>
            </w: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680" w:type="dxa"/>
            <w:tcBorders>
              <w:top w:val="single" w:sz="4" w:space="0" w:color="auto"/>
              <w:left w:val="nil"/>
              <w:bottom w:val="nil"/>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spotřeba materiálu, energie, zboží a služeb</w:t>
            </w:r>
          </w:p>
        </w:tc>
        <w:tc>
          <w:tcPr>
            <w:tcW w:w="1680" w:type="dxa"/>
            <w:tcBorders>
              <w:top w:val="single" w:sz="4" w:space="0" w:color="auto"/>
              <w:left w:val="single" w:sz="4" w:space="0" w:color="auto"/>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osobní náklady</w:t>
            </w:r>
          </w:p>
        </w:tc>
        <w:tc>
          <w:tcPr>
            <w:tcW w:w="1680" w:type="dxa"/>
            <w:tcBorders>
              <w:top w:val="single" w:sz="4" w:space="0" w:color="auto"/>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ostatní výdaje (náklady)</w:t>
            </w:r>
          </w:p>
        </w:tc>
        <w:tc>
          <w:tcPr>
            <w:tcW w:w="1680" w:type="dxa"/>
            <w:vMerge/>
            <w:tcBorders>
              <w:top w:val="single" w:sz="4" w:space="0" w:color="auto"/>
              <w:left w:val="single" w:sz="4" w:space="0" w:color="auto"/>
              <w:bottom w:val="nil"/>
              <w:right w:val="nil"/>
            </w:tcBorders>
            <w:vAlign w:val="center"/>
            <w:hideMark/>
          </w:tcPr>
          <w:p w:rsidR="00C73D1B" w:rsidRPr="00C73D1B" w:rsidRDefault="00C73D1B" w:rsidP="00C73D1B">
            <w:pPr>
              <w:spacing w:after="0" w:line="240" w:lineRule="auto"/>
              <w:rPr>
                <w:rFonts w:cs="Arial"/>
                <w:b/>
                <w:bCs/>
                <w:color w:val="000000"/>
                <w:sz w:val="18"/>
                <w:szCs w:val="18"/>
              </w:rPr>
            </w:pP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Historické památky</w:t>
            </w:r>
          </w:p>
        </w:tc>
        <w:tc>
          <w:tcPr>
            <w:tcW w:w="1680" w:type="dxa"/>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2 606 082</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1 706 127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2 513 870</w:t>
            </w:r>
          </w:p>
        </w:tc>
        <w:tc>
          <w:tcPr>
            <w:tcW w:w="1680" w:type="dxa"/>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926 063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814 156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773 651</w:t>
            </w:r>
          </w:p>
        </w:tc>
        <w:tc>
          <w:tcPr>
            <w:tcW w:w="1680" w:type="dxa"/>
            <w:tcBorders>
              <w:top w:val="single" w:sz="4" w:space="0" w:color="auto"/>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92 212</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Muzea a galerie</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5 272 367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1 120 333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5 107 909</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1 754 002</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2 375 763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978 144</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164 458</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Archivy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1 558 523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472 410</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2 070 678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822 452</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1 135 703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112 523</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-512 155</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Knihovny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3 282 897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285 838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3 373 191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1 112 651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1 934 637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325 903</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-90 294</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Divadla</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5 217 708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1 875 747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5 220 855</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1 639 927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2 613 866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967 062</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-3 147</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Hudební soubory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1 307 471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540 050</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1 239 499</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413 561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759 709</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66 229</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67 972</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Festivaly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1 223 811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484 146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1 298 414</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822 121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404 872</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71 421</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-74 603</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domy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2 985 380</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1 031 375</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2 955 047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1 488 324</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1 079 542</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387 181</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30 333</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Výstavní sály</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600 561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212 820</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625 567</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329 098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221 546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74 923</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-25 006</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Rozhlas</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5 565 344</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2 593 221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4 287 031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1 965 958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1 664 816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656 257</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1 278 313</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Televize</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20 764 593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13 380 108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20 312 646</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13 137 044</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3 819 538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3 356 064</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451 947</w:t>
            </w:r>
          </w:p>
        </w:tc>
      </w:tr>
      <w:tr w:rsidR="00C73D1B" w:rsidRPr="00C73D1B" w:rsidTr="00C73D1B">
        <w:trPr>
          <w:trHeight w:val="480"/>
        </w:trPr>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Ostatní poskytovatelé</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168 063 419</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153 713 068</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152 841 041</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92 302 323</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23 625 749</w:t>
            </w:r>
          </w:p>
        </w:tc>
        <w:tc>
          <w:tcPr>
            <w:tcW w:w="16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36 912 969</w:t>
            </w:r>
          </w:p>
        </w:tc>
        <w:tc>
          <w:tcPr>
            <w:tcW w:w="168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15 222 378</w:t>
            </w:r>
          </w:p>
        </w:tc>
      </w:tr>
      <w:tr w:rsidR="00C73D1B" w:rsidRPr="00C73D1B" w:rsidTr="00C73D1B">
        <w:trPr>
          <w:trHeight w:val="480"/>
        </w:trPr>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218 448 156</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177 415 243</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201 845 748</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116 713 524</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40 449 897</w:t>
            </w:r>
          </w:p>
        </w:tc>
        <w:tc>
          <w:tcPr>
            <w:tcW w:w="16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44 682 327</w:t>
            </w:r>
          </w:p>
        </w:tc>
        <w:tc>
          <w:tcPr>
            <w:tcW w:w="168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16 602 408</w:t>
            </w:r>
          </w:p>
        </w:tc>
      </w:tr>
    </w:tbl>
    <w:p w:rsidR="004F69CE" w:rsidRDefault="004F69CE" w:rsidP="004F69CE"/>
    <w:p w:rsidR="00C73D1B" w:rsidRDefault="00C73D1B" w:rsidP="004F69CE"/>
    <w:p w:rsidR="00C73D1B" w:rsidRDefault="00C73D1B" w:rsidP="004F69CE"/>
    <w:tbl>
      <w:tblPr>
        <w:tblW w:w="14440" w:type="dxa"/>
        <w:tblInd w:w="55" w:type="dxa"/>
        <w:tblCellMar>
          <w:left w:w="70" w:type="dxa"/>
          <w:right w:w="70" w:type="dxa"/>
        </w:tblCellMar>
        <w:tblLook w:val="04A0"/>
      </w:tblPr>
      <w:tblGrid>
        <w:gridCol w:w="3020"/>
        <w:gridCol w:w="2880"/>
        <w:gridCol w:w="3020"/>
        <w:gridCol w:w="2580"/>
        <w:gridCol w:w="2940"/>
      </w:tblGrid>
      <w:tr w:rsidR="00C73D1B" w:rsidRPr="00C73D1B" w:rsidTr="00C73D1B">
        <w:trPr>
          <w:trHeight w:val="315"/>
        </w:trPr>
        <w:tc>
          <w:tcPr>
            <w:tcW w:w="11500" w:type="dxa"/>
            <w:gridSpan w:val="4"/>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5 Makroekonomické ukazatele podle kulturních oblastí v roce 2015 (odhad)</w:t>
            </w:r>
          </w:p>
        </w:tc>
        <w:tc>
          <w:tcPr>
            <w:tcW w:w="2940" w:type="dxa"/>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C73D1B">
        <w:trPr>
          <w:trHeight w:val="300"/>
        </w:trPr>
        <w:tc>
          <w:tcPr>
            <w:tcW w:w="3020" w:type="dxa"/>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2880" w:type="dxa"/>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3020" w:type="dxa"/>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2580" w:type="dxa"/>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2940" w:type="dxa"/>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C73D1B">
        <w:trPr>
          <w:trHeight w:val="1110"/>
        </w:trPr>
        <w:tc>
          <w:tcPr>
            <w:tcW w:w="302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OBLAST</w:t>
            </w:r>
          </w:p>
        </w:tc>
        <w:tc>
          <w:tcPr>
            <w:tcW w:w="28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Produkce v základních cenách</w:t>
            </w:r>
          </w:p>
        </w:tc>
        <w:tc>
          <w:tcPr>
            <w:tcW w:w="302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proofErr w:type="spellStart"/>
            <w:r w:rsidRPr="00C73D1B">
              <w:rPr>
                <w:rFonts w:cs="Arial"/>
                <w:b/>
                <w:bCs/>
                <w:color w:val="000000"/>
                <w:sz w:val="18"/>
                <w:szCs w:val="18"/>
              </w:rPr>
              <w:t>Mezispotřeba</w:t>
            </w:r>
            <w:proofErr w:type="spellEnd"/>
            <w:r w:rsidRPr="00C73D1B">
              <w:rPr>
                <w:rFonts w:cs="Arial"/>
                <w:b/>
                <w:bCs/>
                <w:color w:val="000000"/>
                <w:sz w:val="18"/>
                <w:szCs w:val="18"/>
              </w:rPr>
              <w:t xml:space="preserve"> v kupních cenách</w:t>
            </w:r>
          </w:p>
        </w:tc>
        <w:tc>
          <w:tcPr>
            <w:tcW w:w="2580" w:type="dxa"/>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Hrubá přidaná hodnota</w:t>
            </w:r>
          </w:p>
        </w:tc>
        <w:tc>
          <w:tcPr>
            <w:tcW w:w="2940" w:type="dxa"/>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Podíl jednotlivých oblastí na celkové hrubé přidané hodnotě</w:t>
            </w:r>
            <w:r w:rsidRPr="00C73D1B">
              <w:rPr>
                <w:rFonts w:cs="Arial"/>
                <w:b/>
                <w:bCs/>
                <w:color w:val="000000"/>
                <w:sz w:val="18"/>
                <w:szCs w:val="18"/>
              </w:rPr>
              <w:br/>
              <w:t>(v %)</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dědictví</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14 342 225</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5 501 418</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8 840 806</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10,1</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Interpretační umění</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13 864 935</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6 538 404</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7 326 531</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8,4</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Výtvarné umění</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9 693 964</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6 141 150</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3 552 815</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4,1</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Periodický a neperiodický tisk</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33 742 179</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18 937 210</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14 804 969</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16,9</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Audiovizuální a interaktivní média</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49 791 091</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28 234 341</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21 556 750</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24,7</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Architektura</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20 963 394</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13 526 917</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7 436 477</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8,5</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Reklama</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58 994 451</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43 706 260</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15 288 191</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17,5</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Umělecké vzdělávání</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7 882 041</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1 805 770</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6 076 270</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w:t>
            </w:r>
          </w:p>
        </w:tc>
      </w:tr>
      <w:tr w:rsidR="00C73D1B" w:rsidRPr="00C73D1B" w:rsidTr="00C73D1B">
        <w:trPr>
          <w:trHeight w:val="735"/>
        </w:trPr>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Správa a podpora kulturní činnosti</w:t>
            </w:r>
          </w:p>
        </w:tc>
        <w:tc>
          <w:tcPr>
            <w:tcW w:w="28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3 752 286</w:t>
            </w:r>
          </w:p>
        </w:tc>
        <w:tc>
          <w:tcPr>
            <w:tcW w:w="302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1 221 269</w:t>
            </w:r>
          </w:p>
        </w:tc>
        <w:tc>
          <w:tcPr>
            <w:tcW w:w="25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2 531 017</w:t>
            </w:r>
          </w:p>
        </w:tc>
        <w:tc>
          <w:tcPr>
            <w:tcW w:w="2940" w:type="dxa"/>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2,9</w:t>
            </w:r>
          </w:p>
        </w:tc>
      </w:tr>
      <w:tr w:rsidR="00C73D1B" w:rsidRPr="00C73D1B" w:rsidTr="00C73D1B">
        <w:trPr>
          <w:trHeight w:val="735"/>
        </w:trPr>
        <w:tc>
          <w:tcPr>
            <w:tcW w:w="302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28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213 026 566</w:t>
            </w:r>
          </w:p>
        </w:tc>
        <w:tc>
          <w:tcPr>
            <w:tcW w:w="302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125 612 739</w:t>
            </w:r>
          </w:p>
        </w:tc>
        <w:tc>
          <w:tcPr>
            <w:tcW w:w="258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87 413 826</w:t>
            </w:r>
          </w:p>
        </w:tc>
        <w:tc>
          <w:tcPr>
            <w:tcW w:w="2940" w:type="dxa"/>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100</w:t>
            </w:r>
          </w:p>
        </w:tc>
      </w:tr>
    </w:tbl>
    <w:p w:rsidR="004F69CE" w:rsidRDefault="004F69CE" w:rsidP="004F69CE"/>
    <w:tbl>
      <w:tblPr>
        <w:tblW w:w="14529" w:type="dxa"/>
        <w:tblInd w:w="55" w:type="dxa"/>
        <w:tblCellMar>
          <w:left w:w="70" w:type="dxa"/>
          <w:right w:w="70" w:type="dxa"/>
        </w:tblCellMar>
        <w:tblLook w:val="04A0"/>
      </w:tblPr>
      <w:tblGrid>
        <w:gridCol w:w="807"/>
        <w:gridCol w:w="1480"/>
        <w:gridCol w:w="433"/>
        <w:gridCol w:w="607"/>
        <w:gridCol w:w="1040"/>
        <w:gridCol w:w="73"/>
        <w:gridCol w:w="887"/>
        <w:gridCol w:w="833"/>
        <w:gridCol w:w="127"/>
        <w:gridCol w:w="1060"/>
        <w:gridCol w:w="533"/>
        <w:gridCol w:w="427"/>
        <w:gridCol w:w="814"/>
        <w:gridCol w:w="147"/>
        <w:gridCol w:w="960"/>
        <w:gridCol w:w="113"/>
        <w:gridCol w:w="889"/>
        <w:gridCol w:w="392"/>
        <w:gridCol w:w="707"/>
        <w:gridCol w:w="433"/>
        <w:gridCol w:w="527"/>
        <w:gridCol w:w="533"/>
        <w:gridCol w:w="707"/>
      </w:tblGrid>
      <w:tr w:rsidR="00C73D1B" w:rsidRPr="00C73D1B" w:rsidTr="0060219B">
        <w:trPr>
          <w:trHeight w:val="315"/>
        </w:trPr>
        <w:tc>
          <w:tcPr>
            <w:tcW w:w="11230" w:type="dxa"/>
            <w:gridSpan w:val="17"/>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6 Vybrané ukazatele v </w:t>
            </w:r>
            <w:proofErr w:type="spellStart"/>
            <w:r w:rsidRPr="00C73D1B">
              <w:rPr>
                <w:rFonts w:cs="Arial"/>
                <w:b/>
                <w:bCs/>
                <w:color w:val="BC091B"/>
                <w:sz w:val="24"/>
              </w:rPr>
              <w:t>trojsektorovém</w:t>
            </w:r>
            <w:proofErr w:type="spellEnd"/>
            <w:r w:rsidRPr="00C73D1B">
              <w:rPr>
                <w:rFonts w:cs="Arial"/>
                <w:b/>
                <w:bCs/>
                <w:color w:val="BC091B"/>
                <w:sz w:val="24"/>
              </w:rPr>
              <w:t xml:space="preserve"> členění kultury za rok 2015 (</w:t>
            </w:r>
            <w:proofErr w:type="spellStart"/>
            <w:r w:rsidRPr="00C73D1B">
              <w:rPr>
                <w:rFonts w:cs="Arial"/>
                <w:b/>
                <w:bCs/>
                <w:color w:val="BC091B"/>
                <w:sz w:val="24"/>
              </w:rPr>
              <w:t>sl</w:t>
            </w:r>
            <w:proofErr w:type="spellEnd"/>
            <w:r w:rsidRPr="00C73D1B">
              <w:rPr>
                <w:rFonts w:cs="Arial"/>
                <w:b/>
                <w:bCs/>
                <w:color w:val="BC091B"/>
                <w:sz w:val="24"/>
              </w:rPr>
              <w:t>. 3 – 5 odhad)</w:t>
            </w:r>
          </w:p>
        </w:tc>
        <w:tc>
          <w:tcPr>
            <w:tcW w:w="1099"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trHeight w:val="300"/>
        </w:trPr>
        <w:tc>
          <w:tcPr>
            <w:tcW w:w="807"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48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4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4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1"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02"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99"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96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240" w:type="dxa"/>
            <w:gridSpan w:val="2"/>
            <w:tcBorders>
              <w:top w:val="nil"/>
              <w:left w:val="nil"/>
              <w:bottom w:val="single" w:sz="4" w:space="0" w:color="auto"/>
              <w:right w:val="nil"/>
            </w:tcBorders>
            <w:shd w:val="clear" w:color="auto" w:fill="auto"/>
            <w:noWrap/>
            <w:vAlign w:val="bottom"/>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v tis. Kč</w:t>
            </w:r>
          </w:p>
        </w:tc>
      </w:tr>
      <w:tr w:rsidR="00C73D1B" w:rsidRPr="00C73D1B" w:rsidTr="0060219B">
        <w:trPr>
          <w:trHeight w:val="615"/>
        </w:trPr>
        <w:tc>
          <w:tcPr>
            <w:tcW w:w="807"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SEKTOR</w:t>
            </w:r>
          </w:p>
        </w:tc>
        <w:tc>
          <w:tcPr>
            <w:tcW w:w="1480" w:type="dxa"/>
            <w:vMerge w:val="restart"/>
            <w:tcBorders>
              <w:top w:val="nil"/>
              <w:left w:val="nil"/>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OBLAST</w:t>
            </w:r>
          </w:p>
        </w:tc>
        <w:tc>
          <w:tcPr>
            <w:tcW w:w="104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Příjmy (výnosy) celkem</w:t>
            </w:r>
          </w:p>
        </w:tc>
        <w:tc>
          <w:tcPr>
            <w:tcW w:w="104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Výdaje (náklady) celkem</w:t>
            </w:r>
          </w:p>
        </w:tc>
        <w:tc>
          <w:tcPr>
            <w:tcW w:w="96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Hodnota produkce</w:t>
            </w:r>
            <w:r w:rsidRPr="00C73D1B">
              <w:rPr>
                <w:rFonts w:cs="Arial"/>
                <w:b/>
                <w:bCs/>
                <w:color w:val="000000"/>
                <w:sz w:val="16"/>
                <w:szCs w:val="16"/>
              </w:rPr>
              <w:br/>
              <w:t>(v mil. Kč)</w:t>
            </w:r>
            <w:r w:rsidRPr="00C73D1B">
              <w:rPr>
                <w:rFonts w:cs="Arial"/>
                <w:b/>
                <w:bCs/>
                <w:color w:val="000000"/>
                <w:sz w:val="16"/>
                <w:szCs w:val="16"/>
                <w:vertAlign w:val="superscript"/>
              </w:rPr>
              <w:t>1)</w:t>
            </w:r>
          </w:p>
        </w:tc>
        <w:tc>
          <w:tcPr>
            <w:tcW w:w="96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proofErr w:type="gramStart"/>
            <w:r w:rsidRPr="00C73D1B">
              <w:rPr>
                <w:rFonts w:cs="Arial"/>
                <w:b/>
                <w:bCs/>
                <w:color w:val="000000"/>
                <w:sz w:val="16"/>
                <w:szCs w:val="16"/>
              </w:rPr>
              <w:t>Mezi</w:t>
            </w:r>
            <w:proofErr w:type="gramEnd"/>
            <w:r w:rsidRPr="00C73D1B">
              <w:rPr>
                <w:rFonts w:cs="Arial"/>
                <w:b/>
                <w:bCs/>
                <w:color w:val="000000"/>
                <w:sz w:val="16"/>
                <w:szCs w:val="16"/>
              </w:rPr>
              <w:t>-</w:t>
            </w:r>
            <w:r w:rsidRPr="00C73D1B">
              <w:rPr>
                <w:rFonts w:cs="Arial"/>
                <w:b/>
                <w:bCs/>
                <w:color w:val="000000"/>
                <w:sz w:val="16"/>
                <w:szCs w:val="16"/>
              </w:rPr>
              <w:br/>
              <w:t>spotřeba</w:t>
            </w:r>
            <w:r w:rsidRPr="00C73D1B">
              <w:rPr>
                <w:rFonts w:cs="Arial"/>
                <w:b/>
                <w:bCs/>
                <w:color w:val="000000"/>
                <w:sz w:val="16"/>
                <w:szCs w:val="16"/>
              </w:rPr>
              <w:br/>
              <w:t>(v mil. Kč)</w:t>
            </w:r>
            <w:r w:rsidRPr="00C73D1B">
              <w:rPr>
                <w:rFonts w:cs="Arial"/>
                <w:b/>
                <w:bCs/>
                <w:color w:val="000000"/>
                <w:sz w:val="16"/>
                <w:szCs w:val="16"/>
                <w:vertAlign w:val="superscript"/>
              </w:rPr>
              <w:t>1)</w:t>
            </w:r>
          </w:p>
        </w:tc>
        <w:tc>
          <w:tcPr>
            <w:tcW w:w="10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Hrubá přidaná hodnota</w:t>
            </w:r>
            <w:r w:rsidRPr="00C73D1B">
              <w:rPr>
                <w:rFonts w:cs="Arial"/>
                <w:b/>
                <w:bCs/>
                <w:color w:val="000000"/>
                <w:sz w:val="16"/>
                <w:szCs w:val="16"/>
              </w:rPr>
              <w:br/>
              <w:t>(v mil. Kč)</w:t>
            </w:r>
            <w:r w:rsidRPr="00C73D1B">
              <w:rPr>
                <w:rFonts w:cs="Arial"/>
                <w:b/>
                <w:bCs/>
                <w:color w:val="000000"/>
                <w:sz w:val="16"/>
                <w:szCs w:val="16"/>
                <w:vertAlign w:val="superscript"/>
              </w:rPr>
              <w:t>1)</w:t>
            </w:r>
          </w:p>
        </w:tc>
        <w:tc>
          <w:tcPr>
            <w:tcW w:w="96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 xml:space="preserve">Počet </w:t>
            </w:r>
            <w:proofErr w:type="spellStart"/>
            <w:r w:rsidRPr="00C73D1B">
              <w:rPr>
                <w:rFonts w:cs="Arial"/>
                <w:b/>
                <w:bCs/>
                <w:color w:val="000000"/>
                <w:sz w:val="16"/>
                <w:szCs w:val="16"/>
              </w:rPr>
              <w:t>zaměstn</w:t>
            </w:r>
            <w:proofErr w:type="spellEnd"/>
            <w:r w:rsidRPr="00C73D1B">
              <w:rPr>
                <w:rFonts w:cs="Arial"/>
                <w:b/>
                <w:bCs/>
                <w:color w:val="000000"/>
                <w:sz w:val="16"/>
                <w:szCs w:val="16"/>
              </w:rPr>
              <w:t>. (</w:t>
            </w:r>
            <w:proofErr w:type="spellStart"/>
            <w:r w:rsidRPr="00C73D1B">
              <w:rPr>
                <w:rFonts w:cs="Arial"/>
                <w:b/>
                <w:bCs/>
                <w:color w:val="000000"/>
                <w:sz w:val="16"/>
                <w:szCs w:val="16"/>
              </w:rPr>
              <w:t>přepoč</w:t>
            </w:r>
            <w:proofErr w:type="spellEnd"/>
            <w:r w:rsidRPr="00C73D1B">
              <w:rPr>
                <w:rFonts w:cs="Arial"/>
                <w:b/>
                <w:bCs/>
                <w:color w:val="000000"/>
                <w:sz w:val="16"/>
                <w:szCs w:val="16"/>
              </w:rPr>
              <w:t>.)</w:t>
            </w:r>
            <w:r w:rsidRPr="00C73D1B">
              <w:rPr>
                <w:rFonts w:cs="Arial"/>
                <w:b/>
                <w:bCs/>
                <w:color w:val="000000"/>
                <w:sz w:val="16"/>
                <w:szCs w:val="16"/>
              </w:rPr>
              <w:br/>
              <w:t>v osobách</w:t>
            </w:r>
          </w:p>
        </w:tc>
        <w:tc>
          <w:tcPr>
            <w:tcW w:w="961"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Výdaje na investice</w:t>
            </w:r>
          </w:p>
        </w:tc>
        <w:tc>
          <w:tcPr>
            <w:tcW w:w="9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Export zboží a služeb</w:t>
            </w:r>
            <w:r w:rsidRPr="00C73D1B">
              <w:rPr>
                <w:rFonts w:cs="Arial"/>
                <w:b/>
                <w:bCs/>
                <w:color w:val="000000"/>
                <w:sz w:val="16"/>
                <w:szCs w:val="16"/>
                <w:vertAlign w:val="superscript"/>
              </w:rPr>
              <w:t>2)</w:t>
            </w:r>
          </w:p>
        </w:tc>
        <w:tc>
          <w:tcPr>
            <w:tcW w:w="1002"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Import zboží a služeb</w:t>
            </w:r>
          </w:p>
        </w:tc>
        <w:tc>
          <w:tcPr>
            <w:tcW w:w="1099"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Počet právnických a fyzických osob</w:t>
            </w:r>
          </w:p>
        </w:tc>
        <w:tc>
          <w:tcPr>
            <w:tcW w:w="2200" w:type="dxa"/>
            <w:gridSpan w:val="4"/>
            <w:vMerge w:val="restart"/>
            <w:tcBorders>
              <w:top w:val="nil"/>
              <w:left w:val="nil"/>
              <w:bottom w:val="single" w:sz="4" w:space="0" w:color="000000"/>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6"/>
                <w:szCs w:val="16"/>
              </w:rPr>
            </w:pPr>
            <w:r w:rsidRPr="00C73D1B">
              <w:rPr>
                <w:rFonts w:cs="Arial"/>
                <w:b/>
                <w:bCs/>
                <w:color w:val="000000"/>
                <w:sz w:val="16"/>
                <w:szCs w:val="16"/>
              </w:rPr>
              <w:t>NACE</w:t>
            </w:r>
          </w:p>
        </w:tc>
      </w:tr>
      <w:tr w:rsidR="00C73D1B" w:rsidRPr="00C73D1B" w:rsidTr="0060219B">
        <w:trPr>
          <w:trHeight w:val="24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48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4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4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1"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02"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99"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2200" w:type="dxa"/>
            <w:gridSpan w:val="4"/>
            <w:vMerge/>
            <w:tcBorders>
              <w:top w:val="nil"/>
              <w:left w:val="nil"/>
              <w:bottom w:val="single" w:sz="4" w:space="0" w:color="000000"/>
              <w:right w:val="nil"/>
            </w:tcBorders>
            <w:vAlign w:val="center"/>
            <w:hideMark/>
          </w:tcPr>
          <w:p w:rsidR="00C73D1B" w:rsidRPr="00C73D1B" w:rsidRDefault="00C73D1B" w:rsidP="00C73D1B">
            <w:pPr>
              <w:spacing w:after="0" w:line="240" w:lineRule="auto"/>
              <w:rPr>
                <w:rFonts w:cs="Arial"/>
                <w:b/>
                <w:bCs/>
                <w:color w:val="000000"/>
                <w:sz w:val="16"/>
                <w:szCs w:val="16"/>
              </w:rPr>
            </w:pPr>
          </w:p>
        </w:tc>
      </w:tr>
      <w:tr w:rsidR="00C73D1B" w:rsidRPr="00C73D1B" w:rsidTr="0060219B">
        <w:trPr>
          <w:trHeight w:val="184"/>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480"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4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4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6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1"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02"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1099" w:type="dxa"/>
            <w:gridSpan w:val="2"/>
            <w:vMerge/>
            <w:tcBorders>
              <w:top w:val="nil"/>
              <w:left w:val="single" w:sz="4" w:space="0" w:color="auto"/>
              <w:bottom w:val="single" w:sz="4" w:space="0" w:color="000000"/>
              <w:right w:val="single" w:sz="4" w:space="0" w:color="auto"/>
            </w:tcBorders>
            <w:vAlign w:val="center"/>
            <w:hideMark/>
          </w:tcPr>
          <w:p w:rsidR="00C73D1B" w:rsidRPr="00C73D1B" w:rsidRDefault="00C73D1B" w:rsidP="00C73D1B">
            <w:pPr>
              <w:spacing w:after="0" w:line="240" w:lineRule="auto"/>
              <w:rPr>
                <w:rFonts w:cs="Arial"/>
                <w:b/>
                <w:bCs/>
                <w:color w:val="000000"/>
                <w:sz w:val="16"/>
                <w:szCs w:val="16"/>
              </w:rPr>
            </w:pPr>
          </w:p>
        </w:tc>
        <w:tc>
          <w:tcPr>
            <w:tcW w:w="2200" w:type="dxa"/>
            <w:gridSpan w:val="4"/>
            <w:vMerge/>
            <w:tcBorders>
              <w:top w:val="nil"/>
              <w:left w:val="nil"/>
              <w:bottom w:val="single" w:sz="4" w:space="0" w:color="000000"/>
              <w:right w:val="nil"/>
            </w:tcBorders>
            <w:vAlign w:val="center"/>
            <w:hideMark/>
          </w:tcPr>
          <w:p w:rsidR="00C73D1B" w:rsidRPr="00C73D1B" w:rsidRDefault="00C73D1B" w:rsidP="00C73D1B">
            <w:pPr>
              <w:spacing w:after="0" w:line="240" w:lineRule="auto"/>
              <w:rPr>
                <w:rFonts w:cs="Arial"/>
                <w:b/>
                <w:bCs/>
                <w:color w:val="000000"/>
                <w:sz w:val="16"/>
                <w:szCs w:val="16"/>
              </w:rPr>
            </w:pPr>
          </w:p>
        </w:tc>
      </w:tr>
      <w:tr w:rsidR="00C73D1B" w:rsidRPr="00C73D1B" w:rsidTr="0060219B">
        <w:trPr>
          <w:trHeight w:val="300"/>
        </w:trPr>
        <w:tc>
          <w:tcPr>
            <w:tcW w:w="807"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8"/>
                <w:szCs w:val="18"/>
              </w:rPr>
            </w:pPr>
            <w:r w:rsidRPr="00C73D1B">
              <w:rPr>
                <w:rFonts w:cs="Arial"/>
                <w:color w:val="000000"/>
                <w:sz w:val="18"/>
                <w:szCs w:val="18"/>
              </w:rPr>
              <w:t>a</w:t>
            </w:r>
          </w:p>
        </w:tc>
        <w:tc>
          <w:tcPr>
            <w:tcW w:w="148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b</w:t>
            </w:r>
          </w:p>
        </w:tc>
        <w:tc>
          <w:tcPr>
            <w:tcW w:w="104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1</w:t>
            </w:r>
          </w:p>
        </w:tc>
        <w:tc>
          <w:tcPr>
            <w:tcW w:w="104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2</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3</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4</w:t>
            </w:r>
          </w:p>
        </w:tc>
        <w:tc>
          <w:tcPr>
            <w:tcW w:w="10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5</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6</w:t>
            </w:r>
          </w:p>
        </w:tc>
        <w:tc>
          <w:tcPr>
            <w:tcW w:w="961"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8</w:t>
            </w:r>
          </w:p>
        </w:tc>
        <w:tc>
          <w:tcPr>
            <w:tcW w:w="1002"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9</w:t>
            </w:r>
          </w:p>
        </w:tc>
        <w:tc>
          <w:tcPr>
            <w:tcW w:w="1099"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10</w:t>
            </w:r>
          </w:p>
        </w:tc>
        <w:tc>
          <w:tcPr>
            <w:tcW w:w="2200" w:type="dxa"/>
            <w:gridSpan w:val="4"/>
            <w:tcBorders>
              <w:top w:val="single" w:sz="4" w:space="0" w:color="auto"/>
              <w:left w:val="nil"/>
              <w:bottom w:val="single" w:sz="4" w:space="0" w:color="auto"/>
              <w:right w:val="nil"/>
            </w:tcBorders>
            <w:shd w:val="clear" w:color="auto" w:fill="auto"/>
            <w:vAlign w:val="center"/>
            <w:hideMark/>
          </w:tcPr>
          <w:p w:rsidR="00C73D1B" w:rsidRPr="00C73D1B" w:rsidRDefault="00C73D1B" w:rsidP="00C73D1B">
            <w:pPr>
              <w:spacing w:after="0" w:line="240" w:lineRule="auto"/>
              <w:jc w:val="center"/>
              <w:rPr>
                <w:rFonts w:cs="Arial"/>
                <w:color w:val="000000"/>
                <w:sz w:val="16"/>
                <w:szCs w:val="16"/>
              </w:rPr>
            </w:pPr>
            <w:r w:rsidRPr="00C73D1B">
              <w:rPr>
                <w:rFonts w:cs="Arial"/>
                <w:color w:val="000000"/>
                <w:sz w:val="16"/>
                <w:szCs w:val="16"/>
              </w:rPr>
              <w:t>11</w:t>
            </w:r>
          </w:p>
        </w:tc>
      </w:tr>
      <w:tr w:rsidR="00C73D1B" w:rsidRPr="00C73D1B" w:rsidTr="0060219B">
        <w:trPr>
          <w:trHeight w:val="300"/>
        </w:trPr>
        <w:tc>
          <w:tcPr>
            <w:tcW w:w="807" w:type="dxa"/>
            <w:vMerge w:val="restart"/>
            <w:tcBorders>
              <w:top w:val="nil"/>
              <w:left w:val="nil"/>
              <w:bottom w:val="single" w:sz="4" w:space="0" w:color="000000"/>
              <w:right w:val="single" w:sz="4" w:space="0" w:color="auto"/>
            </w:tcBorders>
            <w:shd w:val="clear" w:color="auto" w:fill="auto"/>
            <w:textDirection w:val="btLr"/>
            <w:vAlign w:val="center"/>
            <w:hideMark/>
          </w:tcPr>
          <w:p w:rsidR="00C73D1B" w:rsidRPr="00C73D1B" w:rsidRDefault="00C73D1B" w:rsidP="00C73D1B">
            <w:pPr>
              <w:spacing w:after="0" w:line="240" w:lineRule="auto"/>
              <w:jc w:val="center"/>
              <w:rPr>
                <w:rFonts w:cs="Arial"/>
                <w:color w:val="000000"/>
                <w:sz w:val="18"/>
                <w:szCs w:val="18"/>
              </w:rPr>
            </w:pPr>
            <w:r w:rsidRPr="00C73D1B">
              <w:rPr>
                <w:rFonts w:cs="Arial"/>
                <w:color w:val="000000"/>
                <w:sz w:val="18"/>
                <w:szCs w:val="18"/>
              </w:rPr>
              <w:t>KULTURNÍ SEKTOR</w:t>
            </w: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Kulturní dědictví</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18 604 655</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18 527 856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14 342</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5 501</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8 841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18 951</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2 761 596</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386 948</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641 559</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10 523</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91.01, 02, 03, 47.78, 79</w:t>
            </w:r>
            <w:r w:rsidRPr="00C73D1B">
              <w:rPr>
                <w:rFonts w:cs="Arial"/>
                <w:color w:val="000000"/>
                <w:sz w:val="14"/>
                <w:szCs w:val="14"/>
                <w:vertAlign w:val="superscript"/>
              </w:rPr>
              <w:t>3)</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Scénická umění</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11 537 870</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11 514 338</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13 865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6 538</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7 327</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14 787</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443 953</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1 120 968</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1 196 521</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6 820</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90.01, 02, 04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Výtvarná umění</w:t>
            </w:r>
            <w:r w:rsidRPr="00C73D1B">
              <w:rPr>
                <w:rFonts w:cs="Arial"/>
                <w:color w:val="000000"/>
                <w:sz w:val="16"/>
                <w:szCs w:val="16"/>
                <w:vertAlign w:val="superscript"/>
              </w:rPr>
              <w:t>4)</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5 103 663</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4 322 714</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5 876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3 681</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2 195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1 865</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362 300</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598 759</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626 492</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8 963</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74.20, 90.03 </w:t>
            </w:r>
          </w:p>
        </w:tc>
      </w:tr>
      <w:tr w:rsidR="00C73D1B" w:rsidRPr="00C73D1B" w:rsidTr="0060219B">
        <w:trPr>
          <w:trHeight w:val="405"/>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Kulturní a umělecké vzdělávání</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785 960</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671 885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7 882</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1 806</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6 076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599</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23 622</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1 050</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85.52 </w:t>
            </w:r>
          </w:p>
        </w:tc>
      </w:tr>
      <w:tr w:rsidR="00C73D1B" w:rsidRPr="00C73D1B" w:rsidTr="0060219B">
        <w:trPr>
          <w:trHeight w:val="48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Umělecká řemesla</w:t>
            </w:r>
          </w:p>
        </w:tc>
        <w:tc>
          <w:tcPr>
            <w:tcW w:w="104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496 910</w:t>
            </w:r>
          </w:p>
        </w:tc>
        <w:tc>
          <w:tcPr>
            <w:tcW w:w="104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446 770</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573</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316</w:t>
            </w:r>
          </w:p>
        </w:tc>
        <w:tc>
          <w:tcPr>
            <w:tcW w:w="10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257</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1 301</w:t>
            </w:r>
          </w:p>
        </w:tc>
        <w:tc>
          <w:tcPr>
            <w:tcW w:w="961"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6 377</w:t>
            </w:r>
          </w:p>
        </w:tc>
        <w:tc>
          <w:tcPr>
            <w:tcW w:w="9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1 177 107</w:t>
            </w:r>
          </w:p>
        </w:tc>
        <w:tc>
          <w:tcPr>
            <w:tcW w:w="1002"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2 210 505</w:t>
            </w:r>
          </w:p>
        </w:tc>
        <w:tc>
          <w:tcPr>
            <w:tcW w:w="1099"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976</w:t>
            </w:r>
          </w:p>
        </w:tc>
        <w:tc>
          <w:tcPr>
            <w:tcW w:w="2200" w:type="dxa"/>
            <w:gridSpan w:val="4"/>
            <w:tcBorders>
              <w:top w:val="nil"/>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odd. 14, 15, 16, 23, 25, 31, 32, 43 (část)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Sektor celkem</w:t>
            </w:r>
          </w:p>
        </w:tc>
        <w:tc>
          <w:tcPr>
            <w:tcW w:w="104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36 529 058</w:t>
            </w:r>
          </w:p>
        </w:tc>
        <w:tc>
          <w:tcPr>
            <w:tcW w:w="104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35 483 563</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42 538</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17 842</w:t>
            </w:r>
          </w:p>
        </w:tc>
        <w:tc>
          <w:tcPr>
            <w:tcW w:w="106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24 696</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37 503</w:t>
            </w:r>
          </w:p>
        </w:tc>
        <w:tc>
          <w:tcPr>
            <w:tcW w:w="961"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3 597 848</w:t>
            </w:r>
          </w:p>
        </w:tc>
        <w:tc>
          <w:tcPr>
            <w:tcW w:w="96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3 283 782</w:t>
            </w:r>
          </w:p>
        </w:tc>
        <w:tc>
          <w:tcPr>
            <w:tcW w:w="1002"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4 675 077</w:t>
            </w:r>
          </w:p>
        </w:tc>
        <w:tc>
          <w:tcPr>
            <w:tcW w:w="1099"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28 332</w:t>
            </w:r>
          </w:p>
        </w:tc>
        <w:tc>
          <w:tcPr>
            <w:tcW w:w="2200" w:type="dxa"/>
            <w:gridSpan w:val="4"/>
            <w:tcBorders>
              <w:top w:val="nil"/>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w:t>
            </w:r>
          </w:p>
        </w:tc>
      </w:tr>
      <w:tr w:rsidR="00C73D1B" w:rsidRPr="00C73D1B" w:rsidTr="0060219B">
        <w:trPr>
          <w:trHeight w:val="390"/>
        </w:trPr>
        <w:tc>
          <w:tcPr>
            <w:tcW w:w="807" w:type="dxa"/>
            <w:vMerge w:val="restart"/>
            <w:tcBorders>
              <w:top w:val="nil"/>
              <w:left w:val="nil"/>
              <w:bottom w:val="single" w:sz="4" w:space="0" w:color="000000"/>
              <w:right w:val="single" w:sz="4" w:space="0" w:color="auto"/>
            </w:tcBorders>
            <w:shd w:val="clear" w:color="auto" w:fill="auto"/>
            <w:textDirection w:val="btLr"/>
            <w:vAlign w:val="center"/>
            <w:hideMark/>
          </w:tcPr>
          <w:p w:rsidR="00C73D1B" w:rsidRPr="00C73D1B" w:rsidRDefault="00C73D1B" w:rsidP="00C73D1B">
            <w:pPr>
              <w:spacing w:after="0" w:line="240" w:lineRule="auto"/>
              <w:jc w:val="center"/>
              <w:rPr>
                <w:rFonts w:cs="Arial"/>
                <w:color w:val="000000"/>
                <w:sz w:val="18"/>
                <w:szCs w:val="18"/>
              </w:rPr>
            </w:pPr>
            <w:r w:rsidRPr="00C73D1B">
              <w:rPr>
                <w:rFonts w:cs="Arial"/>
                <w:color w:val="000000"/>
                <w:sz w:val="18"/>
                <w:szCs w:val="18"/>
              </w:rPr>
              <w:t>KULTURNÍ PRŮMYSLY</w:t>
            </w: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Film a video</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16 334 622</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15 679 185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17 626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10 952</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6 674</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1 444</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2 139 648</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3 765 079</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1 955 951</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1 541</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59.11, 12, 13, 14, 77.22, 47.63 (část)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 xml:space="preserve">Hudba </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1 953 812</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1 627 851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2 111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1 104</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1 007</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248</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63 169</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5 213 737</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4 427 356</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2 245</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59.20, 47.63 (část)</w:t>
            </w:r>
            <w:r w:rsidRPr="00C73D1B">
              <w:rPr>
                <w:rFonts w:cs="Arial"/>
                <w:color w:val="000000"/>
                <w:sz w:val="14"/>
                <w:szCs w:val="14"/>
                <w:vertAlign w:val="superscript"/>
              </w:rPr>
              <w:t xml:space="preserve">3)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Rozhlas</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5 565 344</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4 287 031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6 004</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2 027</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3 977</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2 195</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108 262</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12 339</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72</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60.10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Televize</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20 764 593</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20 312 646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22 411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13 792</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8 619</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4 804</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2 583 649</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556 087</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116</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60.20 </w:t>
            </w:r>
          </w:p>
        </w:tc>
      </w:tr>
      <w:tr w:rsidR="00C73D1B" w:rsidRPr="00C73D1B" w:rsidTr="0060219B">
        <w:trPr>
          <w:trHeight w:val="375"/>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Knihy a tisk</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40 937 888</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35 993 540</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33 742</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18 937</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14 805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20 339</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965 974</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9 254 460</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9 972 472</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38 812</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58.11, 13, 14, 63.91, 74.30, 47.61, 62</w:t>
            </w:r>
            <w:r w:rsidRPr="00C73D1B">
              <w:rPr>
                <w:rFonts w:cs="Arial"/>
                <w:color w:val="000000"/>
                <w:sz w:val="14"/>
                <w:szCs w:val="14"/>
                <w:vertAlign w:val="superscript"/>
              </w:rPr>
              <w:t>3)</w:t>
            </w:r>
            <w:r w:rsidRPr="00C73D1B">
              <w:rPr>
                <w:rFonts w:cs="Arial"/>
                <w:color w:val="000000"/>
                <w:sz w:val="9"/>
                <w:szCs w:val="9"/>
              </w:rPr>
              <w:t xml:space="preserve">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Videohry</w:t>
            </w:r>
          </w:p>
        </w:tc>
        <w:tc>
          <w:tcPr>
            <w:tcW w:w="104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1 515 382</w:t>
            </w:r>
          </w:p>
        </w:tc>
        <w:tc>
          <w:tcPr>
            <w:tcW w:w="104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905 017</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1 639</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359</w:t>
            </w:r>
          </w:p>
        </w:tc>
        <w:tc>
          <w:tcPr>
            <w:tcW w:w="10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1 280</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334</w:t>
            </w:r>
          </w:p>
        </w:tc>
        <w:tc>
          <w:tcPr>
            <w:tcW w:w="961"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175 739</w:t>
            </w:r>
          </w:p>
        </w:tc>
        <w:tc>
          <w:tcPr>
            <w:tcW w:w="9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02"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99"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35</w:t>
            </w:r>
          </w:p>
        </w:tc>
        <w:tc>
          <w:tcPr>
            <w:tcW w:w="2200" w:type="dxa"/>
            <w:gridSpan w:val="4"/>
            <w:tcBorders>
              <w:top w:val="nil"/>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58.21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Sektor celkem</w:t>
            </w:r>
          </w:p>
        </w:tc>
        <w:tc>
          <w:tcPr>
            <w:tcW w:w="104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87 071 641</w:t>
            </w:r>
          </w:p>
        </w:tc>
        <w:tc>
          <w:tcPr>
            <w:tcW w:w="104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78 805 270</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83 533</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47 171</w:t>
            </w:r>
          </w:p>
        </w:tc>
        <w:tc>
          <w:tcPr>
            <w:tcW w:w="106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36 362</w:t>
            </w:r>
          </w:p>
        </w:tc>
        <w:tc>
          <w:tcPr>
            <w:tcW w:w="960"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29 364</w:t>
            </w:r>
          </w:p>
        </w:tc>
        <w:tc>
          <w:tcPr>
            <w:tcW w:w="961"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6 036 441</w:t>
            </w:r>
          </w:p>
        </w:tc>
        <w:tc>
          <w:tcPr>
            <w:tcW w:w="960" w:type="dxa"/>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18 337 475</w:t>
            </w:r>
          </w:p>
        </w:tc>
        <w:tc>
          <w:tcPr>
            <w:tcW w:w="1002"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16 924 205</w:t>
            </w:r>
          </w:p>
        </w:tc>
        <w:tc>
          <w:tcPr>
            <w:tcW w:w="1099" w:type="dxa"/>
            <w:gridSpan w:val="2"/>
            <w:tcBorders>
              <w:top w:val="nil"/>
              <w:left w:val="nil"/>
              <w:bottom w:val="single" w:sz="4" w:space="0" w:color="auto"/>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42 821</w:t>
            </w:r>
          </w:p>
        </w:tc>
        <w:tc>
          <w:tcPr>
            <w:tcW w:w="2200" w:type="dxa"/>
            <w:gridSpan w:val="4"/>
            <w:tcBorders>
              <w:top w:val="nil"/>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b/>
                <w:bCs/>
                <w:color w:val="000000"/>
                <w:sz w:val="14"/>
                <w:szCs w:val="14"/>
              </w:rPr>
            </w:pPr>
            <w:r w:rsidRPr="00C73D1B">
              <w:rPr>
                <w:rFonts w:cs="Arial"/>
                <w:b/>
                <w:bCs/>
                <w:color w:val="000000"/>
                <w:sz w:val="14"/>
                <w:szCs w:val="14"/>
              </w:rPr>
              <w:t>-</w:t>
            </w:r>
          </w:p>
        </w:tc>
      </w:tr>
      <w:tr w:rsidR="00C73D1B" w:rsidRPr="00C73D1B" w:rsidTr="0060219B">
        <w:trPr>
          <w:trHeight w:val="300"/>
        </w:trPr>
        <w:tc>
          <w:tcPr>
            <w:tcW w:w="807" w:type="dxa"/>
            <w:vMerge w:val="restart"/>
            <w:tcBorders>
              <w:top w:val="nil"/>
              <w:left w:val="nil"/>
              <w:bottom w:val="single" w:sz="4" w:space="0" w:color="000000"/>
              <w:right w:val="single" w:sz="4" w:space="0" w:color="auto"/>
            </w:tcBorders>
            <w:shd w:val="clear" w:color="auto" w:fill="auto"/>
            <w:textDirection w:val="btLr"/>
            <w:vAlign w:val="center"/>
            <w:hideMark/>
          </w:tcPr>
          <w:p w:rsidR="00C73D1B" w:rsidRPr="00C73D1B" w:rsidRDefault="00C73D1B" w:rsidP="00C73D1B">
            <w:pPr>
              <w:spacing w:after="0" w:line="240" w:lineRule="auto"/>
              <w:jc w:val="center"/>
              <w:rPr>
                <w:rFonts w:cs="Arial"/>
                <w:color w:val="000000"/>
                <w:sz w:val="18"/>
                <w:szCs w:val="18"/>
              </w:rPr>
            </w:pPr>
            <w:r w:rsidRPr="00C73D1B">
              <w:rPr>
                <w:rFonts w:cs="Arial"/>
                <w:color w:val="000000"/>
                <w:sz w:val="18"/>
                <w:szCs w:val="18"/>
              </w:rPr>
              <w:t>KREATIVNÍ PRŮMYSLY</w:t>
            </w: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Architektura</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21 493 562</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18 904 830</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20 964</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13 528</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7 436</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6 734</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735 215</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1 024 328</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137 373</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10 529</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71.11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Reklama</w:t>
            </w:r>
          </w:p>
        </w:tc>
        <w:tc>
          <w:tcPr>
            <w:tcW w:w="10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68 039 997</w:t>
            </w:r>
          </w:p>
        </w:tc>
        <w:tc>
          <w:tcPr>
            <w:tcW w:w="104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63 842 501</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58 995</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43 707</w:t>
            </w:r>
          </w:p>
        </w:tc>
        <w:tc>
          <w:tcPr>
            <w:tcW w:w="10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15 288</w:t>
            </w:r>
          </w:p>
        </w:tc>
        <w:tc>
          <w:tcPr>
            <w:tcW w:w="96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12 237</w:t>
            </w:r>
          </w:p>
        </w:tc>
        <w:tc>
          <w:tcPr>
            <w:tcW w:w="96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3 037 844</w:t>
            </w:r>
          </w:p>
        </w:tc>
        <w:tc>
          <w:tcPr>
            <w:tcW w:w="960" w:type="dxa"/>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10 482 753</w:t>
            </w:r>
          </w:p>
        </w:tc>
        <w:tc>
          <w:tcPr>
            <w:tcW w:w="1002"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9 283 539</w:t>
            </w:r>
          </w:p>
        </w:tc>
        <w:tc>
          <w:tcPr>
            <w:tcW w:w="1099"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12 725</w:t>
            </w:r>
          </w:p>
        </w:tc>
        <w:tc>
          <w:tcPr>
            <w:tcW w:w="2200" w:type="dxa"/>
            <w:gridSpan w:val="4"/>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73.11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Design</w:t>
            </w:r>
          </w:p>
        </w:tc>
        <w:tc>
          <w:tcPr>
            <w:tcW w:w="104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2 818 639</w:t>
            </w:r>
          </w:p>
        </w:tc>
        <w:tc>
          <w:tcPr>
            <w:tcW w:w="104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2 328 439</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3 245</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2 144</w:t>
            </w:r>
          </w:p>
        </w:tc>
        <w:tc>
          <w:tcPr>
            <w:tcW w:w="10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1 101</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707</w:t>
            </w:r>
          </w:p>
        </w:tc>
        <w:tc>
          <w:tcPr>
            <w:tcW w:w="961"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100 910</w:t>
            </w:r>
          </w:p>
        </w:tc>
        <w:tc>
          <w:tcPr>
            <w:tcW w:w="9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529 820</w:t>
            </w:r>
          </w:p>
        </w:tc>
        <w:tc>
          <w:tcPr>
            <w:tcW w:w="1002"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578 020</w:t>
            </w:r>
          </w:p>
        </w:tc>
        <w:tc>
          <w:tcPr>
            <w:tcW w:w="1099"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2 645</w:t>
            </w:r>
          </w:p>
        </w:tc>
        <w:tc>
          <w:tcPr>
            <w:tcW w:w="2200" w:type="dxa"/>
            <w:gridSpan w:val="4"/>
            <w:tcBorders>
              <w:top w:val="nil"/>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74.10 </w:t>
            </w:r>
          </w:p>
        </w:tc>
      </w:tr>
      <w:tr w:rsidR="00C73D1B" w:rsidRPr="00C73D1B" w:rsidTr="0060219B">
        <w:trPr>
          <w:trHeight w:val="300"/>
        </w:trPr>
        <w:tc>
          <w:tcPr>
            <w:tcW w:w="807" w:type="dxa"/>
            <w:vMerge/>
            <w:tcBorders>
              <w:top w:val="nil"/>
              <w:left w:val="nil"/>
              <w:bottom w:val="single" w:sz="4" w:space="0" w:color="000000"/>
              <w:right w:val="single" w:sz="4" w:space="0" w:color="auto"/>
            </w:tcBorders>
            <w:vAlign w:val="center"/>
            <w:hideMark/>
          </w:tcPr>
          <w:p w:rsidR="00C73D1B" w:rsidRPr="00C73D1B" w:rsidRDefault="00C73D1B" w:rsidP="00C73D1B">
            <w:pPr>
              <w:spacing w:after="0" w:line="240" w:lineRule="auto"/>
              <w:rPr>
                <w:rFonts w:cs="Arial"/>
                <w:color w:val="000000"/>
                <w:sz w:val="18"/>
                <w:szCs w:val="18"/>
              </w:rPr>
            </w:pPr>
          </w:p>
        </w:tc>
        <w:tc>
          <w:tcPr>
            <w:tcW w:w="1480" w:type="dxa"/>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Sektor celkem</w:t>
            </w:r>
          </w:p>
        </w:tc>
        <w:tc>
          <w:tcPr>
            <w:tcW w:w="1040"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92 352 198</w:t>
            </w:r>
          </w:p>
        </w:tc>
        <w:tc>
          <w:tcPr>
            <w:tcW w:w="1040" w:type="dxa"/>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85 075 770</w:t>
            </w:r>
          </w:p>
        </w:tc>
        <w:tc>
          <w:tcPr>
            <w:tcW w:w="960"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83 204</w:t>
            </w:r>
          </w:p>
        </w:tc>
        <w:tc>
          <w:tcPr>
            <w:tcW w:w="960"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59 379</w:t>
            </w:r>
          </w:p>
        </w:tc>
        <w:tc>
          <w:tcPr>
            <w:tcW w:w="1060" w:type="dxa"/>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23 825</w:t>
            </w:r>
          </w:p>
        </w:tc>
        <w:tc>
          <w:tcPr>
            <w:tcW w:w="960"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19 678</w:t>
            </w:r>
          </w:p>
        </w:tc>
        <w:tc>
          <w:tcPr>
            <w:tcW w:w="961"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3 873 969</w:t>
            </w:r>
          </w:p>
        </w:tc>
        <w:tc>
          <w:tcPr>
            <w:tcW w:w="960" w:type="dxa"/>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12 036 901</w:t>
            </w:r>
          </w:p>
        </w:tc>
        <w:tc>
          <w:tcPr>
            <w:tcW w:w="1002"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9 998 932</w:t>
            </w:r>
          </w:p>
        </w:tc>
        <w:tc>
          <w:tcPr>
            <w:tcW w:w="1099" w:type="dxa"/>
            <w:gridSpan w:val="2"/>
            <w:tcBorders>
              <w:top w:val="nil"/>
              <w:left w:val="nil"/>
              <w:bottom w:val="single" w:sz="4" w:space="0" w:color="auto"/>
              <w:right w:val="single" w:sz="4" w:space="0" w:color="auto"/>
            </w:tcBorders>
            <w:shd w:val="clear" w:color="000000" w:fill="F9EDED"/>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25 899</w:t>
            </w:r>
          </w:p>
        </w:tc>
        <w:tc>
          <w:tcPr>
            <w:tcW w:w="2200" w:type="dxa"/>
            <w:gridSpan w:val="4"/>
            <w:tcBorders>
              <w:top w:val="single" w:sz="4" w:space="0" w:color="auto"/>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b/>
                <w:bCs/>
                <w:color w:val="000000"/>
                <w:sz w:val="14"/>
                <w:szCs w:val="14"/>
              </w:rPr>
            </w:pPr>
            <w:r w:rsidRPr="00C73D1B">
              <w:rPr>
                <w:rFonts w:cs="Arial"/>
                <w:b/>
                <w:bCs/>
                <w:color w:val="000000"/>
                <w:sz w:val="14"/>
                <w:szCs w:val="14"/>
              </w:rPr>
              <w:t>-</w:t>
            </w:r>
          </w:p>
        </w:tc>
      </w:tr>
      <w:tr w:rsidR="00C73D1B" w:rsidRPr="00C73D1B" w:rsidTr="0060219B">
        <w:trPr>
          <w:trHeight w:val="450"/>
        </w:trPr>
        <w:tc>
          <w:tcPr>
            <w:tcW w:w="2287" w:type="dxa"/>
            <w:gridSpan w:val="2"/>
            <w:tcBorders>
              <w:top w:val="single" w:sz="4" w:space="0" w:color="auto"/>
              <w:left w:val="nil"/>
              <w:bottom w:val="single" w:sz="4" w:space="0" w:color="auto"/>
              <w:right w:val="single" w:sz="4" w:space="0" w:color="000000"/>
            </w:tcBorders>
            <w:shd w:val="clear" w:color="auto" w:fill="auto"/>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Správa a podpora kulturní činnosti</w:t>
            </w:r>
          </w:p>
        </w:tc>
        <w:tc>
          <w:tcPr>
            <w:tcW w:w="104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2 495 259</w:t>
            </w:r>
          </w:p>
        </w:tc>
        <w:tc>
          <w:tcPr>
            <w:tcW w:w="104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2 481 145</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3 752</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1 221</w:t>
            </w:r>
          </w:p>
        </w:tc>
        <w:tc>
          <w:tcPr>
            <w:tcW w:w="10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2 531</w:t>
            </w:r>
          </w:p>
        </w:tc>
        <w:tc>
          <w:tcPr>
            <w:tcW w:w="960"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2 785</w:t>
            </w:r>
          </w:p>
        </w:tc>
        <w:tc>
          <w:tcPr>
            <w:tcW w:w="961"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69 997</w:t>
            </w:r>
          </w:p>
        </w:tc>
        <w:tc>
          <w:tcPr>
            <w:tcW w:w="960" w:type="dxa"/>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02"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6"/>
                <w:szCs w:val="16"/>
              </w:rPr>
            </w:pPr>
            <w:r w:rsidRPr="00C73D1B">
              <w:rPr>
                <w:rFonts w:cs="Arial"/>
                <w:b/>
                <w:bCs/>
                <w:color w:val="000000"/>
                <w:sz w:val="16"/>
                <w:szCs w:val="16"/>
              </w:rPr>
              <w:t>.</w:t>
            </w:r>
          </w:p>
        </w:tc>
        <w:tc>
          <w:tcPr>
            <w:tcW w:w="1099" w:type="dxa"/>
            <w:gridSpan w:val="2"/>
            <w:tcBorders>
              <w:top w:val="nil"/>
              <w:left w:val="nil"/>
              <w:bottom w:val="single" w:sz="4" w:space="0" w:color="auto"/>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180</w:t>
            </w:r>
          </w:p>
        </w:tc>
        <w:tc>
          <w:tcPr>
            <w:tcW w:w="2200" w:type="dxa"/>
            <w:gridSpan w:val="4"/>
            <w:tcBorders>
              <w:top w:val="single" w:sz="4" w:space="0" w:color="auto"/>
              <w:left w:val="nil"/>
              <w:bottom w:val="single" w:sz="4" w:space="0" w:color="auto"/>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 xml:space="preserve">84.11, 12 (část), 94.99.2 </w:t>
            </w:r>
          </w:p>
        </w:tc>
      </w:tr>
      <w:tr w:rsidR="00C73D1B" w:rsidRPr="00C73D1B" w:rsidTr="0060219B">
        <w:trPr>
          <w:trHeight w:val="300"/>
        </w:trPr>
        <w:tc>
          <w:tcPr>
            <w:tcW w:w="2287" w:type="dxa"/>
            <w:gridSpan w:val="2"/>
            <w:tcBorders>
              <w:top w:val="nil"/>
              <w:left w:val="nil"/>
              <w:bottom w:val="nil"/>
              <w:right w:val="single" w:sz="4" w:space="0" w:color="000000"/>
            </w:tcBorders>
            <w:shd w:val="clear" w:color="000000" w:fill="FBF3F3"/>
            <w:vAlign w:val="center"/>
            <w:hideMark/>
          </w:tcPr>
          <w:p w:rsidR="00C73D1B" w:rsidRPr="00C73D1B" w:rsidRDefault="00C73D1B" w:rsidP="00C73D1B">
            <w:pPr>
              <w:spacing w:after="0" w:line="240" w:lineRule="auto"/>
              <w:rPr>
                <w:rFonts w:cs="Arial"/>
                <w:color w:val="000000"/>
                <w:sz w:val="16"/>
                <w:szCs w:val="16"/>
              </w:rPr>
            </w:pPr>
            <w:r w:rsidRPr="00C73D1B">
              <w:rPr>
                <w:rFonts w:cs="Arial"/>
                <w:color w:val="000000"/>
                <w:sz w:val="16"/>
                <w:szCs w:val="16"/>
              </w:rPr>
              <w:t>KULTURA CELKEM</w:t>
            </w:r>
          </w:p>
        </w:tc>
        <w:tc>
          <w:tcPr>
            <w:tcW w:w="104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218 448 156</w:t>
            </w:r>
          </w:p>
        </w:tc>
        <w:tc>
          <w:tcPr>
            <w:tcW w:w="104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201 845 748</w:t>
            </w:r>
          </w:p>
        </w:tc>
        <w:tc>
          <w:tcPr>
            <w:tcW w:w="96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213 027</w:t>
            </w:r>
          </w:p>
        </w:tc>
        <w:tc>
          <w:tcPr>
            <w:tcW w:w="96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125 613</w:t>
            </w:r>
          </w:p>
        </w:tc>
        <w:tc>
          <w:tcPr>
            <w:tcW w:w="106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87 414</w:t>
            </w:r>
          </w:p>
        </w:tc>
        <w:tc>
          <w:tcPr>
            <w:tcW w:w="96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89 330</w:t>
            </w:r>
          </w:p>
        </w:tc>
        <w:tc>
          <w:tcPr>
            <w:tcW w:w="961"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13 578 255</w:t>
            </w:r>
          </w:p>
        </w:tc>
        <w:tc>
          <w:tcPr>
            <w:tcW w:w="960" w:type="dxa"/>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33 658 158</w:t>
            </w:r>
          </w:p>
        </w:tc>
        <w:tc>
          <w:tcPr>
            <w:tcW w:w="1002"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31 598 214</w:t>
            </w:r>
          </w:p>
        </w:tc>
        <w:tc>
          <w:tcPr>
            <w:tcW w:w="1099"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6"/>
                <w:szCs w:val="16"/>
              </w:rPr>
            </w:pPr>
            <w:r w:rsidRPr="00C73D1B">
              <w:rPr>
                <w:rFonts w:cs="Arial"/>
                <w:color w:val="000000"/>
                <w:sz w:val="16"/>
                <w:szCs w:val="16"/>
              </w:rPr>
              <w:t>97 232</w:t>
            </w:r>
          </w:p>
        </w:tc>
        <w:tc>
          <w:tcPr>
            <w:tcW w:w="9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w:t>
            </w:r>
          </w:p>
        </w:tc>
        <w:tc>
          <w:tcPr>
            <w:tcW w:w="124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rPr>
                <w:rFonts w:cs="Arial"/>
                <w:color w:val="000000"/>
                <w:szCs w:val="20"/>
              </w:rPr>
            </w:pPr>
          </w:p>
        </w:tc>
      </w:tr>
      <w:tr w:rsidR="00C73D1B" w:rsidRPr="00C73D1B" w:rsidTr="0060219B">
        <w:trPr>
          <w:trHeight w:val="210"/>
        </w:trPr>
        <w:tc>
          <w:tcPr>
            <w:tcW w:w="5327" w:type="dxa"/>
            <w:gridSpan w:val="7"/>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1) odhad na základě vlastních propočtů z údajů národního účetnictví</w:t>
            </w: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1"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02"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99"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trHeight w:val="195"/>
        </w:trPr>
        <w:tc>
          <w:tcPr>
            <w:tcW w:w="6287" w:type="dxa"/>
            <w:gridSpan w:val="9"/>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2) za rozhlasové a televizní vysílání jsou k dispozici pouze individuální data, která nelze zveřejnit</w:t>
            </w:r>
          </w:p>
        </w:tc>
        <w:tc>
          <w:tcPr>
            <w:tcW w:w="10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1"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02"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99"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trHeight w:val="210"/>
        </w:trPr>
        <w:tc>
          <w:tcPr>
            <w:tcW w:w="4367" w:type="dxa"/>
            <w:gridSpan w:val="5"/>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3) údaje za maloobchod se vztahují jen ke sloupcům 1 až 6</w:t>
            </w: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1"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02"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99"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trHeight w:val="210"/>
        </w:trPr>
        <w:tc>
          <w:tcPr>
            <w:tcW w:w="3327" w:type="dxa"/>
            <w:gridSpan w:val="4"/>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cs="Arial"/>
                <w:color w:val="000000"/>
                <w:sz w:val="14"/>
                <w:szCs w:val="14"/>
              </w:rPr>
            </w:pPr>
            <w:r w:rsidRPr="00C73D1B">
              <w:rPr>
                <w:rFonts w:cs="Arial"/>
                <w:color w:val="000000"/>
                <w:sz w:val="14"/>
                <w:szCs w:val="14"/>
              </w:rPr>
              <w:t>4) bez designu a uměleckých řemesel</w:t>
            </w:r>
          </w:p>
        </w:tc>
        <w:tc>
          <w:tcPr>
            <w:tcW w:w="104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1"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02"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099"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gridAfter w:val="1"/>
          <w:wAfter w:w="707" w:type="dxa"/>
          <w:trHeight w:val="315"/>
        </w:trPr>
        <w:tc>
          <w:tcPr>
            <w:tcW w:w="7880" w:type="dxa"/>
            <w:gridSpan w:val="11"/>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cs="Arial"/>
                <w:b/>
                <w:bCs/>
                <w:color w:val="BC091B"/>
                <w:sz w:val="24"/>
              </w:rPr>
            </w:pPr>
            <w:r w:rsidRPr="00C73D1B">
              <w:rPr>
                <w:rFonts w:cs="Arial"/>
                <w:b/>
                <w:bCs/>
                <w:color w:val="BC091B"/>
                <w:sz w:val="24"/>
              </w:rPr>
              <w:lastRenderedPageBreak/>
              <w:t>Tabulka 7a Zaměstnanost a mzdy v kultuře v roce 2015</w:t>
            </w:r>
          </w:p>
        </w:tc>
        <w:tc>
          <w:tcPr>
            <w:tcW w:w="1241" w:type="dxa"/>
            <w:gridSpan w:val="2"/>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c>
          <w:tcPr>
            <w:tcW w:w="1220" w:type="dxa"/>
            <w:gridSpan w:val="3"/>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c>
          <w:tcPr>
            <w:tcW w:w="1281" w:type="dxa"/>
            <w:gridSpan w:val="2"/>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c>
          <w:tcPr>
            <w:tcW w:w="1140" w:type="dxa"/>
            <w:gridSpan w:val="2"/>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c>
          <w:tcPr>
            <w:tcW w:w="1060" w:type="dxa"/>
            <w:gridSpan w:val="2"/>
            <w:tcBorders>
              <w:top w:val="nil"/>
              <w:left w:val="nil"/>
              <w:bottom w:val="nil"/>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p>
        </w:tc>
      </w:tr>
      <w:tr w:rsidR="00C73D1B" w:rsidRPr="00C73D1B" w:rsidTr="0060219B">
        <w:trPr>
          <w:gridAfter w:val="1"/>
          <w:wAfter w:w="707" w:type="dxa"/>
          <w:trHeight w:val="210"/>
        </w:trPr>
        <w:tc>
          <w:tcPr>
            <w:tcW w:w="2720" w:type="dxa"/>
            <w:gridSpan w:val="3"/>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cs="Arial"/>
                <w:b/>
                <w:bCs/>
                <w:color w:val="BC091B"/>
                <w:sz w:val="24"/>
              </w:rPr>
            </w:pPr>
            <w:bookmarkStart w:id="59" w:name="RANGE!A2"/>
            <w:r w:rsidRPr="00C73D1B">
              <w:rPr>
                <w:rFonts w:cs="Arial"/>
                <w:b/>
                <w:bCs/>
                <w:color w:val="BC091B"/>
                <w:sz w:val="24"/>
              </w:rPr>
              <w:t> </w:t>
            </w:r>
            <w:bookmarkEnd w:id="59"/>
          </w:p>
        </w:tc>
        <w:tc>
          <w:tcPr>
            <w:tcW w:w="1720" w:type="dxa"/>
            <w:gridSpan w:val="3"/>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720" w:type="dxa"/>
            <w:gridSpan w:val="2"/>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720" w:type="dxa"/>
            <w:gridSpan w:val="3"/>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241" w:type="dxa"/>
            <w:gridSpan w:val="2"/>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220" w:type="dxa"/>
            <w:gridSpan w:val="3"/>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281" w:type="dxa"/>
            <w:gridSpan w:val="2"/>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140" w:type="dxa"/>
            <w:gridSpan w:val="2"/>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c>
          <w:tcPr>
            <w:tcW w:w="1060" w:type="dxa"/>
            <w:gridSpan w:val="2"/>
            <w:tcBorders>
              <w:top w:val="nil"/>
              <w:left w:val="nil"/>
              <w:bottom w:val="single" w:sz="4" w:space="0" w:color="auto"/>
              <w:right w:val="nil"/>
            </w:tcBorders>
            <w:shd w:val="clear" w:color="auto" w:fill="auto"/>
            <w:noWrap/>
            <w:vAlign w:val="center"/>
            <w:hideMark/>
          </w:tcPr>
          <w:p w:rsidR="00C73D1B" w:rsidRPr="00C73D1B" w:rsidRDefault="00C73D1B" w:rsidP="00C73D1B">
            <w:pPr>
              <w:spacing w:after="0" w:line="240" w:lineRule="auto"/>
              <w:rPr>
                <w:rFonts w:ascii="Calibri" w:hAnsi="Calibri"/>
                <w:color w:val="000000"/>
                <w:sz w:val="22"/>
                <w:szCs w:val="22"/>
              </w:rPr>
            </w:pPr>
            <w:r w:rsidRPr="00C73D1B">
              <w:rPr>
                <w:rFonts w:ascii="Calibri" w:hAnsi="Calibri"/>
                <w:color w:val="000000"/>
                <w:sz w:val="22"/>
                <w:szCs w:val="22"/>
              </w:rPr>
              <w:t> </w:t>
            </w:r>
          </w:p>
        </w:tc>
      </w:tr>
      <w:tr w:rsidR="00C73D1B" w:rsidRPr="00C73D1B" w:rsidTr="0060219B">
        <w:trPr>
          <w:gridAfter w:val="1"/>
          <w:wAfter w:w="707" w:type="dxa"/>
          <w:trHeight w:val="375"/>
        </w:trPr>
        <w:tc>
          <w:tcPr>
            <w:tcW w:w="2720" w:type="dxa"/>
            <w:gridSpan w:val="3"/>
            <w:vMerge w:val="restart"/>
            <w:tcBorders>
              <w:top w:val="nil"/>
              <w:left w:val="nil"/>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POSKYTOVATEL</w:t>
            </w:r>
          </w:p>
        </w:tc>
        <w:tc>
          <w:tcPr>
            <w:tcW w:w="1720" w:type="dxa"/>
            <w:gridSpan w:val="3"/>
            <w:vMerge w:val="restart"/>
            <w:tcBorders>
              <w:top w:val="nil"/>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Povolání kulturního charakteru prováděné v organizaci s převažující kulturní činností</w:t>
            </w:r>
          </w:p>
        </w:tc>
        <w:tc>
          <w:tcPr>
            <w:tcW w:w="1720" w:type="dxa"/>
            <w:gridSpan w:val="2"/>
            <w:vMerge w:val="restart"/>
            <w:tcBorders>
              <w:top w:val="nil"/>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Povolání „ne-kulturního“ charakteru prováděné v organizaci s převažující kulturní činností</w:t>
            </w:r>
          </w:p>
        </w:tc>
        <w:tc>
          <w:tcPr>
            <w:tcW w:w="1720" w:type="dxa"/>
            <w:gridSpan w:val="3"/>
            <w:vMerge w:val="restart"/>
            <w:tcBorders>
              <w:top w:val="nil"/>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Povolání kulturního charakteru prováděné v organizaci s převažující jinou než kulturní činností</w:t>
            </w:r>
          </w:p>
        </w:tc>
        <w:tc>
          <w:tcPr>
            <w:tcW w:w="1241" w:type="dxa"/>
            <w:gridSpan w:val="2"/>
            <w:vMerge w:val="restart"/>
            <w:tcBorders>
              <w:top w:val="nil"/>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Dobrovolníci</w:t>
            </w:r>
          </w:p>
        </w:tc>
        <w:tc>
          <w:tcPr>
            <w:tcW w:w="1220" w:type="dxa"/>
            <w:gridSpan w:val="3"/>
            <w:vMerge w:val="restart"/>
            <w:tcBorders>
              <w:top w:val="nil"/>
              <w:left w:val="single" w:sz="4" w:space="0" w:color="auto"/>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Neznámý charakter povolání</w:t>
            </w:r>
          </w:p>
        </w:tc>
        <w:tc>
          <w:tcPr>
            <w:tcW w:w="3481" w:type="dxa"/>
            <w:gridSpan w:val="6"/>
            <w:tcBorders>
              <w:top w:val="single" w:sz="4" w:space="0" w:color="auto"/>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CELKEM</w:t>
            </w:r>
          </w:p>
        </w:tc>
      </w:tr>
      <w:tr w:rsidR="00C73D1B" w:rsidRPr="00C73D1B" w:rsidTr="0060219B">
        <w:trPr>
          <w:gridAfter w:val="1"/>
          <w:wAfter w:w="707" w:type="dxa"/>
          <w:trHeight w:val="1575"/>
        </w:trPr>
        <w:tc>
          <w:tcPr>
            <w:tcW w:w="2720" w:type="dxa"/>
            <w:gridSpan w:val="3"/>
            <w:vMerge/>
            <w:tcBorders>
              <w:top w:val="nil"/>
              <w:left w:val="nil"/>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720" w:type="dxa"/>
            <w:gridSpan w:val="3"/>
            <w:vMerge/>
            <w:tcBorders>
              <w:top w:val="nil"/>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720" w:type="dxa"/>
            <w:gridSpan w:val="2"/>
            <w:vMerge/>
            <w:tcBorders>
              <w:top w:val="nil"/>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720" w:type="dxa"/>
            <w:gridSpan w:val="3"/>
            <w:vMerge/>
            <w:tcBorders>
              <w:top w:val="nil"/>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241" w:type="dxa"/>
            <w:gridSpan w:val="2"/>
            <w:vMerge/>
            <w:tcBorders>
              <w:top w:val="nil"/>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220" w:type="dxa"/>
            <w:gridSpan w:val="3"/>
            <w:vMerge/>
            <w:tcBorders>
              <w:top w:val="nil"/>
              <w:left w:val="single" w:sz="4" w:space="0" w:color="auto"/>
              <w:bottom w:val="nil"/>
              <w:right w:val="single" w:sz="4" w:space="0" w:color="auto"/>
            </w:tcBorders>
            <w:vAlign w:val="center"/>
            <w:hideMark/>
          </w:tcPr>
          <w:p w:rsidR="00C73D1B" w:rsidRPr="00C73D1B" w:rsidRDefault="00C73D1B" w:rsidP="00C73D1B">
            <w:pPr>
              <w:spacing w:after="0" w:line="240" w:lineRule="auto"/>
              <w:rPr>
                <w:rFonts w:cs="Arial"/>
                <w:b/>
                <w:bCs/>
                <w:color w:val="000000"/>
                <w:sz w:val="18"/>
                <w:szCs w:val="18"/>
              </w:rPr>
            </w:pPr>
          </w:p>
        </w:tc>
        <w:tc>
          <w:tcPr>
            <w:tcW w:w="1281" w:type="dxa"/>
            <w:gridSpan w:val="2"/>
            <w:tcBorders>
              <w:top w:val="nil"/>
              <w:left w:val="nil"/>
              <w:bottom w:val="nil"/>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Počet zaměstnanců celkem</w:t>
            </w:r>
          </w:p>
        </w:tc>
        <w:tc>
          <w:tcPr>
            <w:tcW w:w="1140" w:type="dxa"/>
            <w:gridSpan w:val="2"/>
            <w:tcBorders>
              <w:top w:val="nil"/>
              <w:left w:val="nil"/>
              <w:bottom w:val="single" w:sz="4" w:space="0" w:color="auto"/>
              <w:right w:val="single" w:sz="4" w:space="0" w:color="auto"/>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 xml:space="preserve">Mzdy </w:t>
            </w:r>
            <w:r w:rsidRPr="00C73D1B">
              <w:rPr>
                <w:rFonts w:cs="Arial"/>
                <w:b/>
                <w:bCs/>
                <w:color w:val="000000"/>
                <w:sz w:val="18"/>
                <w:szCs w:val="18"/>
              </w:rPr>
              <w:br/>
              <w:t>v tis. Kč</w:t>
            </w:r>
          </w:p>
        </w:tc>
        <w:tc>
          <w:tcPr>
            <w:tcW w:w="1060" w:type="dxa"/>
            <w:gridSpan w:val="2"/>
            <w:tcBorders>
              <w:top w:val="nil"/>
              <w:left w:val="nil"/>
              <w:bottom w:val="single" w:sz="4" w:space="0" w:color="auto"/>
              <w:right w:val="nil"/>
            </w:tcBorders>
            <w:shd w:val="clear" w:color="000000" w:fill="F2DBDB"/>
            <w:vAlign w:val="center"/>
            <w:hideMark/>
          </w:tcPr>
          <w:p w:rsidR="00C73D1B" w:rsidRPr="00C73D1B" w:rsidRDefault="00C73D1B" w:rsidP="00C73D1B">
            <w:pPr>
              <w:spacing w:after="0" w:line="240" w:lineRule="auto"/>
              <w:jc w:val="center"/>
              <w:rPr>
                <w:rFonts w:cs="Arial"/>
                <w:b/>
                <w:bCs/>
                <w:color w:val="000000"/>
                <w:sz w:val="18"/>
                <w:szCs w:val="18"/>
              </w:rPr>
            </w:pPr>
            <w:r w:rsidRPr="00C73D1B">
              <w:rPr>
                <w:rFonts w:cs="Arial"/>
                <w:b/>
                <w:bCs/>
                <w:color w:val="000000"/>
                <w:sz w:val="18"/>
                <w:szCs w:val="18"/>
              </w:rPr>
              <w:t>Průměrná mzda v Kč</w:t>
            </w:r>
          </w:p>
        </w:tc>
      </w:tr>
      <w:tr w:rsidR="00C73D1B" w:rsidRPr="00C73D1B" w:rsidTr="0060219B">
        <w:trPr>
          <w:gridAfter w:val="1"/>
          <w:wAfter w:w="707" w:type="dxa"/>
          <w:trHeight w:val="465"/>
        </w:trPr>
        <w:tc>
          <w:tcPr>
            <w:tcW w:w="2720" w:type="dxa"/>
            <w:gridSpan w:val="3"/>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Historická památka</w:t>
            </w:r>
          </w:p>
        </w:tc>
        <w:tc>
          <w:tcPr>
            <w:tcW w:w="1720" w:type="dxa"/>
            <w:gridSpan w:val="3"/>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417</w:t>
            </w:r>
          </w:p>
        </w:tc>
        <w:tc>
          <w:tcPr>
            <w:tcW w:w="1720" w:type="dxa"/>
            <w:gridSpan w:val="2"/>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1 017</w:t>
            </w:r>
          </w:p>
        </w:tc>
        <w:tc>
          <w:tcPr>
            <w:tcW w:w="1220" w:type="dxa"/>
            <w:gridSpan w:val="3"/>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1 687</w:t>
            </w:r>
          </w:p>
        </w:tc>
        <w:tc>
          <w:tcPr>
            <w:tcW w:w="1281" w:type="dxa"/>
            <w:gridSpan w:val="2"/>
            <w:tcBorders>
              <w:top w:val="single" w:sz="4" w:space="0" w:color="auto"/>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2 104</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546 384</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21 641</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Muzeum a galerie</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2 977</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1 622</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3 390</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6 367</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1 639 642</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21 460</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Archiv</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2 318</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2 318</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823 338</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29 599</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Knihovna</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4 627</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839</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5 466</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1 343 950</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20 490</w:t>
            </w:r>
          </w:p>
        </w:tc>
      </w:tr>
      <w:tr w:rsidR="00C73D1B" w:rsidRPr="00C73D1B" w:rsidTr="0060219B">
        <w:trPr>
          <w:gridAfter w:val="1"/>
          <w:wAfter w:w="707" w:type="dxa"/>
          <w:trHeight w:val="450"/>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Divadlo</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3 534</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4 602</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3 703</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7 237</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1 839 866</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21 186</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Kulturní dům</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1 638</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1 730</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1 583</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3 221</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713 385</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18 457</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Nakladatelství/vydavatelství</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6 750</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8 699</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15 449</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5 122 810</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27 633</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Film a video</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1 444</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1 444</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498 007</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28 740</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Rozhlas</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948</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1 247</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2 195</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1 138 294</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43 215</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Televize</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3 719</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1 086</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4 805</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2 766 011</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47 971</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Organizace ochrany autorských práv a podpora kultury</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339</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339</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126 000</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30 973</w:t>
            </w:r>
          </w:p>
        </w:tc>
      </w:tr>
      <w:tr w:rsidR="00C73D1B" w:rsidRPr="00C73D1B" w:rsidTr="0060219B">
        <w:trPr>
          <w:gridAfter w:val="1"/>
          <w:wAfter w:w="707" w:type="dxa"/>
          <w:trHeight w:val="465"/>
        </w:trPr>
        <w:tc>
          <w:tcPr>
            <w:tcW w:w="2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Ostatní poskytovatelé</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4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b/>
                <w:bCs/>
                <w:color w:val="000000"/>
                <w:sz w:val="18"/>
                <w:szCs w:val="18"/>
              </w:rPr>
            </w:pPr>
            <w:r w:rsidRPr="00C73D1B">
              <w:rPr>
                <w:rFonts w:cs="Arial"/>
                <w:b/>
                <w:bCs/>
                <w:color w:val="000000"/>
                <w:sz w:val="18"/>
                <w:szCs w:val="18"/>
              </w:rPr>
              <w:t>.</w:t>
            </w:r>
          </w:p>
        </w:tc>
        <w:tc>
          <w:tcPr>
            <w:tcW w:w="1220" w:type="dxa"/>
            <w:gridSpan w:val="3"/>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38 385</w:t>
            </w:r>
          </w:p>
        </w:tc>
        <w:tc>
          <w:tcPr>
            <w:tcW w:w="1281"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38 385</w:t>
            </w:r>
          </w:p>
        </w:tc>
        <w:tc>
          <w:tcPr>
            <w:tcW w:w="1140" w:type="dxa"/>
            <w:gridSpan w:val="2"/>
            <w:tcBorders>
              <w:top w:val="nil"/>
              <w:left w:val="nil"/>
              <w:bottom w:val="nil"/>
              <w:right w:val="single" w:sz="4" w:space="0" w:color="auto"/>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11 277 050</w:t>
            </w:r>
          </w:p>
        </w:tc>
        <w:tc>
          <w:tcPr>
            <w:tcW w:w="1060" w:type="dxa"/>
            <w:gridSpan w:val="2"/>
            <w:tcBorders>
              <w:top w:val="nil"/>
              <w:left w:val="nil"/>
              <w:bottom w:val="nil"/>
              <w:right w:val="nil"/>
            </w:tcBorders>
            <w:shd w:val="clear" w:color="auto" w:fill="auto"/>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24 482</w:t>
            </w:r>
          </w:p>
        </w:tc>
      </w:tr>
      <w:tr w:rsidR="00C73D1B" w:rsidRPr="00C73D1B" w:rsidTr="0060219B">
        <w:trPr>
          <w:gridAfter w:val="1"/>
          <w:wAfter w:w="707" w:type="dxa"/>
          <w:trHeight w:val="405"/>
        </w:trPr>
        <w:tc>
          <w:tcPr>
            <w:tcW w:w="2720" w:type="dxa"/>
            <w:gridSpan w:val="3"/>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rPr>
                <w:rFonts w:cs="Arial"/>
                <w:color w:val="000000"/>
                <w:sz w:val="18"/>
                <w:szCs w:val="18"/>
              </w:rPr>
            </w:pPr>
            <w:r w:rsidRPr="00C73D1B">
              <w:rPr>
                <w:rFonts w:cs="Arial"/>
                <w:color w:val="000000"/>
                <w:sz w:val="18"/>
                <w:szCs w:val="18"/>
              </w:rPr>
              <w:t>CELKEM</w:t>
            </w:r>
          </w:p>
        </w:tc>
        <w:tc>
          <w:tcPr>
            <w:tcW w:w="1720" w:type="dxa"/>
            <w:gridSpan w:val="3"/>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24 610</w:t>
            </w:r>
          </w:p>
        </w:tc>
        <w:tc>
          <w:tcPr>
            <w:tcW w:w="172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720" w:type="dxa"/>
            <w:gridSpan w:val="3"/>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w:t>
            </w:r>
          </w:p>
        </w:tc>
        <w:tc>
          <w:tcPr>
            <w:tcW w:w="1241"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8 971</w:t>
            </w:r>
          </w:p>
        </w:tc>
        <w:tc>
          <w:tcPr>
            <w:tcW w:w="1220" w:type="dxa"/>
            <w:gridSpan w:val="3"/>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64 720</w:t>
            </w:r>
          </w:p>
        </w:tc>
        <w:tc>
          <w:tcPr>
            <w:tcW w:w="1281"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89 330</w:t>
            </w:r>
          </w:p>
        </w:tc>
        <w:tc>
          <w:tcPr>
            <w:tcW w:w="1140" w:type="dxa"/>
            <w:gridSpan w:val="2"/>
            <w:tcBorders>
              <w:top w:val="nil"/>
              <w:left w:val="nil"/>
              <w:bottom w:val="nil"/>
              <w:right w:val="single" w:sz="4" w:space="0" w:color="auto"/>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27 834 737</w:t>
            </w:r>
          </w:p>
        </w:tc>
        <w:tc>
          <w:tcPr>
            <w:tcW w:w="1060" w:type="dxa"/>
            <w:gridSpan w:val="2"/>
            <w:tcBorders>
              <w:top w:val="nil"/>
              <w:left w:val="nil"/>
              <w:bottom w:val="nil"/>
              <w:right w:val="nil"/>
            </w:tcBorders>
            <w:shd w:val="clear" w:color="000000" w:fill="FBF3F3"/>
            <w:vAlign w:val="center"/>
            <w:hideMark/>
          </w:tcPr>
          <w:p w:rsidR="00C73D1B" w:rsidRPr="00C73D1B" w:rsidRDefault="00C73D1B" w:rsidP="00C73D1B">
            <w:pPr>
              <w:spacing w:after="0" w:line="240" w:lineRule="auto"/>
              <w:jc w:val="right"/>
              <w:rPr>
                <w:rFonts w:cs="Arial"/>
                <w:color w:val="000000"/>
                <w:sz w:val="18"/>
                <w:szCs w:val="18"/>
              </w:rPr>
            </w:pPr>
            <w:r w:rsidRPr="00C73D1B">
              <w:rPr>
                <w:rFonts w:cs="Arial"/>
                <w:color w:val="000000"/>
                <w:sz w:val="18"/>
                <w:szCs w:val="18"/>
              </w:rPr>
              <w:t>25 966</w:t>
            </w:r>
          </w:p>
        </w:tc>
      </w:tr>
    </w:tbl>
    <w:p w:rsidR="004F69CE" w:rsidRDefault="004F69CE" w:rsidP="004F69CE"/>
    <w:p w:rsidR="004F69CE" w:rsidRDefault="004F69CE" w:rsidP="004F69CE"/>
    <w:tbl>
      <w:tblPr>
        <w:tblW w:w="14520" w:type="dxa"/>
        <w:tblInd w:w="55" w:type="dxa"/>
        <w:tblCellMar>
          <w:left w:w="70" w:type="dxa"/>
          <w:right w:w="70" w:type="dxa"/>
        </w:tblCellMar>
        <w:tblLook w:val="04A0"/>
      </w:tblPr>
      <w:tblGrid>
        <w:gridCol w:w="2280"/>
        <w:gridCol w:w="340"/>
        <w:gridCol w:w="1600"/>
        <w:gridCol w:w="140"/>
        <w:gridCol w:w="1420"/>
        <w:gridCol w:w="680"/>
        <w:gridCol w:w="780"/>
        <w:gridCol w:w="1220"/>
        <w:gridCol w:w="220"/>
        <w:gridCol w:w="1520"/>
        <w:gridCol w:w="180"/>
        <w:gridCol w:w="1360"/>
        <w:gridCol w:w="180"/>
        <w:gridCol w:w="1240"/>
        <w:gridCol w:w="500"/>
        <w:gridCol w:w="860"/>
      </w:tblGrid>
      <w:tr w:rsidR="009B0DDB" w:rsidRPr="009B0DDB" w:rsidTr="009B0DDB">
        <w:trPr>
          <w:trHeight w:val="315"/>
        </w:trPr>
        <w:tc>
          <w:tcPr>
            <w:tcW w:w="14520" w:type="dxa"/>
            <w:gridSpan w:val="16"/>
            <w:tcBorders>
              <w:top w:val="nil"/>
              <w:left w:val="nil"/>
              <w:bottom w:val="nil"/>
              <w:right w:val="nil"/>
            </w:tcBorders>
            <w:shd w:val="clear" w:color="000000" w:fill="FFFFFF"/>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7b Zaměstnanost v kultuře podle kulturních oblastí v roce 2015 (s využitím Výběrového šetření pracovních sil)</w:t>
            </w:r>
          </w:p>
        </w:tc>
      </w:tr>
      <w:tr w:rsidR="009B0DDB" w:rsidRPr="009B0DDB" w:rsidTr="009B0DDB">
        <w:trPr>
          <w:trHeight w:val="210"/>
        </w:trPr>
        <w:tc>
          <w:tcPr>
            <w:tcW w:w="2280" w:type="dxa"/>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080" w:type="dxa"/>
            <w:gridSpan w:val="3"/>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100" w:type="dxa"/>
            <w:gridSpan w:val="2"/>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000" w:type="dxa"/>
            <w:gridSpan w:val="2"/>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920" w:type="dxa"/>
            <w:gridSpan w:val="3"/>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60" w:type="dxa"/>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420" w:type="dxa"/>
            <w:gridSpan w:val="2"/>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60" w:type="dxa"/>
            <w:gridSpan w:val="2"/>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trHeight w:val="300"/>
        </w:trPr>
        <w:tc>
          <w:tcPr>
            <w:tcW w:w="2280" w:type="dxa"/>
            <w:vMerge w:val="restart"/>
            <w:tcBorders>
              <w:top w:val="single" w:sz="4" w:space="0" w:color="auto"/>
              <w:left w:val="nil"/>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OBLAST</w:t>
            </w:r>
          </w:p>
        </w:tc>
        <w:tc>
          <w:tcPr>
            <w:tcW w:w="2080" w:type="dxa"/>
            <w:gridSpan w:val="3"/>
            <w:vMerge w:val="restart"/>
            <w:tcBorders>
              <w:top w:val="single" w:sz="4" w:space="0" w:color="auto"/>
              <w:left w:val="single" w:sz="4" w:space="0" w:color="auto"/>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Povolání kulturního charakteru prováděné v organizaci s převažující kulturní činností</w:t>
            </w:r>
          </w:p>
        </w:tc>
        <w:tc>
          <w:tcPr>
            <w:tcW w:w="2100" w:type="dxa"/>
            <w:gridSpan w:val="2"/>
            <w:vMerge w:val="restart"/>
            <w:tcBorders>
              <w:top w:val="single" w:sz="4" w:space="0" w:color="auto"/>
              <w:left w:val="single" w:sz="4" w:space="0" w:color="auto"/>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Povolání „ne-kulturního“ charakteru prováděné v organizaci s převažující kulturní činností</w:t>
            </w:r>
          </w:p>
        </w:tc>
        <w:tc>
          <w:tcPr>
            <w:tcW w:w="2000" w:type="dxa"/>
            <w:gridSpan w:val="2"/>
            <w:vMerge w:val="restart"/>
            <w:tcBorders>
              <w:top w:val="single" w:sz="4" w:space="0" w:color="auto"/>
              <w:left w:val="single" w:sz="4" w:space="0" w:color="auto"/>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Povolání kulturního charakteru prováděné v organizaci s převažující jinou než kulturní činností</w:t>
            </w:r>
            <w:r w:rsidRPr="009B0DDB">
              <w:rPr>
                <w:rFonts w:cs="Arial"/>
                <w:b/>
                <w:bCs/>
                <w:color w:val="000000"/>
                <w:sz w:val="18"/>
                <w:szCs w:val="18"/>
                <w:vertAlign w:val="superscript"/>
              </w:rPr>
              <w:t>1)</w:t>
            </w:r>
          </w:p>
        </w:tc>
        <w:tc>
          <w:tcPr>
            <w:tcW w:w="1920" w:type="dxa"/>
            <w:gridSpan w:val="3"/>
            <w:vMerge w:val="restart"/>
            <w:tcBorders>
              <w:top w:val="single" w:sz="4" w:space="0" w:color="auto"/>
              <w:left w:val="single" w:sz="4" w:space="0" w:color="auto"/>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Počet pracujících osob celkem</w:t>
            </w:r>
            <w:r w:rsidRPr="009B0DDB">
              <w:rPr>
                <w:rFonts w:cs="Arial"/>
                <w:b/>
                <w:bCs/>
                <w:color w:val="000000"/>
                <w:sz w:val="18"/>
                <w:szCs w:val="18"/>
                <w:vertAlign w:val="superscript"/>
              </w:rPr>
              <w:t>2)</w:t>
            </w:r>
          </w:p>
        </w:tc>
        <w:tc>
          <w:tcPr>
            <w:tcW w:w="4140" w:type="dxa"/>
            <w:gridSpan w:val="5"/>
            <w:tcBorders>
              <w:top w:val="single" w:sz="4" w:space="0" w:color="auto"/>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 toho</w:t>
            </w:r>
          </w:p>
        </w:tc>
      </w:tr>
      <w:tr w:rsidR="009B0DDB" w:rsidRPr="009B0DDB" w:rsidTr="009B0DDB">
        <w:trPr>
          <w:trHeight w:val="1275"/>
        </w:trPr>
        <w:tc>
          <w:tcPr>
            <w:tcW w:w="2280" w:type="dxa"/>
            <w:vMerge/>
            <w:tcBorders>
              <w:top w:val="single" w:sz="4" w:space="0" w:color="auto"/>
              <w:left w:val="nil"/>
              <w:bottom w:val="nil"/>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2080" w:type="dxa"/>
            <w:gridSpan w:val="3"/>
            <w:vMerge/>
            <w:tcBorders>
              <w:top w:val="single" w:sz="4" w:space="0" w:color="auto"/>
              <w:left w:val="single" w:sz="4" w:space="0" w:color="auto"/>
              <w:bottom w:val="nil"/>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2100" w:type="dxa"/>
            <w:gridSpan w:val="2"/>
            <w:vMerge/>
            <w:tcBorders>
              <w:top w:val="single" w:sz="4" w:space="0" w:color="auto"/>
              <w:left w:val="single" w:sz="4" w:space="0" w:color="auto"/>
              <w:bottom w:val="nil"/>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2000" w:type="dxa"/>
            <w:gridSpan w:val="2"/>
            <w:vMerge/>
            <w:tcBorders>
              <w:top w:val="single" w:sz="4" w:space="0" w:color="auto"/>
              <w:left w:val="single" w:sz="4" w:space="0" w:color="auto"/>
              <w:bottom w:val="nil"/>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920" w:type="dxa"/>
            <w:gridSpan w:val="3"/>
            <w:vMerge/>
            <w:tcBorders>
              <w:top w:val="single" w:sz="4" w:space="0" w:color="auto"/>
              <w:left w:val="single" w:sz="4" w:space="0" w:color="auto"/>
              <w:bottom w:val="nil"/>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36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podnikatelé</w:t>
            </w:r>
          </w:p>
        </w:tc>
        <w:tc>
          <w:tcPr>
            <w:tcW w:w="1420" w:type="dxa"/>
            <w:gridSpan w:val="2"/>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zaměstnanci na základě pracovní smlouvy či dohody</w:t>
            </w:r>
          </w:p>
        </w:tc>
        <w:tc>
          <w:tcPr>
            <w:tcW w:w="1360" w:type="dxa"/>
            <w:gridSpan w:val="2"/>
            <w:tcBorders>
              <w:top w:val="nil"/>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 toho zaměstnanci na plný úvazek</w:t>
            </w:r>
          </w:p>
        </w:tc>
      </w:tr>
      <w:tr w:rsidR="009B0DDB" w:rsidRPr="009B0DDB" w:rsidTr="009B0DDB">
        <w:trPr>
          <w:trHeight w:val="555"/>
        </w:trPr>
        <w:tc>
          <w:tcPr>
            <w:tcW w:w="2280" w:type="dxa"/>
            <w:tcBorders>
              <w:top w:val="single" w:sz="4" w:space="0" w:color="auto"/>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dědictví</w:t>
            </w:r>
          </w:p>
        </w:tc>
        <w:tc>
          <w:tcPr>
            <w:tcW w:w="2080" w:type="dxa"/>
            <w:gridSpan w:val="3"/>
            <w:tcBorders>
              <w:top w:val="single" w:sz="4" w:space="0" w:color="auto"/>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8 546</w:t>
            </w:r>
          </w:p>
        </w:tc>
        <w:tc>
          <w:tcPr>
            <w:tcW w:w="2100" w:type="dxa"/>
            <w:gridSpan w:val="2"/>
            <w:tcBorders>
              <w:top w:val="single" w:sz="4" w:space="0" w:color="auto"/>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12 070</w:t>
            </w:r>
          </w:p>
        </w:tc>
        <w:tc>
          <w:tcPr>
            <w:tcW w:w="2000" w:type="dxa"/>
            <w:gridSpan w:val="2"/>
            <w:tcBorders>
              <w:top w:val="single" w:sz="4" w:space="0" w:color="auto"/>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single" w:sz="4" w:space="0" w:color="auto"/>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20 616</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3 197</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17 417</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13 363</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Interpretační umění</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11 776</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6 035</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17 811</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5 528</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12 066</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10 405</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Výtvarné umění</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20 197</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2 229</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22 426</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16 103</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6 047</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5 296</w:t>
            </w:r>
          </w:p>
        </w:tc>
      </w:tr>
      <w:tr w:rsidR="009B0DDB" w:rsidRPr="009B0DDB" w:rsidTr="009B0DDB">
        <w:trPr>
          <w:trHeight w:val="480"/>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Periodický a neperiodický tisk</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13 773</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15 182</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28 955</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11 067</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17 485</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15 133</w:t>
            </w:r>
          </w:p>
        </w:tc>
      </w:tr>
      <w:tr w:rsidR="009B0DDB" w:rsidRPr="009B0DDB" w:rsidTr="009B0DDB">
        <w:trPr>
          <w:trHeight w:val="480"/>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Audiovizuální a interaktivní média</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11 649</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6 080</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17 729</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4 823</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12 748</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10 715</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Architektura</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5 622</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16 520</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22 142</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14 138</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7 852</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7 299</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Reklama</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7 065</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23 659</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30 724</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12 442</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17 833</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14 419</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Umělecké vzdělávání</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10 402</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2 292</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12 694</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1 136</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11 558</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8 094</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 xml:space="preserve">Správa a podpora kult. </w:t>
            </w:r>
            <w:proofErr w:type="gramStart"/>
            <w:r w:rsidRPr="009B0DDB">
              <w:rPr>
                <w:rFonts w:cs="Arial"/>
                <w:color w:val="000000"/>
                <w:sz w:val="18"/>
                <w:szCs w:val="18"/>
              </w:rPr>
              <w:t>činnosti</w:t>
            </w:r>
            <w:proofErr w:type="gramEnd"/>
            <w:r w:rsidRPr="009B0DDB">
              <w:rPr>
                <w:rFonts w:cs="Arial"/>
                <w:color w:val="000000"/>
                <w:sz w:val="18"/>
                <w:szCs w:val="18"/>
              </w:rPr>
              <w:t xml:space="preserve"> </w:t>
            </w:r>
            <w:r w:rsidRPr="009B0DDB">
              <w:rPr>
                <w:rFonts w:cs="Arial"/>
                <w:color w:val="000000"/>
                <w:sz w:val="18"/>
                <w:szCs w:val="18"/>
                <w:vertAlign w:val="superscript"/>
              </w:rPr>
              <w:t>3)</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r>
      <w:tr w:rsidR="009B0DDB" w:rsidRPr="009B0DDB" w:rsidTr="009B0DDB">
        <w:trPr>
          <w:trHeight w:val="555"/>
        </w:trPr>
        <w:tc>
          <w:tcPr>
            <w:tcW w:w="228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Nezařazeno do žádné oblasti</w:t>
            </w:r>
          </w:p>
        </w:tc>
        <w:tc>
          <w:tcPr>
            <w:tcW w:w="208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21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200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37 562</w:t>
            </w:r>
          </w:p>
        </w:tc>
        <w:tc>
          <w:tcPr>
            <w:tcW w:w="1920" w:type="dxa"/>
            <w:gridSpan w:val="3"/>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37 562</w:t>
            </w:r>
          </w:p>
        </w:tc>
        <w:tc>
          <w:tcPr>
            <w:tcW w:w="1360" w:type="dxa"/>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7 445</w:t>
            </w:r>
          </w:p>
        </w:tc>
        <w:tc>
          <w:tcPr>
            <w:tcW w:w="1420" w:type="dxa"/>
            <w:gridSpan w:val="2"/>
            <w:tcBorders>
              <w:top w:val="nil"/>
              <w:left w:val="nil"/>
              <w:bottom w:val="nil"/>
              <w:right w:val="single" w:sz="4" w:space="0" w:color="auto"/>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29 840</w:t>
            </w:r>
          </w:p>
        </w:tc>
        <w:tc>
          <w:tcPr>
            <w:tcW w:w="1360" w:type="dxa"/>
            <w:gridSpan w:val="2"/>
            <w:tcBorders>
              <w:top w:val="nil"/>
              <w:left w:val="nil"/>
              <w:bottom w:val="nil"/>
              <w:right w:val="nil"/>
            </w:tcBorders>
            <w:shd w:val="clear" w:color="000000" w:fill="FFFFFF"/>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27 742</w:t>
            </w:r>
          </w:p>
        </w:tc>
      </w:tr>
      <w:tr w:rsidR="009B0DDB" w:rsidRPr="009B0DDB" w:rsidTr="009B0DDB">
        <w:trPr>
          <w:trHeight w:val="555"/>
        </w:trPr>
        <w:tc>
          <w:tcPr>
            <w:tcW w:w="22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2080" w:type="dxa"/>
            <w:gridSpan w:val="3"/>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89 030</w:t>
            </w:r>
          </w:p>
        </w:tc>
        <w:tc>
          <w:tcPr>
            <w:tcW w:w="210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84 067</w:t>
            </w:r>
          </w:p>
        </w:tc>
        <w:tc>
          <w:tcPr>
            <w:tcW w:w="200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37 562</w:t>
            </w:r>
          </w:p>
        </w:tc>
        <w:tc>
          <w:tcPr>
            <w:tcW w:w="1920" w:type="dxa"/>
            <w:gridSpan w:val="3"/>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210 659</w:t>
            </w:r>
          </w:p>
        </w:tc>
        <w:tc>
          <w:tcPr>
            <w:tcW w:w="136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75 879</w:t>
            </w:r>
          </w:p>
        </w:tc>
        <w:tc>
          <w:tcPr>
            <w:tcW w:w="142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132 846</w:t>
            </w:r>
          </w:p>
        </w:tc>
        <w:tc>
          <w:tcPr>
            <w:tcW w:w="1360" w:type="dxa"/>
            <w:gridSpan w:val="2"/>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112 466</w:t>
            </w:r>
          </w:p>
        </w:tc>
      </w:tr>
      <w:tr w:rsidR="009B0DDB" w:rsidRPr="009B0DDB" w:rsidTr="009B0DDB">
        <w:trPr>
          <w:trHeight w:val="645"/>
        </w:trPr>
        <w:tc>
          <w:tcPr>
            <w:tcW w:w="14520" w:type="dxa"/>
            <w:gridSpan w:val="16"/>
            <w:tcBorders>
              <w:top w:val="nil"/>
              <w:left w:val="nil"/>
              <w:bottom w:val="nil"/>
              <w:right w:val="nil"/>
            </w:tcBorders>
            <w:shd w:val="clear" w:color="000000" w:fill="FFFFFF"/>
            <w:vAlign w:val="bottom"/>
            <w:hideMark/>
          </w:tcPr>
          <w:p w:rsidR="009B0DDB" w:rsidRPr="009B0DDB" w:rsidRDefault="009B0DDB" w:rsidP="009B0DDB">
            <w:pPr>
              <w:spacing w:after="0" w:line="240" w:lineRule="auto"/>
              <w:rPr>
                <w:rFonts w:cs="Arial"/>
                <w:color w:val="000000"/>
                <w:sz w:val="14"/>
                <w:szCs w:val="14"/>
              </w:rPr>
            </w:pPr>
            <w:r w:rsidRPr="009B0DDB">
              <w:rPr>
                <w:rFonts w:cs="Arial"/>
                <w:color w:val="000000"/>
                <w:sz w:val="14"/>
                <w:szCs w:val="14"/>
              </w:rPr>
              <w:t>1) Část vybraných povolání se prolíná různými kulturními oblastmi a není proto možné s jistotou určit, do které oblasti spadají (např. herci mohou spadat jak do oblasti interpretačního umění v rámci svých divadelních aktivit, tak do oblasti audiovizuálních a interaktivních médií v rámci aktivit spojených s filmem či do oblasti reklamy). Proto nejsou kulturní povolání mimo kulturní organizace zařazena do konkrétní oblasti a jsou analyzována pouze jako celek.</w:t>
            </w:r>
          </w:p>
        </w:tc>
      </w:tr>
      <w:tr w:rsidR="009B0DDB" w:rsidRPr="009B0DDB" w:rsidTr="009B0DDB">
        <w:trPr>
          <w:trHeight w:val="390"/>
        </w:trPr>
        <w:tc>
          <w:tcPr>
            <w:tcW w:w="14520" w:type="dxa"/>
            <w:gridSpan w:val="16"/>
            <w:tcBorders>
              <w:top w:val="nil"/>
              <w:left w:val="nil"/>
              <w:bottom w:val="nil"/>
              <w:right w:val="nil"/>
            </w:tcBorders>
            <w:shd w:val="clear" w:color="000000" w:fill="FFFFFF"/>
            <w:vAlign w:val="bottom"/>
            <w:hideMark/>
          </w:tcPr>
          <w:p w:rsidR="009B0DDB" w:rsidRPr="009B0DDB" w:rsidRDefault="009B0DDB" w:rsidP="009B0DDB">
            <w:pPr>
              <w:spacing w:after="0" w:line="240" w:lineRule="auto"/>
              <w:rPr>
                <w:rFonts w:cs="Arial"/>
                <w:color w:val="000000"/>
                <w:sz w:val="14"/>
                <w:szCs w:val="14"/>
              </w:rPr>
            </w:pPr>
            <w:r w:rsidRPr="009B0DDB">
              <w:rPr>
                <w:rFonts w:cs="Arial"/>
                <w:color w:val="000000"/>
                <w:sz w:val="14"/>
                <w:szCs w:val="14"/>
              </w:rPr>
              <w:t>2) Počet pracujících osob zahrnuje zaměstnance (na základě pracovní smlouvy či dohody), podnikatele (se zaměstnanci či bez zaměstnanců) a pomáhající rodinné příslušníky. Pomáhající rodinní příslušníci nejsou zahrnuti v podrobnějším členění.</w:t>
            </w:r>
          </w:p>
        </w:tc>
      </w:tr>
      <w:tr w:rsidR="009B0DDB" w:rsidRPr="009B0DDB" w:rsidTr="009B0DDB">
        <w:trPr>
          <w:trHeight w:val="225"/>
        </w:trPr>
        <w:tc>
          <w:tcPr>
            <w:tcW w:w="13160" w:type="dxa"/>
            <w:gridSpan w:val="14"/>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cs="Arial"/>
                <w:color w:val="000000"/>
                <w:sz w:val="14"/>
                <w:szCs w:val="14"/>
              </w:rPr>
            </w:pPr>
            <w:r w:rsidRPr="009B0DDB">
              <w:rPr>
                <w:rFonts w:cs="Arial"/>
                <w:color w:val="000000"/>
                <w:sz w:val="14"/>
                <w:szCs w:val="14"/>
              </w:rPr>
              <w:t>3) Údaje o zaměstnanosti v rámci správních činností spojených s kulturou a činností organizací na podporu kultury nelze v čtyřmístném členění NACE z Výběrového šetření pracovních sil získat.</w:t>
            </w:r>
          </w:p>
        </w:tc>
        <w:tc>
          <w:tcPr>
            <w:tcW w:w="1360" w:type="dxa"/>
            <w:gridSpan w:val="2"/>
            <w:tcBorders>
              <w:top w:val="nil"/>
              <w:left w:val="nil"/>
              <w:bottom w:val="nil"/>
              <w:right w:val="nil"/>
            </w:tcBorders>
            <w:shd w:val="clear" w:color="000000" w:fill="FFFFFF"/>
            <w:noWrap/>
            <w:vAlign w:val="bottom"/>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gridAfter w:val="1"/>
          <w:wAfter w:w="860" w:type="dxa"/>
          <w:trHeight w:val="315"/>
        </w:trPr>
        <w:tc>
          <w:tcPr>
            <w:tcW w:w="8680" w:type="dxa"/>
            <w:gridSpan w:val="9"/>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8 Zdroje a rozsah investic kulturního sektoru v roce 2015</w:t>
            </w:r>
          </w:p>
        </w:tc>
        <w:tc>
          <w:tcPr>
            <w:tcW w:w="152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740" w:type="dxa"/>
            <w:gridSpan w:val="2"/>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r w:rsidR="009B0DDB" w:rsidRPr="009B0DDB" w:rsidTr="009B0DDB">
        <w:trPr>
          <w:gridAfter w:val="1"/>
          <w:wAfter w:w="860" w:type="dxa"/>
          <w:trHeight w:val="300"/>
        </w:trPr>
        <w:tc>
          <w:tcPr>
            <w:tcW w:w="2620" w:type="dxa"/>
            <w:gridSpan w:val="2"/>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60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560" w:type="dxa"/>
            <w:gridSpan w:val="2"/>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460" w:type="dxa"/>
            <w:gridSpan w:val="2"/>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440" w:type="dxa"/>
            <w:gridSpan w:val="2"/>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52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720" w:type="dxa"/>
            <w:gridSpan w:val="3"/>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740" w:type="dxa"/>
            <w:gridSpan w:val="2"/>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v tis. Kč</w:t>
            </w:r>
          </w:p>
        </w:tc>
      </w:tr>
      <w:tr w:rsidR="009B0DDB" w:rsidRPr="009B0DDB" w:rsidTr="009B0DDB">
        <w:trPr>
          <w:gridAfter w:val="1"/>
          <w:wAfter w:w="860" w:type="dxa"/>
          <w:trHeight w:val="300"/>
        </w:trPr>
        <w:tc>
          <w:tcPr>
            <w:tcW w:w="2620" w:type="dxa"/>
            <w:gridSpan w:val="2"/>
            <w:vMerge w:val="restart"/>
            <w:tcBorders>
              <w:top w:val="nil"/>
              <w:left w:val="nil"/>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POSKYTOVATEL</w:t>
            </w:r>
          </w:p>
        </w:tc>
        <w:tc>
          <w:tcPr>
            <w:tcW w:w="160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 xml:space="preserve">Investice v kulturním sektoru </w:t>
            </w:r>
          </w:p>
        </w:tc>
        <w:tc>
          <w:tcPr>
            <w:tcW w:w="5980" w:type="dxa"/>
            <w:gridSpan w:val="7"/>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Zdroje investic</w:t>
            </w:r>
          </w:p>
        </w:tc>
        <w:tc>
          <w:tcPr>
            <w:tcW w:w="3460" w:type="dxa"/>
            <w:gridSpan w:val="5"/>
            <w:tcBorders>
              <w:top w:val="single" w:sz="4" w:space="0" w:color="auto"/>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 celkových investic</w:t>
            </w:r>
          </w:p>
        </w:tc>
      </w:tr>
      <w:tr w:rsidR="009B0DDB" w:rsidRPr="009B0DDB" w:rsidTr="009B0DDB">
        <w:trPr>
          <w:gridAfter w:val="1"/>
          <w:wAfter w:w="860" w:type="dxa"/>
          <w:trHeight w:val="300"/>
        </w:trPr>
        <w:tc>
          <w:tcPr>
            <w:tcW w:w="2620" w:type="dxa"/>
            <w:gridSpan w:val="2"/>
            <w:vMerge/>
            <w:tcBorders>
              <w:top w:val="nil"/>
              <w:left w:val="nil"/>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56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státní</w:t>
            </w:r>
          </w:p>
        </w:tc>
        <w:tc>
          <w:tcPr>
            <w:tcW w:w="1460" w:type="dxa"/>
            <w:gridSpan w:val="2"/>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ze zahraničí</w:t>
            </w:r>
          </w:p>
        </w:tc>
        <w:tc>
          <w:tcPr>
            <w:tcW w:w="1440" w:type="dxa"/>
            <w:gridSpan w:val="2"/>
            <w:tcBorders>
              <w:top w:val="nil"/>
              <w:left w:val="nil"/>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 toho</w:t>
            </w:r>
          </w:p>
        </w:tc>
        <w:tc>
          <w:tcPr>
            <w:tcW w:w="152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vlastní a jiné</w:t>
            </w:r>
          </w:p>
        </w:tc>
        <w:tc>
          <w:tcPr>
            <w:tcW w:w="1720" w:type="dxa"/>
            <w:gridSpan w:val="3"/>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hmotný majetek</w:t>
            </w:r>
          </w:p>
        </w:tc>
        <w:tc>
          <w:tcPr>
            <w:tcW w:w="1740" w:type="dxa"/>
            <w:gridSpan w:val="2"/>
            <w:vMerge w:val="restart"/>
            <w:tcBorders>
              <w:top w:val="nil"/>
              <w:left w:val="nil"/>
              <w:bottom w:val="single" w:sz="4" w:space="0" w:color="000000"/>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nehmotný majetek</w:t>
            </w:r>
          </w:p>
        </w:tc>
      </w:tr>
      <w:tr w:rsidR="009B0DDB" w:rsidRPr="009B0DDB" w:rsidTr="009B0DDB">
        <w:trPr>
          <w:gridAfter w:val="1"/>
          <w:wAfter w:w="860" w:type="dxa"/>
          <w:trHeight w:val="300"/>
        </w:trPr>
        <w:tc>
          <w:tcPr>
            <w:tcW w:w="2620" w:type="dxa"/>
            <w:gridSpan w:val="2"/>
            <w:vMerge/>
            <w:tcBorders>
              <w:top w:val="nil"/>
              <w:left w:val="nil"/>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460" w:type="dxa"/>
            <w:gridSpan w:val="2"/>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440" w:type="dxa"/>
            <w:gridSpan w:val="2"/>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EU</w:t>
            </w:r>
          </w:p>
        </w:tc>
        <w:tc>
          <w:tcPr>
            <w:tcW w:w="152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720" w:type="dxa"/>
            <w:gridSpan w:val="3"/>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740" w:type="dxa"/>
            <w:gridSpan w:val="2"/>
            <w:vMerge/>
            <w:tcBorders>
              <w:top w:val="nil"/>
              <w:left w:val="nil"/>
              <w:bottom w:val="single" w:sz="4" w:space="0" w:color="000000"/>
              <w:right w:val="nil"/>
            </w:tcBorders>
            <w:vAlign w:val="center"/>
            <w:hideMark/>
          </w:tcPr>
          <w:p w:rsidR="009B0DDB" w:rsidRPr="009B0DDB" w:rsidRDefault="009B0DDB" w:rsidP="009B0DDB">
            <w:pPr>
              <w:spacing w:after="0" w:line="240" w:lineRule="auto"/>
              <w:rPr>
                <w:rFonts w:cs="Arial"/>
                <w:b/>
                <w:bCs/>
                <w:color w:val="000000"/>
                <w:sz w:val="18"/>
                <w:szCs w:val="18"/>
              </w:rPr>
            </w:pP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Historická památka</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735 666</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169 278</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306 288</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306 237</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260 100</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710 292</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25 374</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Muzeum a galerie</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1 208 945</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937 985</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95 393</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95 393</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175 567</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1 190 922</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18 023</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Archiv</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468 350</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229 251</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239 099</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465 245</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3 105</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Knihovna</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246 115</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208 318</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5 461</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3 028</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32 336</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195 456</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50 659</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Divadlo</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264 978</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130 298</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446</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446</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134 234</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263 955</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1 023</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Koncertní sál (hudební tělesa, folklórní soubory a festivaly)</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19 083</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53 236</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19 008</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75</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dům</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142 724</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132 477</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216 496</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216 496</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131 198</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11 526</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Výstavní sál</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14 682</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11 400</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4 755</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4 755</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13 039</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1 643</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Rozhlas</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108 262</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80</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108 182</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96 548</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11 714</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Televize</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2 583 649</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573</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2 583 076</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1 117 186</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1 466 463</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Ostatní poskytovatelé</w:t>
            </w:r>
          </w:p>
        </w:tc>
        <w:tc>
          <w:tcPr>
            <w:tcW w:w="16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7 785 801</w:t>
            </w:r>
          </w:p>
        </w:tc>
        <w:tc>
          <w:tcPr>
            <w:tcW w:w="15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4 203 507</w:t>
            </w:r>
          </w:p>
        </w:tc>
        <w:tc>
          <w:tcPr>
            <w:tcW w:w="146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70 160</w:t>
            </w:r>
          </w:p>
        </w:tc>
        <w:tc>
          <w:tcPr>
            <w:tcW w:w="1440" w:type="dxa"/>
            <w:gridSpan w:val="2"/>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70 160</w:t>
            </w:r>
          </w:p>
        </w:tc>
        <w:tc>
          <w:tcPr>
            <w:tcW w:w="15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3 270 259</w:t>
            </w:r>
          </w:p>
        </w:tc>
        <w:tc>
          <w:tcPr>
            <w:tcW w:w="1720" w:type="dxa"/>
            <w:gridSpan w:val="3"/>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5 491 300</w:t>
            </w:r>
          </w:p>
        </w:tc>
        <w:tc>
          <w:tcPr>
            <w:tcW w:w="1740" w:type="dxa"/>
            <w:gridSpan w:val="2"/>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2 294 501</w:t>
            </w:r>
          </w:p>
        </w:tc>
      </w:tr>
      <w:tr w:rsidR="009B0DDB" w:rsidRPr="009B0DDB" w:rsidTr="009B0DDB">
        <w:trPr>
          <w:gridAfter w:val="1"/>
          <w:wAfter w:w="860" w:type="dxa"/>
          <w:trHeight w:val="645"/>
        </w:trPr>
        <w:tc>
          <w:tcPr>
            <w:tcW w:w="262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160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13 578 255</w:t>
            </w:r>
          </w:p>
        </w:tc>
        <w:tc>
          <w:tcPr>
            <w:tcW w:w="156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6 076 403</w:t>
            </w:r>
          </w:p>
        </w:tc>
        <w:tc>
          <w:tcPr>
            <w:tcW w:w="146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698 999</w:t>
            </w:r>
          </w:p>
        </w:tc>
        <w:tc>
          <w:tcPr>
            <w:tcW w:w="1440" w:type="dxa"/>
            <w:gridSpan w:val="2"/>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696 515</w:t>
            </w:r>
          </w:p>
        </w:tc>
        <w:tc>
          <w:tcPr>
            <w:tcW w:w="152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6 802 853</w:t>
            </w:r>
          </w:p>
        </w:tc>
        <w:tc>
          <w:tcPr>
            <w:tcW w:w="1720" w:type="dxa"/>
            <w:gridSpan w:val="3"/>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9 694 149</w:t>
            </w:r>
          </w:p>
        </w:tc>
        <w:tc>
          <w:tcPr>
            <w:tcW w:w="1740" w:type="dxa"/>
            <w:gridSpan w:val="2"/>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3 884 106</w:t>
            </w:r>
          </w:p>
        </w:tc>
      </w:tr>
    </w:tbl>
    <w:p w:rsidR="00C73D1B" w:rsidRDefault="00C73D1B" w:rsidP="004F69CE"/>
    <w:tbl>
      <w:tblPr>
        <w:tblW w:w="14020" w:type="dxa"/>
        <w:tblInd w:w="55" w:type="dxa"/>
        <w:tblCellMar>
          <w:left w:w="70" w:type="dxa"/>
          <w:right w:w="70" w:type="dxa"/>
        </w:tblCellMar>
        <w:tblLook w:val="04A0"/>
      </w:tblPr>
      <w:tblGrid>
        <w:gridCol w:w="2860"/>
        <w:gridCol w:w="1240"/>
        <w:gridCol w:w="1240"/>
        <w:gridCol w:w="1240"/>
        <w:gridCol w:w="1240"/>
        <w:gridCol w:w="1240"/>
        <w:gridCol w:w="1240"/>
        <w:gridCol w:w="1240"/>
        <w:gridCol w:w="1240"/>
        <w:gridCol w:w="1240"/>
      </w:tblGrid>
      <w:tr w:rsidR="009B0DDB" w:rsidRPr="009B0DDB" w:rsidTr="009B0DDB">
        <w:trPr>
          <w:trHeight w:val="315"/>
        </w:trPr>
        <w:tc>
          <w:tcPr>
            <w:tcW w:w="10300" w:type="dxa"/>
            <w:gridSpan w:val="7"/>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9 Zahraniční obchod se zbožím a službami kulturního sektoru v roce 2015</w:t>
            </w:r>
          </w:p>
        </w:tc>
        <w:tc>
          <w:tcPr>
            <w:tcW w:w="12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2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2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r w:rsidR="009B0DDB" w:rsidRPr="009B0DDB" w:rsidTr="009B0DDB">
        <w:trPr>
          <w:trHeight w:val="330"/>
        </w:trPr>
        <w:tc>
          <w:tcPr>
            <w:tcW w:w="286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C0504D"/>
                <w:sz w:val="24"/>
              </w:rPr>
            </w:pP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v tis. Kč</w:t>
            </w:r>
          </w:p>
        </w:tc>
      </w:tr>
      <w:tr w:rsidR="009B0DDB" w:rsidRPr="009B0DDB" w:rsidTr="009B0DDB">
        <w:trPr>
          <w:trHeight w:val="510"/>
        </w:trPr>
        <w:tc>
          <w:tcPr>
            <w:tcW w:w="2860" w:type="dxa"/>
            <w:vMerge w:val="restart"/>
            <w:tcBorders>
              <w:top w:val="single" w:sz="4" w:space="0" w:color="auto"/>
              <w:left w:val="nil"/>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OBLAST</w:t>
            </w:r>
          </w:p>
        </w:tc>
        <w:tc>
          <w:tcPr>
            <w:tcW w:w="2480" w:type="dxa"/>
            <w:gridSpan w:val="2"/>
            <w:tcBorders>
              <w:top w:val="single" w:sz="4" w:space="0" w:color="auto"/>
              <w:left w:val="nil"/>
              <w:bottom w:val="nil"/>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EU</w:t>
            </w:r>
          </w:p>
        </w:tc>
        <w:tc>
          <w:tcPr>
            <w:tcW w:w="2480" w:type="dxa"/>
            <w:gridSpan w:val="2"/>
            <w:tcBorders>
              <w:top w:val="single" w:sz="4" w:space="0" w:color="auto"/>
              <w:left w:val="nil"/>
              <w:bottom w:val="nil"/>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USA</w:t>
            </w:r>
          </w:p>
        </w:tc>
        <w:tc>
          <w:tcPr>
            <w:tcW w:w="2480" w:type="dxa"/>
            <w:gridSpan w:val="2"/>
            <w:tcBorders>
              <w:top w:val="single" w:sz="4" w:space="0" w:color="auto"/>
              <w:left w:val="nil"/>
              <w:bottom w:val="nil"/>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Ostatní svět</w:t>
            </w:r>
          </w:p>
        </w:tc>
        <w:tc>
          <w:tcPr>
            <w:tcW w:w="3720" w:type="dxa"/>
            <w:gridSpan w:val="3"/>
            <w:tcBorders>
              <w:top w:val="nil"/>
              <w:left w:val="nil"/>
              <w:bottom w:val="nil"/>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CELKEM</w:t>
            </w:r>
          </w:p>
        </w:tc>
      </w:tr>
      <w:tr w:rsidR="009B0DDB" w:rsidRPr="009B0DDB" w:rsidTr="009B0DDB">
        <w:trPr>
          <w:trHeight w:val="510"/>
        </w:trPr>
        <w:tc>
          <w:tcPr>
            <w:tcW w:w="2860" w:type="dxa"/>
            <w:vMerge/>
            <w:tcBorders>
              <w:top w:val="single" w:sz="4" w:space="0" w:color="auto"/>
              <w:left w:val="nil"/>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Vývoz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Dovoz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Vývoz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Dovoz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Vývoz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Dovoz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Vývoz</w:t>
            </w:r>
          </w:p>
        </w:tc>
        <w:tc>
          <w:tcPr>
            <w:tcW w:w="1240" w:type="dxa"/>
            <w:tcBorders>
              <w:top w:val="single" w:sz="4" w:space="0" w:color="auto"/>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Dovoz</w:t>
            </w:r>
          </w:p>
        </w:tc>
        <w:tc>
          <w:tcPr>
            <w:tcW w:w="1240" w:type="dxa"/>
            <w:tcBorders>
              <w:top w:val="single" w:sz="4" w:space="0" w:color="auto"/>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Saldo</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dědictví</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361 203</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435 728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14 491</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164 257</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11 254</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41 574</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386 948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641 559</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-254 611</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Interpretační umění</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649 921</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475 249</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52 472</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236 878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418 575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484 394</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1 120 968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1 196 521</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-75 553</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Výtvarné umění</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1 532 137</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2 312 331</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197 212</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52 183</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576 337</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1 050 503</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2 305 686</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3 415 017</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-1 109 331</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Periodický a neperiodický tisk</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8 168 016</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6 431 449</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331 875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205 796</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754 569</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3 335 227</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9 254 460</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9 972 472</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-718 012</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Audiovizuální a interaktivní média</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6 840 465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4 110 650</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1 134 095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1 279 371</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1 108 455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1 561 712</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9 083 015</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6 951 733</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2 131 282</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Architektura</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978 708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124 848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2 104</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45 322</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10 421</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1 024 328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137 373</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886 955</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Reklama</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9 020 993</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6 505 794</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255 048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559 557</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1 206 712</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2 218 188</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10 482 753</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9 283 539</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1 199 214</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Umělecké vzdělávání</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r>
      <w:tr w:rsidR="009B0DDB" w:rsidRPr="009B0DDB" w:rsidTr="009B0DDB">
        <w:trPr>
          <w:trHeight w:val="720"/>
        </w:trPr>
        <w:tc>
          <w:tcPr>
            <w:tcW w:w="2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Správa a podpora kulturní činnosti</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c>
          <w:tcPr>
            <w:tcW w:w="12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b/>
                <w:bCs/>
                <w:color w:val="000000"/>
                <w:sz w:val="18"/>
                <w:szCs w:val="18"/>
              </w:rPr>
            </w:pPr>
            <w:r w:rsidRPr="009B0DDB">
              <w:rPr>
                <w:rFonts w:cs="Arial"/>
                <w:b/>
                <w:bCs/>
                <w:color w:val="000000"/>
                <w:sz w:val="18"/>
                <w:szCs w:val="18"/>
              </w:rPr>
              <w:t>.</w:t>
            </w:r>
          </w:p>
        </w:tc>
      </w:tr>
      <w:tr w:rsidR="009B0DDB" w:rsidRPr="009B0DDB" w:rsidTr="009B0DDB">
        <w:trPr>
          <w:trHeight w:val="720"/>
        </w:trPr>
        <w:tc>
          <w:tcPr>
            <w:tcW w:w="286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27 551 443</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20 396 049</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1 985 491</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2 500 146</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4 121 224</w:t>
            </w:r>
          </w:p>
        </w:tc>
        <w:tc>
          <w:tcPr>
            <w:tcW w:w="1240" w:type="dxa"/>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8 702 019</w:t>
            </w:r>
          </w:p>
        </w:tc>
        <w:tc>
          <w:tcPr>
            <w:tcW w:w="1240" w:type="dxa"/>
            <w:tcBorders>
              <w:top w:val="nil"/>
              <w:left w:val="single" w:sz="4" w:space="0" w:color="auto"/>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33 658 158</w:t>
            </w:r>
          </w:p>
        </w:tc>
        <w:tc>
          <w:tcPr>
            <w:tcW w:w="1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31 598 214</w:t>
            </w:r>
          </w:p>
        </w:tc>
        <w:tc>
          <w:tcPr>
            <w:tcW w:w="1240" w:type="dxa"/>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2 059 944</w:t>
            </w:r>
          </w:p>
        </w:tc>
      </w:tr>
    </w:tbl>
    <w:p w:rsidR="00D83178" w:rsidRDefault="00D83178" w:rsidP="004F69CE"/>
    <w:tbl>
      <w:tblPr>
        <w:tblW w:w="14760" w:type="dxa"/>
        <w:tblInd w:w="55" w:type="dxa"/>
        <w:tblCellMar>
          <w:left w:w="70" w:type="dxa"/>
          <w:right w:w="70" w:type="dxa"/>
        </w:tblCellMar>
        <w:tblLook w:val="04A0"/>
      </w:tblPr>
      <w:tblGrid>
        <w:gridCol w:w="400"/>
        <w:gridCol w:w="1860"/>
        <w:gridCol w:w="1060"/>
        <w:gridCol w:w="1000"/>
        <w:gridCol w:w="1020"/>
        <w:gridCol w:w="860"/>
        <w:gridCol w:w="980"/>
        <w:gridCol w:w="940"/>
        <w:gridCol w:w="960"/>
        <w:gridCol w:w="960"/>
        <w:gridCol w:w="1120"/>
        <w:gridCol w:w="1280"/>
        <w:gridCol w:w="1040"/>
        <w:gridCol w:w="1280"/>
      </w:tblGrid>
      <w:tr w:rsidR="009B0DDB" w:rsidRPr="009B0DDB" w:rsidTr="009B0DDB">
        <w:trPr>
          <w:trHeight w:val="315"/>
        </w:trPr>
        <w:tc>
          <w:tcPr>
            <w:tcW w:w="10040" w:type="dxa"/>
            <w:gridSpan w:val="10"/>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10 Analytická tabulka základních ukazatelů sektoru kultury za rok 2015</w:t>
            </w:r>
          </w:p>
        </w:tc>
        <w:tc>
          <w:tcPr>
            <w:tcW w:w="112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0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2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r w:rsidR="009B0DDB" w:rsidRPr="009B0DDB" w:rsidTr="009B0DDB">
        <w:trPr>
          <w:trHeight w:val="225"/>
        </w:trPr>
        <w:tc>
          <w:tcPr>
            <w:tcW w:w="40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C0504D"/>
                <w:sz w:val="24"/>
              </w:rPr>
            </w:pPr>
          </w:p>
        </w:tc>
        <w:tc>
          <w:tcPr>
            <w:tcW w:w="186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06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00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02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86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9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9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0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2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trHeight w:val="480"/>
        </w:trPr>
        <w:tc>
          <w:tcPr>
            <w:tcW w:w="2260" w:type="dxa"/>
            <w:gridSpan w:val="2"/>
            <w:vMerge w:val="restart"/>
            <w:tcBorders>
              <w:top w:val="single" w:sz="4" w:space="0" w:color="auto"/>
              <w:left w:val="nil"/>
              <w:bottom w:val="single" w:sz="4" w:space="0" w:color="000000"/>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OBLAST</w:t>
            </w:r>
          </w:p>
        </w:tc>
        <w:tc>
          <w:tcPr>
            <w:tcW w:w="2060" w:type="dxa"/>
            <w:gridSpan w:val="2"/>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Veřejné zdroje</w:t>
            </w:r>
          </w:p>
        </w:tc>
        <w:tc>
          <w:tcPr>
            <w:tcW w:w="1880" w:type="dxa"/>
            <w:gridSpan w:val="2"/>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Úroveň hospodaření</w:t>
            </w:r>
          </w:p>
        </w:tc>
        <w:tc>
          <w:tcPr>
            <w:tcW w:w="1920" w:type="dxa"/>
            <w:gridSpan w:val="2"/>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Hrubá přidaná hodnota</w:t>
            </w:r>
          </w:p>
        </w:tc>
        <w:tc>
          <w:tcPr>
            <w:tcW w:w="1920" w:type="dxa"/>
            <w:gridSpan w:val="2"/>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Zaměstnanci</w:t>
            </w:r>
          </w:p>
        </w:tc>
        <w:tc>
          <w:tcPr>
            <w:tcW w:w="2400" w:type="dxa"/>
            <w:gridSpan w:val="2"/>
            <w:tcBorders>
              <w:top w:val="single" w:sz="4" w:space="0" w:color="auto"/>
              <w:left w:val="nil"/>
              <w:bottom w:val="single" w:sz="4" w:space="0" w:color="auto"/>
              <w:right w:val="single" w:sz="4" w:space="0" w:color="000000"/>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Mzdy</w:t>
            </w:r>
          </w:p>
        </w:tc>
        <w:tc>
          <w:tcPr>
            <w:tcW w:w="2320" w:type="dxa"/>
            <w:gridSpan w:val="2"/>
            <w:tcBorders>
              <w:top w:val="single" w:sz="4" w:space="0" w:color="auto"/>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Investice</w:t>
            </w:r>
          </w:p>
        </w:tc>
      </w:tr>
      <w:tr w:rsidR="009B0DDB" w:rsidRPr="009B0DDB" w:rsidTr="009B0DDB">
        <w:trPr>
          <w:trHeight w:val="300"/>
        </w:trPr>
        <w:tc>
          <w:tcPr>
            <w:tcW w:w="2260" w:type="dxa"/>
            <w:gridSpan w:val="2"/>
            <w:vMerge/>
            <w:tcBorders>
              <w:top w:val="single" w:sz="4" w:space="0" w:color="auto"/>
              <w:left w:val="nil"/>
              <w:bottom w:val="single" w:sz="4" w:space="0" w:color="000000"/>
              <w:right w:val="single" w:sz="4" w:space="0" w:color="000000"/>
            </w:tcBorders>
            <w:vAlign w:val="center"/>
            <w:hideMark/>
          </w:tcPr>
          <w:p w:rsidR="009B0DDB" w:rsidRPr="009B0DDB" w:rsidRDefault="009B0DDB" w:rsidP="009B0DDB">
            <w:pPr>
              <w:spacing w:after="0" w:line="240" w:lineRule="auto"/>
              <w:rPr>
                <w:rFonts w:cs="Arial"/>
                <w:b/>
                <w:bCs/>
                <w:color w:val="000000"/>
                <w:sz w:val="18"/>
                <w:szCs w:val="18"/>
              </w:rPr>
            </w:pPr>
          </w:p>
        </w:tc>
        <w:tc>
          <w:tcPr>
            <w:tcW w:w="10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 tis. Kč</w:t>
            </w:r>
          </w:p>
        </w:tc>
        <w:tc>
          <w:tcPr>
            <w:tcW w:w="100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podíl na sektoru (%)</w:t>
            </w:r>
          </w:p>
        </w:tc>
        <w:tc>
          <w:tcPr>
            <w:tcW w:w="102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 xml:space="preserve">stupeň </w:t>
            </w:r>
            <w:proofErr w:type="spellStart"/>
            <w:r w:rsidRPr="009B0DDB">
              <w:rPr>
                <w:rFonts w:cs="Arial"/>
                <w:b/>
                <w:bCs/>
                <w:color w:val="000000"/>
                <w:sz w:val="18"/>
                <w:szCs w:val="18"/>
              </w:rPr>
              <w:t>soběstač</w:t>
            </w:r>
            <w:proofErr w:type="spellEnd"/>
            <w:r w:rsidRPr="009B0DDB">
              <w:rPr>
                <w:rFonts w:cs="Arial"/>
                <w:b/>
                <w:bCs/>
                <w:color w:val="000000"/>
                <w:sz w:val="18"/>
                <w:szCs w:val="18"/>
              </w:rPr>
              <w:t>-</w:t>
            </w:r>
            <w:proofErr w:type="spellStart"/>
            <w:r w:rsidRPr="009B0DDB">
              <w:rPr>
                <w:rFonts w:cs="Arial"/>
                <w:b/>
                <w:bCs/>
                <w:color w:val="000000"/>
                <w:sz w:val="18"/>
                <w:szCs w:val="18"/>
              </w:rPr>
              <w:t>nosti</w:t>
            </w:r>
            <w:proofErr w:type="spellEnd"/>
            <w:r w:rsidRPr="009B0DDB">
              <w:rPr>
                <w:rFonts w:cs="Arial"/>
                <w:b/>
                <w:bCs/>
                <w:color w:val="000000"/>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zisková marže (%)</w:t>
            </w:r>
          </w:p>
        </w:tc>
        <w:tc>
          <w:tcPr>
            <w:tcW w:w="98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 mil. Kč</w:t>
            </w:r>
          </w:p>
        </w:tc>
        <w:tc>
          <w:tcPr>
            <w:tcW w:w="94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podíl na sektoru (%)</w:t>
            </w:r>
          </w:p>
        </w:tc>
        <w:tc>
          <w:tcPr>
            <w:tcW w:w="9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počet</w:t>
            </w:r>
          </w:p>
        </w:tc>
        <w:tc>
          <w:tcPr>
            <w:tcW w:w="96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podíl na sektoru (%)</w:t>
            </w:r>
          </w:p>
        </w:tc>
        <w:tc>
          <w:tcPr>
            <w:tcW w:w="112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průměrná měsíční mzda v Kč</w:t>
            </w:r>
          </w:p>
        </w:tc>
        <w:tc>
          <w:tcPr>
            <w:tcW w:w="1280" w:type="dxa"/>
            <w:tcBorders>
              <w:top w:val="nil"/>
              <w:left w:val="nil"/>
              <w:bottom w:val="nil"/>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Index k </w:t>
            </w:r>
          </w:p>
        </w:tc>
        <w:tc>
          <w:tcPr>
            <w:tcW w:w="104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 tis. Kč</w:t>
            </w:r>
          </w:p>
        </w:tc>
        <w:tc>
          <w:tcPr>
            <w:tcW w:w="1280" w:type="dxa"/>
            <w:vMerge w:val="restart"/>
            <w:tcBorders>
              <w:top w:val="nil"/>
              <w:left w:val="nil"/>
              <w:bottom w:val="single" w:sz="4" w:space="0" w:color="000000"/>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Podíl krytý dotacemi a granty (%)</w:t>
            </w:r>
          </w:p>
        </w:tc>
      </w:tr>
      <w:tr w:rsidR="009B0DDB" w:rsidRPr="009B0DDB" w:rsidTr="009B0DDB">
        <w:trPr>
          <w:trHeight w:val="480"/>
        </w:trPr>
        <w:tc>
          <w:tcPr>
            <w:tcW w:w="2260" w:type="dxa"/>
            <w:gridSpan w:val="2"/>
            <w:vMerge/>
            <w:tcBorders>
              <w:top w:val="single" w:sz="4" w:space="0" w:color="auto"/>
              <w:left w:val="nil"/>
              <w:bottom w:val="single" w:sz="4" w:space="0" w:color="000000"/>
              <w:right w:val="single" w:sz="4" w:space="0" w:color="000000"/>
            </w:tcBorders>
            <w:vAlign w:val="center"/>
            <w:hideMark/>
          </w:tcPr>
          <w:p w:rsidR="009B0DDB" w:rsidRPr="009B0DDB" w:rsidRDefault="009B0DDB" w:rsidP="009B0DDB">
            <w:pPr>
              <w:spacing w:after="0" w:line="240" w:lineRule="auto"/>
              <w:rPr>
                <w:rFonts w:cs="Arial"/>
                <w:b/>
                <w:bCs/>
                <w:color w:val="000000"/>
                <w:sz w:val="18"/>
                <w:szCs w:val="18"/>
              </w:rPr>
            </w:pPr>
          </w:p>
        </w:tc>
        <w:tc>
          <w:tcPr>
            <w:tcW w:w="106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02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12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2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průměrné mzdě sektoru</w:t>
            </w:r>
          </w:p>
        </w:tc>
        <w:tc>
          <w:tcPr>
            <w:tcW w:w="104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1280" w:type="dxa"/>
            <w:vMerge/>
            <w:tcBorders>
              <w:top w:val="nil"/>
              <w:left w:val="nil"/>
              <w:bottom w:val="single" w:sz="4" w:space="0" w:color="000000"/>
              <w:right w:val="nil"/>
            </w:tcBorders>
            <w:vAlign w:val="center"/>
            <w:hideMark/>
          </w:tcPr>
          <w:p w:rsidR="009B0DDB" w:rsidRPr="009B0DDB" w:rsidRDefault="009B0DDB" w:rsidP="009B0DDB">
            <w:pPr>
              <w:spacing w:after="0" w:line="240" w:lineRule="auto"/>
              <w:rPr>
                <w:rFonts w:cs="Arial"/>
                <w:b/>
                <w:bCs/>
                <w:color w:val="000000"/>
                <w:sz w:val="18"/>
                <w:szCs w:val="18"/>
              </w:rPr>
            </w:pP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dědictví</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12 484 554</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36,4</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50,3</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8 841</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18 951</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21,2</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21 363</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82,3</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2 761 596</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74,9</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Interpretační umění</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4 425 059</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12,9</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36,6</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7 327</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8,4</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14 787</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16,6</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20 185</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77,7</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443 953</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Výtvarné umění</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74 902</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0,2</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107,5</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16,6</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3 553</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4,1</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3 873</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4,3</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15 702</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60,5</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469 587</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3,3</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Periodický a neperiodický tisk</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51 734</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0,1</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96,5</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13,5</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14 805</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20 339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22,8</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25 810</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99,4</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965 974</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Audiovizuální a interaktivní média</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1 421 919</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4,2</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80,8</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7,7</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21 557</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24,7</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9 025</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43 826</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168,8</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5 070 467</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Architektura</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68 999</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0,2</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110,1</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10,4</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7 436</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8,5</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6 734</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7,5</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27 158</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104,6</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735 215</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Reklama</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87 800</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0,3</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101,2</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5,3</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15 288</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17,5</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12 237</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13,7</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30 366</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116,9</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3 037 844</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Umělecké vzdělávání</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7 622 587</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22,2</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79,4</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19,9</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6 076</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599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0,7</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26 042</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100,3</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23 622</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w:t>
            </w:r>
          </w:p>
        </w:tc>
      </w:tr>
      <w:tr w:rsidR="009B0DDB" w:rsidRPr="009B0DDB" w:rsidTr="009B0DDB">
        <w:trPr>
          <w:trHeight w:val="510"/>
        </w:trPr>
        <w:tc>
          <w:tcPr>
            <w:tcW w:w="2260" w:type="dxa"/>
            <w:gridSpan w:val="2"/>
            <w:tcBorders>
              <w:top w:val="nil"/>
              <w:left w:val="nil"/>
              <w:bottom w:val="nil"/>
              <w:right w:val="single" w:sz="4" w:space="0" w:color="000000"/>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Správa a podpora kulturní činnosti a neznámá oblast</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8 044 034</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23,5</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40,1</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0,9</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2 531</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2 785</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3,1</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25 708</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99</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69 997</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r>
      <w:tr w:rsidR="009B0DDB" w:rsidRPr="009B0DDB" w:rsidTr="009B0DDB">
        <w:trPr>
          <w:trHeight w:val="420"/>
        </w:trPr>
        <w:tc>
          <w:tcPr>
            <w:tcW w:w="2260" w:type="dxa"/>
            <w:gridSpan w:val="2"/>
            <w:tcBorders>
              <w:top w:val="single" w:sz="4" w:space="0" w:color="auto"/>
              <w:left w:val="nil"/>
              <w:bottom w:val="single" w:sz="4" w:space="0" w:color="auto"/>
              <w:right w:val="single" w:sz="4" w:space="0" w:color="000000"/>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106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34 281 588</w:t>
            </w:r>
          </w:p>
        </w:tc>
        <w:tc>
          <w:tcPr>
            <w:tcW w:w="100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c>
          <w:tcPr>
            <w:tcW w:w="102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87,9</w:t>
            </w:r>
          </w:p>
        </w:tc>
        <w:tc>
          <w:tcPr>
            <w:tcW w:w="86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8,4</w:t>
            </w:r>
          </w:p>
        </w:tc>
        <w:tc>
          <w:tcPr>
            <w:tcW w:w="98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87 414</w:t>
            </w:r>
          </w:p>
        </w:tc>
        <w:tc>
          <w:tcPr>
            <w:tcW w:w="94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c>
          <w:tcPr>
            <w:tcW w:w="96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89 330</w:t>
            </w:r>
          </w:p>
        </w:tc>
        <w:tc>
          <w:tcPr>
            <w:tcW w:w="96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c>
          <w:tcPr>
            <w:tcW w:w="112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25 966</w:t>
            </w:r>
          </w:p>
        </w:tc>
        <w:tc>
          <w:tcPr>
            <w:tcW w:w="128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c>
          <w:tcPr>
            <w:tcW w:w="1040" w:type="dxa"/>
            <w:tcBorders>
              <w:top w:val="single" w:sz="4" w:space="0" w:color="auto"/>
              <w:left w:val="nil"/>
              <w:bottom w:val="single" w:sz="4" w:space="0" w:color="auto"/>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13 578 255</w:t>
            </w:r>
          </w:p>
        </w:tc>
        <w:tc>
          <w:tcPr>
            <w:tcW w:w="1280" w:type="dxa"/>
            <w:tcBorders>
              <w:top w:val="single" w:sz="4" w:space="0" w:color="auto"/>
              <w:left w:val="nil"/>
              <w:bottom w:val="single" w:sz="4" w:space="0" w:color="auto"/>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21,4</w:t>
            </w:r>
          </w:p>
        </w:tc>
      </w:tr>
      <w:tr w:rsidR="009B0DDB" w:rsidRPr="009B0DDB" w:rsidTr="009B0DDB">
        <w:trPr>
          <w:trHeight w:val="450"/>
        </w:trPr>
        <w:tc>
          <w:tcPr>
            <w:tcW w:w="400" w:type="dxa"/>
            <w:vMerge w:val="restart"/>
            <w:tcBorders>
              <w:top w:val="nil"/>
              <w:left w:val="nil"/>
              <w:bottom w:val="nil"/>
              <w:right w:val="single" w:sz="4" w:space="0" w:color="auto"/>
            </w:tcBorders>
            <w:shd w:val="clear" w:color="auto" w:fill="auto"/>
            <w:textDirection w:val="btLr"/>
            <w:vAlign w:val="center"/>
            <w:hideMark/>
          </w:tcPr>
          <w:p w:rsidR="009B0DDB" w:rsidRPr="009B0DDB" w:rsidRDefault="009B0DDB" w:rsidP="009B0DDB">
            <w:pPr>
              <w:spacing w:after="0" w:line="240" w:lineRule="auto"/>
              <w:jc w:val="center"/>
              <w:rPr>
                <w:rFonts w:cs="Arial"/>
                <w:color w:val="000000"/>
                <w:sz w:val="18"/>
                <w:szCs w:val="18"/>
              </w:rPr>
            </w:pPr>
            <w:r w:rsidRPr="009B0DDB">
              <w:rPr>
                <w:rFonts w:cs="Arial"/>
                <w:color w:val="000000"/>
                <w:sz w:val="18"/>
                <w:szCs w:val="18"/>
              </w:rPr>
              <w:t>z toho</w:t>
            </w:r>
          </w:p>
        </w:tc>
        <w:tc>
          <w:tcPr>
            <w:tcW w:w="1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sektor</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24 591 763</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71,7</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53,8</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8,3</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24 696</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28,2</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37 503</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42</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20 363</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78,4</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3 597 848</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37,8</w:t>
            </w:r>
          </w:p>
        </w:tc>
      </w:tr>
      <w:tr w:rsidR="009B0DDB" w:rsidRPr="009B0DDB" w:rsidTr="009B0DDB">
        <w:trPr>
          <w:trHeight w:val="450"/>
        </w:trPr>
        <w:tc>
          <w:tcPr>
            <w:tcW w:w="400" w:type="dxa"/>
            <w:vMerge/>
            <w:tcBorders>
              <w:top w:val="nil"/>
              <w:left w:val="nil"/>
              <w:bottom w:val="nil"/>
              <w:right w:val="single" w:sz="4" w:space="0" w:color="auto"/>
            </w:tcBorders>
            <w:vAlign w:val="center"/>
            <w:hideMark/>
          </w:tcPr>
          <w:p w:rsidR="009B0DDB" w:rsidRPr="009B0DDB" w:rsidRDefault="009B0DDB" w:rsidP="009B0DDB">
            <w:pPr>
              <w:spacing w:after="0" w:line="240" w:lineRule="auto"/>
              <w:rPr>
                <w:rFonts w:cs="Arial"/>
                <w:color w:val="000000"/>
                <w:sz w:val="18"/>
                <w:szCs w:val="18"/>
              </w:rPr>
            </w:pPr>
          </w:p>
        </w:tc>
        <w:tc>
          <w:tcPr>
            <w:tcW w:w="1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průmysly</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1 473 653</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4,3</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88</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10,6</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36 362</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41,6</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29 364</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32,9</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31 181</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120,1</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6 036 441</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0,5</w:t>
            </w:r>
          </w:p>
        </w:tc>
      </w:tr>
      <w:tr w:rsidR="009B0DDB" w:rsidRPr="009B0DDB" w:rsidTr="009B0DDB">
        <w:trPr>
          <w:trHeight w:val="450"/>
        </w:trPr>
        <w:tc>
          <w:tcPr>
            <w:tcW w:w="400" w:type="dxa"/>
            <w:vMerge/>
            <w:tcBorders>
              <w:top w:val="nil"/>
              <w:left w:val="nil"/>
              <w:bottom w:val="nil"/>
              <w:right w:val="single" w:sz="4" w:space="0" w:color="auto"/>
            </w:tcBorders>
            <w:vAlign w:val="center"/>
            <w:hideMark/>
          </w:tcPr>
          <w:p w:rsidR="009B0DDB" w:rsidRPr="009B0DDB" w:rsidRDefault="009B0DDB" w:rsidP="009B0DDB">
            <w:pPr>
              <w:spacing w:after="0" w:line="240" w:lineRule="auto"/>
              <w:rPr>
                <w:rFonts w:cs="Arial"/>
                <w:color w:val="000000"/>
                <w:sz w:val="18"/>
                <w:szCs w:val="18"/>
              </w:rPr>
            </w:pPr>
          </w:p>
        </w:tc>
        <w:tc>
          <w:tcPr>
            <w:tcW w:w="1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Kreativní průmysl</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172 138</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0,5</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103,4</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23 825</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27,3</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19 678</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28 900</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111,3</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3 873 969</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w:t>
            </w:r>
          </w:p>
        </w:tc>
      </w:tr>
      <w:tr w:rsidR="009B0DDB" w:rsidRPr="009B0DDB" w:rsidTr="009B0DDB">
        <w:trPr>
          <w:trHeight w:val="450"/>
        </w:trPr>
        <w:tc>
          <w:tcPr>
            <w:tcW w:w="400" w:type="dxa"/>
            <w:vMerge/>
            <w:tcBorders>
              <w:top w:val="nil"/>
              <w:left w:val="nil"/>
              <w:bottom w:val="nil"/>
              <w:right w:val="single" w:sz="4" w:space="0" w:color="auto"/>
            </w:tcBorders>
            <w:vAlign w:val="center"/>
            <w:hideMark/>
          </w:tcPr>
          <w:p w:rsidR="009B0DDB" w:rsidRPr="009B0DDB" w:rsidRDefault="009B0DDB" w:rsidP="009B0DDB">
            <w:pPr>
              <w:spacing w:after="0" w:line="240" w:lineRule="auto"/>
              <w:rPr>
                <w:rFonts w:cs="Arial"/>
                <w:color w:val="000000"/>
                <w:sz w:val="18"/>
                <w:szCs w:val="18"/>
              </w:rPr>
            </w:pPr>
          </w:p>
        </w:tc>
        <w:tc>
          <w:tcPr>
            <w:tcW w:w="1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Správa a podpora kulturní činnosti</w:t>
            </w:r>
          </w:p>
        </w:tc>
        <w:tc>
          <w:tcPr>
            <w:tcW w:w="10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1 785 687</w:t>
            </w:r>
          </w:p>
        </w:tc>
        <w:tc>
          <w:tcPr>
            <w:tcW w:w="10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5,2</w:t>
            </w:r>
          </w:p>
        </w:tc>
        <w:tc>
          <w:tcPr>
            <w:tcW w:w="10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40,1</w:t>
            </w:r>
          </w:p>
        </w:tc>
        <w:tc>
          <w:tcPr>
            <w:tcW w:w="8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0,9</w:t>
            </w:r>
          </w:p>
        </w:tc>
        <w:tc>
          <w:tcPr>
            <w:tcW w:w="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2 531</w:t>
            </w:r>
          </w:p>
        </w:tc>
        <w:tc>
          <w:tcPr>
            <w:tcW w:w="9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2,9</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2 785</w:t>
            </w:r>
          </w:p>
        </w:tc>
        <w:tc>
          <w:tcPr>
            <w:tcW w:w="96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3,1</w:t>
            </w:r>
          </w:p>
        </w:tc>
        <w:tc>
          <w:tcPr>
            <w:tcW w:w="112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25 708</w:t>
            </w:r>
          </w:p>
        </w:tc>
        <w:tc>
          <w:tcPr>
            <w:tcW w:w="12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99</w:t>
            </w:r>
          </w:p>
        </w:tc>
        <w:tc>
          <w:tcPr>
            <w:tcW w:w="10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69 997</w:t>
            </w:r>
          </w:p>
        </w:tc>
        <w:tc>
          <w:tcPr>
            <w:tcW w:w="12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w:t>
            </w:r>
          </w:p>
        </w:tc>
      </w:tr>
    </w:tbl>
    <w:p w:rsidR="00D83178" w:rsidRDefault="00D83178" w:rsidP="004F69CE"/>
    <w:p w:rsidR="00D83178" w:rsidRDefault="00D83178" w:rsidP="004F69CE"/>
    <w:tbl>
      <w:tblPr>
        <w:tblW w:w="13920" w:type="dxa"/>
        <w:tblInd w:w="55" w:type="dxa"/>
        <w:tblCellMar>
          <w:left w:w="70" w:type="dxa"/>
          <w:right w:w="70" w:type="dxa"/>
        </w:tblCellMar>
        <w:tblLook w:val="04A0"/>
      </w:tblPr>
      <w:tblGrid>
        <w:gridCol w:w="3200"/>
        <w:gridCol w:w="1340"/>
        <w:gridCol w:w="1340"/>
        <w:gridCol w:w="1340"/>
        <w:gridCol w:w="1340"/>
        <w:gridCol w:w="1340"/>
        <w:gridCol w:w="1340"/>
        <w:gridCol w:w="1340"/>
        <w:gridCol w:w="1340"/>
      </w:tblGrid>
      <w:tr w:rsidR="009B0DDB" w:rsidRPr="009B0DDB" w:rsidTr="009B0DDB">
        <w:trPr>
          <w:trHeight w:val="480"/>
        </w:trPr>
        <w:tc>
          <w:tcPr>
            <w:tcW w:w="9900" w:type="dxa"/>
            <w:gridSpan w:val="6"/>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11 Časové řady vybraných ukazatelů sektoru kultury za léta 2010 - 15</w:t>
            </w: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r w:rsidR="009B0DDB" w:rsidRPr="009B0DDB" w:rsidTr="009B0DDB">
        <w:trPr>
          <w:trHeight w:val="255"/>
        </w:trPr>
        <w:tc>
          <w:tcPr>
            <w:tcW w:w="320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13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trHeight w:val="780"/>
        </w:trPr>
        <w:tc>
          <w:tcPr>
            <w:tcW w:w="320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OBLAST</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2010</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2011</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2012</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2013</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2014</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2015</w:t>
            </w:r>
          </w:p>
        </w:tc>
        <w:tc>
          <w:tcPr>
            <w:tcW w:w="134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Index 2015/2014</w:t>
            </w:r>
          </w:p>
        </w:tc>
        <w:tc>
          <w:tcPr>
            <w:tcW w:w="1340" w:type="dxa"/>
            <w:tcBorders>
              <w:top w:val="nil"/>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Index 2015/2010</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Veřejné zdroje celkem v mil. Kč</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36 283</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34 739</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34 322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34 644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35 881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34 282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95,5</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94,5</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Náklady celkem v mil. Kč</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219 816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204 341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205 850</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198 111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193 500</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201 846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104,3</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91,8</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Výnosy celkem v mil. Kč</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229 110</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216 212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217 971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206 727</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208 191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218 448</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104,9</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95,3</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Stupeň soběstačnosti (v %)</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89,1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84,9</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85,7</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89,4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87,9</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98,3</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100,9</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Počet zaměstnanců v osobách</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87 018</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81 521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79 785</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81 417</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80 740</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89 330</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110,6</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102,7</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Průměrná hrubá měsíční mzda v Kč</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24 406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24 704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24 982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24 431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25 588</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25 966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101,5</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106,4</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Investice v mil. Kč</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13 748</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11 416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10 369</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10 676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12 067</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13 578</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112,5</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98,8</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Hrubá přidaná hodnota v mld. Kč</w:t>
            </w:r>
            <w:r w:rsidRPr="009B0DDB">
              <w:rPr>
                <w:rFonts w:cs="Arial"/>
                <w:color w:val="000000"/>
                <w:sz w:val="18"/>
                <w:szCs w:val="18"/>
                <w:vertAlign w:val="superscript"/>
              </w:rPr>
              <w:t>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86,1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80,4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84,4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81,4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87,4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106,6</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101,5</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Hrubý domácí produkt v mld. Kč</w:t>
            </w:r>
            <w:r w:rsidRPr="009B0DDB">
              <w:rPr>
                <w:rFonts w:cs="Arial"/>
                <w:color w:val="000000"/>
                <w:sz w:val="18"/>
                <w:szCs w:val="18"/>
                <w:vertAlign w:val="superscript"/>
              </w:rPr>
              <w:t>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59,5</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53,1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57,3</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54,5</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58,1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65,6</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112,9</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110,3</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Podíl kultury na hrubé přidané hodnotě (v %)</w:t>
            </w:r>
            <w:r w:rsidRPr="009B0DDB">
              <w:rPr>
                <w:rFonts w:cs="Arial"/>
                <w:color w:val="000000"/>
                <w:sz w:val="18"/>
                <w:szCs w:val="18"/>
                <w:vertAlign w:val="superscript"/>
              </w:rPr>
              <w:t>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2,31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2,13</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101,4</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88,8</w:t>
            </w:r>
          </w:p>
        </w:tc>
      </w:tr>
      <w:tr w:rsidR="009B0DDB" w:rsidRPr="009B0DDB" w:rsidTr="009B0DDB">
        <w:trPr>
          <w:trHeight w:val="660"/>
        </w:trPr>
        <w:tc>
          <w:tcPr>
            <w:tcW w:w="32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Podíl kultury na HDP (v %)</w:t>
            </w:r>
            <w:r w:rsidRPr="009B0DDB">
              <w:rPr>
                <w:rFonts w:cs="Arial"/>
                <w:color w:val="000000"/>
                <w:sz w:val="18"/>
                <w:szCs w:val="18"/>
                <w:vertAlign w:val="superscript"/>
              </w:rPr>
              <w:t>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1,5</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1,32</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1,41</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1,33</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1,35</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1,44</w:t>
            </w:r>
          </w:p>
        </w:tc>
        <w:tc>
          <w:tcPr>
            <w:tcW w:w="13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106,7</w:t>
            </w:r>
          </w:p>
        </w:tc>
        <w:tc>
          <w:tcPr>
            <w:tcW w:w="134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96</w:t>
            </w:r>
          </w:p>
        </w:tc>
      </w:tr>
      <w:tr w:rsidR="009B0DDB" w:rsidRPr="009B0DDB" w:rsidTr="009B0DDB">
        <w:trPr>
          <w:trHeight w:val="345"/>
        </w:trPr>
        <w:tc>
          <w:tcPr>
            <w:tcW w:w="3200" w:type="dxa"/>
            <w:tcBorders>
              <w:top w:val="nil"/>
              <w:left w:val="nil"/>
              <w:bottom w:val="nil"/>
              <w:right w:val="nil"/>
            </w:tcBorders>
            <w:shd w:val="clear" w:color="auto" w:fill="auto"/>
            <w:noWrap/>
            <w:vAlign w:val="bottom"/>
            <w:hideMark/>
          </w:tcPr>
          <w:p w:rsidR="009B0DDB" w:rsidRPr="009B0DDB" w:rsidRDefault="009B0DDB" w:rsidP="009B0DDB">
            <w:pPr>
              <w:spacing w:after="0" w:line="240" w:lineRule="auto"/>
              <w:rPr>
                <w:rFonts w:cs="Arial"/>
                <w:color w:val="000000"/>
                <w:sz w:val="16"/>
                <w:szCs w:val="16"/>
              </w:rPr>
            </w:pPr>
            <w:r w:rsidRPr="009B0DDB">
              <w:rPr>
                <w:rFonts w:cs="Arial"/>
                <w:color w:val="000000"/>
                <w:sz w:val="16"/>
                <w:szCs w:val="16"/>
              </w:rPr>
              <w:t>1)</w:t>
            </w:r>
            <w:r w:rsidRPr="009B0DDB">
              <w:rPr>
                <w:rFonts w:ascii="Times New Roman" w:hAnsi="Times New Roman"/>
                <w:color w:val="000000"/>
                <w:sz w:val="16"/>
                <w:szCs w:val="16"/>
                <w:vertAlign w:val="superscript"/>
              </w:rPr>
              <w:t xml:space="preserve"> </w:t>
            </w:r>
            <w:r w:rsidRPr="009B0DDB">
              <w:rPr>
                <w:rFonts w:cs="Arial"/>
                <w:color w:val="000000"/>
                <w:sz w:val="16"/>
                <w:szCs w:val="16"/>
              </w:rPr>
              <w:t>za rok 2015 – odhad z předběžných dat</w:t>
            </w: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134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bl>
    <w:p w:rsidR="009B0DDB" w:rsidRDefault="009B0DDB" w:rsidP="004F69CE"/>
    <w:tbl>
      <w:tblPr>
        <w:tblW w:w="12960" w:type="dxa"/>
        <w:tblInd w:w="55" w:type="dxa"/>
        <w:tblCellMar>
          <w:left w:w="70" w:type="dxa"/>
          <w:right w:w="70" w:type="dxa"/>
        </w:tblCellMar>
        <w:tblLook w:val="04A0"/>
      </w:tblPr>
      <w:tblGrid>
        <w:gridCol w:w="4240"/>
        <w:gridCol w:w="2180"/>
        <w:gridCol w:w="2180"/>
        <w:gridCol w:w="2180"/>
        <w:gridCol w:w="2180"/>
      </w:tblGrid>
      <w:tr w:rsidR="009B0DDB" w:rsidRPr="009B0DDB" w:rsidTr="009B0DDB">
        <w:trPr>
          <w:trHeight w:val="315"/>
        </w:trPr>
        <w:tc>
          <w:tcPr>
            <w:tcW w:w="8600" w:type="dxa"/>
            <w:gridSpan w:val="3"/>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12 Počet vybraných poskytovatelů kulturních služeb v roce 2015</w:t>
            </w:r>
          </w:p>
        </w:tc>
        <w:tc>
          <w:tcPr>
            <w:tcW w:w="21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21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r w:rsidR="009B0DDB" w:rsidRPr="009B0DDB" w:rsidTr="009B0DDB">
        <w:trPr>
          <w:trHeight w:val="360"/>
        </w:trPr>
        <w:tc>
          <w:tcPr>
            <w:tcW w:w="424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t> </w:t>
            </w:r>
          </w:p>
        </w:tc>
        <w:tc>
          <w:tcPr>
            <w:tcW w:w="21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trHeight w:val="315"/>
        </w:trPr>
        <w:tc>
          <w:tcPr>
            <w:tcW w:w="4240" w:type="dxa"/>
            <w:vMerge w:val="restart"/>
            <w:tcBorders>
              <w:top w:val="nil"/>
              <w:left w:val="nil"/>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POSKYTOVATEL</w:t>
            </w:r>
          </w:p>
        </w:tc>
        <w:tc>
          <w:tcPr>
            <w:tcW w:w="2180" w:type="dxa"/>
            <w:vMerge w:val="restart"/>
            <w:tcBorders>
              <w:top w:val="nil"/>
              <w:left w:val="single" w:sz="4" w:space="0" w:color="auto"/>
              <w:bottom w:val="single" w:sz="4" w:space="0" w:color="000000"/>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Kulturní podniky a instituce celkem</w:t>
            </w:r>
          </w:p>
        </w:tc>
        <w:tc>
          <w:tcPr>
            <w:tcW w:w="6540" w:type="dxa"/>
            <w:gridSpan w:val="3"/>
            <w:tcBorders>
              <w:top w:val="single" w:sz="4" w:space="0" w:color="auto"/>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v tom</w:t>
            </w:r>
          </w:p>
        </w:tc>
      </w:tr>
      <w:tr w:rsidR="009B0DDB" w:rsidRPr="009B0DDB" w:rsidTr="009B0DDB">
        <w:trPr>
          <w:trHeight w:val="630"/>
        </w:trPr>
        <w:tc>
          <w:tcPr>
            <w:tcW w:w="4240" w:type="dxa"/>
            <w:vMerge/>
            <w:tcBorders>
              <w:top w:val="nil"/>
              <w:left w:val="nil"/>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rsidR="009B0DDB" w:rsidRPr="009B0DDB" w:rsidRDefault="009B0DDB" w:rsidP="009B0DDB">
            <w:pPr>
              <w:spacing w:after="0" w:line="240" w:lineRule="auto"/>
              <w:rPr>
                <w:rFonts w:cs="Arial"/>
                <w:b/>
                <w:bCs/>
                <w:color w:val="000000"/>
                <w:sz w:val="18"/>
                <w:szCs w:val="18"/>
              </w:rPr>
            </w:pPr>
          </w:p>
        </w:tc>
        <w:tc>
          <w:tcPr>
            <w:tcW w:w="21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státní</w:t>
            </w:r>
          </w:p>
        </w:tc>
        <w:tc>
          <w:tcPr>
            <w:tcW w:w="21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soukromé</w:t>
            </w:r>
          </w:p>
        </w:tc>
        <w:tc>
          <w:tcPr>
            <w:tcW w:w="2180" w:type="dxa"/>
            <w:tcBorders>
              <w:top w:val="nil"/>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ostatní</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Památkový objekt zpřístupněný za vstupné</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315</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207</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54</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54</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Muzeum a galerie (muzea výtvarných umění)</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484</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385</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55</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44</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Výstavní síň</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284</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97</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105</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82</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Knihovna veřejná</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5 354</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5 354</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0</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0</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Divadlo</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214</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77</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56</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81</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Hudební těleso</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208</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38</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51</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119</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Rozhlas</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57</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55</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0</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Televize</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150</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13</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137</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0</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Festivaly</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485</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153</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93</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239</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domy</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555</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486</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36</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33</w:t>
            </w:r>
          </w:p>
        </w:tc>
      </w:tr>
      <w:tr w:rsidR="009B0DDB" w:rsidRPr="009B0DDB" w:rsidTr="009B0DDB">
        <w:trPr>
          <w:trHeight w:val="600"/>
        </w:trPr>
        <w:tc>
          <w:tcPr>
            <w:tcW w:w="424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Vydavatelé neperiodického a periodického tisku</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968</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79</w:t>
            </w:r>
          </w:p>
        </w:tc>
        <w:tc>
          <w:tcPr>
            <w:tcW w:w="21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803</w:t>
            </w:r>
          </w:p>
        </w:tc>
        <w:tc>
          <w:tcPr>
            <w:tcW w:w="21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86</w:t>
            </w:r>
          </w:p>
        </w:tc>
      </w:tr>
      <w:tr w:rsidR="009B0DDB" w:rsidRPr="009B0DDB" w:rsidTr="009B0DDB">
        <w:trPr>
          <w:trHeight w:val="600"/>
        </w:trPr>
        <w:tc>
          <w:tcPr>
            <w:tcW w:w="424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21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9 074</w:t>
            </w:r>
          </w:p>
        </w:tc>
        <w:tc>
          <w:tcPr>
            <w:tcW w:w="21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6 891</w:t>
            </w:r>
          </w:p>
        </w:tc>
        <w:tc>
          <w:tcPr>
            <w:tcW w:w="21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1 445</w:t>
            </w:r>
          </w:p>
        </w:tc>
        <w:tc>
          <w:tcPr>
            <w:tcW w:w="2180" w:type="dxa"/>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Cs w:val="20"/>
              </w:rPr>
            </w:pPr>
            <w:r w:rsidRPr="009B0DDB">
              <w:rPr>
                <w:rFonts w:cs="Arial"/>
                <w:color w:val="000000"/>
                <w:szCs w:val="20"/>
              </w:rPr>
              <w:t>738</w:t>
            </w:r>
          </w:p>
        </w:tc>
      </w:tr>
    </w:tbl>
    <w:p w:rsidR="00D83178" w:rsidRDefault="00D83178" w:rsidP="004F69CE"/>
    <w:p w:rsidR="00D83178" w:rsidRDefault="00D83178" w:rsidP="004F69CE"/>
    <w:tbl>
      <w:tblPr>
        <w:tblW w:w="14320" w:type="dxa"/>
        <w:tblInd w:w="55" w:type="dxa"/>
        <w:tblCellMar>
          <w:left w:w="70" w:type="dxa"/>
          <w:right w:w="70" w:type="dxa"/>
        </w:tblCellMar>
        <w:tblLook w:val="04A0"/>
      </w:tblPr>
      <w:tblGrid>
        <w:gridCol w:w="3400"/>
        <w:gridCol w:w="2780"/>
        <w:gridCol w:w="2980"/>
        <w:gridCol w:w="2680"/>
        <w:gridCol w:w="2480"/>
      </w:tblGrid>
      <w:tr w:rsidR="009B0DDB" w:rsidRPr="009B0DDB" w:rsidTr="009B0DDB">
        <w:trPr>
          <w:trHeight w:val="315"/>
        </w:trPr>
        <w:tc>
          <w:tcPr>
            <w:tcW w:w="14320" w:type="dxa"/>
            <w:gridSpan w:val="5"/>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lastRenderedPageBreak/>
              <w:t>Tabulka 13 Relativní vyjádření výkonu poskytovatelů kulturních služeb v naturálních ukazatelích v roce 2015</w:t>
            </w:r>
          </w:p>
        </w:tc>
      </w:tr>
      <w:tr w:rsidR="009B0DDB" w:rsidRPr="009B0DDB" w:rsidTr="009B0DDB">
        <w:trPr>
          <w:trHeight w:val="315"/>
        </w:trPr>
        <w:tc>
          <w:tcPr>
            <w:tcW w:w="340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cs="Arial"/>
                <w:b/>
                <w:bCs/>
                <w:color w:val="BC091B"/>
                <w:sz w:val="24"/>
              </w:rPr>
            </w:pPr>
            <w:r w:rsidRPr="009B0DDB">
              <w:rPr>
                <w:rFonts w:cs="Arial"/>
                <w:b/>
                <w:bCs/>
                <w:color w:val="BC091B"/>
                <w:sz w:val="24"/>
              </w:rPr>
              <w:t> </w:t>
            </w:r>
          </w:p>
        </w:tc>
        <w:tc>
          <w:tcPr>
            <w:tcW w:w="27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9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6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c>
          <w:tcPr>
            <w:tcW w:w="2480" w:type="dxa"/>
            <w:tcBorders>
              <w:top w:val="nil"/>
              <w:left w:val="nil"/>
              <w:bottom w:val="single" w:sz="4" w:space="0" w:color="auto"/>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r w:rsidRPr="009B0DDB">
              <w:rPr>
                <w:rFonts w:ascii="Calibri" w:hAnsi="Calibri"/>
                <w:color w:val="000000"/>
                <w:sz w:val="22"/>
                <w:szCs w:val="22"/>
              </w:rPr>
              <w:t> </w:t>
            </w:r>
          </w:p>
        </w:tc>
      </w:tr>
      <w:tr w:rsidR="009B0DDB" w:rsidRPr="009B0DDB" w:rsidTr="009B0DDB">
        <w:trPr>
          <w:trHeight w:val="1185"/>
        </w:trPr>
        <w:tc>
          <w:tcPr>
            <w:tcW w:w="340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POSKYTOVATEL</w:t>
            </w:r>
          </w:p>
        </w:tc>
        <w:tc>
          <w:tcPr>
            <w:tcW w:w="27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Počet návštěv kulturních zařízení na 10 tisíc osob</w:t>
            </w:r>
          </w:p>
        </w:tc>
        <w:tc>
          <w:tcPr>
            <w:tcW w:w="29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Počet vydaných titulů</w:t>
            </w:r>
            <w:r w:rsidRPr="009B0DDB">
              <w:rPr>
                <w:rFonts w:cs="Arial"/>
                <w:b/>
                <w:bCs/>
                <w:color w:val="000000"/>
                <w:sz w:val="18"/>
                <w:szCs w:val="18"/>
              </w:rPr>
              <w:br/>
              <w:t>na 10 tisíc osob</w:t>
            </w:r>
          </w:p>
        </w:tc>
        <w:tc>
          <w:tcPr>
            <w:tcW w:w="2680" w:type="dxa"/>
            <w:tcBorders>
              <w:top w:val="nil"/>
              <w:left w:val="nil"/>
              <w:bottom w:val="single" w:sz="4" w:space="0" w:color="auto"/>
              <w:right w:val="single" w:sz="4" w:space="0" w:color="auto"/>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Počet vysílacích hodin</w:t>
            </w:r>
            <w:r w:rsidRPr="009B0DDB">
              <w:rPr>
                <w:rFonts w:cs="Arial"/>
                <w:b/>
                <w:bCs/>
                <w:color w:val="000000"/>
                <w:sz w:val="18"/>
                <w:szCs w:val="18"/>
              </w:rPr>
              <w:br/>
              <w:t>na 1 držitele vysílací licence</w:t>
            </w:r>
          </w:p>
        </w:tc>
        <w:tc>
          <w:tcPr>
            <w:tcW w:w="2480" w:type="dxa"/>
            <w:tcBorders>
              <w:top w:val="nil"/>
              <w:left w:val="nil"/>
              <w:bottom w:val="single" w:sz="4" w:space="0" w:color="auto"/>
              <w:right w:val="nil"/>
            </w:tcBorders>
            <w:shd w:val="clear" w:color="000000" w:fill="F2DBDB"/>
            <w:vAlign w:val="center"/>
            <w:hideMark/>
          </w:tcPr>
          <w:p w:rsidR="009B0DDB" w:rsidRPr="009B0DDB" w:rsidRDefault="009B0DDB" w:rsidP="009B0DDB">
            <w:pPr>
              <w:spacing w:after="0" w:line="240" w:lineRule="auto"/>
              <w:jc w:val="center"/>
              <w:rPr>
                <w:rFonts w:cs="Arial"/>
                <w:b/>
                <w:bCs/>
                <w:color w:val="000000"/>
                <w:sz w:val="18"/>
                <w:szCs w:val="18"/>
              </w:rPr>
            </w:pPr>
            <w:r w:rsidRPr="009B0DDB">
              <w:rPr>
                <w:rFonts w:cs="Arial"/>
                <w:b/>
                <w:bCs/>
                <w:color w:val="000000"/>
                <w:sz w:val="18"/>
                <w:szCs w:val="18"/>
              </w:rPr>
              <w:t>Index návštěvnosti 2015/2014 (v %)</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Historické památky</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12 412</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107,8</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Muzea a galerie</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11 260</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101,7</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Výstavní sály</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1 973</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78,3</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Knihovny</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22 410</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98,1</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Kina</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12 292</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111,9</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Divadlo</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7 148</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102,4</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Koncertní sály (soubory a festivaly)</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2 801</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98,8</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Nakladatelství a vydavatelství</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Rozhlas</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17 884</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108,7</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Televize</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10 450</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92,5</w:t>
            </w:r>
          </w:p>
        </w:tc>
      </w:tr>
      <w:tr w:rsidR="009B0DDB" w:rsidRPr="009B0DDB" w:rsidTr="009B0DDB">
        <w:trPr>
          <w:trHeight w:val="585"/>
        </w:trPr>
        <w:tc>
          <w:tcPr>
            <w:tcW w:w="340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Kulturní domy</w:t>
            </w:r>
          </w:p>
        </w:tc>
        <w:tc>
          <w:tcPr>
            <w:tcW w:w="27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8 853</w:t>
            </w:r>
          </w:p>
        </w:tc>
        <w:tc>
          <w:tcPr>
            <w:tcW w:w="29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680" w:type="dxa"/>
            <w:tcBorders>
              <w:top w:val="nil"/>
              <w:left w:val="nil"/>
              <w:bottom w:val="nil"/>
              <w:right w:val="single" w:sz="4" w:space="0" w:color="auto"/>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x</w:t>
            </w:r>
          </w:p>
        </w:tc>
        <w:tc>
          <w:tcPr>
            <w:tcW w:w="2480" w:type="dxa"/>
            <w:tcBorders>
              <w:top w:val="nil"/>
              <w:left w:val="nil"/>
              <w:bottom w:val="nil"/>
              <w:right w:val="nil"/>
            </w:tcBorders>
            <w:shd w:val="clear" w:color="auto" w:fill="auto"/>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105,8</w:t>
            </w:r>
          </w:p>
        </w:tc>
      </w:tr>
      <w:tr w:rsidR="009B0DDB" w:rsidRPr="009B0DDB" w:rsidTr="009B0DDB">
        <w:trPr>
          <w:trHeight w:val="585"/>
        </w:trPr>
        <w:tc>
          <w:tcPr>
            <w:tcW w:w="340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rPr>
                <w:rFonts w:cs="Arial"/>
                <w:color w:val="000000"/>
                <w:sz w:val="18"/>
                <w:szCs w:val="18"/>
              </w:rPr>
            </w:pPr>
            <w:r w:rsidRPr="009B0DDB">
              <w:rPr>
                <w:rFonts w:cs="Arial"/>
                <w:color w:val="000000"/>
                <w:sz w:val="18"/>
                <w:szCs w:val="18"/>
              </w:rPr>
              <w:t>CELKEM</w:t>
            </w:r>
          </w:p>
        </w:tc>
        <w:tc>
          <w:tcPr>
            <w:tcW w:w="27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79 149</w:t>
            </w:r>
          </w:p>
        </w:tc>
        <w:tc>
          <w:tcPr>
            <w:tcW w:w="29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26</w:t>
            </w:r>
          </w:p>
        </w:tc>
        <w:tc>
          <w:tcPr>
            <w:tcW w:w="2680" w:type="dxa"/>
            <w:tcBorders>
              <w:top w:val="nil"/>
              <w:left w:val="nil"/>
              <w:bottom w:val="nil"/>
              <w:right w:val="single" w:sz="4" w:space="0" w:color="auto"/>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28 334</w:t>
            </w:r>
          </w:p>
        </w:tc>
        <w:tc>
          <w:tcPr>
            <w:tcW w:w="2480" w:type="dxa"/>
            <w:tcBorders>
              <w:top w:val="nil"/>
              <w:left w:val="nil"/>
              <w:bottom w:val="nil"/>
              <w:right w:val="nil"/>
            </w:tcBorders>
            <w:shd w:val="clear" w:color="000000" w:fill="FBF3F3"/>
            <w:vAlign w:val="center"/>
            <w:hideMark/>
          </w:tcPr>
          <w:p w:rsidR="009B0DDB" w:rsidRPr="009B0DDB" w:rsidRDefault="009B0DDB" w:rsidP="009B0DDB">
            <w:pPr>
              <w:spacing w:after="0" w:line="240" w:lineRule="auto"/>
              <w:jc w:val="right"/>
              <w:rPr>
                <w:rFonts w:cs="Arial"/>
                <w:color w:val="000000"/>
                <w:sz w:val="18"/>
                <w:szCs w:val="18"/>
              </w:rPr>
            </w:pPr>
            <w:r w:rsidRPr="009B0DDB">
              <w:rPr>
                <w:rFonts w:cs="Arial"/>
                <w:color w:val="000000"/>
                <w:sz w:val="18"/>
                <w:szCs w:val="18"/>
              </w:rPr>
              <w:t>102,6</w:t>
            </w:r>
            <w:r w:rsidRPr="009B0DDB">
              <w:rPr>
                <w:rFonts w:cs="Arial"/>
                <w:color w:val="000000"/>
                <w:sz w:val="18"/>
                <w:szCs w:val="18"/>
                <w:vertAlign w:val="superscript"/>
              </w:rPr>
              <w:t xml:space="preserve"> 1)</w:t>
            </w:r>
          </w:p>
        </w:tc>
      </w:tr>
      <w:tr w:rsidR="009B0DDB" w:rsidRPr="009B0DDB" w:rsidTr="009B0DDB">
        <w:trPr>
          <w:trHeight w:val="300"/>
        </w:trPr>
        <w:tc>
          <w:tcPr>
            <w:tcW w:w="340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cs="Arial"/>
                <w:color w:val="000000"/>
                <w:sz w:val="16"/>
                <w:szCs w:val="16"/>
              </w:rPr>
            </w:pPr>
            <w:r w:rsidRPr="009B0DDB">
              <w:rPr>
                <w:rFonts w:cs="Arial"/>
                <w:color w:val="000000"/>
                <w:sz w:val="16"/>
                <w:szCs w:val="16"/>
              </w:rPr>
              <w:t>1) zahrnuje pouze návštěvnost</w:t>
            </w:r>
          </w:p>
        </w:tc>
        <w:tc>
          <w:tcPr>
            <w:tcW w:w="27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29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26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c>
          <w:tcPr>
            <w:tcW w:w="2480" w:type="dxa"/>
            <w:tcBorders>
              <w:top w:val="nil"/>
              <w:left w:val="nil"/>
              <w:bottom w:val="nil"/>
              <w:right w:val="nil"/>
            </w:tcBorders>
            <w:shd w:val="clear" w:color="auto" w:fill="auto"/>
            <w:noWrap/>
            <w:vAlign w:val="center"/>
            <w:hideMark/>
          </w:tcPr>
          <w:p w:rsidR="009B0DDB" w:rsidRPr="009B0DDB" w:rsidRDefault="009B0DDB" w:rsidP="009B0DDB">
            <w:pPr>
              <w:spacing w:after="0" w:line="240" w:lineRule="auto"/>
              <w:rPr>
                <w:rFonts w:ascii="Calibri" w:hAnsi="Calibri"/>
                <w:color w:val="000000"/>
                <w:sz w:val="22"/>
                <w:szCs w:val="22"/>
              </w:rPr>
            </w:pPr>
          </w:p>
        </w:tc>
      </w:tr>
    </w:tbl>
    <w:p w:rsidR="00D83178" w:rsidRPr="004F69CE" w:rsidRDefault="00D83178" w:rsidP="004F69CE"/>
    <w:sectPr w:rsidR="00D83178" w:rsidRPr="004F69CE" w:rsidSect="00C73D1B">
      <w:pgSz w:w="16838" w:h="11906" w:orient="landscape" w:code="9"/>
      <w:pgMar w:top="1134" w:right="1387"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99" w:rsidRDefault="002A5799" w:rsidP="00E71A58">
      <w:r>
        <w:separator/>
      </w:r>
    </w:p>
  </w:endnote>
  <w:endnote w:type="continuationSeparator" w:id="0">
    <w:p w:rsidR="002A5799" w:rsidRDefault="002A579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932443" w:rsidRDefault="00161BC6" w:rsidP="002405CB">
    <w:pPr>
      <w:pStyle w:val="Zpat"/>
      <w:tabs>
        <w:tab w:val="clear" w:pos="9639"/>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3.7pt;margin-top:-5.1pt;width:33.75pt;height:15.85pt;z-index:2;mso-position-horizontal:right">
          <v:imagedata r:id="rId1" o:title="CSU RGB CZ logo-01"/>
        </v:shape>
      </w:pict>
    </w:r>
    <w:r w:rsidRPr="00932443">
      <w:rPr>
        <w:szCs w:val="16"/>
      </w:rPr>
      <w:fldChar w:fldCharType="begin"/>
    </w:r>
    <w:r w:rsidR="00C73D1B" w:rsidRPr="00932443">
      <w:rPr>
        <w:szCs w:val="16"/>
      </w:rPr>
      <w:instrText>PAGE   \* MERGEFORMAT</w:instrText>
    </w:r>
    <w:r w:rsidRPr="00932443">
      <w:rPr>
        <w:szCs w:val="16"/>
      </w:rPr>
      <w:fldChar w:fldCharType="separate"/>
    </w:r>
    <w:r w:rsidR="00043F6D">
      <w:rPr>
        <w:szCs w:val="16"/>
      </w:rPr>
      <w:t>4</w:t>
    </w:r>
    <w:r w:rsidRPr="00932443">
      <w:rPr>
        <w:szCs w:val="16"/>
      </w:rPr>
      <w:fldChar w:fldCharType="end"/>
    </w:r>
    <w:r w:rsidR="00C73D1B" w:rsidRPr="00932443">
      <w:rPr>
        <w:szCs w:val="16"/>
      </w:rPr>
      <w:tab/>
    </w:r>
    <w:r w:rsidR="00C73D1B">
      <w:rPr>
        <w:szCs w:val="16"/>
      </w:rPr>
      <w:t>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932443" w:rsidRDefault="00161BC6" w:rsidP="002405CB">
    <w:pPr>
      <w:pStyle w:val="Zpat"/>
      <w:tabs>
        <w:tab w:val="clear" w:pos="4820"/>
        <w:tab w:val="clear" w:pos="9639"/>
        <w:tab w:val="left" w:pos="4253"/>
        <w:tab w:val="left" w:pos="4536"/>
        <w:tab w:val="left" w:pos="9356"/>
        <w:tab w:val="left" w:pos="13750"/>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2pt;height:21.45pt;z-index:1;mso-position-horizontal:left">
          <v:imagedata r:id="rId1" o:title="CSU RGB CZ logo-02"/>
        </v:shape>
      </w:pict>
    </w:r>
    <w:r w:rsidR="00C73D1B" w:rsidRPr="00932443">
      <w:rPr>
        <w:szCs w:val="16"/>
      </w:rPr>
      <w:tab/>
    </w:r>
    <w:r w:rsidR="00C73D1B">
      <w:rPr>
        <w:szCs w:val="16"/>
      </w:rPr>
      <w:tab/>
    </w:r>
    <w:r w:rsidR="00C73D1B">
      <w:rPr>
        <w:rStyle w:val="ZpatChar"/>
        <w:szCs w:val="16"/>
      </w:rPr>
      <w:t>2015</w:t>
    </w:r>
    <w:r w:rsidR="00C73D1B" w:rsidRPr="00932443">
      <w:rPr>
        <w:szCs w:val="16"/>
      </w:rPr>
      <w:tab/>
    </w:r>
    <w:r w:rsidRPr="00932443">
      <w:rPr>
        <w:rStyle w:val="ZpatChar"/>
        <w:szCs w:val="16"/>
      </w:rPr>
      <w:fldChar w:fldCharType="begin"/>
    </w:r>
    <w:r w:rsidR="00C73D1B" w:rsidRPr="00932443">
      <w:rPr>
        <w:rStyle w:val="ZpatChar"/>
        <w:szCs w:val="16"/>
      </w:rPr>
      <w:instrText>PAGE   \* MERGEFORMAT</w:instrText>
    </w:r>
    <w:r w:rsidRPr="00932443">
      <w:rPr>
        <w:rStyle w:val="ZpatChar"/>
        <w:szCs w:val="16"/>
      </w:rPr>
      <w:fldChar w:fldCharType="separate"/>
    </w:r>
    <w:r w:rsidR="00043F6D">
      <w:rPr>
        <w:rStyle w:val="ZpatChar"/>
        <w:szCs w:val="16"/>
      </w:rPr>
      <w:t>3</w:t>
    </w:r>
    <w:r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99" w:rsidRPr="00311229" w:rsidRDefault="002A5799" w:rsidP="00311229">
      <w:pPr>
        <w:pStyle w:val="Zpat"/>
      </w:pPr>
    </w:p>
  </w:footnote>
  <w:footnote w:type="continuationSeparator" w:id="0">
    <w:p w:rsidR="002A5799" w:rsidRPr="00311229" w:rsidRDefault="002A5799" w:rsidP="00311229">
      <w:pPr>
        <w:pStyle w:val="Zpa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6F5416" w:rsidRDefault="00C73D1B" w:rsidP="00CE08A5">
    <w:pPr>
      <w:pStyle w:val="Zhlav"/>
    </w:pPr>
    <w:r>
      <w:t>Satelitní účet kultury</w:t>
    </w:r>
  </w:p>
  <w:p w:rsidR="00C73D1B" w:rsidRDefault="00C73D1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1B" w:rsidRPr="006F5416" w:rsidRDefault="00C73D1B" w:rsidP="00CE08A5">
    <w:pPr>
      <w:pStyle w:val="Zhlav"/>
    </w:pPr>
    <w:r>
      <w:t>Satelitní účet kultury</w:t>
    </w:r>
  </w:p>
  <w:p w:rsidR="00C73D1B" w:rsidRDefault="00C73D1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149A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61545646"/>
    <w:lvl w:ilvl="0" w:tplc="04050001">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836952"/>
    <w:multiLevelType w:val="hybridMultilevel"/>
    <w:tmpl w:val="7BF86E04"/>
    <w:lvl w:ilvl="0" w:tplc="2A80F076">
      <w:start w:val="1"/>
      <w:numFmt w:val="decimal"/>
      <w:lvlText w:val="%1)"/>
      <w:lvlJc w:val="left"/>
      <w:pPr>
        <w:ind w:left="-349" w:hanging="360"/>
      </w:pPr>
      <w:rPr>
        <w:rFonts w:cs="Arial" w:hint="default"/>
        <w:sz w:val="18"/>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4">
    <w:nsid w:val="0C53742F"/>
    <w:multiLevelType w:val="hybridMultilevel"/>
    <w:tmpl w:val="E668DF54"/>
    <w:lvl w:ilvl="0" w:tplc="164A6B68">
      <w:start w:val="1"/>
      <w:numFmt w:val="decimal"/>
      <w:lvlText w:val="%1)"/>
      <w:lvlJc w:val="left"/>
      <w:pPr>
        <w:ind w:left="11" w:hanging="360"/>
      </w:pPr>
      <w:rPr>
        <w:rFonts w:cs="Arial" w:hint="default"/>
        <w:sz w:val="18"/>
        <w:vertAlign w:val="superscrip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5">
    <w:nsid w:val="16B14236"/>
    <w:multiLevelType w:val="hybridMultilevel"/>
    <w:tmpl w:val="12E2E4EA"/>
    <w:lvl w:ilvl="0" w:tplc="02E21B48">
      <w:start w:val="22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DE740A2"/>
    <w:multiLevelType w:val="hybridMultilevel"/>
    <w:tmpl w:val="B09E4A68"/>
    <w:lvl w:ilvl="0" w:tplc="0405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3044EEC"/>
    <w:multiLevelType w:val="hybridMultilevel"/>
    <w:tmpl w:val="8B3E32C4"/>
    <w:lvl w:ilvl="0" w:tplc="C2862074">
      <w:start w:val="1"/>
      <w:numFmt w:val="decimal"/>
      <w:lvlText w:val="%1)"/>
      <w:lvlJc w:val="left"/>
      <w:pPr>
        <w:ind w:left="212" w:hanging="360"/>
      </w:pPr>
      <w:rPr>
        <w:rFonts w:hint="default"/>
        <w:sz w:val="16"/>
      </w:rPr>
    </w:lvl>
    <w:lvl w:ilvl="1" w:tplc="04050019" w:tentative="1">
      <w:start w:val="1"/>
      <w:numFmt w:val="lowerLetter"/>
      <w:lvlText w:val="%2."/>
      <w:lvlJc w:val="left"/>
      <w:pPr>
        <w:ind w:left="932" w:hanging="360"/>
      </w:pPr>
    </w:lvl>
    <w:lvl w:ilvl="2" w:tplc="0405001B" w:tentative="1">
      <w:start w:val="1"/>
      <w:numFmt w:val="lowerRoman"/>
      <w:lvlText w:val="%3."/>
      <w:lvlJc w:val="right"/>
      <w:pPr>
        <w:ind w:left="1652" w:hanging="180"/>
      </w:pPr>
    </w:lvl>
    <w:lvl w:ilvl="3" w:tplc="0405000F" w:tentative="1">
      <w:start w:val="1"/>
      <w:numFmt w:val="decimal"/>
      <w:lvlText w:val="%4."/>
      <w:lvlJc w:val="left"/>
      <w:pPr>
        <w:ind w:left="2372" w:hanging="360"/>
      </w:pPr>
    </w:lvl>
    <w:lvl w:ilvl="4" w:tplc="04050019" w:tentative="1">
      <w:start w:val="1"/>
      <w:numFmt w:val="lowerLetter"/>
      <w:lvlText w:val="%5."/>
      <w:lvlJc w:val="left"/>
      <w:pPr>
        <w:ind w:left="3092" w:hanging="360"/>
      </w:pPr>
    </w:lvl>
    <w:lvl w:ilvl="5" w:tplc="0405001B" w:tentative="1">
      <w:start w:val="1"/>
      <w:numFmt w:val="lowerRoman"/>
      <w:lvlText w:val="%6."/>
      <w:lvlJc w:val="right"/>
      <w:pPr>
        <w:ind w:left="3812" w:hanging="180"/>
      </w:pPr>
    </w:lvl>
    <w:lvl w:ilvl="6" w:tplc="0405000F" w:tentative="1">
      <w:start w:val="1"/>
      <w:numFmt w:val="decimal"/>
      <w:lvlText w:val="%7."/>
      <w:lvlJc w:val="left"/>
      <w:pPr>
        <w:ind w:left="4532" w:hanging="360"/>
      </w:pPr>
    </w:lvl>
    <w:lvl w:ilvl="7" w:tplc="04050019" w:tentative="1">
      <w:start w:val="1"/>
      <w:numFmt w:val="lowerLetter"/>
      <w:lvlText w:val="%8."/>
      <w:lvlJc w:val="left"/>
      <w:pPr>
        <w:ind w:left="5252" w:hanging="360"/>
      </w:pPr>
    </w:lvl>
    <w:lvl w:ilvl="8" w:tplc="0405001B" w:tentative="1">
      <w:start w:val="1"/>
      <w:numFmt w:val="lowerRoman"/>
      <w:lvlText w:val="%9."/>
      <w:lvlJc w:val="right"/>
      <w:pPr>
        <w:ind w:left="5972" w:hanging="180"/>
      </w:pPr>
    </w:lvl>
  </w:abstractNum>
  <w:abstractNum w:abstractNumId="19">
    <w:nsid w:val="428E0569"/>
    <w:multiLevelType w:val="hybridMultilevel"/>
    <w:tmpl w:val="94449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2632FB"/>
    <w:multiLevelType w:val="hybridMultilevel"/>
    <w:tmpl w:val="CA3AB02C"/>
    <w:lvl w:ilvl="0" w:tplc="28F81CD6">
      <w:start w:val="1"/>
      <w:numFmt w:val="decimal"/>
      <w:lvlText w:val="%1)"/>
      <w:lvlJc w:val="left"/>
      <w:pPr>
        <w:ind w:left="720" w:hanging="360"/>
      </w:pPr>
      <w:rPr>
        <w:rFonts w:ascii="Arial" w:hAnsi="Arial" w:cs="Arial"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CE7A50"/>
    <w:multiLevelType w:val="hybridMultilevel"/>
    <w:tmpl w:val="707A9686"/>
    <w:lvl w:ilvl="0" w:tplc="2A0A20F6">
      <w:start w:val="1"/>
      <w:numFmt w:val="decimal"/>
      <w:lvlText w:val="%1)"/>
      <w:lvlJc w:val="left"/>
      <w:pPr>
        <w:ind w:left="-207" w:hanging="360"/>
      </w:pPr>
      <w:rPr>
        <w:rFonts w:hint="default"/>
        <w:vertAlign w:val="superscrip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1"/>
  </w:num>
  <w:num w:numId="14">
    <w:abstractNumId w:val="10"/>
  </w:num>
  <w:num w:numId="15">
    <w:abstractNumId w:val="12"/>
  </w:num>
  <w:num w:numId="16">
    <w:abstractNumId w:val="11"/>
  </w:num>
  <w:num w:numId="17">
    <w:abstractNumId w:val="17"/>
  </w:num>
  <w:num w:numId="18">
    <w:abstractNumId w:val="19"/>
  </w:num>
  <w:num w:numId="19">
    <w:abstractNumId w:val="22"/>
  </w:num>
  <w:num w:numId="20">
    <w:abstractNumId w:val="15"/>
  </w:num>
  <w:num w:numId="21">
    <w:abstractNumId w:val="18"/>
  </w:num>
  <w:num w:numId="22">
    <w:abstractNumId w:val="13"/>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1001"/>
  <w:stylePaneSortMethod w:val="0004"/>
  <w:doNotTrackMoves/>
  <w:defaultTabStop w:val="708"/>
  <w:hyphenationZone w:val="425"/>
  <w:evenAndOddHeaders/>
  <w:drawingGridHorizontalSpacing w:val="100"/>
  <w:displayHorizontalDrawingGridEvery w:val="2"/>
  <w:characterSpacingControl w:val="doNotCompress"/>
  <w:hdrShapeDefaults>
    <o:shapedefaults v:ext="edit" spidmax="7170">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382"/>
    <w:rsid w:val="0000209D"/>
    <w:rsid w:val="00004721"/>
    <w:rsid w:val="00004D5A"/>
    <w:rsid w:val="000056D5"/>
    <w:rsid w:val="0000767A"/>
    <w:rsid w:val="00010702"/>
    <w:rsid w:val="000234D6"/>
    <w:rsid w:val="00023D29"/>
    <w:rsid w:val="00026389"/>
    <w:rsid w:val="00031AE0"/>
    <w:rsid w:val="000322EF"/>
    <w:rsid w:val="00033FCD"/>
    <w:rsid w:val="00041CEC"/>
    <w:rsid w:val="00043F6D"/>
    <w:rsid w:val="00044667"/>
    <w:rsid w:val="0004694F"/>
    <w:rsid w:val="000522E4"/>
    <w:rsid w:val="000610E1"/>
    <w:rsid w:val="00062EC5"/>
    <w:rsid w:val="00062F22"/>
    <w:rsid w:val="00064869"/>
    <w:rsid w:val="000712B3"/>
    <w:rsid w:val="0008263E"/>
    <w:rsid w:val="00082C19"/>
    <w:rsid w:val="00085395"/>
    <w:rsid w:val="00087569"/>
    <w:rsid w:val="00087634"/>
    <w:rsid w:val="00087F2B"/>
    <w:rsid w:val="000974D1"/>
    <w:rsid w:val="0009799E"/>
    <w:rsid w:val="000A1183"/>
    <w:rsid w:val="000A256D"/>
    <w:rsid w:val="000A3A2C"/>
    <w:rsid w:val="000B14FF"/>
    <w:rsid w:val="000C3408"/>
    <w:rsid w:val="000C6AFD"/>
    <w:rsid w:val="000C7FDC"/>
    <w:rsid w:val="000D418C"/>
    <w:rsid w:val="000D5637"/>
    <w:rsid w:val="000E48B4"/>
    <w:rsid w:val="000E6FBD"/>
    <w:rsid w:val="00100F5C"/>
    <w:rsid w:val="00104C4C"/>
    <w:rsid w:val="00107E8D"/>
    <w:rsid w:val="001205D8"/>
    <w:rsid w:val="0012192F"/>
    <w:rsid w:val="00125D69"/>
    <w:rsid w:val="00131846"/>
    <w:rsid w:val="001405FA"/>
    <w:rsid w:val="001425C3"/>
    <w:rsid w:val="0016169F"/>
    <w:rsid w:val="00161BC6"/>
    <w:rsid w:val="0016256B"/>
    <w:rsid w:val="00163793"/>
    <w:rsid w:val="001669D2"/>
    <w:rsid w:val="001706D6"/>
    <w:rsid w:val="001714F2"/>
    <w:rsid w:val="0017712F"/>
    <w:rsid w:val="00184B08"/>
    <w:rsid w:val="00185010"/>
    <w:rsid w:val="00186071"/>
    <w:rsid w:val="001A552F"/>
    <w:rsid w:val="001B2CA9"/>
    <w:rsid w:val="001B3110"/>
    <w:rsid w:val="001B4729"/>
    <w:rsid w:val="001B6C09"/>
    <w:rsid w:val="001C05CD"/>
    <w:rsid w:val="001C795A"/>
    <w:rsid w:val="001D68B2"/>
    <w:rsid w:val="001F4597"/>
    <w:rsid w:val="00207D23"/>
    <w:rsid w:val="002118B9"/>
    <w:rsid w:val="00216B43"/>
    <w:rsid w:val="00217C5B"/>
    <w:rsid w:val="0022139E"/>
    <w:rsid w:val="00224971"/>
    <w:rsid w:val="002252E0"/>
    <w:rsid w:val="002255F6"/>
    <w:rsid w:val="002269AB"/>
    <w:rsid w:val="00227850"/>
    <w:rsid w:val="00227A53"/>
    <w:rsid w:val="00230C6E"/>
    <w:rsid w:val="002315E3"/>
    <w:rsid w:val="00236443"/>
    <w:rsid w:val="002405CB"/>
    <w:rsid w:val="002436BA"/>
    <w:rsid w:val="00244A15"/>
    <w:rsid w:val="00247319"/>
    <w:rsid w:val="0024799E"/>
    <w:rsid w:val="00253C0F"/>
    <w:rsid w:val="00271465"/>
    <w:rsid w:val="00275A70"/>
    <w:rsid w:val="00285412"/>
    <w:rsid w:val="0028655A"/>
    <w:rsid w:val="002A00BE"/>
    <w:rsid w:val="002A16D4"/>
    <w:rsid w:val="002A230C"/>
    <w:rsid w:val="002A311E"/>
    <w:rsid w:val="002A5799"/>
    <w:rsid w:val="002C43BD"/>
    <w:rsid w:val="002D0E59"/>
    <w:rsid w:val="002E02A1"/>
    <w:rsid w:val="002E4E4C"/>
    <w:rsid w:val="002E6C5B"/>
    <w:rsid w:val="00302F01"/>
    <w:rsid w:val="00304771"/>
    <w:rsid w:val="003052D4"/>
    <w:rsid w:val="00306C5B"/>
    <w:rsid w:val="00311229"/>
    <w:rsid w:val="003209D6"/>
    <w:rsid w:val="00321924"/>
    <w:rsid w:val="0032656E"/>
    <w:rsid w:val="00332190"/>
    <w:rsid w:val="00344668"/>
    <w:rsid w:val="003462D9"/>
    <w:rsid w:val="00360C86"/>
    <w:rsid w:val="003657F3"/>
    <w:rsid w:val="003818DC"/>
    <w:rsid w:val="0038246B"/>
    <w:rsid w:val="00384327"/>
    <w:rsid w:val="00385D98"/>
    <w:rsid w:val="003A2B4D"/>
    <w:rsid w:val="003A3673"/>
    <w:rsid w:val="003A478C"/>
    <w:rsid w:val="003A5525"/>
    <w:rsid w:val="003A6B38"/>
    <w:rsid w:val="003B4B72"/>
    <w:rsid w:val="003B5A32"/>
    <w:rsid w:val="003C3490"/>
    <w:rsid w:val="003D6920"/>
    <w:rsid w:val="003E4C91"/>
    <w:rsid w:val="003F313C"/>
    <w:rsid w:val="003F4B2C"/>
    <w:rsid w:val="003F551C"/>
    <w:rsid w:val="003F7D23"/>
    <w:rsid w:val="0040293A"/>
    <w:rsid w:val="00407C13"/>
    <w:rsid w:val="00410638"/>
    <w:rsid w:val="00432A58"/>
    <w:rsid w:val="00434617"/>
    <w:rsid w:val="00435C42"/>
    <w:rsid w:val="00440900"/>
    <w:rsid w:val="004441A0"/>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B6594"/>
    <w:rsid w:val="004C0490"/>
    <w:rsid w:val="004C384C"/>
    <w:rsid w:val="004C3867"/>
    <w:rsid w:val="004C4CD0"/>
    <w:rsid w:val="004C70DC"/>
    <w:rsid w:val="004D0211"/>
    <w:rsid w:val="004D0794"/>
    <w:rsid w:val="004D7B74"/>
    <w:rsid w:val="004F06F5"/>
    <w:rsid w:val="004F33A0"/>
    <w:rsid w:val="004F69CE"/>
    <w:rsid w:val="00500A8A"/>
    <w:rsid w:val="00503E39"/>
    <w:rsid w:val="005108C0"/>
    <w:rsid w:val="00511873"/>
    <w:rsid w:val="00512A2F"/>
    <w:rsid w:val="00513B7E"/>
    <w:rsid w:val="00515C74"/>
    <w:rsid w:val="0052007E"/>
    <w:rsid w:val="0052337A"/>
    <w:rsid w:val="00525137"/>
    <w:rsid w:val="005251DD"/>
    <w:rsid w:val="005307E1"/>
    <w:rsid w:val="00532CE7"/>
    <w:rsid w:val="0053324C"/>
    <w:rsid w:val="00534A28"/>
    <w:rsid w:val="00541508"/>
    <w:rsid w:val="00544C52"/>
    <w:rsid w:val="0055599F"/>
    <w:rsid w:val="00556D68"/>
    <w:rsid w:val="00557456"/>
    <w:rsid w:val="005647BF"/>
    <w:rsid w:val="0057364B"/>
    <w:rsid w:val="00574773"/>
    <w:rsid w:val="00583FFD"/>
    <w:rsid w:val="00584309"/>
    <w:rsid w:val="005911BE"/>
    <w:rsid w:val="00593152"/>
    <w:rsid w:val="005A10F2"/>
    <w:rsid w:val="005A1610"/>
    <w:rsid w:val="005A21E0"/>
    <w:rsid w:val="005A28FF"/>
    <w:rsid w:val="005A3DF8"/>
    <w:rsid w:val="005A5549"/>
    <w:rsid w:val="005B121D"/>
    <w:rsid w:val="005C06ED"/>
    <w:rsid w:val="005D38C8"/>
    <w:rsid w:val="005D5802"/>
    <w:rsid w:val="005D7890"/>
    <w:rsid w:val="005E7C78"/>
    <w:rsid w:val="005F1BB0"/>
    <w:rsid w:val="005F3EB1"/>
    <w:rsid w:val="005F5469"/>
    <w:rsid w:val="005F5FA2"/>
    <w:rsid w:val="00600392"/>
    <w:rsid w:val="0060219B"/>
    <w:rsid w:val="00604307"/>
    <w:rsid w:val="0060487F"/>
    <w:rsid w:val="00604EAD"/>
    <w:rsid w:val="006104FB"/>
    <w:rsid w:val="00612A2F"/>
    <w:rsid w:val="00616E05"/>
    <w:rsid w:val="006214EF"/>
    <w:rsid w:val="00624093"/>
    <w:rsid w:val="006404A7"/>
    <w:rsid w:val="006451E4"/>
    <w:rsid w:val="00645B33"/>
    <w:rsid w:val="00646A76"/>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B7B66"/>
    <w:rsid w:val="006C113F"/>
    <w:rsid w:val="006C123E"/>
    <w:rsid w:val="006C56D4"/>
    <w:rsid w:val="006C6924"/>
    <w:rsid w:val="006C7CA6"/>
    <w:rsid w:val="006D3E8A"/>
    <w:rsid w:val="006D61F6"/>
    <w:rsid w:val="006E279A"/>
    <w:rsid w:val="006E313B"/>
    <w:rsid w:val="006E4CC9"/>
    <w:rsid w:val="006F41CA"/>
    <w:rsid w:val="006F5416"/>
    <w:rsid w:val="006F7137"/>
    <w:rsid w:val="00706AD4"/>
    <w:rsid w:val="007140BE"/>
    <w:rsid w:val="00715C9D"/>
    <w:rsid w:val="007211F5"/>
    <w:rsid w:val="00722C2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94C02"/>
    <w:rsid w:val="007A0F41"/>
    <w:rsid w:val="007A6D49"/>
    <w:rsid w:val="007B6689"/>
    <w:rsid w:val="007B7C7D"/>
    <w:rsid w:val="007D40DF"/>
    <w:rsid w:val="007E667A"/>
    <w:rsid w:val="007E7E61"/>
    <w:rsid w:val="007F0845"/>
    <w:rsid w:val="007F4399"/>
    <w:rsid w:val="007F4532"/>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2FF9"/>
    <w:rsid w:val="008873D4"/>
    <w:rsid w:val="00893E85"/>
    <w:rsid w:val="00894031"/>
    <w:rsid w:val="008B7C02"/>
    <w:rsid w:val="008B7D2B"/>
    <w:rsid w:val="008C0049"/>
    <w:rsid w:val="008C0E88"/>
    <w:rsid w:val="008C684C"/>
    <w:rsid w:val="008D1E6A"/>
    <w:rsid w:val="008D2A16"/>
    <w:rsid w:val="008E2C57"/>
    <w:rsid w:val="008E31FF"/>
    <w:rsid w:val="008E6F06"/>
    <w:rsid w:val="008F029B"/>
    <w:rsid w:val="008F3FC9"/>
    <w:rsid w:val="008F585B"/>
    <w:rsid w:val="008F7AD4"/>
    <w:rsid w:val="009003A8"/>
    <w:rsid w:val="00901FF2"/>
    <w:rsid w:val="00902500"/>
    <w:rsid w:val="00902EFF"/>
    <w:rsid w:val="00906401"/>
    <w:rsid w:val="0091155E"/>
    <w:rsid w:val="00912A92"/>
    <w:rsid w:val="0091728D"/>
    <w:rsid w:val="0092180B"/>
    <w:rsid w:val="00921F14"/>
    <w:rsid w:val="00924AC8"/>
    <w:rsid w:val="0092597A"/>
    <w:rsid w:val="00932443"/>
    <w:rsid w:val="00937AE2"/>
    <w:rsid w:val="0094427A"/>
    <w:rsid w:val="00944A3B"/>
    <w:rsid w:val="00947A2C"/>
    <w:rsid w:val="00954DD8"/>
    <w:rsid w:val="00963C66"/>
    <w:rsid w:val="00974923"/>
    <w:rsid w:val="0097636A"/>
    <w:rsid w:val="00980D3D"/>
    <w:rsid w:val="00987A30"/>
    <w:rsid w:val="00992CF3"/>
    <w:rsid w:val="009968D6"/>
    <w:rsid w:val="009A1CAB"/>
    <w:rsid w:val="009A60D1"/>
    <w:rsid w:val="009B0DDB"/>
    <w:rsid w:val="009B6FD3"/>
    <w:rsid w:val="009C1750"/>
    <w:rsid w:val="009C2E29"/>
    <w:rsid w:val="009C554B"/>
    <w:rsid w:val="009C719E"/>
    <w:rsid w:val="009D3ACD"/>
    <w:rsid w:val="009E5273"/>
    <w:rsid w:val="009E5DDB"/>
    <w:rsid w:val="009F4CA7"/>
    <w:rsid w:val="00A0370B"/>
    <w:rsid w:val="00A10D66"/>
    <w:rsid w:val="00A12C6B"/>
    <w:rsid w:val="00A14114"/>
    <w:rsid w:val="00A16413"/>
    <w:rsid w:val="00A23E43"/>
    <w:rsid w:val="00A30F65"/>
    <w:rsid w:val="00A344E4"/>
    <w:rsid w:val="00A418BC"/>
    <w:rsid w:val="00A45E38"/>
    <w:rsid w:val="00A46DE0"/>
    <w:rsid w:val="00A50D73"/>
    <w:rsid w:val="00A52CAD"/>
    <w:rsid w:val="00A53FC7"/>
    <w:rsid w:val="00A62CE1"/>
    <w:rsid w:val="00A6741E"/>
    <w:rsid w:val="00A75E40"/>
    <w:rsid w:val="00A77D1D"/>
    <w:rsid w:val="00A857C0"/>
    <w:rsid w:val="00A97EFA"/>
    <w:rsid w:val="00AA2996"/>
    <w:rsid w:val="00AA52BF"/>
    <w:rsid w:val="00AA559A"/>
    <w:rsid w:val="00AB2AF1"/>
    <w:rsid w:val="00AD306C"/>
    <w:rsid w:val="00AE09B3"/>
    <w:rsid w:val="00AE1A83"/>
    <w:rsid w:val="00AE1CDC"/>
    <w:rsid w:val="00AE670B"/>
    <w:rsid w:val="00AF6470"/>
    <w:rsid w:val="00B00913"/>
    <w:rsid w:val="00B01593"/>
    <w:rsid w:val="00B0245A"/>
    <w:rsid w:val="00B10A4D"/>
    <w:rsid w:val="00B1159B"/>
    <w:rsid w:val="00B1557F"/>
    <w:rsid w:val="00B15659"/>
    <w:rsid w:val="00B17E71"/>
    <w:rsid w:val="00B17FDE"/>
    <w:rsid w:val="00B21295"/>
    <w:rsid w:val="00B2379C"/>
    <w:rsid w:val="00B261B7"/>
    <w:rsid w:val="00B2687D"/>
    <w:rsid w:val="00B32DDB"/>
    <w:rsid w:val="00B34528"/>
    <w:rsid w:val="00B402FC"/>
    <w:rsid w:val="00B405D1"/>
    <w:rsid w:val="00B41E17"/>
    <w:rsid w:val="00B46604"/>
    <w:rsid w:val="00B530CD"/>
    <w:rsid w:val="00B55F5E"/>
    <w:rsid w:val="00B5752E"/>
    <w:rsid w:val="00B63A11"/>
    <w:rsid w:val="00B64C24"/>
    <w:rsid w:val="00B6608F"/>
    <w:rsid w:val="00B66950"/>
    <w:rsid w:val="00B679FB"/>
    <w:rsid w:val="00B76D1E"/>
    <w:rsid w:val="00B80EC6"/>
    <w:rsid w:val="00B8513E"/>
    <w:rsid w:val="00B86977"/>
    <w:rsid w:val="00B91411"/>
    <w:rsid w:val="00B92D1D"/>
    <w:rsid w:val="00B938C5"/>
    <w:rsid w:val="00B95940"/>
    <w:rsid w:val="00BB46F3"/>
    <w:rsid w:val="00BB4CB1"/>
    <w:rsid w:val="00BB4F98"/>
    <w:rsid w:val="00BC7154"/>
    <w:rsid w:val="00BD366B"/>
    <w:rsid w:val="00BD6D50"/>
    <w:rsid w:val="00BE18B9"/>
    <w:rsid w:val="00BE2495"/>
    <w:rsid w:val="00BE7698"/>
    <w:rsid w:val="00BF1578"/>
    <w:rsid w:val="00C21F94"/>
    <w:rsid w:val="00C27913"/>
    <w:rsid w:val="00C27ECC"/>
    <w:rsid w:val="00C33B68"/>
    <w:rsid w:val="00C36A79"/>
    <w:rsid w:val="00C405D4"/>
    <w:rsid w:val="00C4513B"/>
    <w:rsid w:val="00C54697"/>
    <w:rsid w:val="00C73885"/>
    <w:rsid w:val="00C73D1B"/>
    <w:rsid w:val="00C747B1"/>
    <w:rsid w:val="00C82191"/>
    <w:rsid w:val="00C8600F"/>
    <w:rsid w:val="00C90CF4"/>
    <w:rsid w:val="00C92EB6"/>
    <w:rsid w:val="00C93389"/>
    <w:rsid w:val="00CA1BEC"/>
    <w:rsid w:val="00CB3041"/>
    <w:rsid w:val="00CB4930"/>
    <w:rsid w:val="00CC2E7D"/>
    <w:rsid w:val="00CD10A5"/>
    <w:rsid w:val="00CD2076"/>
    <w:rsid w:val="00CD3593"/>
    <w:rsid w:val="00CD67B6"/>
    <w:rsid w:val="00CE08A5"/>
    <w:rsid w:val="00CE670B"/>
    <w:rsid w:val="00CF51EC"/>
    <w:rsid w:val="00CF73AE"/>
    <w:rsid w:val="00D040DD"/>
    <w:rsid w:val="00D13986"/>
    <w:rsid w:val="00D14FA7"/>
    <w:rsid w:val="00D157AD"/>
    <w:rsid w:val="00D16837"/>
    <w:rsid w:val="00D22DB3"/>
    <w:rsid w:val="00D235B7"/>
    <w:rsid w:val="00D25F28"/>
    <w:rsid w:val="00D27973"/>
    <w:rsid w:val="00D50F46"/>
    <w:rsid w:val="00D66223"/>
    <w:rsid w:val="00D7626D"/>
    <w:rsid w:val="00D8084C"/>
    <w:rsid w:val="00D83178"/>
    <w:rsid w:val="00D8415C"/>
    <w:rsid w:val="00D84174"/>
    <w:rsid w:val="00D90076"/>
    <w:rsid w:val="00D9786F"/>
    <w:rsid w:val="00DA7C0C"/>
    <w:rsid w:val="00DB2EC8"/>
    <w:rsid w:val="00DB56A2"/>
    <w:rsid w:val="00DB6382"/>
    <w:rsid w:val="00DC5B3B"/>
    <w:rsid w:val="00DC745D"/>
    <w:rsid w:val="00DD129F"/>
    <w:rsid w:val="00DF42FF"/>
    <w:rsid w:val="00DF5C19"/>
    <w:rsid w:val="00E01C0E"/>
    <w:rsid w:val="00E03F9A"/>
    <w:rsid w:val="00E04694"/>
    <w:rsid w:val="00E12B1E"/>
    <w:rsid w:val="00E16AE6"/>
    <w:rsid w:val="00E17262"/>
    <w:rsid w:val="00E253A2"/>
    <w:rsid w:val="00E3309D"/>
    <w:rsid w:val="00E450D9"/>
    <w:rsid w:val="00E50156"/>
    <w:rsid w:val="00E506B2"/>
    <w:rsid w:val="00E53470"/>
    <w:rsid w:val="00E539F6"/>
    <w:rsid w:val="00E6519D"/>
    <w:rsid w:val="00E67696"/>
    <w:rsid w:val="00E71A58"/>
    <w:rsid w:val="00E72A7A"/>
    <w:rsid w:val="00E75C94"/>
    <w:rsid w:val="00E77FDD"/>
    <w:rsid w:val="00E8591F"/>
    <w:rsid w:val="00E90EA6"/>
    <w:rsid w:val="00E93820"/>
    <w:rsid w:val="00EA0C68"/>
    <w:rsid w:val="00EA2D0C"/>
    <w:rsid w:val="00EA32BC"/>
    <w:rsid w:val="00EB4511"/>
    <w:rsid w:val="00EC03D7"/>
    <w:rsid w:val="00EC42F4"/>
    <w:rsid w:val="00ED62C6"/>
    <w:rsid w:val="00ED64C1"/>
    <w:rsid w:val="00EE3446"/>
    <w:rsid w:val="00EE3E78"/>
    <w:rsid w:val="00EE4B1B"/>
    <w:rsid w:val="00EE6FF8"/>
    <w:rsid w:val="00EF150D"/>
    <w:rsid w:val="00EF1710"/>
    <w:rsid w:val="00EF1F5A"/>
    <w:rsid w:val="00EF47BF"/>
    <w:rsid w:val="00F04811"/>
    <w:rsid w:val="00F0488C"/>
    <w:rsid w:val="00F05F5E"/>
    <w:rsid w:val="00F10F11"/>
    <w:rsid w:val="00F1429D"/>
    <w:rsid w:val="00F15AAA"/>
    <w:rsid w:val="00F15BEF"/>
    <w:rsid w:val="00F17074"/>
    <w:rsid w:val="00F24407"/>
    <w:rsid w:val="00F24FAA"/>
    <w:rsid w:val="00F3364D"/>
    <w:rsid w:val="00F40D51"/>
    <w:rsid w:val="00F437CC"/>
    <w:rsid w:val="00F47067"/>
    <w:rsid w:val="00F525EB"/>
    <w:rsid w:val="00F63DDE"/>
    <w:rsid w:val="00F63FB7"/>
    <w:rsid w:val="00F649D2"/>
    <w:rsid w:val="00F6602B"/>
    <w:rsid w:val="00F7260E"/>
    <w:rsid w:val="00F73A0C"/>
    <w:rsid w:val="00F756DB"/>
    <w:rsid w:val="00F85066"/>
    <w:rsid w:val="00F9539D"/>
    <w:rsid w:val="00FA5D25"/>
    <w:rsid w:val="00FA5D4D"/>
    <w:rsid w:val="00FB0EE2"/>
    <w:rsid w:val="00FB2021"/>
    <w:rsid w:val="00FB542E"/>
    <w:rsid w:val="00FC0E5F"/>
    <w:rsid w:val="00FC1A95"/>
    <w:rsid w:val="00FC2440"/>
    <w:rsid w:val="00FC56DE"/>
    <w:rsid w:val="00FC684B"/>
    <w:rsid w:val="00FC73E3"/>
    <w:rsid w:val="00FD3265"/>
    <w:rsid w:val="00FE2F78"/>
    <w:rsid w:val="00FF70C7"/>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544C52"/>
    <w:pPr>
      <w:keepNext/>
      <w:keepLines/>
      <w:spacing w:before="240" w:after="24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544C52"/>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9539D"/>
    <w:pPr>
      <w:spacing w:line="480" w:lineRule="auto"/>
    </w:pPr>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titul">
    <w:name w:val="Subtitle"/>
    <w:link w:val="PodtitulChar"/>
    <w:uiPriority w:val="11"/>
    <w:qFormat/>
    <w:rsid w:val="004900FF"/>
    <w:pPr>
      <w:spacing w:line="288" w:lineRule="auto"/>
    </w:pPr>
    <w:rPr>
      <w:rFonts w:ascii="Arial" w:eastAsia="Times New Roman" w:hAnsi="Arial"/>
      <w:b/>
      <w:color w:val="BC091B"/>
      <w:sz w:val="28"/>
      <w:szCs w:val="24"/>
    </w:rPr>
  </w:style>
  <w:style w:type="character" w:customStyle="1" w:styleId="PodtitulChar">
    <w:name w:val="Podtitul Char"/>
    <w:link w:val="Podtitul"/>
    <w:uiPriority w:val="11"/>
    <w:rsid w:val="004900FF"/>
    <w:rPr>
      <w:rFonts w:ascii="Arial" w:eastAsia="Times New Roman" w:hAnsi="Arial"/>
      <w:b/>
      <w:color w:val="BC091B"/>
      <w:sz w:val="28"/>
      <w:szCs w:val="24"/>
      <w:lang w:bidi="ar-SA"/>
    </w:rPr>
  </w:style>
  <w:style w:type="paragraph" w:styleId="Nadpisobsahu">
    <w:name w:val="TOC Heading"/>
    <w:basedOn w:val="Nadpis1"/>
    <w:next w:val="Normln"/>
    <w:uiPriority w:val="39"/>
    <w:semiHidden/>
    <w:unhideWhenUsed/>
    <w:qFormat/>
    <w:rsid w:val="00DB6382"/>
    <w:pPr>
      <w:spacing w:before="480" w:after="0" w:line="276" w:lineRule="auto"/>
      <w:contextualSpacing w:val="0"/>
      <w:outlineLvl w:val="9"/>
    </w:pPr>
    <w:rPr>
      <w:rFonts w:ascii="Cambria" w:eastAsia="Times New Roman" w:hAnsi="Cambria"/>
      <w:color w:val="365F91"/>
      <w:sz w:val="28"/>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9539D"/>
    <w:pPr>
      <w:ind w:left="426"/>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59"/>
    <w:rsid w:val="00EE6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087569"/>
    <w:rPr>
      <w:szCs w:val="20"/>
    </w:rPr>
  </w:style>
  <w:style w:type="character" w:customStyle="1" w:styleId="TextpoznpodarouChar">
    <w:name w:val="Text pozn. pod čarou Char"/>
    <w:basedOn w:val="Standardnpsmoodstavce"/>
    <w:link w:val="Textpoznpodarou"/>
    <w:uiPriority w:val="99"/>
    <w:semiHidden/>
    <w:rsid w:val="00087569"/>
    <w:rPr>
      <w:rFonts w:ascii="Arial" w:eastAsia="Times New Roman" w:hAnsi="Arial"/>
    </w:rPr>
  </w:style>
  <w:style w:type="character" w:styleId="Znakapoznpodarou">
    <w:name w:val="footnote reference"/>
    <w:basedOn w:val="Standardnpsmoodstavce"/>
    <w:uiPriority w:val="99"/>
    <w:semiHidden/>
    <w:unhideWhenUsed/>
    <w:rsid w:val="00087569"/>
    <w:rPr>
      <w:vertAlign w:val="superscript"/>
    </w:rPr>
  </w:style>
  <w:style w:type="character" w:styleId="Odkaznakoment">
    <w:name w:val="annotation reference"/>
    <w:basedOn w:val="Standardnpsmoodstavce"/>
    <w:uiPriority w:val="99"/>
    <w:semiHidden/>
    <w:unhideWhenUsed/>
    <w:rsid w:val="00311229"/>
    <w:rPr>
      <w:sz w:val="16"/>
      <w:szCs w:val="16"/>
    </w:rPr>
  </w:style>
  <w:style w:type="paragraph" w:styleId="Textkomente">
    <w:name w:val="annotation text"/>
    <w:basedOn w:val="Normln"/>
    <w:link w:val="TextkomenteChar"/>
    <w:uiPriority w:val="99"/>
    <w:semiHidden/>
    <w:unhideWhenUsed/>
    <w:rsid w:val="00311229"/>
    <w:rPr>
      <w:szCs w:val="20"/>
    </w:rPr>
  </w:style>
  <w:style w:type="character" w:customStyle="1" w:styleId="TextkomenteChar">
    <w:name w:val="Text komentáře Char"/>
    <w:basedOn w:val="Standardnpsmoodstavce"/>
    <w:link w:val="Textkomente"/>
    <w:uiPriority w:val="99"/>
    <w:semiHidden/>
    <w:rsid w:val="0031122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11229"/>
    <w:rPr>
      <w:b/>
      <w:bCs/>
    </w:rPr>
  </w:style>
  <w:style w:type="character" w:customStyle="1" w:styleId="PedmtkomenteChar">
    <w:name w:val="Předmět komentáře Char"/>
    <w:basedOn w:val="TextkomenteChar"/>
    <w:link w:val="Pedmtkomente"/>
    <w:uiPriority w:val="99"/>
    <w:semiHidden/>
    <w:rsid w:val="00311229"/>
    <w:rPr>
      <w:b/>
      <w:bCs/>
    </w:rPr>
  </w:style>
  <w:style w:type="paragraph" w:customStyle="1" w:styleId="Default">
    <w:name w:val="Default"/>
    <w:rsid w:val="00D8415C"/>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uiPriority w:val="99"/>
    <w:semiHidden/>
    <w:unhideWhenUsed/>
    <w:rsid w:val="00F1707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074"/>
    <w:rPr>
      <w:rFonts w:ascii="Arial" w:eastAsia="Times New Roman" w:hAnsi="Arial"/>
      <w:szCs w:val="24"/>
    </w:rPr>
  </w:style>
  <w:style w:type="paragraph" w:styleId="Seznamsodrkami2">
    <w:name w:val="List Bullet 2"/>
    <w:basedOn w:val="Normln"/>
    <w:autoRedefine/>
    <w:uiPriority w:val="99"/>
    <w:unhideWhenUsed/>
    <w:rsid w:val="00F17074"/>
    <w:pPr>
      <w:spacing w:after="0" w:line="240"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3335765">
      <w:bodyDiv w:val="1"/>
      <w:marLeft w:val="0"/>
      <w:marRight w:val="0"/>
      <w:marTop w:val="0"/>
      <w:marBottom w:val="0"/>
      <w:divBdr>
        <w:top w:val="none" w:sz="0" w:space="0" w:color="auto"/>
        <w:left w:val="none" w:sz="0" w:space="0" w:color="auto"/>
        <w:bottom w:val="none" w:sz="0" w:space="0" w:color="auto"/>
        <w:right w:val="none" w:sz="0" w:space="0" w:color="auto"/>
      </w:divBdr>
    </w:div>
    <w:div w:id="107354285">
      <w:bodyDiv w:val="1"/>
      <w:marLeft w:val="0"/>
      <w:marRight w:val="0"/>
      <w:marTop w:val="0"/>
      <w:marBottom w:val="0"/>
      <w:divBdr>
        <w:top w:val="none" w:sz="0" w:space="0" w:color="auto"/>
        <w:left w:val="none" w:sz="0" w:space="0" w:color="auto"/>
        <w:bottom w:val="none" w:sz="0" w:space="0" w:color="auto"/>
        <w:right w:val="none" w:sz="0" w:space="0" w:color="auto"/>
      </w:divBdr>
    </w:div>
    <w:div w:id="126553671">
      <w:bodyDiv w:val="1"/>
      <w:marLeft w:val="0"/>
      <w:marRight w:val="0"/>
      <w:marTop w:val="0"/>
      <w:marBottom w:val="0"/>
      <w:divBdr>
        <w:top w:val="none" w:sz="0" w:space="0" w:color="auto"/>
        <w:left w:val="none" w:sz="0" w:space="0" w:color="auto"/>
        <w:bottom w:val="none" w:sz="0" w:space="0" w:color="auto"/>
        <w:right w:val="none" w:sz="0" w:space="0" w:color="auto"/>
      </w:divBdr>
    </w:div>
    <w:div w:id="222788653">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5604331">
      <w:bodyDiv w:val="1"/>
      <w:marLeft w:val="0"/>
      <w:marRight w:val="0"/>
      <w:marTop w:val="0"/>
      <w:marBottom w:val="0"/>
      <w:divBdr>
        <w:top w:val="none" w:sz="0" w:space="0" w:color="auto"/>
        <w:left w:val="none" w:sz="0" w:space="0" w:color="auto"/>
        <w:bottom w:val="none" w:sz="0" w:space="0" w:color="auto"/>
        <w:right w:val="none" w:sz="0" w:space="0" w:color="auto"/>
      </w:divBdr>
    </w:div>
    <w:div w:id="294144084">
      <w:bodyDiv w:val="1"/>
      <w:marLeft w:val="0"/>
      <w:marRight w:val="0"/>
      <w:marTop w:val="0"/>
      <w:marBottom w:val="0"/>
      <w:divBdr>
        <w:top w:val="none" w:sz="0" w:space="0" w:color="auto"/>
        <w:left w:val="none" w:sz="0" w:space="0" w:color="auto"/>
        <w:bottom w:val="none" w:sz="0" w:space="0" w:color="auto"/>
        <w:right w:val="none" w:sz="0" w:space="0" w:color="auto"/>
      </w:divBdr>
    </w:div>
    <w:div w:id="297878521">
      <w:bodyDiv w:val="1"/>
      <w:marLeft w:val="0"/>
      <w:marRight w:val="0"/>
      <w:marTop w:val="0"/>
      <w:marBottom w:val="0"/>
      <w:divBdr>
        <w:top w:val="none" w:sz="0" w:space="0" w:color="auto"/>
        <w:left w:val="none" w:sz="0" w:space="0" w:color="auto"/>
        <w:bottom w:val="none" w:sz="0" w:space="0" w:color="auto"/>
        <w:right w:val="none" w:sz="0" w:space="0" w:color="auto"/>
      </w:divBdr>
    </w:div>
    <w:div w:id="306864837">
      <w:bodyDiv w:val="1"/>
      <w:marLeft w:val="0"/>
      <w:marRight w:val="0"/>
      <w:marTop w:val="0"/>
      <w:marBottom w:val="0"/>
      <w:divBdr>
        <w:top w:val="none" w:sz="0" w:space="0" w:color="auto"/>
        <w:left w:val="none" w:sz="0" w:space="0" w:color="auto"/>
        <w:bottom w:val="none" w:sz="0" w:space="0" w:color="auto"/>
        <w:right w:val="none" w:sz="0" w:space="0" w:color="auto"/>
      </w:divBdr>
    </w:div>
    <w:div w:id="310015693">
      <w:bodyDiv w:val="1"/>
      <w:marLeft w:val="0"/>
      <w:marRight w:val="0"/>
      <w:marTop w:val="0"/>
      <w:marBottom w:val="0"/>
      <w:divBdr>
        <w:top w:val="none" w:sz="0" w:space="0" w:color="auto"/>
        <w:left w:val="none" w:sz="0" w:space="0" w:color="auto"/>
        <w:bottom w:val="none" w:sz="0" w:space="0" w:color="auto"/>
        <w:right w:val="none" w:sz="0" w:space="0" w:color="auto"/>
      </w:divBdr>
    </w:div>
    <w:div w:id="349651884">
      <w:bodyDiv w:val="1"/>
      <w:marLeft w:val="0"/>
      <w:marRight w:val="0"/>
      <w:marTop w:val="0"/>
      <w:marBottom w:val="0"/>
      <w:divBdr>
        <w:top w:val="none" w:sz="0" w:space="0" w:color="auto"/>
        <w:left w:val="none" w:sz="0" w:space="0" w:color="auto"/>
        <w:bottom w:val="none" w:sz="0" w:space="0" w:color="auto"/>
        <w:right w:val="none" w:sz="0" w:space="0" w:color="auto"/>
      </w:divBdr>
    </w:div>
    <w:div w:id="367335944">
      <w:bodyDiv w:val="1"/>
      <w:marLeft w:val="0"/>
      <w:marRight w:val="0"/>
      <w:marTop w:val="0"/>
      <w:marBottom w:val="0"/>
      <w:divBdr>
        <w:top w:val="none" w:sz="0" w:space="0" w:color="auto"/>
        <w:left w:val="none" w:sz="0" w:space="0" w:color="auto"/>
        <w:bottom w:val="none" w:sz="0" w:space="0" w:color="auto"/>
        <w:right w:val="none" w:sz="0" w:space="0" w:color="auto"/>
      </w:divBdr>
    </w:div>
    <w:div w:id="448820682">
      <w:bodyDiv w:val="1"/>
      <w:marLeft w:val="0"/>
      <w:marRight w:val="0"/>
      <w:marTop w:val="0"/>
      <w:marBottom w:val="0"/>
      <w:divBdr>
        <w:top w:val="none" w:sz="0" w:space="0" w:color="auto"/>
        <w:left w:val="none" w:sz="0" w:space="0" w:color="auto"/>
        <w:bottom w:val="none" w:sz="0" w:space="0" w:color="auto"/>
        <w:right w:val="none" w:sz="0" w:space="0" w:color="auto"/>
      </w:divBdr>
    </w:div>
    <w:div w:id="49028904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292452">
      <w:bodyDiv w:val="1"/>
      <w:marLeft w:val="0"/>
      <w:marRight w:val="0"/>
      <w:marTop w:val="0"/>
      <w:marBottom w:val="0"/>
      <w:divBdr>
        <w:top w:val="none" w:sz="0" w:space="0" w:color="auto"/>
        <w:left w:val="none" w:sz="0" w:space="0" w:color="auto"/>
        <w:bottom w:val="none" w:sz="0" w:space="0" w:color="auto"/>
        <w:right w:val="none" w:sz="0" w:space="0" w:color="auto"/>
      </w:divBdr>
    </w:div>
    <w:div w:id="524682877">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0263244">
      <w:bodyDiv w:val="1"/>
      <w:marLeft w:val="0"/>
      <w:marRight w:val="0"/>
      <w:marTop w:val="0"/>
      <w:marBottom w:val="0"/>
      <w:divBdr>
        <w:top w:val="none" w:sz="0" w:space="0" w:color="auto"/>
        <w:left w:val="none" w:sz="0" w:space="0" w:color="auto"/>
        <w:bottom w:val="none" w:sz="0" w:space="0" w:color="auto"/>
        <w:right w:val="none" w:sz="0" w:space="0" w:color="auto"/>
      </w:divBdr>
    </w:div>
    <w:div w:id="589392418">
      <w:bodyDiv w:val="1"/>
      <w:marLeft w:val="0"/>
      <w:marRight w:val="0"/>
      <w:marTop w:val="0"/>
      <w:marBottom w:val="0"/>
      <w:divBdr>
        <w:top w:val="none" w:sz="0" w:space="0" w:color="auto"/>
        <w:left w:val="none" w:sz="0" w:space="0" w:color="auto"/>
        <w:bottom w:val="none" w:sz="0" w:space="0" w:color="auto"/>
        <w:right w:val="none" w:sz="0" w:space="0" w:color="auto"/>
      </w:divBdr>
    </w:div>
    <w:div w:id="589510218">
      <w:bodyDiv w:val="1"/>
      <w:marLeft w:val="0"/>
      <w:marRight w:val="0"/>
      <w:marTop w:val="0"/>
      <w:marBottom w:val="0"/>
      <w:divBdr>
        <w:top w:val="none" w:sz="0" w:space="0" w:color="auto"/>
        <w:left w:val="none" w:sz="0" w:space="0" w:color="auto"/>
        <w:bottom w:val="none" w:sz="0" w:space="0" w:color="auto"/>
        <w:right w:val="none" w:sz="0" w:space="0" w:color="auto"/>
      </w:divBdr>
    </w:div>
    <w:div w:id="601650656">
      <w:bodyDiv w:val="1"/>
      <w:marLeft w:val="0"/>
      <w:marRight w:val="0"/>
      <w:marTop w:val="0"/>
      <w:marBottom w:val="0"/>
      <w:divBdr>
        <w:top w:val="none" w:sz="0" w:space="0" w:color="auto"/>
        <w:left w:val="none" w:sz="0" w:space="0" w:color="auto"/>
        <w:bottom w:val="none" w:sz="0" w:space="0" w:color="auto"/>
        <w:right w:val="none" w:sz="0" w:space="0" w:color="auto"/>
      </w:divBdr>
    </w:div>
    <w:div w:id="63132717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5736648">
      <w:bodyDiv w:val="1"/>
      <w:marLeft w:val="0"/>
      <w:marRight w:val="0"/>
      <w:marTop w:val="0"/>
      <w:marBottom w:val="0"/>
      <w:divBdr>
        <w:top w:val="none" w:sz="0" w:space="0" w:color="auto"/>
        <w:left w:val="none" w:sz="0" w:space="0" w:color="auto"/>
        <w:bottom w:val="none" w:sz="0" w:space="0" w:color="auto"/>
        <w:right w:val="none" w:sz="0" w:space="0" w:color="auto"/>
      </w:divBdr>
    </w:div>
    <w:div w:id="726925808">
      <w:bodyDiv w:val="1"/>
      <w:marLeft w:val="0"/>
      <w:marRight w:val="0"/>
      <w:marTop w:val="0"/>
      <w:marBottom w:val="0"/>
      <w:divBdr>
        <w:top w:val="none" w:sz="0" w:space="0" w:color="auto"/>
        <w:left w:val="none" w:sz="0" w:space="0" w:color="auto"/>
        <w:bottom w:val="none" w:sz="0" w:space="0" w:color="auto"/>
        <w:right w:val="none" w:sz="0" w:space="0" w:color="auto"/>
      </w:divBdr>
    </w:div>
    <w:div w:id="742214059">
      <w:bodyDiv w:val="1"/>
      <w:marLeft w:val="0"/>
      <w:marRight w:val="0"/>
      <w:marTop w:val="0"/>
      <w:marBottom w:val="0"/>
      <w:divBdr>
        <w:top w:val="none" w:sz="0" w:space="0" w:color="auto"/>
        <w:left w:val="none" w:sz="0" w:space="0" w:color="auto"/>
        <w:bottom w:val="none" w:sz="0" w:space="0" w:color="auto"/>
        <w:right w:val="none" w:sz="0" w:space="0" w:color="auto"/>
      </w:divBdr>
    </w:div>
    <w:div w:id="813567036">
      <w:bodyDiv w:val="1"/>
      <w:marLeft w:val="0"/>
      <w:marRight w:val="0"/>
      <w:marTop w:val="0"/>
      <w:marBottom w:val="0"/>
      <w:divBdr>
        <w:top w:val="none" w:sz="0" w:space="0" w:color="auto"/>
        <w:left w:val="none" w:sz="0" w:space="0" w:color="auto"/>
        <w:bottom w:val="none" w:sz="0" w:space="0" w:color="auto"/>
        <w:right w:val="none" w:sz="0" w:space="0" w:color="auto"/>
      </w:divBdr>
    </w:div>
    <w:div w:id="903486380">
      <w:bodyDiv w:val="1"/>
      <w:marLeft w:val="0"/>
      <w:marRight w:val="0"/>
      <w:marTop w:val="0"/>
      <w:marBottom w:val="0"/>
      <w:divBdr>
        <w:top w:val="none" w:sz="0" w:space="0" w:color="auto"/>
        <w:left w:val="none" w:sz="0" w:space="0" w:color="auto"/>
        <w:bottom w:val="none" w:sz="0" w:space="0" w:color="auto"/>
        <w:right w:val="none" w:sz="0" w:space="0" w:color="auto"/>
      </w:divBdr>
    </w:div>
    <w:div w:id="936795066">
      <w:bodyDiv w:val="1"/>
      <w:marLeft w:val="0"/>
      <w:marRight w:val="0"/>
      <w:marTop w:val="0"/>
      <w:marBottom w:val="0"/>
      <w:divBdr>
        <w:top w:val="none" w:sz="0" w:space="0" w:color="auto"/>
        <w:left w:val="none" w:sz="0" w:space="0" w:color="auto"/>
        <w:bottom w:val="none" w:sz="0" w:space="0" w:color="auto"/>
        <w:right w:val="none" w:sz="0" w:space="0" w:color="auto"/>
      </w:divBdr>
    </w:div>
    <w:div w:id="945846299">
      <w:bodyDiv w:val="1"/>
      <w:marLeft w:val="0"/>
      <w:marRight w:val="0"/>
      <w:marTop w:val="0"/>
      <w:marBottom w:val="0"/>
      <w:divBdr>
        <w:top w:val="none" w:sz="0" w:space="0" w:color="auto"/>
        <w:left w:val="none" w:sz="0" w:space="0" w:color="auto"/>
        <w:bottom w:val="none" w:sz="0" w:space="0" w:color="auto"/>
        <w:right w:val="none" w:sz="0" w:space="0" w:color="auto"/>
      </w:divBdr>
    </w:div>
    <w:div w:id="1083338904">
      <w:bodyDiv w:val="1"/>
      <w:marLeft w:val="0"/>
      <w:marRight w:val="0"/>
      <w:marTop w:val="0"/>
      <w:marBottom w:val="0"/>
      <w:divBdr>
        <w:top w:val="none" w:sz="0" w:space="0" w:color="auto"/>
        <w:left w:val="none" w:sz="0" w:space="0" w:color="auto"/>
        <w:bottom w:val="none" w:sz="0" w:space="0" w:color="auto"/>
        <w:right w:val="none" w:sz="0" w:space="0" w:color="auto"/>
      </w:divBdr>
    </w:div>
    <w:div w:id="110063791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6551455">
      <w:bodyDiv w:val="1"/>
      <w:marLeft w:val="0"/>
      <w:marRight w:val="0"/>
      <w:marTop w:val="0"/>
      <w:marBottom w:val="0"/>
      <w:divBdr>
        <w:top w:val="none" w:sz="0" w:space="0" w:color="auto"/>
        <w:left w:val="none" w:sz="0" w:space="0" w:color="auto"/>
        <w:bottom w:val="none" w:sz="0" w:space="0" w:color="auto"/>
        <w:right w:val="none" w:sz="0" w:space="0" w:color="auto"/>
      </w:divBdr>
    </w:div>
    <w:div w:id="1295406421">
      <w:bodyDiv w:val="1"/>
      <w:marLeft w:val="0"/>
      <w:marRight w:val="0"/>
      <w:marTop w:val="0"/>
      <w:marBottom w:val="0"/>
      <w:divBdr>
        <w:top w:val="none" w:sz="0" w:space="0" w:color="auto"/>
        <w:left w:val="none" w:sz="0" w:space="0" w:color="auto"/>
        <w:bottom w:val="none" w:sz="0" w:space="0" w:color="auto"/>
        <w:right w:val="none" w:sz="0" w:space="0" w:color="auto"/>
      </w:divBdr>
    </w:div>
    <w:div w:id="13452028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745173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00342100">
      <w:bodyDiv w:val="1"/>
      <w:marLeft w:val="0"/>
      <w:marRight w:val="0"/>
      <w:marTop w:val="0"/>
      <w:marBottom w:val="0"/>
      <w:divBdr>
        <w:top w:val="none" w:sz="0" w:space="0" w:color="auto"/>
        <w:left w:val="none" w:sz="0" w:space="0" w:color="auto"/>
        <w:bottom w:val="none" w:sz="0" w:space="0" w:color="auto"/>
        <w:right w:val="none" w:sz="0" w:space="0" w:color="auto"/>
      </w:divBdr>
    </w:div>
    <w:div w:id="1503400420">
      <w:bodyDiv w:val="1"/>
      <w:marLeft w:val="0"/>
      <w:marRight w:val="0"/>
      <w:marTop w:val="0"/>
      <w:marBottom w:val="0"/>
      <w:divBdr>
        <w:top w:val="none" w:sz="0" w:space="0" w:color="auto"/>
        <w:left w:val="none" w:sz="0" w:space="0" w:color="auto"/>
        <w:bottom w:val="none" w:sz="0" w:space="0" w:color="auto"/>
        <w:right w:val="none" w:sz="0" w:space="0" w:color="auto"/>
      </w:divBdr>
    </w:div>
    <w:div w:id="1524323366">
      <w:bodyDiv w:val="1"/>
      <w:marLeft w:val="0"/>
      <w:marRight w:val="0"/>
      <w:marTop w:val="0"/>
      <w:marBottom w:val="0"/>
      <w:divBdr>
        <w:top w:val="none" w:sz="0" w:space="0" w:color="auto"/>
        <w:left w:val="none" w:sz="0" w:space="0" w:color="auto"/>
        <w:bottom w:val="none" w:sz="0" w:space="0" w:color="auto"/>
        <w:right w:val="none" w:sz="0" w:space="0" w:color="auto"/>
      </w:divBdr>
    </w:div>
    <w:div w:id="1623076774">
      <w:bodyDiv w:val="1"/>
      <w:marLeft w:val="0"/>
      <w:marRight w:val="0"/>
      <w:marTop w:val="0"/>
      <w:marBottom w:val="0"/>
      <w:divBdr>
        <w:top w:val="none" w:sz="0" w:space="0" w:color="auto"/>
        <w:left w:val="none" w:sz="0" w:space="0" w:color="auto"/>
        <w:bottom w:val="none" w:sz="0" w:space="0" w:color="auto"/>
        <w:right w:val="none" w:sz="0" w:space="0" w:color="auto"/>
      </w:divBdr>
    </w:div>
    <w:div w:id="1726949801">
      <w:bodyDiv w:val="1"/>
      <w:marLeft w:val="0"/>
      <w:marRight w:val="0"/>
      <w:marTop w:val="0"/>
      <w:marBottom w:val="0"/>
      <w:divBdr>
        <w:top w:val="none" w:sz="0" w:space="0" w:color="auto"/>
        <w:left w:val="none" w:sz="0" w:space="0" w:color="auto"/>
        <w:bottom w:val="none" w:sz="0" w:space="0" w:color="auto"/>
        <w:right w:val="none" w:sz="0" w:space="0" w:color="auto"/>
      </w:divBdr>
    </w:div>
    <w:div w:id="1843549023">
      <w:bodyDiv w:val="1"/>
      <w:marLeft w:val="0"/>
      <w:marRight w:val="0"/>
      <w:marTop w:val="0"/>
      <w:marBottom w:val="0"/>
      <w:divBdr>
        <w:top w:val="none" w:sz="0" w:space="0" w:color="auto"/>
        <w:left w:val="none" w:sz="0" w:space="0" w:color="auto"/>
        <w:bottom w:val="none" w:sz="0" w:space="0" w:color="auto"/>
        <w:right w:val="none" w:sz="0" w:space="0" w:color="auto"/>
      </w:divBdr>
    </w:div>
    <w:div w:id="1858151404">
      <w:bodyDiv w:val="1"/>
      <w:marLeft w:val="0"/>
      <w:marRight w:val="0"/>
      <w:marTop w:val="0"/>
      <w:marBottom w:val="0"/>
      <w:divBdr>
        <w:top w:val="none" w:sz="0" w:space="0" w:color="auto"/>
        <w:left w:val="none" w:sz="0" w:space="0" w:color="auto"/>
        <w:bottom w:val="none" w:sz="0" w:space="0" w:color="auto"/>
        <w:right w:val="none" w:sz="0" w:space="0" w:color="auto"/>
      </w:divBdr>
    </w:div>
    <w:div w:id="1863320186">
      <w:bodyDiv w:val="1"/>
      <w:marLeft w:val="0"/>
      <w:marRight w:val="0"/>
      <w:marTop w:val="0"/>
      <w:marBottom w:val="0"/>
      <w:divBdr>
        <w:top w:val="none" w:sz="0" w:space="0" w:color="auto"/>
        <w:left w:val="none" w:sz="0" w:space="0" w:color="auto"/>
        <w:bottom w:val="none" w:sz="0" w:space="0" w:color="auto"/>
        <w:right w:val="none" w:sz="0" w:space="0" w:color="auto"/>
      </w:divBdr>
    </w:div>
    <w:div w:id="187407451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40679426">
      <w:bodyDiv w:val="1"/>
      <w:marLeft w:val="0"/>
      <w:marRight w:val="0"/>
      <w:marTop w:val="0"/>
      <w:marBottom w:val="0"/>
      <w:divBdr>
        <w:top w:val="none" w:sz="0" w:space="0" w:color="auto"/>
        <w:left w:val="none" w:sz="0" w:space="0" w:color="auto"/>
        <w:bottom w:val="none" w:sz="0" w:space="0" w:color="auto"/>
        <w:right w:val="none" w:sz="0" w:space="0" w:color="auto"/>
      </w:divBdr>
    </w:div>
    <w:div w:id="2051417258">
      <w:bodyDiv w:val="1"/>
      <w:marLeft w:val="0"/>
      <w:marRight w:val="0"/>
      <w:marTop w:val="0"/>
      <w:marBottom w:val="0"/>
      <w:divBdr>
        <w:top w:val="none" w:sz="0" w:space="0" w:color="auto"/>
        <w:left w:val="none" w:sz="0" w:space="0" w:color="auto"/>
        <w:bottom w:val="none" w:sz="0" w:space="0" w:color="auto"/>
        <w:right w:val="none" w:sz="0" w:space="0" w:color="auto"/>
      </w:divBdr>
    </w:div>
    <w:div w:id="208228631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3958897">
      <w:bodyDiv w:val="1"/>
      <w:marLeft w:val="0"/>
      <w:marRight w:val="0"/>
      <w:marTop w:val="0"/>
      <w:marBottom w:val="0"/>
      <w:divBdr>
        <w:top w:val="none" w:sz="0" w:space="0" w:color="auto"/>
        <w:left w:val="none" w:sz="0" w:space="0" w:color="auto"/>
        <w:bottom w:val="none" w:sz="0" w:space="0" w:color="auto"/>
        <w:right w:val="none" w:sz="0" w:space="0" w:color="auto"/>
      </w:divBdr>
    </w:div>
    <w:div w:id="214396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8018B-9701-44AA-87A3-1B60A411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Template>
  <TotalTime>14</TotalTime>
  <Pages>31</Pages>
  <Words>8907</Words>
  <Characters>52555</Characters>
  <Application>Microsoft Office Word</Application>
  <DocSecurity>0</DocSecurity>
  <Lines>437</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Milan Dedera</cp:lastModifiedBy>
  <cp:revision>7</cp:revision>
  <cp:lastPrinted>2017-05-25T13:25:00Z</cp:lastPrinted>
  <dcterms:created xsi:type="dcterms:W3CDTF">2017-05-25T10:53:00Z</dcterms:created>
  <dcterms:modified xsi:type="dcterms:W3CDTF">2017-05-25T15:24:00Z</dcterms:modified>
</cp:coreProperties>
</file>