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26" w:rsidRPr="00A74192" w:rsidRDefault="00DD0726" w:rsidP="00DA661B">
      <w:pPr>
        <w:pStyle w:val="Nadpis1"/>
        <w:numPr>
          <w:ilvl w:val="0"/>
          <w:numId w:val="24"/>
        </w:numPr>
        <w:jc w:val="both"/>
      </w:pPr>
      <w:bookmarkStart w:id="0" w:name="_Toc469299930"/>
      <w:bookmarkStart w:id="1" w:name="_Toc501441377"/>
      <w:bookmarkStart w:id="2" w:name="_Toc454185150"/>
      <w:r w:rsidRPr="00A74192">
        <w:t>Souhrnná výkonnost</w:t>
      </w:r>
      <w:bookmarkEnd w:id="0"/>
      <w:bookmarkEnd w:id="1"/>
    </w:p>
    <w:p w:rsidR="00DD0726" w:rsidRPr="00A74192" w:rsidRDefault="00DD0726" w:rsidP="00DD0726">
      <w:pPr>
        <w:pStyle w:val="Textpoznpodarou"/>
        <w:jc w:val="both"/>
        <w:rPr>
          <w:sz w:val="2"/>
          <w:szCs w:val="2"/>
        </w:rPr>
      </w:pPr>
    </w:p>
    <w:tbl>
      <w:tblPr>
        <w:tblW w:w="5000" w:type="pct"/>
        <w:tblInd w:w="108" w:type="dxa"/>
        <w:tblLayout w:type="fixed"/>
        <w:tblLook w:val="00A0"/>
      </w:tblPr>
      <w:tblGrid>
        <w:gridCol w:w="1985"/>
        <w:gridCol w:w="284"/>
        <w:gridCol w:w="1133"/>
        <w:gridCol w:w="5104"/>
        <w:gridCol w:w="1348"/>
      </w:tblGrid>
      <w:tr w:rsidR="00B428EA" w:rsidRPr="00A74192" w:rsidTr="006C3DC1">
        <w:tc>
          <w:tcPr>
            <w:tcW w:w="1007" w:type="pct"/>
          </w:tcPr>
          <w:p w:rsidR="00B428EA" w:rsidRPr="00F32CCD" w:rsidRDefault="00B428EA" w:rsidP="00333134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Meziroční růst HDP opět zrychlil. Mezičtvrtletní dynamika naopak zmírnila.</w:t>
            </w:r>
          </w:p>
        </w:tc>
        <w:tc>
          <w:tcPr>
            <w:tcW w:w="144" w:type="pct"/>
          </w:tcPr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 w:rsidRPr="00F32CCD">
              <w:rPr>
                <w:rFonts w:cs="Arial"/>
              </w:rPr>
              <w:t>Meziroční růst hrubého domácího produktu (HDP) ve 3</w:t>
            </w:r>
            <w:r w:rsidR="005723B7">
              <w:rPr>
                <w:rFonts w:cs="Arial"/>
              </w:rPr>
              <w:t>. čtvrtletí</w:t>
            </w:r>
            <w:r w:rsidRPr="00F32CCD">
              <w:rPr>
                <w:rFonts w:cs="Arial"/>
              </w:rPr>
              <w:t xml:space="preserve"> roku 2017 dosáhl 5,0</w:t>
            </w:r>
            <w:r w:rsidR="005723B7">
              <w:rPr>
                <w:rFonts w:cs="Arial"/>
              </w:rPr>
              <w:t> %</w:t>
            </w:r>
            <w:r w:rsidRPr="00F32CCD">
              <w:rPr>
                <w:rStyle w:val="Znakapoznpodarou"/>
                <w:rFonts w:cs="Arial"/>
              </w:rPr>
              <w:footnoteReference w:id="1"/>
            </w:r>
            <w:r w:rsidRPr="00F32CCD">
              <w:rPr>
                <w:rFonts w:cs="Arial"/>
              </w:rPr>
              <w:t>. Pokračovalo tak zrychlování meziroční dynamiky (3,0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 xml:space="preserve"> a</w:t>
            </w:r>
            <w:r w:rsidR="00F358E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4,7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 xml:space="preserve"> v 1. a 2</w:t>
            </w:r>
            <w:r w:rsidR="005723B7">
              <w:rPr>
                <w:rFonts w:cs="Arial"/>
              </w:rPr>
              <w:t>. čtvrtletí</w:t>
            </w:r>
            <w:r w:rsidRPr="00F32CCD">
              <w:rPr>
                <w:rFonts w:cs="Arial"/>
              </w:rPr>
              <w:t>), které od začátku roku posunuje Česko mezi nejrychleji rostoucí ekonomiky</w:t>
            </w:r>
            <w:r w:rsidR="00F358E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EU. Zrychlení a kontakt s 5% hranicí meziročního tempa růstu j</w:t>
            </w:r>
            <w:r w:rsidR="00F358E3">
              <w:rPr>
                <w:rFonts w:cs="Arial"/>
              </w:rPr>
              <w:t>sou</w:t>
            </w:r>
            <w:r w:rsidRPr="00F32CCD">
              <w:rPr>
                <w:rFonts w:cs="Arial"/>
              </w:rPr>
              <w:t xml:space="preserve"> výsledkem působení všech složek HDP. Kromě domácích výdajů na spotřebu </w:t>
            </w:r>
            <w:r w:rsidRPr="00F32CCD">
              <w:t>a</w:t>
            </w:r>
            <w:r>
              <w:t> </w:t>
            </w:r>
            <w:r w:rsidRPr="00F32CCD">
              <w:t>stále</w:t>
            </w:r>
            <w:r w:rsidRPr="00F32CCD">
              <w:rPr>
                <w:rFonts w:cs="Arial"/>
              </w:rPr>
              <w:t xml:space="preserve"> silného kladného vlivu bilance zahraničního obchodu se projevilo meziroční zrychlení růstu investičních výdajů. Meziroční růst hrubé přidané hodnoty (HPH)</w:t>
            </w:r>
            <w:r w:rsidR="00F358E3">
              <w:rPr>
                <w:rFonts w:cs="Arial"/>
              </w:rPr>
              <w:t>,</w:t>
            </w:r>
            <w:r w:rsidRPr="00F32CCD">
              <w:rPr>
                <w:rFonts w:cs="Arial"/>
              </w:rPr>
              <w:t xml:space="preserve"> reprezentující nabídkovou stranu ekonomiky</w:t>
            </w:r>
            <w:r w:rsidR="00F358E3">
              <w:rPr>
                <w:rFonts w:cs="Arial"/>
              </w:rPr>
              <w:t>,</w:t>
            </w:r>
            <w:r w:rsidRPr="00F32CCD">
              <w:rPr>
                <w:rFonts w:cs="Arial"/>
              </w:rPr>
              <w:t xml:space="preserve"> dosáhl ve 3</w:t>
            </w:r>
            <w:r w:rsidR="005723B7">
              <w:rPr>
                <w:rFonts w:cs="Arial"/>
              </w:rPr>
              <w:t>. čtvrtletí</w:t>
            </w:r>
            <w:r w:rsidRPr="00F32CCD">
              <w:rPr>
                <w:rFonts w:cs="Arial"/>
              </w:rPr>
              <w:t xml:space="preserve"> 5,1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F32CCD">
              <w:rPr>
                <w:rFonts w:cs="Arial"/>
              </w:rPr>
              <w:t>Mezičtvrtletní dynamika se naopak zmírnila. Po výrazně nadprůměrných tempech 1.</w:t>
            </w:r>
            <w:r w:rsidR="00F358E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poloviny roku (1,5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 xml:space="preserve"> a 2,5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>) se HDP v porovnání s 2</w:t>
            </w:r>
            <w:r w:rsidR="005723B7">
              <w:rPr>
                <w:rFonts w:cs="Arial"/>
              </w:rPr>
              <w:t>. čtvrtletí</w:t>
            </w:r>
            <w:r w:rsidRPr="00F32CCD">
              <w:rPr>
                <w:rFonts w:cs="Arial"/>
              </w:rPr>
              <w:t>m zvýšil o 0,5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 xml:space="preserve">. Mezičtvrtletní růst podpořila spotřeba domácností a nárůst zásob, mezičtvrtletní snížení bilance zahraničního obchodu růst </w:t>
            </w:r>
            <w:r w:rsidR="00333134">
              <w:rPr>
                <w:rFonts w:cs="Arial"/>
              </w:rPr>
              <w:t xml:space="preserve">naopak </w:t>
            </w:r>
            <w:r w:rsidRPr="00F32CCD">
              <w:rPr>
                <w:rFonts w:cs="Arial"/>
              </w:rPr>
              <w:t>zpomalilo. Mezičtvrtletní růst HPH se rovněž výrazně zpomalil a dosáhl 0,6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>.</w:t>
            </w:r>
          </w:p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D0726" w:rsidRPr="00A74192" w:rsidTr="006C3DC1">
        <w:tblPrEx>
          <w:tblCellMar>
            <w:left w:w="70" w:type="dxa"/>
            <w:right w:w="70" w:type="dxa"/>
          </w:tblCellMar>
        </w:tblPrEx>
        <w:tc>
          <w:tcPr>
            <w:tcW w:w="1007" w:type="pct"/>
          </w:tcPr>
          <w:p w:rsidR="00DD0726" w:rsidRDefault="00DD0726" w:rsidP="006C3DC1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5E2AB2" w:rsidRDefault="00DD0726" w:rsidP="006C3DC1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575" w:type="pct"/>
          </w:tcPr>
          <w:p w:rsidR="00DD0726" w:rsidRDefault="00DD0726" w:rsidP="006C3DC1">
            <w:pPr>
              <w:pStyle w:val="Textpoznpodarou"/>
              <w:jc w:val="both"/>
              <w:rPr>
                <w:rFonts w:cs="Arial"/>
              </w:rPr>
            </w:pPr>
            <w:r>
              <w:rPr>
                <w:rFonts w:cs="Arial"/>
              </w:rPr>
              <w:t>Graf č. 1</w:t>
            </w:r>
          </w:p>
        </w:tc>
        <w:tc>
          <w:tcPr>
            <w:tcW w:w="3274" w:type="pct"/>
            <w:gridSpan w:val="2"/>
          </w:tcPr>
          <w:p w:rsidR="00DD0726" w:rsidRDefault="00DD0726" w:rsidP="006C3DC1">
            <w:pPr>
              <w:pStyle w:val="Textpoznpodarou"/>
              <w:spacing w:after="60"/>
              <w:jc w:val="both"/>
              <w:rPr>
                <w:rFonts w:cs="Arial"/>
              </w:rPr>
            </w:pPr>
            <w:r w:rsidRPr="00A6766C">
              <w:rPr>
                <w:rFonts w:cs="Arial"/>
                <w:b/>
                <w:lang w:eastAsia="en-US"/>
              </w:rPr>
              <w:t xml:space="preserve">HDP </w:t>
            </w:r>
            <w:r w:rsidRPr="00A6766C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objemové indexy</w:t>
            </w:r>
            <w:r w:rsidRPr="00A6766C">
              <w:rPr>
                <w:rFonts w:cs="Arial"/>
                <w:lang w:eastAsia="en-US"/>
              </w:rPr>
              <w:t>, očištěno o sezónní a kalendářní vlivy, v</w:t>
            </w:r>
            <w:r w:rsidR="005723B7">
              <w:rPr>
                <w:rFonts w:cs="Arial"/>
                <w:lang w:eastAsia="en-US"/>
              </w:rPr>
              <w:t> %</w:t>
            </w:r>
            <w:r w:rsidRPr="00A6766C">
              <w:rPr>
                <w:rFonts w:cs="Arial"/>
                <w:lang w:eastAsia="en-US"/>
              </w:rPr>
              <w:t>)</w:t>
            </w:r>
          </w:p>
        </w:tc>
      </w:tr>
      <w:tr w:rsidR="00DD0726" w:rsidRPr="00A74192" w:rsidTr="006C3DC1">
        <w:tblPrEx>
          <w:tblCellMar>
            <w:left w:w="70" w:type="dxa"/>
            <w:right w:w="70" w:type="dxa"/>
          </w:tblCellMar>
        </w:tblPrEx>
        <w:tc>
          <w:tcPr>
            <w:tcW w:w="1007" w:type="pct"/>
          </w:tcPr>
          <w:p w:rsidR="00DD0726" w:rsidRDefault="00DD0726" w:rsidP="006C3DC1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5E2AB2" w:rsidRDefault="00DD0726" w:rsidP="006C3DC1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DD0726" w:rsidRDefault="00B428EA" w:rsidP="006C3DC1">
            <w:pPr>
              <w:pStyle w:val="Textpoznpodarou"/>
              <w:rPr>
                <w:rFonts w:cs="Arial"/>
                <w:sz w:val="14"/>
                <w:szCs w:val="14"/>
              </w:rPr>
            </w:pPr>
            <w:r w:rsidRPr="00B428EA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>
                  <wp:extent cx="4737600" cy="3553200"/>
                  <wp:effectExtent l="0" t="0" r="0" b="0"/>
                  <wp:docPr id="4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DD0726" w:rsidRDefault="00DD0726" w:rsidP="006C3DC1">
            <w:pPr>
              <w:pStyle w:val="Textpoznpodarou"/>
              <w:jc w:val="right"/>
              <w:rPr>
                <w:rFonts w:cs="Arial"/>
                <w:sz w:val="14"/>
                <w:szCs w:val="14"/>
              </w:rPr>
            </w:pPr>
            <w:r w:rsidRPr="002E4069">
              <w:rPr>
                <w:rFonts w:cs="Arial"/>
                <w:sz w:val="14"/>
                <w:szCs w:val="14"/>
              </w:rPr>
              <w:t>Zdroj: ČSÚ, Eurostat</w:t>
            </w:r>
          </w:p>
          <w:p w:rsidR="00DD0726" w:rsidRPr="002E4069" w:rsidRDefault="00DD0726" w:rsidP="006C3DC1">
            <w:pPr>
              <w:pStyle w:val="Textpoznpodarou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428EA" w:rsidRPr="00A74192" w:rsidTr="006C3DC1">
        <w:tblPrEx>
          <w:tblCellMar>
            <w:left w:w="70" w:type="dxa"/>
            <w:right w:w="70" w:type="dxa"/>
          </w:tblCellMar>
        </w:tblPrEx>
        <w:tc>
          <w:tcPr>
            <w:tcW w:w="1007" w:type="pct"/>
          </w:tcPr>
          <w:p w:rsidR="00B428EA" w:rsidRPr="00F32CCD" w:rsidRDefault="00B428EA" w:rsidP="00333134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Evropské ekonomice se dař</w:t>
            </w:r>
            <w:r w:rsidR="00333134">
              <w:rPr>
                <w:rFonts w:cs="Arial"/>
                <w:sz w:val="16"/>
                <w:szCs w:val="16"/>
              </w:rPr>
              <w:t>ilo</w:t>
            </w:r>
            <w:r>
              <w:rPr>
                <w:rFonts w:cs="Arial"/>
                <w:sz w:val="16"/>
                <w:szCs w:val="16"/>
              </w:rPr>
              <w:t>. Meziroční růst zrychlil. Česko těži</w:t>
            </w:r>
            <w:r w:rsidR="00333134">
              <w:rPr>
                <w:rFonts w:cs="Arial"/>
                <w:sz w:val="16"/>
                <w:szCs w:val="16"/>
              </w:rPr>
              <w:t>lo</w:t>
            </w:r>
            <w:r>
              <w:rPr>
                <w:rFonts w:cs="Arial"/>
                <w:sz w:val="16"/>
                <w:szCs w:val="16"/>
              </w:rPr>
              <w:t xml:space="preserve"> i</w:t>
            </w:r>
            <w:r w:rsidR="00333134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 xml:space="preserve">z úspěšného ekonomického vývoje nejbližších obchodních partnerů. </w:t>
            </w:r>
          </w:p>
        </w:tc>
        <w:tc>
          <w:tcPr>
            <w:tcW w:w="144" w:type="pct"/>
          </w:tcPr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B428EA" w:rsidRPr="00F66CA8" w:rsidRDefault="00B428EA" w:rsidP="00B428EA">
            <w:pPr>
              <w:pStyle w:val="Textpoznpodarou"/>
              <w:jc w:val="both"/>
              <w:rPr>
                <w:rFonts w:cs="Arial"/>
                <w:spacing w:val="-2"/>
                <w:sz w:val="16"/>
                <w:szCs w:val="16"/>
              </w:rPr>
            </w:pPr>
            <w:r w:rsidRPr="00F66CA8">
              <w:rPr>
                <w:rFonts w:cs="Arial"/>
                <w:spacing w:val="-2"/>
              </w:rPr>
              <w:t>Meziroční tempo růstu HDP v EU ve 3</w:t>
            </w:r>
            <w:r w:rsidR="005723B7">
              <w:rPr>
                <w:rFonts w:cs="Arial"/>
                <w:spacing w:val="-2"/>
              </w:rPr>
              <w:t>. čtvrtletí</w:t>
            </w:r>
            <w:r w:rsidRPr="00F66CA8">
              <w:rPr>
                <w:rFonts w:cs="Arial"/>
                <w:spacing w:val="-2"/>
              </w:rPr>
              <w:t xml:space="preserve"> drobně zrychlilo a dosáhlo 2,6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Style w:val="Znakapoznpodarou"/>
                <w:spacing w:val="-2"/>
              </w:rPr>
              <w:footnoteReference w:id="2"/>
            </w:r>
            <w:r w:rsidRPr="00F66CA8">
              <w:rPr>
                <w:rFonts w:cs="Arial"/>
                <w:spacing w:val="-2"/>
              </w:rPr>
              <w:t>. Zrychlování meziroční dynamiky probíhá již od konce roku 2016. Podobně jako v Česku se v EU projevovala rostoucí spotřeba domácností i zvýšené investiční výdaje. K růstu přispíval i zahraniční obchod. Čtvrtletní nárůst činil 0,6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. Podobně jako v předchozích dvou kvartálech meziročně rostly všechny ekonomiky v EU. Nejrychleji meziročně rostl</w:t>
            </w:r>
            <w:r w:rsidR="008444BE">
              <w:rPr>
                <w:rFonts w:cs="Arial"/>
                <w:spacing w:val="-2"/>
              </w:rPr>
              <w:t>y</w:t>
            </w:r>
            <w:r w:rsidRPr="00F66CA8">
              <w:rPr>
                <w:rFonts w:cs="Arial"/>
                <w:spacing w:val="-2"/>
              </w:rPr>
              <w:t xml:space="preserve"> Rumunsko (8,6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, dosáhlo rovněž nejvyššího mezičtvrtletního přírůstku – 2,6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), Malta (7,7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) a Lotyšsko (6,2</w:t>
            </w:r>
            <w:r w:rsidR="005723B7">
              <w:rPr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). Na opačném konci žebříčku skončil</w:t>
            </w:r>
            <w:r w:rsidR="008444BE">
              <w:rPr>
                <w:rFonts w:cs="Arial"/>
                <w:spacing w:val="-2"/>
              </w:rPr>
              <w:t>y</w:t>
            </w:r>
            <w:r w:rsidRPr="00F66CA8">
              <w:rPr>
                <w:rFonts w:cs="Arial"/>
                <w:spacing w:val="-2"/>
              </w:rPr>
              <w:t xml:space="preserve"> Dánsko (1,3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, výrazné zpomalení oproti předchozímu čtvrtletí a jediná země, kde HDP mezičtvrtletně klesl), Řecko (1,3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) a Velká Británie (1,5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, meziroční dynamika konstantně zpomaluje již od konce roku 2014). Výrazné zrychlení meziročního růstu zaznamenala německá ekonomika (2,8</w:t>
            </w:r>
            <w:r w:rsidR="005723B7">
              <w:rPr>
                <w:rFonts w:cs="Arial"/>
                <w:spacing w:val="-2"/>
              </w:rPr>
              <w:t> %</w:t>
            </w:r>
            <w:r w:rsidR="00333134" w:rsidRPr="00F66CA8">
              <w:rPr>
                <w:rFonts w:cs="Arial"/>
                <w:spacing w:val="-2"/>
              </w:rPr>
              <w:t xml:space="preserve"> – zrychlení </w:t>
            </w:r>
            <w:r w:rsidR="00F66CA8">
              <w:rPr>
                <w:rFonts w:cs="Arial"/>
                <w:spacing w:val="-2"/>
              </w:rPr>
              <w:t>o</w:t>
            </w:r>
            <w:r w:rsidR="00F66CA8" w:rsidRPr="00F66CA8">
              <w:rPr>
                <w:rFonts w:cs="Arial"/>
                <w:spacing w:val="-2"/>
              </w:rPr>
              <w:t> </w:t>
            </w:r>
            <w:r w:rsidRPr="00F66CA8">
              <w:rPr>
                <w:rFonts w:cs="Arial"/>
                <w:spacing w:val="-2"/>
              </w:rPr>
              <w:t>0,5</w:t>
            </w:r>
            <w:r w:rsidR="008444BE">
              <w:rPr>
                <w:rFonts w:cs="Arial"/>
                <w:spacing w:val="-2"/>
              </w:rPr>
              <w:t> </w:t>
            </w:r>
            <w:r w:rsidRPr="00F66CA8">
              <w:rPr>
                <w:rFonts w:cs="Arial"/>
                <w:spacing w:val="-2"/>
              </w:rPr>
              <w:t>p.</w:t>
            </w:r>
            <w:r w:rsidR="008444BE">
              <w:rPr>
                <w:rFonts w:cs="Arial"/>
                <w:spacing w:val="-2"/>
              </w:rPr>
              <w:t> </w:t>
            </w:r>
            <w:r w:rsidRPr="00F66CA8">
              <w:rPr>
                <w:rFonts w:cs="Arial"/>
                <w:spacing w:val="-2"/>
              </w:rPr>
              <w:t>b. a nejvyšší hodnota od 3</w:t>
            </w:r>
            <w:r w:rsidR="005723B7">
              <w:rPr>
                <w:rFonts w:cs="Arial"/>
                <w:spacing w:val="-2"/>
              </w:rPr>
              <w:t>. čtvrtletí</w:t>
            </w:r>
            <w:r w:rsidRPr="00F66CA8">
              <w:rPr>
                <w:rFonts w:cs="Arial"/>
                <w:spacing w:val="-2"/>
              </w:rPr>
              <w:t xml:space="preserve"> 2011). Dařilo se i</w:t>
            </w:r>
            <w:r w:rsidR="008444BE">
              <w:rPr>
                <w:rFonts w:cs="Arial"/>
                <w:spacing w:val="-2"/>
              </w:rPr>
              <w:t> </w:t>
            </w:r>
            <w:r w:rsidRPr="00F66CA8">
              <w:rPr>
                <w:rFonts w:cs="Arial"/>
                <w:spacing w:val="-2"/>
              </w:rPr>
              <w:t>ostatním blízkým partnerům Česka. Polsko zrychlilo meziroční růst na 5,2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, Slovensko dosáhlo 3,5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. Nejvyšší meziroční růst od počátku roku 2011 mělo i Rakousko (3,5</w:t>
            </w:r>
            <w:r w:rsidR="005723B7">
              <w:rPr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).</w:t>
            </w:r>
          </w:p>
          <w:p w:rsidR="00B428EA" w:rsidRPr="00B428EA" w:rsidRDefault="00B428EA" w:rsidP="00B428EA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D0726" w:rsidRPr="00A6766C" w:rsidTr="006C3DC1">
        <w:tc>
          <w:tcPr>
            <w:tcW w:w="1007" w:type="pct"/>
          </w:tcPr>
          <w:p w:rsidR="00DD0726" w:rsidRPr="00A6766C" w:rsidRDefault="00DD0726" w:rsidP="006C3DC1">
            <w:pPr>
              <w:spacing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44" w:type="pct"/>
          </w:tcPr>
          <w:p w:rsidR="00DD0726" w:rsidRPr="00A6766C" w:rsidRDefault="00DD0726" w:rsidP="006C3DC1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575" w:type="pct"/>
          </w:tcPr>
          <w:p w:rsidR="00DD0726" w:rsidRPr="00A6766C" w:rsidRDefault="00DD0726" w:rsidP="006C3DC1">
            <w:pPr>
              <w:pStyle w:val="Textpoznpodarou"/>
              <w:jc w:val="both"/>
              <w:rPr>
                <w:rFonts w:cs="Arial"/>
              </w:rPr>
            </w:pPr>
            <w:r w:rsidRPr="00A6766C">
              <w:rPr>
                <w:rFonts w:cs="Arial"/>
                <w:lang w:eastAsia="en-US"/>
              </w:rPr>
              <w:t>Graf č. 2</w:t>
            </w:r>
          </w:p>
        </w:tc>
        <w:tc>
          <w:tcPr>
            <w:tcW w:w="3274" w:type="pct"/>
            <w:gridSpan w:val="2"/>
          </w:tcPr>
          <w:p w:rsidR="00DD0726" w:rsidRPr="00A6766C" w:rsidRDefault="00DD0726" w:rsidP="006C3DC1">
            <w:pPr>
              <w:pStyle w:val="Textpoznpodarou"/>
              <w:rPr>
                <w:rFonts w:cs="Arial"/>
                <w:lang w:eastAsia="en-US"/>
              </w:rPr>
            </w:pPr>
            <w:r w:rsidRPr="00A6766C">
              <w:rPr>
                <w:rFonts w:cs="Arial"/>
                <w:b/>
                <w:lang w:eastAsia="en-US"/>
              </w:rPr>
              <w:t xml:space="preserve">HDP </w:t>
            </w:r>
            <w:r w:rsidRPr="00A6766C">
              <w:rPr>
                <w:rFonts w:cs="Arial"/>
                <w:lang w:eastAsia="en-US"/>
              </w:rPr>
              <w:t>(</w:t>
            </w:r>
            <w:r>
              <w:rPr>
                <w:rFonts w:cs="Arial"/>
                <w:lang w:eastAsia="en-US"/>
              </w:rPr>
              <w:t>objemové indexy</w:t>
            </w:r>
            <w:r w:rsidRPr="00A6766C">
              <w:rPr>
                <w:rFonts w:cs="Arial"/>
                <w:lang w:eastAsia="en-US"/>
              </w:rPr>
              <w:t xml:space="preserve">, očištěno o sezónní a kalendářní vlivy, </w:t>
            </w:r>
            <w:r>
              <w:rPr>
                <w:rFonts w:cs="Arial"/>
                <w:lang w:eastAsia="en-US"/>
              </w:rPr>
              <w:t>meziročně</w:t>
            </w:r>
            <w:r w:rsidRPr="00A6766C">
              <w:rPr>
                <w:rFonts w:cs="Arial"/>
                <w:lang w:eastAsia="en-US"/>
              </w:rPr>
              <w:t xml:space="preserve"> v</w:t>
            </w:r>
            <w:r w:rsidR="005723B7">
              <w:rPr>
                <w:rFonts w:cs="Arial"/>
                <w:lang w:eastAsia="en-US"/>
              </w:rPr>
              <w:t> %</w:t>
            </w:r>
            <w:r w:rsidRPr="00A6766C">
              <w:rPr>
                <w:rFonts w:cs="Arial"/>
                <w:lang w:eastAsia="en-US"/>
              </w:rPr>
              <w:t xml:space="preserve">, pravá osa) </w:t>
            </w:r>
            <w:r w:rsidRPr="00A6766C">
              <w:rPr>
                <w:rFonts w:cs="Arial"/>
                <w:b/>
                <w:lang w:eastAsia="en-US"/>
              </w:rPr>
              <w:t>a indikátory důvěry</w:t>
            </w:r>
            <w:r w:rsidRPr="00A6766C">
              <w:rPr>
                <w:rFonts w:cs="Arial"/>
                <w:lang w:eastAsia="en-US"/>
              </w:rPr>
              <w:t xml:space="preserve"> (2005</w:t>
            </w:r>
            <w:r w:rsidR="000A7F13">
              <w:rPr>
                <w:rFonts w:cs="Arial"/>
                <w:lang w:eastAsia="en-US"/>
              </w:rPr>
              <w:t> </w:t>
            </w:r>
            <w:r w:rsidRPr="00A6766C">
              <w:rPr>
                <w:rFonts w:cs="Arial"/>
                <w:lang w:eastAsia="en-US"/>
              </w:rPr>
              <w:t>=</w:t>
            </w:r>
            <w:r w:rsidR="000A7F13">
              <w:rPr>
                <w:rFonts w:cs="Arial"/>
                <w:lang w:eastAsia="en-US"/>
              </w:rPr>
              <w:t> </w:t>
            </w:r>
            <w:r w:rsidRPr="00A6766C">
              <w:rPr>
                <w:rFonts w:cs="Arial"/>
                <w:lang w:eastAsia="en-US"/>
              </w:rPr>
              <w:t>100, levá osa)</w:t>
            </w:r>
          </w:p>
        </w:tc>
      </w:tr>
      <w:tr w:rsidR="00DD0726" w:rsidRPr="00A74192" w:rsidTr="006C3DC1">
        <w:tc>
          <w:tcPr>
            <w:tcW w:w="1007" w:type="pct"/>
          </w:tcPr>
          <w:p w:rsidR="00DD0726" w:rsidRDefault="00DD0726" w:rsidP="006C3DC1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5E2AB2" w:rsidRDefault="00DD0726" w:rsidP="006C3DC1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DD0726" w:rsidRDefault="00B428EA" w:rsidP="006C3DC1">
            <w:pPr>
              <w:pStyle w:val="Textpoznpodarou"/>
              <w:ind w:left="-94"/>
              <w:jc w:val="both"/>
              <w:rPr>
                <w:rFonts w:cs="Arial"/>
              </w:rPr>
            </w:pPr>
            <w:r w:rsidRPr="00B428EA">
              <w:rPr>
                <w:rFonts w:cs="Arial"/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7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DD0726" w:rsidRPr="007841BB" w:rsidRDefault="00DD0726" w:rsidP="006C3DC1">
            <w:pPr>
              <w:pStyle w:val="Textpoznpodarou"/>
              <w:ind w:left="-94"/>
              <w:jc w:val="right"/>
              <w:rPr>
                <w:rFonts w:cs="Arial"/>
                <w:sz w:val="14"/>
                <w:szCs w:val="14"/>
              </w:rPr>
            </w:pPr>
            <w:r w:rsidRPr="007841BB">
              <w:rPr>
                <w:rFonts w:cs="Arial"/>
                <w:sz w:val="14"/>
                <w:szCs w:val="14"/>
              </w:rPr>
              <w:t>Zdroj: ČSÚ</w:t>
            </w:r>
          </w:p>
          <w:p w:rsidR="00DD0726" w:rsidRPr="000125F0" w:rsidRDefault="00DD0726" w:rsidP="006C3DC1">
            <w:pPr>
              <w:pStyle w:val="Textpoznpodarou"/>
              <w:ind w:left="-94"/>
              <w:jc w:val="right"/>
              <w:rPr>
                <w:rFonts w:cs="Arial"/>
              </w:rPr>
            </w:pPr>
          </w:p>
        </w:tc>
      </w:tr>
      <w:tr w:rsidR="00B428EA" w:rsidRPr="00A74192" w:rsidTr="006C3DC1">
        <w:tc>
          <w:tcPr>
            <w:tcW w:w="1007" w:type="pct"/>
          </w:tcPr>
          <w:p w:rsidR="00B428EA" w:rsidRPr="00F32CCD" w:rsidRDefault="00B428EA" w:rsidP="00333134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 růstu se tentokrát podílely všechny složky HDP.</w:t>
            </w:r>
          </w:p>
        </w:tc>
        <w:tc>
          <w:tcPr>
            <w:tcW w:w="144" w:type="pct"/>
          </w:tcPr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 w:rsidRPr="00F32CCD">
              <w:rPr>
                <w:rFonts w:cs="Arial"/>
              </w:rPr>
              <w:t>Původ poměrně vysokého meziročního tempa r</w:t>
            </w:r>
            <w:r w:rsidR="001073E5">
              <w:rPr>
                <w:rFonts w:cs="Arial"/>
              </w:rPr>
              <w:t>ůstu HDP lze hledat v současném působení</w:t>
            </w:r>
            <w:r w:rsidRPr="00F32CCD">
              <w:rPr>
                <w:rFonts w:cs="Arial"/>
              </w:rPr>
              <w:t xml:space="preserve"> jeho jednotlivých složek. </w:t>
            </w:r>
            <w:r w:rsidR="00333134">
              <w:rPr>
                <w:rFonts w:cs="Arial"/>
              </w:rPr>
              <w:t xml:space="preserve">Z časových řad národních účtů vyplývá, že </w:t>
            </w:r>
            <w:r w:rsidRPr="00F32CCD">
              <w:rPr>
                <w:rFonts w:cs="Arial"/>
              </w:rPr>
              <w:t>v českých podmínkách lze zřídka dosáhnout více než 3% růstu</w:t>
            </w:r>
            <w:r w:rsidR="000A7F13">
              <w:rPr>
                <w:rFonts w:cs="Arial"/>
              </w:rPr>
              <w:t>,</w:t>
            </w:r>
            <w:r w:rsidRPr="00F32CCD">
              <w:rPr>
                <w:rFonts w:cs="Arial"/>
              </w:rPr>
              <w:t xml:space="preserve"> aniž by se na něm podílely všechny složky HDP. </w:t>
            </w:r>
            <w:r w:rsidR="00333134">
              <w:rPr>
                <w:rFonts w:cs="Arial"/>
              </w:rPr>
              <w:t>To je patrné i na grafu č.</w:t>
            </w:r>
            <w:r w:rsidR="000A7F13">
              <w:rPr>
                <w:rFonts w:cs="Arial"/>
              </w:rPr>
              <w:t> </w:t>
            </w:r>
            <w:r w:rsidR="00333134">
              <w:rPr>
                <w:rFonts w:cs="Arial"/>
              </w:rPr>
              <w:t xml:space="preserve">3. </w:t>
            </w:r>
            <w:r w:rsidRPr="00F32CCD">
              <w:rPr>
                <w:rFonts w:cs="Arial"/>
              </w:rPr>
              <w:t>Ve 3</w:t>
            </w:r>
            <w:r w:rsidR="005723B7">
              <w:rPr>
                <w:rFonts w:cs="Arial"/>
              </w:rPr>
              <w:t>. čtvrtletí</w:t>
            </w:r>
            <w:r w:rsidRPr="00F32CCD">
              <w:rPr>
                <w:rFonts w:cs="Arial"/>
              </w:rPr>
              <w:t xml:space="preserve"> se na celkem stabilní bázi, kterou již třetím rokem tvoří výdaje na konečnou spotřebu (1,7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p.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b.</w:t>
            </w:r>
            <w:r w:rsidRPr="00F32CCD">
              <w:rPr>
                <w:rStyle w:val="Znakapoznpodarou"/>
              </w:rPr>
              <w:footnoteReference w:id="3"/>
            </w:r>
            <w:r w:rsidRPr="00F32CCD">
              <w:rPr>
                <w:rFonts w:cs="Arial"/>
              </w:rPr>
              <w:t>, z toho 1,5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p.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b. tvořily domácnosti), postavil příspěvek posílených kapitálových výdajů (1,8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p.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b., tvorba hrubého fixního kapitálu přispěla 1,6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p.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b.) i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meziročně rostoucí bilance zahraničního obchodu (1,5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p.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b., oslabení o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0,7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p.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b. v porovnání s 1. a 2</w:t>
            </w:r>
            <w:r w:rsidR="005723B7">
              <w:rPr>
                <w:rFonts w:cs="Arial"/>
              </w:rPr>
              <w:t>. čtvrtletí</w:t>
            </w:r>
            <w:r w:rsidRPr="00F32CCD">
              <w:rPr>
                <w:rFonts w:cs="Arial"/>
              </w:rPr>
              <w:t>m).</w:t>
            </w:r>
          </w:p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B428EA" w:rsidRPr="00A6766C" w:rsidTr="006C3DC1">
        <w:tc>
          <w:tcPr>
            <w:tcW w:w="1007" w:type="pct"/>
          </w:tcPr>
          <w:p w:rsidR="00B428EA" w:rsidRPr="00F32CCD" w:rsidRDefault="00B428EA" w:rsidP="00333134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Pokračoval silný růst spotřeby domácností…</w:t>
            </w:r>
          </w:p>
        </w:tc>
        <w:tc>
          <w:tcPr>
            <w:tcW w:w="144" w:type="pct"/>
          </w:tcPr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 w:rsidRPr="00F32CCD">
              <w:rPr>
                <w:rFonts w:cs="Arial"/>
              </w:rPr>
              <w:t>Celkové výdaje na konečnou spotřebu ve 3</w:t>
            </w:r>
            <w:r w:rsidR="005723B7">
              <w:rPr>
                <w:rFonts w:cs="Arial"/>
              </w:rPr>
              <w:t>. čtvrtletí</w:t>
            </w:r>
            <w:r w:rsidRPr="00F32CCD">
              <w:rPr>
                <w:rFonts w:cs="Arial"/>
              </w:rPr>
              <w:t xml:space="preserve"> meziročně vzrostly o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3,4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>. Důvodem byl především pokračující silný růst spotřeby domácností (4,4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>, stejně jako ve 2</w:t>
            </w:r>
            <w:r w:rsidR="005723B7">
              <w:rPr>
                <w:rFonts w:cs="Arial"/>
              </w:rPr>
              <w:t>. čtvrtletí</w:t>
            </w:r>
            <w:r w:rsidRPr="00F32CCD">
              <w:rPr>
                <w:rFonts w:cs="Arial"/>
              </w:rPr>
              <w:t xml:space="preserve">). </w:t>
            </w:r>
            <w:r w:rsidR="00333134">
              <w:rPr>
                <w:rFonts w:cs="Arial"/>
              </w:rPr>
              <w:t xml:space="preserve">Tu </w:t>
            </w:r>
            <w:r w:rsidRPr="00F32CCD">
              <w:rPr>
                <w:rFonts w:cs="Arial"/>
              </w:rPr>
              <w:t>stimul</w:t>
            </w:r>
            <w:r w:rsidR="00333134">
              <w:rPr>
                <w:rFonts w:cs="Arial"/>
              </w:rPr>
              <w:t>oval</w:t>
            </w:r>
            <w:r w:rsidRPr="00F32CCD">
              <w:rPr>
                <w:rFonts w:cs="Arial"/>
              </w:rPr>
              <w:t xml:space="preserve"> především silný růst reálných mezd. Ten se společně s klesající nezaměstnaností odráž</w:t>
            </w:r>
            <w:r w:rsidR="00333134">
              <w:rPr>
                <w:rFonts w:cs="Arial"/>
              </w:rPr>
              <w:t>el</w:t>
            </w:r>
            <w:r w:rsidRPr="00F32CCD">
              <w:rPr>
                <w:rFonts w:cs="Arial"/>
              </w:rPr>
              <w:t xml:space="preserve"> v rekordních hodnotách indikátoru důvěry spotřebitelů. Čtvrtletní tempo růstu výdajů na spotřebu dosáhlo 0,7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 xml:space="preserve"> (stejně jako v 1</w:t>
            </w:r>
            <w:r w:rsidR="005723B7">
              <w:rPr>
                <w:rFonts w:cs="Arial"/>
              </w:rPr>
              <w:t>. čtvrtletí</w:t>
            </w:r>
            <w:r w:rsidRPr="00F32CCD">
              <w:rPr>
                <w:rFonts w:cs="Arial"/>
              </w:rPr>
              <w:t>, o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0,6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p.</w:t>
            </w:r>
            <w:r w:rsidR="000A7F13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b. m</w:t>
            </w:r>
            <w:r w:rsidR="005723B7">
              <w:rPr>
                <w:rFonts w:cs="Arial"/>
              </w:rPr>
              <w:t>é</w:t>
            </w:r>
            <w:r w:rsidRPr="00F32CCD">
              <w:rPr>
                <w:rFonts w:cs="Arial"/>
              </w:rPr>
              <w:t>ně než ve 2</w:t>
            </w:r>
            <w:r w:rsidR="005723B7">
              <w:rPr>
                <w:rFonts w:cs="Arial"/>
              </w:rPr>
              <w:t>. čtvrtletí</w:t>
            </w:r>
            <w:r w:rsidRPr="00F32CCD">
              <w:rPr>
                <w:rFonts w:cs="Arial"/>
              </w:rPr>
              <w:t>). Růst výdajů domácnost</w:t>
            </w:r>
            <w:r w:rsidR="005723B7">
              <w:rPr>
                <w:rFonts w:cs="Arial"/>
              </w:rPr>
              <w:t>í</w:t>
            </w:r>
            <w:r w:rsidRPr="00F32CCD">
              <w:rPr>
                <w:rFonts w:cs="Arial"/>
              </w:rPr>
              <w:t xml:space="preserve"> se odrazil na všech typech spotřeby. Obvykle mírně rostoucí výdaje na netrvanlivé statky tak nyní kopírují růst celkových výdajů (meziroční růst 3,7</w:t>
            </w:r>
            <w:r w:rsidR="005723B7">
              <w:rPr>
                <w:rFonts w:cs="Arial"/>
              </w:rPr>
              <w:t> %</w:t>
            </w:r>
            <w:r w:rsidRPr="00F32CCD">
              <w:rPr>
                <w:rStyle w:val="Znakapoznpodarou"/>
              </w:rPr>
              <w:footnoteReference w:id="4"/>
            </w:r>
            <w:r w:rsidRPr="00F32CCD">
              <w:rPr>
                <w:rFonts w:cs="Arial"/>
              </w:rPr>
              <w:t>) a pokračuje silný růst spotřeby trvanlivých statků (9,6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 xml:space="preserve"> u</w:t>
            </w:r>
            <w:r w:rsidR="005723B7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střednědobé spotřeby, 6,0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 xml:space="preserve"> u</w:t>
            </w:r>
            <w:r w:rsidR="005723B7">
              <w:rPr>
                <w:rFonts w:cs="Arial"/>
              </w:rPr>
              <w:t> </w:t>
            </w:r>
            <w:r w:rsidRPr="00F32CCD">
              <w:rPr>
                <w:rFonts w:cs="Arial"/>
              </w:rPr>
              <w:t xml:space="preserve">dlouhodobé spotřeby). Růst výdajů na spotřebu služeb mírně zpomalil </w:t>
            </w:r>
            <w:r w:rsidRPr="00F32CCD">
              <w:t>a</w:t>
            </w:r>
            <w:r>
              <w:t> </w:t>
            </w:r>
            <w:r w:rsidRPr="00F32CCD">
              <w:t>dosáhl</w:t>
            </w:r>
            <w:r w:rsidRPr="00F32CCD">
              <w:rPr>
                <w:rFonts w:cs="Arial"/>
              </w:rPr>
              <w:t xml:space="preserve"> 2,5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>. Spotřeba vládních institucí meziročně rostla o 1,1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>, ale od začátku roku se její tempo zpomaluje. To je patrné i na mezičtvrtletních nárůstech – během 1</w:t>
            </w:r>
            <w:r w:rsidR="005723B7">
              <w:rPr>
                <w:rFonts w:cs="Arial"/>
              </w:rPr>
              <w:t>. čtvrtletí</w:t>
            </w:r>
            <w:r w:rsidRPr="00F32CCD">
              <w:rPr>
                <w:rFonts w:cs="Arial"/>
              </w:rPr>
              <w:t xml:space="preserve"> vzrostly výdaje vládních institucí o 0,3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>, ve 2</w:t>
            </w:r>
            <w:r w:rsidR="005723B7">
              <w:rPr>
                <w:rFonts w:cs="Arial"/>
              </w:rPr>
              <w:t>. čtvrtletí</w:t>
            </w:r>
            <w:r w:rsidRPr="00F32CCD">
              <w:rPr>
                <w:rFonts w:cs="Arial"/>
              </w:rPr>
              <w:t xml:space="preserve"> ještě </w:t>
            </w:r>
            <w:r w:rsidRPr="00F32CCD">
              <w:t>o</w:t>
            </w:r>
            <w:r>
              <w:t> </w:t>
            </w:r>
            <w:r w:rsidRPr="00F32CCD">
              <w:t>0</w:t>
            </w:r>
            <w:r w:rsidRPr="00F32CCD">
              <w:rPr>
                <w:rFonts w:cs="Arial"/>
              </w:rPr>
              <w:t>,1</w:t>
            </w:r>
            <w:r w:rsidR="005723B7">
              <w:rPr>
                <w:rFonts w:cs="Arial"/>
              </w:rPr>
              <w:t> %</w:t>
            </w:r>
            <w:r w:rsidRPr="00F32CCD">
              <w:rPr>
                <w:rFonts w:cs="Arial"/>
              </w:rPr>
              <w:t>, ve 3.</w:t>
            </w:r>
            <w:r w:rsidR="005723B7">
              <w:rPr>
                <w:rFonts w:cs="Arial"/>
              </w:rPr>
              <w:t> </w:t>
            </w:r>
            <w:r w:rsidRPr="00F32CCD">
              <w:rPr>
                <w:rFonts w:cs="Arial"/>
              </w:rPr>
              <w:t>kvartálu bylo mezičtvrtletní navýšení nulové.</w:t>
            </w:r>
          </w:p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428EA" w:rsidRPr="00A74192" w:rsidTr="006C3DC1">
        <w:tc>
          <w:tcPr>
            <w:tcW w:w="1007" w:type="pct"/>
          </w:tcPr>
          <w:p w:rsidR="00B428EA" w:rsidRPr="00F32CCD" w:rsidRDefault="00B428EA" w:rsidP="00333134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…</w:t>
            </w:r>
            <w:r w:rsidR="005723B7">
              <w:rPr>
                <w:rFonts w:cs="Arial"/>
                <w:sz w:val="16"/>
                <w:szCs w:val="16"/>
              </w:rPr>
              <w:t> </w:t>
            </w:r>
            <w:r>
              <w:rPr>
                <w:rFonts w:cs="Arial"/>
                <w:sz w:val="16"/>
                <w:szCs w:val="16"/>
              </w:rPr>
              <w:t>stále podporované růstem mezd a platů.</w:t>
            </w:r>
          </w:p>
        </w:tc>
        <w:tc>
          <w:tcPr>
            <w:tcW w:w="144" w:type="pct"/>
          </w:tcPr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B428EA" w:rsidRPr="00F66CA8" w:rsidRDefault="00B428EA" w:rsidP="00333134">
            <w:pPr>
              <w:pStyle w:val="Textpoznpodarou"/>
              <w:jc w:val="both"/>
              <w:rPr>
                <w:rFonts w:cs="Arial"/>
                <w:spacing w:val="-2"/>
                <w:sz w:val="16"/>
                <w:szCs w:val="16"/>
              </w:rPr>
            </w:pPr>
            <w:r w:rsidRPr="00F66CA8">
              <w:rPr>
                <w:rFonts w:cs="Arial"/>
                <w:spacing w:val="-2"/>
              </w:rPr>
              <w:t>Meziroční růst objemu vyplácených mezd a platů stejně jako ve 2</w:t>
            </w:r>
            <w:r w:rsidR="005723B7">
              <w:rPr>
                <w:rFonts w:cs="Arial"/>
                <w:spacing w:val="-2"/>
              </w:rPr>
              <w:t>. čtvrtletí</w:t>
            </w:r>
            <w:r w:rsidRPr="00F66CA8">
              <w:rPr>
                <w:rFonts w:cs="Arial"/>
                <w:spacing w:val="-2"/>
              </w:rPr>
              <w:t xml:space="preserve"> překročil 8,0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 xml:space="preserve"> a dosáhl 8,2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. Přes zrychlení růstu cen statků spotřebovávaných domácnostmi je i reálné navýšení poměrně výrazné (5,7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Style w:val="Znakapoznpodarou"/>
                <w:spacing w:val="-2"/>
              </w:rPr>
              <w:footnoteReference w:id="5"/>
            </w:r>
            <w:r w:rsidRPr="00F66CA8">
              <w:rPr>
                <w:rFonts w:cs="Arial"/>
                <w:spacing w:val="-2"/>
              </w:rPr>
              <w:t>). Růst objemu vyplácených mezd byl doprovázen růstem celkové zaměstnanosti o 2,0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Style w:val="Znakapoznpodarou"/>
                <w:spacing w:val="-2"/>
              </w:rPr>
              <w:footnoteReference w:id="6"/>
            </w:r>
            <w:r w:rsidRPr="00F66CA8">
              <w:rPr>
                <w:rFonts w:cs="Arial"/>
                <w:spacing w:val="-2"/>
              </w:rPr>
              <w:t xml:space="preserve">. To je </w:t>
            </w:r>
            <w:r w:rsidRPr="00F66CA8">
              <w:rPr>
                <w:rFonts w:cs="Arial"/>
                <w:spacing w:val="-2"/>
              </w:rPr>
              <w:lastRenderedPageBreak/>
              <w:t>nejvyšší hodnota od konce roku 2008</w:t>
            </w:r>
            <w:r w:rsidR="000673F8" w:rsidRPr="00F66CA8">
              <w:rPr>
                <w:rFonts w:cs="Arial"/>
                <w:spacing w:val="-2"/>
              </w:rPr>
              <w:t>.</w:t>
            </w:r>
            <w:r w:rsidRPr="00F66CA8">
              <w:rPr>
                <w:rFonts w:cs="Arial"/>
                <w:spacing w:val="-2"/>
              </w:rPr>
              <w:t xml:space="preserve"> Růst zaměstnanosti ve 3</w:t>
            </w:r>
            <w:r w:rsidR="005723B7">
              <w:rPr>
                <w:rFonts w:cs="Arial"/>
                <w:spacing w:val="-2"/>
              </w:rPr>
              <w:t>. čtvrtletí</w:t>
            </w:r>
            <w:r w:rsidRPr="00F66CA8">
              <w:rPr>
                <w:rFonts w:cs="Arial"/>
                <w:spacing w:val="-2"/>
              </w:rPr>
              <w:t xml:space="preserve"> podpořil především meziroční nárůst osob zaměstnaných v obchodě, dopravě, ubytování a pohostinství (3,3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, 41,0</w:t>
            </w:r>
            <w:r w:rsidR="00CE0849">
              <w:rPr>
                <w:rFonts w:cs="Arial"/>
                <w:spacing w:val="-2"/>
              </w:rPr>
              <w:t> </w:t>
            </w:r>
            <w:r w:rsidRPr="00F66CA8">
              <w:rPr>
                <w:rFonts w:cs="Arial"/>
                <w:spacing w:val="-2"/>
              </w:rPr>
              <w:t>tis. osob). Nárůst zaměstnanosti byl jedním z důvodů silného růstu objemu mezd vyplacených v tomto odvětví (9,0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). Nejsilněji však k meziročnímu růstu výdělků přispěl zpracovatelský průmysl (8,9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 xml:space="preserve">), kde také došlo ke zrychlení meziročního tempa růstu zaměstnanosti </w:t>
            </w:r>
            <w:r w:rsidR="00F66CA8">
              <w:rPr>
                <w:rFonts w:cs="Arial"/>
                <w:spacing w:val="-2"/>
              </w:rPr>
              <w:t>(z</w:t>
            </w:r>
            <w:r w:rsidR="00CE0849">
              <w:rPr>
                <w:rFonts w:cs="Arial"/>
                <w:spacing w:val="-2"/>
              </w:rPr>
              <w:t> </w:t>
            </w:r>
            <w:r w:rsidR="00F66CA8">
              <w:rPr>
                <w:rFonts w:cs="Arial"/>
                <w:spacing w:val="-2"/>
              </w:rPr>
              <w:t>0,4</w:t>
            </w:r>
            <w:r w:rsidR="005723B7">
              <w:rPr>
                <w:rFonts w:cs="Arial"/>
                <w:spacing w:val="-2"/>
              </w:rPr>
              <w:t> %</w:t>
            </w:r>
            <w:r w:rsidR="00F66CA8">
              <w:rPr>
                <w:rFonts w:cs="Arial"/>
                <w:spacing w:val="-2"/>
              </w:rPr>
              <w:t xml:space="preserve"> ve 2</w:t>
            </w:r>
            <w:r w:rsidR="005723B7">
              <w:rPr>
                <w:rFonts w:cs="Arial"/>
                <w:spacing w:val="-2"/>
              </w:rPr>
              <w:t>. čtvrtletí</w:t>
            </w:r>
            <w:r w:rsidR="00F66CA8">
              <w:rPr>
                <w:rFonts w:cs="Arial"/>
                <w:spacing w:val="-2"/>
              </w:rPr>
              <w:t xml:space="preserve"> na 1,0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 xml:space="preserve">). </w:t>
            </w:r>
            <w:r w:rsidR="000673F8" w:rsidRPr="00F66CA8">
              <w:rPr>
                <w:rFonts w:cs="Arial"/>
                <w:spacing w:val="-2"/>
              </w:rPr>
              <w:t>Významně</w:t>
            </w:r>
            <w:r w:rsidRPr="00F66CA8">
              <w:rPr>
                <w:rFonts w:cs="Arial"/>
                <w:spacing w:val="-2"/>
              </w:rPr>
              <w:t xml:space="preserve"> působil i 9,3% růst objemu vyplácených mezd a platů v odvětví veřejn</w:t>
            </w:r>
            <w:r w:rsidR="00C774F6">
              <w:rPr>
                <w:rFonts w:cs="Arial"/>
                <w:spacing w:val="-2"/>
              </w:rPr>
              <w:t>á</w:t>
            </w:r>
            <w:r w:rsidRPr="00F66CA8">
              <w:rPr>
                <w:rFonts w:cs="Arial"/>
                <w:spacing w:val="-2"/>
              </w:rPr>
              <w:t xml:space="preserve"> správ</w:t>
            </w:r>
            <w:r w:rsidR="00C774F6">
              <w:rPr>
                <w:rFonts w:cs="Arial"/>
                <w:spacing w:val="-2"/>
              </w:rPr>
              <w:t>a</w:t>
            </w:r>
            <w:r w:rsidRPr="00F66CA8">
              <w:rPr>
                <w:rFonts w:cs="Arial"/>
                <w:spacing w:val="-2"/>
              </w:rPr>
              <w:t xml:space="preserve"> a obran</w:t>
            </w:r>
            <w:r w:rsidR="00C774F6">
              <w:rPr>
                <w:rFonts w:cs="Arial"/>
                <w:spacing w:val="-2"/>
              </w:rPr>
              <w:t>a</w:t>
            </w:r>
            <w:r w:rsidRPr="00F66CA8">
              <w:rPr>
                <w:rFonts w:cs="Arial"/>
                <w:spacing w:val="-2"/>
              </w:rPr>
              <w:t>, vzdělávání, zdravotní a sociální péče (za současného nárůstu zaměstnanosti o</w:t>
            </w:r>
            <w:r w:rsidR="00CE0849">
              <w:rPr>
                <w:rFonts w:cs="Arial"/>
                <w:spacing w:val="-2"/>
              </w:rPr>
              <w:t> </w:t>
            </w:r>
            <w:r w:rsidRPr="00F66CA8">
              <w:rPr>
                <w:rFonts w:cs="Arial"/>
                <w:spacing w:val="-2"/>
              </w:rPr>
              <w:t>1,5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). Objem vyplacených mezd silně rostl i u činností v oblasti nemovitostí (8,9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, růst zaměstn</w:t>
            </w:r>
            <w:r w:rsidR="00F66CA8" w:rsidRPr="00F66CA8">
              <w:rPr>
                <w:rFonts w:cs="Arial"/>
                <w:spacing w:val="-2"/>
              </w:rPr>
              <w:t>anosti 3,1</w:t>
            </w:r>
            <w:r w:rsidR="005723B7">
              <w:rPr>
                <w:rFonts w:cs="Arial"/>
                <w:spacing w:val="-2"/>
              </w:rPr>
              <w:t> %</w:t>
            </w:r>
            <w:r w:rsidR="00F66CA8" w:rsidRPr="00F66CA8">
              <w:rPr>
                <w:rFonts w:cs="Arial"/>
                <w:spacing w:val="-2"/>
              </w:rPr>
              <w:t>). Ve srovnání s 1. </w:t>
            </w:r>
            <w:r w:rsidRPr="00F66CA8">
              <w:rPr>
                <w:rFonts w:cs="Arial"/>
                <w:spacing w:val="-2"/>
              </w:rPr>
              <w:t>pololetím oslabil růst u informačních a komunikačních činností (7,8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), přitom však uvedené odvětví zaznamenalo nejvyšší nárůst zaměstnanosti (4,1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 xml:space="preserve">). Potvrdil se tak trend nižší mzdové dynamiky u odvětví s nejvyššími příjmy – platí to i pro peněžnictví </w:t>
            </w:r>
            <w:r w:rsidRPr="00F66CA8">
              <w:rPr>
                <w:spacing w:val="-2"/>
              </w:rPr>
              <w:t>a pojišťovnictví</w:t>
            </w:r>
            <w:r w:rsidRPr="00F66CA8">
              <w:rPr>
                <w:rFonts w:cs="Arial"/>
                <w:spacing w:val="-2"/>
              </w:rPr>
              <w:t xml:space="preserve"> (meziroční růst mzdových prostředků ve 3</w:t>
            </w:r>
            <w:r w:rsidR="005723B7">
              <w:rPr>
                <w:rFonts w:cs="Arial"/>
                <w:spacing w:val="-2"/>
              </w:rPr>
              <w:t>. čtvrtletí</w:t>
            </w:r>
            <w:r w:rsidRPr="00F66CA8">
              <w:rPr>
                <w:rFonts w:cs="Arial"/>
                <w:spacing w:val="-2"/>
              </w:rPr>
              <w:t xml:space="preserve"> dosáhl 3,9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). Slaběji než v předchozích dvou kvart</w:t>
            </w:r>
            <w:r w:rsidR="00F66CA8" w:rsidRPr="00F66CA8">
              <w:rPr>
                <w:rFonts w:cs="Arial"/>
                <w:spacing w:val="-2"/>
              </w:rPr>
              <w:t>álech rostl objem mezd u </w:t>
            </w:r>
            <w:r w:rsidRPr="00F66CA8">
              <w:rPr>
                <w:rFonts w:cs="Arial"/>
                <w:spacing w:val="-2"/>
              </w:rPr>
              <w:t>profesních, vědeckých technických č</w:t>
            </w:r>
            <w:r w:rsidR="00F66CA8" w:rsidRPr="00F66CA8">
              <w:rPr>
                <w:rFonts w:cs="Arial"/>
                <w:spacing w:val="-2"/>
              </w:rPr>
              <w:t>inností (7,7</w:t>
            </w:r>
            <w:r w:rsidR="005723B7">
              <w:rPr>
                <w:rFonts w:cs="Arial"/>
                <w:spacing w:val="-2"/>
              </w:rPr>
              <w:t> %</w:t>
            </w:r>
            <w:r w:rsidR="00F66CA8" w:rsidRPr="00F66CA8">
              <w:rPr>
                <w:rFonts w:cs="Arial"/>
                <w:spacing w:val="-2"/>
              </w:rPr>
              <w:t>). Podobně jako u </w:t>
            </w:r>
            <w:r w:rsidRPr="00F66CA8">
              <w:rPr>
                <w:rFonts w:cs="Arial"/>
                <w:spacing w:val="-2"/>
              </w:rPr>
              <w:t>informačních činností byl zde růst celkové za</w:t>
            </w:r>
            <w:r w:rsidR="00F66CA8" w:rsidRPr="00F66CA8">
              <w:rPr>
                <w:rFonts w:cs="Arial"/>
                <w:spacing w:val="-2"/>
              </w:rPr>
              <w:t>městnanosti poměrně vysoký (3,6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). Nejslabší růst mezd zaznamenalo stavebnictví (2,8</w:t>
            </w:r>
            <w:r w:rsidR="005723B7">
              <w:rPr>
                <w:rFonts w:cs="Arial"/>
                <w:spacing w:val="-2"/>
              </w:rPr>
              <w:t> %</w:t>
            </w:r>
            <w:r w:rsidRPr="00F66CA8">
              <w:rPr>
                <w:rFonts w:cs="Arial"/>
                <w:spacing w:val="-2"/>
              </w:rPr>
              <w:t>).</w:t>
            </w:r>
          </w:p>
          <w:p w:rsidR="00B428EA" w:rsidRPr="00337239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DD0726" w:rsidRPr="00A74192" w:rsidTr="006C3DC1">
        <w:tc>
          <w:tcPr>
            <w:tcW w:w="1007" w:type="pct"/>
          </w:tcPr>
          <w:p w:rsidR="00DD0726" w:rsidRPr="005E2AB2" w:rsidRDefault="00DD0726" w:rsidP="006C3DC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5E2AB2" w:rsidRDefault="00DD0726" w:rsidP="006C3DC1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575" w:type="pct"/>
          </w:tcPr>
          <w:p w:rsidR="00DD0726" w:rsidRPr="005E2AB2" w:rsidRDefault="00DD0726" w:rsidP="006C3DC1">
            <w:pPr>
              <w:pStyle w:val="Textpoznpodarou"/>
              <w:rPr>
                <w:rFonts w:cs="Arial"/>
                <w:lang w:eastAsia="en-US"/>
              </w:rPr>
            </w:pPr>
            <w:r w:rsidRPr="005E2AB2">
              <w:rPr>
                <w:rFonts w:cs="Arial"/>
                <w:lang w:eastAsia="en-US"/>
              </w:rPr>
              <w:t>Graf č. 3</w:t>
            </w:r>
          </w:p>
        </w:tc>
        <w:tc>
          <w:tcPr>
            <w:tcW w:w="3274" w:type="pct"/>
            <w:gridSpan w:val="2"/>
          </w:tcPr>
          <w:p w:rsidR="00DD0726" w:rsidRPr="005E2AB2" w:rsidRDefault="00DD0726" w:rsidP="006C3DC1">
            <w:pPr>
              <w:pStyle w:val="Textpoznpodarou"/>
              <w:rPr>
                <w:rFonts w:cs="Arial"/>
                <w:lang w:eastAsia="en-US"/>
              </w:rPr>
            </w:pPr>
            <w:r w:rsidRPr="005E2AB2">
              <w:rPr>
                <w:rFonts w:cs="Arial"/>
                <w:b/>
                <w:lang w:eastAsia="en-US"/>
              </w:rPr>
              <w:t>Příspěvky výdajových složek k</w:t>
            </w:r>
            <w:r>
              <w:rPr>
                <w:rFonts w:cs="Arial"/>
                <w:b/>
                <w:lang w:eastAsia="en-US"/>
              </w:rPr>
              <w:t xml:space="preserve"> reálné</w:t>
            </w:r>
            <w:r w:rsidRPr="005E2AB2">
              <w:rPr>
                <w:rFonts w:cs="Arial"/>
                <w:b/>
                <w:lang w:eastAsia="en-US"/>
              </w:rPr>
              <w:t> změně HDP*</w:t>
            </w:r>
            <w:r w:rsidRPr="005E2AB2">
              <w:rPr>
                <w:rFonts w:cs="Arial"/>
                <w:lang w:eastAsia="en-US"/>
              </w:rPr>
              <w:t xml:space="preserve"> (</w:t>
            </w:r>
            <w:r>
              <w:rPr>
                <w:rFonts w:cs="Arial"/>
                <w:lang w:eastAsia="en-US"/>
              </w:rPr>
              <w:t>objemové indexy</w:t>
            </w:r>
            <w:r w:rsidRPr="005E2AB2">
              <w:rPr>
                <w:rFonts w:cs="Arial"/>
                <w:lang w:eastAsia="en-US"/>
              </w:rPr>
              <w:t xml:space="preserve">, </w:t>
            </w:r>
            <w:r>
              <w:rPr>
                <w:rFonts w:cs="Arial"/>
                <w:lang w:eastAsia="en-US"/>
              </w:rPr>
              <w:t xml:space="preserve">meziroční růst, </w:t>
            </w:r>
            <w:r w:rsidRPr="005E2AB2">
              <w:rPr>
                <w:rFonts w:cs="Arial"/>
                <w:lang w:eastAsia="en-US"/>
              </w:rPr>
              <w:t>příspěvky v</w:t>
            </w:r>
            <w:r w:rsidR="00CE0849">
              <w:rPr>
                <w:rFonts w:cs="Arial"/>
                <w:lang w:eastAsia="en-US"/>
              </w:rPr>
              <w:t> p. b.</w:t>
            </w:r>
            <w:r w:rsidRPr="005E2AB2">
              <w:rPr>
                <w:rFonts w:cs="Arial"/>
                <w:lang w:eastAsia="en-US"/>
              </w:rPr>
              <w:t>, HDP v</w:t>
            </w:r>
            <w:r w:rsidR="005723B7">
              <w:rPr>
                <w:rFonts w:cs="Arial"/>
                <w:lang w:eastAsia="en-US"/>
              </w:rPr>
              <w:t> %</w:t>
            </w:r>
            <w:r w:rsidRPr="005E2AB2">
              <w:rPr>
                <w:rFonts w:cs="Arial"/>
                <w:lang w:eastAsia="en-US"/>
              </w:rPr>
              <w:t>)</w:t>
            </w:r>
          </w:p>
        </w:tc>
      </w:tr>
      <w:tr w:rsidR="00DD0726" w:rsidRPr="00A74192" w:rsidTr="006C3DC1">
        <w:tc>
          <w:tcPr>
            <w:tcW w:w="1007" w:type="pct"/>
          </w:tcPr>
          <w:p w:rsidR="00DD0726" w:rsidRPr="005E2AB2" w:rsidRDefault="00DD0726" w:rsidP="006C3DC1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A74192" w:rsidRDefault="00DD0726" w:rsidP="006C3DC1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DD0726" w:rsidRPr="00E60FCE" w:rsidRDefault="00B428EA" w:rsidP="006C3DC1">
            <w:pPr>
              <w:pStyle w:val="Textpoznpodarou"/>
              <w:ind w:left="-95"/>
              <w:jc w:val="both"/>
              <w:rPr>
                <w:rFonts w:cs="Arial"/>
                <w:sz w:val="14"/>
                <w:szCs w:val="14"/>
                <w:highlight w:val="yellow"/>
              </w:rPr>
            </w:pPr>
            <w:r w:rsidRPr="00B428EA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>
                  <wp:extent cx="4737600" cy="3553200"/>
                  <wp:effectExtent l="0" t="0" r="0" b="0"/>
                  <wp:docPr id="5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DD0726" w:rsidRPr="00A74192" w:rsidTr="006C3DC1">
        <w:tc>
          <w:tcPr>
            <w:tcW w:w="1007" w:type="pct"/>
          </w:tcPr>
          <w:p w:rsidR="00DD0726" w:rsidRPr="005E2AB2" w:rsidRDefault="00DD0726" w:rsidP="006C3DC1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A74192" w:rsidRDefault="00DD0726" w:rsidP="006C3DC1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165" w:type="pct"/>
            <w:gridSpan w:val="2"/>
          </w:tcPr>
          <w:p w:rsidR="00DD0726" w:rsidRPr="007841BB" w:rsidRDefault="00DD0726" w:rsidP="006C3DC1">
            <w:pPr>
              <w:pStyle w:val="Textpoznpodarou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  <w:lang w:eastAsia="en-US"/>
              </w:rPr>
              <w:t>*P</w:t>
            </w:r>
            <w:r w:rsidRPr="007841BB">
              <w:rPr>
                <w:rFonts w:cs="Arial"/>
                <w:sz w:val="14"/>
                <w:szCs w:val="14"/>
                <w:lang w:eastAsia="en-US"/>
              </w:rPr>
              <w:t>říspěvky ke změně HDP po vyloučení dovozu pro konečné užití</w:t>
            </w:r>
          </w:p>
        </w:tc>
        <w:tc>
          <w:tcPr>
            <w:tcW w:w="684" w:type="pct"/>
          </w:tcPr>
          <w:p w:rsidR="00DD0726" w:rsidRPr="007841BB" w:rsidRDefault="00DD0726" w:rsidP="006C3DC1">
            <w:pPr>
              <w:pStyle w:val="Textpoznpodarou"/>
              <w:jc w:val="right"/>
              <w:rPr>
                <w:rFonts w:cs="Arial"/>
                <w:sz w:val="14"/>
                <w:szCs w:val="14"/>
              </w:rPr>
            </w:pPr>
            <w:r w:rsidRPr="007841BB">
              <w:rPr>
                <w:rFonts w:cs="Arial"/>
                <w:sz w:val="14"/>
                <w:szCs w:val="14"/>
              </w:rPr>
              <w:t>Zdroj: ČSÚ</w:t>
            </w:r>
          </w:p>
          <w:p w:rsidR="00DD0726" w:rsidRPr="007841BB" w:rsidRDefault="00DD0726" w:rsidP="006C3DC1">
            <w:pPr>
              <w:pStyle w:val="Textpoznpodarou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B428EA" w:rsidRPr="00A74192" w:rsidTr="006C3DC1">
        <w:tc>
          <w:tcPr>
            <w:tcW w:w="1007" w:type="pct"/>
          </w:tcPr>
          <w:p w:rsidR="00B428EA" w:rsidRPr="00F32CCD" w:rsidRDefault="00B428EA" w:rsidP="00333134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Investiční aktivita meziročně rostla, mezičtvrtletní dynamika však byla nulová.</w:t>
            </w:r>
          </w:p>
        </w:tc>
        <w:tc>
          <w:tcPr>
            <w:tcW w:w="144" w:type="pct"/>
          </w:tcPr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B428EA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Meziroční tempo růstu výdajů na tvorbu hrubého fixního kapitálu ve 3</w:t>
            </w:r>
            <w:r w:rsidR="005723B7">
              <w:rPr>
                <w:rFonts w:cs="Arial"/>
              </w:rPr>
              <w:t>. čtvrtletí</w:t>
            </w:r>
            <w:r>
              <w:rPr>
                <w:rFonts w:cs="Arial"/>
              </w:rPr>
              <w:t xml:space="preserve"> mírně zrychlilo a dosáhlo 7,5</w:t>
            </w:r>
            <w:r w:rsidR="005723B7">
              <w:rPr>
                <w:rFonts w:cs="Arial"/>
              </w:rPr>
              <w:t> %</w:t>
            </w:r>
            <w:r>
              <w:rPr>
                <w:rFonts w:cs="Arial"/>
              </w:rPr>
              <w:t>. V mezičtvrtletním pohledu se však ukázalo, že značný nárůst, který investiční aktivita zaznamenala ve 2</w:t>
            </w:r>
            <w:r w:rsidR="005723B7">
              <w:rPr>
                <w:rFonts w:cs="Arial"/>
              </w:rPr>
              <w:t>. čtvrtletí</w:t>
            </w:r>
            <w:r>
              <w:rPr>
                <w:rFonts w:cs="Arial"/>
              </w:rPr>
              <w:t xml:space="preserve"> (5,7</w:t>
            </w:r>
            <w:r w:rsidR="005723B7">
              <w:rPr>
                <w:rFonts w:cs="Arial"/>
              </w:rPr>
              <w:t> %</w:t>
            </w:r>
            <w:r>
              <w:rPr>
                <w:rFonts w:cs="Arial"/>
              </w:rPr>
              <w:t xml:space="preserve">), se neudržel a objem výdajů </w:t>
            </w:r>
            <w:r w:rsidR="000673F8">
              <w:rPr>
                <w:rFonts w:cs="Arial"/>
              </w:rPr>
              <w:t>setrval</w:t>
            </w:r>
            <w:r>
              <w:rPr>
                <w:rFonts w:cs="Arial"/>
              </w:rPr>
              <w:t xml:space="preserve"> na úrovni 2. kvartálu. Věcné členění výdajů na tvorbu hrubého fixního kapitálu</w:t>
            </w:r>
            <w:r>
              <w:rPr>
                <w:rStyle w:val="Znakapoznpodarou"/>
              </w:rPr>
              <w:footnoteReference w:id="7"/>
            </w:r>
            <w:r>
              <w:rPr>
                <w:rFonts w:cs="Arial"/>
              </w:rPr>
              <w:t xml:space="preserve"> potvrdilo, že investiční aktivita je v současnosti v rukou domácností a podniků. Potvrzuje to nejen výrazné meziroční oživení investic do obydlí (10,9</w:t>
            </w:r>
            <w:r w:rsidR="005723B7">
              <w:rPr>
                <w:rFonts w:cs="Arial"/>
              </w:rPr>
              <w:t>%</w:t>
            </w:r>
            <w:r>
              <w:rPr>
                <w:rFonts w:cs="Arial"/>
              </w:rPr>
              <w:t xml:space="preserve"> meziroční nárůst ve 3</w:t>
            </w:r>
            <w:r w:rsidR="005723B7">
              <w:rPr>
                <w:rFonts w:cs="Arial"/>
              </w:rPr>
              <w:t>. čtvrtletí</w:t>
            </w:r>
            <w:r>
              <w:rPr>
                <w:rFonts w:cs="Arial"/>
              </w:rPr>
              <w:t>), které jsou doménou domácností, ale především vývoj investic do ICT a ostatních strojů a zařízení, které jsou největší investiční položkou a jejich meziroční růst zrychlil na 7,5</w:t>
            </w:r>
            <w:r w:rsidR="005723B7">
              <w:rPr>
                <w:rFonts w:cs="Arial"/>
              </w:rPr>
              <w:t> %</w:t>
            </w:r>
            <w:r>
              <w:rPr>
                <w:rFonts w:cs="Arial"/>
              </w:rPr>
              <w:t xml:space="preserve">. </w:t>
            </w:r>
            <w:r w:rsidR="000673F8">
              <w:rPr>
                <w:rFonts w:cs="Arial"/>
              </w:rPr>
              <w:t>Zde vystupuje jako</w:t>
            </w:r>
            <w:r>
              <w:rPr>
                <w:rFonts w:cs="Arial"/>
              </w:rPr>
              <w:t xml:space="preserve"> hlavní investor sektor nefinančních podniků, který investicemi do výrobních zařízení částečně řeší nedostatek pracovní síl</w:t>
            </w:r>
            <w:r w:rsidR="00F66CA8">
              <w:rPr>
                <w:rFonts w:cs="Arial"/>
              </w:rPr>
              <w:t>y. Poměrně silná zůstala i</w:t>
            </w:r>
            <w:r w:rsidR="00F66CA8" w:rsidRPr="00F66CA8">
              <w:rPr>
                <w:rFonts w:cs="Arial"/>
                <w:spacing w:val="-2"/>
              </w:rPr>
              <w:t> </w:t>
            </w:r>
            <w:r>
              <w:rPr>
                <w:rFonts w:cs="Arial"/>
              </w:rPr>
              <w:t>meziroční dynamika investic do dopravních prostředků a zařízení (7,2</w:t>
            </w:r>
            <w:r w:rsidR="005723B7">
              <w:rPr>
                <w:rFonts w:cs="Arial"/>
              </w:rPr>
              <w:t> %</w:t>
            </w:r>
            <w:r>
              <w:rPr>
                <w:rFonts w:cs="Arial"/>
              </w:rPr>
              <w:t xml:space="preserve">). Přesto, že již nedosahuje dvouciferných temp let 2015 a 2016, jde o stabilního tahouna </w:t>
            </w:r>
            <w:r>
              <w:rPr>
                <w:rFonts w:cs="Arial"/>
              </w:rPr>
              <w:lastRenderedPageBreak/>
              <w:t>investic v Česku. Potíže tak přetrvávají jen u ostatních budov a staveb, které zahrnují infrastrukturní projekty a jsou hlavní investiční položkou vládních institucí. Meziročně se ve 3</w:t>
            </w:r>
            <w:r w:rsidR="005723B7">
              <w:rPr>
                <w:rFonts w:cs="Arial"/>
              </w:rPr>
              <w:t>. čtvrtletí</w:t>
            </w:r>
            <w:r>
              <w:rPr>
                <w:rFonts w:cs="Arial"/>
              </w:rPr>
              <w:t xml:space="preserve"> výdaje na tento účel zvýšily o 1,3</w:t>
            </w:r>
            <w:r w:rsidR="005723B7">
              <w:rPr>
                <w:rFonts w:cs="Arial"/>
              </w:rPr>
              <w:t> %</w:t>
            </w:r>
            <w:r>
              <w:rPr>
                <w:rFonts w:cs="Arial"/>
              </w:rPr>
              <w:t>, ve srovnání s extrémně nízkou základnou roku 2016 jde však o kosmetický nárůst. Úroveň výdajů</w:t>
            </w:r>
            <w:r>
              <w:rPr>
                <w:rStyle w:val="Znakapoznpodarou"/>
              </w:rPr>
              <w:footnoteReference w:id="8"/>
            </w:r>
            <w:r>
              <w:rPr>
                <w:rFonts w:cs="Arial"/>
              </w:rPr>
              <w:t xml:space="preserve"> v prvních třech čtvrtletích roku 2017 zdaleka nepřekračuje rok 2015 ani roky předcházející.</w:t>
            </w:r>
          </w:p>
          <w:p w:rsidR="00B428EA" w:rsidRPr="00622A7C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B428EA" w:rsidRPr="00A74192" w:rsidTr="006C3DC1">
        <w:tc>
          <w:tcPr>
            <w:tcW w:w="1007" w:type="pct"/>
          </w:tcPr>
          <w:p w:rsidR="00B428EA" w:rsidRPr="00F32CCD" w:rsidRDefault="00B428EA" w:rsidP="00333134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Zahraniční obchod opět dosáhl přebytku.</w:t>
            </w:r>
          </w:p>
        </w:tc>
        <w:tc>
          <w:tcPr>
            <w:tcW w:w="144" w:type="pct"/>
          </w:tcPr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B428EA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 w:rsidRPr="0040762B">
              <w:rPr>
                <w:rFonts w:cs="Arial"/>
              </w:rPr>
              <w:t>Přebytek</w:t>
            </w:r>
            <w:r w:rsidR="000673F8">
              <w:rPr>
                <w:rFonts w:cs="Arial"/>
              </w:rPr>
              <w:t xml:space="preserve"> obchodní</w:t>
            </w:r>
            <w:r w:rsidRPr="0040762B">
              <w:rPr>
                <w:rFonts w:cs="Arial"/>
              </w:rPr>
              <w:t xml:space="preserve"> bilance (v běžných cenách) dosáhl ve 3</w:t>
            </w:r>
            <w:r w:rsidR="005723B7">
              <w:rPr>
                <w:rFonts w:cs="Arial"/>
              </w:rPr>
              <w:t>. čtvrtletí</w:t>
            </w:r>
            <w:r w:rsidRPr="0040762B">
              <w:rPr>
                <w:rFonts w:cs="Arial"/>
              </w:rPr>
              <w:t xml:space="preserve"> 87,2</w:t>
            </w:r>
            <w:r w:rsidR="006D164C">
              <w:rPr>
                <w:rFonts w:cs="Arial"/>
              </w:rPr>
              <w:t> mld.</w:t>
            </w:r>
            <w:r w:rsidRPr="0040762B">
              <w:rPr>
                <w:rFonts w:cs="Arial"/>
              </w:rPr>
              <w:t xml:space="preserve"> korun</w:t>
            </w:r>
            <w:r>
              <w:rPr>
                <w:rStyle w:val="Znakapoznpodarou"/>
              </w:rPr>
              <w:footnoteReference w:id="9"/>
            </w:r>
            <w:r w:rsidRPr="0040762B">
              <w:rPr>
                <w:rFonts w:cs="Arial"/>
              </w:rPr>
              <w:t xml:space="preserve"> </w:t>
            </w:r>
            <w:r w:rsidRPr="0040762B">
              <w:t>a</w:t>
            </w:r>
            <w:r>
              <w:t> </w:t>
            </w:r>
            <w:r w:rsidRPr="0040762B">
              <w:t>meziročně</w:t>
            </w:r>
            <w:r w:rsidRPr="0040762B">
              <w:rPr>
                <w:rFonts w:cs="Arial"/>
              </w:rPr>
              <w:t xml:space="preserve"> se snížil o 1,1</w:t>
            </w:r>
            <w:r w:rsidR="006D164C">
              <w:rPr>
                <w:rFonts w:cs="Arial"/>
              </w:rPr>
              <w:t> mld.</w:t>
            </w:r>
            <w:r w:rsidRPr="0040762B">
              <w:rPr>
                <w:rFonts w:cs="Arial"/>
              </w:rPr>
              <w:t xml:space="preserve"> Na snížení přebytku se prakticky stejnou měrou podílel obchod se zbožím i službami. Přebytek obchodu se zbožím dosáhl 58,5</w:t>
            </w:r>
            <w:r>
              <w:rPr>
                <w:rFonts w:cs="Arial"/>
              </w:rPr>
              <w:t> </w:t>
            </w:r>
            <w:r w:rsidRPr="0040762B">
              <w:rPr>
                <w:rFonts w:cs="Arial"/>
              </w:rPr>
              <w:t>mld. korun, obchod se službami měl kladné saldo ve výši 28,8</w:t>
            </w:r>
            <w:r w:rsidR="006D164C">
              <w:rPr>
                <w:rFonts w:cs="Arial"/>
              </w:rPr>
              <w:t> mld.</w:t>
            </w:r>
            <w:r w:rsidRPr="0040762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Směnné relace ve 3</w:t>
            </w:r>
            <w:r w:rsidR="005723B7">
              <w:rPr>
                <w:rFonts w:cs="Arial"/>
              </w:rPr>
              <w:t>. čtvrtletí</w:t>
            </w:r>
            <w:r>
              <w:rPr>
                <w:rFonts w:cs="Arial"/>
              </w:rPr>
              <w:t xml:space="preserve"> byly záporné, v porovnání s předchozími dvěma kvartály se však zmírnily a dosáhly 99,3</w:t>
            </w:r>
            <w:r w:rsidR="005723B7">
              <w:rPr>
                <w:rFonts w:cs="Arial"/>
              </w:rPr>
              <w:t> %</w:t>
            </w:r>
            <w:r>
              <w:rPr>
                <w:rFonts w:cs="Arial"/>
              </w:rPr>
              <w:t>. Záporné směnné relace lze přičíst na vrub zahraničnímu obchodu se zbožím (99,0</w:t>
            </w:r>
            <w:r w:rsidR="005723B7">
              <w:rPr>
                <w:rFonts w:cs="Arial"/>
              </w:rPr>
              <w:t> %</w:t>
            </w:r>
            <w:r>
              <w:rPr>
                <w:rFonts w:cs="Arial"/>
              </w:rPr>
              <w:t>). Směnné relace obchodu se službami byly kladné a činily 100,8</w:t>
            </w:r>
            <w:r w:rsidR="005723B7">
              <w:rPr>
                <w:rFonts w:cs="Arial"/>
              </w:rPr>
              <w:t> %</w:t>
            </w:r>
            <w:r>
              <w:rPr>
                <w:rFonts w:cs="Arial"/>
              </w:rPr>
              <w:t>. Záporné směnné relace se promítly i do hodnoty reálného hrubého domácího obchodu. Z něj vyplývá, že ztráta ze směnných relací ve 3</w:t>
            </w:r>
            <w:r w:rsidR="005723B7">
              <w:rPr>
                <w:rFonts w:cs="Arial"/>
              </w:rPr>
              <w:t>. čtvrtletí</w:t>
            </w:r>
            <w:r>
              <w:rPr>
                <w:rFonts w:cs="Arial"/>
              </w:rPr>
              <w:t xml:space="preserve"> činila 6,1</w:t>
            </w:r>
            <w:r w:rsidR="006D164C">
              <w:rPr>
                <w:rFonts w:cs="Arial"/>
              </w:rPr>
              <w:t> mld.</w:t>
            </w:r>
            <w:r>
              <w:rPr>
                <w:rFonts w:cs="Arial"/>
              </w:rPr>
              <w:t xml:space="preserve"> korun.</w:t>
            </w:r>
          </w:p>
          <w:p w:rsidR="00B428EA" w:rsidRPr="0040762B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  <w:highlight w:val="yellow"/>
              </w:rPr>
            </w:pPr>
          </w:p>
        </w:tc>
      </w:tr>
      <w:tr w:rsidR="00B428EA" w:rsidRPr="00A74192" w:rsidTr="006C3DC1">
        <w:tc>
          <w:tcPr>
            <w:tcW w:w="1007" w:type="pct"/>
          </w:tcPr>
          <w:p w:rsidR="00B428EA" w:rsidRPr="00F32CCD" w:rsidRDefault="00B428EA" w:rsidP="00333134">
            <w:pPr>
              <w:spacing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Nabídková strana ekonomiky odrážela rostoucí spotřebu. Patrné to bylo především u odvětví služeb.</w:t>
            </w:r>
          </w:p>
        </w:tc>
        <w:tc>
          <w:tcPr>
            <w:tcW w:w="144" w:type="pct"/>
          </w:tcPr>
          <w:p w:rsidR="00B428EA" w:rsidRPr="00F32CCD" w:rsidRDefault="00B428EA" w:rsidP="00333134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B428EA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 xml:space="preserve">Růst hrubé přidané hodnoty nadále </w:t>
            </w:r>
            <w:r w:rsidR="00C20027">
              <w:rPr>
                <w:rFonts w:cs="Arial"/>
              </w:rPr>
              <w:t>závisí</w:t>
            </w:r>
            <w:r>
              <w:rPr>
                <w:rFonts w:cs="Arial"/>
              </w:rPr>
              <w:t xml:space="preserve"> na zpracovatelském průmyslu, který díky meziročnímu nárůstu ve výši 7,9</w:t>
            </w:r>
            <w:r w:rsidR="005723B7">
              <w:rPr>
                <w:rFonts w:cs="Arial"/>
              </w:rPr>
              <w:t> %</w:t>
            </w:r>
            <w:r>
              <w:rPr>
                <w:rFonts w:cs="Arial"/>
              </w:rPr>
              <w:t xml:space="preserve"> ve 3</w:t>
            </w:r>
            <w:r w:rsidR="005723B7">
              <w:rPr>
                <w:rFonts w:cs="Arial"/>
              </w:rPr>
              <w:t>. čtvrtletí</w:t>
            </w:r>
            <w:r>
              <w:rPr>
                <w:rFonts w:cs="Arial"/>
              </w:rPr>
              <w:t xml:space="preserve"> přispěl k dynamice HPH 2,1</w:t>
            </w:r>
            <w:r w:rsidR="00CE0849">
              <w:rPr>
                <w:rFonts w:cs="Arial"/>
              </w:rPr>
              <w:t> p. b.</w:t>
            </w:r>
            <w:r>
              <w:rPr>
                <w:rFonts w:cs="Arial"/>
              </w:rPr>
              <w:t xml:space="preserve"> I</w:t>
            </w:r>
            <w:r w:rsidR="00C20027">
              <w:rPr>
                <w:rFonts w:cs="Arial"/>
              </w:rPr>
              <w:t> </w:t>
            </w:r>
            <w:r>
              <w:rPr>
                <w:rFonts w:cs="Arial"/>
              </w:rPr>
              <w:t>ostatním průmyslovým odvětvím se v uvedeném období dařilo, protože jejich příspěvek k růstu dosáhl 0,3</w:t>
            </w:r>
            <w:r w:rsidR="00CE0849">
              <w:rPr>
                <w:rFonts w:cs="Arial"/>
              </w:rPr>
              <w:t> p. b.</w:t>
            </w:r>
            <w:r>
              <w:rPr>
                <w:rFonts w:cs="Arial"/>
              </w:rPr>
              <w:t>, což je nejvíce od počátku roku 2014. Díky zrychlení meziroční dynamiky přispěla odvětví služeb k celkovému růstu 2,4</w:t>
            </w:r>
            <w:r w:rsidR="00CE0849">
              <w:rPr>
                <w:rFonts w:cs="Arial"/>
              </w:rPr>
              <w:t> p. b.</w:t>
            </w:r>
            <w:r>
              <w:rPr>
                <w:rFonts w:cs="Arial"/>
              </w:rPr>
              <w:t xml:space="preserve"> Z toho 0,9</w:t>
            </w:r>
            <w:r w:rsidR="00CE0849">
              <w:rPr>
                <w:rFonts w:cs="Arial"/>
              </w:rPr>
              <w:t> p. b.</w:t>
            </w:r>
            <w:r>
              <w:rPr>
                <w:rFonts w:cs="Arial"/>
              </w:rPr>
              <w:t xml:space="preserve"> přispěl</w:t>
            </w:r>
            <w:r w:rsidR="00BB62F2">
              <w:rPr>
                <w:rFonts w:cs="Arial"/>
              </w:rPr>
              <w:t>o odvětví</w:t>
            </w:r>
            <w:r>
              <w:rPr>
                <w:rFonts w:cs="Arial"/>
              </w:rPr>
              <w:t xml:space="preserve"> obchod, doprava, ubytování a pohostinství</w:t>
            </w:r>
            <w:r w:rsidR="00C20027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="00C20027">
              <w:rPr>
                <w:rFonts w:cs="Arial"/>
              </w:rPr>
              <w:t>N</w:t>
            </w:r>
            <w:r>
              <w:rPr>
                <w:rFonts w:cs="Arial"/>
              </w:rPr>
              <w:t>a 0,5</w:t>
            </w:r>
            <w:r w:rsidR="00CE0849">
              <w:rPr>
                <w:rFonts w:cs="Arial"/>
              </w:rPr>
              <w:t> p. b.</w:t>
            </w:r>
            <w:r>
              <w:rPr>
                <w:rFonts w:cs="Arial"/>
              </w:rPr>
              <w:t xml:space="preserve"> posílil i příspěvek profesních, vědeckých a technických činností. Dařilo se </w:t>
            </w:r>
            <w:r w:rsidRPr="006402F6">
              <w:t>i</w:t>
            </w:r>
            <w:r>
              <w:t> </w:t>
            </w:r>
            <w:r w:rsidRPr="006402F6">
              <w:t>informačním</w:t>
            </w:r>
            <w:r>
              <w:rPr>
                <w:rFonts w:cs="Arial"/>
              </w:rPr>
              <w:t xml:space="preserve"> a komunikačním činnostem (meziroční růst ve 3</w:t>
            </w:r>
            <w:r w:rsidR="005723B7">
              <w:rPr>
                <w:rFonts w:cs="Arial"/>
              </w:rPr>
              <w:t>. čtvrtletí</w:t>
            </w:r>
            <w:r>
              <w:rPr>
                <w:rFonts w:cs="Arial"/>
              </w:rPr>
              <w:t xml:space="preserve"> 5,7</w:t>
            </w:r>
            <w:r w:rsidR="005723B7">
              <w:rPr>
                <w:rFonts w:cs="Arial"/>
              </w:rPr>
              <w:t> %</w:t>
            </w:r>
            <w:r>
              <w:rPr>
                <w:rFonts w:cs="Arial"/>
              </w:rPr>
              <w:t>, příspěvek k růstu HPH 0,3</w:t>
            </w:r>
            <w:r w:rsidR="00CE0849">
              <w:rPr>
                <w:rFonts w:cs="Arial"/>
              </w:rPr>
              <w:t> p. b.</w:t>
            </w:r>
            <w:r>
              <w:rPr>
                <w:rFonts w:cs="Arial"/>
              </w:rPr>
              <w:t>), peněžnictví a pojišťovnictví (9,0</w:t>
            </w:r>
            <w:r w:rsidR="005723B7">
              <w:rPr>
                <w:rFonts w:cs="Arial"/>
              </w:rPr>
              <w:t> %</w:t>
            </w:r>
            <w:r>
              <w:rPr>
                <w:rFonts w:cs="Arial"/>
              </w:rPr>
              <w:t>, 0,4</w:t>
            </w:r>
            <w:r w:rsidR="00CE0849">
              <w:rPr>
                <w:rFonts w:cs="Arial"/>
              </w:rPr>
              <w:t> p. b.</w:t>
            </w:r>
            <w:r>
              <w:rPr>
                <w:rFonts w:cs="Arial"/>
              </w:rPr>
              <w:t>) i činnostem v oblasti nemovitostí (3,3</w:t>
            </w:r>
            <w:r w:rsidR="005723B7">
              <w:rPr>
                <w:rFonts w:cs="Arial"/>
              </w:rPr>
              <w:t> %</w:t>
            </w:r>
            <w:r>
              <w:rPr>
                <w:rFonts w:cs="Arial"/>
              </w:rPr>
              <w:t>, 0,3</w:t>
            </w:r>
            <w:r w:rsidR="00CE0849">
              <w:rPr>
                <w:rFonts w:cs="Arial"/>
              </w:rPr>
              <w:t> p. b.</w:t>
            </w:r>
            <w:r>
              <w:rPr>
                <w:rFonts w:cs="Arial"/>
              </w:rPr>
              <w:t>). Růst HPH ve stavebnictví i</w:t>
            </w:r>
            <w:r w:rsidR="00C20027">
              <w:rPr>
                <w:rFonts w:cs="Arial"/>
              </w:rPr>
              <w:t> </w:t>
            </w:r>
            <w:r>
              <w:rPr>
                <w:rFonts w:cs="Arial"/>
              </w:rPr>
              <w:t>zemědělství zpomalil a obě odvětví k celkovému růstu přispěla jen 0,1</w:t>
            </w:r>
            <w:r w:rsidR="00CE0849">
              <w:rPr>
                <w:rFonts w:cs="Arial"/>
              </w:rPr>
              <w:t> p. b.</w:t>
            </w:r>
          </w:p>
          <w:p w:rsidR="00B428EA" w:rsidRPr="006402F6" w:rsidRDefault="00B428EA" w:rsidP="00333134">
            <w:pPr>
              <w:pStyle w:val="Textpoznpodarou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DD0726" w:rsidRPr="00A74192" w:rsidTr="006C3DC1">
        <w:tc>
          <w:tcPr>
            <w:tcW w:w="1007" w:type="pct"/>
          </w:tcPr>
          <w:p w:rsidR="00DD0726" w:rsidRDefault="00DD0726" w:rsidP="006C3DC1">
            <w:pPr>
              <w:spacing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5E2AB2" w:rsidRDefault="00DD0726" w:rsidP="006C3DC1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575" w:type="pct"/>
          </w:tcPr>
          <w:p w:rsidR="00DD0726" w:rsidRDefault="00DD0726" w:rsidP="006C3DC1">
            <w:pPr>
              <w:pStyle w:val="Textpoznpodarou"/>
              <w:jc w:val="both"/>
              <w:rPr>
                <w:rFonts w:cs="Arial"/>
              </w:rPr>
            </w:pPr>
            <w:r w:rsidRPr="005E2AB2">
              <w:rPr>
                <w:rFonts w:cs="Arial"/>
                <w:lang w:eastAsia="en-US"/>
              </w:rPr>
              <w:t>Graf č. 4</w:t>
            </w:r>
          </w:p>
        </w:tc>
        <w:tc>
          <w:tcPr>
            <w:tcW w:w="3274" w:type="pct"/>
            <w:gridSpan w:val="2"/>
          </w:tcPr>
          <w:p w:rsidR="00DD0726" w:rsidRDefault="00DD0726" w:rsidP="006C3DC1">
            <w:pPr>
              <w:pStyle w:val="Textpoznpodarou"/>
              <w:rPr>
                <w:rFonts w:cs="Arial"/>
              </w:rPr>
            </w:pPr>
            <w:r>
              <w:rPr>
                <w:rFonts w:cs="Arial"/>
                <w:b/>
                <w:lang w:eastAsia="en-US"/>
              </w:rPr>
              <w:t>Příspěvky odvětví k reálné</w:t>
            </w:r>
            <w:r w:rsidRPr="005E2AB2">
              <w:rPr>
                <w:rFonts w:cs="Arial"/>
                <w:b/>
                <w:lang w:eastAsia="en-US"/>
              </w:rPr>
              <w:t> změně HPH</w:t>
            </w:r>
            <w:r w:rsidRPr="005E2AB2">
              <w:rPr>
                <w:rFonts w:cs="Arial"/>
                <w:lang w:eastAsia="en-US"/>
              </w:rPr>
              <w:t xml:space="preserve"> (</w:t>
            </w:r>
            <w:r>
              <w:rPr>
                <w:rFonts w:cs="Arial"/>
                <w:lang w:eastAsia="en-US"/>
              </w:rPr>
              <w:t>objemové indexy</w:t>
            </w:r>
            <w:r w:rsidRPr="005E2AB2">
              <w:rPr>
                <w:rFonts w:cs="Arial"/>
                <w:lang w:eastAsia="en-US"/>
              </w:rPr>
              <w:t>,</w:t>
            </w:r>
            <w:r>
              <w:rPr>
                <w:rFonts w:cs="Arial"/>
                <w:lang w:eastAsia="en-US"/>
              </w:rPr>
              <w:t xml:space="preserve"> meziroční</w:t>
            </w:r>
            <w:r w:rsidRPr="005E2AB2">
              <w:rPr>
                <w:rFonts w:cs="Arial"/>
                <w:lang w:eastAsia="en-US"/>
              </w:rPr>
              <w:t xml:space="preserve"> příspěvky v</w:t>
            </w:r>
            <w:r w:rsidR="00CE0849">
              <w:rPr>
                <w:rFonts w:cs="Arial"/>
                <w:lang w:eastAsia="en-US"/>
              </w:rPr>
              <w:t> p. b.</w:t>
            </w:r>
            <w:r w:rsidRPr="005E2AB2">
              <w:rPr>
                <w:rFonts w:cs="Arial"/>
                <w:lang w:eastAsia="en-US"/>
              </w:rPr>
              <w:t>, HPH v</w:t>
            </w:r>
            <w:r w:rsidR="005723B7">
              <w:rPr>
                <w:rFonts w:cs="Arial"/>
                <w:lang w:eastAsia="en-US"/>
              </w:rPr>
              <w:t> %</w:t>
            </w:r>
            <w:r w:rsidRPr="005E2AB2">
              <w:rPr>
                <w:rFonts w:cs="Arial"/>
                <w:lang w:eastAsia="en-US"/>
              </w:rPr>
              <w:t>)</w:t>
            </w:r>
          </w:p>
        </w:tc>
      </w:tr>
      <w:tr w:rsidR="00DD0726" w:rsidRPr="00A74192" w:rsidTr="006C3DC1">
        <w:tc>
          <w:tcPr>
            <w:tcW w:w="1007" w:type="pct"/>
          </w:tcPr>
          <w:p w:rsidR="00DD0726" w:rsidRDefault="00DD0726" w:rsidP="006C3DC1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44" w:type="pct"/>
          </w:tcPr>
          <w:p w:rsidR="00DD0726" w:rsidRPr="005E2AB2" w:rsidRDefault="00DD0726" w:rsidP="006C3DC1">
            <w:pPr>
              <w:pStyle w:val="Textpoznpodarou"/>
              <w:jc w:val="both"/>
              <w:rPr>
                <w:rFonts w:cs="Arial"/>
              </w:rPr>
            </w:pPr>
          </w:p>
        </w:tc>
        <w:tc>
          <w:tcPr>
            <w:tcW w:w="3849" w:type="pct"/>
            <w:gridSpan w:val="3"/>
          </w:tcPr>
          <w:p w:rsidR="00DD0726" w:rsidRDefault="00B428EA" w:rsidP="006C3DC1">
            <w:pPr>
              <w:pStyle w:val="Textpoznpodarou"/>
              <w:ind w:left="-95"/>
              <w:jc w:val="both"/>
              <w:rPr>
                <w:rFonts w:cs="Arial"/>
              </w:rPr>
            </w:pPr>
            <w:r w:rsidRPr="00B428EA">
              <w:rPr>
                <w:rFonts w:cs="Arial"/>
                <w:noProof/>
              </w:rPr>
              <w:drawing>
                <wp:inline distT="0" distB="0" distL="0" distR="0">
                  <wp:extent cx="4737600" cy="3553200"/>
                  <wp:effectExtent l="0" t="0" r="0" b="0"/>
                  <wp:docPr id="6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DD0726" w:rsidRDefault="00DD0726" w:rsidP="006C3DC1">
            <w:pPr>
              <w:pStyle w:val="Textpoznpodarou"/>
              <w:ind w:left="-95"/>
              <w:jc w:val="right"/>
              <w:rPr>
                <w:rFonts w:cs="Arial"/>
                <w:sz w:val="14"/>
                <w:szCs w:val="14"/>
                <w:lang w:eastAsia="en-US"/>
              </w:rPr>
            </w:pPr>
            <w:r w:rsidRPr="007841BB">
              <w:rPr>
                <w:rFonts w:cs="Arial"/>
                <w:sz w:val="14"/>
                <w:szCs w:val="14"/>
                <w:lang w:eastAsia="en-US"/>
              </w:rPr>
              <w:t>Zdroj: ČSÚ</w:t>
            </w:r>
          </w:p>
          <w:p w:rsidR="00DD0726" w:rsidRPr="007841BB" w:rsidRDefault="00DD0726" w:rsidP="006C3DC1">
            <w:pPr>
              <w:pStyle w:val="Textpoznpodarou"/>
              <w:ind w:left="-95"/>
              <w:jc w:val="right"/>
              <w:rPr>
                <w:rFonts w:cs="Arial"/>
                <w:sz w:val="14"/>
                <w:szCs w:val="14"/>
                <w:lang w:eastAsia="en-US"/>
              </w:rPr>
            </w:pPr>
          </w:p>
        </w:tc>
      </w:tr>
      <w:bookmarkEnd w:id="2"/>
    </w:tbl>
    <w:p w:rsidR="008A03DE" w:rsidRPr="00CE7158" w:rsidRDefault="008A03DE" w:rsidP="004445E6">
      <w:pPr>
        <w:pStyle w:val="Nadpis1"/>
        <w:jc w:val="both"/>
        <w:rPr>
          <w:rFonts w:cs="Arial"/>
          <w:color w:val="000000"/>
          <w:sz w:val="10"/>
          <w:szCs w:val="10"/>
        </w:rPr>
      </w:pPr>
    </w:p>
    <w:sectPr w:rsidR="008A03DE" w:rsidRPr="00CE7158" w:rsidSect="004445E6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6" w:h="16838" w:code="9"/>
      <w:pgMar w:top="1134" w:right="1134" w:bottom="1418" w:left="1134" w:header="680" w:footer="680" w:gutter="0"/>
      <w:pgNumType w:start="5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CBF40B" w15:done="0"/>
  <w15:commentEx w15:paraId="16C4E902" w15:done="0"/>
  <w15:commentEx w15:paraId="77D26CEC" w15:done="0"/>
  <w15:commentEx w15:paraId="5E0FE7F5" w15:done="0"/>
  <w15:commentEx w15:paraId="4A572DBB" w15:done="0"/>
  <w15:commentEx w15:paraId="51697760" w15:done="0"/>
  <w15:commentEx w15:paraId="5ED29711" w15:done="0"/>
  <w15:commentEx w15:paraId="526810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CBF40B" w16cid:durableId="1DDEACCD"/>
  <w16cid:commentId w16cid:paraId="16C4E902" w16cid:durableId="1DDF6F04"/>
  <w16cid:commentId w16cid:paraId="77D26CEC" w16cid:durableId="1DDF596E"/>
  <w16cid:commentId w16cid:paraId="5E0FE7F5" w16cid:durableId="1DDF7C4B"/>
  <w16cid:commentId w16cid:paraId="4A572DBB" w16cid:durableId="1DDF8DFA"/>
  <w16cid:commentId w16cid:paraId="51697760" w16cid:durableId="1DDFC45F"/>
  <w16cid:commentId w16cid:paraId="5ED29711" w16cid:durableId="1DDFC9D1"/>
  <w16cid:commentId w16cid:paraId="52681086" w16cid:durableId="1DDFCB9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53" w:rsidRDefault="00CF7553" w:rsidP="00E71A58">
      <w:r>
        <w:separator/>
      </w:r>
    </w:p>
  </w:endnote>
  <w:endnote w:type="continuationSeparator" w:id="0">
    <w:p w:rsidR="00CF7553" w:rsidRDefault="00CF755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7" w:rsidRDefault="004A6717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18CA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B118CA" w:rsidRPr="005A21E0">
      <w:rPr>
        <w:rFonts w:ascii="Arial" w:hAnsi="Arial" w:cs="Arial"/>
        <w:sz w:val="16"/>
        <w:szCs w:val="16"/>
      </w:rPr>
      <w:fldChar w:fldCharType="separate"/>
    </w:r>
    <w:r w:rsidR="00DA661B">
      <w:rPr>
        <w:rFonts w:ascii="Arial" w:hAnsi="Arial" w:cs="Arial"/>
        <w:noProof/>
        <w:sz w:val="16"/>
        <w:szCs w:val="16"/>
      </w:rPr>
      <w:t>8</w:t>
    </w:r>
    <w:r w:rsidR="00B118CA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7" w:rsidRDefault="004A6717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4A6717" w:rsidRPr="00223E00" w:rsidRDefault="004A6717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rPr>
        <w:rFonts w:ascii="Arial" w:hAnsi="Arial" w:cs="Arial"/>
        <w:sz w:val="16"/>
        <w:szCs w:val="16"/>
      </w:rPr>
      <w:tab/>
    </w:r>
    <w:r w:rsidR="00B118CA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B118CA" w:rsidRPr="00223E00">
      <w:rPr>
        <w:rFonts w:ascii="Arial" w:hAnsi="Arial" w:cs="Arial"/>
        <w:sz w:val="16"/>
        <w:szCs w:val="16"/>
      </w:rPr>
      <w:fldChar w:fldCharType="separate"/>
    </w:r>
    <w:r w:rsidR="00DA661B">
      <w:rPr>
        <w:rFonts w:ascii="Arial" w:hAnsi="Arial" w:cs="Arial"/>
        <w:noProof/>
        <w:sz w:val="16"/>
        <w:szCs w:val="16"/>
      </w:rPr>
      <w:t>5</w:t>
    </w:r>
    <w:r w:rsidR="00B118CA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53" w:rsidRDefault="00CF7553" w:rsidP="00E71A58">
      <w:r>
        <w:separator/>
      </w:r>
    </w:p>
  </w:footnote>
  <w:footnote w:type="continuationSeparator" w:id="0">
    <w:p w:rsidR="00CF7553" w:rsidRDefault="00CF7553" w:rsidP="00E71A58">
      <w:r>
        <w:continuationSeparator/>
      </w:r>
    </w:p>
  </w:footnote>
  <w:footnote w:id="1">
    <w:p w:rsidR="004A6717" w:rsidRPr="00EF1EE3" w:rsidRDefault="004A6717" w:rsidP="00333134">
      <w:pPr>
        <w:pStyle w:val="Textpoznpodarou"/>
        <w:rPr>
          <w:sz w:val="16"/>
          <w:szCs w:val="16"/>
        </w:rPr>
      </w:pPr>
      <w:r w:rsidRPr="00EF1EE3">
        <w:rPr>
          <w:rStyle w:val="Znakapoznpodarou"/>
          <w:sz w:val="16"/>
          <w:szCs w:val="16"/>
        </w:rPr>
        <w:footnoteRef/>
      </w:r>
      <w:r w:rsidRPr="00EF1EE3">
        <w:rPr>
          <w:sz w:val="16"/>
          <w:szCs w:val="16"/>
        </w:rPr>
        <w:t xml:space="preserve"> </w:t>
      </w:r>
      <w:r>
        <w:rPr>
          <w:sz w:val="16"/>
          <w:szCs w:val="16"/>
        </w:rPr>
        <w:t>Vývoj</w:t>
      </w:r>
      <w:r w:rsidRPr="00EF1EE3">
        <w:rPr>
          <w:sz w:val="16"/>
          <w:szCs w:val="16"/>
        </w:rPr>
        <w:t xml:space="preserve"> HDP, hrubé přidané hodnot</w:t>
      </w:r>
      <w:r>
        <w:rPr>
          <w:sz w:val="16"/>
          <w:szCs w:val="16"/>
        </w:rPr>
        <w:t>y</w:t>
      </w:r>
      <w:r w:rsidRPr="00EF1EE3">
        <w:rPr>
          <w:sz w:val="16"/>
          <w:szCs w:val="16"/>
        </w:rPr>
        <w:t xml:space="preserve"> a jejich slož</w:t>
      </w:r>
      <w:r>
        <w:rPr>
          <w:sz w:val="16"/>
          <w:szCs w:val="16"/>
        </w:rPr>
        <w:t>e</w:t>
      </w:r>
      <w:r w:rsidRPr="00EF1EE3">
        <w:rPr>
          <w:sz w:val="16"/>
          <w:szCs w:val="16"/>
        </w:rPr>
        <w:t xml:space="preserve">k </w:t>
      </w:r>
      <w:r>
        <w:rPr>
          <w:sz w:val="16"/>
          <w:szCs w:val="16"/>
        </w:rPr>
        <w:t xml:space="preserve">je </w:t>
      </w:r>
      <w:r w:rsidRPr="00EF1EE3">
        <w:rPr>
          <w:sz w:val="16"/>
          <w:szCs w:val="16"/>
        </w:rPr>
        <w:t>vyjádřen</w:t>
      </w:r>
      <w:r>
        <w:rPr>
          <w:sz w:val="16"/>
          <w:szCs w:val="16"/>
        </w:rPr>
        <w:t xml:space="preserve"> prostřednictvím objemových indexů (tj. očištěn o změny cen)</w:t>
      </w:r>
      <w:r w:rsidRPr="00EF1EE3">
        <w:rPr>
          <w:sz w:val="16"/>
          <w:szCs w:val="16"/>
        </w:rPr>
        <w:t xml:space="preserve"> a v očištění o sezónní a kalendářn</w:t>
      </w:r>
      <w:r>
        <w:rPr>
          <w:sz w:val="16"/>
          <w:szCs w:val="16"/>
        </w:rPr>
        <w:t>í vlivy. Údaje byly zveřejněny 1</w:t>
      </w:r>
      <w:r w:rsidRPr="00EF1EE3">
        <w:rPr>
          <w:sz w:val="16"/>
          <w:szCs w:val="16"/>
        </w:rPr>
        <w:t>.</w:t>
      </w:r>
      <w:r>
        <w:rPr>
          <w:sz w:val="16"/>
          <w:szCs w:val="16"/>
        </w:rPr>
        <w:t xml:space="preserve"> 12</w:t>
      </w:r>
      <w:r w:rsidRPr="00EF1EE3">
        <w:rPr>
          <w:sz w:val="16"/>
          <w:szCs w:val="16"/>
        </w:rPr>
        <w:t>. 201</w:t>
      </w:r>
      <w:r>
        <w:rPr>
          <w:sz w:val="16"/>
          <w:szCs w:val="16"/>
        </w:rPr>
        <w:t>7</w:t>
      </w:r>
      <w:r w:rsidRPr="00EF1EE3">
        <w:rPr>
          <w:sz w:val="16"/>
          <w:szCs w:val="16"/>
        </w:rPr>
        <w:t xml:space="preserve"> a z</w:t>
      </w:r>
      <w:r>
        <w:rPr>
          <w:sz w:val="16"/>
          <w:szCs w:val="16"/>
        </w:rPr>
        <w:t xml:space="preserve">revidované údaje </w:t>
      </w:r>
      <w:r w:rsidRPr="00EF1EE3">
        <w:rPr>
          <w:sz w:val="16"/>
          <w:szCs w:val="16"/>
        </w:rPr>
        <w:t>bud</w:t>
      </w:r>
      <w:r>
        <w:rPr>
          <w:sz w:val="16"/>
          <w:szCs w:val="16"/>
        </w:rPr>
        <w:t>ou</w:t>
      </w:r>
      <w:r w:rsidRPr="00EF1EE3">
        <w:rPr>
          <w:sz w:val="16"/>
          <w:szCs w:val="16"/>
        </w:rPr>
        <w:t xml:space="preserve"> publikován</w:t>
      </w:r>
      <w:r>
        <w:rPr>
          <w:sz w:val="16"/>
          <w:szCs w:val="16"/>
        </w:rPr>
        <w:t>y</w:t>
      </w:r>
      <w:r w:rsidRPr="00EF1EE3">
        <w:rPr>
          <w:sz w:val="16"/>
          <w:szCs w:val="16"/>
        </w:rPr>
        <w:t xml:space="preserve"> </w:t>
      </w:r>
      <w:r>
        <w:rPr>
          <w:sz w:val="16"/>
          <w:szCs w:val="16"/>
        </w:rPr>
        <w:t>10</w:t>
      </w:r>
      <w:r w:rsidRPr="00EF1EE3">
        <w:rPr>
          <w:sz w:val="16"/>
          <w:szCs w:val="16"/>
        </w:rPr>
        <w:t xml:space="preserve">. </w:t>
      </w:r>
      <w:r>
        <w:rPr>
          <w:sz w:val="16"/>
          <w:szCs w:val="16"/>
        </w:rPr>
        <w:t>1</w:t>
      </w:r>
      <w:r w:rsidRPr="00EF1EE3">
        <w:rPr>
          <w:sz w:val="16"/>
          <w:szCs w:val="16"/>
        </w:rPr>
        <w:t>. 201</w:t>
      </w:r>
      <w:r>
        <w:rPr>
          <w:sz w:val="16"/>
          <w:szCs w:val="16"/>
        </w:rPr>
        <w:t>8</w:t>
      </w:r>
      <w:r w:rsidRPr="00EF1EE3">
        <w:rPr>
          <w:sz w:val="16"/>
          <w:szCs w:val="16"/>
        </w:rPr>
        <w:t>.</w:t>
      </w:r>
    </w:p>
  </w:footnote>
  <w:footnote w:id="2">
    <w:p w:rsidR="004A6717" w:rsidRPr="00BB319F" w:rsidRDefault="004A6717" w:rsidP="00333134">
      <w:pPr>
        <w:pStyle w:val="Textpoznpodarou"/>
        <w:rPr>
          <w:sz w:val="16"/>
          <w:szCs w:val="16"/>
        </w:rPr>
      </w:pPr>
      <w:r w:rsidRPr="00AF6B7C">
        <w:rPr>
          <w:rStyle w:val="Znakapoznpodarou"/>
          <w:sz w:val="16"/>
          <w:szCs w:val="16"/>
        </w:rPr>
        <w:footnoteRef/>
      </w:r>
      <w:r w:rsidRPr="00AF6B7C">
        <w:rPr>
          <w:sz w:val="16"/>
          <w:szCs w:val="16"/>
        </w:rPr>
        <w:t xml:space="preserve"> </w:t>
      </w:r>
      <w:r w:rsidRPr="00BB319F">
        <w:rPr>
          <w:sz w:val="16"/>
          <w:szCs w:val="16"/>
        </w:rPr>
        <w:t>Nedostupná data za Irsko</w:t>
      </w:r>
      <w:r>
        <w:rPr>
          <w:sz w:val="16"/>
          <w:szCs w:val="16"/>
        </w:rPr>
        <w:t xml:space="preserve"> </w:t>
      </w:r>
      <w:r w:rsidRPr="00BB319F">
        <w:rPr>
          <w:sz w:val="16"/>
          <w:szCs w:val="16"/>
        </w:rPr>
        <w:t>a Lucembursko.</w:t>
      </w:r>
      <w:r>
        <w:rPr>
          <w:sz w:val="16"/>
          <w:szCs w:val="16"/>
        </w:rPr>
        <w:t xml:space="preserve"> Data za Slovensko nejsou očištěna o kalendářní vlivy.</w:t>
      </w:r>
    </w:p>
  </w:footnote>
  <w:footnote w:id="3">
    <w:p w:rsidR="004A6717" w:rsidRPr="009C6EA8" w:rsidRDefault="004A6717" w:rsidP="00333134">
      <w:pPr>
        <w:pStyle w:val="Textpoznpodarou"/>
        <w:rPr>
          <w:sz w:val="16"/>
          <w:szCs w:val="16"/>
        </w:rPr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Příspěvky ke změně HDP po vyloučení dovozu pro konečné užití.</w:t>
      </w:r>
    </w:p>
  </w:footnote>
  <w:footnote w:id="4">
    <w:p w:rsidR="004A6717" w:rsidRPr="007933CD" w:rsidRDefault="004A6717">
      <w:pPr>
        <w:pStyle w:val="Textpoznpodarou"/>
        <w:rPr>
          <w:sz w:val="16"/>
          <w:szCs w:val="16"/>
        </w:rPr>
      </w:pPr>
      <w:r w:rsidRPr="007933CD">
        <w:rPr>
          <w:rStyle w:val="Znakapoznpodarou"/>
          <w:sz w:val="16"/>
          <w:szCs w:val="16"/>
        </w:rPr>
        <w:footnoteRef/>
      </w:r>
      <w:r w:rsidRPr="007933CD">
        <w:rPr>
          <w:sz w:val="16"/>
          <w:szCs w:val="16"/>
        </w:rPr>
        <w:t xml:space="preserve"> Údaje o spotřebě domácností podle trvanlivosti statků nejsou sezónně očištěny.</w:t>
      </w:r>
    </w:p>
  </w:footnote>
  <w:footnote w:id="5">
    <w:p w:rsidR="004A6717" w:rsidRPr="009C6EA8" w:rsidRDefault="004A6717" w:rsidP="00333134">
      <w:pPr>
        <w:pStyle w:val="Textpoznpodarou"/>
        <w:rPr>
          <w:sz w:val="16"/>
          <w:szCs w:val="16"/>
        </w:rPr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Do reálného vyjádření převedeno s využitím deflátoru výdajů na konečnou spotřebu domácností.</w:t>
      </w:r>
    </w:p>
  </w:footnote>
  <w:footnote w:id="6">
    <w:p w:rsidR="004A6717" w:rsidRDefault="004A6717" w:rsidP="00333134">
      <w:pPr>
        <w:pStyle w:val="Textpoznpodarou"/>
      </w:pPr>
      <w:r w:rsidRPr="009C6EA8">
        <w:rPr>
          <w:rStyle w:val="Znakapoznpodarou"/>
          <w:sz w:val="16"/>
          <w:szCs w:val="16"/>
        </w:rPr>
        <w:footnoteRef/>
      </w:r>
      <w:r w:rsidRPr="009C6EA8">
        <w:rPr>
          <w:sz w:val="16"/>
          <w:szCs w:val="16"/>
        </w:rPr>
        <w:t xml:space="preserve"> V pojetí národních účtů, sezónně očištěno</w:t>
      </w:r>
      <w:r w:rsidRPr="00004BA8">
        <w:rPr>
          <w:sz w:val="16"/>
        </w:rPr>
        <w:t>.</w:t>
      </w:r>
    </w:p>
  </w:footnote>
  <w:footnote w:id="7">
    <w:p w:rsidR="004A6717" w:rsidRPr="0021552C" w:rsidRDefault="004A6717" w:rsidP="00333134">
      <w:pPr>
        <w:pStyle w:val="Textpoznpodarou"/>
        <w:rPr>
          <w:sz w:val="16"/>
          <w:szCs w:val="16"/>
        </w:rPr>
      </w:pPr>
      <w:r w:rsidRPr="0021552C">
        <w:rPr>
          <w:rStyle w:val="Znakapoznpodarou"/>
          <w:sz w:val="16"/>
          <w:szCs w:val="16"/>
        </w:rPr>
        <w:footnoteRef/>
      </w:r>
      <w:r w:rsidRPr="0021552C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D</w:t>
      </w:r>
      <w:r w:rsidRPr="0021552C">
        <w:rPr>
          <w:rFonts w:cs="Arial"/>
          <w:sz w:val="16"/>
          <w:szCs w:val="16"/>
        </w:rPr>
        <w:t xml:space="preserve">ata o věcném členění tvorby </w:t>
      </w:r>
      <w:r>
        <w:rPr>
          <w:rFonts w:cs="Arial"/>
          <w:sz w:val="16"/>
          <w:szCs w:val="16"/>
        </w:rPr>
        <w:t>hrubého fixního kapitálu</w:t>
      </w:r>
      <w:r w:rsidRPr="0021552C">
        <w:rPr>
          <w:rFonts w:cs="Arial"/>
          <w:sz w:val="16"/>
          <w:szCs w:val="16"/>
        </w:rPr>
        <w:t xml:space="preserve"> nejsou sezónně očištěna</w:t>
      </w:r>
      <w:r>
        <w:rPr>
          <w:rFonts w:cs="Arial"/>
          <w:sz w:val="16"/>
          <w:szCs w:val="16"/>
        </w:rPr>
        <w:t>.</w:t>
      </w:r>
    </w:p>
  </w:footnote>
  <w:footnote w:id="8">
    <w:p w:rsidR="004A6717" w:rsidRPr="00831E4B" w:rsidRDefault="004A6717">
      <w:pPr>
        <w:pStyle w:val="Textpoznpodarou"/>
        <w:rPr>
          <w:sz w:val="16"/>
          <w:szCs w:val="16"/>
        </w:rPr>
      </w:pPr>
      <w:r w:rsidRPr="00831E4B">
        <w:rPr>
          <w:rStyle w:val="Znakapoznpodarou"/>
          <w:sz w:val="16"/>
          <w:szCs w:val="16"/>
        </w:rPr>
        <w:footnoteRef/>
      </w:r>
      <w:r w:rsidRPr="00831E4B">
        <w:rPr>
          <w:sz w:val="16"/>
          <w:szCs w:val="16"/>
        </w:rPr>
        <w:t xml:space="preserve"> V běžných i stálých cenách.</w:t>
      </w:r>
    </w:p>
  </w:footnote>
  <w:footnote w:id="9">
    <w:p w:rsidR="004A6717" w:rsidRPr="00167B30" w:rsidRDefault="004A6717" w:rsidP="00333134">
      <w:pPr>
        <w:pStyle w:val="Textpoznpodarou"/>
        <w:rPr>
          <w:sz w:val="16"/>
          <w:szCs w:val="16"/>
        </w:rPr>
      </w:pPr>
      <w:r w:rsidRPr="00167B30">
        <w:rPr>
          <w:rStyle w:val="Znakapoznpodarou"/>
          <w:sz w:val="16"/>
          <w:szCs w:val="16"/>
        </w:rPr>
        <w:footnoteRef/>
      </w:r>
      <w:r w:rsidRPr="00167B30">
        <w:rPr>
          <w:sz w:val="16"/>
          <w:szCs w:val="16"/>
        </w:rPr>
        <w:t xml:space="preserve"> Podle metodiky čtvrtletních národních účtů (vývoz a dovoz v ocenění FOB/FOB)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7" w:rsidRPr="00C00831" w:rsidRDefault="004A6717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až 3. čtvrtletí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7" w:rsidRPr="0030768C" w:rsidRDefault="004A6717" w:rsidP="0030768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až 3. čtvrtletí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B457C"/>
    <w:multiLevelType w:val="hybridMultilevel"/>
    <w:tmpl w:val="5A2A4F0E"/>
    <w:lvl w:ilvl="0" w:tplc="AFDC3104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057FE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0C48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60513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4006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F0AB5"/>
    <w:multiLevelType w:val="hybridMultilevel"/>
    <w:tmpl w:val="D6B2E30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21"/>
  </w:num>
  <w:num w:numId="5">
    <w:abstractNumId w:val="14"/>
  </w:num>
  <w:num w:numId="6">
    <w:abstractNumId w:val="18"/>
  </w:num>
  <w:num w:numId="7">
    <w:abstractNumId w:val="5"/>
  </w:num>
  <w:num w:numId="8">
    <w:abstractNumId w:val="10"/>
  </w:num>
  <w:num w:numId="9">
    <w:abstractNumId w:val="20"/>
  </w:num>
  <w:num w:numId="10">
    <w:abstractNumId w:val="4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3"/>
  </w:num>
  <w:num w:numId="24">
    <w:abstractNumId w:val="1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C5D"/>
    <w:rsid w:val="00004EB0"/>
    <w:rsid w:val="00007498"/>
    <w:rsid w:val="0000767A"/>
    <w:rsid w:val="000101F5"/>
    <w:rsid w:val="000104B9"/>
    <w:rsid w:val="00010702"/>
    <w:rsid w:val="00010770"/>
    <w:rsid w:val="00010982"/>
    <w:rsid w:val="00011191"/>
    <w:rsid w:val="0001159B"/>
    <w:rsid w:val="000117CA"/>
    <w:rsid w:val="00012986"/>
    <w:rsid w:val="00014028"/>
    <w:rsid w:val="00015195"/>
    <w:rsid w:val="0001519F"/>
    <w:rsid w:val="000151A7"/>
    <w:rsid w:val="0001572B"/>
    <w:rsid w:val="0001573E"/>
    <w:rsid w:val="000157DA"/>
    <w:rsid w:val="0001589D"/>
    <w:rsid w:val="00016033"/>
    <w:rsid w:val="000162DB"/>
    <w:rsid w:val="00017F05"/>
    <w:rsid w:val="000202C6"/>
    <w:rsid w:val="00020315"/>
    <w:rsid w:val="000208B1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40BD"/>
    <w:rsid w:val="00035CCF"/>
    <w:rsid w:val="00035FC6"/>
    <w:rsid w:val="0003705E"/>
    <w:rsid w:val="00037667"/>
    <w:rsid w:val="0003780E"/>
    <w:rsid w:val="0004075D"/>
    <w:rsid w:val="000411E1"/>
    <w:rsid w:val="00041E9C"/>
    <w:rsid w:val="00042EC6"/>
    <w:rsid w:val="00043C68"/>
    <w:rsid w:val="00043E05"/>
    <w:rsid w:val="00045681"/>
    <w:rsid w:val="0004694F"/>
    <w:rsid w:val="00046E43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19C"/>
    <w:rsid w:val="000567FA"/>
    <w:rsid w:val="00056B26"/>
    <w:rsid w:val="00057C16"/>
    <w:rsid w:val="00060F26"/>
    <w:rsid w:val="00062D43"/>
    <w:rsid w:val="00062EC5"/>
    <w:rsid w:val="00063AF0"/>
    <w:rsid w:val="00064256"/>
    <w:rsid w:val="000673F8"/>
    <w:rsid w:val="000706A4"/>
    <w:rsid w:val="00070A0C"/>
    <w:rsid w:val="00071F80"/>
    <w:rsid w:val="00072118"/>
    <w:rsid w:val="00073173"/>
    <w:rsid w:val="0007324C"/>
    <w:rsid w:val="00075C64"/>
    <w:rsid w:val="000779AC"/>
    <w:rsid w:val="00080A41"/>
    <w:rsid w:val="00080AA8"/>
    <w:rsid w:val="00081851"/>
    <w:rsid w:val="00083803"/>
    <w:rsid w:val="00083D7F"/>
    <w:rsid w:val="00084393"/>
    <w:rsid w:val="0008716A"/>
    <w:rsid w:val="00087634"/>
    <w:rsid w:val="00091237"/>
    <w:rsid w:val="000916B1"/>
    <w:rsid w:val="0009191B"/>
    <w:rsid w:val="000920EC"/>
    <w:rsid w:val="000921B6"/>
    <w:rsid w:val="00092208"/>
    <w:rsid w:val="00092505"/>
    <w:rsid w:val="000927EB"/>
    <w:rsid w:val="00092C9A"/>
    <w:rsid w:val="00093F4B"/>
    <w:rsid w:val="000973B6"/>
    <w:rsid w:val="00097BFC"/>
    <w:rsid w:val="00097D02"/>
    <w:rsid w:val="000A1183"/>
    <w:rsid w:val="000A2121"/>
    <w:rsid w:val="000A2484"/>
    <w:rsid w:val="000A2929"/>
    <w:rsid w:val="000A36CE"/>
    <w:rsid w:val="000A59BF"/>
    <w:rsid w:val="000A66C2"/>
    <w:rsid w:val="000A68A7"/>
    <w:rsid w:val="000A7F13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1F41"/>
    <w:rsid w:val="000C3408"/>
    <w:rsid w:val="000C54AF"/>
    <w:rsid w:val="000C57C5"/>
    <w:rsid w:val="000C5C0F"/>
    <w:rsid w:val="000C5D56"/>
    <w:rsid w:val="000C60D8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D7414"/>
    <w:rsid w:val="000E025B"/>
    <w:rsid w:val="000E0ECB"/>
    <w:rsid w:val="000E153A"/>
    <w:rsid w:val="000E19A8"/>
    <w:rsid w:val="000E1EEA"/>
    <w:rsid w:val="000E4241"/>
    <w:rsid w:val="000E4A42"/>
    <w:rsid w:val="000E6184"/>
    <w:rsid w:val="000E6476"/>
    <w:rsid w:val="000E78D2"/>
    <w:rsid w:val="000F3332"/>
    <w:rsid w:val="000F33EE"/>
    <w:rsid w:val="000F401E"/>
    <w:rsid w:val="000F5445"/>
    <w:rsid w:val="000F5598"/>
    <w:rsid w:val="000F5673"/>
    <w:rsid w:val="000F67B2"/>
    <w:rsid w:val="000F6CFB"/>
    <w:rsid w:val="000F74B6"/>
    <w:rsid w:val="000F790F"/>
    <w:rsid w:val="000F7E1B"/>
    <w:rsid w:val="00100014"/>
    <w:rsid w:val="0010039A"/>
    <w:rsid w:val="00101E94"/>
    <w:rsid w:val="00101FB2"/>
    <w:rsid w:val="001028CF"/>
    <w:rsid w:val="00102CB8"/>
    <w:rsid w:val="00102F02"/>
    <w:rsid w:val="0010385D"/>
    <w:rsid w:val="00103E41"/>
    <w:rsid w:val="001041B6"/>
    <w:rsid w:val="001070EA"/>
    <w:rsid w:val="001073E5"/>
    <w:rsid w:val="001076CA"/>
    <w:rsid w:val="0011002A"/>
    <w:rsid w:val="001107CE"/>
    <w:rsid w:val="001109F0"/>
    <w:rsid w:val="0011110A"/>
    <w:rsid w:val="001118AF"/>
    <w:rsid w:val="00111CA5"/>
    <w:rsid w:val="0011256E"/>
    <w:rsid w:val="0011352E"/>
    <w:rsid w:val="0011365A"/>
    <w:rsid w:val="00114FC0"/>
    <w:rsid w:val="00115496"/>
    <w:rsid w:val="00116DB9"/>
    <w:rsid w:val="00116F28"/>
    <w:rsid w:val="00117CE8"/>
    <w:rsid w:val="00121961"/>
    <w:rsid w:val="00121C39"/>
    <w:rsid w:val="00123255"/>
    <w:rsid w:val="00124D2D"/>
    <w:rsid w:val="00124DA1"/>
    <w:rsid w:val="00125326"/>
    <w:rsid w:val="00125CB5"/>
    <w:rsid w:val="001264C1"/>
    <w:rsid w:val="00127535"/>
    <w:rsid w:val="001307BE"/>
    <w:rsid w:val="00130A21"/>
    <w:rsid w:val="00130C8F"/>
    <w:rsid w:val="001314F2"/>
    <w:rsid w:val="001317DA"/>
    <w:rsid w:val="00131FFA"/>
    <w:rsid w:val="001323BA"/>
    <w:rsid w:val="0013254D"/>
    <w:rsid w:val="00133AAC"/>
    <w:rsid w:val="00133FBD"/>
    <w:rsid w:val="00134DFD"/>
    <w:rsid w:val="001356FC"/>
    <w:rsid w:val="00136561"/>
    <w:rsid w:val="00136AE8"/>
    <w:rsid w:val="001400E1"/>
    <w:rsid w:val="001405FA"/>
    <w:rsid w:val="001413B3"/>
    <w:rsid w:val="001425C3"/>
    <w:rsid w:val="00142F16"/>
    <w:rsid w:val="00143E03"/>
    <w:rsid w:val="00143E93"/>
    <w:rsid w:val="00143FA3"/>
    <w:rsid w:val="0014428D"/>
    <w:rsid w:val="001459A7"/>
    <w:rsid w:val="0014731B"/>
    <w:rsid w:val="00147E55"/>
    <w:rsid w:val="001500FC"/>
    <w:rsid w:val="00151AC0"/>
    <w:rsid w:val="00151B27"/>
    <w:rsid w:val="00152046"/>
    <w:rsid w:val="00152488"/>
    <w:rsid w:val="00152E53"/>
    <w:rsid w:val="00154147"/>
    <w:rsid w:val="00154D93"/>
    <w:rsid w:val="001550F3"/>
    <w:rsid w:val="00155746"/>
    <w:rsid w:val="00156318"/>
    <w:rsid w:val="0015639A"/>
    <w:rsid w:val="001579FC"/>
    <w:rsid w:val="001603A3"/>
    <w:rsid w:val="0016081D"/>
    <w:rsid w:val="00160CF3"/>
    <w:rsid w:val="00160E61"/>
    <w:rsid w:val="00161300"/>
    <w:rsid w:val="001620FA"/>
    <w:rsid w:val="00162853"/>
    <w:rsid w:val="00163793"/>
    <w:rsid w:val="00163A99"/>
    <w:rsid w:val="00167FB2"/>
    <w:rsid w:val="001707DE"/>
    <w:rsid w:val="00170B04"/>
    <w:rsid w:val="00170F47"/>
    <w:rsid w:val="001711F2"/>
    <w:rsid w:val="001714F2"/>
    <w:rsid w:val="001718C2"/>
    <w:rsid w:val="00173642"/>
    <w:rsid w:val="001736BB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C39"/>
    <w:rsid w:val="00180D58"/>
    <w:rsid w:val="00181132"/>
    <w:rsid w:val="00181938"/>
    <w:rsid w:val="00182981"/>
    <w:rsid w:val="00184CF9"/>
    <w:rsid w:val="00185010"/>
    <w:rsid w:val="001852EC"/>
    <w:rsid w:val="00186447"/>
    <w:rsid w:val="001874CF"/>
    <w:rsid w:val="00190214"/>
    <w:rsid w:val="00190D9B"/>
    <w:rsid w:val="00191678"/>
    <w:rsid w:val="00191BAE"/>
    <w:rsid w:val="00193432"/>
    <w:rsid w:val="0019346C"/>
    <w:rsid w:val="00194AE3"/>
    <w:rsid w:val="00195335"/>
    <w:rsid w:val="00195444"/>
    <w:rsid w:val="0019579E"/>
    <w:rsid w:val="00197806"/>
    <w:rsid w:val="001A199D"/>
    <w:rsid w:val="001A2855"/>
    <w:rsid w:val="001A2BDB"/>
    <w:rsid w:val="001A30F4"/>
    <w:rsid w:val="001A47AB"/>
    <w:rsid w:val="001A4C0D"/>
    <w:rsid w:val="001A552F"/>
    <w:rsid w:val="001A56F3"/>
    <w:rsid w:val="001A737B"/>
    <w:rsid w:val="001A750C"/>
    <w:rsid w:val="001B1D89"/>
    <w:rsid w:val="001B2143"/>
    <w:rsid w:val="001B3110"/>
    <w:rsid w:val="001B4198"/>
    <w:rsid w:val="001B44BC"/>
    <w:rsid w:val="001B5215"/>
    <w:rsid w:val="001B5888"/>
    <w:rsid w:val="001B5A75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66"/>
    <w:rsid w:val="001C0EB9"/>
    <w:rsid w:val="001C1219"/>
    <w:rsid w:val="001C357A"/>
    <w:rsid w:val="001C3961"/>
    <w:rsid w:val="001C3A37"/>
    <w:rsid w:val="001C4384"/>
    <w:rsid w:val="001C55F5"/>
    <w:rsid w:val="001C65FF"/>
    <w:rsid w:val="001C6747"/>
    <w:rsid w:val="001D3787"/>
    <w:rsid w:val="001D47E5"/>
    <w:rsid w:val="001D584C"/>
    <w:rsid w:val="001D5E1B"/>
    <w:rsid w:val="001D66C1"/>
    <w:rsid w:val="001D6EF6"/>
    <w:rsid w:val="001D7C6F"/>
    <w:rsid w:val="001E0024"/>
    <w:rsid w:val="001E0C65"/>
    <w:rsid w:val="001E23E3"/>
    <w:rsid w:val="001E29AF"/>
    <w:rsid w:val="001E387A"/>
    <w:rsid w:val="001E3DA4"/>
    <w:rsid w:val="001E5469"/>
    <w:rsid w:val="001E5830"/>
    <w:rsid w:val="001E684C"/>
    <w:rsid w:val="001E701C"/>
    <w:rsid w:val="001E7552"/>
    <w:rsid w:val="001E7C03"/>
    <w:rsid w:val="001F02AF"/>
    <w:rsid w:val="001F0649"/>
    <w:rsid w:val="001F28F4"/>
    <w:rsid w:val="001F2902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40C"/>
    <w:rsid w:val="00203B09"/>
    <w:rsid w:val="00203B46"/>
    <w:rsid w:val="00203FCB"/>
    <w:rsid w:val="002048E1"/>
    <w:rsid w:val="002070AB"/>
    <w:rsid w:val="00207DB6"/>
    <w:rsid w:val="00210278"/>
    <w:rsid w:val="00210CC2"/>
    <w:rsid w:val="00210F5B"/>
    <w:rsid w:val="00210FFA"/>
    <w:rsid w:val="00211262"/>
    <w:rsid w:val="0021139C"/>
    <w:rsid w:val="002115F5"/>
    <w:rsid w:val="00211AC9"/>
    <w:rsid w:val="0021329E"/>
    <w:rsid w:val="0021355B"/>
    <w:rsid w:val="00215061"/>
    <w:rsid w:val="0021507A"/>
    <w:rsid w:val="0021552C"/>
    <w:rsid w:val="00215A2C"/>
    <w:rsid w:val="00217980"/>
    <w:rsid w:val="002179F9"/>
    <w:rsid w:val="002205F2"/>
    <w:rsid w:val="0022080E"/>
    <w:rsid w:val="00220895"/>
    <w:rsid w:val="00220B20"/>
    <w:rsid w:val="0022139E"/>
    <w:rsid w:val="0022272B"/>
    <w:rsid w:val="00222A99"/>
    <w:rsid w:val="00223678"/>
    <w:rsid w:val="002236F7"/>
    <w:rsid w:val="00223E00"/>
    <w:rsid w:val="002252E0"/>
    <w:rsid w:val="002255F6"/>
    <w:rsid w:val="00225F36"/>
    <w:rsid w:val="00226466"/>
    <w:rsid w:val="002266D0"/>
    <w:rsid w:val="00226887"/>
    <w:rsid w:val="00227991"/>
    <w:rsid w:val="00230DAD"/>
    <w:rsid w:val="0023229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609"/>
    <w:rsid w:val="00252FDC"/>
    <w:rsid w:val="002532E2"/>
    <w:rsid w:val="00253E11"/>
    <w:rsid w:val="00254069"/>
    <w:rsid w:val="00254B3B"/>
    <w:rsid w:val="00254C4B"/>
    <w:rsid w:val="002550D8"/>
    <w:rsid w:val="00257613"/>
    <w:rsid w:val="00261A0F"/>
    <w:rsid w:val="00261E5B"/>
    <w:rsid w:val="00262EB9"/>
    <w:rsid w:val="00262F34"/>
    <w:rsid w:val="002633E5"/>
    <w:rsid w:val="00263470"/>
    <w:rsid w:val="00263733"/>
    <w:rsid w:val="00264676"/>
    <w:rsid w:val="00264A46"/>
    <w:rsid w:val="00265536"/>
    <w:rsid w:val="00265E54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86C"/>
    <w:rsid w:val="00277BF7"/>
    <w:rsid w:val="00281416"/>
    <w:rsid w:val="00282084"/>
    <w:rsid w:val="00283C61"/>
    <w:rsid w:val="00284C6F"/>
    <w:rsid w:val="00285CD3"/>
    <w:rsid w:val="0028633E"/>
    <w:rsid w:val="0028686A"/>
    <w:rsid w:val="00286E66"/>
    <w:rsid w:val="002870B7"/>
    <w:rsid w:val="002919B5"/>
    <w:rsid w:val="00293441"/>
    <w:rsid w:val="00293553"/>
    <w:rsid w:val="00294238"/>
    <w:rsid w:val="00294776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3B9"/>
    <w:rsid w:val="002A6821"/>
    <w:rsid w:val="002A74D2"/>
    <w:rsid w:val="002A7CDA"/>
    <w:rsid w:val="002A7F47"/>
    <w:rsid w:val="002B1544"/>
    <w:rsid w:val="002B1DC1"/>
    <w:rsid w:val="002B36C8"/>
    <w:rsid w:val="002B385B"/>
    <w:rsid w:val="002B6B7A"/>
    <w:rsid w:val="002B71B4"/>
    <w:rsid w:val="002B7240"/>
    <w:rsid w:val="002B7937"/>
    <w:rsid w:val="002C0FF4"/>
    <w:rsid w:val="002C125A"/>
    <w:rsid w:val="002C2668"/>
    <w:rsid w:val="002C43BD"/>
    <w:rsid w:val="002C493D"/>
    <w:rsid w:val="002C5261"/>
    <w:rsid w:val="002C6091"/>
    <w:rsid w:val="002C63C1"/>
    <w:rsid w:val="002D0562"/>
    <w:rsid w:val="002D1B5A"/>
    <w:rsid w:val="002D2500"/>
    <w:rsid w:val="002D338A"/>
    <w:rsid w:val="002D3E4C"/>
    <w:rsid w:val="002D3F00"/>
    <w:rsid w:val="002D4D59"/>
    <w:rsid w:val="002D54BF"/>
    <w:rsid w:val="002D5C3D"/>
    <w:rsid w:val="002D5E94"/>
    <w:rsid w:val="002D632D"/>
    <w:rsid w:val="002D6B01"/>
    <w:rsid w:val="002D6B11"/>
    <w:rsid w:val="002D6FC7"/>
    <w:rsid w:val="002D7EF4"/>
    <w:rsid w:val="002E02A1"/>
    <w:rsid w:val="002E0982"/>
    <w:rsid w:val="002E0DB9"/>
    <w:rsid w:val="002E2CE4"/>
    <w:rsid w:val="002E34F3"/>
    <w:rsid w:val="002E4217"/>
    <w:rsid w:val="002E435E"/>
    <w:rsid w:val="002E73F2"/>
    <w:rsid w:val="002F149A"/>
    <w:rsid w:val="002F33FB"/>
    <w:rsid w:val="002F663A"/>
    <w:rsid w:val="002F68A4"/>
    <w:rsid w:val="002F7594"/>
    <w:rsid w:val="002F7902"/>
    <w:rsid w:val="003003E7"/>
    <w:rsid w:val="00300D6F"/>
    <w:rsid w:val="00301357"/>
    <w:rsid w:val="0030192C"/>
    <w:rsid w:val="00301D04"/>
    <w:rsid w:val="003035D4"/>
    <w:rsid w:val="00303A3C"/>
    <w:rsid w:val="00303DCB"/>
    <w:rsid w:val="00304771"/>
    <w:rsid w:val="00304E6C"/>
    <w:rsid w:val="00305736"/>
    <w:rsid w:val="00305C33"/>
    <w:rsid w:val="00306C5B"/>
    <w:rsid w:val="00306E3B"/>
    <w:rsid w:val="0030768C"/>
    <w:rsid w:val="00310ADB"/>
    <w:rsid w:val="003119B6"/>
    <w:rsid w:val="00312C3D"/>
    <w:rsid w:val="00314331"/>
    <w:rsid w:val="00317E31"/>
    <w:rsid w:val="00320214"/>
    <w:rsid w:val="003209D6"/>
    <w:rsid w:val="00320B3F"/>
    <w:rsid w:val="0032109A"/>
    <w:rsid w:val="0032214F"/>
    <w:rsid w:val="00322164"/>
    <w:rsid w:val="00323CF7"/>
    <w:rsid w:val="00323E61"/>
    <w:rsid w:val="0032513D"/>
    <w:rsid w:val="00326251"/>
    <w:rsid w:val="0032739C"/>
    <w:rsid w:val="003276D1"/>
    <w:rsid w:val="00327DEE"/>
    <w:rsid w:val="003302DA"/>
    <w:rsid w:val="00330EB0"/>
    <w:rsid w:val="00331574"/>
    <w:rsid w:val="0033229B"/>
    <w:rsid w:val="003329F3"/>
    <w:rsid w:val="00333134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07E4"/>
    <w:rsid w:val="00351B63"/>
    <w:rsid w:val="00352482"/>
    <w:rsid w:val="00352E57"/>
    <w:rsid w:val="003541B0"/>
    <w:rsid w:val="0035457E"/>
    <w:rsid w:val="00355885"/>
    <w:rsid w:val="00355CAA"/>
    <w:rsid w:val="0035605E"/>
    <w:rsid w:val="00356244"/>
    <w:rsid w:val="00357449"/>
    <w:rsid w:val="00357A0D"/>
    <w:rsid w:val="00357C28"/>
    <w:rsid w:val="00361F76"/>
    <w:rsid w:val="0036238B"/>
    <w:rsid w:val="00362408"/>
    <w:rsid w:val="003630B0"/>
    <w:rsid w:val="00364087"/>
    <w:rsid w:val="003649FC"/>
    <w:rsid w:val="003651A4"/>
    <w:rsid w:val="00365680"/>
    <w:rsid w:val="003657F3"/>
    <w:rsid w:val="00366D4D"/>
    <w:rsid w:val="00366F77"/>
    <w:rsid w:val="00367038"/>
    <w:rsid w:val="003670FE"/>
    <w:rsid w:val="0036710C"/>
    <w:rsid w:val="00367D56"/>
    <w:rsid w:val="00370963"/>
    <w:rsid w:val="0037144E"/>
    <w:rsid w:val="00372272"/>
    <w:rsid w:val="0037290D"/>
    <w:rsid w:val="003736B5"/>
    <w:rsid w:val="00374F1E"/>
    <w:rsid w:val="003750CF"/>
    <w:rsid w:val="003769F0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8D7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982"/>
    <w:rsid w:val="003A3B1C"/>
    <w:rsid w:val="003A4088"/>
    <w:rsid w:val="003A478C"/>
    <w:rsid w:val="003A4F82"/>
    <w:rsid w:val="003A5525"/>
    <w:rsid w:val="003A6B38"/>
    <w:rsid w:val="003B1DB0"/>
    <w:rsid w:val="003B2142"/>
    <w:rsid w:val="003B2580"/>
    <w:rsid w:val="003B293F"/>
    <w:rsid w:val="003B2E63"/>
    <w:rsid w:val="003B3189"/>
    <w:rsid w:val="003B3A9D"/>
    <w:rsid w:val="003B3DDD"/>
    <w:rsid w:val="003B462D"/>
    <w:rsid w:val="003B5031"/>
    <w:rsid w:val="003B5A32"/>
    <w:rsid w:val="003B6105"/>
    <w:rsid w:val="003C03CC"/>
    <w:rsid w:val="003C04C4"/>
    <w:rsid w:val="003C08E2"/>
    <w:rsid w:val="003C0B96"/>
    <w:rsid w:val="003C26F4"/>
    <w:rsid w:val="003C3686"/>
    <w:rsid w:val="003C3E2C"/>
    <w:rsid w:val="003C4852"/>
    <w:rsid w:val="003C5BC7"/>
    <w:rsid w:val="003C601E"/>
    <w:rsid w:val="003C66C4"/>
    <w:rsid w:val="003C6DB9"/>
    <w:rsid w:val="003D2393"/>
    <w:rsid w:val="003D2C4E"/>
    <w:rsid w:val="003D3600"/>
    <w:rsid w:val="003D3825"/>
    <w:rsid w:val="003D3EC4"/>
    <w:rsid w:val="003D44E2"/>
    <w:rsid w:val="003D4760"/>
    <w:rsid w:val="003D49DC"/>
    <w:rsid w:val="003D4DD9"/>
    <w:rsid w:val="003D4FB5"/>
    <w:rsid w:val="003D59BE"/>
    <w:rsid w:val="003D5D7A"/>
    <w:rsid w:val="003D5E4B"/>
    <w:rsid w:val="003D653F"/>
    <w:rsid w:val="003D6B55"/>
    <w:rsid w:val="003E0663"/>
    <w:rsid w:val="003E133F"/>
    <w:rsid w:val="003E49F6"/>
    <w:rsid w:val="003E699C"/>
    <w:rsid w:val="003E69F3"/>
    <w:rsid w:val="003E782E"/>
    <w:rsid w:val="003E7A0B"/>
    <w:rsid w:val="003E7B2B"/>
    <w:rsid w:val="003F0293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9B4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0BBD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329F"/>
    <w:rsid w:val="00414CE5"/>
    <w:rsid w:val="00416673"/>
    <w:rsid w:val="0042160D"/>
    <w:rsid w:val="00423A3C"/>
    <w:rsid w:val="00423C04"/>
    <w:rsid w:val="00424D9B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4D5A"/>
    <w:rsid w:val="00437C76"/>
    <w:rsid w:val="00437F4A"/>
    <w:rsid w:val="0044105C"/>
    <w:rsid w:val="00442197"/>
    <w:rsid w:val="00443E95"/>
    <w:rsid w:val="004441A0"/>
    <w:rsid w:val="00444268"/>
    <w:rsid w:val="00444326"/>
    <w:rsid w:val="004443BF"/>
    <w:rsid w:val="004445E6"/>
    <w:rsid w:val="00444C19"/>
    <w:rsid w:val="00445218"/>
    <w:rsid w:val="00445CDD"/>
    <w:rsid w:val="00446892"/>
    <w:rsid w:val="00447267"/>
    <w:rsid w:val="00447E36"/>
    <w:rsid w:val="00450700"/>
    <w:rsid w:val="00450C30"/>
    <w:rsid w:val="004529C7"/>
    <w:rsid w:val="004540FF"/>
    <w:rsid w:val="004541F1"/>
    <w:rsid w:val="00455BB8"/>
    <w:rsid w:val="00455ECA"/>
    <w:rsid w:val="00457296"/>
    <w:rsid w:val="00457320"/>
    <w:rsid w:val="00460164"/>
    <w:rsid w:val="0046039A"/>
    <w:rsid w:val="00460A6B"/>
    <w:rsid w:val="00461977"/>
    <w:rsid w:val="00461A3F"/>
    <w:rsid w:val="00461C4C"/>
    <w:rsid w:val="004620C7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0EA"/>
    <w:rsid w:val="0046765E"/>
    <w:rsid w:val="004676E2"/>
    <w:rsid w:val="00471EDD"/>
    <w:rsid w:val="004739AC"/>
    <w:rsid w:val="00473E94"/>
    <w:rsid w:val="0047400C"/>
    <w:rsid w:val="00474471"/>
    <w:rsid w:val="004745D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E32"/>
    <w:rsid w:val="00487F81"/>
    <w:rsid w:val="00490082"/>
    <w:rsid w:val="00490247"/>
    <w:rsid w:val="00490B20"/>
    <w:rsid w:val="0049104F"/>
    <w:rsid w:val="00491218"/>
    <w:rsid w:val="00491CFD"/>
    <w:rsid w:val="00492991"/>
    <w:rsid w:val="00493362"/>
    <w:rsid w:val="00494343"/>
    <w:rsid w:val="00494AAB"/>
    <w:rsid w:val="00496C2F"/>
    <w:rsid w:val="0049740D"/>
    <w:rsid w:val="004978D3"/>
    <w:rsid w:val="004A06A6"/>
    <w:rsid w:val="004A11F8"/>
    <w:rsid w:val="004A22BD"/>
    <w:rsid w:val="004A22FA"/>
    <w:rsid w:val="004A25E2"/>
    <w:rsid w:val="004A269A"/>
    <w:rsid w:val="004A26AF"/>
    <w:rsid w:val="004A26DB"/>
    <w:rsid w:val="004A30FB"/>
    <w:rsid w:val="004A35DD"/>
    <w:rsid w:val="004A37D3"/>
    <w:rsid w:val="004A3AD6"/>
    <w:rsid w:val="004A3BCE"/>
    <w:rsid w:val="004A4760"/>
    <w:rsid w:val="004A5865"/>
    <w:rsid w:val="004A6717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243"/>
    <w:rsid w:val="004C0BBB"/>
    <w:rsid w:val="004C1AD6"/>
    <w:rsid w:val="004C1B86"/>
    <w:rsid w:val="004C1DEE"/>
    <w:rsid w:val="004C3382"/>
    <w:rsid w:val="004C3867"/>
    <w:rsid w:val="004C4AB7"/>
    <w:rsid w:val="004C4B88"/>
    <w:rsid w:val="004C4CD0"/>
    <w:rsid w:val="004C5111"/>
    <w:rsid w:val="004C57B5"/>
    <w:rsid w:val="004C5C25"/>
    <w:rsid w:val="004C6717"/>
    <w:rsid w:val="004C6CFF"/>
    <w:rsid w:val="004C7065"/>
    <w:rsid w:val="004C70DC"/>
    <w:rsid w:val="004C7268"/>
    <w:rsid w:val="004C7C50"/>
    <w:rsid w:val="004D0211"/>
    <w:rsid w:val="004D1C9C"/>
    <w:rsid w:val="004D2A0E"/>
    <w:rsid w:val="004D458D"/>
    <w:rsid w:val="004D4F13"/>
    <w:rsid w:val="004D504B"/>
    <w:rsid w:val="004D536E"/>
    <w:rsid w:val="004D58CE"/>
    <w:rsid w:val="004D70B1"/>
    <w:rsid w:val="004D76CC"/>
    <w:rsid w:val="004E1415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1D62"/>
    <w:rsid w:val="004F2A4D"/>
    <w:rsid w:val="004F2A73"/>
    <w:rsid w:val="004F33A0"/>
    <w:rsid w:val="004F353A"/>
    <w:rsid w:val="004F4353"/>
    <w:rsid w:val="004F447D"/>
    <w:rsid w:val="004F4C28"/>
    <w:rsid w:val="004F4E82"/>
    <w:rsid w:val="004F5470"/>
    <w:rsid w:val="004F5CC5"/>
    <w:rsid w:val="004F6350"/>
    <w:rsid w:val="004F7170"/>
    <w:rsid w:val="00500ADA"/>
    <w:rsid w:val="005028E1"/>
    <w:rsid w:val="00505989"/>
    <w:rsid w:val="00506309"/>
    <w:rsid w:val="0050692E"/>
    <w:rsid w:val="00507040"/>
    <w:rsid w:val="005079F8"/>
    <w:rsid w:val="00510189"/>
    <w:rsid w:val="005108C0"/>
    <w:rsid w:val="00511873"/>
    <w:rsid w:val="00512603"/>
    <w:rsid w:val="00512CC5"/>
    <w:rsid w:val="0051367B"/>
    <w:rsid w:val="00513A89"/>
    <w:rsid w:val="00513B7E"/>
    <w:rsid w:val="005140DE"/>
    <w:rsid w:val="00514474"/>
    <w:rsid w:val="005147E9"/>
    <w:rsid w:val="0051507D"/>
    <w:rsid w:val="0051593C"/>
    <w:rsid w:val="00517567"/>
    <w:rsid w:val="0051778E"/>
    <w:rsid w:val="005215EF"/>
    <w:rsid w:val="0052207A"/>
    <w:rsid w:val="00524637"/>
    <w:rsid w:val="00524FDD"/>
    <w:rsid w:val="00525137"/>
    <w:rsid w:val="005251DD"/>
    <w:rsid w:val="00526DB6"/>
    <w:rsid w:val="0053017A"/>
    <w:rsid w:val="00530492"/>
    <w:rsid w:val="005308E4"/>
    <w:rsid w:val="005325A8"/>
    <w:rsid w:val="00532854"/>
    <w:rsid w:val="00532E85"/>
    <w:rsid w:val="005350F2"/>
    <w:rsid w:val="00535152"/>
    <w:rsid w:val="00535359"/>
    <w:rsid w:val="005357A2"/>
    <w:rsid w:val="005359E3"/>
    <w:rsid w:val="00535D87"/>
    <w:rsid w:val="00535EF0"/>
    <w:rsid w:val="00535F78"/>
    <w:rsid w:val="005363DF"/>
    <w:rsid w:val="0053734B"/>
    <w:rsid w:val="005375B1"/>
    <w:rsid w:val="00537AFD"/>
    <w:rsid w:val="00537CB4"/>
    <w:rsid w:val="00540CB3"/>
    <w:rsid w:val="00540D25"/>
    <w:rsid w:val="00541822"/>
    <w:rsid w:val="00542D19"/>
    <w:rsid w:val="0054516B"/>
    <w:rsid w:val="0054559E"/>
    <w:rsid w:val="005459BD"/>
    <w:rsid w:val="00546833"/>
    <w:rsid w:val="0054787A"/>
    <w:rsid w:val="005513D5"/>
    <w:rsid w:val="005523B9"/>
    <w:rsid w:val="00553C88"/>
    <w:rsid w:val="005544FC"/>
    <w:rsid w:val="005545E0"/>
    <w:rsid w:val="00554865"/>
    <w:rsid w:val="00554E57"/>
    <w:rsid w:val="00557E6A"/>
    <w:rsid w:val="00562749"/>
    <w:rsid w:val="00562DE9"/>
    <w:rsid w:val="005638A5"/>
    <w:rsid w:val="00564137"/>
    <w:rsid w:val="00566381"/>
    <w:rsid w:val="00566A03"/>
    <w:rsid w:val="00571932"/>
    <w:rsid w:val="005723B7"/>
    <w:rsid w:val="00573C97"/>
    <w:rsid w:val="00574240"/>
    <w:rsid w:val="0057454C"/>
    <w:rsid w:val="005752EB"/>
    <w:rsid w:val="005755FE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0CDE"/>
    <w:rsid w:val="0059176E"/>
    <w:rsid w:val="00592854"/>
    <w:rsid w:val="00593152"/>
    <w:rsid w:val="005931BF"/>
    <w:rsid w:val="005934CE"/>
    <w:rsid w:val="00593CA3"/>
    <w:rsid w:val="00594161"/>
    <w:rsid w:val="00594969"/>
    <w:rsid w:val="00594B91"/>
    <w:rsid w:val="00595035"/>
    <w:rsid w:val="00595C7C"/>
    <w:rsid w:val="00596C5E"/>
    <w:rsid w:val="005A2194"/>
    <w:rsid w:val="005A21E0"/>
    <w:rsid w:val="005A3210"/>
    <w:rsid w:val="005A33A1"/>
    <w:rsid w:val="005A3687"/>
    <w:rsid w:val="005A54EE"/>
    <w:rsid w:val="005A563B"/>
    <w:rsid w:val="005A5F82"/>
    <w:rsid w:val="005A61D1"/>
    <w:rsid w:val="005A6E85"/>
    <w:rsid w:val="005A7500"/>
    <w:rsid w:val="005A77E4"/>
    <w:rsid w:val="005A77F6"/>
    <w:rsid w:val="005B0262"/>
    <w:rsid w:val="005B0B8F"/>
    <w:rsid w:val="005B1907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31D"/>
    <w:rsid w:val="005C3F9F"/>
    <w:rsid w:val="005C406F"/>
    <w:rsid w:val="005C40BA"/>
    <w:rsid w:val="005C419C"/>
    <w:rsid w:val="005C4A23"/>
    <w:rsid w:val="005C562C"/>
    <w:rsid w:val="005C5812"/>
    <w:rsid w:val="005C6400"/>
    <w:rsid w:val="005C7F1E"/>
    <w:rsid w:val="005D073B"/>
    <w:rsid w:val="005D2450"/>
    <w:rsid w:val="005D25B4"/>
    <w:rsid w:val="005D374F"/>
    <w:rsid w:val="005D5802"/>
    <w:rsid w:val="005D6CFC"/>
    <w:rsid w:val="005D6D2E"/>
    <w:rsid w:val="005D73E2"/>
    <w:rsid w:val="005D757A"/>
    <w:rsid w:val="005D7C4B"/>
    <w:rsid w:val="005E0DBC"/>
    <w:rsid w:val="005E1871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3F04"/>
    <w:rsid w:val="005F4057"/>
    <w:rsid w:val="005F4088"/>
    <w:rsid w:val="005F42F4"/>
    <w:rsid w:val="005F4C83"/>
    <w:rsid w:val="005F5628"/>
    <w:rsid w:val="005F5916"/>
    <w:rsid w:val="005F601D"/>
    <w:rsid w:val="005F6119"/>
    <w:rsid w:val="005F7940"/>
    <w:rsid w:val="00600712"/>
    <w:rsid w:val="0060091A"/>
    <w:rsid w:val="0060107A"/>
    <w:rsid w:val="00601120"/>
    <w:rsid w:val="00601AFF"/>
    <w:rsid w:val="00602A2B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1EB7"/>
    <w:rsid w:val="00612E84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260B8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5E8"/>
    <w:rsid w:val="00636E5E"/>
    <w:rsid w:val="006379E0"/>
    <w:rsid w:val="00637D0E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46448"/>
    <w:rsid w:val="006467D0"/>
    <w:rsid w:val="006504A0"/>
    <w:rsid w:val="00650784"/>
    <w:rsid w:val="006520C7"/>
    <w:rsid w:val="006520D5"/>
    <w:rsid w:val="00652179"/>
    <w:rsid w:val="00652CBB"/>
    <w:rsid w:val="006530B8"/>
    <w:rsid w:val="006535D6"/>
    <w:rsid w:val="00654093"/>
    <w:rsid w:val="00656716"/>
    <w:rsid w:val="006572ED"/>
    <w:rsid w:val="00657E87"/>
    <w:rsid w:val="0066026B"/>
    <w:rsid w:val="00660457"/>
    <w:rsid w:val="00660CB4"/>
    <w:rsid w:val="00660E1E"/>
    <w:rsid w:val="006637B1"/>
    <w:rsid w:val="00663CFD"/>
    <w:rsid w:val="006647AD"/>
    <w:rsid w:val="00664B64"/>
    <w:rsid w:val="00665691"/>
    <w:rsid w:val="00665D67"/>
    <w:rsid w:val="00665D77"/>
    <w:rsid w:val="006660CD"/>
    <w:rsid w:val="00666883"/>
    <w:rsid w:val="00666B1D"/>
    <w:rsid w:val="00666EC8"/>
    <w:rsid w:val="00666F4B"/>
    <w:rsid w:val="006676D0"/>
    <w:rsid w:val="0066796E"/>
    <w:rsid w:val="00670FAC"/>
    <w:rsid w:val="006710C9"/>
    <w:rsid w:val="006716A5"/>
    <w:rsid w:val="006717CC"/>
    <w:rsid w:val="006743E8"/>
    <w:rsid w:val="00675E37"/>
    <w:rsid w:val="00675F0F"/>
    <w:rsid w:val="006764ED"/>
    <w:rsid w:val="00676AFC"/>
    <w:rsid w:val="00676F11"/>
    <w:rsid w:val="00680079"/>
    <w:rsid w:val="006801D6"/>
    <w:rsid w:val="00680ECC"/>
    <w:rsid w:val="00680F68"/>
    <w:rsid w:val="0068260E"/>
    <w:rsid w:val="0068373D"/>
    <w:rsid w:val="00683BFE"/>
    <w:rsid w:val="00683EAB"/>
    <w:rsid w:val="0068437D"/>
    <w:rsid w:val="006847C5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3FB"/>
    <w:rsid w:val="00696AA5"/>
    <w:rsid w:val="006977F6"/>
    <w:rsid w:val="0069789D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9D7"/>
    <w:rsid w:val="006B5CA3"/>
    <w:rsid w:val="006B6B3B"/>
    <w:rsid w:val="006B7248"/>
    <w:rsid w:val="006B7714"/>
    <w:rsid w:val="006B78D8"/>
    <w:rsid w:val="006B7CCE"/>
    <w:rsid w:val="006C090F"/>
    <w:rsid w:val="006C0935"/>
    <w:rsid w:val="006C0BCE"/>
    <w:rsid w:val="006C113F"/>
    <w:rsid w:val="006C2AED"/>
    <w:rsid w:val="006C38DD"/>
    <w:rsid w:val="006C3DC1"/>
    <w:rsid w:val="006C457F"/>
    <w:rsid w:val="006C53C7"/>
    <w:rsid w:val="006C5577"/>
    <w:rsid w:val="006C559A"/>
    <w:rsid w:val="006C586D"/>
    <w:rsid w:val="006C58FA"/>
    <w:rsid w:val="006C6197"/>
    <w:rsid w:val="006D004F"/>
    <w:rsid w:val="006D042D"/>
    <w:rsid w:val="006D06EF"/>
    <w:rsid w:val="006D142E"/>
    <w:rsid w:val="006D164C"/>
    <w:rsid w:val="006D29A8"/>
    <w:rsid w:val="006D3B87"/>
    <w:rsid w:val="006D4497"/>
    <w:rsid w:val="006D4E6F"/>
    <w:rsid w:val="006D5681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42A"/>
    <w:rsid w:val="006E4434"/>
    <w:rsid w:val="006E4A1B"/>
    <w:rsid w:val="006E59FC"/>
    <w:rsid w:val="006E5CFD"/>
    <w:rsid w:val="006E7E2C"/>
    <w:rsid w:val="006F1326"/>
    <w:rsid w:val="006F2280"/>
    <w:rsid w:val="006F2BEE"/>
    <w:rsid w:val="006F3708"/>
    <w:rsid w:val="006F376C"/>
    <w:rsid w:val="006F3A90"/>
    <w:rsid w:val="006F3E6B"/>
    <w:rsid w:val="006F4619"/>
    <w:rsid w:val="006F4A59"/>
    <w:rsid w:val="006F65A8"/>
    <w:rsid w:val="006F6968"/>
    <w:rsid w:val="00700232"/>
    <w:rsid w:val="00701382"/>
    <w:rsid w:val="007014C7"/>
    <w:rsid w:val="00702100"/>
    <w:rsid w:val="00702D6F"/>
    <w:rsid w:val="007031C6"/>
    <w:rsid w:val="00703B6C"/>
    <w:rsid w:val="00703C6B"/>
    <w:rsid w:val="007047D5"/>
    <w:rsid w:val="00705D98"/>
    <w:rsid w:val="00707891"/>
    <w:rsid w:val="00707D43"/>
    <w:rsid w:val="00710F7C"/>
    <w:rsid w:val="00711EF1"/>
    <w:rsid w:val="0071229A"/>
    <w:rsid w:val="00712572"/>
    <w:rsid w:val="00713495"/>
    <w:rsid w:val="00713EEB"/>
    <w:rsid w:val="007142C1"/>
    <w:rsid w:val="00715487"/>
    <w:rsid w:val="007159D2"/>
    <w:rsid w:val="00716DCC"/>
    <w:rsid w:val="00717726"/>
    <w:rsid w:val="0072050E"/>
    <w:rsid w:val="00720958"/>
    <w:rsid w:val="00720FA2"/>
    <w:rsid w:val="007211F5"/>
    <w:rsid w:val="00723581"/>
    <w:rsid w:val="007240C5"/>
    <w:rsid w:val="00724666"/>
    <w:rsid w:val="00724E80"/>
    <w:rsid w:val="00725055"/>
    <w:rsid w:val="00725492"/>
    <w:rsid w:val="007256B7"/>
    <w:rsid w:val="00726043"/>
    <w:rsid w:val="0072704A"/>
    <w:rsid w:val="007279B9"/>
    <w:rsid w:val="00730AE8"/>
    <w:rsid w:val="00731189"/>
    <w:rsid w:val="007315DA"/>
    <w:rsid w:val="00731963"/>
    <w:rsid w:val="00732706"/>
    <w:rsid w:val="0073325D"/>
    <w:rsid w:val="00734321"/>
    <w:rsid w:val="00734597"/>
    <w:rsid w:val="00735044"/>
    <w:rsid w:val="0073532E"/>
    <w:rsid w:val="00735B01"/>
    <w:rsid w:val="007367F6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55EA0"/>
    <w:rsid w:val="00760141"/>
    <w:rsid w:val="007609C6"/>
    <w:rsid w:val="007610A0"/>
    <w:rsid w:val="00762036"/>
    <w:rsid w:val="007620F2"/>
    <w:rsid w:val="00762EBA"/>
    <w:rsid w:val="0076359D"/>
    <w:rsid w:val="00763A13"/>
    <w:rsid w:val="00763D86"/>
    <w:rsid w:val="0077058D"/>
    <w:rsid w:val="00770931"/>
    <w:rsid w:val="00772536"/>
    <w:rsid w:val="00773613"/>
    <w:rsid w:val="0077430F"/>
    <w:rsid w:val="00774782"/>
    <w:rsid w:val="00776476"/>
    <w:rsid w:val="00776527"/>
    <w:rsid w:val="00777DB1"/>
    <w:rsid w:val="0078050E"/>
    <w:rsid w:val="007805E1"/>
    <w:rsid w:val="00780DDF"/>
    <w:rsid w:val="0078113E"/>
    <w:rsid w:val="007813E4"/>
    <w:rsid w:val="00781834"/>
    <w:rsid w:val="007821DB"/>
    <w:rsid w:val="00782818"/>
    <w:rsid w:val="007838F1"/>
    <w:rsid w:val="007841BB"/>
    <w:rsid w:val="00784C4A"/>
    <w:rsid w:val="00787432"/>
    <w:rsid w:val="00787507"/>
    <w:rsid w:val="0078778C"/>
    <w:rsid w:val="007879F2"/>
    <w:rsid w:val="00790393"/>
    <w:rsid w:val="00791804"/>
    <w:rsid w:val="0079197F"/>
    <w:rsid w:val="00791CF8"/>
    <w:rsid w:val="00791EF9"/>
    <w:rsid w:val="00792262"/>
    <w:rsid w:val="00793387"/>
    <w:rsid w:val="00793BAE"/>
    <w:rsid w:val="007941C3"/>
    <w:rsid w:val="00794870"/>
    <w:rsid w:val="00794E0A"/>
    <w:rsid w:val="00795B04"/>
    <w:rsid w:val="00796642"/>
    <w:rsid w:val="007A11D9"/>
    <w:rsid w:val="007A18F5"/>
    <w:rsid w:val="007A327B"/>
    <w:rsid w:val="007A4048"/>
    <w:rsid w:val="007A45B1"/>
    <w:rsid w:val="007A4606"/>
    <w:rsid w:val="007A4D58"/>
    <w:rsid w:val="007A5039"/>
    <w:rsid w:val="007B04E8"/>
    <w:rsid w:val="007B0D67"/>
    <w:rsid w:val="007B0F90"/>
    <w:rsid w:val="007B1966"/>
    <w:rsid w:val="007B2257"/>
    <w:rsid w:val="007B22E6"/>
    <w:rsid w:val="007B2779"/>
    <w:rsid w:val="007B2AF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C7BAC"/>
    <w:rsid w:val="007C7CC5"/>
    <w:rsid w:val="007D2A5A"/>
    <w:rsid w:val="007D2AD8"/>
    <w:rsid w:val="007D2C47"/>
    <w:rsid w:val="007D2C61"/>
    <w:rsid w:val="007D2DA3"/>
    <w:rsid w:val="007D2F81"/>
    <w:rsid w:val="007D3167"/>
    <w:rsid w:val="007D341F"/>
    <w:rsid w:val="007D3CF7"/>
    <w:rsid w:val="007D4128"/>
    <w:rsid w:val="007D4281"/>
    <w:rsid w:val="007D42F5"/>
    <w:rsid w:val="007D44C3"/>
    <w:rsid w:val="007D5947"/>
    <w:rsid w:val="007D65C1"/>
    <w:rsid w:val="007D66E3"/>
    <w:rsid w:val="007D7CAF"/>
    <w:rsid w:val="007E030F"/>
    <w:rsid w:val="007E0D49"/>
    <w:rsid w:val="007E0E59"/>
    <w:rsid w:val="007E0F4B"/>
    <w:rsid w:val="007E12C1"/>
    <w:rsid w:val="007E1EF7"/>
    <w:rsid w:val="007E3715"/>
    <w:rsid w:val="007E5880"/>
    <w:rsid w:val="007E5F3D"/>
    <w:rsid w:val="007E6588"/>
    <w:rsid w:val="007E6A5B"/>
    <w:rsid w:val="007E7063"/>
    <w:rsid w:val="007E7E61"/>
    <w:rsid w:val="007F0316"/>
    <w:rsid w:val="007F0845"/>
    <w:rsid w:val="007F0DF6"/>
    <w:rsid w:val="007F1092"/>
    <w:rsid w:val="007F16F9"/>
    <w:rsid w:val="007F2801"/>
    <w:rsid w:val="007F3E3E"/>
    <w:rsid w:val="007F42E0"/>
    <w:rsid w:val="007F500D"/>
    <w:rsid w:val="007F5F14"/>
    <w:rsid w:val="007F7B54"/>
    <w:rsid w:val="007F7C60"/>
    <w:rsid w:val="00800073"/>
    <w:rsid w:val="008005D7"/>
    <w:rsid w:val="008013CB"/>
    <w:rsid w:val="00801FDD"/>
    <w:rsid w:val="008020C2"/>
    <w:rsid w:val="0080255C"/>
    <w:rsid w:val="008054FB"/>
    <w:rsid w:val="00806088"/>
    <w:rsid w:val="00806D07"/>
    <w:rsid w:val="0081019B"/>
    <w:rsid w:val="0081187C"/>
    <w:rsid w:val="00811E24"/>
    <w:rsid w:val="008120C5"/>
    <w:rsid w:val="00812386"/>
    <w:rsid w:val="00812E2B"/>
    <w:rsid w:val="00813A70"/>
    <w:rsid w:val="00813CB4"/>
    <w:rsid w:val="00813DB0"/>
    <w:rsid w:val="00813FE6"/>
    <w:rsid w:val="00814965"/>
    <w:rsid w:val="00815B82"/>
    <w:rsid w:val="00815C6E"/>
    <w:rsid w:val="00815DD0"/>
    <w:rsid w:val="00815F10"/>
    <w:rsid w:val="0081645F"/>
    <w:rsid w:val="00816A28"/>
    <w:rsid w:val="008174A3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44BE"/>
    <w:rsid w:val="00845AB1"/>
    <w:rsid w:val="00846673"/>
    <w:rsid w:val="008508A9"/>
    <w:rsid w:val="0085188D"/>
    <w:rsid w:val="008518D8"/>
    <w:rsid w:val="008525F9"/>
    <w:rsid w:val="0085281A"/>
    <w:rsid w:val="00853C0F"/>
    <w:rsid w:val="00853F33"/>
    <w:rsid w:val="008548EA"/>
    <w:rsid w:val="008549C5"/>
    <w:rsid w:val="008550EA"/>
    <w:rsid w:val="008559FE"/>
    <w:rsid w:val="0085686D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5286"/>
    <w:rsid w:val="00865729"/>
    <w:rsid w:val="00865EA8"/>
    <w:rsid w:val="00865ED4"/>
    <w:rsid w:val="008669A7"/>
    <w:rsid w:val="00867464"/>
    <w:rsid w:val="00867D15"/>
    <w:rsid w:val="00867E29"/>
    <w:rsid w:val="00870F2B"/>
    <w:rsid w:val="00873B2E"/>
    <w:rsid w:val="00874097"/>
    <w:rsid w:val="008746E6"/>
    <w:rsid w:val="0087515D"/>
    <w:rsid w:val="00875740"/>
    <w:rsid w:val="0087594C"/>
    <w:rsid w:val="00876058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0F23"/>
    <w:rsid w:val="00883A67"/>
    <w:rsid w:val="00883D45"/>
    <w:rsid w:val="00884D69"/>
    <w:rsid w:val="0088503D"/>
    <w:rsid w:val="00885EC6"/>
    <w:rsid w:val="008869D2"/>
    <w:rsid w:val="00886A8F"/>
    <w:rsid w:val="0088733A"/>
    <w:rsid w:val="008901CC"/>
    <w:rsid w:val="0089061C"/>
    <w:rsid w:val="00891BE0"/>
    <w:rsid w:val="00893302"/>
    <w:rsid w:val="00893648"/>
    <w:rsid w:val="00893D83"/>
    <w:rsid w:val="00893F0C"/>
    <w:rsid w:val="00893F3C"/>
    <w:rsid w:val="008945A1"/>
    <w:rsid w:val="00894A63"/>
    <w:rsid w:val="00894F71"/>
    <w:rsid w:val="00895A54"/>
    <w:rsid w:val="00896776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6F21"/>
    <w:rsid w:val="008A73DA"/>
    <w:rsid w:val="008B00C2"/>
    <w:rsid w:val="008B04A0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8A5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0632"/>
    <w:rsid w:val="008D0E3B"/>
    <w:rsid w:val="008D13EA"/>
    <w:rsid w:val="008D2671"/>
    <w:rsid w:val="008D2A16"/>
    <w:rsid w:val="008D2C9C"/>
    <w:rsid w:val="008D2ECF"/>
    <w:rsid w:val="008D347D"/>
    <w:rsid w:val="008D3F3D"/>
    <w:rsid w:val="008D4376"/>
    <w:rsid w:val="008E0367"/>
    <w:rsid w:val="008E2DCD"/>
    <w:rsid w:val="008E308D"/>
    <w:rsid w:val="008E31FF"/>
    <w:rsid w:val="008E3B0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1638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2FAC"/>
    <w:rsid w:val="00903E06"/>
    <w:rsid w:val="009045D1"/>
    <w:rsid w:val="00904B9D"/>
    <w:rsid w:val="00905A11"/>
    <w:rsid w:val="00905FE8"/>
    <w:rsid w:val="009066E1"/>
    <w:rsid w:val="00906F67"/>
    <w:rsid w:val="00907A41"/>
    <w:rsid w:val="009102BD"/>
    <w:rsid w:val="00910F93"/>
    <w:rsid w:val="00910FBC"/>
    <w:rsid w:val="00911E3B"/>
    <w:rsid w:val="0091255A"/>
    <w:rsid w:val="00914426"/>
    <w:rsid w:val="0091675F"/>
    <w:rsid w:val="00917709"/>
    <w:rsid w:val="00917918"/>
    <w:rsid w:val="00920874"/>
    <w:rsid w:val="00921F14"/>
    <w:rsid w:val="009227C6"/>
    <w:rsid w:val="00923750"/>
    <w:rsid w:val="009243A5"/>
    <w:rsid w:val="0092500F"/>
    <w:rsid w:val="009250D2"/>
    <w:rsid w:val="0092519D"/>
    <w:rsid w:val="0092540B"/>
    <w:rsid w:val="009256C5"/>
    <w:rsid w:val="00925A21"/>
    <w:rsid w:val="00926283"/>
    <w:rsid w:val="00927B6E"/>
    <w:rsid w:val="009306BE"/>
    <w:rsid w:val="0093161F"/>
    <w:rsid w:val="00934836"/>
    <w:rsid w:val="00934963"/>
    <w:rsid w:val="00936ECA"/>
    <w:rsid w:val="00937AF4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67AE9"/>
    <w:rsid w:val="009700DB"/>
    <w:rsid w:val="00971DC6"/>
    <w:rsid w:val="00972263"/>
    <w:rsid w:val="00972502"/>
    <w:rsid w:val="00972D8D"/>
    <w:rsid w:val="00973AAE"/>
    <w:rsid w:val="009742F7"/>
    <w:rsid w:val="0097476C"/>
    <w:rsid w:val="00974923"/>
    <w:rsid w:val="00974D48"/>
    <w:rsid w:val="00974D5F"/>
    <w:rsid w:val="00975017"/>
    <w:rsid w:val="009759DF"/>
    <w:rsid w:val="009777B3"/>
    <w:rsid w:val="00977A4D"/>
    <w:rsid w:val="00980373"/>
    <w:rsid w:val="00980392"/>
    <w:rsid w:val="00980621"/>
    <w:rsid w:val="0098095B"/>
    <w:rsid w:val="00982072"/>
    <w:rsid w:val="009829F1"/>
    <w:rsid w:val="009833FA"/>
    <w:rsid w:val="00983DBB"/>
    <w:rsid w:val="00983ECF"/>
    <w:rsid w:val="00985157"/>
    <w:rsid w:val="00986745"/>
    <w:rsid w:val="009867BC"/>
    <w:rsid w:val="00987109"/>
    <w:rsid w:val="00987309"/>
    <w:rsid w:val="00987351"/>
    <w:rsid w:val="0099012D"/>
    <w:rsid w:val="00990363"/>
    <w:rsid w:val="00991266"/>
    <w:rsid w:val="009928AE"/>
    <w:rsid w:val="00993BE6"/>
    <w:rsid w:val="00993D9C"/>
    <w:rsid w:val="00993F56"/>
    <w:rsid w:val="0099483E"/>
    <w:rsid w:val="009954FF"/>
    <w:rsid w:val="0099571E"/>
    <w:rsid w:val="00995E2F"/>
    <w:rsid w:val="009961BC"/>
    <w:rsid w:val="00996355"/>
    <w:rsid w:val="0099788F"/>
    <w:rsid w:val="00997ADD"/>
    <w:rsid w:val="009A05A2"/>
    <w:rsid w:val="009A1374"/>
    <w:rsid w:val="009A13FA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975"/>
    <w:rsid w:val="009B0EF2"/>
    <w:rsid w:val="009B23A3"/>
    <w:rsid w:val="009B25CE"/>
    <w:rsid w:val="009B2C0E"/>
    <w:rsid w:val="009B4925"/>
    <w:rsid w:val="009B4B4B"/>
    <w:rsid w:val="009B4CE3"/>
    <w:rsid w:val="009B6FD3"/>
    <w:rsid w:val="009B70BD"/>
    <w:rsid w:val="009C07A5"/>
    <w:rsid w:val="009C24A3"/>
    <w:rsid w:val="009C3705"/>
    <w:rsid w:val="009C5003"/>
    <w:rsid w:val="009C6215"/>
    <w:rsid w:val="009C7388"/>
    <w:rsid w:val="009C74C2"/>
    <w:rsid w:val="009D0CFF"/>
    <w:rsid w:val="009D1551"/>
    <w:rsid w:val="009D182E"/>
    <w:rsid w:val="009D2859"/>
    <w:rsid w:val="009D36EC"/>
    <w:rsid w:val="009D3CD0"/>
    <w:rsid w:val="009D4173"/>
    <w:rsid w:val="009D51CA"/>
    <w:rsid w:val="009D6095"/>
    <w:rsid w:val="009D6306"/>
    <w:rsid w:val="009D6727"/>
    <w:rsid w:val="009E048A"/>
    <w:rsid w:val="009E1124"/>
    <w:rsid w:val="009E1FBA"/>
    <w:rsid w:val="009E2C54"/>
    <w:rsid w:val="009E3710"/>
    <w:rsid w:val="009E6F65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172C"/>
    <w:rsid w:val="00A05B91"/>
    <w:rsid w:val="00A06788"/>
    <w:rsid w:val="00A10D66"/>
    <w:rsid w:val="00A12BA8"/>
    <w:rsid w:val="00A133F2"/>
    <w:rsid w:val="00A13993"/>
    <w:rsid w:val="00A1420C"/>
    <w:rsid w:val="00A1456C"/>
    <w:rsid w:val="00A14821"/>
    <w:rsid w:val="00A14BA8"/>
    <w:rsid w:val="00A14C9D"/>
    <w:rsid w:val="00A17754"/>
    <w:rsid w:val="00A2055B"/>
    <w:rsid w:val="00A20E22"/>
    <w:rsid w:val="00A219FE"/>
    <w:rsid w:val="00A2253C"/>
    <w:rsid w:val="00A23545"/>
    <w:rsid w:val="00A23A55"/>
    <w:rsid w:val="00A23E43"/>
    <w:rsid w:val="00A23EF0"/>
    <w:rsid w:val="00A24472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55F2"/>
    <w:rsid w:val="00A35CB2"/>
    <w:rsid w:val="00A36226"/>
    <w:rsid w:val="00A378F8"/>
    <w:rsid w:val="00A40965"/>
    <w:rsid w:val="00A40B19"/>
    <w:rsid w:val="00A40F56"/>
    <w:rsid w:val="00A41D07"/>
    <w:rsid w:val="00A424F8"/>
    <w:rsid w:val="00A42883"/>
    <w:rsid w:val="00A437B7"/>
    <w:rsid w:val="00A43EA2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430D"/>
    <w:rsid w:val="00A55301"/>
    <w:rsid w:val="00A572FB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66784"/>
    <w:rsid w:val="00A6766C"/>
    <w:rsid w:val="00A70765"/>
    <w:rsid w:val="00A711B0"/>
    <w:rsid w:val="00A71279"/>
    <w:rsid w:val="00A721FB"/>
    <w:rsid w:val="00A727BA"/>
    <w:rsid w:val="00A72D4B"/>
    <w:rsid w:val="00A732AE"/>
    <w:rsid w:val="00A74192"/>
    <w:rsid w:val="00A750EB"/>
    <w:rsid w:val="00A75837"/>
    <w:rsid w:val="00A75E40"/>
    <w:rsid w:val="00A76B12"/>
    <w:rsid w:val="00A76EF2"/>
    <w:rsid w:val="00A7727E"/>
    <w:rsid w:val="00A77EB2"/>
    <w:rsid w:val="00A81094"/>
    <w:rsid w:val="00A82B66"/>
    <w:rsid w:val="00A82C52"/>
    <w:rsid w:val="00A83B58"/>
    <w:rsid w:val="00A84D7D"/>
    <w:rsid w:val="00A84FAF"/>
    <w:rsid w:val="00A851B6"/>
    <w:rsid w:val="00A85729"/>
    <w:rsid w:val="00A8574B"/>
    <w:rsid w:val="00A857C0"/>
    <w:rsid w:val="00A85F5E"/>
    <w:rsid w:val="00A90343"/>
    <w:rsid w:val="00A91336"/>
    <w:rsid w:val="00A9221C"/>
    <w:rsid w:val="00A92277"/>
    <w:rsid w:val="00A92916"/>
    <w:rsid w:val="00A929D1"/>
    <w:rsid w:val="00A94628"/>
    <w:rsid w:val="00A94954"/>
    <w:rsid w:val="00A9497A"/>
    <w:rsid w:val="00A949A6"/>
    <w:rsid w:val="00A96241"/>
    <w:rsid w:val="00A96463"/>
    <w:rsid w:val="00A97E3F"/>
    <w:rsid w:val="00AA09D3"/>
    <w:rsid w:val="00AA1356"/>
    <w:rsid w:val="00AA220F"/>
    <w:rsid w:val="00AA23FB"/>
    <w:rsid w:val="00AA34FE"/>
    <w:rsid w:val="00AA42AB"/>
    <w:rsid w:val="00AA4A76"/>
    <w:rsid w:val="00AA559A"/>
    <w:rsid w:val="00AA57A4"/>
    <w:rsid w:val="00AA5F10"/>
    <w:rsid w:val="00AB0BB9"/>
    <w:rsid w:val="00AB104D"/>
    <w:rsid w:val="00AB1441"/>
    <w:rsid w:val="00AB1653"/>
    <w:rsid w:val="00AB2AF1"/>
    <w:rsid w:val="00AB440B"/>
    <w:rsid w:val="00AB47E3"/>
    <w:rsid w:val="00AB4D2A"/>
    <w:rsid w:val="00AB4E33"/>
    <w:rsid w:val="00AB74C5"/>
    <w:rsid w:val="00AB75A7"/>
    <w:rsid w:val="00AB7BEE"/>
    <w:rsid w:val="00AB7DF2"/>
    <w:rsid w:val="00AC1E3F"/>
    <w:rsid w:val="00AC219A"/>
    <w:rsid w:val="00AC3D02"/>
    <w:rsid w:val="00AC4F18"/>
    <w:rsid w:val="00AC69CA"/>
    <w:rsid w:val="00AD0B46"/>
    <w:rsid w:val="00AD1094"/>
    <w:rsid w:val="00AD2565"/>
    <w:rsid w:val="00AD2862"/>
    <w:rsid w:val="00AD306C"/>
    <w:rsid w:val="00AD3424"/>
    <w:rsid w:val="00AD3E3F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481D"/>
    <w:rsid w:val="00AE608F"/>
    <w:rsid w:val="00AE6734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4CA7"/>
    <w:rsid w:val="00AF518B"/>
    <w:rsid w:val="00AF5275"/>
    <w:rsid w:val="00AF5D62"/>
    <w:rsid w:val="00AF6367"/>
    <w:rsid w:val="00AF6A79"/>
    <w:rsid w:val="00AF6B7C"/>
    <w:rsid w:val="00AF724E"/>
    <w:rsid w:val="00AF73A9"/>
    <w:rsid w:val="00B01436"/>
    <w:rsid w:val="00B01C2C"/>
    <w:rsid w:val="00B0231C"/>
    <w:rsid w:val="00B03F5F"/>
    <w:rsid w:val="00B06EE1"/>
    <w:rsid w:val="00B07372"/>
    <w:rsid w:val="00B07C2A"/>
    <w:rsid w:val="00B10100"/>
    <w:rsid w:val="00B118CA"/>
    <w:rsid w:val="00B128E5"/>
    <w:rsid w:val="00B13681"/>
    <w:rsid w:val="00B13BCE"/>
    <w:rsid w:val="00B15DCD"/>
    <w:rsid w:val="00B16201"/>
    <w:rsid w:val="00B17E71"/>
    <w:rsid w:val="00B17FDE"/>
    <w:rsid w:val="00B208FC"/>
    <w:rsid w:val="00B20C65"/>
    <w:rsid w:val="00B22E17"/>
    <w:rsid w:val="00B25567"/>
    <w:rsid w:val="00B25E31"/>
    <w:rsid w:val="00B266C5"/>
    <w:rsid w:val="00B27293"/>
    <w:rsid w:val="00B300E8"/>
    <w:rsid w:val="00B301BB"/>
    <w:rsid w:val="00B30737"/>
    <w:rsid w:val="00B321E3"/>
    <w:rsid w:val="00B3229E"/>
    <w:rsid w:val="00B32DDB"/>
    <w:rsid w:val="00B3447A"/>
    <w:rsid w:val="00B3448C"/>
    <w:rsid w:val="00B34931"/>
    <w:rsid w:val="00B35174"/>
    <w:rsid w:val="00B35BEA"/>
    <w:rsid w:val="00B365CB"/>
    <w:rsid w:val="00B37915"/>
    <w:rsid w:val="00B3793D"/>
    <w:rsid w:val="00B41BE6"/>
    <w:rsid w:val="00B42831"/>
    <w:rsid w:val="00B428A4"/>
    <w:rsid w:val="00B428EA"/>
    <w:rsid w:val="00B457E7"/>
    <w:rsid w:val="00B45D1B"/>
    <w:rsid w:val="00B45DE5"/>
    <w:rsid w:val="00B46D25"/>
    <w:rsid w:val="00B47430"/>
    <w:rsid w:val="00B47AC6"/>
    <w:rsid w:val="00B52D2D"/>
    <w:rsid w:val="00B534EF"/>
    <w:rsid w:val="00B548DA"/>
    <w:rsid w:val="00B55BA8"/>
    <w:rsid w:val="00B55F15"/>
    <w:rsid w:val="00B561A6"/>
    <w:rsid w:val="00B57CC4"/>
    <w:rsid w:val="00B60062"/>
    <w:rsid w:val="00B6206C"/>
    <w:rsid w:val="00B62960"/>
    <w:rsid w:val="00B63A11"/>
    <w:rsid w:val="00B63FD0"/>
    <w:rsid w:val="00B6493D"/>
    <w:rsid w:val="00B6553E"/>
    <w:rsid w:val="00B65C84"/>
    <w:rsid w:val="00B6608F"/>
    <w:rsid w:val="00B67E42"/>
    <w:rsid w:val="00B73180"/>
    <w:rsid w:val="00B74317"/>
    <w:rsid w:val="00B75700"/>
    <w:rsid w:val="00B760C1"/>
    <w:rsid w:val="00B76D1E"/>
    <w:rsid w:val="00B77BC8"/>
    <w:rsid w:val="00B77FB7"/>
    <w:rsid w:val="00B800EB"/>
    <w:rsid w:val="00B822D2"/>
    <w:rsid w:val="00B823F1"/>
    <w:rsid w:val="00B831B4"/>
    <w:rsid w:val="00B83D46"/>
    <w:rsid w:val="00B848B8"/>
    <w:rsid w:val="00B84A41"/>
    <w:rsid w:val="00B84D57"/>
    <w:rsid w:val="00B8504B"/>
    <w:rsid w:val="00B853C2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55C"/>
    <w:rsid w:val="00B979A0"/>
    <w:rsid w:val="00BA094F"/>
    <w:rsid w:val="00BA0DED"/>
    <w:rsid w:val="00BA0F99"/>
    <w:rsid w:val="00BA28FD"/>
    <w:rsid w:val="00BA6D2C"/>
    <w:rsid w:val="00BB0274"/>
    <w:rsid w:val="00BB0B13"/>
    <w:rsid w:val="00BB1CFD"/>
    <w:rsid w:val="00BB2C53"/>
    <w:rsid w:val="00BB32DA"/>
    <w:rsid w:val="00BB3A54"/>
    <w:rsid w:val="00BB4286"/>
    <w:rsid w:val="00BB462A"/>
    <w:rsid w:val="00BB4D26"/>
    <w:rsid w:val="00BB4E21"/>
    <w:rsid w:val="00BB62F2"/>
    <w:rsid w:val="00BB6F86"/>
    <w:rsid w:val="00BB7746"/>
    <w:rsid w:val="00BC22EB"/>
    <w:rsid w:val="00BC682B"/>
    <w:rsid w:val="00BC68BA"/>
    <w:rsid w:val="00BC6B04"/>
    <w:rsid w:val="00BC6D27"/>
    <w:rsid w:val="00BD059A"/>
    <w:rsid w:val="00BD0CBB"/>
    <w:rsid w:val="00BD186B"/>
    <w:rsid w:val="00BD1EAC"/>
    <w:rsid w:val="00BD254C"/>
    <w:rsid w:val="00BD3428"/>
    <w:rsid w:val="00BD366B"/>
    <w:rsid w:val="00BD3F01"/>
    <w:rsid w:val="00BD5217"/>
    <w:rsid w:val="00BD5298"/>
    <w:rsid w:val="00BD534C"/>
    <w:rsid w:val="00BD557B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BF7F08"/>
    <w:rsid w:val="00BF7F28"/>
    <w:rsid w:val="00C00831"/>
    <w:rsid w:val="00C00F20"/>
    <w:rsid w:val="00C01354"/>
    <w:rsid w:val="00C01700"/>
    <w:rsid w:val="00C01B84"/>
    <w:rsid w:val="00C034E6"/>
    <w:rsid w:val="00C05715"/>
    <w:rsid w:val="00C05926"/>
    <w:rsid w:val="00C06B8B"/>
    <w:rsid w:val="00C0784A"/>
    <w:rsid w:val="00C10B28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711F"/>
    <w:rsid w:val="00C17E38"/>
    <w:rsid w:val="00C20027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4E"/>
    <w:rsid w:val="00C300C6"/>
    <w:rsid w:val="00C30828"/>
    <w:rsid w:val="00C30924"/>
    <w:rsid w:val="00C31DD8"/>
    <w:rsid w:val="00C3271C"/>
    <w:rsid w:val="00C32A35"/>
    <w:rsid w:val="00C34AEA"/>
    <w:rsid w:val="00C34FDE"/>
    <w:rsid w:val="00C35C16"/>
    <w:rsid w:val="00C36EC3"/>
    <w:rsid w:val="00C408BB"/>
    <w:rsid w:val="00C40E09"/>
    <w:rsid w:val="00C40F81"/>
    <w:rsid w:val="00C41463"/>
    <w:rsid w:val="00C41A06"/>
    <w:rsid w:val="00C41A72"/>
    <w:rsid w:val="00C42D45"/>
    <w:rsid w:val="00C43CB1"/>
    <w:rsid w:val="00C4422D"/>
    <w:rsid w:val="00C45380"/>
    <w:rsid w:val="00C466D1"/>
    <w:rsid w:val="00C476C5"/>
    <w:rsid w:val="00C503B0"/>
    <w:rsid w:val="00C511C2"/>
    <w:rsid w:val="00C527C6"/>
    <w:rsid w:val="00C538FC"/>
    <w:rsid w:val="00C53CDB"/>
    <w:rsid w:val="00C53D82"/>
    <w:rsid w:val="00C54748"/>
    <w:rsid w:val="00C574CF"/>
    <w:rsid w:val="00C575FB"/>
    <w:rsid w:val="00C60696"/>
    <w:rsid w:val="00C60943"/>
    <w:rsid w:val="00C60EEF"/>
    <w:rsid w:val="00C610C5"/>
    <w:rsid w:val="00C6121D"/>
    <w:rsid w:val="00C615F1"/>
    <w:rsid w:val="00C61627"/>
    <w:rsid w:val="00C63B1A"/>
    <w:rsid w:val="00C64E60"/>
    <w:rsid w:val="00C657A4"/>
    <w:rsid w:val="00C66589"/>
    <w:rsid w:val="00C6736C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4F6"/>
    <w:rsid w:val="00C77833"/>
    <w:rsid w:val="00C80953"/>
    <w:rsid w:val="00C80C9B"/>
    <w:rsid w:val="00C814FC"/>
    <w:rsid w:val="00C8180B"/>
    <w:rsid w:val="00C8335E"/>
    <w:rsid w:val="00C83F9C"/>
    <w:rsid w:val="00C84CE3"/>
    <w:rsid w:val="00C85614"/>
    <w:rsid w:val="00C86127"/>
    <w:rsid w:val="00C9003C"/>
    <w:rsid w:val="00C90CF4"/>
    <w:rsid w:val="00C91C19"/>
    <w:rsid w:val="00C929A0"/>
    <w:rsid w:val="00C930FB"/>
    <w:rsid w:val="00C93389"/>
    <w:rsid w:val="00C937DB"/>
    <w:rsid w:val="00C94519"/>
    <w:rsid w:val="00C94E11"/>
    <w:rsid w:val="00C94E83"/>
    <w:rsid w:val="00C9567E"/>
    <w:rsid w:val="00C97038"/>
    <w:rsid w:val="00C97D46"/>
    <w:rsid w:val="00CA02B2"/>
    <w:rsid w:val="00CA0883"/>
    <w:rsid w:val="00CA1085"/>
    <w:rsid w:val="00CA140F"/>
    <w:rsid w:val="00CA25C2"/>
    <w:rsid w:val="00CA37BB"/>
    <w:rsid w:val="00CA37CA"/>
    <w:rsid w:val="00CA39E1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2B15"/>
    <w:rsid w:val="00CB2EEA"/>
    <w:rsid w:val="00CB39FE"/>
    <w:rsid w:val="00CB43A7"/>
    <w:rsid w:val="00CB4DF1"/>
    <w:rsid w:val="00CB5852"/>
    <w:rsid w:val="00CB5996"/>
    <w:rsid w:val="00CB6809"/>
    <w:rsid w:val="00CB7452"/>
    <w:rsid w:val="00CC0E10"/>
    <w:rsid w:val="00CC1DAF"/>
    <w:rsid w:val="00CC21A6"/>
    <w:rsid w:val="00CC2642"/>
    <w:rsid w:val="00CC2967"/>
    <w:rsid w:val="00CC2A1E"/>
    <w:rsid w:val="00CC2A36"/>
    <w:rsid w:val="00CC2E15"/>
    <w:rsid w:val="00CC3440"/>
    <w:rsid w:val="00CC351B"/>
    <w:rsid w:val="00CC3908"/>
    <w:rsid w:val="00CC4F3D"/>
    <w:rsid w:val="00CC5BC5"/>
    <w:rsid w:val="00CC62AD"/>
    <w:rsid w:val="00CC6CA2"/>
    <w:rsid w:val="00CC7086"/>
    <w:rsid w:val="00CC7B80"/>
    <w:rsid w:val="00CD0080"/>
    <w:rsid w:val="00CD0779"/>
    <w:rsid w:val="00CD2B3C"/>
    <w:rsid w:val="00CD30F6"/>
    <w:rsid w:val="00CD4B29"/>
    <w:rsid w:val="00CD5493"/>
    <w:rsid w:val="00CD6607"/>
    <w:rsid w:val="00CD67CA"/>
    <w:rsid w:val="00CD6954"/>
    <w:rsid w:val="00CD6DA3"/>
    <w:rsid w:val="00CD6EF1"/>
    <w:rsid w:val="00CD7E35"/>
    <w:rsid w:val="00CE0849"/>
    <w:rsid w:val="00CE21C7"/>
    <w:rsid w:val="00CE2682"/>
    <w:rsid w:val="00CE2756"/>
    <w:rsid w:val="00CE442A"/>
    <w:rsid w:val="00CE44CE"/>
    <w:rsid w:val="00CE4DEB"/>
    <w:rsid w:val="00CE57D8"/>
    <w:rsid w:val="00CE5F03"/>
    <w:rsid w:val="00CE617A"/>
    <w:rsid w:val="00CE65E7"/>
    <w:rsid w:val="00CE6E3C"/>
    <w:rsid w:val="00CE7158"/>
    <w:rsid w:val="00CE797F"/>
    <w:rsid w:val="00CF107E"/>
    <w:rsid w:val="00CF15BF"/>
    <w:rsid w:val="00CF25D2"/>
    <w:rsid w:val="00CF28C2"/>
    <w:rsid w:val="00CF3D3A"/>
    <w:rsid w:val="00CF42BD"/>
    <w:rsid w:val="00CF51EC"/>
    <w:rsid w:val="00CF58ED"/>
    <w:rsid w:val="00CF6A9D"/>
    <w:rsid w:val="00CF6CD7"/>
    <w:rsid w:val="00CF7276"/>
    <w:rsid w:val="00CF7553"/>
    <w:rsid w:val="00CF75EC"/>
    <w:rsid w:val="00D002DF"/>
    <w:rsid w:val="00D0037A"/>
    <w:rsid w:val="00D0061E"/>
    <w:rsid w:val="00D00DAF"/>
    <w:rsid w:val="00D0103D"/>
    <w:rsid w:val="00D017EC"/>
    <w:rsid w:val="00D01CDA"/>
    <w:rsid w:val="00D020FC"/>
    <w:rsid w:val="00D024A1"/>
    <w:rsid w:val="00D03866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299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4B3"/>
    <w:rsid w:val="00D37689"/>
    <w:rsid w:val="00D378CC"/>
    <w:rsid w:val="00D4042C"/>
    <w:rsid w:val="00D40B9E"/>
    <w:rsid w:val="00D41281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2F9A"/>
    <w:rsid w:val="00D547BA"/>
    <w:rsid w:val="00D55626"/>
    <w:rsid w:val="00D556BC"/>
    <w:rsid w:val="00D5626D"/>
    <w:rsid w:val="00D56631"/>
    <w:rsid w:val="00D577A4"/>
    <w:rsid w:val="00D57E4B"/>
    <w:rsid w:val="00D60277"/>
    <w:rsid w:val="00D60336"/>
    <w:rsid w:val="00D61B06"/>
    <w:rsid w:val="00D61F88"/>
    <w:rsid w:val="00D62688"/>
    <w:rsid w:val="00D62901"/>
    <w:rsid w:val="00D6345E"/>
    <w:rsid w:val="00D64583"/>
    <w:rsid w:val="00D645E4"/>
    <w:rsid w:val="00D6470C"/>
    <w:rsid w:val="00D64853"/>
    <w:rsid w:val="00D64CB5"/>
    <w:rsid w:val="00D66D48"/>
    <w:rsid w:val="00D7162F"/>
    <w:rsid w:val="00D72897"/>
    <w:rsid w:val="00D73256"/>
    <w:rsid w:val="00D73A30"/>
    <w:rsid w:val="00D73E6F"/>
    <w:rsid w:val="00D74ABF"/>
    <w:rsid w:val="00D74C65"/>
    <w:rsid w:val="00D74E97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1906"/>
    <w:rsid w:val="00D81B44"/>
    <w:rsid w:val="00D82462"/>
    <w:rsid w:val="00D831C6"/>
    <w:rsid w:val="00D83EF3"/>
    <w:rsid w:val="00D84BD1"/>
    <w:rsid w:val="00D85773"/>
    <w:rsid w:val="00D85886"/>
    <w:rsid w:val="00D85D55"/>
    <w:rsid w:val="00D868CE"/>
    <w:rsid w:val="00D86DAE"/>
    <w:rsid w:val="00D90116"/>
    <w:rsid w:val="00D90C1E"/>
    <w:rsid w:val="00D91BDF"/>
    <w:rsid w:val="00D91F2C"/>
    <w:rsid w:val="00D9266B"/>
    <w:rsid w:val="00D93F09"/>
    <w:rsid w:val="00D94859"/>
    <w:rsid w:val="00D954C2"/>
    <w:rsid w:val="00D9640A"/>
    <w:rsid w:val="00D97BB8"/>
    <w:rsid w:val="00DA1318"/>
    <w:rsid w:val="00DA1382"/>
    <w:rsid w:val="00DA28B7"/>
    <w:rsid w:val="00DA2FE8"/>
    <w:rsid w:val="00DA4AF6"/>
    <w:rsid w:val="00DA661B"/>
    <w:rsid w:val="00DA7AB2"/>
    <w:rsid w:val="00DB016E"/>
    <w:rsid w:val="00DB06E9"/>
    <w:rsid w:val="00DB0BF3"/>
    <w:rsid w:val="00DB19BD"/>
    <w:rsid w:val="00DB1D55"/>
    <w:rsid w:val="00DB378E"/>
    <w:rsid w:val="00DB3C0D"/>
    <w:rsid w:val="00DB3E9D"/>
    <w:rsid w:val="00DB47B9"/>
    <w:rsid w:val="00DB4FB8"/>
    <w:rsid w:val="00DB53CE"/>
    <w:rsid w:val="00DB549D"/>
    <w:rsid w:val="00DB5792"/>
    <w:rsid w:val="00DB6A88"/>
    <w:rsid w:val="00DB7BA4"/>
    <w:rsid w:val="00DB7D77"/>
    <w:rsid w:val="00DC08D7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3D9"/>
    <w:rsid w:val="00DC5B3B"/>
    <w:rsid w:val="00DC6796"/>
    <w:rsid w:val="00DC6CC6"/>
    <w:rsid w:val="00DC78DF"/>
    <w:rsid w:val="00DC7D4C"/>
    <w:rsid w:val="00DD0726"/>
    <w:rsid w:val="00DD0821"/>
    <w:rsid w:val="00DD0E32"/>
    <w:rsid w:val="00DD1878"/>
    <w:rsid w:val="00DD1DC1"/>
    <w:rsid w:val="00DD2872"/>
    <w:rsid w:val="00DD2A62"/>
    <w:rsid w:val="00DD2BD0"/>
    <w:rsid w:val="00DD2BFE"/>
    <w:rsid w:val="00DD373E"/>
    <w:rsid w:val="00DD3867"/>
    <w:rsid w:val="00DD57AD"/>
    <w:rsid w:val="00DD7435"/>
    <w:rsid w:val="00DD7C6D"/>
    <w:rsid w:val="00DE009B"/>
    <w:rsid w:val="00DE08F8"/>
    <w:rsid w:val="00DE0C31"/>
    <w:rsid w:val="00DE0E40"/>
    <w:rsid w:val="00DE1460"/>
    <w:rsid w:val="00DE2ED9"/>
    <w:rsid w:val="00DE319A"/>
    <w:rsid w:val="00DE3BE8"/>
    <w:rsid w:val="00DE5403"/>
    <w:rsid w:val="00DF0615"/>
    <w:rsid w:val="00DF0DC3"/>
    <w:rsid w:val="00DF1FDA"/>
    <w:rsid w:val="00DF21FD"/>
    <w:rsid w:val="00DF2873"/>
    <w:rsid w:val="00DF293C"/>
    <w:rsid w:val="00DF34B2"/>
    <w:rsid w:val="00DF42DF"/>
    <w:rsid w:val="00DF4C74"/>
    <w:rsid w:val="00DF5578"/>
    <w:rsid w:val="00DF594F"/>
    <w:rsid w:val="00DF6CF8"/>
    <w:rsid w:val="00DF78DD"/>
    <w:rsid w:val="00DF7FEC"/>
    <w:rsid w:val="00E01B16"/>
    <w:rsid w:val="00E01C0E"/>
    <w:rsid w:val="00E02086"/>
    <w:rsid w:val="00E023BE"/>
    <w:rsid w:val="00E02740"/>
    <w:rsid w:val="00E03B27"/>
    <w:rsid w:val="00E03B58"/>
    <w:rsid w:val="00E04694"/>
    <w:rsid w:val="00E049F6"/>
    <w:rsid w:val="00E04CA9"/>
    <w:rsid w:val="00E05B2B"/>
    <w:rsid w:val="00E05EAD"/>
    <w:rsid w:val="00E06A2A"/>
    <w:rsid w:val="00E07F05"/>
    <w:rsid w:val="00E106A2"/>
    <w:rsid w:val="00E127E1"/>
    <w:rsid w:val="00E12BCE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88A"/>
    <w:rsid w:val="00E32BC2"/>
    <w:rsid w:val="00E33313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703"/>
    <w:rsid w:val="00E45A00"/>
    <w:rsid w:val="00E45CE7"/>
    <w:rsid w:val="00E4631F"/>
    <w:rsid w:val="00E46A4A"/>
    <w:rsid w:val="00E4793B"/>
    <w:rsid w:val="00E47CB8"/>
    <w:rsid w:val="00E522BB"/>
    <w:rsid w:val="00E52A3D"/>
    <w:rsid w:val="00E533B7"/>
    <w:rsid w:val="00E539E4"/>
    <w:rsid w:val="00E53C14"/>
    <w:rsid w:val="00E549C7"/>
    <w:rsid w:val="00E569C7"/>
    <w:rsid w:val="00E571F2"/>
    <w:rsid w:val="00E57429"/>
    <w:rsid w:val="00E60FCE"/>
    <w:rsid w:val="00E61EA8"/>
    <w:rsid w:val="00E62A33"/>
    <w:rsid w:val="00E63221"/>
    <w:rsid w:val="00E63960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6F80"/>
    <w:rsid w:val="00E7724B"/>
    <w:rsid w:val="00E80E31"/>
    <w:rsid w:val="00E81130"/>
    <w:rsid w:val="00E83DAB"/>
    <w:rsid w:val="00E84F21"/>
    <w:rsid w:val="00E8618A"/>
    <w:rsid w:val="00E90A4B"/>
    <w:rsid w:val="00E90D67"/>
    <w:rsid w:val="00E90F73"/>
    <w:rsid w:val="00E910A7"/>
    <w:rsid w:val="00E9159D"/>
    <w:rsid w:val="00E91607"/>
    <w:rsid w:val="00E921C7"/>
    <w:rsid w:val="00E92995"/>
    <w:rsid w:val="00E9446C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1CFB"/>
    <w:rsid w:val="00EA2169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20A0"/>
    <w:rsid w:val="00EB29CA"/>
    <w:rsid w:val="00EB2CE9"/>
    <w:rsid w:val="00EB30B6"/>
    <w:rsid w:val="00EB4FA4"/>
    <w:rsid w:val="00EB5146"/>
    <w:rsid w:val="00EB522B"/>
    <w:rsid w:val="00EB55E9"/>
    <w:rsid w:val="00EB5641"/>
    <w:rsid w:val="00EB5BA3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B0B"/>
    <w:rsid w:val="00ED2CA5"/>
    <w:rsid w:val="00ED336F"/>
    <w:rsid w:val="00ED390A"/>
    <w:rsid w:val="00ED3A94"/>
    <w:rsid w:val="00ED40F0"/>
    <w:rsid w:val="00ED4AC0"/>
    <w:rsid w:val="00ED54D6"/>
    <w:rsid w:val="00ED5726"/>
    <w:rsid w:val="00ED7C3C"/>
    <w:rsid w:val="00EE0113"/>
    <w:rsid w:val="00EE0298"/>
    <w:rsid w:val="00EE0384"/>
    <w:rsid w:val="00EE043A"/>
    <w:rsid w:val="00EE0473"/>
    <w:rsid w:val="00EE1057"/>
    <w:rsid w:val="00EE10AA"/>
    <w:rsid w:val="00EE1637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D92"/>
    <w:rsid w:val="00EF1ED5"/>
    <w:rsid w:val="00EF1F5A"/>
    <w:rsid w:val="00EF3486"/>
    <w:rsid w:val="00EF3CF0"/>
    <w:rsid w:val="00EF4685"/>
    <w:rsid w:val="00EF5397"/>
    <w:rsid w:val="00EF63CC"/>
    <w:rsid w:val="00EF6BE3"/>
    <w:rsid w:val="00F00D0E"/>
    <w:rsid w:val="00F00D3C"/>
    <w:rsid w:val="00F020EA"/>
    <w:rsid w:val="00F02A72"/>
    <w:rsid w:val="00F04811"/>
    <w:rsid w:val="00F0488C"/>
    <w:rsid w:val="00F0496E"/>
    <w:rsid w:val="00F04D10"/>
    <w:rsid w:val="00F053EA"/>
    <w:rsid w:val="00F0625B"/>
    <w:rsid w:val="00F068A8"/>
    <w:rsid w:val="00F06944"/>
    <w:rsid w:val="00F06C6F"/>
    <w:rsid w:val="00F0732D"/>
    <w:rsid w:val="00F101FF"/>
    <w:rsid w:val="00F104DF"/>
    <w:rsid w:val="00F10A33"/>
    <w:rsid w:val="00F10B64"/>
    <w:rsid w:val="00F1186C"/>
    <w:rsid w:val="00F11A6D"/>
    <w:rsid w:val="00F11AD5"/>
    <w:rsid w:val="00F126D0"/>
    <w:rsid w:val="00F12A83"/>
    <w:rsid w:val="00F14ACD"/>
    <w:rsid w:val="00F15309"/>
    <w:rsid w:val="00F15BEF"/>
    <w:rsid w:val="00F15FBB"/>
    <w:rsid w:val="00F160EC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6C"/>
    <w:rsid w:val="00F23FFF"/>
    <w:rsid w:val="00F2441D"/>
    <w:rsid w:val="00F2490D"/>
    <w:rsid w:val="00F24FAA"/>
    <w:rsid w:val="00F25226"/>
    <w:rsid w:val="00F25860"/>
    <w:rsid w:val="00F26197"/>
    <w:rsid w:val="00F273D4"/>
    <w:rsid w:val="00F307DD"/>
    <w:rsid w:val="00F30C2E"/>
    <w:rsid w:val="00F30CB4"/>
    <w:rsid w:val="00F30EBF"/>
    <w:rsid w:val="00F318FC"/>
    <w:rsid w:val="00F31D53"/>
    <w:rsid w:val="00F31F76"/>
    <w:rsid w:val="00F325A3"/>
    <w:rsid w:val="00F3364D"/>
    <w:rsid w:val="00F339D0"/>
    <w:rsid w:val="00F353AE"/>
    <w:rsid w:val="00F358E3"/>
    <w:rsid w:val="00F35ACD"/>
    <w:rsid w:val="00F365BF"/>
    <w:rsid w:val="00F36BF8"/>
    <w:rsid w:val="00F375BA"/>
    <w:rsid w:val="00F37760"/>
    <w:rsid w:val="00F403D1"/>
    <w:rsid w:val="00F4272E"/>
    <w:rsid w:val="00F43921"/>
    <w:rsid w:val="00F44E1B"/>
    <w:rsid w:val="00F4524F"/>
    <w:rsid w:val="00F45530"/>
    <w:rsid w:val="00F4591F"/>
    <w:rsid w:val="00F47321"/>
    <w:rsid w:val="00F4736B"/>
    <w:rsid w:val="00F47804"/>
    <w:rsid w:val="00F47997"/>
    <w:rsid w:val="00F47D05"/>
    <w:rsid w:val="00F50030"/>
    <w:rsid w:val="00F502F5"/>
    <w:rsid w:val="00F50B9D"/>
    <w:rsid w:val="00F51FC9"/>
    <w:rsid w:val="00F529EE"/>
    <w:rsid w:val="00F52AE1"/>
    <w:rsid w:val="00F53243"/>
    <w:rsid w:val="00F541ED"/>
    <w:rsid w:val="00F54B31"/>
    <w:rsid w:val="00F54FD3"/>
    <w:rsid w:val="00F554F9"/>
    <w:rsid w:val="00F55605"/>
    <w:rsid w:val="00F56375"/>
    <w:rsid w:val="00F57CD7"/>
    <w:rsid w:val="00F6080A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6CA8"/>
    <w:rsid w:val="00F67BDA"/>
    <w:rsid w:val="00F70309"/>
    <w:rsid w:val="00F7078A"/>
    <w:rsid w:val="00F70E45"/>
    <w:rsid w:val="00F727D5"/>
    <w:rsid w:val="00F72F44"/>
    <w:rsid w:val="00F73A0C"/>
    <w:rsid w:val="00F7593B"/>
    <w:rsid w:val="00F759DC"/>
    <w:rsid w:val="00F76563"/>
    <w:rsid w:val="00F7717C"/>
    <w:rsid w:val="00F771A5"/>
    <w:rsid w:val="00F80021"/>
    <w:rsid w:val="00F80D1E"/>
    <w:rsid w:val="00F817A4"/>
    <w:rsid w:val="00F81C3A"/>
    <w:rsid w:val="00F83573"/>
    <w:rsid w:val="00F835E1"/>
    <w:rsid w:val="00F835FC"/>
    <w:rsid w:val="00F8373A"/>
    <w:rsid w:val="00F83E21"/>
    <w:rsid w:val="00F83FA4"/>
    <w:rsid w:val="00F8410C"/>
    <w:rsid w:val="00F84E18"/>
    <w:rsid w:val="00F852E5"/>
    <w:rsid w:val="00F853A5"/>
    <w:rsid w:val="00F90350"/>
    <w:rsid w:val="00F91EAF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A4A"/>
    <w:rsid w:val="00FA2BDE"/>
    <w:rsid w:val="00FA2C2A"/>
    <w:rsid w:val="00FA309A"/>
    <w:rsid w:val="00FA6B3F"/>
    <w:rsid w:val="00FA7644"/>
    <w:rsid w:val="00FB0A9A"/>
    <w:rsid w:val="00FB16AD"/>
    <w:rsid w:val="00FB1F21"/>
    <w:rsid w:val="00FB332E"/>
    <w:rsid w:val="00FB3763"/>
    <w:rsid w:val="00FB483B"/>
    <w:rsid w:val="00FB56F1"/>
    <w:rsid w:val="00FB5FD4"/>
    <w:rsid w:val="00FB6398"/>
    <w:rsid w:val="00FB67F3"/>
    <w:rsid w:val="00FB6AF4"/>
    <w:rsid w:val="00FC0D8A"/>
    <w:rsid w:val="00FC0E5F"/>
    <w:rsid w:val="00FC135D"/>
    <w:rsid w:val="00FC26FB"/>
    <w:rsid w:val="00FC2CF4"/>
    <w:rsid w:val="00FC3C84"/>
    <w:rsid w:val="00FC4660"/>
    <w:rsid w:val="00FC56DE"/>
    <w:rsid w:val="00FC5E01"/>
    <w:rsid w:val="00FC6140"/>
    <w:rsid w:val="00FC6DB5"/>
    <w:rsid w:val="00FD1261"/>
    <w:rsid w:val="00FD1627"/>
    <w:rsid w:val="00FD1BBD"/>
    <w:rsid w:val="00FD38B2"/>
    <w:rsid w:val="00FD43A0"/>
    <w:rsid w:val="00FD473D"/>
    <w:rsid w:val="00FD55BA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53AD"/>
    <w:rsid w:val="00FE688F"/>
    <w:rsid w:val="00FE705E"/>
    <w:rsid w:val="00FF02EB"/>
    <w:rsid w:val="00FF288B"/>
    <w:rsid w:val="00FF28E0"/>
    <w:rsid w:val="00FF2FB4"/>
    <w:rsid w:val="00FF30B3"/>
    <w:rsid w:val="00FF3DF3"/>
    <w:rsid w:val="00FF4027"/>
    <w:rsid w:val="00FF45A2"/>
    <w:rsid w:val="00FF55B1"/>
    <w:rsid w:val="00FF65DF"/>
    <w:rsid w:val="00FF761D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  <w:style w:type="paragraph" w:customStyle="1" w:styleId="Default">
    <w:name w:val="Default"/>
    <w:rsid w:val="0042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A6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A61D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1D1"/>
    <w:rPr>
      <w:rFonts w:ascii="Arial" w:hAnsi="Arial"/>
    </w:rPr>
  </w:style>
  <w:style w:type="character" w:customStyle="1" w:styleId="tabulka">
    <w:name w:val="tabulka"/>
    <w:basedOn w:val="Standardnpsmoodstavce"/>
    <w:rsid w:val="001C39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57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A0D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1459A7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097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24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Relationship Id="rId43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3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3\Makroanal&#253;za%20graf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3\Makroanal&#253;za%20graf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3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4.2240163796014245E-2"/>
          <c:y val="2.3046636085627001E-2"/>
          <c:w val="0.93617042384329663"/>
          <c:h val="0.74192840256671388"/>
        </c:manualLayout>
      </c:layout>
      <c:barChart>
        <c:barDir val="col"/>
        <c:grouping val="clustered"/>
        <c:ser>
          <c:idx val="0"/>
          <c:order val="0"/>
          <c:tx>
            <c:strRef>
              <c:f>'souhrnná výkonnost 1'!$C$4</c:f>
              <c:strCache>
                <c:ptCount val="1"/>
                <c:pt idx="0">
                  <c:v>ČR meziroční změna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</c:spPr>
          <c:cat>
            <c:multiLvlStrRef>
              <c:f>'souhrnná výkonnost 1'!$A$9:$B$27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'souhrnná výkonnost 1'!$C$9:$C$27</c:f>
              <c:numCache>
                <c:formatCode>0.0</c:formatCode>
                <c:ptCount val="19"/>
                <c:pt idx="0">
                  <c:v>-1.7511683134985248</c:v>
                </c:pt>
                <c:pt idx="1">
                  <c:v>-1.1225511599608422</c:v>
                </c:pt>
                <c:pt idx="2">
                  <c:v>-0.35187335671894032</c:v>
                </c:pt>
                <c:pt idx="3">
                  <c:v>1.3064560933108851</c:v>
                </c:pt>
                <c:pt idx="4">
                  <c:v>1.6429317745401164</c:v>
                </c:pt>
                <c:pt idx="5">
                  <c:v>2.379951450221256</c:v>
                </c:pt>
                <c:pt idx="6">
                  <c:v>3.4229941989101462</c:v>
                </c:pt>
                <c:pt idx="7">
                  <c:v>3.3996850847558115</c:v>
                </c:pt>
                <c:pt idx="8">
                  <c:v>5.1924491451289043</c:v>
                </c:pt>
                <c:pt idx="9">
                  <c:v>5.7975987955825934</c:v>
                </c:pt>
                <c:pt idx="10">
                  <c:v>5.6880052521313855</c:v>
                </c:pt>
                <c:pt idx="11">
                  <c:v>4.8807255143514396</c:v>
                </c:pt>
                <c:pt idx="12">
                  <c:v>3.5408169174491197</c:v>
                </c:pt>
                <c:pt idx="13">
                  <c:v>2.8477395147454212</c:v>
                </c:pt>
                <c:pt idx="14">
                  <c:v>1.843939906776342</c:v>
                </c:pt>
                <c:pt idx="15">
                  <c:v>1.7654418234806428</c:v>
                </c:pt>
                <c:pt idx="16" formatCode="General">
                  <c:v>2.9922080055662801</c:v>
                </c:pt>
                <c:pt idx="17" formatCode="General">
                  <c:v>4.6730980983404464</c:v>
                </c:pt>
                <c:pt idx="18" formatCode="General">
                  <c:v>4.9653619148435864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44-4CED-A87F-94F315D09910}"/>
            </c:ext>
          </c:extLst>
        </c:ser>
        <c:ser>
          <c:idx val="1"/>
          <c:order val="1"/>
          <c:tx>
            <c:strRef>
              <c:f>'souhrnná výkonnost 1'!$D$4</c:f>
              <c:strCache>
                <c:ptCount val="1"/>
                <c:pt idx="0">
                  <c:v>EU28 meziroční změna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</c:spPr>
          <c:cat>
            <c:multiLvlStrRef>
              <c:f>'souhrnná výkonnost 1'!$A$9:$B$27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'souhrnná výkonnost 1'!$D$9:$D$27</c:f>
              <c:numCache>
                <c:formatCode>0.0</c:formatCode>
                <c:ptCount val="19"/>
                <c:pt idx="0">
                  <c:v>-0.59113300492609977</c:v>
                </c:pt>
                <c:pt idx="1">
                  <c:v>9.8716683119455667E-2</c:v>
                </c:pt>
                <c:pt idx="2">
                  <c:v>0.49358341559723756</c:v>
                </c:pt>
                <c:pt idx="3">
                  <c:v>1.1892963330029618</c:v>
                </c:pt>
                <c:pt idx="4">
                  <c:v>1.6848364717542021</c:v>
                </c:pt>
                <c:pt idx="5">
                  <c:v>1.4792899408284024</c:v>
                </c:pt>
                <c:pt idx="6">
                  <c:v>1.5717092337917571</c:v>
                </c:pt>
                <c:pt idx="7">
                  <c:v>1.8609206660137181</c:v>
                </c:pt>
                <c:pt idx="8" formatCode="#,##0.0">
                  <c:v>2.1</c:v>
                </c:pt>
                <c:pt idx="9" formatCode="#,##0.0">
                  <c:v>2.2000000000000002</c:v>
                </c:pt>
                <c:pt idx="10" formatCode="#,##0.0">
                  <c:v>2.1</c:v>
                </c:pt>
                <c:pt idx="11" formatCode="#,##0.0">
                  <c:v>2.1</c:v>
                </c:pt>
                <c:pt idx="12" formatCode="#,##0.0">
                  <c:v>1.9000000000000001</c:v>
                </c:pt>
                <c:pt idx="13" formatCode="#,##0.0">
                  <c:v>1.9000000000000001</c:v>
                </c:pt>
                <c:pt idx="14" formatCode="#,##0.0">
                  <c:v>1.8</c:v>
                </c:pt>
                <c:pt idx="15" formatCode="#,##0.0">
                  <c:v>2</c:v>
                </c:pt>
                <c:pt idx="16" formatCode="#,##0.0">
                  <c:v>2.2000000000000002</c:v>
                </c:pt>
                <c:pt idx="17" formatCode="#,##0.0">
                  <c:v>2.4</c:v>
                </c:pt>
                <c:pt idx="18" formatCode="#,##0.0">
                  <c:v>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C44-4CED-A87F-94F315D09910}"/>
            </c:ext>
          </c:extLst>
        </c:ser>
        <c:gapWidth val="100"/>
        <c:axId val="50200960"/>
        <c:axId val="50202496"/>
      </c:barChart>
      <c:lineChart>
        <c:grouping val="standard"/>
        <c:ser>
          <c:idx val="2"/>
          <c:order val="2"/>
          <c:tx>
            <c:strRef>
              <c:f>'souhrnná výkonnost 1'!$E$4</c:f>
              <c:strCache>
                <c:ptCount val="1"/>
                <c:pt idx="0">
                  <c:v>ČR mezičtvrtletní změna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val>
            <c:numRef>
              <c:f>'souhrnná výkonnost 1'!$E$9:$E$27</c:f>
              <c:numCache>
                <c:formatCode>0.0</c:formatCode>
                <c:ptCount val="19"/>
                <c:pt idx="0">
                  <c:v>-0.45693637688056332</c:v>
                </c:pt>
                <c:pt idx="1">
                  <c:v>0.19806063963225995</c:v>
                </c:pt>
                <c:pt idx="2">
                  <c:v>0.25106366477383801</c:v>
                </c:pt>
                <c:pt idx="3">
                  <c:v>1.3159486871259582</c:v>
                </c:pt>
                <c:pt idx="4">
                  <c:v>-0.1263175650510249</c:v>
                </c:pt>
                <c:pt idx="5">
                  <c:v>0.92460345837255964</c:v>
                </c:pt>
                <c:pt idx="6">
                  <c:v>1.272417391970436</c:v>
                </c:pt>
                <c:pt idx="7">
                  <c:v>1.2931144515490858</c:v>
                </c:pt>
                <c:pt idx="8">
                  <c:v>1.6053119684405321</c:v>
                </c:pt>
                <c:pt idx="9">
                  <c:v>1.5052011058400858</c:v>
                </c:pt>
                <c:pt idx="10">
                  <c:v>1.1675113903011718</c:v>
                </c:pt>
                <c:pt idx="11">
                  <c:v>0.51940433488746485</c:v>
                </c:pt>
                <c:pt idx="12">
                  <c:v>0.30724856994861494</c:v>
                </c:pt>
                <c:pt idx="13">
                  <c:v>0.82574962730442503</c:v>
                </c:pt>
                <c:pt idx="14">
                  <c:v>0.18011090146271191</c:v>
                </c:pt>
                <c:pt idx="15">
                  <c:v>0.44192716166011792</c:v>
                </c:pt>
                <c:pt idx="16" formatCode="General">
                  <c:v>1.5164364647657815</c:v>
                </c:pt>
                <c:pt idx="17" formatCode="General">
                  <c:v>2.4712819149110867</c:v>
                </c:pt>
                <c:pt idx="18" formatCode="General">
                  <c:v>0.45982958832395843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C44-4CED-A87F-94F315D09910}"/>
            </c:ext>
          </c:extLst>
        </c:ser>
        <c:ser>
          <c:idx val="3"/>
          <c:order val="3"/>
          <c:tx>
            <c:strRef>
              <c:f>'souhrnná výkonnost 1'!$F$4</c:f>
              <c:strCache>
                <c:ptCount val="1"/>
                <c:pt idx="0">
                  <c:v>EU28 mezičtvrtletní změna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val>
            <c:numRef>
              <c:f>'souhrnná výkonnost 1'!$F$9:$F$27</c:f>
              <c:numCache>
                <c:formatCode>0.0</c:formatCode>
                <c:ptCount val="19"/>
                <c:pt idx="0">
                  <c:v>0</c:v>
                </c:pt>
                <c:pt idx="1">
                  <c:v>0.49554013875123876</c:v>
                </c:pt>
                <c:pt idx="2">
                  <c:v>0.39447731755423487</c:v>
                </c:pt>
                <c:pt idx="3">
                  <c:v>0.29469548133595236</c:v>
                </c:pt>
                <c:pt idx="4">
                  <c:v>0.48971596474045315</c:v>
                </c:pt>
                <c:pt idx="5">
                  <c:v>0.29239766081872481</c:v>
                </c:pt>
                <c:pt idx="6">
                  <c:v>0.48590864917395793</c:v>
                </c:pt>
                <c:pt idx="7">
                  <c:v>0.58027079303674456</c:v>
                </c:pt>
                <c:pt idx="8" formatCode="#,##0.0">
                  <c:v>0.70000000000000062</c:v>
                </c:pt>
                <c:pt idx="9" formatCode="#,##0.0">
                  <c:v>0.4</c:v>
                </c:pt>
                <c:pt idx="10" formatCode="#,##0.0">
                  <c:v>0.5</c:v>
                </c:pt>
                <c:pt idx="11" formatCode="#,##0.0">
                  <c:v>0.5</c:v>
                </c:pt>
                <c:pt idx="12" formatCode="#,##0.0">
                  <c:v>0.4</c:v>
                </c:pt>
                <c:pt idx="13" formatCode="#,##0.0">
                  <c:v>0.4</c:v>
                </c:pt>
                <c:pt idx="14" formatCode="#,##0.0">
                  <c:v>0.4</c:v>
                </c:pt>
                <c:pt idx="15" formatCode="#,##0.0">
                  <c:v>0.70000000000000062</c:v>
                </c:pt>
                <c:pt idx="16" formatCode="#,##0.0">
                  <c:v>0.60000000000000064</c:v>
                </c:pt>
                <c:pt idx="17" formatCode="#,##0.0">
                  <c:v>0.70000000000000062</c:v>
                </c:pt>
                <c:pt idx="18" formatCode="#,##0.0">
                  <c:v>0.60000000000000064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C44-4CED-A87F-94F315D09910}"/>
            </c:ext>
          </c:extLst>
        </c:ser>
        <c:marker val="1"/>
        <c:axId val="50200960"/>
        <c:axId val="50202496"/>
      </c:lineChart>
      <c:catAx>
        <c:axId val="50200960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50202496"/>
        <c:crosses val="autoZero"/>
        <c:auto val="1"/>
        <c:lblAlgn val="ctr"/>
        <c:lblOffset val="100"/>
      </c:catAx>
      <c:valAx>
        <c:axId val="50202496"/>
        <c:scaling>
          <c:orientation val="minMax"/>
          <c:max val="6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50200960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2347813238770703E-2"/>
          <c:y val="0.8943725512571804"/>
          <c:w val="0.93446850726105957"/>
          <c:h val="9.0301755758791014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3724701079031984E-2"/>
          <c:y val="2.6970778117567564E-2"/>
          <c:w val="0.87770649039241211"/>
          <c:h val="0.76009512552065761"/>
        </c:manualLayout>
      </c:layout>
      <c:barChart>
        <c:barDir val="col"/>
        <c:grouping val="clustered"/>
        <c:ser>
          <c:idx val="0"/>
          <c:order val="0"/>
          <c:tx>
            <c:strRef>
              <c:f>'souhrnná výkonnost 2'!$C$5</c:f>
              <c:strCache>
                <c:ptCount val="1"/>
                <c:pt idx="0">
                  <c:v>HDP (pravá osa)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</c:spPr>
          <c:val>
            <c:numRef>
              <c:f>'souhrnná výkonnost 2'!$C$18:$C$74</c:f>
              <c:numCache>
                <c:formatCode>0.0</c:formatCode>
                <c:ptCount val="57"/>
                <c:pt idx="0">
                  <c:v>-1.8</c:v>
                </c:pt>
                <c:pt idx="1">
                  <c:v>-1.8</c:v>
                </c:pt>
                <c:pt idx="2">
                  <c:v>-1.8</c:v>
                </c:pt>
                <c:pt idx="3">
                  <c:v>-1.1000000000000001</c:v>
                </c:pt>
                <c:pt idx="4">
                  <c:v>-1.1000000000000001</c:v>
                </c:pt>
                <c:pt idx="5">
                  <c:v>-1.1000000000000001</c:v>
                </c:pt>
                <c:pt idx="6">
                  <c:v>-0.4</c:v>
                </c:pt>
                <c:pt idx="7">
                  <c:v>-0.4</c:v>
                </c:pt>
                <c:pt idx="8">
                  <c:v>-0.4</c:v>
                </c:pt>
                <c:pt idx="9">
                  <c:v>1.3</c:v>
                </c:pt>
                <c:pt idx="10">
                  <c:v>1.3</c:v>
                </c:pt>
                <c:pt idx="11">
                  <c:v>1.3</c:v>
                </c:pt>
                <c:pt idx="12">
                  <c:v>1.6</c:v>
                </c:pt>
                <c:pt idx="13">
                  <c:v>1.6</c:v>
                </c:pt>
                <c:pt idx="14">
                  <c:v>1.6</c:v>
                </c:pt>
                <c:pt idx="15">
                  <c:v>2.4</c:v>
                </c:pt>
                <c:pt idx="16">
                  <c:v>2.4</c:v>
                </c:pt>
                <c:pt idx="17">
                  <c:v>2.4</c:v>
                </c:pt>
                <c:pt idx="18">
                  <c:v>3.4</c:v>
                </c:pt>
                <c:pt idx="19">
                  <c:v>3.4</c:v>
                </c:pt>
                <c:pt idx="20">
                  <c:v>3.4</c:v>
                </c:pt>
                <c:pt idx="21">
                  <c:v>3.4</c:v>
                </c:pt>
                <c:pt idx="22">
                  <c:v>3.4</c:v>
                </c:pt>
                <c:pt idx="23">
                  <c:v>3.4</c:v>
                </c:pt>
                <c:pt idx="24">
                  <c:v>5.2</c:v>
                </c:pt>
                <c:pt idx="25">
                  <c:v>5.2</c:v>
                </c:pt>
                <c:pt idx="26">
                  <c:v>5.2</c:v>
                </c:pt>
                <c:pt idx="27">
                  <c:v>5.8</c:v>
                </c:pt>
                <c:pt idx="28">
                  <c:v>5.8</c:v>
                </c:pt>
                <c:pt idx="29">
                  <c:v>5.8</c:v>
                </c:pt>
                <c:pt idx="30">
                  <c:v>5.7</c:v>
                </c:pt>
                <c:pt idx="31">
                  <c:v>5.7</c:v>
                </c:pt>
                <c:pt idx="32">
                  <c:v>5.7</c:v>
                </c:pt>
                <c:pt idx="33">
                  <c:v>4.9000000000000004</c:v>
                </c:pt>
                <c:pt idx="34">
                  <c:v>4.9000000000000004</c:v>
                </c:pt>
                <c:pt idx="35">
                  <c:v>4.9000000000000004</c:v>
                </c:pt>
                <c:pt idx="36">
                  <c:v>3.5</c:v>
                </c:pt>
                <c:pt idx="37">
                  <c:v>3.5</c:v>
                </c:pt>
                <c:pt idx="38">
                  <c:v>3.5</c:v>
                </c:pt>
                <c:pt idx="39">
                  <c:v>2.8</c:v>
                </c:pt>
                <c:pt idx="40">
                  <c:v>2.8</c:v>
                </c:pt>
                <c:pt idx="41" formatCode="General">
                  <c:v>2.8</c:v>
                </c:pt>
                <c:pt idx="42" formatCode="General">
                  <c:v>1.8</c:v>
                </c:pt>
                <c:pt idx="43" formatCode="General">
                  <c:v>1.8</c:v>
                </c:pt>
                <c:pt idx="44" formatCode="General">
                  <c:v>1.8</c:v>
                </c:pt>
                <c:pt idx="45" formatCode="General">
                  <c:v>1.8</c:v>
                </c:pt>
                <c:pt idx="46" formatCode="General">
                  <c:v>1.8</c:v>
                </c:pt>
                <c:pt idx="47" formatCode="General">
                  <c:v>1.8</c:v>
                </c:pt>
                <c:pt idx="48" formatCode="General">
                  <c:v>3</c:v>
                </c:pt>
                <c:pt idx="49" formatCode="General">
                  <c:v>3</c:v>
                </c:pt>
                <c:pt idx="50" formatCode="General">
                  <c:v>3</c:v>
                </c:pt>
                <c:pt idx="51" formatCode="General">
                  <c:v>4.7</c:v>
                </c:pt>
                <c:pt idx="52" formatCode="General">
                  <c:v>4.7</c:v>
                </c:pt>
                <c:pt idx="53" formatCode="General">
                  <c:v>4.7</c:v>
                </c:pt>
                <c:pt idx="54" formatCode="General">
                  <c:v>5</c:v>
                </c:pt>
                <c:pt idx="55" formatCode="General">
                  <c:v>5</c:v>
                </c:pt>
                <c:pt idx="56" formatCode="General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114-4FD3-93C1-0D1136939108}"/>
            </c:ext>
          </c:extLst>
        </c:ser>
        <c:gapWidth val="30"/>
        <c:axId val="50273280"/>
        <c:axId val="50271744"/>
      </c:barChart>
      <c:lineChart>
        <c:grouping val="standard"/>
        <c:ser>
          <c:idx val="3"/>
          <c:order val="1"/>
          <c:tx>
            <c:strRef>
              <c:f>'souhrnná výkonnost 2'!$D$5</c:f>
              <c:strCache>
                <c:ptCount val="1"/>
                <c:pt idx="0">
                  <c:v>Důvěra podnikatelů</c:v>
                </c:pt>
              </c:strCache>
            </c:strRef>
          </c:tx>
          <c:spPr>
            <a:ln w="19050">
              <a:solidFill>
                <a:srgbClr val="0071BC"/>
              </a:solidFill>
            </a:ln>
          </c:spPr>
          <c:marker>
            <c:symbol val="none"/>
          </c:marker>
          <c:cat>
            <c:multiLvlStrRef>
              <c:f>'souhrnná výkonnost 2'!$A$18:$B$74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'souhrnná výkonnost 2'!$D$18:$D$74</c:f>
              <c:numCache>
                <c:formatCode>###,###,##0.0</c:formatCode>
                <c:ptCount val="57"/>
                <c:pt idx="0">
                  <c:v>84.6</c:v>
                </c:pt>
                <c:pt idx="1">
                  <c:v>85.2</c:v>
                </c:pt>
                <c:pt idx="2" formatCode="###,###,##0">
                  <c:v>85</c:v>
                </c:pt>
                <c:pt idx="3">
                  <c:v>82.7</c:v>
                </c:pt>
                <c:pt idx="4">
                  <c:v>83.6</c:v>
                </c:pt>
                <c:pt idx="5" formatCode="###,###,##0">
                  <c:v>84</c:v>
                </c:pt>
                <c:pt idx="6" formatCode="###,###,##0">
                  <c:v>84</c:v>
                </c:pt>
                <c:pt idx="7">
                  <c:v>84.8</c:v>
                </c:pt>
                <c:pt idx="8">
                  <c:v>87.5</c:v>
                </c:pt>
                <c:pt idx="9" formatCode="###,###,##0">
                  <c:v>89</c:v>
                </c:pt>
                <c:pt idx="10">
                  <c:v>89.9</c:v>
                </c:pt>
                <c:pt idx="11">
                  <c:v>90.9</c:v>
                </c:pt>
                <c:pt idx="12">
                  <c:v>90.1</c:v>
                </c:pt>
                <c:pt idx="13">
                  <c:v>90.9</c:v>
                </c:pt>
                <c:pt idx="14">
                  <c:v>91.6</c:v>
                </c:pt>
                <c:pt idx="15">
                  <c:v>91.5</c:v>
                </c:pt>
                <c:pt idx="16">
                  <c:v>91.5</c:v>
                </c:pt>
                <c:pt idx="17">
                  <c:v>92.5</c:v>
                </c:pt>
                <c:pt idx="18">
                  <c:v>91.6</c:v>
                </c:pt>
                <c:pt idx="19">
                  <c:v>92.5</c:v>
                </c:pt>
                <c:pt idx="20">
                  <c:v>93.2</c:v>
                </c:pt>
                <c:pt idx="21">
                  <c:v>92.8</c:v>
                </c:pt>
                <c:pt idx="22">
                  <c:v>93.5</c:v>
                </c:pt>
                <c:pt idx="23">
                  <c:v>94.8</c:v>
                </c:pt>
                <c:pt idx="24">
                  <c:v>94.3</c:v>
                </c:pt>
                <c:pt idx="25">
                  <c:v>93.4</c:v>
                </c:pt>
                <c:pt idx="26">
                  <c:v>92.9</c:v>
                </c:pt>
                <c:pt idx="27">
                  <c:v>93.2</c:v>
                </c:pt>
                <c:pt idx="28">
                  <c:v>93.8</c:v>
                </c:pt>
                <c:pt idx="29">
                  <c:v>95.5</c:v>
                </c:pt>
                <c:pt idx="30">
                  <c:v>94.6</c:v>
                </c:pt>
                <c:pt idx="31">
                  <c:v>94.2</c:v>
                </c:pt>
                <c:pt idx="32">
                  <c:v>94.4</c:v>
                </c:pt>
                <c:pt idx="33">
                  <c:v>93.2</c:v>
                </c:pt>
                <c:pt idx="34">
                  <c:v>94.2</c:v>
                </c:pt>
                <c:pt idx="35">
                  <c:v>94.3</c:v>
                </c:pt>
                <c:pt idx="36" formatCode="0.0">
                  <c:v>96</c:v>
                </c:pt>
                <c:pt idx="37" formatCode="0.0">
                  <c:v>95.3</c:v>
                </c:pt>
                <c:pt idx="38" formatCode="0.0">
                  <c:v>95.1</c:v>
                </c:pt>
                <c:pt idx="39" formatCode="0.0">
                  <c:v>93.8</c:v>
                </c:pt>
                <c:pt idx="40" formatCode="0.0">
                  <c:v>94.3</c:v>
                </c:pt>
                <c:pt idx="41" formatCode="0.0">
                  <c:v>93.5</c:v>
                </c:pt>
                <c:pt idx="42" formatCode="0.0">
                  <c:v>94</c:v>
                </c:pt>
                <c:pt idx="43" formatCode="0.0">
                  <c:v>95.3</c:v>
                </c:pt>
                <c:pt idx="44" formatCode="0.0">
                  <c:v>95.2</c:v>
                </c:pt>
                <c:pt idx="45" formatCode="0.0">
                  <c:v>95.2</c:v>
                </c:pt>
                <c:pt idx="46" formatCode="0.0">
                  <c:v>97.5</c:v>
                </c:pt>
                <c:pt idx="47" formatCode="0.0">
                  <c:v>97.1</c:v>
                </c:pt>
                <c:pt idx="48" formatCode="0.0">
                  <c:v>97</c:v>
                </c:pt>
                <c:pt idx="49" formatCode="0.0">
                  <c:v>95.9</c:v>
                </c:pt>
                <c:pt idx="50" formatCode="0.0">
                  <c:v>94.1</c:v>
                </c:pt>
                <c:pt idx="51" formatCode="0.0">
                  <c:v>95.1</c:v>
                </c:pt>
                <c:pt idx="52" formatCode="0.0">
                  <c:v>94.9</c:v>
                </c:pt>
                <c:pt idx="53" formatCode="0.0">
                  <c:v>95.2</c:v>
                </c:pt>
                <c:pt idx="54" formatCode="0.0">
                  <c:v>96.1</c:v>
                </c:pt>
                <c:pt idx="55" formatCode="0.0">
                  <c:v>96.8</c:v>
                </c:pt>
                <c:pt idx="56" formatCode="0.0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114-4FD3-93C1-0D1136939108}"/>
            </c:ext>
          </c:extLst>
        </c:ser>
        <c:ser>
          <c:idx val="2"/>
          <c:order val="2"/>
          <c:tx>
            <c:strRef>
              <c:f>'souhrnná výkonnost 2'!$E$5</c:f>
              <c:strCache>
                <c:ptCount val="1"/>
                <c:pt idx="0">
                  <c:v>Důvěra spotřebitelů</c:v>
                </c:pt>
              </c:strCache>
            </c:strRef>
          </c:tx>
          <c:spPr>
            <a:ln w="19050">
              <a:solidFill>
                <a:srgbClr val="BD1B21"/>
              </a:solidFill>
            </a:ln>
          </c:spPr>
          <c:marker>
            <c:symbol val="none"/>
          </c:marker>
          <c:cat>
            <c:multiLvlStrRef>
              <c:f>'souhrnná výkonnost 2'!$A$18:$B$74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'souhrnná výkonnost 2'!$E$18:$E$74</c:f>
              <c:numCache>
                <c:formatCode>###,###,##0.0</c:formatCode>
                <c:ptCount val="57"/>
                <c:pt idx="0">
                  <c:v>73.8</c:v>
                </c:pt>
                <c:pt idx="1">
                  <c:v>79.5</c:v>
                </c:pt>
                <c:pt idx="2" formatCode="###,###,##0">
                  <c:v>81</c:v>
                </c:pt>
                <c:pt idx="3">
                  <c:v>77.900000000000006</c:v>
                </c:pt>
                <c:pt idx="4" formatCode="###,###,##0">
                  <c:v>82</c:v>
                </c:pt>
                <c:pt idx="5">
                  <c:v>82.8</c:v>
                </c:pt>
                <c:pt idx="6">
                  <c:v>81.3</c:v>
                </c:pt>
                <c:pt idx="7">
                  <c:v>84.9</c:v>
                </c:pt>
                <c:pt idx="8">
                  <c:v>87.7</c:v>
                </c:pt>
                <c:pt idx="9">
                  <c:v>88.5</c:v>
                </c:pt>
                <c:pt idx="10">
                  <c:v>92.8</c:v>
                </c:pt>
                <c:pt idx="11">
                  <c:v>92.6</c:v>
                </c:pt>
                <c:pt idx="12">
                  <c:v>96.9</c:v>
                </c:pt>
                <c:pt idx="13">
                  <c:v>93.1</c:v>
                </c:pt>
                <c:pt idx="14">
                  <c:v>96.7</c:v>
                </c:pt>
                <c:pt idx="15">
                  <c:v>98.4</c:v>
                </c:pt>
                <c:pt idx="16">
                  <c:v>98.2</c:v>
                </c:pt>
                <c:pt idx="17">
                  <c:v>99.4</c:v>
                </c:pt>
                <c:pt idx="18">
                  <c:v>99.9</c:v>
                </c:pt>
                <c:pt idx="19">
                  <c:v>97.9</c:v>
                </c:pt>
                <c:pt idx="20">
                  <c:v>96.3</c:v>
                </c:pt>
                <c:pt idx="21">
                  <c:v>100.2</c:v>
                </c:pt>
                <c:pt idx="22">
                  <c:v>103.6</c:v>
                </c:pt>
                <c:pt idx="23">
                  <c:v>105.1</c:v>
                </c:pt>
                <c:pt idx="24">
                  <c:v>106.7</c:v>
                </c:pt>
                <c:pt idx="25">
                  <c:v>105.7</c:v>
                </c:pt>
                <c:pt idx="26">
                  <c:v>105.7</c:v>
                </c:pt>
                <c:pt idx="27">
                  <c:v>104.3</c:v>
                </c:pt>
                <c:pt idx="28">
                  <c:v>103.6</c:v>
                </c:pt>
                <c:pt idx="29">
                  <c:v>104.3</c:v>
                </c:pt>
                <c:pt idx="30">
                  <c:v>103.6</c:v>
                </c:pt>
                <c:pt idx="31">
                  <c:v>103.6</c:v>
                </c:pt>
                <c:pt idx="32">
                  <c:v>103.3</c:v>
                </c:pt>
                <c:pt idx="33">
                  <c:v>104.8</c:v>
                </c:pt>
                <c:pt idx="34">
                  <c:v>105.3</c:v>
                </c:pt>
                <c:pt idx="35">
                  <c:v>107.4</c:v>
                </c:pt>
                <c:pt idx="36" formatCode="0.0">
                  <c:v>110</c:v>
                </c:pt>
                <c:pt idx="37" formatCode="0.0">
                  <c:v>106.2</c:v>
                </c:pt>
                <c:pt idx="38" formatCode="0.0">
                  <c:v>104.8</c:v>
                </c:pt>
                <c:pt idx="39" formatCode="0.0">
                  <c:v>104.3</c:v>
                </c:pt>
                <c:pt idx="40" formatCode="0.0">
                  <c:v>104.3</c:v>
                </c:pt>
                <c:pt idx="41" formatCode="0.0">
                  <c:v>103.8</c:v>
                </c:pt>
                <c:pt idx="42" formatCode="0.0">
                  <c:v>102.3</c:v>
                </c:pt>
                <c:pt idx="43" formatCode="0.0">
                  <c:v>104.3</c:v>
                </c:pt>
                <c:pt idx="44" formatCode="0.0">
                  <c:v>106.4</c:v>
                </c:pt>
                <c:pt idx="45" formatCode="0.0">
                  <c:v>108.9</c:v>
                </c:pt>
                <c:pt idx="46" formatCode="0.0">
                  <c:v>107.9</c:v>
                </c:pt>
                <c:pt idx="47" formatCode="0.0">
                  <c:v>108.7</c:v>
                </c:pt>
                <c:pt idx="48" formatCode="0.0">
                  <c:v>110</c:v>
                </c:pt>
                <c:pt idx="49" formatCode="0.0">
                  <c:v>108.2</c:v>
                </c:pt>
                <c:pt idx="50" formatCode="0.0">
                  <c:v>108.7</c:v>
                </c:pt>
                <c:pt idx="51" formatCode="0.0">
                  <c:v>108.4</c:v>
                </c:pt>
                <c:pt idx="52" formatCode="0.0">
                  <c:v>108.4</c:v>
                </c:pt>
                <c:pt idx="53" formatCode="0.0">
                  <c:v>106.2</c:v>
                </c:pt>
                <c:pt idx="54" formatCode="0.0">
                  <c:v>105.7</c:v>
                </c:pt>
                <c:pt idx="55" formatCode="0.0">
                  <c:v>107.9</c:v>
                </c:pt>
                <c:pt idx="56" formatCode="0.0">
                  <c:v>109.2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114-4FD3-93C1-0D1136939108}"/>
            </c:ext>
          </c:extLst>
        </c:ser>
        <c:ser>
          <c:idx val="1"/>
          <c:order val="3"/>
          <c:tx>
            <c:strRef>
              <c:f>'souhrnná výkonnost 2'!$F$5</c:f>
              <c:strCache>
                <c:ptCount val="1"/>
                <c:pt idx="0">
                  <c:v>Souhrnný indikátor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none"/>
          </c:marker>
          <c:cat>
            <c:multiLvlStrRef>
              <c:f>'souhrnná výkonnost 2'!$A$18:$B$74</c:f>
              <c:multiLvlStrCache>
                <c:ptCount val="5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  <c:pt idx="20">
                    <c:v>9</c:v>
                  </c:pt>
                  <c:pt idx="21">
                    <c:v>10</c:v>
                  </c:pt>
                  <c:pt idx="22">
                    <c:v>11</c:v>
                  </c:pt>
                  <c:pt idx="23">
                    <c:v>12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  <c:pt idx="28">
                    <c:v>5</c:v>
                  </c:pt>
                  <c:pt idx="29">
                    <c:v>6</c:v>
                  </c:pt>
                  <c:pt idx="30">
                    <c:v>7</c:v>
                  </c:pt>
                  <c:pt idx="31">
                    <c:v>8</c:v>
                  </c:pt>
                  <c:pt idx="32">
                    <c:v>9</c:v>
                  </c:pt>
                  <c:pt idx="33">
                    <c:v>10</c:v>
                  </c:pt>
                  <c:pt idx="34">
                    <c:v>11</c:v>
                  </c:pt>
                  <c:pt idx="35">
                    <c:v>12</c:v>
                  </c:pt>
                  <c:pt idx="36">
                    <c:v>1</c:v>
                  </c:pt>
                  <c:pt idx="37">
                    <c:v>2</c:v>
                  </c:pt>
                  <c:pt idx="38">
                    <c:v>3</c:v>
                  </c:pt>
                  <c:pt idx="39">
                    <c:v>4</c:v>
                  </c:pt>
                  <c:pt idx="40">
                    <c:v>5</c:v>
                  </c:pt>
                  <c:pt idx="41">
                    <c:v>6</c:v>
                  </c:pt>
                  <c:pt idx="42">
                    <c:v>7</c:v>
                  </c:pt>
                  <c:pt idx="43">
                    <c:v>8</c:v>
                  </c:pt>
                  <c:pt idx="44">
                    <c:v>9</c:v>
                  </c:pt>
                  <c:pt idx="45">
                    <c:v>10</c:v>
                  </c:pt>
                  <c:pt idx="46">
                    <c:v>11</c:v>
                  </c:pt>
                  <c:pt idx="47">
                    <c:v>12</c:v>
                  </c:pt>
                  <c:pt idx="48">
                    <c:v>1</c:v>
                  </c:pt>
                  <c:pt idx="49">
                    <c:v>2</c:v>
                  </c:pt>
                  <c:pt idx="50">
                    <c:v>3</c:v>
                  </c:pt>
                  <c:pt idx="51">
                    <c:v>4</c:v>
                  </c:pt>
                  <c:pt idx="52">
                    <c:v>5</c:v>
                  </c:pt>
                  <c:pt idx="53">
                    <c:v>6</c:v>
                  </c:pt>
                  <c:pt idx="54">
                    <c:v>7</c:v>
                  </c:pt>
                  <c:pt idx="55">
                    <c:v>8</c:v>
                  </c:pt>
                  <c:pt idx="56">
                    <c:v>9</c:v>
                  </c:pt>
                </c:lvl>
                <c:lvl>
                  <c:pt idx="0">
                    <c:v>2013</c:v>
                  </c:pt>
                  <c:pt idx="12">
                    <c:v>2014</c:v>
                  </c:pt>
                  <c:pt idx="24">
                    <c:v>2015</c:v>
                  </c:pt>
                  <c:pt idx="36">
                    <c:v>2016</c:v>
                  </c:pt>
                  <c:pt idx="48">
                    <c:v>2017</c:v>
                  </c:pt>
                </c:lvl>
              </c:multiLvlStrCache>
            </c:multiLvlStrRef>
          </c:cat>
          <c:val>
            <c:numRef>
              <c:f>'souhrnná výkonnost 2'!$F$18:$F$74</c:f>
              <c:numCache>
                <c:formatCode>###,###,##0.0</c:formatCode>
                <c:ptCount val="57"/>
                <c:pt idx="0">
                  <c:v>82.8</c:v>
                </c:pt>
                <c:pt idx="1">
                  <c:v>84.2</c:v>
                </c:pt>
                <c:pt idx="2">
                  <c:v>84.4</c:v>
                </c:pt>
                <c:pt idx="3">
                  <c:v>81.900000000000006</c:v>
                </c:pt>
                <c:pt idx="4">
                  <c:v>83.3</c:v>
                </c:pt>
                <c:pt idx="5">
                  <c:v>83.8</c:v>
                </c:pt>
                <c:pt idx="6">
                  <c:v>83.6</c:v>
                </c:pt>
                <c:pt idx="7">
                  <c:v>84.8</c:v>
                </c:pt>
                <c:pt idx="8">
                  <c:v>87.5</c:v>
                </c:pt>
                <c:pt idx="9">
                  <c:v>88.9</c:v>
                </c:pt>
                <c:pt idx="10">
                  <c:v>90.4</c:v>
                </c:pt>
                <c:pt idx="11">
                  <c:v>91.2</c:v>
                </c:pt>
                <c:pt idx="12">
                  <c:v>91.3</c:v>
                </c:pt>
                <c:pt idx="13">
                  <c:v>91.2</c:v>
                </c:pt>
                <c:pt idx="14">
                  <c:v>92.4</c:v>
                </c:pt>
                <c:pt idx="15">
                  <c:v>92.6</c:v>
                </c:pt>
                <c:pt idx="16">
                  <c:v>92.6</c:v>
                </c:pt>
                <c:pt idx="17">
                  <c:v>93.6</c:v>
                </c:pt>
                <c:pt idx="18" formatCode="###,###,##0">
                  <c:v>93</c:v>
                </c:pt>
                <c:pt idx="19">
                  <c:v>93.4</c:v>
                </c:pt>
                <c:pt idx="20">
                  <c:v>93.7</c:v>
                </c:pt>
                <c:pt idx="21">
                  <c:v>94.1</c:v>
                </c:pt>
                <c:pt idx="22">
                  <c:v>95.2</c:v>
                </c:pt>
                <c:pt idx="23">
                  <c:v>96.5</c:v>
                </c:pt>
                <c:pt idx="24">
                  <c:v>96.4</c:v>
                </c:pt>
                <c:pt idx="25">
                  <c:v>95.5</c:v>
                </c:pt>
                <c:pt idx="26">
                  <c:v>95.1</c:v>
                </c:pt>
                <c:pt idx="27">
                  <c:v>95.1</c:v>
                </c:pt>
                <c:pt idx="28">
                  <c:v>95.5</c:v>
                </c:pt>
                <c:pt idx="29" formatCode="###,###,##0">
                  <c:v>97</c:v>
                </c:pt>
                <c:pt idx="30">
                  <c:v>96.1</c:v>
                </c:pt>
                <c:pt idx="31">
                  <c:v>95.7</c:v>
                </c:pt>
                <c:pt idx="32">
                  <c:v>95.9</c:v>
                </c:pt>
                <c:pt idx="33">
                  <c:v>95.1</c:v>
                </c:pt>
                <c:pt idx="34" formatCode="###,###,##0">
                  <c:v>96</c:v>
                </c:pt>
                <c:pt idx="35">
                  <c:v>96.5</c:v>
                </c:pt>
                <c:pt idx="36" formatCode="0.0">
                  <c:v>98.4</c:v>
                </c:pt>
                <c:pt idx="37" formatCode="0.0">
                  <c:v>97.1</c:v>
                </c:pt>
                <c:pt idx="38" formatCode="0.0">
                  <c:v>96.7</c:v>
                </c:pt>
                <c:pt idx="39" formatCode="0.0">
                  <c:v>95.6</c:v>
                </c:pt>
                <c:pt idx="40" formatCode="0.0">
                  <c:v>96</c:v>
                </c:pt>
                <c:pt idx="41" formatCode="0.0">
                  <c:v>95.3</c:v>
                </c:pt>
                <c:pt idx="42" formatCode="0.0">
                  <c:v>95.4</c:v>
                </c:pt>
                <c:pt idx="43" formatCode="0.0">
                  <c:v>96.8</c:v>
                </c:pt>
                <c:pt idx="44" formatCode="0.0">
                  <c:v>97.1</c:v>
                </c:pt>
                <c:pt idx="45" formatCode="0.0">
                  <c:v>97.5</c:v>
                </c:pt>
                <c:pt idx="46" formatCode="0.0">
                  <c:v>99.3</c:v>
                </c:pt>
                <c:pt idx="47" formatCode="0.0">
                  <c:v>99.1</c:v>
                </c:pt>
                <c:pt idx="48" formatCode="0.0">
                  <c:v>99.2</c:v>
                </c:pt>
                <c:pt idx="49" formatCode="0.0">
                  <c:v>98</c:v>
                </c:pt>
                <c:pt idx="50" formatCode="0.0">
                  <c:v>96.6</c:v>
                </c:pt>
                <c:pt idx="51" formatCode="0.0">
                  <c:v>97.4</c:v>
                </c:pt>
                <c:pt idx="52" formatCode="0.0">
                  <c:v>97.2</c:v>
                </c:pt>
                <c:pt idx="53" formatCode="0.0">
                  <c:v>97.1</c:v>
                </c:pt>
                <c:pt idx="54" formatCode="0.0">
                  <c:v>97.7</c:v>
                </c:pt>
                <c:pt idx="55" formatCode="0.0">
                  <c:v>98.7</c:v>
                </c:pt>
                <c:pt idx="56" formatCode="0.0">
                  <c:v>99.1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114-4FD3-93C1-0D1136939108}"/>
            </c:ext>
          </c:extLst>
        </c:ser>
        <c:marker val="1"/>
        <c:axId val="50235648"/>
        <c:axId val="50270208"/>
      </c:lineChart>
      <c:catAx>
        <c:axId val="50235648"/>
        <c:scaling>
          <c:orientation val="minMax"/>
        </c:scaling>
        <c:axPos val="b"/>
        <c:numFmt formatCode="General" sourceLinked="0"/>
        <c:tickLblPos val="low"/>
        <c:spPr>
          <a:ln>
            <a:solidFill>
              <a:schemeClr val="tx1"/>
            </a:solidFill>
          </a:ln>
        </c:spPr>
        <c:crossAx val="50270208"/>
        <c:crossesAt val="100"/>
        <c:auto val="1"/>
        <c:lblAlgn val="ctr"/>
        <c:lblOffset val="100"/>
      </c:catAx>
      <c:valAx>
        <c:axId val="50270208"/>
        <c:scaling>
          <c:orientation val="minMax"/>
          <c:max val="130"/>
          <c:min val="7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tickLblPos val="nextTo"/>
        <c:spPr>
          <a:ln>
            <a:solidFill>
              <a:schemeClr val="tx1"/>
            </a:solidFill>
          </a:ln>
        </c:spPr>
        <c:crossAx val="50235648"/>
        <c:crosses val="autoZero"/>
        <c:crossBetween val="between"/>
        <c:majorUnit val="5"/>
      </c:valAx>
      <c:valAx>
        <c:axId val="50271744"/>
        <c:scaling>
          <c:orientation val="minMax"/>
          <c:min val="-6"/>
        </c:scaling>
        <c:axPos val="r"/>
        <c:numFmt formatCode="0" sourceLinked="0"/>
        <c:tickLblPos val="nextTo"/>
        <c:spPr>
          <a:ln>
            <a:solidFill>
              <a:schemeClr val="tx1"/>
            </a:solidFill>
          </a:ln>
        </c:spPr>
        <c:crossAx val="50273280"/>
        <c:crosses val="max"/>
        <c:crossBetween val="between"/>
        <c:majorUnit val="1"/>
      </c:valAx>
      <c:catAx>
        <c:axId val="50273280"/>
        <c:scaling>
          <c:orientation val="minMax"/>
        </c:scaling>
        <c:delete val="1"/>
        <c:axPos val="b"/>
        <c:tickLblPos val="none"/>
        <c:crossAx val="50271744"/>
        <c:crossesAt val="0"/>
        <c:auto val="1"/>
        <c:lblAlgn val="ctr"/>
        <c:lblOffset val="10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2295583422442583E-2"/>
          <c:y val="0.90228835978835276"/>
          <c:w val="0.88075331324325201"/>
          <c:h val="8.2645784081954179E-2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4.6948352704928246E-2"/>
          <c:y val="2.8458510079622041E-2"/>
          <c:w val="0.93956464282120356"/>
          <c:h val="0.6497469886299676"/>
        </c:manualLayout>
      </c:layout>
      <c:barChart>
        <c:barDir val="col"/>
        <c:grouping val="stacked"/>
        <c:ser>
          <c:idx val="5"/>
          <c:order val="1"/>
          <c:tx>
            <c:strRef>
              <c:f>'souhrnná výkonnost 3'!$D$5</c:f>
              <c:strCache>
                <c:ptCount val="1"/>
                <c:pt idx="0">
                  <c:v>Výdaje na konečnou spotřebu domácností (vč. nezisk. inst.)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val>
            <c:numRef>
              <c:f>'souhrnná výkonnost 3'!$D$10:$D$28</c:f>
              <c:numCache>
                <c:formatCode>#,##0.0</c:formatCode>
                <c:ptCount val="19"/>
                <c:pt idx="0">
                  <c:v>0.40597446298277129</c:v>
                </c:pt>
                <c:pt idx="1">
                  <c:v>0.39628462481417892</c:v>
                </c:pt>
                <c:pt idx="2">
                  <c:v>0.10072438430113206</c:v>
                </c:pt>
                <c:pt idx="3">
                  <c:v>-0.14406158457489376</c:v>
                </c:pt>
                <c:pt idx="4">
                  <c:v>-0.34191248336468083</c:v>
                </c:pt>
                <c:pt idx="5">
                  <c:v>9.7003151816959683E-3</c:v>
                </c:pt>
                <c:pt idx="6">
                  <c:v>0.64252536968968565</c:v>
                </c:pt>
                <c:pt idx="7">
                  <c:v>1.1251665920999518</c:v>
                </c:pt>
                <c:pt idx="8">
                  <c:v>0.95996723394403682</c:v>
                </c:pt>
                <c:pt idx="9">
                  <c:v>0.88418646707185988</c:v>
                </c:pt>
                <c:pt idx="10">
                  <c:v>0.95576447741814086</c:v>
                </c:pt>
                <c:pt idx="11">
                  <c:v>1.1866830908443908</c:v>
                </c:pt>
                <c:pt idx="12">
                  <c:v>1.122020889517066</c:v>
                </c:pt>
                <c:pt idx="13">
                  <c:v>1.2236602908141418</c:v>
                </c:pt>
                <c:pt idx="14">
                  <c:v>1.3569551772034671</c:v>
                </c:pt>
                <c:pt idx="15">
                  <c:v>1.1073481536560261</c:v>
                </c:pt>
                <c:pt idx="16">
                  <c:v>1.2464591170348716</c:v>
                </c:pt>
                <c:pt idx="17">
                  <c:v>1.5265698564589758</c:v>
                </c:pt>
                <c:pt idx="18">
                  <c:v>1.490171965026496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30-445C-BCC3-CD3A4FC8F84A}"/>
            </c:ext>
          </c:extLst>
        </c:ser>
        <c:ser>
          <c:idx val="4"/>
          <c:order val="2"/>
          <c:tx>
            <c:strRef>
              <c:f>'souhrnná výkonnost 3'!$E$5</c:f>
              <c:strCache>
                <c:ptCount val="1"/>
                <c:pt idx="0">
                  <c:v>Výdaje na konečnou spotřebu vládních institucí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val>
            <c:numRef>
              <c:f>'souhrnná výkonnost 3'!$E$10:$E$28</c:f>
              <c:numCache>
                <c:formatCode>#,##0.0</c:formatCode>
                <c:ptCount val="19"/>
                <c:pt idx="0">
                  <c:v>0.29182349651824302</c:v>
                </c:pt>
                <c:pt idx="1">
                  <c:v>0.3988382743668541</c:v>
                </c:pt>
                <c:pt idx="2">
                  <c:v>0.61835595894915063</c:v>
                </c:pt>
                <c:pt idx="3">
                  <c:v>0.49997414143888541</c:v>
                </c:pt>
                <c:pt idx="4">
                  <c:v>0.24721971722961228</c:v>
                </c:pt>
                <c:pt idx="5">
                  <c:v>0.35050457281023251</c:v>
                </c:pt>
                <c:pt idx="6">
                  <c:v>8.4527068204703473E-2</c:v>
                </c:pt>
                <c:pt idx="7">
                  <c:v>0.28017686102842976</c:v>
                </c:pt>
                <c:pt idx="8">
                  <c:v>0.38356988684026977</c:v>
                </c:pt>
                <c:pt idx="9">
                  <c:v>0.38665907102931762</c:v>
                </c:pt>
                <c:pt idx="10">
                  <c:v>0.60627256929248252</c:v>
                </c:pt>
                <c:pt idx="11">
                  <c:v>0.5639728704360647</c:v>
                </c:pt>
                <c:pt idx="12">
                  <c:v>0.33602278185610729</c:v>
                </c:pt>
                <c:pt idx="13">
                  <c:v>0.41149254163913818</c:v>
                </c:pt>
                <c:pt idx="14">
                  <c:v>0.34012918105702838</c:v>
                </c:pt>
                <c:pt idx="15">
                  <c:v>0.38626077717024643</c:v>
                </c:pt>
                <c:pt idx="16">
                  <c:v>0.46184951166605931</c:v>
                </c:pt>
                <c:pt idx="17">
                  <c:v>0.29403498961681468</c:v>
                </c:pt>
                <c:pt idx="18">
                  <c:v>0.19804103404117268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F30-445C-BCC3-CD3A4FC8F84A}"/>
            </c:ext>
          </c:extLst>
        </c:ser>
        <c:ser>
          <c:idx val="3"/>
          <c:order val="3"/>
          <c:tx>
            <c:strRef>
              <c:f>'souhrnná výkonnost 3'!$J$5</c:f>
              <c:strCache>
                <c:ptCount val="1"/>
                <c:pt idx="0">
                  <c:v>Tvorba hrubého kapitálu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val>
            <c:numRef>
              <c:f>'souhrnná výkonnost 3'!$J$10:$J$28</c:f>
              <c:numCache>
                <c:formatCode>#,##0.0</c:formatCode>
                <c:ptCount val="19"/>
                <c:pt idx="0">
                  <c:v>-1.3565537417116815</c:v>
                </c:pt>
                <c:pt idx="1">
                  <c:v>-2.8563879245256727</c:v>
                </c:pt>
                <c:pt idx="2">
                  <c:v>-8.4138539479111193E-2</c:v>
                </c:pt>
                <c:pt idx="3">
                  <c:v>0.37621790098269675</c:v>
                </c:pt>
                <c:pt idx="4">
                  <c:v>-6.421771790176492E-2</c:v>
                </c:pt>
                <c:pt idx="5">
                  <c:v>1.7432034404711898</c:v>
                </c:pt>
                <c:pt idx="6">
                  <c:v>1.1897955210010318</c:v>
                </c:pt>
                <c:pt idx="7">
                  <c:v>0.47141627966226968</c:v>
                </c:pt>
                <c:pt idx="8">
                  <c:v>2.995551102866798</c:v>
                </c:pt>
                <c:pt idx="9">
                  <c:v>3.9932674109015083</c:v>
                </c:pt>
                <c:pt idx="10">
                  <c:v>2.7507831059265202</c:v>
                </c:pt>
                <c:pt idx="11">
                  <c:v>1.0081209599196153</c:v>
                </c:pt>
                <c:pt idx="12">
                  <c:v>1.0273007963049254</c:v>
                </c:pt>
                <c:pt idx="13">
                  <c:v>-0.96946155529155886</c:v>
                </c:pt>
                <c:pt idx="14">
                  <c:v>-0.51354041218170265</c:v>
                </c:pt>
                <c:pt idx="15">
                  <c:v>-0.21949598559679137</c:v>
                </c:pt>
                <c:pt idx="16">
                  <c:v>-0.94975804772474504</c:v>
                </c:pt>
                <c:pt idx="17">
                  <c:v>0.59855978044147207</c:v>
                </c:pt>
                <c:pt idx="18">
                  <c:v>1.7711362346229598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F30-445C-BCC3-CD3A4FC8F84A}"/>
            </c:ext>
          </c:extLst>
        </c:ser>
        <c:ser>
          <c:idx val="1"/>
          <c:order val="4"/>
          <c:tx>
            <c:strRef>
              <c:f>'souhrnná výkonnost 3'!$H$5</c:f>
              <c:strCache>
                <c:ptCount val="1"/>
                <c:pt idx="0">
                  <c:v>Bilance zahraničního obchodu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val>
            <c:numRef>
              <c:f>'souhrnná výkonnost 3'!$H$10:$H$28</c:f>
              <c:numCache>
                <c:formatCode>#,##0.0</c:formatCode>
                <c:ptCount val="19"/>
                <c:pt idx="0">
                  <c:v>-1.121253986306687</c:v>
                </c:pt>
                <c:pt idx="1">
                  <c:v>0.92540979141000812</c:v>
                </c:pt>
                <c:pt idx="2">
                  <c:v>-1.0354498395259251</c:v>
                </c:pt>
                <c:pt idx="3">
                  <c:v>0.55721289260918416</c:v>
                </c:pt>
                <c:pt idx="4">
                  <c:v>1.8104123228453401</c:v>
                </c:pt>
                <c:pt idx="5">
                  <c:v>0.25472480422095473</c:v>
                </c:pt>
                <c:pt idx="6">
                  <c:v>1.4702269856408019</c:v>
                </c:pt>
                <c:pt idx="7">
                  <c:v>1.4755441754070078</c:v>
                </c:pt>
                <c:pt idx="8">
                  <c:v>0.87270670480565737</c:v>
                </c:pt>
                <c:pt idx="9">
                  <c:v>0.56954370937031307</c:v>
                </c:pt>
                <c:pt idx="10">
                  <c:v>1.4131260319789174</c:v>
                </c:pt>
                <c:pt idx="11">
                  <c:v>2.1455063702622859</c:v>
                </c:pt>
                <c:pt idx="12">
                  <c:v>1.0557410423051168</c:v>
                </c:pt>
                <c:pt idx="13">
                  <c:v>2.1496812176394129</c:v>
                </c:pt>
                <c:pt idx="14">
                  <c:v>0.65095065525561968</c:v>
                </c:pt>
                <c:pt idx="15">
                  <c:v>0.49407696770870413</c:v>
                </c:pt>
                <c:pt idx="16">
                  <c:v>2.1936810298638867</c:v>
                </c:pt>
                <c:pt idx="17">
                  <c:v>2.2294615070074859</c:v>
                </c:pt>
                <c:pt idx="18">
                  <c:v>1.4733453049564904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F30-445C-BCC3-CD3A4FC8F84A}"/>
            </c:ext>
          </c:extLst>
        </c:ser>
        <c:gapWidth val="40"/>
        <c:overlap val="100"/>
        <c:axId val="50339840"/>
        <c:axId val="50341376"/>
      </c:barChart>
      <c:lineChart>
        <c:grouping val="standard"/>
        <c:ser>
          <c:idx val="0"/>
          <c:order val="0"/>
          <c:tx>
            <c:strRef>
              <c:f>'souhrnná výkonnost 3'!$C$5</c:f>
              <c:strCache>
                <c:ptCount val="1"/>
                <c:pt idx="0">
                  <c:v>HDP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3'!$A$10:$B$28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'souhrnná výkonnost 3'!$C$10:$C$28</c:f>
              <c:numCache>
                <c:formatCode>#,##0.0</c:formatCode>
                <c:ptCount val="19"/>
                <c:pt idx="0">
                  <c:v>-1.7511683134985219</c:v>
                </c:pt>
                <c:pt idx="1">
                  <c:v>-1.122551159960864</c:v>
                </c:pt>
                <c:pt idx="2">
                  <c:v>-0.3518733567189688</c:v>
                </c:pt>
                <c:pt idx="3">
                  <c:v>1.3064560933108733</c:v>
                </c:pt>
                <c:pt idx="4">
                  <c:v>1.6429317745401271</c:v>
                </c:pt>
                <c:pt idx="5">
                  <c:v>2.3799514502212777</c:v>
                </c:pt>
                <c:pt idx="6">
                  <c:v>3.4229941989101702</c:v>
                </c:pt>
                <c:pt idx="7">
                  <c:v>3.3996850847558187</c:v>
                </c:pt>
                <c:pt idx="8">
                  <c:v>5.1924491451289025</c:v>
                </c:pt>
                <c:pt idx="9">
                  <c:v>5.7975987955825934</c:v>
                </c:pt>
                <c:pt idx="10">
                  <c:v>5.6880052521313855</c:v>
                </c:pt>
                <c:pt idx="11">
                  <c:v>4.880725514351437</c:v>
                </c:pt>
                <c:pt idx="12">
                  <c:v>3.5408169174491047</c:v>
                </c:pt>
                <c:pt idx="13">
                  <c:v>2.8477395147454412</c:v>
                </c:pt>
                <c:pt idx="14">
                  <c:v>1.843939906776336</c:v>
                </c:pt>
                <c:pt idx="15">
                  <c:v>1.765441823480645</c:v>
                </c:pt>
                <c:pt idx="16">
                  <c:v>2.9922080055663027</c:v>
                </c:pt>
                <c:pt idx="17">
                  <c:v>4.6730980983404322</c:v>
                </c:pt>
                <c:pt idx="18">
                  <c:v>4.9653619148435988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F30-445C-BCC3-CD3A4FC8F84A}"/>
            </c:ext>
          </c:extLst>
        </c:ser>
        <c:marker val="1"/>
        <c:axId val="50339840"/>
        <c:axId val="50341376"/>
      </c:lineChart>
      <c:catAx>
        <c:axId val="50339840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50341376"/>
        <c:crosses val="autoZero"/>
        <c:auto val="1"/>
        <c:lblAlgn val="ctr"/>
        <c:lblOffset val="100"/>
      </c:catAx>
      <c:valAx>
        <c:axId val="50341376"/>
        <c:scaling>
          <c:orientation val="minMax"/>
          <c:max val="6"/>
          <c:min val="-4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#,##0" sourceLinked="0"/>
        <c:tickLblPos val="nextTo"/>
        <c:spPr>
          <a:ln>
            <a:solidFill>
              <a:schemeClr val="tx1"/>
            </a:solidFill>
          </a:ln>
        </c:spPr>
        <c:crossAx val="50339840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4891184424094004E-2"/>
          <c:y val="0.79301446583361457"/>
          <c:w val="0.94049666651103803"/>
          <c:h val="0.19014325115388939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4.4404035346808993E-2"/>
          <c:y val="3.7154479717354444E-2"/>
          <c:w val="0.93674937195830565"/>
          <c:h val="0.63445260610154264"/>
        </c:manualLayout>
      </c:layout>
      <c:barChart>
        <c:barDir val="col"/>
        <c:grouping val="stacked"/>
        <c:ser>
          <c:idx val="4"/>
          <c:order val="0"/>
          <c:tx>
            <c:strRef>
              <c:f>'souhrnná výkonnost 4'!$C$5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val>
            <c:numRef>
              <c:f>'souhrnná výkonnost 4'!$C$10:$C$28</c:f>
              <c:numCache>
                <c:formatCode>#,##0.0</c:formatCode>
                <c:ptCount val="19"/>
                <c:pt idx="0">
                  <c:v>-4.4699648816173963E-2</c:v>
                </c:pt>
                <c:pt idx="1">
                  <c:v>-0.11466415714156022</c:v>
                </c:pt>
                <c:pt idx="2">
                  <c:v>-8.9941431175314654E-2</c:v>
                </c:pt>
                <c:pt idx="3">
                  <c:v>-6.1245633202245504E-3</c:v>
                </c:pt>
                <c:pt idx="4">
                  <c:v>9.4408798336974964E-2</c:v>
                </c:pt>
                <c:pt idx="5">
                  <c:v>0.23066751983404632</c:v>
                </c:pt>
                <c:pt idx="6">
                  <c:v>0.28225200568902681</c:v>
                </c:pt>
                <c:pt idx="7">
                  <c:v>0.25875789622783918</c:v>
                </c:pt>
                <c:pt idx="8">
                  <c:v>0.23202547241325647</c:v>
                </c:pt>
                <c:pt idx="9">
                  <c:v>0.1519285796170429</c:v>
                </c:pt>
                <c:pt idx="10">
                  <c:v>0.12094967534777865</c:v>
                </c:pt>
                <c:pt idx="11">
                  <c:v>0.10040143726492615</c:v>
                </c:pt>
                <c:pt idx="12">
                  <c:v>0.13957559104473763</c:v>
                </c:pt>
                <c:pt idx="13">
                  <c:v>0.21132726920557363</c:v>
                </c:pt>
                <c:pt idx="14">
                  <c:v>0.25387931030712041</c:v>
                </c:pt>
                <c:pt idx="15">
                  <c:v>0.31886734542080597</c:v>
                </c:pt>
                <c:pt idx="16">
                  <c:v>0.22179964495936691</c:v>
                </c:pt>
                <c:pt idx="17">
                  <c:v>0.15275476632298471</c:v>
                </c:pt>
                <c:pt idx="18">
                  <c:v>7.1094617194090423E-2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38-457E-A7CA-15E3FD4D4D3E}"/>
            </c:ext>
          </c:extLst>
        </c:ser>
        <c:ser>
          <c:idx val="3"/>
          <c:order val="1"/>
          <c:tx>
            <c:strRef>
              <c:f>'souhrnná výkonnost 4'!$D$5</c:f>
              <c:strCache>
                <c:ptCount val="1"/>
                <c:pt idx="0">
                  <c:v>Zpracovatelský průmysl (CZ-NACE C)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val>
            <c:numRef>
              <c:f>'souhrnná výkonnost 4'!$D$10:$D$28</c:f>
              <c:numCache>
                <c:formatCode>#,##0.0</c:formatCode>
                <c:ptCount val="19"/>
                <c:pt idx="0">
                  <c:v>-0.80190174195229758</c:v>
                </c:pt>
                <c:pt idx="1">
                  <c:v>-0.63316913532183261</c:v>
                </c:pt>
                <c:pt idx="2">
                  <c:v>-0.65799971762020892</c:v>
                </c:pt>
                <c:pt idx="3">
                  <c:v>-0.58767125058761094</c:v>
                </c:pt>
                <c:pt idx="4">
                  <c:v>0.42669631687426451</c:v>
                </c:pt>
                <c:pt idx="5">
                  <c:v>1.1788143597117224</c:v>
                </c:pt>
                <c:pt idx="6">
                  <c:v>1.9647162979641026</c:v>
                </c:pt>
                <c:pt idx="7">
                  <c:v>2.5539363152168306</c:v>
                </c:pt>
                <c:pt idx="8">
                  <c:v>2.1478703755568072</c:v>
                </c:pt>
                <c:pt idx="9">
                  <c:v>1.6166800300274804</c:v>
                </c:pt>
                <c:pt idx="10">
                  <c:v>1.4270095405518384</c:v>
                </c:pt>
                <c:pt idx="11">
                  <c:v>0.65863363852356582</c:v>
                </c:pt>
                <c:pt idx="12">
                  <c:v>1.1730324306135331</c:v>
                </c:pt>
                <c:pt idx="13">
                  <c:v>1.8409531560333301</c:v>
                </c:pt>
                <c:pt idx="14">
                  <c:v>1.8950378832938781</c:v>
                </c:pt>
                <c:pt idx="15">
                  <c:v>2.2496949915383992</c:v>
                </c:pt>
                <c:pt idx="16">
                  <c:v>1.9001481433077783</c:v>
                </c:pt>
                <c:pt idx="17">
                  <c:v>2.1983353111732749</c:v>
                </c:pt>
                <c:pt idx="18">
                  <c:v>2.1449167825475417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38-457E-A7CA-15E3FD4D4D3E}"/>
            </c:ext>
          </c:extLst>
        </c:ser>
        <c:ser>
          <c:idx val="2"/>
          <c:order val="2"/>
          <c:tx>
            <c:strRef>
              <c:f>'souhrnná výkonnost 4'!$E$5</c:f>
              <c:strCache>
                <c:ptCount val="1"/>
                <c:pt idx="0">
                  <c:v>Ostatní průmyslová odvětví (CZ-NACE B,D,E)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val>
            <c:numRef>
              <c:f>'souhrnná výkonnost 4'!$E$10:$E$28</c:f>
              <c:numCache>
                <c:formatCode>0.0</c:formatCode>
                <c:ptCount val="19"/>
                <c:pt idx="0">
                  <c:v>-0.99676396653493249</c:v>
                </c:pt>
                <c:pt idx="1">
                  <c:v>-0.99862189727618556</c:v>
                </c:pt>
                <c:pt idx="2">
                  <c:v>-0.64102712488527125</c:v>
                </c:pt>
                <c:pt idx="3">
                  <c:v>-0.2376831237571034</c:v>
                </c:pt>
                <c:pt idx="4">
                  <c:v>0.34101321981670818</c:v>
                </c:pt>
                <c:pt idx="5">
                  <c:v>0.10905314809036515</c:v>
                </c:pt>
                <c:pt idx="6">
                  <c:v>-0.12299518913780627</c:v>
                </c:pt>
                <c:pt idx="7">
                  <c:v>-0.11606163720933306</c:v>
                </c:pt>
                <c:pt idx="8">
                  <c:v>-0.13641374514700463</c:v>
                </c:pt>
                <c:pt idx="9">
                  <c:v>2.6994603690324401E-2</c:v>
                </c:pt>
                <c:pt idx="10">
                  <c:v>-2.4696121131873472E-2</c:v>
                </c:pt>
                <c:pt idx="11">
                  <c:v>-8.1123422474820725E-2</c:v>
                </c:pt>
                <c:pt idx="12">
                  <c:v>-0.25523928298471665</c:v>
                </c:pt>
                <c:pt idx="13">
                  <c:v>-0.25608606894098512</c:v>
                </c:pt>
                <c:pt idx="14">
                  <c:v>-0.25707511147730044</c:v>
                </c:pt>
                <c:pt idx="15">
                  <c:v>-0.26726875277732276</c:v>
                </c:pt>
                <c:pt idx="16">
                  <c:v>8.3792902420034066E-2</c:v>
                </c:pt>
                <c:pt idx="17">
                  <c:v>-5.8350930799313992E-2</c:v>
                </c:pt>
                <c:pt idx="18" formatCode="General">
                  <c:v>0.34057476972483147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438-457E-A7CA-15E3FD4D4D3E}"/>
            </c:ext>
          </c:extLst>
        </c:ser>
        <c:ser>
          <c:idx val="1"/>
          <c:order val="3"/>
          <c:tx>
            <c:strRef>
              <c:f>'souhrnná výkonnost 4'!$F$5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val>
            <c:numRef>
              <c:f>'souhrnná výkonnost 4'!$F$10:$F$28</c:f>
              <c:numCache>
                <c:formatCode>#,##0.0</c:formatCode>
                <c:ptCount val="19"/>
                <c:pt idx="0">
                  <c:v>-9.7833498488409248E-2</c:v>
                </c:pt>
                <c:pt idx="1">
                  <c:v>7.0101451917918584E-2</c:v>
                </c:pt>
                <c:pt idx="2">
                  <c:v>0.14066955556231231</c:v>
                </c:pt>
                <c:pt idx="3">
                  <c:v>0.16590826997768471</c:v>
                </c:pt>
                <c:pt idx="4">
                  <c:v>0.20380087901239571</c:v>
                </c:pt>
                <c:pt idx="5">
                  <c:v>7.707944200185142E-2</c:v>
                </c:pt>
                <c:pt idx="6">
                  <c:v>3.6125144783951582E-2</c:v>
                </c:pt>
                <c:pt idx="7">
                  <c:v>0.13861192388176091</c:v>
                </c:pt>
                <c:pt idx="8">
                  <c:v>0.1004407238403428</c:v>
                </c:pt>
                <c:pt idx="9">
                  <c:v>0.26610784775566931</c:v>
                </c:pt>
                <c:pt idx="10">
                  <c:v>0.35569158305836607</c:v>
                </c:pt>
                <c:pt idx="11">
                  <c:v>0.16508861905557687</c:v>
                </c:pt>
                <c:pt idx="12">
                  <c:v>6.0176601627870432E-2</c:v>
                </c:pt>
                <c:pt idx="13">
                  <c:v>-0.13874288331323195</c:v>
                </c:pt>
                <c:pt idx="14">
                  <c:v>-0.25240045091449731</c:v>
                </c:pt>
                <c:pt idx="15">
                  <c:v>-0.22682214751648944</c:v>
                </c:pt>
                <c:pt idx="16">
                  <c:v>-4.8890071848386146E-2</c:v>
                </c:pt>
                <c:pt idx="17">
                  <c:v>0.16583614461812241</c:v>
                </c:pt>
                <c:pt idx="18">
                  <c:v>9.788393910025725E-2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38-457E-A7CA-15E3FD4D4D3E}"/>
            </c:ext>
          </c:extLst>
        </c:ser>
        <c:ser>
          <c:idx val="0"/>
          <c:order val="4"/>
          <c:tx>
            <c:strRef>
              <c:f>'souhrnná výkonnost 4'!$G$5</c:f>
              <c:strCache>
                <c:ptCount val="1"/>
                <c:pt idx="0">
                  <c:v>Služby (CZ-NACE G až U)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val>
            <c:numRef>
              <c:f>'souhrnná výkonnost 4'!$G$10:$G$28</c:f>
              <c:numCache>
                <c:formatCode>0.0</c:formatCode>
                <c:ptCount val="19"/>
                <c:pt idx="0">
                  <c:v>0.3764483951999496</c:v>
                </c:pt>
                <c:pt idx="1">
                  <c:v>0.81261671036245109</c:v>
                </c:pt>
                <c:pt idx="2">
                  <c:v>1.0166947027297888</c:v>
                </c:pt>
                <c:pt idx="3">
                  <c:v>1.3689952261875691</c:v>
                </c:pt>
                <c:pt idx="4">
                  <c:v>1.2580269123348997</c:v>
                </c:pt>
                <c:pt idx="5">
                  <c:v>1.3856652786986978</c:v>
                </c:pt>
                <c:pt idx="6">
                  <c:v>1.625491558325425</c:v>
                </c:pt>
                <c:pt idx="7">
                  <c:v>1.6641765372351613</c:v>
                </c:pt>
                <c:pt idx="8">
                  <c:v>2.2624440762395142</c:v>
                </c:pt>
                <c:pt idx="9">
                  <c:v>2.9696553573602107</c:v>
                </c:pt>
                <c:pt idx="10">
                  <c:v>3.3867849325780148</c:v>
                </c:pt>
                <c:pt idx="11">
                  <c:v>3.5053477898363856</c:v>
                </c:pt>
                <c:pt idx="12">
                  <c:v>2.2395224984374402</c:v>
                </c:pt>
                <c:pt idx="13">
                  <c:v>1.131058441483751</c:v>
                </c:pt>
                <c:pt idx="14">
                  <c:v>0.12888406553309981</c:v>
                </c:pt>
                <c:pt idx="15">
                  <c:v>-0.27609394109782032</c:v>
                </c:pt>
                <c:pt idx="16">
                  <c:v>0.79160926918942365</c:v>
                </c:pt>
                <c:pt idx="17">
                  <c:v>2.1417160470426624</c:v>
                </c:pt>
                <c:pt idx="18" formatCode="General">
                  <c:v>2.4259294475020412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438-457E-A7CA-15E3FD4D4D3E}"/>
            </c:ext>
          </c:extLst>
        </c:ser>
        <c:gapWidth val="70"/>
        <c:overlap val="100"/>
        <c:axId val="50355584"/>
        <c:axId val="50381952"/>
      </c:barChart>
      <c:lineChart>
        <c:grouping val="standard"/>
        <c:ser>
          <c:idx val="5"/>
          <c:order val="5"/>
          <c:tx>
            <c:strRef>
              <c:f>'souhrnná výkonnost 4'!$H$5</c:f>
              <c:strCache>
                <c:ptCount val="1"/>
                <c:pt idx="0">
                  <c:v>Hrubá přidaná hodnota celkem</c:v>
                </c:pt>
              </c:strCache>
            </c:strRef>
          </c:tx>
          <c:spPr>
            <a:ln w="19050">
              <a:solidFill>
                <a:prstClr val="black"/>
              </a:solidFill>
            </a:ln>
          </c:spPr>
          <c:marker>
            <c:symbol val="none"/>
          </c:marker>
          <c:cat>
            <c:multiLvlStrRef>
              <c:f>'souhrnná výkonnost 4'!$A$10:$B$28</c:f>
              <c:multiLvlStrCache>
                <c:ptCount val="19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</c:lvl>
                <c:lvl>
                  <c:pt idx="0">
                    <c:v>2013</c:v>
                  </c:pt>
                  <c:pt idx="4">
                    <c:v>2014</c:v>
                  </c:pt>
                  <c:pt idx="8">
                    <c:v>2015</c:v>
                  </c:pt>
                  <c:pt idx="12">
                    <c:v>2016</c:v>
                  </c:pt>
                  <c:pt idx="16">
                    <c:v>2017</c:v>
                  </c:pt>
                </c:lvl>
              </c:multiLvlStrCache>
            </c:multiLvlStrRef>
          </c:cat>
          <c:val>
            <c:numRef>
              <c:f>'souhrnná výkonnost 4'!$H$10:$H$28</c:f>
              <c:numCache>
                <c:formatCode>#,##0.0</c:formatCode>
                <c:ptCount val="19"/>
                <c:pt idx="0">
                  <c:v>-1.5564064599066569</c:v>
                </c:pt>
                <c:pt idx="1">
                  <c:v>-0.85476160118254663</c:v>
                </c:pt>
                <c:pt idx="2">
                  <c:v>-0.23921578851919675</c:v>
                </c:pt>
                <c:pt idx="3">
                  <c:v>0.69357314385265845</c:v>
                </c:pt>
                <c:pt idx="4">
                  <c:v>2.3418618184973092</c:v>
                </c:pt>
                <c:pt idx="5">
                  <c:v>2.9853700509145402</c:v>
                </c:pt>
                <c:pt idx="6">
                  <c:v>3.7747323841488187</c:v>
                </c:pt>
                <c:pt idx="7">
                  <c:v>4.4884230044466928</c:v>
                </c:pt>
                <c:pt idx="8">
                  <c:v>4.6030533672095215</c:v>
                </c:pt>
                <c:pt idx="9">
                  <c:v>5.0290309680465421</c:v>
                </c:pt>
                <c:pt idx="10">
                  <c:v>5.2622941596795165</c:v>
                </c:pt>
                <c:pt idx="11">
                  <c:v>4.357242052869359</c:v>
                </c:pt>
                <c:pt idx="12">
                  <c:v>3.3617514038440377</c:v>
                </c:pt>
                <c:pt idx="13">
                  <c:v>2.7921029280771741</c:v>
                </c:pt>
                <c:pt idx="14">
                  <c:v>1.7671103559341037</c:v>
                </c:pt>
                <c:pt idx="15">
                  <c:v>1.7915027023020438</c:v>
                </c:pt>
                <c:pt idx="16">
                  <c:v>2.9901649850960625</c:v>
                </c:pt>
                <c:pt idx="17">
                  <c:v>4.6107914660521585</c:v>
                </c:pt>
                <c:pt idx="18">
                  <c:v>5.068078766204632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438-457E-A7CA-15E3FD4D4D3E}"/>
            </c:ext>
          </c:extLst>
        </c:ser>
        <c:marker val="1"/>
        <c:axId val="50355584"/>
        <c:axId val="50381952"/>
      </c:lineChart>
      <c:catAx>
        <c:axId val="50355584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50381952"/>
        <c:crosses val="autoZero"/>
        <c:auto val="1"/>
        <c:lblAlgn val="ctr"/>
        <c:lblOffset val="100"/>
      </c:catAx>
      <c:valAx>
        <c:axId val="50381952"/>
        <c:scaling>
          <c:orientation val="minMax"/>
          <c:max val="6"/>
          <c:min val="-3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50355584"/>
        <c:crosses val="autoZero"/>
        <c:crossBetween val="between"/>
        <c:majorUnit val="1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4.8782884397989404E-2"/>
          <c:y val="0.79016604750647301"/>
          <c:w val="0.92922619274506457"/>
          <c:h val="0.19462484520994977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D0FA4-1926-4A0C-BACD-C6E05B38F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7D4A1F-3BD2-4A92-8C15-2918B0FE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1</TotalTime>
  <Pages>4</Pages>
  <Words>1429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9847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4</cp:revision>
  <cp:lastPrinted>2017-12-15T12:34:00Z</cp:lastPrinted>
  <dcterms:created xsi:type="dcterms:W3CDTF">2017-12-20T10:52:00Z</dcterms:created>
  <dcterms:modified xsi:type="dcterms:W3CDTF">2017-12-20T10:55:00Z</dcterms:modified>
</cp:coreProperties>
</file>