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 w:rsidP="001A78C2">
      <w:pPr>
        <w:pStyle w:val="Zkladntext3"/>
        <w:pageBreakBefore/>
        <w:numPr>
          <w:ilvl w:val="0"/>
          <w:numId w:val="6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A662C0">
        <w:rPr>
          <w:b/>
          <w:bCs/>
          <w:sz w:val="32"/>
          <w:szCs w:val="28"/>
        </w:rPr>
        <w:t>Metodické vysvětlivky</w:t>
      </w:r>
      <w:r w:rsidR="00125D0F" w:rsidRPr="00A662C0">
        <w:rPr>
          <w:b/>
          <w:bCs/>
          <w:sz w:val="32"/>
          <w:szCs w:val="28"/>
        </w:rPr>
        <w:fldChar w:fldCharType="begin"/>
      </w:r>
      <w:r w:rsidRPr="00A662C0">
        <w:rPr>
          <w:b/>
          <w:bCs/>
          <w:sz w:val="32"/>
          <w:szCs w:val="28"/>
        </w:rPr>
        <w:instrText>tc "METODICKÉ  VYSVÌTLIVKY"</w:instrText>
      </w:r>
      <w:r w:rsidR="00125D0F" w:rsidRPr="00A662C0">
        <w:rPr>
          <w:b/>
          <w:bCs/>
          <w:sz w:val="32"/>
          <w:szCs w:val="28"/>
        </w:rPr>
        <w:fldChar w:fldCharType="end"/>
      </w:r>
    </w:p>
    <w:p w:rsidR="001A78C2" w:rsidRPr="00A662C0" w:rsidRDefault="001A78C2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A662C0">
        <w:rPr>
          <w:szCs w:val="32"/>
        </w:rPr>
        <w:tab/>
        <w:t>Obsah hlavních pojmů používaných v publikaci plně odpovídá definicím ukazatelů uvedeným v "Rezoluci o statistice ekonomicky aktivního obyvatelstva, zaměstnanosti, nezaměstnanosti a 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1A78C2" w:rsidRPr="00A662C0" w:rsidRDefault="001A78C2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A662C0">
        <w:rPr>
          <w:szCs w:val="32"/>
        </w:rPr>
        <w:tab/>
        <w:t>Definice pojmů VŠPS se soustřeďuje jen na základní ukazatele. Význam specifických ukazatelů je buď zřejmý nebo jej může v případě potřeby uživatel získat na ČSÚ.</w:t>
      </w:r>
    </w:p>
    <w:p w:rsidR="001A78C2" w:rsidRPr="00A662C0" w:rsidRDefault="001A78C2">
      <w:pPr>
        <w:numPr>
          <w:ilvl w:val="1"/>
          <w:numId w:val="8"/>
        </w:numPr>
        <w:jc w:val="both"/>
        <w:rPr>
          <w:rFonts w:ascii="Arial" w:hAnsi="Arial" w:cs="Arial"/>
          <w:sz w:val="28"/>
          <w:szCs w:val="32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ab/>
        <w:t>Ekonomický status vyjadřuje základní rozdělení obyvatelstva ve věku 15 let a více podle zařazení na trhu práce. Tato populace je členěna na </w:t>
      </w:r>
      <w:r w:rsidRPr="00A662C0">
        <w:rPr>
          <w:rFonts w:ascii="Arial" w:hAnsi="Arial" w:cs="Arial"/>
          <w:b/>
          <w:bCs/>
          <w:sz w:val="20"/>
          <w:szCs w:val="32"/>
        </w:rPr>
        <w:t>ekonomicky aktivní obyvatelstvo, tj.</w:t>
      </w:r>
      <w:r w:rsidR="00EC5173" w:rsidRPr="00A662C0">
        <w:rPr>
          <w:rFonts w:ascii="Arial" w:hAnsi="Arial" w:cs="Arial"/>
          <w:b/>
          <w:bCs/>
          <w:sz w:val="20"/>
          <w:szCs w:val="32"/>
        </w:rPr>
        <w:t> </w:t>
      </w:r>
      <w:r w:rsidRPr="00A662C0">
        <w:rPr>
          <w:rFonts w:ascii="Arial" w:hAnsi="Arial" w:cs="Arial"/>
          <w:b/>
          <w:bCs/>
          <w:sz w:val="20"/>
          <w:szCs w:val="32"/>
        </w:rPr>
        <w:t>zaměstnané a nezaměstnané, a obyvatelstvo ekonomicky neaktivní</w:t>
      </w:r>
      <w:r w:rsidRPr="00A662C0">
        <w:rPr>
          <w:rFonts w:ascii="Arial" w:hAnsi="Arial" w:cs="Arial"/>
          <w:sz w:val="20"/>
          <w:szCs w:val="32"/>
        </w:rPr>
        <w:t>.</w:t>
      </w:r>
    </w:p>
    <w:p w:rsidR="001A78C2" w:rsidRPr="00A662C0" w:rsidRDefault="001A78C2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916DE9" w:rsidRPr="00A662C0" w:rsidRDefault="001A78C2" w:rsidP="00916DE9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A662C0">
        <w:rPr>
          <w:szCs w:val="32"/>
        </w:rPr>
        <w:tab/>
      </w:r>
      <w:r w:rsidR="00916DE9" w:rsidRPr="00A662C0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 skupině pracovníků na vlastní účet pak odpovídá skupina podnikatelů bez zaměstnanců.</w:t>
      </w:r>
    </w:p>
    <w:p w:rsidR="00916DE9" w:rsidRPr="00A662C0" w:rsidRDefault="00916DE9" w:rsidP="00916DE9">
      <w:pPr>
        <w:numPr>
          <w:ilvl w:val="0"/>
          <w:numId w:val="5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zaměstnaní</w:t>
      </w:r>
      <w:r w:rsidRPr="00A662C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916DE9" w:rsidRPr="00A662C0" w:rsidRDefault="00916DE9" w:rsidP="00916DE9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placení zaměstnaní</w:t>
      </w:r>
      <w:r w:rsidRPr="00A662C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916DE9" w:rsidRPr="00A662C0" w:rsidRDefault="00916DE9" w:rsidP="00916DE9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"v práci</w:t>
      </w:r>
      <w:r w:rsidRPr="00A662C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916DE9" w:rsidRPr="00A662C0" w:rsidRDefault="00916DE9" w:rsidP="00916DE9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1.1.2.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A662C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916DE9" w:rsidRPr="00A662C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1.2.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A662C0">
        <w:rPr>
          <w:rFonts w:ascii="Arial" w:hAnsi="Arial" w:cs="Arial"/>
          <w:sz w:val="20"/>
          <w:szCs w:val="32"/>
        </w:rPr>
        <w:t>, kteří spadají do těchto skupin :</w:t>
      </w:r>
    </w:p>
    <w:p w:rsidR="00916DE9" w:rsidRPr="00A662C0" w:rsidRDefault="00916DE9" w:rsidP="00916DE9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lastRenderedPageBreak/>
        <w:t>1.2.1.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práci</w:t>
      </w:r>
      <w:r w:rsidRPr="00A662C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916DE9" w:rsidRPr="00A662C0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1.2.2.</w:t>
      </w:r>
      <w:r w:rsidRPr="00A662C0">
        <w:rPr>
          <w:rFonts w:ascii="Arial" w:hAnsi="Arial" w:cs="Arial"/>
          <w:sz w:val="20"/>
          <w:szCs w:val="32"/>
        </w:rPr>
        <w:tab/>
        <w:t>"</w:t>
      </w:r>
      <w:r w:rsidRPr="00A662C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A662C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916DE9" w:rsidRPr="00A662C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ab/>
        <w:t xml:space="preserve">Pro účely zjišťování je pojem práce interpretován jako </w:t>
      </w:r>
      <w:r w:rsidRPr="00A662C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A662C0">
        <w:rPr>
          <w:rFonts w:ascii="Arial" w:hAnsi="Arial" w:cs="Arial"/>
          <w:sz w:val="20"/>
          <w:szCs w:val="32"/>
        </w:rPr>
        <w:t>. Za </w:t>
      </w:r>
      <w:r w:rsidRPr="00A662C0">
        <w:rPr>
          <w:rFonts w:ascii="Arial" w:hAnsi="Arial" w:cs="Arial"/>
          <w:b/>
          <w:bCs/>
          <w:sz w:val="20"/>
          <w:szCs w:val="32"/>
        </w:rPr>
        <w:t>zaměstnané</w:t>
      </w:r>
      <w:r w:rsidRPr="00A662C0">
        <w:rPr>
          <w:rFonts w:ascii="Arial" w:hAnsi="Arial" w:cs="Arial"/>
          <w:sz w:val="20"/>
          <w:szCs w:val="32"/>
        </w:rPr>
        <w:t xml:space="preserve"> jsou považováni i </w:t>
      </w:r>
      <w:r w:rsidRPr="00A662C0">
        <w:rPr>
          <w:rFonts w:ascii="Arial" w:hAnsi="Arial" w:cs="Arial"/>
          <w:b/>
          <w:bCs/>
          <w:sz w:val="20"/>
          <w:szCs w:val="32"/>
        </w:rPr>
        <w:t>učni</w:t>
      </w:r>
      <w:r w:rsidRPr="00A662C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A662C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A662C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A662C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916DE9" w:rsidRPr="00A662C0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Zaměstnanci</w:t>
      </w:r>
      <w:r w:rsidRPr="00A662C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A662C0" w:rsidDel="00C13F0C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sz w:val="20"/>
          <w:szCs w:val="32"/>
        </w:rPr>
        <w:t>jsou</w:t>
      </w:r>
      <w:r w:rsidRPr="00A662C0" w:rsidDel="00C13F0C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/>
          <w:sz w:val="20"/>
          <w:szCs w:val="32"/>
        </w:rPr>
        <w:t>od roku 2012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Cs/>
          <w:sz w:val="20"/>
          <w:szCs w:val="32"/>
        </w:rPr>
        <w:t>zahrnováni mezi zaměstnance</w:t>
      </w:r>
      <w:r w:rsidRPr="00A662C0">
        <w:rPr>
          <w:rFonts w:ascii="Arial" w:hAnsi="Arial" w:cs="Arial"/>
          <w:sz w:val="20"/>
          <w:szCs w:val="32"/>
        </w:rPr>
        <w:t>.</w:t>
      </w:r>
    </w:p>
    <w:p w:rsidR="00916DE9" w:rsidRPr="00A662C0" w:rsidRDefault="00916DE9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A662C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A662C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A662C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D87EC8" w:rsidRPr="00A662C0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1A78C2" w:rsidRPr="00A662C0" w:rsidRDefault="001A78C2" w:rsidP="0051229C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nezaměstnaní</w:t>
      </w:r>
      <w:r w:rsidRPr="00A662C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A662C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A662C0">
        <w:rPr>
          <w:rFonts w:ascii="Arial" w:hAnsi="Arial" w:cs="Arial"/>
          <w:sz w:val="20"/>
          <w:szCs w:val="32"/>
        </w:rPr>
        <w:t>:</w:t>
      </w:r>
    </w:p>
    <w:p w:rsidR="001A78C2" w:rsidRPr="00A662C0" w:rsidRDefault="00306AC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-</w:t>
      </w:r>
      <w:r w:rsidRPr="00A662C0">
        <w:rPr>
          <w:rFonts w:ascii="Arial" w:hAnsi="Arial" w:cs="Arial"/>
          <w:sz w:val="20"/>
          <w:szCs w:val="32"/>
        </w:rPr>
        <w:tab/>
        <w:t>nebyly zaměstnané,</w:t>
      </w:r>
    </w:p>
    <w:p w:rsidR="001A78C2" w:rsidRPr="00A662C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662C0">
        <w:t xml:space="preserve">- </w:t>
      </w:r>
      <w:r w:rsidRPr="00A662C0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1A78C2" w:rsidRPr="00A662C0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662C0">
        <w:t>-</w:t>
      </w:r>
      <w:r w:rsidRPr="00A662C0">
        <w:tab/>
        <w:t>byly připraveny k nástupu do práce, tj., během referenčního období byly k dispozici okamžitě nebo nejpozději do 14 dnů pro výkon placeného zaměstnání nebo zaměstnání ve vlastním podniku.</w:t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Pokud osoby </w:t>
      </w:r>
      <w:r w:rsidRPr="00A662C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A662C0">
        <w:rPr>
          <w:rFonts w:ascii="Arial" w:hAnsi="Arial" w:cs="Arial"/>
          <w:sz w:val="20"/>
          <w:szCs w:val="32"/>
        </w:rPr>
        <w:t xml:space="preserve">, jsou klasifikovány jako </w:t>
      </w:r>
      <w:r w:rsidRPr="00A662C0">
        <w:rPr>
          <w:rFonts w:ascii="Arial" w:hAnsi="Arial" w:cs="Arial"/>
          <w:b/>
          <w:bCs/>
          <w:sz w:val="20"/>
          <w:szCs w:val="32"/>
        </w:rPr>
        <w:t>zaměstnané</w:t>
      </w:r>
      <w:r w:rsidRPr="00A662C0">
        <w:rPr>
          <w:rFonts w:ascii="Arial" w:hAnsi="Arial" w:cs="Arial"/>
          <w:sz w:val="20"/>
          <w:szCs w:val="32"/>
        </w:rPr>
        <w:t xml:space="preserve"> nebo </w:t>
      </w:r>
      <w:r w:rsidRPr="00A662C0">
        <w:rPr>
          <w:rFonts w:ascii="Arial" w:hAnsi="Arial" w:cs="Arial"/>
          <w:b/>
          <w:bCs/>
          <w:sz w:val="20"/>
          <w:szCs w:val="32"/>
        </w:rPr>
        <w:t>ekonomicky neaktivní</w:t>
      </w:r>
      <w:r w:rsidRPr="00A662C0"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 </w:t>
      </w:r>
      <w:r w:rsidR="00BC2E75" w:rsidRPr="00A662C0">
        <w:rPr>
          <w:rFonts w:ascii="Arial" w:hAnsi="Arial" w:cs="Arial"/>
          <w:sz w:val="20"/>
          <w:szCs w:val="32"/>
        </w:rPr>
        <w:t xml:space="preserve">pozdější </w:t>
      </w:r>
      <w:r w:rsidRPr="00A662C0">
        <w:rPr>
          <w:rFonts w:ascii="Arial" w:hAnsi="Arial" w:cs="Arial"/>
          <w:sz w:val="20"/>
          <w:szCs w:val="32"/>
        </w:rPr>
        <w:t xml:space="preserve">dobu </w:t>
      </w:r>
      <w:r w:rsidR="00BC2E75" w:rsidRPr="00A662C0">
        <w:rPr>
          <w:rFonts w:ascii="Arial" w:hAnsi="Arial" w:cs="Arial"/>
          <w:sz w:val="20"/>
          <w:szCs w:val="32"/>
        </w:rPr>
        <w:t>(</w:t>
      </w:r>
      <w:r w:rsidRPr="00A662C0">
        <w:rPr>
          <w:rFonts w:ascii="Arial" w:hAnsi="Arial" w:cs="Arial"/>
          <w:sz w:val="20"/>
          <w:szCs w:val="32"/>
        </w:rPr>
        <w:t>nejpozději do </w:t>
      </w:r>
      <w:r w:rsidR="00BC2E75" w:rsidRPr="00A662C0">
        <w:rPr>
          <w:rFonts w:ascii="Arial" w:hAnsi="Arial" w:cs="Arial"/>
          <w:sz w:val="20"/>
          <w:szCs w:val="32"/>
        </w:rPr>
        <w:t>3 měsíců)</w:t>
      </w:r>
      <w:r w:rsidRPr="00A662C0">
        <w:rPr>
          <w:rFonts w:ascii="Arial" w:hAnsi="Arial" w:cs="Arial"/>
          <w:sz w:val="20"/>
          <w:szCs w:val="32"/>
        </w:rPr>
        <w:t>. Tyto osoby jsou podle definice Eurostatu zařazeny rovněž mezi nezaměstnané.</w:t>
      </w:r>
    </w:p>
    <w:p w:rsidR="001A78C2" w:rsidRPr="00A662C0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A662C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1A78C2" w:rsidRPr="00A662C0" w:rsidRDefault="001A78C2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lastRenderedPageBreak/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A662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1A78C2" w:rsidRPr="00A662C0" w:rsidRDefault="001A78C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1.2.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A662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1A78C2" w:rsidRPr="00A662C0" w:rsidRDefault="001A78C2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A662C0">
        <w:rPr>
          <w:szCs w:val="32"/>
        </w:rPr>
        <w:tab/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A662C0">
        <w:rPr>
          <w:rFonts w:ascii="Arial" w:hAnsi="Arial" w:cs="Arial"/>
          <w:sz w:val="20"/>
          <w:szCs w:val="32"/>
        </w:rPr>
        <w:t>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míry nezaměstnanosti</w:t>
      </w:r>
      <w:r w:rsidRPr="00A662C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A662C0">
        <w:rPr>
          <w:rFonts w:ascii="Arial" w:hAnsi="Arial" w:cs="Arial"/>
          <w:sz w:val="20"/>
          <w:szCs w:val="32"/>
        </w:rPr>
        <w:t xml:space="preserve"> (čitatel) na </w:t>
      </w:r>
      <w:r w:rsidRPr="00A662C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A662C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údajů.</w:t>
      </w:r>
      <w:r w:rsidR="00C535DF" w:rsidRPr="00A662C0">
        <w:rPr>
          <w:rFonts w:ascii="Arial" w:hAnsi="Arial" w:cs="Arial"/>
          <w:sz w:val="20"/>
          <w:szCs w:val="32"/>
        </w:rPr>
        <w:t xml:space="preserve"> Jedná se především o</w:t>
      </w:r>
      <w:r w:rsidR="00EC5173" w:rsidRPr="00A662C0">
        <w:rPr>
          <w:rFonts w:ascii="Arial" w:hAnsi="Arial" w:cs="Arial"/>
          <w:sz w:val="20"/>
          <w:szCs w:val="32"/>
        </w:rPr>
        <w:t> </w:t>
      </w:r>
      <w:r w:rsidR="00C535DF" w:rsidRPr="00A662C0">
        <w:rPr>
          <w:rFonts w:ascii="Arial" w:hAnsi="Arial" w:cs="Arial"/>
          <w:sz w:val="20"/>
          <w:szCs w:val="32"/>
        </w:rPr>
        <w:t>rozdíl mezi obecnou mírou nezaměstnanosti (ILO) a mírou registrované nezaměstnanosti MPSV.</w:t>
      </w:r>
      <w:r w:rsidRPr="00A662C0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A662C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</w:r>
      <w:r w:rsidR="009A4707" w:rsidRPr="00A662C0">
        <w:rPr>
          <w:rFonts w:ascii="Arial" w:hAnsi="Arial" w:cs="Arial"/>
          <w:sz w:val="20"/>
          <w:szCs w:val="32"/>
        </w:rPr>
        <w:t>zahrnuje nezaměstnané podle ILO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</w:t>
      </w:r>
      <w:r w:rsidR="009A4707" w:rsidRPr="00A662C0">
        <w:rPr>
          <w:rFonts w:ascii="Arial" w:hAnsi="Arial" w:cs="Arial"/>
          <w:sz w:val="20"/>
          <w:szCs w:val="32"/>
        </w:rPr>
        <w:t>ahrnuje pracovní síly podle ILO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1.1.2.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A662C0"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  <w:t xml:space="preserve">zahrnuje nezaměstnané jeden rok a déle podle ILO </w:t>
      </w:r>
    </w:p>
    <w:p w:rsidR="001A78C2" w:rsidRPr="00A662C0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zahrnuje pracovní síly podle ILO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1.1.3.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A662C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1A78C2" w:rsidRPr="00A662C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662C0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1A78C2" w:rsidRPr="00A662C0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662C0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1A78C2" w:rsidRPr="00A662C0" w:rsidRDefault="001A78C2" w:rsidP="001A78C2">
      <w:pPr>
        <w:numPr>
          <w:ilvl w:val="1"/>
          <w:numId w:val="11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A662C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51229C" w:rsidRPr="00A662C0" w:rsidRDefault="001A78C2" w:rsidP="0051229C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1.3. 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míra zaměstnanosti</w:t>
      </w:r>
      <w:r w:rsidRPr="00A662C0">
        <w:rPr>
          <w:rFonts w:ascii="Arial" w:hAnsi="Arial" w:cs="Arial"/>
          <w:sz w:val="20"/>
          <w:szCs w:val="32"/>
        </w:rPr>
        <w:t xml:space="preserve"> vyjadřuje podíl počtu zaměstnaných na počtu všech osob 15letých a starších.</w:t>
      </w:r>
    </w:p>
    <w:p w:rsidR="00916DE9" w:rsidRPr="00A662C0" w:rsidRDefault="00916DE9" w:rsidP="0051229C">
      <w:pPr>
        <w:keepNext/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b/>
          <w:bCs/>
          <w:i/>
          <w:iCs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E82236" w:rsidRPr="00A662C0" w:rsidRDefault="00E82236" w:rsidP="00E82236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 w:rsidRPr="00A662C0"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662C0"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 w:rsidRPr="00A662C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A662C0"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662C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A662C0">
        <w:rPr>
          <w:rFonts w:ascii="Arial" w:hAnsi="Arial" w:cs="Arial"/>
          <w:sz w:val="20"/>
          <w:szCs w:val="32"/>
        </w:rPr>
        <w:t xml:space="preserve"> + </w:t>
      </w:r>
      <w:r w:rsidRPr="00A662C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A662C0">
        <w:rPr>
          <w:rFonts w:ascii="Arial" w:hAnsi="Arial" w:cs="Arial"/>
          <w:sz w:val="20"/>
          <w:szCs w:val="32"/>
        </w:rPr>
        <w:t xml:space="preserve"> podle evidence MPSV a MPO + </w:t>
      </w:r>
      <w:r w:rsidRPr="00A662C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Pr="00A662C0">
        <w:rPr>
          <w:rFonts w:ascii="Arial" w:hAnsi="Arial" w:cs="Arial"/>
          <w:b/>
          <w:bCs/>
          <w:sz w:val="20"/>
          <w:szCs w:val="32"/>
        </w:rPr>
        <w:t>o zaměstnání</w:t>
      </w:r>
      <w:r w:rsidRPr="00A662C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E82236" w:rsidRPr="00A662C0" w:rsidRDefault="00E82236" w:rsidP="00E82236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A662C0">
        <w:rPr>
          <w:rFonts w:ascii="Arial" w:hAnsi="Arial" w:cs="Arial"/>
          <w:sz w:val="20"/>
          <w:szCs w:val="20"/>
        </w:rPr>
        <w:t xml:space="preserve">Od listopadu 2012 začalo MPSV měsíčně zveřejňovat nový ukazatel </w:t>
      </w:r>
      <w:r w:rsidRPr="00A662C0">
        <w:rPr>
          <w:rFonts w:ascii="Arial" w:hAnsi="Arial" w:cs="Arial"/>
          <w:b/>
          <w:sz w:val="20"/>
          <w:szCs w:val="20"/>
        </w:rPr>
        <w:t>podíl nezaměstnaných osob</w:t>
      </w:r>
      <w:r w:rsidRPr="00A662C0">
        <w:rPr>
          <w:rFonts w:ascii="Arial" w:hAnsi="Arial" w:cs="Arial"/>
          <w:sz w:val="20"/>
          <w:szCs w:val="20"/>
        </w:rPr>
        <w:t>, který vyjadřuje podíl dosažitelných uchazečů o zaměstnání ve věku 15-64 let ze všech obyvatel ve stejném věku. Ukazatel nahrazuje doposud zveřejňovanou míru registrované nezaměstnanosti, která poměřovala všechny dosažitelné uchazeče o zaměstnání pouze k ekonomicky aktivním osobám. Od ledna 2013 jsou zveřejňovány údaje pouze podle nového výpočtu: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662C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A662C0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A662C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82236" w:rsidRPr="00A662C0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662C0">
        <w:rPr>
          <w:rFonts w:ascii="Arial" w:hAnsi="Arial" w:cs="Arial"/>
          <w:b/>
          <w:bCs/>
          <w:sz w:val="20"/>
          <w:szCs w:val="32"/>
        </w:rPr>
        <w:tab/>
        <w:t>celkový počet všech obyvatel ve věku 15-64 let</w:t>
      </w:r>
    </w:p>
    <w:p w:rsidR="0051229C" w:rsidRPr="00A662C0" w:rsidRDefault="0051229C" w:rsidP="0051229C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</w:p>
    <w:p w:rsidR="001A78C2" w:rsidRPr="00A662C0" w:rsidRDefault="001A78C2" w:rsidP="0051229C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662C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125D0F" w:rsidRPr="00A662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1.1.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pracovní síla</w:t>
      </w:r>
      <w:r w:rsidRPr="00A662C0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 nebo nezaměstnané. Podle okruhu zahrnutých zaměstnaných osob se rozlišuje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 celková pracovní síla</w:t>
      </w:r>
      <w:r w:rsidRPr="00A662C0">
        <w:rPr>
          <w:rFonts w:ascii="Arial" w:hAnsi="Arial" w:cs="Arial"/>
          <w:sz w:val="20"/>
          <w:szCs w:val="32"/>
        </w:rPr>
        <w:t xml:space="preserve"> (zaměstnaní v NH + nezaměstnaní) a civilní pracovní síla (zaměstnaní v civilním sektoru + nezaměstnaní).</w:t>
      </w:r>
    </w:p>
    <w:p w:rsidR="001A78C2" w:rsidRPr="00A662C0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1.2.</w:t>
      </w:r>
      <w:r w:rsidRPr="00A662C0">
        <w:rPr>
          <w:rFonts w:ascii="Arial" w:hAnsi="Arial" w:cs="Arial"/>
          <w:sz w:val="20"/>
          <w:szCs w:val="32"/>
        </w:rPr>
        <w:tab/>
      </w:r>
      <w:r w:rsidRPr="00A662C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A662C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A662C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A662C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1A78C2" w:rsidRPr="00A662C0" w:rsidRDefault="001A78C2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1.3.</w:t>
      </w:r>
      <w:r w:rsidRPr="00A662C0">
        <w:rPr>
          <w:rFonts w:ascii="Arial" w:hAnsi="Arial" w:cs="Arial"/>
          <w:b/>
          <w:bCs/>
          <w:sz w:val="20"/>
          <w:szCs w:val="32"/>
        </w:rPr>
        <w:tab/>
        <w:t>podzaměstnaní</w:t>
      </w:r>
      <w:r w:rsidRPr="00A662C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částečný úvazek nebo méně než 40 hodin týdně, a přejí si pracovat vyšší počet hodin než ve stávajících zaměstnáních.</w:t>
      </w:r>
    </w:p>
    <w:p w:rsidR="001A78C2" w:rsidRPr="00A662C0" w:rsidRDefault="001A78C2" w:rsidP="0051229C">
      <w:pPr>
        <w:keepNext/>
        <w:numPr>
          <w:ilvl w:val="1"/>
          <w:numId w:val="9"/>
        </w:numPr>
        <w:spacing w:before="960" w:after="320"/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662C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:rsidR="001A78C2" w:rsidRPr="00A662C0" w:rsidRDefault="001A78C2" w:rsidP="003E4386">
      <w:pPr>
        <w:spacing w:before="840"/>
        <w:ind w:firstLine="709"/>
        <w:jc w:val="both"/>
        <w:rPr>
          <w:rFonts w:ascii="Arial" w:hAnsi="Arial" w:cs="Arial"/>
          <w:sz w:val="20"/>
          <w:szCs w:val="26"/>
        </w:rPr>
      </w:pPr>
      <w:r w:rsidRPr="00A662C0"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 jako Švýcarsko, Norsko a Island a kandidátské země EU. Mikrodata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</w:t>
      </w:r>
      <w:r w:rsidR="003E4386" w:rsidRPr="00A662C0">
        <w:rPr>
          <w:rFonts w:ascii="Arial" w:hAnsi="Arial" w:cs="Arial"/>
          <w:sz w:val="20"/>
          <w:szCs w:val="26"/>
        </w:rPr>
        <w:t xml:space="preserve">ikačního systému Eurostatu. </w:t>
      </w:r>
      <w:r w:rsidRPr="00A662C0">
        <w:rPr>
          <w:rFonts w:ascii="Arial" w:hAnsi="Arial" w:cs="Arial"/>
          <w:sz w:val="20"/>
          <w:szCs w:val="26"/>
        </w:rPr>
        <w:t>V</w:t>
      </w:r>
      <w:r w:rsidR="00ED402D" w:rsidRPr="00A662C0">
        <w:rPr>
          <w:rFonts w:ascii="Arial" w:hAnsi="Arial" w:cs="Arial"/>
          <w:sz w:val="20"/>
          <w:szCs w:val="26"/>
        </w:rPr>
        <w:t xml:space="preserve"> </w:t>
      </w:r>
      <w:r w:rsidRPr="00A662C0">
        <w:rPr>
          <w:rFonts w:ascii="Arial" w:hAnsi="Arial" w:cs="Arial"/>
          <w:sz w:val="20"/>
          <w:szCs w:val="26"/>
        </w:rPr>
        <w:t>roce 2003 Eurostat podstatně revidoval svůj informační systém a v současné době se zaměřil na publikaci vzájemně porovnatelných dat o vývoji ekonomické aktivity, zaměstnanosti a nezaměstnanosti za všechny členské země EU. Publikování těchto údajů má především charakter čtvrtletních a ročních studií, které jsou zveřejňovány v edici Statistics In Focus (SIF). Vedle systému SIF je běžně dostupná</w:t>
      </w:r>
      <w:r w:rsidR="005507B4" w:rsidRPr="00A662C0">
        <w:rPr>
          <w:rFonts w:ascii="Arial" w:hAnsi="Arial" w:cs="Arial"/>
          <w:sz w:val="20"/>
          <w:szCs w:val="26"/>
        </w:rPr>
        <w:t xml:space="preserve"> multimediální </w:t>
      </w:r>
      <w:r w:rsidRPr="00A662C0">
        <w:rPr>
          <w:rFonts w:ascii="Arial" w:hAnsi="Arial" w:cs="Arial"/>
          <w:sz w:val="20"/>
          <w:szCs w:val="26"/>
        </w:rPr>
        <w:t>databáze Eurostatu, která poskytuje obsáhlé číselné přehledy opět zaměřené na srovnatelnost výsledků výběrového šetření za všechny země EU.</w:t>
      </w:r>
    </w:p>
    <w:p w:rsidR="001A78C2" w:rsidRPr="00A662C0" w:rsidRDefault="001A78C2" w:rsidP="00257DCA">
      <w:pPr>
        <w:spacing w:before="200"/>
        <w:ind w:firstLine="720"/>
        <w:jc w:val="both"/>
      </w:pPr>
      <w:r w:rsidRPr="00A662C0">
        <w:rPr>
          <w:rFonts w:ascii="Arial" w:hAnsi="Arial" w:cs="Arial"/>
          <w:sz w:val="20"/>
          <w:szCs w:val="26"/>
        </w:rPr>
        <w:t>Při hodnocení údajů z různých zdrojů Eurostatu, ale i v rámci jednotlivých titulů vydávaných Eurostatem je nutné</w:t>
      </w:r>
      <w:r w:rsidR="00ED402D" w:rsidRPr="00A662C0">
        <w:rPr>
          <w:rFonts w:ascii="Arial" w:hAnsi="Arial" w:cs="Arial"/>
          <w:sz w:val="20"/>
          <w:szCs w:val="26"/>
        </w:rPr>
        <w:t xml:space="preserve"> </w:t>
      </w:r>
      <w:r w:rsidRPr="00A662C0">
        <w:rPr>
          <w:rFonts w:ascii="Arial" w:hAnsi="Arial" w:cs="Arial"/>
          <w:sz w:val="20"/>
          <w:szCs w:val="26"/>
        </w:rPr>
        <w:t>mít na zřeteli, že obsah ukazatelů se může v detailech lišit od obsahu, jak jej čtenář chápe (např. v rámci svého informačního systému Eurostat publikuje počty zaměstnaných ve věkové skupině 15–64 let a nikoliv ve skupině 15+letých, jak je obvyklé ve čtvrtletní publikaci ČSÚ). Při komparaci dat ze zdrojů Eurostatu a ČSÚ je nutné respektovat příslušné metodické poznámky zvláště v případech porovnávání měr zaměstnanosti, nezaměstnanosti a ekonomické aktivity. Odlišnosti se vyskytují i ve výpočtu průměrných ročních hodnot, kdy Eurostat používá v některých případech z důvodu srovnatelnosti data za 2. čtvrtletí, protože průměrné údaje nejsou za všechny členské země EU k dispozici.</w:t>
      </w:r>
    </w:p>
    <w:sectPr w:rsidR="001A78C2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34" w:rsidRDefault="00BD4D34">
      <w:r>
        <w:separator/>
      </w:r>
    </w:p>
  </w:endnote>
  <w:endnote w:type="continuationSeparator" w:id="0">
    <w:p w:rsidR="00BD4D34" w:rsidRDefault="00BD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125D0F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125D0F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9F0584">
      <w:rPr>
        <w:rFonts w:ascii="Arial" w:hAnsi="Arial" w:cs="Arial"/>
        <w:sz w:val="18"/>
      </w:rPr>
      <w:t>3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34" w:rsidRDefault="00BD4D34">
      <w:r>
        <w:separator/>
      </w:r>
    </w:p>
  </w:footnote>
  <w:footnote w:type="continuationSeparator" w:id="0">
    <w:p w:rsidR="00BD4D34" w:rsidRDefault="00BD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9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1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2766B"/>
    <w:rsid w:val="00035C52"/>
    <w:rsid w:val="00052A95"/>
    <w:rsid w:val="00056316"/>
    <w:rsid w:val="00076FA2"/>
    <w:rsid w:val="000948F7"/>
    <w:rsid w:val="000A335B"/>
    <w:rsid w:val="000A570E"/>
    <w:rsid w:val="000B2EA1"/>
    <w:rsid w:val="000B3279"/>
    <w:rsid w:val="000B3557"/>
    <w:rsid w:val="000C2476"/>
    <w:rsid w:val="000E3720"/>
    <w:rsid w:val="000E664E"/>
    <w:rsid w:val="00110553"/>
    <w:rsid w:val="00112210"/>
    <w:rsid w:val="00125D0F"/>
    <w:rsid w:val="00130696"/>
    <w:rsid w:val="00135A4D"/>
    <w:rsid w:val="00147DE2"/>
    <w:rsid w:val="0015298A"/>
    <w:rsid w:val="0019276A"/>
    <w:rsid w:val="0019573B"/>
    <w:rsid w:val="001A78C2"/>
    <w:rsid w:val="001B21F4"/>
    <w:rsid w:val="001C5254"/>
    <w:rsid w:val="001C5CC9"/>
    <w:rsid w:val="001D3036"/>
    <w:rsid w:val="001E1E20"/>
    <w:rsid w:val="001E5D7C"/>
    <w:rsid w:val="001F09B7"/>
    <w:rsid w:val="001F6E9E"/>
    <w:rsid w:val="002079C0"/>
    <w:rsid w:val="002524EC"/>
    <w:rsid w:val="00257DCA"/>
    <w:rsid w:val="0026288A"/>
    <w:rsid w:val="00290B66"/>
    <w:rsid w:val="002A27B4"/>
    <w:rsid w:val="002C23A2"/>
    <w:rsid w:val="002C77CE"/>
    <w:rsid w:val="002D3666"/>
    <w:rsid w:val="00305755"/>
    <w:rsid w:val="00306ACE"/>
    <w:rsid w:val="0031474E"/>
    <w:rsid w:val="00314E72"/>
    <w:rsid w:val="00341E61"/>
    <w:rsid w:val="00355AF1"/>
    <w:rsid w:val="00364B59"/>
    <w:rsid w:val="00367448"/>
    <w:rsid w:val="00376376"/>
    <w:rsid w:val="00381D77"/>
    <w:rsid w:val="0039735D"/>
    <w:rsid w:val="003A0EF5"/>
    <w:rsid w:val="003A7AC0"/>
    <w:rsid w:val="003C2995"/>
    <w:rsid w:val="003D1526"/>
    <w:rsid w:val="003E4386"/>
    <w:rsid w:val="004072F7"/>
    <w:rsid w:val="00411E29"/>
    <w:rsid w:val="004313F3"/>
    <w:rsid w:val="004557A8"/>
    <w:rsid w:val="00471FB5"/>
    <w:rsid w:val="004753C0"/>
    <w:rsid w:val="004C716D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B1B85"/>
    <w:rsid w:val="005D5AA8"/>
    <w:rsid w:val="006363B3"/>
    <w:rsid w:val="006511AE"/>
    <w:rsid w:val="0065397F"/>
    <w:rsid w:val="0066239C"/>
    <w:rsid w:val="00695F93"/>
    <w:rsid w:val="006B0AD9"/>
    <w:rsid w:val="006C2856"/>
    <w:rsid w:val="006E0C8B"/>
    <w:rsid w:val="006E1E64"/>
    <w:rsid w:val="006E3E78"/>
    <w:rsid w:val="00715D76"/>
    <w:rsid w:val="00716028"/>
    <w:rsid w:val="007630E2"/>
    <w:rsid w:val="007E5A60"/>
    <w:rsid w:val="007F06C0"/>
    <w:rsid w:val="0082546C"/>
    <w:rsid w:val="008371AD"/>
    <w:rsid w:val="008502B0"/>
    <w:rsid w:val="0089098D"/>
    <w:rsid w:val="00890ED0"/>
    <w:rsid w:val="008A0EC3"/>
    <w:rsid w:val="008B41AD"/>
    <w:rsid w:val="008C17C1"/>
    <w:rsid w:val="008C1B6F"/>
    <w:rsid w:val="008C5ECA"/>
    <w:rsid w:val="008D0D0E"/>
    <w:rsid w:val="008D2801"/>
    <w:rsid w:val="008E122B"/>
    <w:rsid w:val="008E1D72"/>
    <w:rsid w:val="008E56BB"/>
    <w:rsid w:val="00910F4F"/>
    <w:rsid w:val="00914A61"/>
    <w:rsid w:val="00916DE9"/>
    <w:rsid w:val="00927361"/>
    <w:rsid w:val="009346C2"/>
    <w:rsid w:val="00936B89"/>
    <w:rsid w:val="00981167"/>
    <w:rsid w:val="009934FB"/>
    <w:rsid w:val="009A4707"/>
    <w:rsid w:val="009C63DA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52FDA"/>
    <w:rsid w:val="00A5708C"/>
    <w:rsid w:val="00A64B4C"/>
    <w:rsid w:val="00A662C0"/>
    <w:rsid w:val="00A81D33"/>
    <w:rsid w:val="00A8375B"/>
    <w:rsid w:val="00AC108D"/>
    <w:rsid w:val="00B13FD6"/>
    <w:rsid w:val="00B22431"/>
    <w:rsid w:val="00B25EC4"/>
    <w:rsid w:val="00B340A9"/>
    <w:rsid w:val="00B34942"/>
    <w:rsid w:val="00B52736"/>
    <w:rsid w:val="00B71F2D"/>
    <w:rsid w:val="00B724F5"/>
    <w:rsid w:val="00B827F0"/>
    <w:rsid w:val="00B8726B"/>
    <w:rsid w:val="00BA4A39"/>
    <w:rsid w:val="00BC2E75"/>
    <w:rsid w:val="00BD3CDD"/>
    <w:rsid w:val="00BD4D34"/>
    <w:rsid w:val="00BE0FBB"/>
    <w:rsid w:val="00BF2359"/>
    <w:rsid w:val="00BF79AC"/>
    <w:rsid w:val="00C00162"/>
    <w:rsid w:val="00C0158D"/>
    <w:rsid w:val="00C0205C"/>
    <w:rsid w:val="00C0583E"/>
    <w:rsid w:val="00C233A9"/>
    <w:rsid w:val="00C36063"/>
    <w:rsid w:val="00C535DF"/>
    <w:rsid w:val="00C8356E"/>
    <w:rsid w:val="00C83F14"/>
    <w:rsid w:val="00CC10DF"/>
    <w:rsid w:val="00CC1FDC"/>
    <w:rsid w:val="00D01C31"/>
    <w:rsid w:val="00D107B0"/>
    <w:rsid w:val="00D172D5"/>
    <w:rsid w:val="00D23ACB"/>
    <w:rsid w:val="00D24FD8"/>
    <w:rsid w:val="00D4365C"/>
    <w:rsid w:val="00D44119"/>
    <w:rsid w:val="00D63A4A"/>
    <w:rsid w:val="00D8428C"/>
    <w:rsid w:val="00D87EC8"/>
    <w:rsid w:val="00DC29EC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2B82"/>
    <w:rsid w:val="00F04099"/>
    <w:rsid w:val="00F40719"/>
    <w:rsid w:val="00F64CFC"/>
    <w:rsid w:val="00FB0710"/>
    <w:rsid w:val="00FB4709"/>
    <w:rsid w:val="00FC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276A"/>
    <w:rPr>
      <w:sz w:val="24"/>
      <w:szCs w:val="24"/>
    </w:rPr>
  </w:style>
  <w:style w:type="paragraph" w:styleId="Nadpis1">
    <w:name w:val="heading 1"/>
    <w:basedOn w:val="Normln"/>
    <w:next w:val="Normln"/>
    <w:qFormat/>
    <w:rsid w:val="0019276A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19276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19276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9276A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19276A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19276A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19276A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19276A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19276A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19276A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rsid w:val="0019276A"/>
    <w:pPr>
      <w:spacing w:line="283" w:lineRule="exact"/>
      <w:jc w:val="both"/>
    </w:pPr>
  </w:style>
  <w:style w:type="paragraph" w:styleId="Zkladntextodsazen">
    <w:name w:val="Body Text Indent"/>
    <w:basedOn w:val="Normln"/>
    <w:rsid w:val="0019276A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19276A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192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276A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19276A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19276A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19276A"/>
  </w:style>
  <w:style w:type="paragraph" w:styleId="Zkladntextodsazen3">
    <w:name w:val="Body Text Indent 3"/>
    <w:basedOn w:val="Normln"/>
    <w:rsid w:val="0019276A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19276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19276A"/>
    <w:rPr>
      <w:color w:val="0000FF"/>
      <w:u w:val="single"/>
    </w:rPr>
  </w:style>
  <w:style w:type="character" w:styleId="Sledovanodkaz">
    <w:name w:val="FollowedHyperlink"/>
    <w:basedOn w:val="Standardnpsmoodstavce"/>
    <w:rsid w:val="0019276A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19276A"/>
    <w:rPr>
      <w:sz w:val="16"/>
      <w:szCs w:val="16"/>
    </w:rPr>
  </w:style>
  <w:style w:type="paragraph" w:styleId="Textkomente">
    <w:name w:val="annotation text"/>
    <w:basedOn w:val="Normln"/>
    <w:semiHidden/>
    <w:rsid w:val="0019276A"/>
    <w:rPr>
      <w:sz w:val="20"/>
      <w:szCs w:val="20"/>
    </w:rPr>
  </w:style>
  <w:style w:type="paragraph" w:customStyle="1" w:styleId="xl24">
    <w:name w:val="xl24"/>
    <w:basedOn w:val="Normln"/>
    <w:rsid w:val="0019276A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19276A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19276A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19276A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192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0D93-879E-497E-9F48-72BF660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12480</CharactersWithSpaces>
  <SharedDoc>false</SharedDoc>
  <HLinks>
    <vt:vector size="6" baseType="variant"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User</cp:lastModifiedBy>
  <cp:revision>3</cp:revision>
  <cp:lastPrinted>2014-03-31T08:16:00Z</cp:lastPrinted>
  <dcterms:created xsi:type="dcterms:W3CDTF">2014-04-17T12:47:00Z</dcterms:created>
  <dcterms:modified xsi:type="dcterms:W3CDTF">2014-04-17T12:48:00Z</dcterms:modified>
</cp:coreProperties>
</file>