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A75E40" w:rsidRPr="000A3A2C" w:rsidRDefault="00016992" w:rsidP="00E67696">
      <w:pPr>
        <w:rPr>
          <w:lang w:eastAsia="ar-SA"/>
        </w:rPr>
        <w:sectPr w:rsidR="00A75E40" w:rsidRPr="000A3A2C" w:rsidSect="00677C8F">
          <w:pgSz w:w="11906" w:h="16838" w:code="9"/>
          <w:pgMar w:top="1134" w:right="1134" w:bottom="1418" w:left="1134" w:header="709" w:footer="709" w:gutter="0"/>
          <w:pgNumType w:start="1"/>
          <w:cols w:space="708"/>
          <w:docGrid w:linePitch="360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7728" behindDoc="0" locked="1" layoutInCell="1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466725</wp:posOffset>
                </wp:positionV>
                <wp:extent cx="2249805" cy="554355"/>
                <wp:effectExtent l="0" t="0" r="0" b="0"/>
                <wp:wrapSquare wrapText="bothSides"/>
                <wp:docPr id="5" name="Group 2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249805" cy="554355"/>
                          <a:chOff x="567" y="851"/>
                          <a:chExt cx="2714" cy="667"/>
                        </a:xfrm>
                      </wpg:grpSpPr>
                      <wps:wsp>
                        <wps:cNvPr id="6" name="Rectangle 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215" y="901"/>
                            <a:ext cx="676" cy="154"/>
                          </a:xfrm>
                          <a:prstGeom prst="rect">
                            <a:avLst/>
                          </a:prstGeom>
                          <a:solidFill>
                            <a:srgbClr val="0071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Rectangle 10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567" y="1131"/>
                            <a:ext cx="1324" cy="154"/>
                          </a:xfrm>
                          <a:prstGeom prst="rect">
                            <a:avLst/>
                          </a:prstGeom>
                          <a:solidFill>
                            <a:srgbClr val="0071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Rectangle 1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288" y="1361"/>
                            <a:ext cx="603" cy="153"/>
                          </a:xfrm>
                          <a:prstGeom prst="rect">
                            <a:avLst/>
                          </a:prstGeom>
                          <a:solidFill>
                            <a:srgbClr val="0071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Freeform 12"/>
                        <wps:cNvSpPr>
                          <a:spLocks noChangeAspect="1" noEditPoints="1"/>
                        </wps:cNvSpPr>
                        <wps:spPr bwMode="auto">
                          <a:xfrm>
                            <a:off x="1969" y="1311"/>
                            <a:ext cx="600" cy="207"/>
                          </a:xfrm>
                          <a:custGeom>
                            <a:avLst/>
                            <a:gdLst>
                              <a:gd name="T0" fmla="*/ 520 w 1200"/>
                              <a:gd name="T1" fmla="*/ 84 h 415"/>
                              <a:gd name="T2" fmla="*/ 537 w 1200"/>
                              <a:gd name="T3" fmla="*/ 88 h 415"/>
                              <a:gd name="T4" fmla="*/ 550 w 1200"/>
                              <a:gd name="T5" fmla="*/ 100 h 415"/>
                              <a:gd name="T6" fmla="*/ 557 w 1200"/>
                              <a:gd name="T7" fmla="*/ 114 h 415"/>
                              <a:gd name="T8" fmla="*/ 559 w 1200"/>
                              <a:gd name="T9" fmla="*/ 131 h 415"/>
                              <a:gd name="T10" fmla="*/ 554 w 1200"/>
                              <a:gd name="T11" fmla="*/ 147 h 415"/>
                              <a:gd name="T12" fmla="*/ 544 w 1200"/>
                              <a:gd name="T13" fmla="*/ 160 h 415"/>
                              <a:gd name="T14" fmla="*/ 530 w 1200"/>
                              <a:gd name="T15" fmla="*/ 168 h 415"/>
                              <a:gd name="T16" fmla="*/ 506 w 1200"/>
                              <a:gd name="T17" fmla="*/ 170 h 415"/>
                              <a:gd name="T18" fmla="*/ 540 w 1200"/>
                              <a:gd name="T19" fmla="*/ 202 h 415"/>
                              <a:gd name="T20" fmla="*/ 567 w 1200"/>
                              <a:gd name="T21" fmla="*/ 190 h 415"/>
                              <a:gd name="T22" fmla="*/ 587 w 1200"/>
                              <a:gd name="T23" fmla="*/ 169 h 415"/>
                              <a:gd name="T24" fmla="*/ 599 w 1200"/>
                              <a:gd name="T25" fmla="*/ 142 h 415"/>
                              <a:gd name="T26" fmla="*/ 599 w 1200"/>
                              <a:gd name="T27" fmla="*/ 111 h 415"/>
                              <a:gd name="T28" fmla="*/ 587 w 1200"/>
                              <a:gd name="T29" fmla="*/ 84 h 415"/>
                              <a:gd name="T30" fmla="*/ 567 w 1200"/>
                              <a:gd name="T31" fmla="*/ 63 h 415"/>
                              <a:gd name="T32" fmla="*/ 540 w 1200"/>
                              <a:gd name="T33" fmla="*/ 51 h 415"/>
                              <a:gd name="T34" fmla="*/ 466 w 1200"/>
                              <a:gd name="T35" fmla="*/ 204 h 415"/>
                              <a:gd name="T36" fmla="*/ 388 w 1200"/>
                              <a:gd name="T37" fmla="*/ 146 h 415"/>
                              <a:gd name="T38" fmla="*/ 393 w 1200"/>
                              <a:gd name="T39" fmla="*/ 50 h 415"/>
                              <a:gd name="T40" fmla="*/ 343 w 1200"/>
                              <a:gd name="T41" fmla="*/ 177 h 415"/>
                              <a:gd name="T42" fmla="*/ 257 w 1200"/>
                              <a:gd name="T43" fmla="*/ 18 h 415"/>
                              <a:gd name="T44" fmla="*/ 174 w 1200"/>
                              <a:gd name="T45" fmla="*/ 18 h 415"/>
                              <a:gd name="T46" fmla="*/ 216 w 1200"/>
                              <a:gd name="T47" fmla="*/ 81 h 415"/>
                              <a:gd name="T48" fmla="*/ 231 w 1200"/>
                              <a:gd name="T49" fmla="*/ 88 h 415"/>
                              <a:gd name="T50" fmla="*/ 235 w 1200"/>
                              <a:gd name="T51" fmla="*/ 104 h 415"/>
                              <a:gd name="T52" fmla="*/ 225 w 1200"/>
                              <a:gd name="T53" fmla="*/ 116 h 415"/>
                              <a:gd name="T54" fmla="*/ 204 w 1200"/>
                              <a:gd name="T55" fmla="*/ 119 h 415"/>
                              <a:gd name="T56" fmla="*/ 258 w 1200"/>
                              <a:gd name="T57" fmla="*/ 135 h 415"/>
                              <a:gd name="T58" fmla="*/ 271 w 1200"/>
                              <a:gd name="T59" fmla="*/ 121 h 415"/>
                              <a:gd name="T60" fmla="*/ 276 w 1200"/>
                              <a:gd name="T61" fmla="*/ 102 h 415"/>
                              <a:gd name="T62" fmla="*/ 275 w 1200"/>
                              <a:gd name="T63" fmla="*/ 83 h 415"/>
                              <a:gd name="T64" fmla="*/ 266 w 1200"/>
                              <a:gd name="T65" fmla="*/ 67 h 415"/>
                              <a:gd name="T66" fmla="*/ 252 w 1200"/>
                              <a:gd name="T67" fmla="*/ 55 h 415"/>
                              <a:gd name="T68" fmla="*/ 232 w 1200"/>
                              <a:gd name="T69" fmla="*/ 50 h 415"/>
                              <a:gd name="T70" fmla="*/ 204 w 1200"/>
                              <a:gd name="T71" fmla="*/ 204 h 415"/>
                              <a:gd name="T72" fmla="*/ 243 w 1200"/>
                              <a:gd name="T73" fmla="*/ 141 h 415"/>
                              <a:gd name="T74" fmla="*/ 67 w 1200"/>
                              <a:gd name="T75" fmla="*/ 42 h 415"/>
                              <a:gd name="T76" fmla="*/ 0 w 1200"/>
                              <a:gd name="T77" fmla="*/ 139 h 415"/>
                              <a:gd name="T78" fmla="*/ 3 w 1200"/>
                              <a:gd name="T79" fmla="*/ 166 h 415"/>
                              <a:gd name="T80" fmla="*/ 12 w 1200"/>
                              <a:gd name="T81" fmla="*/ 184 h 415"/>
                              <a:gd name="T82" fmla="*/ 34 w 1200"/>
                              <a:gd name="T83" fmla="*/ 201 h 415"/>
                              <a:gd name="T84" fmla="*/ 67 w 1200"/>
                              <a:gd name="T85" fmla="*/ 207 h 415"/>
                              <a:gd name="T86" fmla="*/ 96 w 1200"/>
                              <a:gd name="T87" fmla="*/ 202 h 415"/>
                              <a:gd name="T88" fmla="*/ 119 w 1200"/>
                              <a:gd name="T89" fmla="*/ 186 h 415"/>
                              <a:gd name="T90" fmla="*/ 131 w 1200"/>
                              <a:gd name="T91" fmla="*/ 166 h 415"/>
                              <a:gd name="T92" fmla="*/ 134 w 1200"/>
                              <a:gd name="T93" fmla="*/ 139 h 415"/>
                              <a:gd name="T94" fmla="*/ 95 w 1200"/>
                              <a:gd name="T95" fmla="*/ 143 h 415"/>
                              <a:gd name="T96" fmla="*/ 89 w 1200"/>
                              <a:gd name="T97" fmla="*/ 163 h 415"/>
                              <a:gd name="T98" fmla="*/ 78 w 1200"/>
                              <a:gd name="T99" fmla="*/ 170 h 415"/>
                              <a:gd name="T100" fmla="*/ 63 w 1200"/>
                              <a:gd name="T101" fmla="*/ 172 h 415"/>
                              <a:gd name="T102" fmla="*/ 52 w 1200"/>
                              <a:gd name="T103" fmla="*/ 168 h 415"/>
                              <a:gd name="T104" fmla="*/ 42 w 1200"/>
                              <a:gd name="T105" fmla="*/ 156 h 415"/>
                              <a:gd name="T106" fmla="*/ 40 w 1200"/>
                              <a:gd name="T107" fmla="*/ 50 h 415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</a:gdLst>
                            <a:ahLst/>
                            <a:cxnLst>
                              <a:cxn ang="T108">
                                <a:pos x="T0" y="T1"/>
                              </a:cxn>
                              <a:cxn ang="T109">
                                <a:pos x="T2" y="T3"/>
                              </a:cxn>
                              <a:cxn ang="T110">
                                <a:pos x="T4" y="T5"/>
                              </a:cxn>
                              <a:cxn ang="T111">
                                <a:pos x="T6" y="T7"/>
                              </a:cxn>
                              <a:cxn ang="T112">
                                <a:pos x="T8" y="T9"/>
                              </a:cxn>
                              <a:cxn ang="T113">
                                <a:pos x="T10" y="T11"/>
                              </a:cxn>
                              <a:cxn ang="T114">
                                <a:pos x="T12" y="T13"/>
                              </a:cxn>
                              <a:cxn ang="T115">
                                <a:pos x="T14" y="T15"/>
                              </a:cxn>
                              <a:cxn ang="T116">
                                <a:pos x="T16" y="T17"/>
                              </a:cxn>
                              <a:cxn ang="T117">
                                <a:pos x="T18" y="T19"/>
                              </a:cxn>
                              <a:cxn ang="T118">
                                <a:pos x="T20" y="T21"/>
                              </a:cxn>
                              <a:cxn ang="T119">
                                <a:pos x="T22" y="T23"/>
                              </a:cxn>
                              <a:cxn ang="T120">
                                <a:pos x="T24" y="T25"/>
                              </a:cxn>
                              <a:cxn ang="T121">
                                <a:pos x="T26" y="T27"/>
                              </a:cxn>
                              <a:cxn ang="T122">
                                <a:pos x="T28" y="T29"/>
                              </a:cxn>
                              <a:cxn ang="T123">
                                <a:pos x="T30" y="T31"/>
                              </a:cxn>
                              <a:cxn ang="T124">
                                <a:pos x="T32" y="T33"/>
                              </a:cxn>
                              <a:cxn ang="T125">
                                <a:pos x="T34" y="T35"/>
                              </a:cxn>
                              <a:cxn ang="T126">
                                <a:pos x="T36" y="T37"/>
                              </a:cxn>
                              <a:cxn ang="T127">
                                <a:pos x="T38" y="T39"/>
                              </a:cxn>
                              <a:cxn ang="T128">
                                <a:pos x="T40" y="T41"/>
                              </a:cxn>
                              <a:cxn ang="T129">
                                <a:pos x="T42" y="T43"/>
                              </a:cxn>
                              <a:cxn ang="T130">
                                <a:pos x="T44" y="T45"/>
                              </a:cxn>
                              <a:cxn ang="T131">
                                <a:pos x="T46" y="T47"/>
                              </a:cxn>
                              <a:cxn ang="T132">
                                <a:pos x="T48" y="T49"/>
                              </a:cxn>
                              <a:cxn ang="T133">
                                <a:pos x="T50" y="T51"/>
                              </a:cxn>
                              <a:cxn ang="T134">
                                <a:pos x="T52" y="T53"/>
                              </a:cxn>
                              <a:cxn ang="T135">
                                <a:pos x="T54" y="T55"/>
                              </a:cxn>
                              <a:cxn ang="T136">
                                <a:pos x="T56" y="T57"/>
                              </a:cxn>
                              <a:cxn ang="T137">
                                <a:pos x="T58" y="T59"/>
                              </a:cxn>
                              <a:cxn ang="T138">
                                <a:pos x="T60" y="T61"/>
                              </a:cxn>
                              <a:cxn ang="T139">
                                <a:pos x="T62" y="T63"/>
                              </a:cxn>
                              <a:cxn ang="T140">
                                <a:pos x="T64" y="T65"/>
                              </a:cxn>
                              <a:cxn ang="T141">
                                <a:pos x="T66" y="T67"/>
                              </a:cxn>
                              <a:cxn ang="T142">
                                <a:pos x="T68" y="T69"/>
                              </a:cxn>
                              <a:cxn ang="T143">
                                <a:pos x="T70" y="T71"/>
                              </a:cxn>
                              <a:cxn ang="T144">
                                <a:pos x="T72" y="T73"/>
                              </a:cxn>
                              <a:cxn ang="T145">
                                <a:pos x="T74" y="T75"/>
                              </a:cxn>
                              <a:cxn ang="T146">
                                <a:pos x="T76" y="T77"/>
                              </a:cxn>
                              <a:cxn ang="T147">
                                <a:pos x="T78" y="T79"/>
                              </a:cxn>
                              <a:cxn ang="T148">
                                <a:pos x="T80" y="T81"/>
                              </a:cxn>
                              <a:cxn ang="T149">
                                <a:pos x="T82" y="T83"/>
                              </a:cxn>
                              <a:cxn ang="T150">
                                <a:pos x="T84" y="T85"/>
                              </a:cxn>
                              <a:cxn ang="T151">
                                <a:pos x="T86" y="T87"/>
                              </a:cxn>
                              <a:cxn ang="T152">
                                <a:pos x="T88" y="T89"/>
                              </a:cxn>
                              <a:cxn ang="T153">
                                <a:pos x="T90" y="T91"/>
                              </a:cxn>
                              <a:cxn ang="T154">
                                <a:pos x="T92" y="T93"/>
                              </a:cxn>
                              <a:cxn ang="T155">
                                <a:pos x="T94" y="T95"/>
                              </a:cxn>
                              <a:cxn ang="T156">
                                <a:pos x="T96" y="T97"/>
                              </a:cxn>
                              <a:cxn ang="T157">
                                <a:pos x="T98" y="T99"/>
                              </a:cxn>
                              <a:cxn ang="T158">
                                <a:pos x="T100" y="T101"/>
                              </a:cxn>
                              <a:cxn ang="T159">
                                <a:pos x="T102" y="T103"/>
                              </a:cxn>
                              <a:cxn ang="T160">
                                <a:pos x="T104" y="T105"/>
                              </a:cxn>
                              <a:cxn ang="T161">
                                <a:pos x="T106" y="T107"/>
                              </a:cxn>
                            </a:cxnLst>
                            <a:rect l="0" t="0" r="r" b="b"/>
                            <a:pathLst>
                              <a:path w="1200" h="415">
                                <a:moveTo>
                                  <a:pt x="1011" y="341"/>
                                </a:moveTo>
                                <a:lnTo>
                                  <a:pt x="1011" y="167"/>
                                </a:lnTo>
                                <a:lnTo>
                                  <a:pt x="1030" y="167"/>
                                </a:lnTo>
                                <a:lnTo>
                                  <a:pt x="1040" y="169"/>
                                </a:lnTo>
                                <a:lnTo>
                                  <a:pt x="1049" y="170"/>
                                </a:lnTo>
                                <a:lnTo>
                                  <a:pt x="1059" y="171"/>
                                </a:lnTo>
                                <a:lnTo>
                                  <a:pt x="1067" y="174"/>
                                </a:lnTo>
                                <a:lnTo>
                                  <a:pt x="1074" y="177"/>
                                </a:lnTo>
                                <a:lnTo>
                                  <a:pt x="1082" y="182"/>
                                </a:lnTo>
                                <a:lnTo>
                                  <a:pt x="1088" y="187"/>
                                </a:lnTo>
                                <a:lnTo>
                                  <a:pt x="1094" y="194"/>
                                </a:lnTo>
                                <a:lnTo>
                                  <a:pt x="1099" y="200"/>
                                </a:lnTo>
                                <a:lnTo>
                                  <a:pt x="1104" y="206"/>
                                </a:lnTo>
                                <a:lnTo>
                                  <a:pt x="1108" y="213"/>
                                </a:lnTo>
                                <a:lnTo>
                                  <a:pt x="1112" y="221"/>
                                </a:lnTo>
                                <a:lnTo>
                                  <a:pt x="1114" y="228"/>
                                </a:lnTo>
                                <a:lnTo>
                                  <a:pt x="1116" y="237"/>
                                </a:lnTo>
                                <a:lnTo>
                                  <a:pt x="1117" y="245"/>
                                </a:lnTo>
                                <a:lnTo>
                                  <a:pt x="1117" y="253"/>
                                </a:lnTo>
                                <a:lnTo>
                                  <a:pt x="1117" y="262"/>
                                </a:lnTo>
                                <a:lnTo>
                                  <a:pt x="1116" y="271"/>
                                </a:lnTo>
                                <a:lnTo>
                                  <a:pt x="1114" y="278"/>
                                </a:lnTo>
                                <a:lnTo>
                                  <a:pt x="1112" y="287"/>
                                </a:lnTo>
                                <a:lnTo>
                                  <a:pt x="1108" y="294"/>
                                </a:lnTo>
                                <a:lnTo>
                                  <a:pt x="1104" y="301"/>
                                </a:lnTo>
                                <a:lnTo>
                                  <a:pt x="1099" y="308"/>
                                </a:lnTo>
                                <a:lnTo>
                                  <a:pt x="1094" y="314"/>
                                </a:lnTo>
                                <a:lnTo>
                                  <a:pt x="1088" y="321"/>
                                </a:lnTo>
                                <a:lnTo>
                                  <a:pt x="1082" y="326"/>
                                </a:lnTo>
                                <a:lnTo>
                                  <a:pt x="1074" y="331"/>
                                </a:lnTo>
                                <a:lnTo>
                                  <a:pt x="1067" y="334"/>
                                </a:lnTo>
                                <a:lnTo>
                                  <a:pt x="1059" y="337"/>
                                </a:lnTo>
                                <a:lnTo>
                                  <a:pt x="1049" y="338"/>
                                </a:lnTo>
                                <a:lnTo>
                                  <a:pt x="1040" y="339"/>
                                </a:lnTo>
                                <a:lnTo>
                                  <a:pt x="1030" y="341"/>
                                </a:lnTo>
                                <a:lnTo>
                                  <a:pt x="1011" y="341"/>
                                </a:lnTo>
                                <a:close/>
                                <a:moveTo>
                                  <a:pt x="931" y="408"/>
                                </a:moveTo>
                                <a:lnTo>
                                  <a:pt x="1049" y="408"/>
                                </a:lnTo>
                                <a:lnTo>
                                  <a:pt x="1064" y="407"/>
                                </a:lnTo>
                                <a:lnTo>
                                  <a:pt x="1079" y="404"/>
                                </a:lnTo>
                                <a:lnTo>
                                  <a:pt x="1093" y="400"/>
                                </a:lnTo>
                                <a:lnTo>
                                  <a:pt x="1107" y="395"/>
                                </a:lnTo>
                                <a:lnTo>
                                  <a:pt x="1121" y="389"/>
                                </a:lnTo>
                                <a:lnTo>
                                  <a:pt x="1133" y="380"/>
                                </a:lnTo>
                                <a:lnTo>
                                  <a:pt x="1144" y="372"/>
                                </a:lnTo>
                                <a:lnTo>
                                  <a:pt x="1155" y="362"/>
                                </a:lnTo>
                                <a:lnTo>
                                  <a:pt x="1165" y="351"/>
                                </a:lnTo>
                                <a:lnTo>
                                  <a:pt x="1174" y="339"/>
                                </a:lnTo>
                                <a:lnTo>
                                  <a:pt x="1182" y="326"/>
                                </a:lnTo>
                                <a:lnTo>
                                  <a:pt x="1188" y="313"/>
                                </a:lnTo>
                                <a:lnTo>
                                  <a:pt x="1194" y="298"/>
                                </a:lnTo>
                                <a:lnTo>
                                  <a:pt x="1198" y="284"/>
                                </a:lnTo>
                                <a:lnTo>
                                  <a:pt x="1200" y="270"/>
                                </a:lnTo>
                                <a:lnTo>
                                  <a:pt x="1200" y="253"/>
                                </a:lnTo>
                                <a:lnTo>
                                  <a:pt x="1200" y="238"/>
                                </a:lnTo>
                                <a:lnTo>
                                  <a:pt x="1198" y="223"/>
                                </a:lnTo>
                                <a:lnTo>
                                  <a:pt x="1194" y="208"/>
                                </a:lnTo>
                                <a:lnTo>
                                  <a:pt x="1188" y="195"/>
                                </a:lnTo>
                                <a:lnTo>
                                  <a:pt x="1182" y="181"/>
                                </a:lnTo>
                                <a:lnTo>
                                  <a:pt x="1174" y="169"/>
                                </a:lnTo>
                                <a:lnTo>
                                  <a:pt x="1165" y="157"/>
                                </a:lnTo>
                                <a:lnTo>
                                  <a:pt x="1155" y="146"/>
                                </a:lnTo>
                                <a:lnTo>
                                  <a:pt x="1144" y="136"/>
                                </a:lnTo>
                                <a:lnTo>
                                  <a:pt x="1133" y="126"/>
                                </a:lnTo>
                                <a:lnTo>
                                  <a:pt x="1121" y="119"/>
                                </a:lnTo>
                                <a:lnTo>
                                  <a:pt x="1107" y="113"/>
                                </a:lnTo>
                                <a:lnTo>
                                  <a:pt x="1093" y="108"/>
                                </a:lnTo>
                                <a:lnTo>
                                  <a:pt x="1079" y="103"/>
                                </a:lnTo>
                                <a:lnTo>
                                  <a:pt x="1064" y="101"/>
                                </a:lnTo>
                                <a:lnTo>
                                  <a:pt x="1049" y="100"/>
                                </a:lnTo>
                                <a:lnTo>
                                  <a:pt x="931" y="100"/>
                                </a:lnTo>
                                <a:lnTo>
                                  <a:pt x="931" y="408"/>
                                </a:lnTo>
                                <a:close/>
                                <a:moveTo>
                                  <a:pt x="775" y="293"/>
                                </a:moveTo>
                                <a:lnTo>
                                  <a:pt x="708" y="293"/>
                                </a:lnTo>
                                <a:lnTo>
                                  <a:pt x="742" y="195"/>
                                </a:lnTo>
                                <a:lnTo>
                                  <a:pt x="775" y="293"/>
                                </a:lnTo>
                                <a:close/>
                                <a:moveTo>
                                  <a:pt x="797" y="354"/>
                                </a:moveTo>
                                <a:lnTo>
                                  <a:pt x="817" y="408"/>
                                </a:lnTo>
                                <a:lnTo>
                                  <a:pt x="901" y="408"/>
                                </a:lnTo>
                                <a:lnTo>
                                  <a:pt x="785" y="100"/>
                                </a:lnTo>
                                <a:lnTo>
                                  <a:pt x="698" y="100"/>
                                </a:lnTo>
                                <a:lnTo>
                                  <a:pt x="581" y="408"/>
                                </a:lnTo>
                                <a:lnTo>
                                  <a:pt x="665" y="408"/>
                                </a:lnTo>
                                <a:lnTo>
                                  <a:pt x="686" y="354"/>
                                </a:lnTo>
                                <a:lnTo>
                                  <a:pt x="797" y="354"/>
                                </a:lnTo>
                                <a:close/>
                                <a:moveTo>
                                  <a:pt x="347" y="37"/>
                                </a:moveTo>
                                <a:lnTo>
                                  <a:pt x="430" y="83"/>
                                </a:lnTo>
                                <a:lnTo>
                                  <a:pt x="513" y="37"/>
                                </a:lnTo>
                                <a:lnTo>
                                  <a:pt x="491" y="3"/>
                                </a:lnTo>
                                <a:lnTo>
                                  <a:pt x="430" y="34"/>
                                </a:lnTo>
                                <a:lnTo>
                                  <a:pt x="369" y="3"/>
                                </a:lnTo>
                                <a:lnTo>
                                  <a:pt x="347" y="37"/>
                                </a:lnTo>
                                <a:close/>
                                <a:moveTo>
                                  <a:pt x="407" y="238"/>
                                </a:moveTo>
                                <a:lnTo>
                                  <a:pt x="407" y="161"/>
                                </a:lnTo>
                                <a:lnTo>
                                  <a:pt x="422" y="161"/>
                                </a:lnTo>
                                <a:lnTo>
                                  <a:pt x="432" y="162"/>
                                </a:lnTo>
                                <a:lnTo>
                                  <a:pt x="442" y="164"/>
                                </a:lnTo>
                                <a:lnTo>
                                  <a:pt x="449" y="166"/>
                                </a:lnTo>
                                <a:lnTo>
                                  <a:pt x="455" y="170"/>
                                </a:lnTo>
                                <a:lnTo>
                                  <a:pt x="461" y="176"/>
                                </a:lnTo>
                                <a:lnTo>
                                  <a:pt x="466" y="182"/>
                                </a:lnTo>
                                <a:lnTo>
                                  <a:pt x="469" y="191"/>
                                </a:lnTo>
                                <a:lnTo>
                                  <a:pt x="470" y="200"/>
                                </a:lnTo>
                                <a:lnTo>
                                  <a:pt x="469" y="208"/>
                                </a:lnTo>
                                <a:lnTo>
                                  <a:pt x="466" y="216"/>
                                </a:lnTo>
                                <a:lnTo>
                                  <a:pt x="461" y="223"/>
                                </a:lnTo>
                                <a:lnTo>
                                  <a:pt x="455" y="230"/>
                                </a:lnTo>
                                <a:lnTo>
                                  <a:pt x="449" y="233"/>
                                </a:lnTo>
                                <a:lnTo>
                                  <a:pt x="442" y="236"/>
                                </a:lnTo>
                                <a:lnTo>
                                  <a:pt x="432" y="237"/>
                                </a:lnTo>
                                <a:lnTo>
                                  <a:pt x="422" y="238"/>
                                </a:lnTo>
                                <a:lnTo>
                                  <a:pt x="407" y="238"/>
                                </a:lnTo>
                                <a:close/>
                                <a:moveTo>
                                  <a:pt x="485" y="282"/>
                                </a:moveTo>
                                <a:lnTo>
                                  <a:pt x="498" y="278"/>
                                </a:lnTo>
                                <a:lnTo>
                                  <a:pt x="508" y="275"/>
                                </a:lnTo>
                                <a:lnTo>
                                  <a:pt x="516" y="270"/>
                                </a:lnTo>
                                <a:lnTo>
                                  <a:pt x="525" y="263"/>
                                </a:lnTo>
                                <a:lnTo>
                                  <a:pt x="531" y="257"/>
                                </a:lnTo>
                                <a:lnTo>
                                  <a:pt x="536" y="250"/>
                                </a:lnTo>
                                <a:lnTo>
                                  <a:pt x="541" y="242"/>
                                </a:lnTo>
                                <a:lnTo>
                                  <a:pt x="545" y="233"/>
                                </a:lnTo>
                                <a:lnTo>
                                  <a:pt x="549" y="225"/>
                                </a:lnTo>
                                <a:lnTo>
                                  <a:pt x="551" y="215"/>
                                </a:lnTo>
                                <a:lnTo>
                                  <a:pt x="552" y="205"/>
                                </a:lnTo>
                                <a:lnTo>
                                  <a:pt x="552" y="195"/>
                                </a:lnTo>
                                <a:lnTo>
                                  <a:pt x="552" y="186"/>
                                </a:lnTo>
                                <a:lnTo>
                                  <a:pt x="551" y="176"/>
                                </a:lnTo>
                                <a:lnTo>
                                  <a:pt x="549" y="167"/>
                                </a:lnTo>
                                <a:lnTo>
                                  <a:pt x="546" y="159"/>
                                </a:lnTo>
                                <a:lnTo>
                                  <a:pt x="542" y="150"/>
                                </a:lnTo>
                                <a:lnTo>
                                  <a:pt x="537" y="141"/>
                                </a:lnTo>
                                <a:lnTo>
                                  <a:pt x="532" y="134"/>
                                </a:lnTo>
                                <a:lnTo>
                                  <a:pt x="526" y="128"/>
                                </a:lnTo>
                                <a:lnTo>
                                  <a:pt x="519" y="120"/>
                                </a:lnTo>
                                <a:lnTo>
                                  <a:pt x="511" y="115"/>
                                </a:lnTo>
                                <a:lnTo>
                                  <a:pt x="504" y="110"/>
                                </a:lnTo>
                                <a:lnTo>
                                  <a:pt x="495" y="106"/>
                                </a:lnTo>
                                <a:lnTo>
                                  <a:pt x="485" y="104"/>
                                </a:lnTo>
                                <a:lnTo>
                                  <a:pt x="475" y="101"/>
                                </a:lnTo>
                                <a:lnTo>
                                  <a:pt x="463" y="100"/>
                                </a:lnTo>
                                <a:lnTo>
                                  <a:pt x="450" y="100"/>
                                </a:lnTo>
                                <a:lnTo>
                                  <a:pt x="327" y="100"/>
                                </a:lnTo>
                                <a:lnTo>
                                  <a:pt x="327" y="408"/>
                                </a:lnTo>
                                <a:lnTo>
                                  <a:pt x="407" y="408"/>
                                </a:lnTo>
                                <a:lnTo>
                                  <a:pt x="407" y="289"/>
                                </a:lnTo>
                                <a:lnTo>
                                  <a:pt x="483" y="408"/>
                                </a:lnTo>
                                <a:lnTo>
                                  <a:pt x="582" y="408"/>
                                </a:lnTo>
                                <a:lnTo>
                                  <a:pt x="485" y="282"/>
                                </a:lnTo>
                                <a:close/>
                                <a:moveTo>
                                  <a:pt x="210" y="35"/>
                                </a:moveTo>
                                <a:lnTo>
                                  <a:pt x="171" y="0"/>
                                </a:lnTo>
                                <a:lnTo>
                                  <a:pt x="105" y="56"/>
                                </a:lnTo>
                                <a:lnTo>
                                  <a:pt x="133" y="85"/>
                                </a:lnTo>
                                <a:lnTo>
                                  <a:pt x="210" y="35"/>
                                </a:lnTo>
                                <a:close/>
                                <a:moveTo>
                                  <a:pt x="80" y="100"/>
                                </a:moveTo>
                                <a:lnTo>
                                  <a:pt x="0" y="100"/>
                                </a:lnTo>
                                <a:lnTo>
                                  <a:pt x="0" y="278"/>
                                </a:lnTo>
                                <a:lnTo>
                                  <a:pt x="0" y="293"/>
                                </a:lnTo>
                                <a:lnTo>
                                  <a:pt x="2" y="308"/>
                                </a:lnTo>
                                <a:lnTo>
                                  <a:pt x="3" y="321"/>
                                </a:lnTo>
                                <a:lnTo>
                                  <a:pt x="5" y="333"/>
                                </a:lnTo>
                                <a:lnTo>
                                  <a:pt x="9" y="343"/>
                                </a:lnTo>
                                <a:lnTo>
                                  <a:pt x="13" y="353"/>
                                </a:lnTo>
                                <a:lnTo>
                                  <a:pt x="17" y="362"/>
                                </a:lnTo>
                                <a:lnTo>
                                  <a:pt x="23" y="369"/>
                                </a:lnTo>
                                <a:lnTo>
                                  <a:pt x="32" y="379"/>
                                </a:lnTo>
                                <a:lnTo>
                                  <a:pt x="43" y="389"/>
                                </a:lnTo>
                                <a:lnTo>
                                  <a:pt x="54" y="397"/>
                                </a:lnTo>
                                <a:lnTo>
                                  <a:pt x="68" y="403"/>
                                </a:lnTo>
                                <a:lnTo>
                                  <a:pt x="83" y="409"/>
                                </a:lnTo>
                                <a:lnTo>
                                  <a:pt x="99" y="413"/>
                                </a:lnTo>
                                <a:lnTo>
                                  <a:pt x="115" y="415"/>
                                </a:lnTo>
                                <a:lnTo>
                                  <a:pt x="133" y="415"/>
                                </a:lnTo>
                                <a:lnTo>
                                  <a:pt x="149" y="415"/>
                                </a:lnTo>
                                <a:lnTo>
                                  <a:pt x="165" y="413"/>
                                </a:lnTo>
                                <a:lnTo>
                                  <a:pt x="179" y="409"/>
                                </a:lnTo>
                                <a:lnTo>
                                  <a:pt x="192" y="404"/>
                                </a:lnTo>
                                <a:lnTo>
                                  <a:pt x="206" y="399"/>
                                </a:lnTo>
                                <a:lnTo>
                                  <a:pt x="217" y="392"/>
                                </a:lnTo>
                                <a:lnTo>
                                  <a:pt x="228" y="383"/>
                                </a:lnTo>
                                <a:lnTo>
                                  <a:pt x="238" y="372"/>
                                </a:lnTo>
                                <a:lnTo>
                                  <a:pt x="246" y="363"/>
                                </a:lnTo>
                                <a:lnTo>
                                  <a:pt x="253" y="353"/>
                                </a:lnTo>
                                <a:lnTo>
                                  <a:pt x="258" y="343"/>
                                </a:lnTo>
                                <a:lnTo>
                                  <a:pt x="262" y="333"/>
                                </a:lnTo>
                                <a:lnTo>
                                  <a:pt x="265" y="321"/>
                                </a:lnTo>
                                <a:lnTo>
                                  <a:pt x="267" y="308"/>
                                </a:lnTo>
                                <a:lnTo>
                                  <a:pt x="268" y="293"/>
                                </a:lnTo>
                                <a:lnTo>
                                  <a:pt x="268" y="278"/>
                                </a:lnTo>
                                <a:lnTo>
                                  <a:pt x="268" y="100"/>
                                </a:lnTo>
                                <a:lnTo>
                                  <a:pt x="189" y="100"/>
                                </a:lnTo>
                                <a:lnTo>
                                  <a:pt x="189" y="267"/>
                                </a:lnTo>
                                <a:lnTo>
                                  <a:pt x="189" y="287"/>
                                </a:lnTo>
                                <a:lnTo>
                                  <a:pt x="187" y="301"/>
                                </a:lnTo>
                                <a:lnTo>
                                  <a:pt x="185" y="311"/>
                                </a:lnTo>
                                <a:lnTo>
                                  <a:pt x="181" y="321"/>
                                </a:lnTo>
                                <a:lnTo>
                                  <a:pt x="177" y="326"/>
                                </a:lnTo>
                                <a:lnTo>
                                  <a:pt x="172" y="331"/>
                                </a:lnTo>
                                <a:lnTo>
                                  <a:pt x="167" y="334"/>
                                </a:lnTo>
                                <a:lnTo>
                                  <a:pt x="161" y="338"/>
                                </a:lnTo>
                                <a:lnTo>
                                  <a:pt x="155" y="341"/>
                                </a:lnTo>
                                <a:lnTo>
                                  <a:pt x="149" y="343"/>
                                </a:lnTo>
                                <a:lnTo>
                                  <a:pt x="141" y="344"/>
                                </a:lnTo>
                                <a:lnTo>
                                  <a:pt x="134" y="346"/>
                                </a:lnTo>
                                <a:lnTo>
                                  <a:pt x="126" y="344"/>
                                </a:lnTo>
                                <a:lnTo>
                                  <a:pt x="120" y="343"/>
                                </a:lnTo>
                                <a:lnTo>
                                  <a:pt x="114" y="342"/>
                                </a:lnTo>
                                <a:lnTo>
                                  <a:pt x="108" y="339"/>
                                </a:lnTo>
                                <a:lnTo>
                                  <a:pt x="103" y="336"/>
                                </a:lnTo>
                                <a:lnTo>
                                  <a:pt x="98" y="332"/>
                                </a:lnTo>
                                <a:lnTo>
                                  <a:pt x="93" y="327"/>
                                </a:lnTo>
                                <a:lnTo>
                                  <a:pt x="89" y="322"/>
                                </a:lnTo>
                                <a:lnTo>
                                  <a:pt x="84" y="312"/>
                                </a:lnTo>
                                <a:lnTo>
                                  <a:pt x="81" y="302"/>
                                </a:lnTo>
                                <a:lnTo>
                                  <a:pt x="80" y="288"/>
                                </a:lnTo>
                                <a:lnTo>
                                  <a:pt x="80" y="267"/>
                                </a:lnTo>
                                <a:lnTo>
                                  <a:pt x="80" y="1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1B2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Freeform 13"/>
                        <wps:cNvSpPr>
                          <a:spLocks noChangeAspect="1" noEditPoints="1"/>
                        </wps:cNvSpPr>
                        <wps:spPr bwMode="auto">
                          <a:xfrm>
                            <a:off x="1962" y="1081"/>
                            <a:ext cx="1319" cy="208"/>
                          </a:xfrm>
                          <a:custGeom>
                            <a:avLst/>
                            <a:gdLst>
                              <a:gd name="T0" fmla="*/ 1221 w 2637"/>
                              <a:gd name="T1" fmla="*/ 204 h 416"/>
                              <a:gd name="T2" fmla="*/ 1166 w 2637"/>
                              <a:gd name="T3" fmla="*/ 50 h 416"/>
                              <a:gd name="T4" fmla="*/ 1072 w 2637"/>
                              <a:gd name="T5" fmla="*/ 137 h 416"/>
                              <a:gd name="T6" fmla="*/ 1004 w 2637"/>
                              <a:gd name="T7" fmla="*/ 54 h 416"/>
                              <a:gd name="T8" fmla="*/ 943 w 2637"/>
                              <a:gd name="T9" fmla="*/ 51 h 416"/>
                              <a:gd name="T10" fmla="*/ 900 w 2637"/>
                              <a:gd name="T11" fmla="*/ 82 h 416"/>
                              <a:gd name="T12" fmla="*/ 887 w 2637"/>
                              <a:gd name="T13" fmla="*/ 136 h 416"/>
                              <a:gd name="T14" fmla="*/ 907 w 2637"/>
                              <a:gd name="T15" fmla="*/ 181 h 416"/>
                              <a:gd name="T16" fmla="*/ 959 w 2637"/>
                              <a:gd name="T17" fmla="*/ 208 h 416"/>
                              <a:gd name="T18" fmla="*/ 1000 w 2637"/>
                              <a:gd name="T19" fmla="*/ 157 h 416"/>
                              <a:gd name="T20" fmla="*/ 969 w 2637"/>
                              <a:gd name="T21" fmla="*/ 169 h 416"/>
                              <a:gd name="T22" fmla="*/ 945 w 2637"/>
                              <a:gd name="T23" fmla="*/ 161 h 416"/>
                              <a:gd name="T24" fmla="*/ 929 w 2637"/>
                              <a:gd name="T25" fmla="*/ 137 h 416"/>
                              <a:gd name="T26" fmla="*/ 933 w 2637"/>
                              <a:gd name="T27" fmla="*/ 107 h 416"/>
                              <a:gd name="T28" fmla="*/ 953 w 2637"/>
                              <a:gd name="T29" fmla="*/ 89 h 416"/>
                              <a:gd name="T30" fmla="*/ 984 w 2637"/>
                              <a:gd name="T31" fmla="*/ 88 h 416"/>
                              <a:gd name="T32" fmla="*/ 864 w 2637"/>
                              <a:gd name="T33" fmla="*/ 50 h 416"/>
                              <a:gd name="T34" fmla="*/ 802 w 2637"/>
                              <a:gd name="T35" fmla="*/ 50 h 416"/>
                              <a:gd name="T36" fmla="*/ 680 w 2637"/>
                              <a:gd name="T37" fmla="*/ 59 h 416"/>
                              <a:gd name="T38" fmla="*/ 638 w 2637"/>
                              <a:gd name="T39" fmla="*/ 46 h 416"/>
                              <a:gd name="T40" fmla="*/ 602 w 2637"/>
                              <a:gd name="T41" fmla="*/ 54 h 416"/>
                              <a:gd name="T42" fmla="*/ 581 w 2637"/>
                              <a:gd name="T43" fmla="*/ 82 h 416"/>
                              <a:gd name="T44" fmla="*/ 583 w 2637"/>
                              <a:gd name="T45" fmla="*/ 116 h 416"/>
                              <a:gd name="T46" fmla="*/ 610 w 2637"/>
                              <a:gd name="T47" fmla="*/ 138 h 416"/>
                              <a:gd name="T48" fmla="*/ 644 w 2637"/>
                              <a:gd name="T49" fmla="*/ 153 h 416"/>
                              <a:gd name="T50" fmla="*/ 637 w 2637"/>
                              <a:gd name="T51" fmla="*/ 171 h 416"/>
                              <a:gd name="T52" fmla="*/ 608 w 2637"/>
                              <a:gd name="T53" fmla="*/ 170 h 416"/>
                              <a:gd name="T54" fmla="*/ 586 w 2637"/>
                              <a:gd name="T55" fmla="*/ 198 h 416"/>
                              <a:gd name="T56" fmla="*/ 633 w 2637"/>
                              <a:gd name="T57" fmla="*/ 208 h 416"/>
                              <a:gd name="T58" fmla="*/ 671 w 2637"/>
                              <a:gd name="T59" fmla="*/ 193 h 416"/>
                              <a:gd name="T60" fmla="*/ 687 w 2637"/>
                              <a:gd name="T61" fmla="*/ 160 h 416"/>
                              <a:gd name="T62" fmla="*/ 678 w 2637"/>
                              <a:gd name="T63" fmla="*/ 126 h 416"/>
                              <a:gd name="T64" fmla="*/ 638 w 2637"/>
                              <a:gd name="T65" fmla="*/ 107 h 416"/>
                              <a:gd name="T66" fmla="*/ 621 w 2637"/>
                              <a:gd name="T67" fmla="*/ 93 h 416"/>
                              <a:gd name="T68" fmla="*/ 635 w 2637"/>
                              <a:gd name="T69" fmla="*/ 80 h 416"/>
                              <a:gd name="T70" fmla="*/ 665 w 2637"/>
                              <a:gd name="T71" fmla="*/ 90 h 416"/>
                              <a:gd name="T72" fmla="*/ 452 w 2637"/>
                              <a:gd name="T73" fmla="*/ 84 h 416"/>
                              <a:gd name="T74" fmla="*/ 452 w 2637"/>
                              <a:gd name="T75" fmla="*/ 204 h 416"/>
                              <a:gd name="T76" fmla="*/ 343 w 2637"/>
                              <a:gd name="T77" fmla="*/ 204 h 416"/>
                              <a:gd name="T78" fmla="*/ 333 w 2637"/>
                              <a:gd name="T79" fmla="*/ 177 h 416"/>
                              <a:gd name="T80" fmla="*/ 158 w 2637"/>
                              <a:gd name="T81" fmla="*/ 204 h 416"/>
                              <a:gd name="T82" fmla="*/ 84 w 2637"/>
                              <a:gd name="T83" fmla="*/ 49 h 416"/>
                              <a:gd name="T84" fmla="*/ 42 w 2637"/>
                              <a:gd name="T85" fmla="*/ 48 h 416"/>
                              <a:gd name="T86" fmla="*/ 14 w 2637"/>
                              <a:gd name="T87" fmla="*/ 68 h 416"/>
                              <a:gd name="T88" fmla="*/ 6 w 2637"/>
                              <a:gd name="T89" fmla="*/ 103 h 416"/>
                              <a:gd name="T90" fmla="*/ 19 w 2637"/>
                              <a:gd name="T91" fmla="*/ 128 h 416"/>
                              <a:gd name="T92" fmla="*/ 64 w 2637"/>
                              <a:gd name="T93" fmla="*/ 147 h 416"/>
                              <a:gd name="T94" fmla="*/ 71 w 2637"/>
                              <a:gd name="T95" fmla="*/ 165 h 416"/>
                              <a:gd name="T96" fmla="*/ 48 w 2637"/>
                              <a:gd name="T97" fmla="*/ 174 h 416"/>
                              <a:gd name="T98" fmla="*/ 17 w 2637"/>
                              <a:gd name="T99" fmla="*/ 158 h 416"/>
                              <a:gd name="T100" fmla="*/ 40 w 2637"/>
                              <a:gd name="T101" fmla="*/ 207 h 416"/>
                              <a:gd name="T102" fmla="*/ 84 w 2637"/>
                              <a:gd name="T103" fmla="*/ 202 h 416"/>
                              <a:gd name="T104" fmla="*/ 110 w 2637"/>
                              <a:gd name="T105" fmla="*/ 176 h 416"/>
                              <a:gd name="T106" fmla="*/ 110 w 2637"/>
                              <a:gd name="T107" fmla="*/ 135 h 416"/>
                              <a:gd name="T108" fmla="*/ 93 w 2637"/>
                              <a:gd name="T109" fmla="*/ 117 h 416"/>
                              <a:gd name="T110" fmla="*/ 50 w 2637"/>
                              <a:gd name="T111" fmla="*/ 99 h 416"/>
                              <a:gd name="T112" fmla="*/ 53 w 2637"/>
                              <a:gd name="T113" fmla="*/ 84 h 416"/>
                              <a:gd name="T114" fmla="*/ 76 w 2637"/>
                              <a:gd name="T115" fmla="*/ 81 h 41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</a:gdLst>
                            <a:ahLst/>
                            <a:cxnLst>
                              <a:cxn ang="T116">
                                <a:pos x="T0" y="T1"/>
                              </a:cxn>
                              <a:cxn ang="T117">
                                <a:pos x="T2" y="T3"/>
                              </a:cxn>
                              <a:cxn ang="T118">
                                <a:pos x="T4" y="T5"/>
                              </a:cxn>
                              <a:cxn ang="T119">
                                <a:pos x="T6" y="T7"/>
                              </a:cxn>
                              <a:cxn ang="T120">
                                <a:pos x="T8" y="T9"/>
                              </a:cxn>
                              <a:cxn ang="T121">
                                <a:pos x="T10" y="T11"/>
                              </a:cxn>
                              <a:cxn ang="T122">
                                <a:pos x="T12" y="T13"/>
                              </a:cxn>
                              <a:cxn ang="T123">
                                <a:pos x="T14" y="T15"/>
                              </a:cxn>
                              <a:cxn ang="T124">
                                <a:pos x="T16" y="T17"/>
                              </a:cxn>
                              <a:cxn ang="T125">
                                <a:pos x="T18" y="T19"/>
                              </a:cxn>
                              <a:cxn ang="T126">
                                <a:pos x="T20" y="T21"/>
                              </a:cxn>
                              <a:cxn ang="T127">
                                <a:pos x="T22" y="T23"/>
                              </a:cxn>
                              <a:cxn ang="T128">
                                <a:pos x="T24" y="T25"/>
                              </a:cxn>
                              <a:cxn ang="T129">
                                <a:pos x="T26" y="T27"/>
                              </a:cxn>
                              <a:cxn ang="T130">
                                <a:pos x="T28" y="T29"/>
                              </a:cxn>
                              <a:cxn ang="T131">
                                <a:pos x="T30" y="T31"/>
                              </a:cxn>
                              <a:cxn ang="T132">
                                <a:pos x="T32" y="T33"/>
                              </a:cxn>
                              <a:cxn ang="T133">
                                <a:pos x="T34" y="T35"/>
                              </a:cxn>
                              <a:cxn ang="T134">
                                <a:pos x="T36" y="T37"/>
                              </a:cxn>
                              <a:cxn ang="T135">
                                <a:pos x="T38" y="T39"/>
                              </a:cxn>
                              <a:cxn ang="T136">
                                <a:pos x="T40" y="T41"/>
                              </a:cxn>
                              <a:cxn ang="T137">
                                <a:pos x="T42" y="T43"/>
                              </a:cxn>
                              <a:cxn ang="T138">
                                <a:pos x="T44" y="T45"/>
                              </a:cxn>
                              <a:cxn ang="T139">
                                <a:pos x="T46" y="T47"/>
                              </a:cxn>
                              <a:cxn ang="T140">
                                <a:pos x="T48" y="T49"/>
                              </a:cxn>
                              <a:cxn ang="T141">
                                <a:pos x="T50" y="T51"/>
                              </a:cxn>
                              <a:cxn ang="T142">
                                <a:pos x="T52" y="T53"/>
                              </a:cxn>
                              <a:cxn ang="T143">
                                <a:pos x="T54" y="T55"/>
                              </a:cxn>
                              <a:cxn ang="T144">
                                <a:pos x="T56" y="T57"/>
                              </a:cxn>
                              <a:cxn ang="T145">
                                <a:pos x="T58" y="T59"/>
                              </a:cxn>
                              <a:cxn ang="T146">
                                <a:pos x="T60" y="T61"/>
                              </a:cxn>
                              <a:cxn ang="T147">
                                <a:pos x="T62" y="T63"/>
                              </a:cxn>
                              <a:cxn ang="T148">
                                <a:pos x="T64" y="T65"/>
                              </a:cxn>
                              <a:cxn ang="T149">
                                <a:pos x="T66" y="T67"/>
                              </a:cxn>
                              <a:cxn ang="T150">
                                <a:pos x="T68" y="T69"/>
                              </a:cxn>
                              <a:cxn ang="T151">
                                <a:pos x="T70" y="T71"/>
                              </a:cxn>
                              <a:cxn ang="T152">
                                <a:pos x="T72" y="T73"/>
                              </a:cxn>
                              <a:cxn ang="T153">
                                <a:pos x="T74" y="T75"/>
                              </a:cxn>
                              <a:cxn ang="T154">
                                <a:pos x="T76" y="T77"/>
                              </a:cxn>
                              <a:cxn ang="T155">
                                <a:pos x="T78" y="T79"/>
                              </a:cxn>
                              <a:cxn ang="T156">
                                <a:pos x="T80" y="T81"/>
                              </a:cxn>
                              <a:cxn ang="T157">
                                <a:pos x="T82" y="T83"/>
                              </a:cxn>
                              <a:cxn ang="T158">
                                <a:pos x="T84" y="T85"/>
                              </a:cxn>
                              <a:cxn ang="T159">
                                <a:pos x="T86" y="T87"/>
                              </a:cxn>
                              <a:cxn ang="T160">
                                <a:pos x="T88" y="T89"/>
                              </a:cxn>
                              <a:cxn ang="T161">
                                <a:pos x="T90" y="T91"/>
                              </a:cxn>
                              <a:cxn ang="T162">
                                <a:pos x="T92" y="T93"/>
                              </a:cxn>
                              <a:cxn ang="T163">
                                <a:pos x="T94" y="T95"/>
                              </a:cxn>
                              <a:cxn ang="T164">
                                <a:pos x="T96" y="T97"/>
                              </a:cxn>
                              <a:cxn ang="T165">
                                <a:pos x="T98" y="T99"/>
                              </a:cxn>
                              <a:cxn ang="T166">
                                <a:pos x="T100" y="T101"/>
                              </a:cxn>
                              <a:cxn ang="T167">
                                <a:pos x="T102" y="T103"/>
                              </a:cxn>
                              <a:cxn ang="T168">
                                <a:pos x="T104" y="T105"/>
                              </a:cxn>
                              <a:cxn ang="T169">
                                <a:pos x="T106" y="T107"/>
                              </a:cxn>
                              <a:cxn ang="T170">
                                <a:pos x="T108" y="T109"/>
                              </a:cxn>
                              <a:cxn ang="T171">
                                <a:pos x="T110" y="T111"/>
                              </a:cxn>
                              <a:cxn ang="T172">
                                <a:pos x="T112" y="T113"/>
                              </a:cxn>
                              <a:cxn ang="T173">
                                <a:pos x="T114" y="T115"/>
                              </a:cxn>
                            </a:cxnLst>
                            <a:rect l="0" t="0" r="r" b="b"/>
                            <a:pathLst>
                              <a:path w="2637" h="416">
                                <a:moveTo>
                                  <a:pt x="2561" y="35"/>
                                </a:moveTo>
                                <a:lnTo>
                                  <a:pt x="2524" y="0"/>
                                </a:lnTo>
                                <a:lnTo>
                                  <a:pt x="2458" y="56"/>
                                </a:lnTo>
                                <a:lnTo>
                                  <a:pt x="2485" y="84"/>
                                </a:lnTo>
                                <a:lnTo>
                                  <a:pt x="2561" y="35"/>
                                </a:lnTo>
                                <a:close/>
                                <a:moveTo>
                                  <a:pt x="2442" y="260"/>
                                </a:moveTo>
                                <a:lnTo>
                                  <a:pt x="2442" y="407"/>
                                </a:lnTo>
                                <a:lnTo>
                                  <a:pt x="2521" y="407"/>
                                </a:lnTo>
                                <a:lnTo>
                                  <a:pt x="2521" y="260"/>
                                </a:lnTo>
                                <a:lnTo>
                                  <a:pt x="2637" y="99"/>
                                </a:lnTo>
                                <a:lnTo>
                                  <a:pt x="2540" y="99"/>
                                </a:lnTo>
                                <a:lnTo>
                                  <a:pt x="2484" y="183"/>
                                </a:lnTo>
                                <a:lnTo>
                                  <a:pt x="2427" y="99"/>
                                </a:lnTo>
                                <a:lnTo>
                                  <a:pt x="2331" y="99"/>
                                </a:lnTo>
                                <a:lnTo>
                                  <a:pt x="2442" y="260"/>
                                </a:lnTo>
                                <a:close/>
                                <a:moveTo>
                                  <a:pt x="2143" y="226"/>
                                </a:moveTo>
                                <a:lnTo>
                                  <a:pt x="2143" y="99"/>
                                </a:lnTo>
                                <a:lnTo>
                                  <a:pt x="2063" y="99"/>
                                </a:lnTo>
                                <a:lnTo>
                                  <a:pt x="2063" y="407"/>
                                </a:lnTo>
                                <a:lnTo>
                                  <a:pt x="2143" y="407"/>
                                </a:lnTo>
                                <a:lnTo>
                                  <a:pt x="2143" y="274"/>
                                </a:lnTo>
                                <a:lnTo>
                                  <a:pt x="2247" y="407"/>
                                </a:lnTo>
                                <a:lnTo>
                                  <a:pt x="2351" y="407"/>
                                </a:lnTo>
                                <a:lnTo>
                                  <a:pt x="2217" y="245"/>
                                </a:lnTo>
                                <a:lnTo>
                                  <a:pt x="2340" y="99"/>
                                </a:lnTo>
                                <a:lnTo>
                                  <a:pt x="2240" y="99"/>
                                </a:lnTo>
                                <a:lnTo>
                                  <a:pt x="2143" y="226"/>
                                </a:lnTo>
                                <a:close/>
                                <a:moveTo>
                                  <a:pt x="2008" y="108"/>
                                </a:moveTo>
                                <a:lnTo>
                                  <a:pt x="1987" y="102"/>
                                </a:lnTo>
                                <a:lnTo>
                                  <a:pt x="1969" y="97"/>
                                </a:lnTo>
                                <a:lnTo>
                                  <a:pt x="1952" y="93"/>
                                </a:lnTo>
                                <a:lnTo>
                                  <a:pt x="1936" y="93"/>
                                </a:lnTo>
                                <a:lnTo>
                                  <a:pt x="1918" y="93"/>
                                </a:lnTo>
                                <a:lnTo>
                                  <a:pt x="1902" y="96"/>
                                </a:lnTo>
                                <a:lnTo>
                                  <a:pt x="1886" y="101"/>
                                </a:lnTo>
                                <a:lnTo>
                                  <a:pt x="1871" y="106"/>
                                </a:lnTo>
                                <a:lnTo>
                                  <a:pt x="1857" y="112"/>
                                </a:lnTo>
                                <a:lnTo>
                                  <a:pt x="1844" y="121"/>
                                </a:lnTo>
                                <a:lnTo>
                                  <a:pt x="1831" y="129"/>
                                </a:lnTo>
                                <a:lnTo>
                                  <a:pt x="1820" y="140"/>
                                </a:lnTo>
                                <a:lnTo>
                                  <a:pt x="1809" y="152"/>
                                </a:lnTo>
                                <a:lnTo>
                                  <a:pt x="1800" y="164"/>
                                </a:lnTo>
                                <a:lnTo>
                                  <a:pt x="1791" y="178"/>
                                </a:lnTo>
                                <a:lnTo>
                                  <a:pt x="1785" y="192"/>
                                </a:lnTo>
                                <a:lnTo>
                                  <a:pt x="1780" y="207"/>
                                </a:lnTo>
                                <a:lnTo>
                                  <a:pt x="1775" y="223"/>
                                </a:lnTo>
                                <a:lnTo>
                                  <a:pt x="1773" y="239"/>
                                </a:lnTo>
                                <a:lnTo>
                                  <a:pt x="1773" y="256"/>
                                </a:lnTo>
                                <a:lnTo>
                                  <a:pt x="1773" y="271"/>
                                </a:lnTo>
                                <a:lnTo>
                                  <a:pt x="1775" y="286"/>
                                </a:lnTo>
                                <a:lnTo>
                                  <a:pt x="1778" y="300"/>
                                </a:lnTo>
                                <a:lnTo>
                                  <a:pt x="1783" y="314"/>
                                </a:lnTo>
                                <a:lnTo>
                                  <a:pt x="1789" y="327"/>
                                </a:lnTo>
                                <a:lnTo>
                                  <a:pt x="1795" y="340"/>
                                </a:lnTo>
                                <a:lnTo>
                                  <a:pt x="1804" y="351"/>
                                </a:lnTo>
                                <a:lnTo>
                                  <a:pt x="1813" y="362"/>
                                </a:lnTo>
                                <a:lnTo>
                                  <a:pt x="1825" y="373"/>
                                </a:lnTo>
                                <a:lnTo>
                                  <a:pt x="1839" y="385"/>
                                </a:lnTo>
                                <a:lnTo>
                                  <a:pt x="1854" y="393"/>
                                </a:lnTo>
                                <a:lnTo>
                                  <a:pt x="1869" y="401"/>
                                </a:lnTo>
                                <a:lnTo>
                                  <a:pt x="1885" y="407"/>
                                </a:lnTo>
                                <a:lnTo>
                                  <a:pt x="1902" y="412"/>
                                </a:lnTo>
                                <a:lnTo>
                                  <a:pt x="1918" y="415"/>
                                </a:lnTo>
                                <a:lnTo>
                                  <a:pt x="1936" y="416"/>
                                </a:lnTo>
                                <a:lnTo>
                                  <a:pt x="1951" y="415"/>
                                </a:lnTo>
                                <a:lnTo>
                                  <a:pt x="1966" y="413"/>
                                </a:lnTo>
                                <a:lnTo>
                                  <a:pt x="1983" y="408"/>
                                </a:lnTo>
                                <a:lnTo>
                                  <a:pt x="2008" y="401"/>
                                </a:lnTo>
                                <a:lnTo>
                                  <a:pt x="2008" y="306"/>
                                </a:lnTo>
                                <a:lnTo>
                                  <a:pt x="1999" y="314"/>
                                </a:lnTo>
                                <a:lnTo>
                                  <a:pt x="1992" y="320"/>
                                </a:lnTo>
                                <a:lnTo>
                                  <a:pt x="1983" y="326"/>
                                </a:lnTo>
                                <a:lnTo>
                                  <a:pt x="1976" y="330"/>
                                </a:lnTo>
                                <a:lnTo>
                                  <a:pt x="1967" y="334"/>
                                </a:lnTo>
                                <a:lnTo>
                                  <a:pt x="1957" y="336"/>
                                </a:lnTo>
                                <a:lnTo>
                                  <a:pt x="1948" y="337"/>
                                </a:lnTo>
                                <a:lnTo>
                                  <a:pt x="1938" y="337"/>
                                </a:lnTo>
                                <a:lnTo>
                                  <a:pt x="1931" y="337"/>
                                </a:lnTo>
                                <a:lnTo>
                                  <a:pt x="1923" y="336"/>
                                </a:lnTo>
                                <a:lnTo>
                                  <a:pt x="1916" y="335"/>
                                </a:lnTo>
                                <a:lnTo>
                                  <a:pt x="1908" y="332"/>
                                </a:lnTo>
                                <a:lnTo>
                                  <a:pt x="1902" y="330"/>
                                </a:lnTo>
                                <a:lnTo>
                                  <a:pt x="1896" y="326"/>
                                </a:lnTo>
                                <a:lnTo>
                                  <a:pt x="1889" y="322"/>
                                </a:lnTo>
                                <a:lnTo>
                                  <a:pt x="1884" y="317"/>
                                </a:lnTo>
                                <a:lnTo>
                                  <a:pt x="1876" y="311"/>
                                </a:lnTo>
                                <a:lnTo>
                                  <a:pt x="1871" y="305"/>
                                </a:lnTo>
                                <a:lnTo>
                                  <a:pt x="1866" y="299"/>
                                </a:lnTo>
                                <a:lnTo>
                                  <a:pt x="1862" y="291"/>
                                </a:lnTo>
                                <a:lnTo>
                                  <a:pt x="1860" y="283"/>
                                </a:lnTo>
                                <a:lnTo>
                                  <a:pt x="1857" y="274"/>
                                </a:lnTo>
                                <a:lnTo>
                                  <a:pt x="1856" y="265"/>
                                </a:lnTo>
                                <a:lnTo>
                                  <a:pt x="1856" y="255"/>
                                </a:lnTo>
                                <a:lnTo>
                                  <a:pt x="1856" y="246"/>
                                </a:lnTo>
                                <a:lnTo>
                                  <a:pt x="1857" y="238"/>
                                </a:lnTo>
                                <a:lnTo>
                                  <a:pt x="1860" y="229"/>
                                </a:lnTo>
                                <a:lnTo>
                                  <a:pt x="1862" y="221"/>
                                </a:lnTo>
                                <a:lnTo>
                                  <a:pt x="1865" y="214"/>
                                </a:lnTo>
                                <a:lnTo>
                                  <a:pt x="1870" y="207"/>
                                </a:lnTo>
                                <a:lnTo>
                                  <a:pt x="1874" y="200"/>
                                </a:lnTo>
                                <a:lnTo>
                                  <a:pt x="1879" y="194"/>
                                </a:lnTo>
                                <a:lnTo>
                                  <a:pt x="1885" y="189"/>
                                </a:lnTo>
                                <a:lnTo>
                                  <a:pt x="1891" y="184"/>
                                </a:lnTo>
                                <a:lnTo>
                                  <a:pt x="1898" y="180"/>
                                </a:lnTo>
                                <a:lnTo>
                                  <a:pt x="1905" y="177"/>
                                </a:lnTo>
                                <a:lnTo>
                                  <a:pt x="1913" y="174"/>
                                </a:lnTo>
                                <a:lnTo>
                                  <a:pt x="1921" y="172"/>
                                </a:lnTo>
                                <a:lnTo>
                                  <a:pt x="1930" y="170"/>
                                </a:lnTo>
                                <a:lnTo>
                                  <a:pt x="1938" y="170"/>
                                </a:lnTo>
                                <a:lnTo>
                                  <a:pt x="1948" y="170"/>
                                </a:lnTo>
                                <a:lnTo>
                                  <a:pt x="1958" y="173"/>
                                </a:lnTo>
                                <a:lnTo>
                                  <a:pt x="1967" y="175"/>
                                </a:lnTo>
                                <a:lnTo>
                                  <a:pt x="1977" y="179"/>
                                </a:lnTo>
                                <a:lnTo>
                                  <a:pt x="1984" y="184"/>
                                </a:lnTo>
                                <a:lnTo>
                                  <a:pt x="1993" y="189"/>
                                </a:lnTo>
                                <a:lnTo>
                                  <a:pt x="2001" y="197"/>
                                </a:lnTo>
                                <a:lnTo>
                                  <a:pt x="2008" y="204"/>
                                </a:lnTo>
                                <a:lnTo>
                                  <a:pt x="2008" y="108"/>
                                </a:lnTo>
                                <a:close/>
                                <a:moveTo>
                                  <a:pt x="1727" y="99"/>
                                </a:moveTo>
                                <a:lnTo>
                                  <a:pt x="1647" y="99"/>
                                </a:lnTo>
                                <a:lnTo>
                                  <a:pt x="1647" y="407"/>
                                </a:lnTo>
                                <a:lnTo>
                                  <a:pt x="1727" y="407"/>
                                </a:lnTo>
                                <a:lnTo>
                                  <a:pt x="1727" y="99"/>
                                </a:lnTo>
                                <a:close/>
                                <a:moveTo>
                                  <a:pt x="1538" y="167"/>
                                </a:moveTo>
                                <a:lnTo>
                                  <a:pt x="1604" y="167"/>
                                </a:lnTo>
                                <a:lnTo>
                                  <a:pt x="1604" y="99"/>
                                </a:lnTo>
                                <a:lnTo>
                                  <a:pt x="1394" y="99"/>
                                </a:lnTo>
                                <a:lnTo>
                                  <a:pt x="1394" y="167"/>
                                </a:lnTo>
                                <a:lnTo>
                                  <a:pt x="1459" y="167"/>
                                </a:lnTo>
                                <a:lnTo>
                                  <a:pt x="1459" y="407"/>
                                </a:lnTo>
                                <a:lnTo>
                                  <a:pt x="1538" y="407"/>
                                </a:lnTo>
                                <a:lnTo>
                                  <a:pt x="1538" y="167"/>
                                </a:lnTo>
                                <a:close/>
                                <a:moveTo>
                                  <a:pt x="1360" y="117"/>
                                </a:moveTo>
                                <a:lnTo>
                                  <a:pt x="1349" y="111"/>
                                </a:lnTo>
                                <a:lnTo>
                                  <a:pt x="1337" y="106"/>
                                </a:lnTo>
                                <a:lnTo>
                                  <a:pt x="1324" y="102"/>
                                </a:lnTo>
                                <a:lnTo>
                                  <a:pt x="1313" y="98"/>
                                </a:lnTo>
                                <a:lnTo>
                                  <a:pt x="1300" y="96"/>
                                </a:lnTo>
                                <a:lnTo>
                                  <a:pt x="1288" y="93"/>
                                </a:lnTo>
                                <a:lnTo>
                                  <a:pt x="1276" y="92"/>
                                </a:lnTo>
                                <a:lnTo>
                                  <a:pt x="1263" y="92"/>
                                </a:lnTo>
                                <a:lnTo>
                                  <a:pt x="1252" y="92"/>
                                </a:lnTo>
                                <a:lnTo>
                                  <a:pt x="1241" y="94"/>
                                </a:lnTo>
                                <a:lnTo>
                                  <a:pt x="1231" y="96"/>
                                </a:lnTo>
                                <a:lnTo>
                                  <a:pt x="1221" y="99"/>
                                </a:lnTo>
                                <a:lnTo>
                                  <a:pt x="1211" y="103"/>
                                </a:lnTo>
                                <a:lnTo>
                                  <a:pt x="1203" y="108"/>
                                </a:lnTo>
                                <a:lnTo>
                                  <a:pt x="1195" y="114"/>
                                </a:lnTo>
                                <a:lnTo>
                                  <a:pt x="1187" y="121"/>
                                </a:lnTo>
                                <a:lnTo>
                                  <a:pt x="1181" y="128"/>
                                </a:lnTo>
                                <a:lnTo>
                                  <a:pt x="1175" y="136"/>
                                </a:lnTo>
                                <a:lnTo>
                                  <a:pt x="1170" y="144"/>
                                </a:lnTo>
                                <a:lnTo>
                                  <a:pt x="1166" y="153"/>
                                </a:lnTo>
                                <a:lnTo>
                                  <a:pt x="1162" y="163"/>
                                </a:lnTo>
                                <a:lnTo>
                                  <a:pt x="1161" y="174"/>
                                </a:lnTo>
                                <a:lnTo>
                                  <a:pt x="1158" y="184"/>
                                </a:lnTo>
                                <a:lnTo>
                                  <a:pt x="1158" y="195"/>
                                </a:lnTo>
                                <a:lnTo>
                                  <a:pt x="1158" y="205"/>
                                </a:lnTo>
                                <a:lnTo>
                                  <a:pt x="1160" y="215"/>
                                </a:lnTo>
                                <a:lnTo>
                                  <a:pt x="1162" y="224"/>
                                </a:lnTo>
                                <a:lnTo>
                                  <a:pt x="1165" y="231"/>
                                </a:lnTo>
                                <a:lnTo>
                                  <a:pt x="1168" y="239"/>
                                </a:lnTo>
                                <a:lnTo>
                                  <a:pt x="1172" y="245"/>
                                </a:lnTo>
                                <a:lnTo>
                                  <a:pt x="1177" y="251"/>
                                </a:lnTo>
                                <a:lnTo>
                                  <a:pt x="1183" y="256"/>
                                </a:lnTo>
                                <a:lnTo>
                                  <a:pt x="1192" y="263"/>
                                </a:lnTo>
                                <a:lnTo>
                                  <a:pt x="1203" y="269"/>
                                </a:lnTo>
                                <a:lnTo>
                                  <a:pt x="1219" y="275"/>
                                </a:lnTo>
                                <a:lnTo>
                                  <a:pt x="1242" y="281"/>
                                </a:lnTo>
                                <a:lnTo>
                                  <a:pt x="1254" y="286"/>
                                </a:lnTo>
                                <a:lnTo>
                                  <a:pt x="1264" y="290"/>
                                </a:lnTo>
                                <a:lnTo>
                                  <a:pt x="1273" y="294"/>
                                </a:lnTo>
                                <a:lnTo>
                                  <a:pt x="1279" y="297"/>
                                </a:lnTo>
                                <a:lnTo>
                                  <a:pt x="1284" y="301"/>
                                </a:lnTo>
                                <a:lnTo>
                                  <a:pt x="1287" y="306"/>
                                </a:lnTo>
                                <a:lnTo>
                                  <a:pt x="1289" y="311"/>
                                </a:lnTo>
                                <a:lnTo>
                                  <a:pt x="1289" y="317"/>
                                </a:lnTo>
                                <a:lnTo>
                                  <a:pt x="1289" y="324"/>
                                </a:lnTo>
                                <a:lnTo>
                                  <a:pt x="1287" y="330"/>
                                </a:lnTo>
                                <a:lnTo>
                                  <a:pt x="1283" y="335"/>
                                </a:lnTo>
                                <a:lnTo>
                                  <a:pt x="1279" y="339"/>
                                </a:lnTo>
                                <a:lnTo>
                                  <a:pt x="1273" y="342"/>
                                </a:lnTo>
                                <a:lnTo>
                                  <a:pt x="1267" y="345"/>
                                </a:lnTo>
                                <a:lnTo>
                                  <a:pt x="1259" y="346"/>
                                </a:lnTo>
                                <a:lnTo>
                                  <a:pt x="1251" y="347"/>
                                </a:lnTo>
                                <a:lnTo>
                                  <a:pt x="1242" y="347"/>
                                </a:lnTo>
                                <a:lnTo>
                                  <a:pt x="1233" y="345"/>
                                </a:lnTo>
                                <a:lnTo>
                                  <a:pt x="1224" y="344"/>
                                </a:lnTo>
                                <a:lnTo>
                                  <a:pt x="1216" y="340"/>
                                </a:lnTo>
                                <a:lnTo>
                                  <a:pt x="1207" y="335"/>
                                </a:lnTo>
                                <a:lnTo>
                                  <a:pt x="1198" y="330"/>
                                </a:lnTo>
                                <a:lnTo>
                                  <a:pt x="1190" y="324"/>
                                </a:lnTo>
                                <a:lnTo>
                                  <a:pt x="1180" y="316"/>
                                </a:lnTo>
                                <a:lnTo>
                                  <a:pt x="1146" y="381"/>
                                </a:lnTo>
                                <a:lnTo>
                                  <a:pt x="1158" y="388"/>
                                </a:lnTo>
                                <a:lnTo>
                                  <a:pt x="1171" y="396"/>
                                </a:lnTo>
                                <a:lnTo>
                                  <a:pt x="1185" y="401"/>
                                </a:lnTo>
                                <a:lnTo>
                                  <a:pt x="1198" y="406"/>
                                </a:lnTo>
                                <a:lnTo>
                                  <a:pt x="1212" y="410"/>
                                </a:lnTo>
                                <a:lnTo>
                                  <a:pt x="1226" y="413"/>
                                </a:lnTo>
                                <a:lnTo>
                                  <a:pt x="1239" y="415"/>
                                </a:lnTo>
                                <a:lnTo>
                                  <a:pt x="1253" y="415"/>
                                </a:lnTo>
                                <a:lnTo>
                                  <a:pt x="1266" y="415"/>
                                </a:lnTo>
                                <a:lnTo>
                                  <a:pt x="1278" y="413"/>
                                </a:lnTo>
                                <a:lnTo>
                                  <a:pt x="1290" y="411"/>
                                </a:lnTo>
                                <a:lnTo>
                                  <a:pt x="1302" y="407"/>
                                </a:lnTo>
                                <a:lnTo>
                                  <a:pt x="1313" y="403"/>
                                </a:lnTo>
                                <a:lnTo>
                                  <a:pt x="1323" y="398"/>
                                </a:lnTo>
                                <a:lnTo>
                                  <a:pt x="1333" y="392"/>
                                </a:lnTo>
                                <a:lnTo>
                                  <a:pt x="1342" y="386"/>
                                </a:lnTo>
                                <a:lnTo>
                                  <a:pt x="1349" y="378"/>
                                </a:lnTo>
                                <a:lnTo>
                                  <a:pt x="1355" y="371"/>
                                </a:lnTo>
                                <a:lnTo>
                                  <a:pt x="1360" y="362"/>
                                </a:lnTo>
                                <a:lnTo>
                                  <a:pt x="1365" y="352"/>
                                </a:lnTo>
                                <a:lnTo>
                                  <a:pt x="1369" y="342"/>
                                </a:lnTo>
                                <a:lnTo>
                                  <a:pt x="1371" y="331"/>
                                </a:lnTo>
                                <a:lnTo>
                                  <a:pt x="1373" y="319"/>
                                </a:lnTo>
                                <a:lnTo>
                                  <a:pt x="1373" y="306"/>
                                </a:lnTo>
                                <a:lnTo>
                                  <a:pt x="1371" y="290"/>
                                </a:lnTo>
                                <a:lnTo>
                                  <a:pt x="1369" y="275"/>
                                </a:lnTo>
                                <a:lnTo>
                                  <a:pt x="1366" y="269"/>
                                </a:lnTo>
                                <a:lnTo>
                                  <a:pt x="1363" y="263"/>
                                </a:lnTo>
                                <a:lnTo>
                                  <a:pt x="1359" y="258"/>
                                </a:lnTo>
                                <a:lnTo>
                                  <a:pt x="1355" y="251"/>
                                </a:lnTo>
                                <a:lnTo>
                                  <a:pt x="1350" y="246"/>
                                </a:lnTo>
                                <a:lnTo>
                                  <a:pt x="1345" y="241"/>
                                </a:lnTo>
                                <a:lnTo>
                                  <a:pt x="1339" y="238"/>
                                </a:lnTo>
                                <a:lnTo>
                                  <a:pt x="1332" y="234"/>
                                </a:lnTo>
                                <a:lnTo>
                                  <a:pt x="1315" y="226"/>
                                </a:lnTo>
                                <a:lnTo>
                                  <a:pt x="1298" y="220"/>
                                </a:lnTo>
                                <a:lnTo>
                                  <a:pt x="1276" y="213"/>
                                </a:lnTo>
                                <a:lnTo>
                                  <a:pt x="1263" y="209"/>
                                </a:lnTo>
                                <a:lnTo>
                                  <a:pt x="1256" y="205"/>
                                </a:lnTo>
                                <a:lnTo>
                                  <a:pt x="1249" y="200"/>
                                </a:lnTo>
                                <a:lnTo>
                                  <a:pt x="1247" y="198"/>
                                </a:lnTo>
                                <a:lnTo>
                                  <a:pt x="1244" y="194"/>
                                </a:lnTo>
                                <a:lnTo>
                                  <a:pt x="1242" y="189"/>
                                </a:lnTo>
                                <a:lnTo>
                                  <a:pt x="1242" y="185"/>
                                </a:lnTo>
                                <a:lnTo>
                                  <a:pt x="1243" y="179"/>
                                </a:lnTo>
                                <a:lnTo>
                                  <a:pt x="1244" y="174"/>
                                </a:lnTo>
                                <a:lnTo>
                                  <a:pt x="1248" y="170"/>
                                </a:lnTo>
                                <a:lnTo>
                                  <a:pt x="1252" y="167"/>
                                </a:lnTo>
                                <a:lnTo>
                                  <a:pt x="1257" y="163"/>
                                </a:lnTo>
                                <a:lnTo>
                                  <a:pt x="1263" y="160"/>
                                </a:lnTo>
                                <a:lnTo>
                                  <a:pt x="1269" y="159"/>
                                </a:lnTo>
                                <a:lnTo>
                                  <a:pt x="1277" y="158"/>
                                </a:lnTo>
                                <a:lnTo>
                                  <a:pt x="1283" y="159"/>
                                </a:lnTo>
                                <a:lnTo>
                                  <a:pt x="1289" y="159"/>
                                </a:lnTo>
                                <a:lnTo>
                                  <a:pt x="1297" y="162"/>
                                </a:lnTo>
                                <a:lnTo>
                                  <a:pt x="1303" y="163"/>
                                </a:lnTo>
                                <a:lnTo>
                                  <a:pt x="1315" y="170"/>
                                </a:lnTo>
                                <a:lnTo>
                                  <a:pt x="1329" y="179"/>
                                </a:lnTo>
                                <a:lnTo>
                                  <a:pt x="1360" y="117"/>
                                </a:lnTo>
                                <a:close/>
                                <a:moveTo>
                                  <a:pt x="1091" y="99"/>
                                </a:moveTo>
                                <a:lnTo>
                                  <a:pt x="1011" y="99"/>
                                </a:lnTo>
                                <a:lnTo>
                                  <a:pt x="1011" y="407"/>
                                </a:lnTo>
                                <a:lnTo>
                                  <a:pt x="1091" y="407"/>
                                </a:lnTo>
                                <a:lnTo>
                                  <a:pt x="1091" y="99"/>
                                </a:lnTo>
                                <a:close/>
                                <a:moveTo>
                                  <a:pt x="904" y="167"/>
                                </a:moveTo>
                                <a:lnTo>
                                  <a:pt x="970" y="167"/>
                                </a:lnTo>
                                <a:lnTo>
                                  <a:pt x="970" y="99"/>
                                </a:lnTo>
                                <a:lnTo>
                                  <a:pt x="758" y="99"/>
                                </a:lnTo>
                                <a:lnTo>
                                  <a:pt x="758" y="167"/>
                                </a:lnTo>
                                <a:lnTo>
                                  <a:pt x="825" y="167"/>
                                </a:lnTo>
                                <a:lnTo>
                                  <a:pt x="825" y="407"/>
                                </a:lnTo>
                                <a:lnTo>
                                  <a:pt x="904" y="407"/>
                                </a:lnTo>
                                <a:lnTo>
                                  <a:pt x="904" y="167"/>
                                </a:lnTo>
                                <a:close/>
                                <a:moveTo>
                                  <a:pt x="644" y="292"/>
                                </a:moveTo>
                                <a:lnTo>
                                  <a:pt x="578" y="292"/>
                                </a:lnTo>
                                <a:lnTo>
                                  <a:pt x="611" y="194"/>
                                </a:lnTo>
                                <a:lnTo>
                                  <a:pt x="644" y="292"/>
                                </a:lnTo>
                                <a:close/>
                                <a:moveTo>
                                  <a:pt x="666" y="354"/>
                                </a:moveTo>
                                <a:lnTo>
                                  <a:pt x="686" y="407"/>
                                </a:lnTo>
                                <a:lnTo>
                                  <a:pt x="771" y="407"/>
                                </a:lnTo>
                                <a:lnTo>
                                  <a:pt x="655" y="99"/>
                                </a:lnTo>
                                <a:lnTo>
                                  <a:pt x="568" y="99"/>
                                </a:lnTo>
                                <a:lnTo>
                                  <a:pt x="450" y="407"/>
                                </a:lnTo>
                                <a:lnTo>
                                  <a:pt x="534" y="407"/>
                                </a:lnTo>
                                <a:lnTo>
                                  <a:pt x="555" y="354"/>
                                </a:lnTo>
                                <a:lnTo>
                                  <a:pt x="666" y="354"/>
                                </a:lnTo>
                                <a:close/>
                                <a:moveTo>
                                  <a:pt x="395" y="167"/>
                                </a:moveTo>
                                <a:lnTo>
                                  <a:pt x="461" y="167"/>
                                </a:lnTo>
                                <a:lnTo>
                                  <a:pt x="461" y="99"/>
                                </a:lnTo>
                                <a:lnTo>
                                  <a:pt x="249" y="99"/>
                                </a:lnTo>
                                <a:lnTo>
                                  <a:pt x="249" y="167"/>
                                </a:lnTo>
                                <a:lnTo>
                                  <a:pt x="315" y="167"/>
                                </a:lnTo>
                                <a:lnTo>
                                  <a:pt x="315" y="407"/>
                                </a:lnTo>
                                <a:lnTo>
                                  <a:pt x="395" y="407"/>
                                </a:lnTo>
                                <a:lnTo>
                                  <a:pt x="395" y="167"/>
                                </a:lnTo>
                                <a:close/>
                                <a:moveTo>
                                  <a:pt x="214" y="117"/>
                                </a:moveTo>
                                <a:lnTo>
                                  <a:pt x="203" y="111"/>
                                </a:lnTo>
                                <a:lnTo>
                                  <a:pt x="190" y="106"/>
                                </a:lnTo>
                                <a:lnTo>
                                  <a:pt x="178" y="102"/>
                                </a:lnTo>
                                <a:lnTo>
                                  <a:pt x="167" y="98"/>
                                </a:lnTo>
                                <a:lnTo>
                                  <a:pt x="154" y="96"/>
                                </a:lnTo>
                                <a:lnTo>
                                  <a:pt x="142" y="93"/>
                                </a:lnTo>
                                <a:lnTo>
                                  <a:pt x="129" y="92"/>
                                </a:lnTo>
                                <a:lnTo>
                                  <a:pt x="117" y="92"/>
                                </a:lnTo>
                                <a:lnTo>
                                  <a:pt x="106" y="92"/>
                                </a:lnTo>
                                <a:lnTo>
                                  <a:pt x="94" y="94"/>
                                </a:lnTo>
                                <a:lnTo>
                                  <a:pt x="84" y="96"/>
                                </a:lnTo>
                                <a:lnTo>
                                  <a:pt x="75" y="99"/>
                                </a:lnTo>
                                <a:lnTo>
                                  <a:pt x="65" y="103"/>
                                </a:lnTo>
                                <a:lnTo>
                                  <a:pt x="56" y="108"/>
                                </a:lnTo>
                                <a:lnTo>
                                  <a:pt x="48" y="114"/>
                                </a:lnTo>
                                <a:lnTo>
                                  <a:pt x="41" y="121"/>
                                </a:lnTo>
                                <a:lnTo>
                                  <a:pt x="35" y="128"/>
                                </a:lnTo>
                                <a:lnTo>
                                  <a:pt x="28" y="136"/>
                                </a:lnTo>
                                <a:lnTo>
                                  <a:pt x="23" y="144"/>
                                </a:lnTo>
                                <a:lnTo>
                                  <a:pt x="20" y="153"/>
                                </a:lnTo>
                                <a:lnTo>
                                  <a:pt x="16" y="163"/>
                                </a:lnTo>
                                <a:lnTo>
                                  <a:pt x="15" y="174"/>
                                </a:lnTo>
                                <a:lnTo>
                                  <a:pt x="12" y="184"/>
                                </a:lnTo>
                                <a:lnTo>
                                  <a:pt x="12" y="195"/>
                                </a:lnTo>
                                <a:lnTo>
                                  <a:pt x="12" y="205"/>
                                </a:lnTo>
                                <a:lnTo>
                                  <a:pt x="13" y="215"/>
                                </a:lnTo>
                                <a:lnTo>
                                  <a:pt x="16" y="224"/>
                                </a:lnTo>
                                <a:lnTo>
                                  <a:pt x="18" y="231"/>
                                </a:lnTo>
                                <a:lnTo>
                                  <a:pt x="22" y="239"/>
                                </a:lnTo>
                                <a:lnTo>
                                  <a:pt x="26" y="245"/>
                                </a:lnTo>
                                <a:lnTo>
                                  <a:pt x="31" y="251"/>
                                </a:lnTo>
                                <a:lnTo>
                                  <a:pt x="37" y="256"/>
                                </a:lnTo>
                                <a:lnTo>
                                  <a:pt x="46" y="263"/>
                                </a:lnTo>
                                <a:lnTo>
                                  <a:pt x="57" y="269"/>
                                </a:lnTo>
                                <a:lnTo>
                                  <a:pt x="73" y="275"/>
                                </a:lnTo>
                                <a:lnTo>
                                  <a:pt x="96" y="281"/>
                                </a:lnTo>
                                <a:lnTo>
                                  <a:pt x="108" y="286"/>
                                </a:lnTo>
                                <a:lnTo>
                                  <a:pt x="118" y="290"/>
                                </a:lnTo>
                                <a:lnTo>
                                  <a:pt x="127" y="294"/>
                                </a:lnTo>
                                <a:lnTo>
                                  <a:pt x="133" y="297"/>
                                </a:lnTo>
                                <a:lnTo>
                                  <a:pt x="138" y="301"/>
                                </a:lnTo>
                                <a:lnTo>
                                  <a:pt x="141" y="306"/>
                                </a:lnTo>
                                <a:lnTo>
                                  <a:pt x="143" y="311"/>
                                </a:lnTo>
                                <a:lnTo>
                                  <a:pt x="143" y="317"/>
                                </a:lnTo>
                                <a:lnTo>
                                  <a:pt x="143" y="324"/>
                                </a:lnTo>
                                <a:lnTo>
                                  <a:pt x="141" y="330"/>
                                </a:lnTo>
                                <a:lnTo>
                                  <a:pt x="137" y="335"/>
                                </a:lnTo>
                                <a:lnTo>
                                  <a:pt x="133" y="339"/>
                                </a:lnTo>
                                <a:lnTo>
                                  <a:pt x="127" y="342"/>
                                </a:lnTo>
                                <a:lnTo>
                                  <a:pt x="121" y="345"/>
                                </a:lnTo>
                                <a:lnTo>
                                  <a:pt x="113" y="346"/>
                                </a:lnTo>
                                <a:lnTo>
                                  <a:pt x="104" y="347"/>
                                </a:lnTo>
                                <a:lnTo>
                                  <a:pt x="96" y="347"/>
                                </a:lnTo>
                                <a:lnTo>
                                  <a:pt x="87" y="345"/>
                                </a:lnTo>
                                <a:lnTo>
                                  <a:pt x="78" y="344"/>
                                </a:lnTo>
                                <a:lnTo>
                                  <a:pt x="70" y="340"/>
                                </a:lnTo>
                                <a:lnTo>
                                  <a:pt x="61" y="335"/>
                                </a:lnTo>
                                <a:lnTo>
                                  <a:pt x="52" y="330"/>
                                </a:lnTo>
                                <a:lnTo>
                                  <a:pt x="43" y="324"/>
                                </a:lnTo>
                                <a:lnTo>
                                  <a:pt x="33" y="316"/>
                                </a:lnTo>
                                <a:lnTo>
                                  <a:pt x="0" y="381"/>
                                </a:lnTo>
                                <a:lnTo>
                                  <a:pt x="12" y="388"/>
                                </a:lnTo>
                                <a:lnTo>
                                  <a:pt x="25" y="396"/>
                                </a:lnTo>
                                <a:lnTo>
                                  <a:pt x="38" y="401"/>
                                </a:lnTo>
                                <a:lnTo>
                                  <a:pt x="52" y="406"/>
                                </a:lnTo>
                                <a:lnTo>
                                  <a:pt x="66" y="410"/>
                                </a:lnTo>
                                <a:lnTo>
                                  <a:pt x="79" y="413"/>
                                </a:lnTo>
                                <a:lnTo>
                                  <a:pt x="93" y="415"/>
                                </a:lnTo>
                                <a:lnTo>
                                  <a:pt x="107" y="415"/>
                                </a:lnTo>
                                <a:lnTo>
                                  <a:pt x="119" y="415"/>
                                </a:lnTo>
                                <a:lnTo>
                                  <a:pt x="132" y="413"/>
                                </a:lnTo>
                                <a:lnTo>
                                  <a:pt x="144" y="411"/>
                                </a:lnTo>
                                <a:lnTo>
                                  <a:pt x="155" y="407"/>
                                </a:lnTo>
                                <a:lnTo>
                                  <a:pt x="167" y="403"/>
                                </a:lnTo>
                                <a:lnTo>
                                  <a:pt x="177" y="398"/>
                                </a:lnTo>
                                <a:lnTo>
                                  <a:pt x="187" y="392"/>
                                </a:lnTo>
                                <a:lnTo>
                                  <a:pt x="195" y="386"/>
                                </a:lnTo>
                                <a:lnTo>
                                  <a:pt x="203" y="378"/>
                                </a:lnTo>
                                <a:lnTo>
                                  <a:pt x="209" y="371"/>
                                </a:lnTo>
                                <a:lnTo>
                                  <a:pt x="214" y="362"/>
                                </a:lnTo>
                                <a:lnTo>
                                  <a:pt x="219" y="352"/>
                                </a:lnTo>
                                <a:lnTo>
                                  <a:pt x="223" y="342"/>
                                </a:lnTo>
                                <a:lnTo>
                                  <a:pt x="225" y="331"/>
                                </a:lnTo>
                                <a:lnTo>
                                  <a:pt x="227" y="319"/>
                                </a:lnTo>
                                <a:lnTo>
                                  <a:pt x="227" y="306"/>
                                </a:lnTo>
                                <a:lnTo>
                                  <a:pt x="225" y="290"/>
                                </a:lnTo>
                                <a:lnTo>
                                  <a:pt x="223" y="275"/>
                                </a:lnTo>
                                <a:lnTo>
                                  <a:pt x="220" y="269"/>
                                </a:lnTo>
                                <a:lnTo>
                                  <a:pt x="217" y="263"/>
                                </a:lnTo>
                                <a:lnTo>
                                  <a:pt x="213" y="258"/>
                                </a:lnTo>
                                <a:lnTo>
                                  <a:pt x="209" y="251"/>
                                </a:lnTo>
                                <a:lnTo>
                                  <a:pt x="204" y="246"/>
                                </a:lnTo>
                                <a:lnTo>
                                  <a:pt x="199" y="241"/>
                                </a:lnTo>
                                <a:lnTo>
                                  <a:pt x="193" y="238"/>
                                </a:lnTo>
                                <a:lnTo>
                                  <a:pt x="185" y="234"/>
                                </a:lnTo>
                                <a:lnTo>
                                  <a:pt x="169" y="226"/>
                                </a:lnTo>
                                <a:lnTo>
                                  <a:pt x="151" y="220"/>
                                </a:lnTo>
                                <a:lnTo>
                                  <a:pt x="129" y="213"/>
                                </a:lnTo>
                                <a:lnTo>
                                  <a:pt x="117" y="209"/>
                                </a:lnTo>
                                <a:lnTo>
                                  <a:pt x="109" y="205"/>
                                </a:lnTo>
                                <a:lnTo>
                                  <a:pt x="103" y="200"/>
                                </a:lnTo>
                                <a:lnTo>
                                  <a:pt x="99" y="198"/>
                                </a:lnTo>
                                <a:lnTo>
                                  <a:pt x="98" y="194"/>
                                </a:lnTo>
                                <a:lnTo>
                                  <a:pt x="96" y="189"/>
                                </a:lnTo>
                                <a:lnTo>
                                  <a:pt x="96" y="185"/>
                                </a:lnTo>
                                <a:lnTo>
                                  <a:pt x="97" y="179"/>
                                </a:lnTo>
                                <a:lnTo>
                                  <a:pt x="98" y="174"/>
                                </a:lnTo>
                                <a:lnTo>
                                  <a:pt x="102" y="170"/>
                                </a:lnTo>
                                <a:lnTo>
                                  <a:pt x="106" y="167"/>
                                </a:lnTo>
                                <a:lnTo>
                                  <a:pt x="111" y="163"/>
                                </a:lnTo>
                                <a:lnTo>
                                  <a:pt x="117" y="160"/>
                                </a:lnTo>
                                <a:lnTo>
                                  <a:pt x="123" y="159"/>
                                </a:lnTo>
                                <a:lnTo>
                                  <a:pt x="129" y="158"/>
                                </a:lnTo>
                                <a:lnTo>
                                  <a:pt x="137" y="159"/>
                                </a:lnTo>
                                <a:lnTo>
                                  <a:pt x="143" y="159"/>
                                </a:lnTo>
                                <a:lnTo>
                                  <a:pt x="151" y="162"/>
                                </a:lnTo>
                                <a:lnTo>
                                  <a:pt x="157" y="163"/>
                                </a:lnTo>
                                <a:lnTo>
                                  <a:pt x="169" y="170"/>
                                </a:lnTo>
                                <a:lnTo>
                                  <a:pt x="183" y="179"/>
                                </a:lnTo>
                                <a:lnTo>
                                  <a:pt x="214" y="1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1B2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Freeform 14"/>
                        <wps:cNvSpPr>
                          <a:spLocks noChangeAspect="1" noEditPoints="1"/>
                        </wps:cNvSpPr>
                        <wps:spPr bwMode="auto">
                          <a:xfrm>
                            <a:off x="1962" y="851"/>
                            <a:ext cx="679" cy="208"/>
                          </a:xfrm>
                          <a:custGeom>
                            <a:avLst/>
                            <a:gdLst>
                              <a:gd name="T0" fmla="*/ 641 w 1358"/>
                              <a:gd name="T1" fmla="*/ 18 h 416"/>
                              <a:gd name="T2" fmla="*/ 679 w 1358"/>
                              <a:gd name="T3" fmla="*/ 50 h 416"/>
                              <a:gd name="T4" fmla="*/ 581 w 1358"/>
                              <a:gd name="T5" fmla="*/ 130 h 416"/>
                              <a:gd name="T6" fmla="*/ 432 w 1358"/>
                              <a:gd name="T7" fmla="*/ 204 h 416"/>
                              <a:gd name="T8" fmla="*/ 530 w 1358"/>
                              <a:gd name="T9" fmla="*/ 50 h 416"/>
                              <a:gd name="T10" fmla="*/ 349 w 1358"/>
                              <a:gd name="T11" fmla="*/ 54 h 416"/>
                              <a:gd name="T12" fmla="*/ 318 w 1358"/>
                              <a:gd name="T13" fmla="*/ 46 h 416"/>
                              <a:gd name="T14" fmla="*/ 290 w 1358"/>
                              <a:gd name="T15" fmla="*/ 50 h 416"/>
                              <a:gd name="T16" fmla="*/ 271 w 1358"/>
                              <a:gd name="T17" fmla="*/ 64 h 416"/>
                              <a:gd name="T18" fmla="*/ 261 w 1358"/>
                              <a:gd name="T19" fmla="*/ 87 h 416"/>
                              <a:gd name="T20" fmla="*/ 261 w 1358"/>
                              <a:gd name="T21" fmla="*/ 112 h 416"/>
                              <a:gd name="T22" fmla="*/ 272 w 1358"/>
                              <a:gd name="T23" fmla="*/ 129 h 416"/>
                              <a:gd name="T24" fmla="*/ 307 w 1358"/>
                              <a:gd name="T25" fmla="*/ 144 h 416"/>
                              <a:gd name="T26" fmla="*/ 324 w 1358"/>
                              <a:gd name="T27" fmla="*/ 153 h 416"/>
                              <a:gd name="T28" fmla="*/ 322 w 1358"/>
                              <a:gd name="T29" fmla="*/ 168 h 416"/>
                              <a:gd name="T30" fmla="*/ 306 w 1358"/>
                              <a:gd name="T31" fmla="*/ 174 h 416"/>
                              <a:gd name="T32" fmla="*/ 284 w 1358"/>
                              <a:gd name="T33" fmla="*/ 168 h 416"/>
                              <a:gd name="T34" fmla="*/ 260 w 1358"/>
                              <a:gd name="T35" fmla="*/ 195 h 416"/>
                              <a:gd name="T36" fmla="*/ 293 w 1358"/>
                              <a:gd name="T37" fmla="*/ 207 h 416"/>
                              <a:gd name="T38" fmla="*/ 326 w 1358"/>
                              <a:gd name="T39" fmla="*/ 206 h 416"/>
                              <a:gd name="T40" fmla="*/ 351 w 1358"/>
                              <a:gd name="T41" fmla="*/ 193 h 416"/>
                              <a:gd name="T42" fmla="*/ 365 w 1358"/>
                              <a:gd name="T43" fmla="*/ 172 h 416"/>
                              <a:gd name="T44" fmla="*/ 365 w 1358"/>
                              <a:gd name="T45" fmla="*/ 138 h 416"/>
                              <a:gd name="T46" fmla="*/ 356 w 1358"/>
                              <a:gd name="T47" fmla="*/ 124 h 416"/>
                              <a:gd name="T48" fmla="*/ 329 w 1358"/>
                              <a:gd name="T49" fmla="*/ 111 h 416"/>
                              <a:gd name="T50" fmla="*/ 304 w 1358"/>
                              <a:gd name="T51" fmla="*/ 99 h 416"/>
                              <a:gd name="T52" fmla="*/ 303 w 1358"/>
                              <a:gd name="T53" fmla="*/ 87 h 416"/>
                              <a:gd name="T54" fmla="*/ 315 w 1358"/>
                              <a:gd name="T55" fmla="*/ 80 h 416"/>
                              <a:gd name="T56" fmla="*/ 332 w 1358"/>
                              <a:gd name="T57" fmla="*/ 82 h 416"/>
                              <a:gd name="T58" fmla="*/ 232 w 1358"/>
                              <a:gd name="T59" fmla="*/ 50 h 416"/>
                              <a:gd name="T60" fmla="*/ 185 w 1358"/>
                              <a:gd name="T61" fmla="*/ 170 h 416"/>
                              <a:gd name="T62" fmla="*/ 185 w 1358"/>
                              <a:gd name="T63" fmla="*/ 84 h 416"/>
                              <a:gd name="T64" fmla="*/ 105 w 1358"/>
                              <a:gd name="T65" fmla="*/ 1 h 416"/>
                              <a:gd name="T66" fmla="*/ 108 w 1358"/>
                              <a:gd name="T67" fmla="*/ 51 h 416"/>
                              <a:gd name="T68" fmla="*/ 65 w 1358"/>
                              <a:gd name="T69" fmla="*/ 48 h 416"/>
                              <a:gd name="T70" fmla="*/ 29 w 1358"/>
                              <a:gd name="T71" fmla="*/ 65 h 416"/>
                              <a:gd name="T72" fmla="*/ 6 w 1358"/>
                              <a:gd name="T73" fmla="*/ 96 h 416"/>
                              <a:gd name="T74" fmla="*/ 0 w 1358"/>
                              <a:gd name="T75" fmla="*/ 136 h 416"/>
                              <a:gd name="T76" fmla="*/ 11 w 1358"/>
                              <a:gd name="T77" fmla="*/ 170 h 416"/>
                              <a:gd name="T78" fmla="*/ 41 w 1358"/>
                              <a:gd name="T79" fmla="*/ 197 h 416"/>
                              <a:gd name="T80" fmla="*/ 82 w 1358"/>
                              <a:gd name="T81" fmla="*/ 208 h 416"/>
                              <a:gd name="T82" fmla="*/ 118 w 1358"/>
                              <a:gd name="T83" fmla="*/ 153 h 416"/>
                              <a:gd name="T84" fmla="*/ 97 w 1358"/>
                              <a:gd name="T85" fmla="*/ 167 h 416"/>
                              <a:gd name="T86" fmla="*/ 76 w 1358"/>
                              <a:gd name="T87" fmla="*/ 168 h 416"/>
                              <a:gd name="T88" fmla="*/ 59 w 1358"/>
                              <a:gd name="T89" fmla="*/ 162 h 416"/>
                              <a:gd name="T90" fmla="*/ 45 w 1358"/>
                              <a:gd name="T91" fmla="*/ 146 h 416"/>
                              <a:gd name="T92" fmla="*/ 42 w 1358"/>
                              <a:gd name="T93" fmla="*/ 124 h 416"/>
                              <a:gd name="T94" fmla="*/ 49 w 1358"/>
                              <a:gd name="T95" fmla="*/ 104 h 416"/>
                              <a:gd name="T96" fmla="*/ 63 w 1358"/>
                              <a:gd name="T97" fmla="*/ 91 h 416"/>
                              <a:gd name="T98" fmla="*/ 83 w 1358"/>
                              <a:gd name="T99" fmla="*/ 86 h 416"/>
                              <a:gd name="T100" fmla="*/ 107 w 1358"/>
                              <a:gd name="T101" fmla="*/ 92 h 41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0" t="0" r="r" b="b"/>
                            <a:pathLst>
                              <a:path w="1358" h="416">
                                <a:moveTo>
                                  <a:pt x="1282" y="36"/>
                                </a:moveTo>
                                <a:lnTo>
                                  <a:pt x="1243" y="0"/>
                                </a:lnTo>
                                <a:lnTo>
                                  <a:pt x="1178" y="56"/>
                                </a:lnTo>
                                <a:lnTo>
                                  <a:pt x="1205" y="85"/>
                                </a:lnTo>
                                <a:lnTo>
                                  <a:pt x="1282" y="36"/>
                                </a:lnTo>
                                <a:close/>
                                <a:moveTo>
                                  <a:pt x="1162" y="260"/>
                                </a:moveTo>
                                <a:lnTo>
                                  <a:pt x="1162" y="407"/>
                                </a:lnTo>
                                <a:lnTo>
                                  <a:pt x="1242" y="407"/>
                                </a:lnTo>
                                <a:lnTo>
                                  <a:pt x="1242" y="260"/>
                                </a:lnTo>
                                <a:lnTo>
                                  <a:pt x="1358" y="100"/>
                                </a:lnTo>
                                <a:lnTo>
                                  <a:pt x="1261" y="100"/>
                                </a:lnTo>
                                <a:lnTo>
                                  <a:pt x="1205" y="183"/>
                                </a:lnTo>
                                <a:lnTo>
                                  <a:pt x="1146" y="100"/>
                                </a:lnTo>
                                <a:lnTo>
                                  <a:pt x="1051" y="100"/>
                                </a:lnTo>
                                <a:lnTo>
                                  <a:pt x="1162" y="260"/>
                                </a:lnTo>
                                <a:close/>
                                <a:moveTo>
                                  <a:pt x="863" y="227"/>
                                </a:moveTo>
                                <a:lnTo>
                                  <a:pt x="863" y="100"/>
                                </a:lnTo>
                                <a:lnTo>
                                  <a:pt x="783" y="100"/>
                                </a:lnTo>
                                <a:lnTo>
                                  <a:pt x="783" y="407"/>
                                </a:lnTo>
                                <a:lnTo>
                                  <a:pt x="863" y="407"/>
                                </a:lnTo>
                                <a:lnTo>
                                  <a:pt x="863" y="274"/>
                                </a:lnTo>
                                <a:lnTo>
                                  <a:pt x="967" y="407"/>
                                </a:lnTo>
                                <a:lnTo>
                                  <a:pt x="1071" y="407"/>
                                </a:lnTo>
                                <a:lnTo>
                                  <a:pt x="938" y="245"/>
                                </a:lnTo>
                                <a:lnTo>
                                  <a:pt x="1059" y="100"/>
                                </a:lnTo>
                                <a:lnTo>
                                  <a:pt x="960" y="100"/>
                                </a:lnTo>
                                <a:lnTo>
                                  <a:pt x="863" y="227"/>
                                </a:lnTo>
                                <a:close/>
                                <a:moveTo>
                                  <a:pt x="721" y="117"/>
                                </a:moveTo>
                                <a:lnTo>
                                  <a:pt x="709" y="112"/>
                                </a:lnTo>
                                <a:lnTo>
                                  <a:pt x="697" y="107"/>
                                </a:lnTo>
                                <a:lnTo>
                                  <a:pt x="685" y="102"/>
                                </a:lnTo>
                                <a:lnTo>
                                  <a:pt x="673" y="98"/>
                                </a:lnTo>
                                <a:lnTo>
                                  <a:pt x="660" y="96"/>
                                </a:lnTo>
                                <a:lnTo>
                                  <a:pt x="648" y="93"/>
                                </a:lnTo>
                                <a:lnTo>
                                  <a:pt x="635" y="92"/>
                                </a:lnTo>
                                <a:lnTo>
                                  <a:pt x="624" y="92"/>
                                </a:lnTo>
                                <a:lnTo>
                                  <a:pt x="611" y="92"/>
                                </a:lnTo>
                                <a:lnTo>
                                  <a:pt x="602" y="95"/>
                                </a:lnTo>
                                <a:lnTo>
                                  <a:pt x="590" y="97"/>
                                </a:lnTo>
                                <a:lnTo>
                                  <a:pt x="580" y="100"/>
                                </a:lnTo>
                                <a:lnTo>
                                  <a:pt x="572" y="103"/>
                                </a:lnTo>
                                <a:lnTo>
                                  <a:pt x="563" y="108"/>
                                </a:lnTo>
                                <a:lnTo>
                                  <a:pt x="555" y="115"/>
                                </a:lnTo>
                                <a:lnTo>
                                  <a:pt x="548" y="121"/>
                                </a:lnTo>
                                <a:lnTo>
                                  <a:pt x="542" y="128"/>
                                </a:lnTo>
                                <a:lnTo>
                                  <a:pt x="535" y="136"/>
                                </a:lnTo>
                                <a:lnTo>
                                  <a:pt x="531" y="145"/>
                                </a:lnTo>
                                <a:lnTo>
                                  <a:pt x="527" y="153"/>
                                </a:lnTo>
                                <a:lnTo>
                                  <a:pt x="523" y="163"/>
                                </a:lnTo>
                                <a:lnTo>
                                  <a:pt x="521" y="174"/>
                                </a:lnTo>
                                <a:lnTo>
                                  <a:pt x="519" y="184"/>
                                </a:lnTo>
                                <a:lnTo>
                                  <a:pt x="519" y="196"/>
                                </a:lnTo>
                                <a:lnTo>
                                  <a:pt x="519" y="206"/>
                                </a:lnTo>
                                <a:lnTo>
                                  <a:pt x="521" y="216"/>
                                </a:lnTo>
                                <a:lnTo>
                                  <a:pt x="522" y="224"/>
                                </a:lnTo>
                                <a:lnTo>
                                  <a:pt x="524" y="232"/>
                                </a:lnTo>
                                <a:lnTo>
                                  <a:pt x="528" y="239"/>
                                </a:lnTo>
                                <a:lnTo>
                                  <a:pt x="533" y="245"/>
                                </a:lnTo>
                                <a:lnTo>
                                  <a:pt x="538" y="252"/>
                                </a:lnTo>
                                <a:lnTo>
                                  <a:pt x="543" y="257"/>
                                </a:lnTo>
                                <a:lnTo>
                                  <a:pt x="552" y="263"/>
                                </a:lnTo>
                                <a:lnTo>
                                  <a:pt x="564" y="269"/>
                                </a:lnTo>
                                <a:lnTo>
                                  <a:pt x="580" y="275"/>
                                </a:lnTo>
                                <a:lnTo>
                                  <a:pt x="602" y="282"/>
                                </a:lnTo>
                                <a:lnTo>
                                  <a:pt x="614" y="287"/>
                                </a:lnTo>
                                <a:lnTo>
                                  <a:pt x="625" y="290"/>
                                </a:lnTo>
                                <a:lnTo>
                                  <a:pt x="634" y="294"/>
                                </a:lnTo>
                                <a:lnTo>
                                  <a:pt x="640" y="298"/>
                                </a:lnTo>
                                <a:lnTo>
                                  <a:pt x="644" y="301"/>
                                </a:lnTo>
                                <a:lnTo>
                                  <a:pt x="648" y="306"/>
                                </a:lnTo>
                                <a:lnTo>
                                  <a:pt x="649" y="311"/>
                                </a:lnTo>
                                <a:lnTo>
                                  <a:pt x="650" y="318"/>
                                </a:lnTo>
                                <a:lnTo>
                                  <a:pt x="649" y="324"/>
                                </a:lnTo>
                                <a:lnTo>
                                  <a:pt x="648" y="330"/>
                                </a:lnTo>
                                <a:lnTo>
                                  <a:pt x="644" y="335"/>
                                </a:lnTo>
                                <a:lnTo>
                                  <a:pt x="639" y="339"/>
                                </a:lnTo>
                                <a:lnTo>
                                  <a:pt x="634" y="343"/>
                                </a:lnTo>
                                <a:lnTo>
                                  <a:pt x="626" y="345"/>
                                </a:lnTo>
                                <a:lnTo>
                                  <a:pt x="619" y="348"/>
                                </a:lnTo>
                                <a:lnTo>
                                  <a:pt x="611" y="348"/>
                                </a:lnTo>
                                <a:lnTo>
                                  <a:pt x="603" y="348"/>
                                </a:lnTo>
                                <a:lnTo>
                                  <a:pt x="594" y="345"/>
                                </a:lnTo>
                                <a:lnTo>
                                  <a:pt x="585" y="344"/>
                                </a:lnTo>
                                <a:lnTo>
                                  <a:pt x="577" y="340"/>
                                </a:lnTo>
                                <a:lnTo>
                                  <a:pt x="568" y="335"/>
                                </a:lnTo>
                                <a:lnTo>
                                  <a:pt x="559" y="330"/>
                                </a:lnTo>
                                <a:lnTo>
                                  <a:pt x="549" y="324"/>
                                </a:lnTo>
                                <a:lnTo>
                                  <a:pt x="540" y="316"/>
                                </a:lnTo>
                                <a:lnTo>
                                  <a:pt x="507" y="381"/>
                                </a:lnTo>
                                <a:lnTo>
                                  <a:pt x="519" y="389"/>
                                </a:lnTo>
                                <a:lnTo>
                                  <a:pt x="532" y="396"/>
                                </a:lnTo>
                                <a:lnTo>
                                  <a:pt x="544" y="401"/>
                                </a:lnTo>
                                <a:lnTo>
                                  <a:pt x="558" y="406"/>
                                </a:lnTo>
                                <a:lnTo>
                                  <a:pt x="572" y="410"/>
                                </a:lnTo>
                                <a:lnTo>
                                  <a:pt x="585" y="414"/>
                                </a:lnTo>
                                <a:lnTo>
                                  <a:pt x="599" y="415"/>
                                </a:lnTo>
                                <a:lnTo>
                                  <a:pt x="613" y="415"/>
                                </a:lnTo>
                                <a:lnTo>
                                  <a:pt x="626" y="415"/>
                                </a:lnTo>
                                <a:lnTo>
                                  <a:pt x="639" y="414"/>
                                </a:lnTo>
                                <a:lnTo>
                                  <a:pt x="651" y="411"/>
                                </a:lnTo>
                                <a:lnTo>
                                  <a:pt x="663" y="407"/>
                                </a:lnTo>
                                <a:lnTo>
                                  <a:pt x="674" y="404"/>
                                </a:lnTo>
                                <a:lnTo>
                                  <a:pt x="684" y="399"/>
                                </a:lnTo>
                                <a:lnTo>
                                  <a:pt x="694" y="392"/>
                                </a:lnTo>
                                <a:lnTo>
                                  <a:pt x="702" y="386"/>
                                </a:lnTo>
                                <a:lnTo>
                                  <a:pt x="709" y="379"/>
                                </a:lnTo>
                                <a:lnTo>
                                  <a:pt x="716" y="371"/>
                                </a:lnTo>
                                <a:lnTo>
                                  <a:pt x="721" y="363"/>
                                </a:lnTo>
                                <a:lnTo>
                                  <a:pt x="725" y="353"/>
                                </a:lnTo>
                                <a:lnTo>
                                  <a:pt x="729" y="343"/>
                                </a:lnTo>
                                <a:lnTo>
                                  <a:pt x="731" y="331"/>
                                </a:lnTo>
                                <a:lnTo>
                                  <a:pt x="732" y="319"/>
                                </a:lnTo>
                                <a:lnTo>
                                  <a:pt x="734" y="306"/>
                                </a:lnTo>
                                <a:lnTo>
                                  <a:pt x="732" y="290"/>
                                </a:lnTo>
                                <a:lnTo>
                                  <a:pt x="729" y="275"/>
                                </a:lnTo>
                                <a:lnTo>
                                  <a:pt x="726" y="269"/>
                                </a:lnTo>
                                <a:lnTo>
                                  <a:pt x="724" y="263"/>
                                </a:lnTo>
                                <a:lnTo>
                                  <a:pt x="720" y="258"/>
                                </a:lnTo>
                                <a:lnTo>
                                  <a:pt x="716" y="252"/>
                                </a:lnTo>
                                <a:lnTo>
                                  <a:pt x="711" y="247"/>
                                </a:lnTo>
                                <a:lnTo>
                                  <a:pt x="705" y="243"/>
                                </a:lnTo>
                                <a:lnTo>
                                  <a:pt x="699" y="238"/>
                                </a:lnTo>
                                <a:lnTo>
                                  <a:pt x="692" y="234"/>
                                </a:lnTo>
                                <a:lnTo>
                                  <a:pt x="676" y="227"/>
                                </a:lnTo>
                                <a:lnTo>
                                  <a:pt x="658" y="221"/>
                                </a:lnTo>
                                <a:lnTo>
                                  <a:pt x="636" y="214"/>
                                </a:lnTo>
                                <a:lnTo>
                                  <a:pt x="624" y="209"/>
                                </a:lnTo>
                                <a:lnTo>
                                  <a:pt x="615" y="206"/>
                                </a:lnTo>
                                <a:lnTo>
                                  <a:pt x="610" y="201"/>
                                </a:lnTo>
                                <a:lnTo>
                                  <a:pt x="607" y="198"/>
                                </a:lnTo>
                                <a:lnTo>
                                  <a:pt x="604" y="194"/>
                                </a:lnTo>
                                <a:lnTo>
                                  <a:pt x="603" y="189"/>
                                </a:lnTo>
                                <a:lnTo>
                                  <a:pt x="603" y="186"/>
                                </a:lnTo>
                                <a:lnTo>
                                  <a:pt x="603" y="181"/>
                                </a:lnTo>
                                <a:lnTo>
                                  <a:pt x="605" y="174"/>
                                </a:lnTo>
                                <a:lnTo>
                                  <a:pt x="608" y="171"/>
                                </a:lnTo>
                                <a:lnTo>
                                  <a:pt x="611" y="167"/>
                                </a:lnTo>
                                <a:lnTo>
                                  <a:pt x="618" y="163"/>
                                </a:lnTo>
                                <a:lnTo>
                                  <a:pt x="623" y="161"/>
                                </a:lnTo>
                                <a:lnTo>
                                  <a:pt x="629" y="159"/>
                                </a:lnTo>
                                <a:lnTo>
                                  <a:pt x="636" y="158"/>
                                </a:lnTo>
                                <a:lnTo>
                                  <a:pt x="643" y="159"/>
                                </a:lnTo>
                                <a:lnTo>
                                  <a:pt x="650" y="159"/>
                                </a:lnTo>
                                <a:lnTo>
                                  <a:pt x="656" y="162"/>
                                </a:lnTo>
                                <a:lnTo>
                                  <a:pt x="663" y="163"/>
                                </a:lnTo>
                                <a:lnTo>
                                  <a:pt x="676" y="171"/>
                                </a:lnTo>
                                <a:lnTo>
                                  <a:pt x="689" y="179"/>
                                </a:lnTo>
                                <a:lnTo>
                                  <a:pt x="721" y="117"/>
                                </a:lnTo>
                                <a:close/>
                                <a:moveTo>
                                  <a:pt x="463" y="167"/>
                                </a:moveTo>
                                <a:lnTo>
                                  <a:pt x="463" y="100"/>
                                </a:lnTo>
                                <a:lnTo>
                                  <a:pt x="289" y="100"/>
                                </a:lnTo>
                                <a:lnTo>
                                  <a:pt x="289" y="407"/>
                                </a:lnTo>
                                <a:lnTo>
                                  <a:pt x="463" y="407"/>
                                </a:lnTo>
                                <a:lnTo>
                                  <a:pt x="463" y="340"/>
                                </a:lnTo>
                                <a:lnTo>
                                  <a:pt x="369" y="340"/>
                                </a:lnTo>
                                <a:lnTo>
                                  <a:pt x="369" y="287"/>
                                </a:lnTo>
                                <a:lnTo>
                                  <a:pt x="458" y="287"/>
                                </a:lnTo>
                                <a:lnTo>
                                  <a:pt x="458" y="219"/>
                                </a:lnTo>
                                <a:lnTo>
                                  <a:pt x="369" y="219"/>
                                </a:lnTo>
                                <a:lnTo>
                                  <a:pt x="369" y="167"/>
                                </a:lnTo>
                                <a:lnTo>
                                  <a:pt x="463" y="167"/>
                                </a:lnTo>
                                <a:close/>
                                <a:moveTo>
                                  <a:pt x="66" y="36"/>
                                </a:moveTo>
                                <a:lnTo>
                                  <a:pt x="148" y="82"/>
                                </a:lnTo>
                                <a:lnTo>
                                  <a:pt x="231" y="36"/>
                                </a:lnTo>
                                <a:lnTo>
                                  <a:pt x="210" y="2"/>
                                </a:lnTo>
                                <a:lnTo>
                                  <a:pt x="148" y="34"/>
                                </a:lnTo>
                                <a:lnTo>
                                  <a:pt x="87" y="2"/>
                                </a:lnTo>
                                <a:lnTo>
                                  <a:pt x="66" y="36"/>
                                </a:lnTo>
                                <a:close/>
                                <a:moveTo>
                                  <a:pt x="235" y="108"/>
                                </a:moveTo>
                                <a:lnTo>
                                  <a:pt x="215" y="102"/>
                                </a:lnTo>
                                <a:lnTo>
                                  <a:pt x="197" y="97"/>
                                </a:lnTo>
                                <a:lnTo>
                                  <a:pt x="180" y="95"/>
                                </a:lnTo>
                                <a:lnTo>
                                  <a:pt x="163" y="93"/>
                                </a:lnTo>
                                <a:lnTo>
                                  <a:pt x="146" y="95"/>
                                </a:lnTo>
                                <a:lnTo>
                                  <a:pt x="129" y="96"/>
                                </a:lnTo>
                                <a:lnTo>
                                  <a:pt x="114" y="101"/>
                                </a:lnTo>
                                <a:lnTo>
                                  <a:pt x="99" y="106"/>
                                </a:lnTo>
                                <a:lnTo>
                                  <a:pt x="84" y="112"/>
                                </a:lnTo>
                                <a:lnTo>
                                  <a:pt x="71" y="121"/>
                                </a:lnTo>
                                <a:lnTo>
                                  <a:pt x="58" y="130"/>
                                </a:lnTo>
                                <a:lnTo>
                                  <a:pt x="47" y="141"/>
                                </a:lnTo>
                                <a:lnTo>
                                  <a:pt x="37" y="152"/>
                                </a:lnTo>
                                <a:lnTo>
                                  <a:pt x="27" y="164"/>
                                </a:lnTo>
                                <a:lnTo>
                                  <a:pt x="20" y="178"/>
                                </a:lnTo>
                                <a:lnTo>
                                  <a:pt x="12" y="192"/>
                                </a:lnTo>
                                <a:lnTo>
                                  <a:pt x="7" y="207"/>
                                </a:lnTo>
                                <a:lnTo>
                                  <a:pt x="3" y="223"/>
                                </a:lnTo>
                                <a:lnTo>
                                  <a:pt x="1" y="239"/>
                                </a:lnTo>
                                <a:lnTo>
                                  <a:pt x="0" y="257"/>
                                </a:lnTo>
                                <a:lnTo>
                                  <a:pt x="0" y="272"/>
                                </a:lnTo>
                                <a:lnTo>
                                  <a:pt x="2" y="287"/>
                                </a:lnTo>
                                <a:lnTo>
                                  <a:pt x="6" y="300"/>
                                </a:lnTo>
                                <a:lnTo>
                                  <a:pt x="10" y="314"/>
                                </a:lnTo>
                                <a:lnTo>
                                  <a:pt x="16" y="328"/>
                                </a:lnTo>
                                <a:lnTo>
                                  <a:pt x="22" y="340"/>
                                </a:lnTo>
                                <a:lnTo>
                                  <a:pt x="31" y="351"/>
                                </a:lnTo>
                                <a:lnTo>
                                  <a:pt x="41" y="363"/>
                                </a:lnTo>
                                <a:lnTo>
                                  <a:pt x="53" y="374"/>
                                </a:lnTo>
                                <a:lnTo>
                                  <a:pt x="66" y="385"/>
                                </a:lnTo>
                                <a:lnTo>
                                  <a:pt x="81" y="394"/>
                                </a:lnTo>
                                <a:lnTo>
                                  <a:pt x="97" y="401"/>
                                </a:lnTo>
                                <a:lnTo>
                                  <a:pt x="113" y="407"/>
                                </a:lnTo>
                                <a:lnTo>
                                  <a:pt x="129" y="412"/>
                                </a:lnTo>
                                <a:lnTo>
                                  <a:pt x="147" y="415"/>
                                </a:lnTo>
                                <a:lnTo>
                                  <a:pt x="163" y="416"/>
                                </a:lnTo>
                                <a:lnTo>
                                  <a:pt x="179" y="415"/>
                                </a:lnTo>
                                <a:lnTo>
                                  <a:pt x="193" y="414"/>
                                </a:lnTo>
                                <a:lnTo>
                                  <a:pt x="212" y="409"/>
                                </a:lnTo>
                                <a:lnTo>
                                  <a:pt x="235" y="401"/>
                                </a:lnTo>
                                <a:lnTo>
                                  <a:pt x="235" y="306"/>
                                </a:lnTo>
                                <a:lnTo>
                                  <a:pt x="228" y="314"/>
                                </a:lnTo>
                                <a:lnTo>
                                  <a:pt x="219" y="320"/>
                                </a:lnTo>
                                <a:lnTo>
                                  <a:pt x="212" y="326"/>
                                </a:lnTo>
                                <a:lnTo>
                                  <a:pt x="203" y="330"/>
                                </a:lnTo>
                                <a:lnTo>
                                  <a:pt x="194" y="334"/>
                                </a:lnTo>
                                <a:lnTo>
                                  <a:pt x="185" y="336"/>
                                </a:lnTo>
                                <a:lnTo>
                                  <a:pt x="175" y="338"/>
                                </a:lnTo>
                                <a:lnTo>
                                  <a:pt x="165" y="339"/>
                                </a:lnTo>
                                <a:lnTo>
                                  <a:pt x="158" y="338"/>
                                </a:lnTo>
                                <a:lnTo>
                                  <a:pt x="151" y="336"/>
                                </a:lnTo>
                                <a:lnTo>
                                  <a:pt x="143" y="335"/>
                                </a:lnTo>
                                <a:lnTo>
                                  <a:pt x="137" y="333"/>
                                </a:lnTo>
                                <a:lnTo>
                                  <a:pt x="129" y="330"/>
                                </a:lnTo>
                                <a:lnTo>
                                  <a:pt x="123" y="326"/>
                                </a:lnTo>
                                <a:lnTo>
                                  <a:pt x="117" y="323"/>
                                </a:lnTo>
                                <a:lnTo>
                                  <a:pt x="111" y="318"/>
                                </a:lnTo>
                                <a:lnTo>
                                  <a:pt x="104" y="311"/>
                                </a:lnTo>
                                <a:lnTo>
                                  <a:pt x="98" y="305"/>
                                </a:lnTo>
                                <a:lnTo>
                                  <a:pt x="93" y="299"/>
                                </a:lnTo>
                                <a:lnTo>
                                  <a:pt x="89" y="292"/>
                                </a:lnTo>
                                <a:lnTo>
                                  <a:pt x="87" y="283"/>
                                </a:lnTo>
                                <a:lnTo>
                                  <a:pt x="84" y="274"/>
                                </a:lnTo>
                                <a:lnTo>
                                  <a:pt x="83" y="265"/>
                                </a:lnTo>
                                <a:lnTo>
                                  <a:pt x="83" y="255"/>
                                </a:lnTo>
                                <a:lnTo>
                                  <a:pt x="83" y="247"/>
                                </a:lnTo>
                                <a:lnTo>
                                  <a:pt x="84" y="238"/>
                                </a:lnTo>
                                <a:lnTo>
                                  <a:pt x="87" y="229"/>
                                </a:lnTo>
                                <a:lnTo>
                                  <a:pt x="89" y="222"/>
                                </a:lnTo>
                                <a:lnTo>
                                  <a:pt x="93" y="214"/>
                                </a:lnTo>
                                <a:lnTo>
                                  <a:pt x="97" y="207"/>
                                </a:lnTo>
                                <a:lnTo>
                                  <a:pt x="102" y="201"/>
                                </a:lnTo>
                                <a:lnTo>
                                  <a:pt x="107" y="194"/>
                                </a:lnTo>
                                <a:lnTo>
                                  <a:pt x="112" y="189"/>
                                </a:lnTo>
                                <a:lnTo>
                                  <a:pt x="118" y="184"/>
                                </a:lnTo>
                                <a:lnTo>
                                  <a:pt x="126" y="181"/>
                                </a:lnTo>
                                <a:lnTo>
                                  <a:pt x="133" y="177"/>
                                </a:lnTo>
                                <a:lnTo>
                                  <a:pt x="141" y="174"/>
                                </a:lnTo>
                                <a:lnTo>
                                  <a:pt x="148" y="172"/>
                                </a:lnTo>
                                <a:lnTo>
                                  <a:pt x="157" y="171"/>
                                </a:lnTo>
                                <a:lnTo>
                                  <a:pt x="165" y="171"/>
                                </a:lnTo>
                                <a:lnTo>
                                  <a:pt x="175" y="171"/>
                                </a:lnTo>
                                <a:lnTo>
                                  <a:pt x="185" y="173"/>
                                </a:lnTo>
                                <a:lnTo>
                                  <a:pt x="195" y="176"/>
                                </a:lnTo>
                                <a:lnTo>
                                  <a:pt x="204" y="179"/>
                                </a:lnTo>
                                <a:lnTo>
                                  <a:pt x="213" y="184"/>
                                </a:lnTo>
                                <a:lnTo>
                                  <a:pt x="220" y="189"/>
                                </a:lnTo>
                                <a:lnTo>
                                  <a:pt x="228" y="197"/>
                                </a:lnTo>
                                <a:lnTo>
                                  <a:pt x="235" y="204"/>
                                </a:lnTo>
                                <a:lnTo>
                                  <a:pt x="235" y="1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1B2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" o:spid="_x0000_s1026" style="position:absolute;margin-left:45pt;margin-top:36.75pt;width:177.15pt;height:43.65pt;z-index:251657728;mso-position-horizontal-relative:page;mso-position-vertical-relative:page" coordorigin="567,851" coordsize="2714,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">
                <o:lock v:ext="edit" aspectratio="t"/>
                <v:rect id="Rectangle 9" o:spid="_x0000_s1027" style="position:absolute;left:1215;top:901;width:676;height:1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IslMIA&#10;AADaAAAADwAAAGRycy9kb3ducmV2LnhtbESPQWvCQBSE74L/YXmF3symPUSJriJKodB6aBRyfWaf&#10;yWL2bciuSfrvu4VCj8PMfMNsdpNtxUC9N44VvCQpCOLKacO1gsv5bbEC4QOyxtYxKfgmD7vtfLbB&#10;XLuRv2goQi0ihH2OCpoQulxKXzVk0SeuI47ezfUWQ5R9LXWPY4TbVr6maSYtGo4LDXZ0aKi6Fw+r&#10;wMjP0Ran8ujSR3c25fK68uFDqeenab8GEWgK/+G/9rtWkMHvlXgD5P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EiyUwgAAANoAAAAPAAAAAAAAAAAAAAAAAJgCAABkcnMvZG93&#10;bnJldi54bWxQSwUGAAAAAAQABAD1AAAAhwMAAAAA&#10;" fillcolor="#0071bc" stroked="f">
                  <o:lock v:ext="edit" aspectratio="t"/>
                </v:rect>
                <v:rect id="Rectangle 10" o:spid="_x0000_s1028" style="position:absolute;left:567;top:1131;width:1324;height:1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6JD8EA&#10;AADaAAAADwAAAGRycy9kb3ducmV2LnhtbESPQYvCMBSE74L/ITzBm6Z6UKlGWVaEhV0PtoLXZ/O2&#10;Ddu8lCba7r83guBxmJlvmM2ut7W4U+uNYwWzaQKCuHDacKngnB8mKxA+IGusHZOCf/Kw2w4HG0y1&#10;6/hE9yyUIkLYp6igCqFJpfRFRRb91DXE0ft1rcUQZVtK3WIX4baW8yRZSIuG40KFDX1WVPxlN6vA&#10;yJ/OZsfL3iW3JjeX5XXlw7dS41H/sQYRqA/v8Kv9pRUs4Xkl3gC5f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peiQ/BAAAA2gAAAA8AAAAAAAAAAAAAAAAAmAIAAGRycy9kb3du&#10;cmV2LnhtbFBLBQYAAAAABAAEAPUAAACGAwAAAAA=&#10;" fillcolor="#0071bc" stroked="f">
                  <o:lock v:ext="edit" aspectratio="t"/>
                </v:rect>
                <v:rect id="Rectangle 11" o:spid="_x0000_s1029" style="position:absolute;left:1288;top:1361;width:603;height:1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Edfb4A&#10;AADaAAAADwAAAGRycy9kb3ducmV2LnhtbERPTYvCMBC9L/gfwgje1lQPrlTTIooguB62Cl7HZmyD&#10;zaQ00Xb/vTks7PHxvtf5YBvxos4bxwpm0wQEcem04UrB5bz/XILwAVlj45gU/JKHPBt9rDHVrucf&#10;ehWhEjGEfYoK6hDaVEpf1mTRT11LHLm76yyGCLtK6g77GG4bOU+ShbRoODbU2NK2pvJRPK0CI797&#10;W5yuO5c827O5ft2WPhyVmoyHzQpEoCH8i//cB60gbo1X4g2Q2R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vBHX2+AAAA2gAAAA8AAAAAAAAAAAAAAAAAmAIAAGRycy9kb3ducmV2&#10;LnhtbFBLBQYAAAAABAAEAPUAAACDAwAAAAA=&#10;" fillcolor="#0071bc" stroked="f">
                  <o:lock v:ext="edit" aspectratio="t"/>
                </v:rect>
                <v:shape id="Freeform 12" o:spid="_x0000_s1030" style="position:absolute;left:1969;top:1311;width:600;height:207;visibility:visible;mso-wrap-style:square;v-text-anchor:top" coordsize="1200,4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Be98EA&#10;AADaAAAADwAAAGRycy9kb3ducmV2LnhtbESPQWvCQBSE7wX/w/KE3upGD6VG1xCCpQ2ejHp/ZJ/Z&#10;YPZtyG5N/PduodDjMDPfMNtssp240+BbxwqWiwQEce10y42C8+nz7QOED8gaO8ek4EEest3sZYup&#10;diMf6V6FRkQI+xQVmBD6VEpfG7LoF64njt7VDRZDlEMj9YBjhNtOrpLkXVpsOS4Y7KkwVN+qH6tg&#10;n5Oh/NwXFZfd5etyO6za8qDU63zKNyACTeE//Nf+1grW8Hsl3gC5e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HQXvfBAAAA2gAAAA8AAAAAAAAAAAAAAAAAmAIAAGRycy9kb3du&#10;cmV2LnhtbFBLBQYAAAAABAAEAPUAAACGAwAAAAA=&#10;" path="m1011,341r,-174l1030,167r10,2l1049,170r10,1l1067,174r7,3l1082,182r6,5l1094,194r5,6l1104,206r4,7l1112,221r2,7l1116,237r1,8l1117,253r,9l1116,271r-2,7l1112,287r-4,7l1104,301r-5,7l1094,314r-6,7l1082,326r-8,5l1067,334r-8,3l1049,338r-9,1l1030,341r-19,xm931,408r118,l1064,407r15,-3l1093,400r14,-5l1121,389r12,-9l1144,372r11,-10l1165,351r9,-12l1182,326r6,-13l1194,298r4,-14l1200,270r,-17l1200,238r-2,-15l1194,208r-6,-13l1182,181r-8,-12l1165,157r-10,-11l1144,136r-11,-10l1121,119r-14,-6l1093,108r-14,-5l1064,101r-15,-1l931,100r,308xm775,293r-67,l742,195r33,98xm797,354r20,54l901,408,785,100r-87,l581,408r84,l686,354r111,xm347,37r83,46l513,37,491,3,430,34,369,3,347,37xm407,238r,-77l422,161r10,1l442,164r7,2l455,170r6,6l466,182r3,9l470,200r-1,8l466,216r-5,7l455,230r-6,3l442,236r-10,1l422,238r-15,xm485,282r13,-4l508,275r8,-5l525,263r6,-6l536,250r5,-8l545,233r4,-8l551,215r1,-10l552,195r,-9l551,176r-2,-9l546,159r-4,-9l537,141r-5,-7l526,128r-7,-8l511,115r-7,-5l495,106r-10,-2l475,101r-12,-1l450,100r-123,l327,408r80,l407,289r76,119l582,408,485,282xm210,35l171,,105,56r28,29l210,35xm80,100l,100,,278r,15l2,308r1,13l5,333r4,10l13,353r4,9l23,369r9,10l43,389r11,8l68,403r15,6l99,413r16,2l133,415r16,l165,413r14,-4l192,404r14,-5l217,392r11,-9l238,372r8,-9l253,353r5,-10l262,333r3,-12l267,308r1,-15l268,278r,-178l189,100r,167l189,287r-2,14l185,311r-4,10l177,326r-5,5l167,334r-6,4l155,341r-6,2l141,344r-7,2l126,344r-6,-1l114,342r-6,-3l103,336r-5,-4l93,327r-4,-5l84,312,81,302,80,288r,-21l80,100xe" fillcolor="#bd1b21" stroked="f">
                  <v:path arrowok="t" o:connecttype="custom" o:connectlocs="260,42;269,44;275,50;279,57;280,65;277,73;272,80;265,84;253,85;270,101;284,95;294,84;300,71;300,55;294,42;284,31;270,25;233,102;194,73;197,25;172,88;129,9;87,9;108,40;116,44;118,52;113,58;102,59;129,67;136,60;138,51;138,41;133,33;126,27;116,25;102,102;122,70;34,21;0,69;2,83;6,92;17,100;34,103;48,101;60,93;66,83;67,69;48,71;45,81;39,85;32,86;26,84;21,78;20,25" o:connectangles="0,0,0,0,0,0,0,0,0,0,0,0,0,0,0,0,0,0,0,0,0,0,0,0,0,0,0,0,0,0,0,0,0,0,0,0,0,0,0,0,0,0,0,0,0,0,0,0,0,0,0,0,0,0"/>
                  <o:lock v:ext="edit" aspectratio="t" verticies="t"/>
                </v:shape>
                <v:shape id="Freeform 13" o:spid="_x0000_s1031" style="position:absolute;left:1962;top:1081;width:1319;height:208;visibility:visible;mso-wrap-style:square;v-text-anchor:top" coordsize="2637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+WvsQA&#10;AADbAAAADwAAAGRycy9kb3ducmV2LnhtbERPTWvCQBC9F/oflin0InVTBSnRTSiWgmgFNXrwNmSn&#10;SWh2NuxuTfz3XUHobR7vcxb5YFpxIecbywpexwkI4tLqhisFx+Lz5Q2ED8gaW8uk4Eoe8uzxYYGp&#10;tj3v6XIIlYgh7FNUUIfQpVL6siaDfmw74sh9W2cwROgqqR32Mdy0cpIkM2mw4dhQY0fLmsqfw69R&#10;sCzak5t+9Zu9G32s1udtJYvtTqnnp+F9DiLQEP7Fd/dKx/kTuP0SD5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7vlr7EAAAA2wAAAA8AAAAAAAAAAAAAAAAAmAIAAGRycy9k&#10;b3ducmV2LnhtbFBLBQYAAAAABAAEAPUAAACJAwAAAAA=&#10;" path="m2561,35l2524,r-66,56l2485,84r76,-49xm2442,260r,147l2521,407r,-147l2637,99r-97,l2484,183,2427,99r-96,l2442,260xm2143,226r,-127l2063,99r,308l2143,407r,-133l2247,407r104,l2217,245,2340,99r-100,l2143,226xm2008,108r-21,-6l1969,97r-17,-4l1936,93r-18,l1902,96r-16,5l1871,106r-14,6l1844,121r-13,8l1820,140r-11,12l1800,164r-9,14l1785,192r-5,15l1775,223r-2,16l1773,256r,15l1775,286r3,14l1783,314r6,13l1795,340r9,11l1813,362r12,11l1839,385r15,8l1869,401r16,6l1902,412r16,3l1936,416r15,-1l1966,413r17,-5l2008,401r,-95l1999,314r-7,6l1983,326r-7,4l1967,334r-10,2l1948,337r-10,l1931,337r-8,-1l1916,335r-8,-3l1902,330r-6,-4l1889,322r-5,-5l1876,311r-5,-6l1866,299r-4,-8l1860,283r-3,-9l1856,265r,-10l1856,246r1,-8l1860,229r2,-8l1865,214r5,-7l1874,200r5,-6l1885,189r6,-5l1898,180r7,-3l1913,174r8,-2l1930,170r8,l1948,170r10,3l1967,175r10,4l1984,184r9,5l2001,197r7,7l2008,108xm1727,99r-80,l1647,407r80,l1727,99xm1538,167r66,l1604,99r-210,l1394,167r65,l1459,407r79,l1538,167xm1360,117r-11,-6l1337,106r-13,-4l1313,98r-13,-2l1288,93r-12,-1l1263,92r-11,l1241,94r-10,2l1221,99r-10,4l1203,108r-8,6l1187,121r-6,7l1175,136r-5,8l1166,153r-4,10l1161,174r-3,10l1158,195r,10l1160,215r2,9l1165,231r3,8l1172,245r5,6l1183,256r9,7l1203,269r16,6l1242,281r12,5l1264,290r9,4l1279,297r5,4l1287,306r2,5l1289,317r,7l1287,330r-4,5l1279,339r-6,3l1267,345r-8,1l1251,347r-9,l1233,345r-9,-1l1216,340r-9,-5l1198,330r-8,-6l1180,316r-34,65l1158,388r13,8l1185,401r13,5l1212,410r14,3l1239,415r14,l1266,415r12,-2l1290,411r12,-4l1313,403r10,-5l1333,392r9,-6l1349,378r6,-7l1360,362r5,-10l1369,342r2,-11l1373,319r,-13l1371,290r-2,-15l1366,269r-3,-6l1359,258r-4,-7l1350,246r-5,-5l1339,238r-7,-4l1315,226r-17,-6l1276,213r-13,-4l1256,205r-7,-5l1247,198r-3,-4l1242,189r,-4l1243,179r1,-5l1248,170r4,-3l1257,163r6,-3l1269,159r8,-1l1283,159r6,l1297,162r6,1l1315,170r14,9l1360,117xm1091,99r-80,l1011,407r80,l1091,99xm904,167r66,l970,99r-212,l758,167r67,l825,407r79,l904,167xm644,292r-66,l611,194r33,98xm666,354r20,53l771,407,655,99r-87,l450,407r84,l555,354r111,xm395,167r66,l461,99r-212,l249,167r66,l315,407r80,l395,167xm214,117r-11,-6l190,106r-12,-4l167,98,154,96,142,93,129,92r-12,l106,92,94,94,84,96r-9,3l65,103r-9,5l48,114r-7,7l35,128r-7,8l23,144r-3,9l16,163r-1,11l12,184r,11l12,205r1,10l16,224r2,7l22,239r4,6l31,251r6,5l46,263r11,6l73,275r23,6l108,286r10,4l127,294r6,3l138,301r3,5l143,311r,6l143,324r-2,6l137,335r-4,4l127,342r-6,3l113,346r-9,1l96,347r-9,-2l78,344r-8,-4l61,335r-9,-5l43,324,33,316,,381r12,7l25,396r13,5l52,406r14,4l79,413r14,2l107,415r12,l132,413r12,-2l155,407r12,-4l177,398r10,-6l195,386r8,-8l209,371r5,-9l219,352r4,-10l225,331r2,-12l227,306r-2,-16l223,275r-3,-6l217,263r-4,-5l209,251r-5,-5l199,241r-6,-3l185,234r-16,-8l151,220r-22,-7l117,209r-8,-4l103,200r-4,-2l98,194r-2,-5l96,185r1,-6l98,174r4,-4l106,167r5,-4l117,160r6,-1l129,158r8,1l143,159r8,3l157,163r12,7l183,179r31,-62xe" fillcolor="#bd1b21" stroked="f">
                  <v:path arrowok="t" o:connecttype="custom" o:connectlocs="611,102;583,25;536,69;502,27;472,26;450,41;444,68;454,91;480,104;500,79;485,85;473,81;465,69;467,54;477,45;492,44;432,25;401,25;340,30;319,23;301,27;291,41;292,58;305,69;322,77;319,86;304,85;293,99;317,104;336,97;344,80;339,63;319,54;311,47;318,40;333,45;226,42;226,102;172,102;167,89;79,102;42,25;21,24;7,34;3,52;10,64;32,74;36,83;24,87;9,79;20,104;42,101;55,88;55,68;47,59;25,50;27,42;38,41" o:connectangles="0,0,0,0,0,0,0,0,0,0,0,0,0,0,0,0,0,0,0,0,0,0,0,0,0,0,0,0,0,0,0,0,0,0,0,0,0,0,0,0,0,0,0,0,0,0,0,0,0,0,0,0,0,0,0,0,0,0"/>
                  <o:lock v:ext="edit" aspectratio="t" verticies="t"/>
                </v:shape>
                <v:shape id="Freeform 14" o:spid="_x0000_s1032" style="position:absolute;left:1962;top:851;width:679;height:208;visibility:visible;mso-wrap-style:square;v-text-anchor:top" coordsize="1358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//pMIA&#10;AADbAAAADwAAAGRycy9kb3ducmV2LnhtbERPTWvCQBC9F/wPywheRDdakBJdpSpRb6UqnsfsmIRm&#10;Z+PuatJ/3y0UepvH+5zFqjO1eJLzlWUFk3ECgji3uuJCwfmUjd5A+ICssbZMCr7Jw2rZe1lgqm3L&#10;n/Q8hkLEEPYpKihDaFIpfV6SQT+2DXHkbtYZDBG6QmqHbQw3tZwmyUwarDg2lNjQpqT86/gwCqaz&#10;y3WfHYr1R727D52+bbNhu1Vq0O/e5yACdeFf/Oc+6Dj/FX5/iQfI5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H/+kwgAAANsAAAAPAAAAAAAAAAAAAAAAAJgCAABkcnMvZG93&#10;bnJldi54bWxQSwUGAAAAAAQABAD1AAAAhwMAAAAA&#10;" path="m1282,36l1243,r-65,56l1205,85r77,-49xm1162,260r,147l1242,407r,-147l1358,100r-97,l1205,183r-59,-83l1051,100r111,160xm863,227r,-127l783,100r,307l863,407r,-133l967,407r104,l938,245,1059,100r-99,l863,227xm721,117r-12,-5l697,107r-12,-5l673,98,660,96,648,93,635,92r-11,l611,92r-9,3l590,97r-10,3l572,103r-9,5l555,115r-7,6l542,128r-7,8l531,145r-4,8l523,163r-2,11l519,184r,12l519,206r2,10l522,224r2,8l528,239r5,6l538,252r5,5l552,263r12,6l580,275r22,7l614,287r11,3l634,294r6,4l644,301r4,5l649,311r1,7l649,324r-1,6l644,335r-5,4l634,343r-8,2l619,348r-8,l603,348r-9,-3l585,344r-8,-4l568,335r-9,-5l549,324r-9,-8l507,381r12,8l532,396r12,5l558,406r14,4l585,414r14,1l613,415r13,l639,414r12,-3l663,407r11,-3l684,399r10,-7l702,386r7,-7l716,371r5,-8l725,353r4,-10l731,331r1,-12l734,306r-2,-16l729,275r-3,-6l724,263r-4,-5l716,252r-5,-5l705,243r-6,-5l692,234r-16,-7l658,221r-22,-7l624,209r-9,-3l610,201r-3,-3l604,194r-1,-5l603,186r,-5l605,174r3,-3l611,167r7,-4l623,161r6,-2l636,158r7,1l650,159r6,3l663,163r13,8l689,179r32,-62xm463,167r,-67l289,100r,307l463,407r,-67l369,340r,-53l458,287r,-68l369,219r,-52l463,167xm66,36r82,46l231,36,210,2,148,34,87,2,66,36xm235,108r-20,-6l197,97,180,95,163,93r-17,2l129,96r-15,5l99,106r-15,6l71,121r-13,9l47,141,37,152,27,164r-7,14l12,192,7,207,3,223,1,239,,257r,15l2,287r4,13l10,314r6,14l22,340r9,11l41,363r12,11l66,385r15,9l97,401r16,6l129,412r18,3l163,416r16,-1l193,414r19,-5l235,401r,-95l228,314r-9,6l212,326r-9,4l194,334r-9,2l175,338r-10,1l158,338r-7,-2l143,335r-6,-2l129,330r-6,-4l117,323r-6,-5l104,311r-6,-6l93,299r-4,-7l87,283r-3,-9l83,265r,-10l83,247r1,-9l87,229r2,-7l93,214r4,-7l102,201r5,-7l112,189r6,-5l126,181r7,-4l141,174r7,-2l157,171r8,l175,171r10,2l195,176r9,3l213,184r7,5l228,197r7,7l235,108xe" fillcolor="#bd1b21" stroked="f">
                  <v:path arrowok="t" o:connecttype="custom" o:connectlocs="321,9;340,25;291,65;216,102;265,25;175,27;159,23;145,25;136,32;131,44;131,56;136,65;154,72;162,77;161,84;153,87;142,84;130,98;147,104;163,103;176,97;183,86;183,69;178,62;165,56;152,50;152,44;158,40;166,41;116,25;93,85;93,42;53,1;54,26;33,24;15,33;3,48;0,68;6,85;21,99;41,104;59,77;49,84;38,84;30,81;23,73;21,62;25,52;32,46;42,43;54,46" o:connectangles="0,0,0,0,0,0,0,0,0,0,0,0,0,0,0,0,0,0,0,0,0,0,0,0,0,0,0,0,0,0,0,0,0,0,0,0,0,0,0,0,0,0,0,0,0,0,0,0,0,0,0"/>
                  <o:lock v:ext="edit" aspectratio="t" verticies="t"/>
                </v:shape>
                <w10:wrap type="square" anchorx="page" anchory="page"/>
                <w10:anchorlock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1" layoutInCell="1" allowOverlap="1">
                <wp:simplePos x="0" y="0"/>
                <wp:positionH relativeFrom="page">
                  <wp:posOffset>1705610</wp:posOffset>
                </wp:positionH>
                <wp:positionV relativeFrom="page">
                  <wp:posOffset>8173085</wp:posOffset>
                </wp:positionV>
                <wp:extent cx="5130165" cy="925195"/>
                <wp:effectExtent l="3810" t="0" r="0" b="0"/>
                <wp:wrapNone/>
                <wp:docPr id="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30165" cy="925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307D" w:rsidRPr="006C5577" w:rsidRDefault="00F8307D" w:rsidP="004924DC">
                            <w:r>
                              <w:t>Z</w:t>
                            </w:r>
                            <w:r w:rsidRPr="006C5577">
                              <w:t xml:space="preserve">pracoval: Odbor </w:t>
                            </w:r>
                            <w:r>
                              <w:t>statistiky obyvatelstva</w:t>
                            </w:r>
                          </w:p>
                          <w:p w:rsidR="00F8307D" w:rsidRPr="006C5577" w:rsidRDefault="00F8307D" w:rsidP="004924DC">
                            <w:r w:rsidRPr="006C5577">
                              <w:t xml:space="preserve">Ředitel odboru: </w:t>
                            </w:r>
                            <w:r>
                              <w:t>Robert Šanda</w:t>
                            </w:r>
                          </w:p>
                          <w:p w:rsidR="00F8307D" w:rsidRPr="006C5577" w:rsidRDefault="00F8307D" w:rsidP="004924DC">
                            <w:r w:rsidRPr="006C5577">
                              <w:t xml:space="preserve">Kontaktní osoba: </w:t>
                            </w:r>
                            <w:r>
                              <w:t>Roman Kurkin</w:t>
                            </w:r>
                            <w:r w:rsidRPr="006C5577">
                              <w:t>,</w:t>
                            </w:r>
                            <w:r>
                              <w:t xml:space="preserve"> e-mail: roman.kurkin@czso.cz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134.3pt;margin-top:643.55pt;width:403.95pt;height:72.85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" filled="f" stroked="f">
                <v:textbox inset="0,0,0,0">
                  <w:txbxContent>
                    <w:p w:rsidR="00F8307D" w:rsidRPr="006C5577" w:rsidRDefault="00F8307D" w:rsidP="004924DC">
                      <w:r>
                        <w:t>Z</w:t>
                      </w:r>
                      <w:r w:rsidRPr="006C5577">
                        <w:t xml:space="preserve">pracoval: Odbor </w:t>
                      </w:r>
                      <w:r>
                        <w:t>statistiky obyvatelstva</w:t>
                      </w:r>
                    </w:p>
                    <w:p w:rsidR="00F8307D" w:rsidRPr="006C5577" w:rsidRDefault="00F8307D" w:rsidP="004924DC">
                      <w:r w:rsidRPr="006C5577">
                        <w:t xml:space="preserve">Ředitel odboru: </w:t>
                      </w:r>
                      <w:r>
                        <w:t>Robert Šanda</w:t>
                      </w:r>
                    </w:p>
                    <w:p w:rsidR="00F8307D" w:rsidRPr="006C5577" w:rsidRDefault="00F8307D" w:rsidP="004924DC">
                      <w:r w:rsidRPr="006C5577">
                        <w:t xml:space="preserve">Kontaktní osoba: </w:t>
                      </w:r>
                      <w:r>
                        <w:t>Roman Kurkin</w:t>
                      </w:r>
                      <w:r w:rsidRPr="006C5577">
                        <w:t>,</w:t>
                      </w:r>
                      <w:r>
                        <w:t xml:space="preserve"> e-mail: roman.kurkin@czso.cz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1" layoutInCell="1" allowOverlap="1">
                <wp:simplePos x="0" y="0"/>
                <wp:positionH relativeFrom="page">
                  <wp:posOffset>1710055</wp:posOffset>
                </wp:positionH>
                <wp:positionV relativeFrom="page">
                  <wp:posOffset>4680585</wp:posOffset>
                </wp:positionV>
                <wp:extent cx="5129530" cy="1686560"/>
                <wp:effectExtent l="0" t="0" r="1270" b="15240"/>
                <wp:wrapNone/>
                <wp:docPr id="30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29530" cy="1686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307D" w:rsidRPr="004924DC" w:rsidRDefault="00F8307D" w:rsidP="004924DC">
                            <w:pPr>
                              <w:pStyle w:val="TLIdentifikace-sted"/>
                            </w:pPr>
                            <w:r>
                              <w:t>Obyvatelstvo</w:t>
                            </w:r>
                          </w:p>
                          <w:p w:rsidR="00F8307D" w:rsidRPr="004924DC" w:rsidRDefault="00F8307D" w:rsidP="00554CEE">
                            <w:pPr>
                              <w:pStyle w:val="TLIdentifikace-sted"/>
                            </w:pPr>
                            <w:r>
                              <w:t>Praha</w:t>
                            </w:r>
                            <w:r w:rsidRPr="004924DC">
                              <w:t xml:space="preserve">, </w:t>
                            </w:r>
                            <w:r>
                              <w:t>11. prosince 2018</w:t>
                            </w:r>
                          </w:p>
                          <w:p w:rsidR="00F8307D" w:rsidRPr="004924DC" w:rsidRDefault="00F8307D" w:rsidP="004924DC">
                            <w:pPr>
                              <w:pStyle w:val="TLIdentifikace-sted"/>
                            </w:pPr>
                            <w:r>
                              <w:t>Kód publikace: 130138-18</w:t>
                            </w:r>
                          </w:p>
                          <w:p w:rsidR="00F8307D" w:rsidRPr="004924DC" w:rsidRDefault="00F8307D" w:rsidP="004924DC">
                            <w:pPr>
                              <w:pStyle w:val="TLIdentifikace-sted"/>
                            </w:pPr>
                            <w:r w:rsidRPr="004924DC">
                              <w:t xml:space="preserve">Č. j.: </w:t>
                            </w:r>
                            <w:r w:rsidRPr="00C77051">
                              <w:t>03535</w:t>
                            </w:r>
                            <w:r>
                              <w:t xml:space="preserve"> / 2018 – 61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134.65pt;margin-top:368.55pt;width:403.9pt;height:132.8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" filled="f" stroked="f">
                <v:textbox style="mso-fit-shape-to-text:t" inset="0,0,0,0">
                  <w:txbxContent>
                    <w:p w:rsidR="00F8307D" w:rsidRPr="004924DC" w:rsidRDefault="00F8307D" w:rsidP="004924DC">
                      <w:pPr>
                        <w:pStyle w:val="TLIdentifikace-sted"/>
                      </w:pPr>
                      <w:r>
                        <w:t>Obyvatelstvo</w:t>
                      </w:r>
                    </w:p>
                    <w:p w:rsidR="00F8307D" w:rsidRPr="004924DC" w:rsidRDefault="00F8307D" w:rsidP="00554CEE">
                      <w:pPr>
                        <w:pStyle w:val="TLIdentifikace-sted"/>
                      </w:pPr>
                      <w:r>
                        <w:t>Praha</w:t>
                      </w:r>
                      <w:r w:rsidRPr="004924DC">
                        <w:t xml:space="preserve">, </w:t>
                      </w:r>
                      <w:r>
                        <w:t>11. prosince 2018</w:t>
                      </w:r>
                    </w:p>
                    <w:p w:rsidR="00F8307D" w:rsidRPr="004924DC" w:rsidRDefault="00F8307D" w:rsidP="004924DC">
                      <w:pPr>
                        <w:pStyle w:val="TLIdentifikace-sted"/>
                      </w:pPr>
                      <w:r>
                        <w:t>Kód publikace: 130138-18</w:t>
                      </w:r>
                    </w:p>
                    <w:p w:rsidR="00F8307D" w:rsidRPr="004924DC" w:rsidRDefault="00F8307D" w:rsidP="004924DC">
                      <w:pPr>
                        <w:pStyle w:val="TLIdentifikace-sted"/>
                      </w:pPr>
                      <w:r w:rsidRPr="004924DC">
                        <w:t xml:space="preserve">Č. j.: </w:t>
                      </w:r>
                      <w:r w:rsidRPr="00C77051">
                        <w:t>03535</w:t>
                      </w:r>
                      <w:r>
                        <w:t xml:space="preserve"> / 2018 – 61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1" layoutInCell="1" allowOverlap="1">
                <wp:simplePos x="0" y="0"/>
                <wp:positionH relativeFrom="page">
                  <wp:posOffset>1710055</wp:posOffset>
                </wp:positionH>
                <wp:positionV relativeFrom="page">
                  <wp:posOffset>1476375</wp:posOffset>
                </wp:positionV>
                <wp:extent cx="5129530" cy="2207895"/>
                <wp:effectExtent l="0" t="0" r="1270" b="1905"/>
                <wp:wrapNone/>
                <wp:docPr id="29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29530" cy="2207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307D" w:rsidRDefault="00F8307D" w:rsidP="000E6FBD">
                            <w:pPr>
                              <w:pStyle w:val="Nzev"/>
                            </w:pPr>
                            <w:r>
                              <w:t>VNITŘNÍ STĚHOVÁNÍ</w:t>
                            </w:r>
                          </w:p>
                          <w:p w:rsidR="00F8307D" w:rsidRPr="000E6FBD" w:rsidRDefault="00F8307D" w:rsidP="000E6FBD">
                            <w:pPr>
                              <w:pStyle w:val="Nzev"/>
                            </w:pPr>
                            <w:r>
                              <w:t>v české republice</w:t>
                            </w:r>
                          </w:p>
                          <w:p w:rsidR="00F8307D" w:rsidRPr="0012192F" w:rsidRDefault="00F8307D" w:rsidP="0012192F">
                            <w:pPr>
                              <w:pStyle w:val="Podtitul"/>
                            </w:pPr>
                          </w:p>
                          <w:p w:rsidR="00F8307D" w:rsidRPr="0012192F" w:rsidRDefault="00F8307D" w:rsidP="0012192F">
                            <w:pPr>
                              <w:pStyle w:val="Podtitul"/>
                            </w:pPr>
                            <w:r>
                              <w:t>za období</w:t>
                            </w:r>
                          </w:p>
                          <w:p w:rsidR="00F8307D" w:rsidRPr="0012192F" w:rsidRDefault="00F8307D" w:rsidP="0012192F">
                            <w:pPr>
                              <w:pStyle w:val="Podtitul"/>
                            </w:pPr>
                            <w:r>
                              <w:t>2005 – 2017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134.65pt;margin-top:116.25pt;width:403.9pt;height:173.85pt;z-index: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" filled="f" stroked="f">
                <v:textbox style="mso-fit-shape-to-text:t" inset="0,0,0,0">
                  <w:txbxContent>
                    <w:p w:rsidR="00F8307D" w:rsidRDefault="00F8307D" w:rsidP="000E6FBD">
                      <w:pPr>
                        <w:pStyle w:val="Nzev"/>
                      </w:pPr>
                      <w:r>
                        <w:t>VNITŘNÍ STĚHOVÁNÍ</w:t>
                      </w:r>
                    </w:p>
                    <w:p w:rsidR="00F8307D" w:rsidRPr="000E6FBD" w:rsidRDefault="00F8307D" w:rsidP="000E6FBD">
                      <w:pPr>
                        <w:pStyle w:val="Nzev"/>
                      </w:pPr>
                      <w:r>
                        <w:t>v české republice</w:t>
                      </w:r>
                    </w:p>
                    <w:p w:rsidR="00F8307D" w:rsidRPr="0012192F" w:rsidRDefault="00F8307D" w:rsidP="0012192F">
                      <w:pPr>
                        <w:pStyle w:val="Podtitul"/>
                      </w:pPr>
                    </w:p>
                    <w:p w:rsidR="00F8307D" w:rsidRPr="0012192F" w:rsidRDefault="00F8307D" w:rsidP="0012192F">
                      <w:pPr>
                        <w:pStyle w:val="Podtitul"/>
                      </w:pPr>
                      <w:r>
                        <w:t>za období</w:t>
                      </w:r>
                    </w:p>
                    <w:p w:rsidR="00F8307D" w:rsidRPr="0012192F" w:rsidRDefault="00F8307D" w:rsidP="0012192F">
                      <w:pPr>
                        <w:pStyle w:val="Podtitul"/>
                      </w:pPr>
                      <w:r>
                        <w:t>2005 – 2017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1" layoutInCell="1" allowOverlap="1">
                <wp:simplePos x="0" y="0"/>
                <wp:positionH relativeFrom="page">
                  <wp:posOffset>1710055</wp:posOffset>
                </wp:positionH>
                <wp:positionV relativeFrom="page">
                  <wp:posOffset>9649460</wp:posOffset>
                </wp:positionV>
                <wp:extent cx="5130165" cy="179705"/>
                <wp:effectExtent l="0" t="0" r="5080" b="635"/>
                <wp:wrapNone/>
                <wp:docPr id="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30165" cy="179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307D" w:rsidRPr="004924DC" w:rsidRDefault="00F8307D" w:rsidP="004924DC">
                            <w:r w:rsidRPr="004924DC">
                              <w:t xml:space="preserve">© Český statistický úřad, </w:t>
                            </w:r>
                            <w:r>
                              <w:t>Praha</w:t>
                            </w:r>
                            <w:r w:rsidRPr="004924DC">
                              <w:t xml:space="preserve">, </w:t>
                            </w:r>
                            <w:r>
                              <w:t>2018</w:t>
                            </w:r>
                          </w:p>
                          <w:p w:rsidR="00F8307D" w:rsidRPr="005251DD" w:rsidRDefault="00F8307D" w:rsidP="00665BA4"/>
                          <w:p w:rsidR="00F8307D" w:rsidRPr="005251DD" w:rsidRDefault="00F8307D" w:rsidP="00FC684B"/>
                          <w:p w:rsidR="00F8307D" w:rsidRDefault="00F8307D"/>
                          <w:p w:rsidR="00F8307D" w:rsidRPr="00097407" w:rsidRDefault="00F8307D" w:rsidP="00665BA4">
                            <w:r w:rsidRPr="00097407">
                              <w:t xml:space="preserve">© </w:t>
                            </w:r>
                            <w:r w:rsidRPr="005251DD">
                              <w:t>Český statistický úřad</w:t>
                            </w:r>
                            <w:r>
                              <w:t xml:space="preserve"> / </w:t>
                            </w:r>
                            <w:r w:rsidRPr="009A1902">
                              <w:rPr>
                                <w:i/>
                              </w:rPr>
                              <w:t xml:space="preserve">Czech </w:t>
                            </w:r>
                            <w:r w:rsidRPr="009A1902">
                              <w:rPr>
                                <w:rFonts w:cs="Arial"/>
                                <w:i/>
                                <w:szCs w:val="20"/>
                              </w:rPr>
                              <w:t>Statistical Office</w:t>
                            </w:r>
                            <w:r w:rsidRPr="00097407">
                              <w:t>, místo, rok vydání</w:t>
                            </w:r>
                          </w:p>
                          <w:p w:rsidR="00F8307D" w:rsidRPr="005251DD" w:rsidRDefault="00F8307D" w:rsidP="00665BA4"/>
                          <w:p w:rsidR="00F8307D" w:rsidRPr="005251DD" w:rsidRDefault="00F8307D" w:rsidP="00FC684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134.65pt;margin-top:759.8pt;width:403.95pt;height:14.15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" filled="f" stroked="f">
                <v:textbox inset="0,0,0,0">
                  <w:txbxContent>
                    <w:p w:rsidR="00F8307D" w:rsidRPr="004924DC" w:rsidRDefault="00F8307D" w:rsidP="004924DC">
                      <w:r w:rsidRPr="004924DC">
                        <w:t xml:space="preserve">© Český statistický úřad, </w:t>
                      </w:r>
                      <w:r>
                        <w:t>Praha</w:t>
                      </w:r>
                      <w:r w:rsidRPr="004924DC">
                        <w:t xml:space="preserve">, </w:t>
                      </w:r>
                      <w:r>
                        <w:t>2018</w:t>
                      </w:r>
                    </w:p>
                    <w:p w:rsidR="00F8307D" w:rsidRPr="005251DD" w:rsidRDefault="00F8307D" w:rsidP="00665BA4"/>
                    <w:p w:rsidR="00F8307D" w:rsidRPr="005251DD" w:rsidRDefault="00F8307D" w:rsidP="00FC684B"/>
                    <w:p w:rsidR="00F8307D" w:rsidRDefault="00F8307D"/>
                    <w:p w:rsidR="00F8307D" w:rsidRPr="00097407" w:rsidRDefault="00F8307D" w:rsidP="00665BA4">
                      <w:r w:rsidRPr="00097407">
                        <w:t xml:space="preserve">© </w:t>
                      </w:r>
                      <w:r w:rsidRPr="005251DD">
                        <w:t>Český statistický úřad</w:t>
                      </w:r>
                      <w:r>
                        <w:t xml:space="preserve"> / </w:t>
                      </w:r>
                      <w:r w:rsidRPr="009A1902">
                        <w:rPr>
                          <w:i/>
                        </w:rPr>
                        <w:t xml:space="preserve">Czech </w:t>
                      </w:r>
                      <w:r w:rsidRPr="009A1902">
                        <w:rPr>
                          <w:rFonts w:cs="Arial"/>
                          <w:i/>
                          <w:szCs w:val="20"/>
                        </w:rPr>
                        <w:t>Statistical Office</w:t>
                      </w:r>
                      <w:r w:rsidRPr="00097407">
                        <w:t>, místo, rok vydání</w:t>
                      </w:r>
                    </w:p>
                    <w:p w:rsidR="00F8307D" w:rsidRPr="005251DD" w:rsidRDefault="00F8307D" w:rsidP="00665BA4"/>
                    <w:p w:rsidR="00F8307D" w:rsidRPr="005251DD" w:rsidRDefault="00F8307D" w:rsidP="00FC684B"/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4" distB="4294967294" distL="114300" distR="114300" simplePos="0" relativeHeight="251653632" behindDoc="0" locked="1" layoutInCell="0" allowOverlap="1">
                <wp:simplePos x="0" y="0"/>
                <wp:positionH relativeFrom="page">
                  <wp:posOffset>1710055</wp:posOffset>
                </wp:positionH>
                <wp:positionV relativeFrom="page">
                  <wp:posOffset>9361169</wp:posOffset>
                </wp:positionV>
                <wp:extent cx="5130165" cy="0"/>
                <wp:effectExtent l="0" t="0" r="26035" b="25400"/>
                <wp:wrapNone/>
                <wp:docPr id="33" name="Přímá spojnic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130165" cy="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33" o:spid="_x0000_s1026" style="position:absolute;z-index:251653632;visibility:visible;mso-wrap-style:square;mso-width-percent:0;mso-height-percent:0;mso-wrap-distance-left:9pt;mso-wrap-distance-top:-6e-5mm;mso-wrap-distance-right:9pt;mso-wrap-distance-bottom:-6e-5mm;mso-position-horizontal:absolute;mso-position-horizontal-relative:page;mso-position-vertical:absolute;mso-position-vertical-relative:page;mso-width-percent:0;mso-height-percent:0;mso-width-relative:margin;mso-height-relative:margin" from="134.65pt,737.1pt" to="538.6pt,73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" o:allowincell="f" strokecolor="windowText" strokeweight="1pt">
                <o:lock v:ext="edit" shapetype="f"/>
                <w10:wrap anchorx="page" anchory="page"/>
                <w10:anchorlock/>
              </v:line>
            </w:pict>
          </mc:Fallback>
        </mc:AlternateContent>
      </w:r>
      <w:r w:rsidR="00F63FB7">
        <w:br w:type="page"/>
      </w:r>
      <w:r>
        <w:lastRenderedPageBreak/>
        <w:br w:type="page"/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1" layoutInCell="1" allowOverlap="1">
                <wp:simplePos x="0" y="0"/>
                <wp:positionH relativeFrom="page">
                  <wp:posOffset>723900</wp:posOffset>
                </wp:positionH>
                <wp:positionV relativeFrom="page">
                  <wp:posOffset>1440180</wp:posOffset>
                </wp:positionV>
                <wp:extent cx="6119495" cy="7690485"/>
                <wp:effectExtent l="0" t="5080" r="1905" b="635"/>
                <wp:wrapNone/>
                <wp:docPr id="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19495" cy="7690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307D" w:rsidRPr="006F5416" w:rsidRDefault="00F8307D" w:rsidP="000B30FA">
                            <w:pPr>
                              <w:pStyle w:val="TLKontaktyerven"/>
                            </w:pPr>
                            <w:r w:rsidRPr="006F5416">
                              <w:t>KONTAKTY V ÚSTŘEDÍ</w:t>
                            </w:r>
                          </w:p>
                          <w:p w:rsidR="00F8307D" w:rsidRPr="007D40DF" w:rsidRDefault="00F8307D" w:rsidP="000B30FA">
                            <w:pPr>
                              <w:pStyle w:val="TLKontakty"/>
                              <w:spacing w:after="80" w:line="240" w:lineRule="auto"/>
                              <w:contextualSpacing w:val="0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Český statistický úřad</w:t>
                            </w:r>
                            <w:r w:rsidRPr="007D40DF">
                              <w:rPr>
                                <w:b w:val="0"/>
                                <w:color w:val="auto"/>
                              </w:rPr>
                              <w:t xml:space="preserve"> | Na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 padesátém 81, 100 82 Praha</w:t>
                            </w:r>
                            <w:r w:rsidRPr="007D40DF">
                              <w:rPr>
                                <w:b w:val="0"/>
                                <w:color w:val="auto"/>
                              </w:rPr>
                              <w:t> 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10, </w:t>
                            </w:r>
                            <w:r w:rsidRPr="007D40DF">
                              <w:rPr>
                                <w:b w:val="0"/>
                                <w:color w:val="auto"/>
                              </w:rPr>
                              <w:t xml:space="preserve">tel.: 274 051 111 | </w:t>
                            </w:r>
                            <w:r w:rsidRPr="007D40DF">
                              <w:rPr>
                                <w:color w:val="auto"/>
                              </w:rPr>
                              <w:t>www.czso.cz</w:t>
                            </w:r>
                          </w:p>
                          <w:p w:rsidR="00F8307D" w:rsidRPr="00D235B7" w:rsidRDefault="00F8307D" w:rsidP="000B30FA">
                            <w:pPr>
                              <w:pStyle w:val="TLKontakty"/>
                              <w:spacing w:after="80" w:line="240" w:lineRule="auto"/>
                              <w:contextualSpacing w:val="0"/>
                              <w:rPr>
                                <w:b w:val="0"/>
                                <w:color w:val="auto"/>
                              </w:rPr>
                            </w:pPr>
                            <w:r w:rsidRPr="00D235B7">
                              <w:rPr>
                                <w:color w:val="auto"/>
                              </w:rPr>
                              <w:t>Oddělení informačních služeb</w:t>
                            </w:r>
                            <w:r w:rsidRPr="00D235B7">
                              <w:rPr>
                                <w:b w:val="0"/>
                                <w:color w:val="auto"/>
                              </w:rPr>
                              <w:t xml:space="preserve"> | tel.: 274 052 304, 274 052 451 | e-mail: infoservis@czso.cz</w:t>
                            </w:r>
                          </w:p>
                          <w:p w:rsidR="00F8307D" w:rsidRPr="00D235B7" w:rsidRDefault="00F8307D" w:rsidP="000B30FA">
                            <w:pPr>
                              <w:pStyle w:val="TLKontakty"/>
                              <w:spacing w:after="80" w:line="240" w:lineRule="auto"/>
                              <w:contextualSpacing w:val="0"/>
                              <w:rPr>
                                <w:b w:val="0"/>
                                <w:color w:val="auto"/>
                              </w:rPr>
                            </w:pPr>
                            <w:r w:rsidRPr="00D235B7">
                              <w:rPr>
                                <w:color w:val="auto"/>
                              </w:rPr>
                              <w:t>Prodejna publikací ČSÚ</w:t>
                            </w:r>
                            <w:r w:rsidRPr="00D235B7">
                              <w:rPr>
                                <w:b w:val="0"/>
                                <w:color w:val="auto"/>
                              </w:rPr>
                              <w:t xml:space="preserve"> | tel.: 274 052 361 | e-mail: prodejna@czso.cz</w:t>
                            </w:r>
                          </w:p>
                          <w:p w:rsidR="00F8307D" w:rsidRPr="00D235B7" w:rsidRDefault="00F8307D" w:rsidP="000B30FA">
                            <w:pPr>
                              <w:pStyle w:val="TLKontakty"/>
                              <w:spacing w:after="80" w:line="240" w:lineRule="auto"/>
                              <w:contextualSpacing w:val="0"/>
                              <w:rPr>
                                <w:b w:val="0"/>
                                <w:color w:val="auto"/>
                              </w:rPr>
                            </w:pPr>
                            <w:r w:rsidRPr="00D235B7">
                              <w:rPr>
                                <w:color w:val="auto"/>
                              </w:rPr>
                              <w:t>Evropská data (ESDS), mezinárodní srovnání</w:t>
                            </w:r>
                            <w:r w:rsidRPr="00D235B7">
                              <w:rPr>
                                <w:b w:val="0"/>
                                <w:color w:val="auto"/>
                              </w:rPr>
                              <w:t xml:space="preserve"> | tel.: 274 052 347, 274 052 757 | e-mail: esds@czso.cz</w:t>
                            </w:r>
                          </w:p>
                          <w:p w:rsidR="00F8307D" w:rsidRPr="00D235B7" w:rsidRDefault="00F8307D" w:rsidP="000B30FA">
                            <w:pPr>
                              <w:pStyle w:val="TLKontakty"/>
                              <w:spacing w:after="80" w:line="240" w:lineRule="auto"/>
                              <w:contextualSpacing w:val="0"/>
                              <w:rPr>
                                <w:b w:val="0"/>
                                <w:color w:val="auto"/>
                              </w:rPr>
                            </w:pPr>
                            <w:r w:rsidRPr="00D235B7">
                              <w:rPr>
                                <w:color w:val="auto"/>
                              </w:rPr>
                              <w:t>Ústřední statistická knihovna</w:t>
                            </w:r>
                            <w:r w:rsidRPr="00D235B7">
                              <w:rPr>
                                <w:b w:val="0"/>
                                <w:color w:val="auto"/>
                              </w:rPr>
                              <w:t xml:space="preserve"> | tel.: 274 052 361 | e-mail: knihovna@czso.cz</w:t>
                            </w: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contextualSpacing w:val="0"/>
                              <w:rPr>
                                <w:color w:val="auto"/>
                              </w:rPr>
                            </w:pPr>
                          </w:p>
                          <w:p w:rsidR="00F8307D" w:rsidRPr="00D66223" w:rsidRDefault="00F8307D" w:rsidP="000B30FA">
                            <w:pPr>
                              <w:pStyle w:val="TLKontaktyerven"/>
                            </w:pPr>
                            <w:r w:rsidRPr="00D66223">
                              <w:t>INFORMAČNÍ SLUŽBY V REGIONECH</w:t>
                            </w:r>
                          </w:p>
                          <w:p w:rsidR="00F8307D" w:rsidRPr="00992CF3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Hl. m. Praha</w:t>
                            </w:r>
                            <w:r w:rsidRPr="00992CF3">
                              <w:rPr>
                                <w:b w:val="0"/>
                                <w:color w:val="auto"/>
                              </w:rPr>
                              <w:t xml:space="preserve"> | Na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 padesátém 81, 100 82 Praha 10, </w:t>
                            </w:r>
                            <w:r w:rsidRPr="00992CF3">
                              <w:rPr>
                                <w:b w:val="0"/>
                                <w:color w:val="auto"/>
                              </w:rPr>
                              <w:t>tel.</w:t>
                            </w:r>
                            <w:r w:rsidRPr="007D40DF">
                              <w:rPr>
                                <w:b w:val="0"/>
                                <w:color w:val="auto"/>
                              </w:rPr>
                              <w:t>: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 274 052 673, </w:t>
                            </w:r>
                            <w:r w:rsidRPr="00992CF3">
                              <w:rPr>
                                <w:b w:val="0"/>
                                <w:color w:val="auto"/>
                              </w:rPr>
                              <w:t>274 054 223</w:t>
                            </w:r>
                          </w:p>
                          <w:p w:rsidR="00F8307D" w:rsidRPr="00992CF3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992CF3">
                              <w:rPr>
                                <w:b w:val="0"/>
                                <w:color w:val="auto"/>
                              </w:rPr>
                              <w:t xml:space="preserve">e-mail: infoservispraha@czso.cz | </w:t>
                            </w:r>
                            <w:r w:rsidRPr="00992CF3">
                              <w:rPr>
                                <w:color w:val="auto"/>
                              </w:rPr>
                              <w:t>www.praha.czso.cz</w:t>
                            </w: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color w:val="auto"/>
                              </w:rPr>
                            </w:pPr>
                          </w:p>
                          <w:p w:rsidR="00F8307D" w:rsidRPr="00992CF3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Středočeský kraj</w:t>
                            </w:r>
                            <w:r w:rsidRPr="00992CF3">
                              <w:rPr>
                                <w:b w:val="0"/>
                                <w:color w:val="auto"/>
                              </w:rPr>
                              <w:t xml:space="preserve"> | Na padesátém 81, 100 82 Praha 10, tel.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: </w:t>
                            </w:r>
                            <w:r w:rsidRPr="00992CF3">
                              <w:rPr>
                                <w:b w:val="0"/>
                                <w:color w:val="auto"/>
                              </w:rPr>
                              <w:t>274 054 175</w:t>
                            </w:r>
                          </w:p>
                          <w:p w:rsidR="00F8307D" w:rsidRPr="00992CF3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color w:val="auto"/>
                              </w:rPr>
                            </w:pPr>
                            <w:r w:rsidRPr="00992CF3">
                              <w:rPr>
                                <w:b w:val="0"/>
                                <w:color w:val="auto"/>
                              </w:rPr>
                              <w:t xml:space="preserve">e-mail: infoservisstc@czso.cz | </w:t>
                            </w:r>
                            <w:r w:rsidRPr="00992CF3">
                              <w:rPr>
                                <w:color w:val="auto"/>
                              </w:rPr>
                              <w:t>www.stredocesky.czso.cz</w:t>
                            </w: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color w:val="auto"/>
                              </w:rPr>
                            </w:pPr>
                          </w:p>
                          <w:p w:rsidR="00F8307D" w:rsidRPr="00992CF3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České Budějovice</w:t>
                            </w:r>
                            <w:r w:rsidRPr="00992CF3">
                              <w:rPr>
                                <w:b w:val="0"/>
                                <w:color w:val="auto"/>
                              </w:rPr>
                              <w:t xml:space="preserve"> | Žižkova 1, 370 77 České Budějovice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, </w:t>
                            </w:r>
                            <w:r w:rsidRPr="00992CF3">
                              <w:rPr>
                                <w:b w:val="0"/>
                                <w:color w:val="auto"/>
                              </w:rPr>
                              <w:t>tel.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: </w:t>
                            </w:r>
                            <w:r w:rsidRPr="00992CF3">
                              <w:rPr>
                                <w:b w:val="0"/>
                                <w:color w:val="auto"/>
                              </w:rPr>
                              <w:t>386 718 440</w:t>
                            </w:r>
                          </w:p>
                          <w:p w:rsidR="00F8307D" w:rsidRPr="00992CF3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992CF3">
                              <w:rPr>
                                <w:b w:val="0"/>
                                <w:color w:val="auto"/>
                              </w:rPr>
                              <w:t xml:space="preserve">e-mail: infoserviscb@czso.cz | </w:t>
                            </w:r>
                            <w:r w:rsidRPr="00992CF3">
                              <w:rPr>
                                <w:color w:val="auto"/>
                              </w:rPr>
                              <w:t>www.cbudejovice.czso.cz</w:t>
                            </w: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color w:val="auto"/>
                              </w:rPr>
                            </w:pPr>
                          </w:p>
                          <w:p w:rsidR="00F8307D" w:rsidRPr="00BC731E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Plzeň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 | Slovanská alej 36, 326 64 Plzeň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,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tel.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: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377 612 108</w:t>
                            </w:r>
                            <w:r w:rsidRPr="00BC731E">
                              <w:rPr>
                                <w:b w:val="0"/>
                                <w:color w:val="auto"/>
                              </w:rPr>
                              <w:t>, 377 612 145</w:t>
                            </w: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e-mail: infoservisplzen@czso.cz | </w:t>
                            </w:r>
                            <w:r w:rsidRPr="004A61C5">
                              <w:rPr>
                                <w:color w:val="auto"/>
                              </w:rPr>
                              <w:t>www.plzen.czso.cz</w:t>
                            </w: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color w:val="auto"/>
                              </w:rPr>
                            </w:pP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Karlovy Vary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 | </w:t>
                            </w:r>
                            <w:r w:rsidRPr="00095135">
                              <w:rPr>
                                <w:b w:val="0"/>
                                <w:color w:val="auto"/>
                              </w:rPr>
                              <w:t>Závodní 360/94, 360 06 Karlovy Vary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, tel.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: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353 114 529, 353 114 525</w:t>
                            </w: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e-mail: infoserviskv@czso.cz | </w:t>
                            </w:r>
                            <w:r w:rsidRPr="004A61C5">
                              <w:rPr>
                                <w:color w:val="auto"/>
                              </w:rPr>
                              <w:t>www.kvary.czso.cz</w:t>
                            </w: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color w:val="auto"/>
                              </w:rPr>
                            </w:pP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Ústí nad Labem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 | Špálova 2684, 400 11 Ústí nad Labem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,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tel.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: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472 706 176,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472 706 121</w:t>
                            </w: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e-mail: infoservisul@czso.cz | </w:t>
                            </w:r>
                            <w:r w:rsidRPr="004A61C5">
                              <w:rPr>
                                <w:color w:val="auto"/>
                              </w:rPr>
                              <w:t>www.ustinadlabem.czso.cz</w:t>
                            </w: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color w:val="auto"/>
                              </w:rPr>
                            </w:pP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Liberec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 | Nám. Dr. Edvarda Beneše 585/26, 460 01 Liberec 1, tel.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: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485 238 811</w:t>
                            </w: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e-mail: infoservislbc@czso.cz | </w:t>
                            </w:r>
                            <w:r w:rsidRPr="004A61C5">
                              <w:rPr>
                                <w:color w:val="auto"/>
                              </w:rPr>
                              <w:t>www.liberec.czso.cz</w:t>
                            </w: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Hradec Králové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 | Myslivečkova 914, 500 03 Hradec Králové 3, 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>tel.</w:t>
                            </w:r>
                            <w:r w:rsidRPr="007D40DF">
                              <w:rPr>
                                <w:b w:val="0"/>
                                <w:color w:val="auto"/>
                              </w:rPr>
                              <w:t>: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495 762 322,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495 762 317</w:t>
                            </w: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e-mail: infoservishk@czso.cz | </w:t>
                            </w:r>
                            <w:r w:rsidRPr="004A61C5">
                              <w:rPr>
                                <w:color w:val="auto"/>
                              </w:rPr>
                              <w:t>www.hradeckralove.czso.cz</w:t>
                            </w: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color w:val="auto"/>
                              </w:rPr>
                            </w:pP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Pardubice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 | V Ráji 872, 531 53 Pardubice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,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tel.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>: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 466 743 480, 466 743 418</w:t>
                            </w: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e-mail: infoservispa@czso.cz | </w:t>
                            </w:r>
                            <w:r w:rsidRPr="004A61C5">
                              <w:rPr>
                                <w:color w:val="auto"/>
                              </w:rPr>
                              <w:t>www.pardubice.czso.cz</w:t>
                            </w: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Jihlava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 | Ke Skalce 30,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 586 01 Jihlava, tel.: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567 109 </w:t>
                            </w:r>
                            <w:r w:rsidRPr="00BC731E">
                              <w:rPr>
                                <w:b w:val="0"/>
                                <w:color w:val="auto"/>
                              </w:rPr>
                              <w:t>062, 567 109 073</w:t>
                            </w: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e-mail: infoservisvys@czso.cz | </w:t>
                            </w:r>
                            <w:r w:rsidRPr="004A61C5">
                              <w:rPr>
                                <w:color w:val="auto"/>
                              </w:rPr>
                              <w:t>www.jihlava.czso.cz</w:t>
                            </w:r>
                          </w:p>
                          <w:p w:rsidR="00F8307D" w:rsidRDefault="00F8307D" w:rsidP="000B30FA">
                            <w:pPr>
                              <w:pStyle w:val="TLKontakty"/>
                              <w:spacing w:after="80" w:line="240" w:lineRule="auto"/>
                            </w:pPr>
                          </w:p>
                          <w:p w:rsidR="00F8307D" w:rsidRPr="00BC731E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Brno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 | Jezuitská 2, 601 59 Brno, 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tel: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542 528 </w:t>
                            </w:r>
                            <w:r w:rsidRPr="00BC731E">
                              <w:rPr>
                                <w:b w:val="0"/>
                                <w:color w:val="auto"/>
                              </w:rPr>
                              <w:t>115, 542 528 200</w:t>
                            </w: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color w:val="auto"/>
                              </w:rPr>
                            </w:pP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e-mail: infoservisbrno@czso.cz | </w:t>
                            </w:r>
                            <w:r w:rsidRPr="004A61C5">
                              <w:rPr>
                                <w:color w:val="auto"/>
                              </w:rPr>
                              <w:t>www.brno.czso.cz</w:t>
                            </w:r>
                          </w:p>
                          <w:p w:rsidR="00F8307D" w:rsidRPr="004A61C5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</w:p>
                          <w:p w:rsidR="00F8307D" w:rsidRPr="005E7C78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Olomouc</w:t>
                            </w:r>
                            <w:r w:rsidRPr="005E7C78">
                              <w:rPr>
                                <w:b w:val="0"/>
                                <w:color w:val="auto"/>
                              </w:rPr>
                              <w:t xml:space="preserve"> | Jeremenkova 1142/42, 772 11 Olomouc, 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tel.: </w:t>
                            </w:r>
                            <w:r w:rsidRPr="005E7C78">
                              <w:rPr>
                                <w:b w:val="0"/>
                                <w:color w:val="auto"/>
                              </w:rPr>
                              <w:t xml:space="preserve">585 731 </w:t>
                            </w:r>
                            <w:r w:rsidRPr="00BC731E">
                              <w:rPr>
                                <w:b w:val="0"/>
                                <w:color w:val="auto"/>
                              </w:rPr>
                              <w:t>516, 585 731 511</w:t>
                            </w:r>
                          </w:p>
                          <w:p w:rsidR="00F8307D" w:rsidRPr="005E7C78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5E7C78">
                              <w:rPr>
                                <w:b w:val="0"/>
                                <w:color w:val="auto"/>
                              </w:rPr>
                              <w:t xml:space="preserve">e-mail: infoservisolom@czso.cz | </w:t>
                            </w:r>
                            <w:r w:rsidRPr="005E7C78">
                              <w:rPr>
                                <w:color w:val="auto"/>
                              </w:rPr>
                              <w:t>www.olomouc.czso.cz</w:t>
                            </w:r>
                          </w:p>
                          <w:p w:rsidR="00F8307D" w:rsidRPr="005E7C78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</w:p>
                          <w:p w:rsidR="00F8307D" w:rsidRPr="005E7C78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Zlín</w:t>
                            </w:r>
                            <w:r w:rsidRPr="005E7C78">
                              <w:rPr>
                                <w:b w:val="0"/>
                                <w:color w:val="auto"/>
                              </w:rPr>
                              <w:t xml:space="preserve"> | tř. Tomáše Bati 1565, 761 76 Zlín, </w:t>
                            </w:r>
                            <w:r w:rsidRPr="00BC731E">
                              <w:rPr>
                                <w:b w:val="0"/>
                                <w:color w:val="auto"/>
                              </w:rPr>
                              <w:t>tel.: 577 004 932, 5</w:t>
                            </w:r>
                            <w:r w:rsidRPr="005E7C78">
                              <w:rPr>
                                <w:b w:val="0"/>
                                <w:color w:val="auto"/>
                              </w:rPr>
                              <w:t>77 004 935</w:t>
                            </w:r>
                          </w:p>
                          <w:p w:rsidR="00F8307D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color w:val="auto"/>
                              </w:rPr>
                            </w:pPr>
                            <w:r w:rsidRPr="005E7C78">
                              <w:rPr>
                                <w:b w:val="0"/>
                                <w:color w:val="auto"/>
                              </w:rPr>
                              <w:t xml:space="preserve">e-mail: infoservis-zl@czso.cz | </w:t>
                            </w:r>
                            <w:r w:rsidRPr="00227A53">
                              <w:rPr>
                                <w:color w:val="auto"/>
                              </w:rPr>
                              <w:t>www.zlin.czso.cz</w:t>
                            </w:r>
                          </w:p>
                          <w:p w:rsidR="00F8307D" w:rsidRPr="005E7C78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</w:p>
                          <w:p w:rsidR="00F8307D" w:rsidRPr="005E7C78" w:rsidRDefault="00F8307D" w:rsidP="000B30FA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Ostrava</w:t>
                            </w:r>
                            <w:r w:rsidRPr="005E7C78">
                              <w:rPr>
                                <w:b w:val="0"/>
                                <w:color w:val="auto"/>
                              </w:rPr>
                              <w:t xml:space="preserve"> | Repinova 17, 702 03 Ostrava,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 tel: </w:t>
                            </w:r>
                            <w:r w:rsidRPr="005E7C78">
                              <w:rPr>
                                <w:b w:val="0"/>
                                <w:color w:val="auto"/>
                              </w:rPr>
                              <w:t>595 131 230, 595 131 232</w:t>
                            </w:r>
                          </w:p>
                          <w:p w:rsidR="00F8307D" w:rsidRPr="0010437D" w:rsidRDefault="00F8307D" w:rsidP="00825C4D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5E7C78">
                              <w:rPr>
                                <w:b w:val="0"/>
                                <w:color w:val="auto"/>
                              </w:rPr>
                              <w:t xml:space="preserve">e-mail: infoservis_ov@czso.cz | </w:t>
                            </w:r>
                            <w:r w:rsidRPr="005E7C78">
                              <w:rPr>
                                <w:color w:val="auto"/>
                              </w:rPr>
                              <w:t>www.ostrava.czso.cz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57pt;margin-top:113.4pt;width:481.85pt;height:605.55pt;z-index: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" filled="f" stroked="f">
                <v:textbox style="mso-fit-shape-to-text:t" inset="0,0,0,0">
                  <w:txbxContent>
                    <w:p w:rsidR="00F8307D" w:rsidRPr="006F5416" w:rsidRDefault="00F8307D" w:rsidP="000B30FA">
                      <w:pPr>
                        <w:pStyle w:val="TLKontaktyerven"/>
                      </w:pPr>
                      <w:r w:rsidRPr="006F5416">
                        <w:t>KONTAKTY V ÚSTŘEDÍ</w:t>
                      </w:r>
                    </w:p>
                    <w:p w:rsidR="00F8307D" w:rsidRPr="007D40DF" w:rsidRDefault="00F8307D" w:rsidP="000B30FA">
                      <w:pPr>
                        <w:pStyle w:val="TLKontakty"/>
                        <w:spacing w:after="80" w:line="240" w:lineRule="auto"/>
                        <w:contextualSpacing w:val="0"/>
                        <w:rPr>
                          <w:b w:val="0"/>
                          <w:color w:val="auto"/>
                        </w:rPr>
                      </w:pPr>
                      <w:r w:rsidRPr="00D66223">
                        <w:t>Český statistický úřad</w:t>
                      </w:r>
                      <w:r w:rsidRPr="007D40DF">
                        <w:rPr>
                          <w:b w:val="0"/>
                          <w:color w:val="auto"/>
                        </w:rPr>
                        <w:t xml:space="preserve"> | Na</w:t>
                      </w:r>
                      <w:r>
                        <w:rPr>
                          <w:b w:val="0"/>
                          <w:color w:val="auto"/>
                        </w:rPr>
                        <w:t xml:space="preserve"> padesátém 81, 100 82 Praha</w:t>
                      </w:r>
                      <w:r w:rsidRPr="007D40DF">
                        <w:rPr>
                          <w:b w:val="0"/>
                          <w:color w:val="auto"/>
                        </w:rPr>
                        <w:t> </w:t>
                      </w:r>
                      <w:r>
                        <w:rPr>
                          <w:b w:val="0"/>
                          <w:color w:val="auto"/>
                        </w:rPr>
                        <w:t xml:space="preserve">10, </w:t>
                      </w:r>
                      <w:r w:rsidRPr="007D40DF">
                        <w:rPr>
                          <w:b w:val="0"/>
                          <w:color w:val="auto"/>
                        </w:rPr>
                        <w:t xml:space="preserve">tel.: 274 051 111 | </w:t>
                      </w:r>
                      <w:r w:rsidRPr="007D40DF">
                        <w:rPr>
                          <w:color w:val="auto"/>
                        </w:rPr>
                        <w:t>www.czso.cz</w:t>
                      </w:r>
                    </w:p>
                    <w:p w:rsidR="00F8307D" w:rsidRPr="00D235B7" w:rsidRDefault="00F8307D" w:rsidP="000B30FA">
                      <w:pPr>
                        <w:pStyle w:val="TLKontakty"/>
                        <w:spacing w:after="80" w:line="240" w:lineRule="auto"/>
                        <w:contextualSpacing w:val="0"/>
                        <w:rPr>
                          <w:b w:val="0"/>
                          <w:color w:val="auto"/>
                        </w:rPr>
                      </w:pPr>
                      <w:r w:rsidRPr="00D235B7">
                        <w:rPr>
                          <w:color w:val="auto"/>
                        </w:rPr>
                        <w:t>Oddělení informačních služeb</w:t>
                      </w:r>
                      <w:r w:rsidRPr="00D235B7">
                        <w:rPr>
                          <w:b w:val="0"/>
                          <w:color w:val="auto"/>
                        </w:rPr>
                        <w:t xml:space="preserve"> | tel.: 274 052 304, 274 052 451 | e-mail: infoservis@czso.cz</w:t>
                      </w:r>
                    </w:p>
                    <w:p w:rsidR="00F8307D" w:rsidRPr="00D235B7" w:rsidRDefault="00F8307D" w:rsidP="000B30FA">
                      <w:pPr>
                        <w:pStyle w:val="TLKontakty"/>
                        <w:spacing w:after="80" w:line="240" w:lineRule="auto"/>
                        <w:contextualSpacing w:val="0"/>
                        <w:rPr>
                          <w:b w:val="0"/>
                          <w:color w:val="auto"/>
                        </w:rPr>
                      </w:pPr>
                      <w:r w:rsidRPr="00D235B7">
                        <w:rPr>
                          <w:color w:val="auto"/>
                        </w:rPr>
                        <w:t>Prodejna publikací ČSÚ</w:t>
                      </w:r>
                      <w:r w:rsidRPr="00D235B7">
                        <w:rPr>
                          <w:b w:val="0"/>
                          <w:color w:val="auto"/>
                        </w:rPr>
                        <w:t xml:space="preserve"> | tel.: 274 052 361 | e-mail: prodejna@czso.cz</w:t>
                      </w:r>
                    </w:p>
                    <w:p w:rsidR="00F8307D" w:rsidRPr="00D235B7" w:rsidRDefault="00F8307D" w:rsidP="000B30FA">
                      <w:pPr>
                        <w:pStyle w:val="TLKontakty"/>
                        <w:spacing w:after="80" w:line="240" w:lineRule="auto"/>
                        <w:contextualSpacing w:val="0"/>
                        <w:rPr>
                          <w:b w:val="0"/>
                          <w:color w:val="auto"/>
                        </w:rPr>
                      </w:pPr>
                      <w:r w:rsidRPr="00D235B7">
                        <w:rPr>
                          <w:color w:val="auto"/>
                        </w:rPr>
                        <w:t>Evropská data (ESDS), mezinárodní srovnání</w:t>
                      </w:r>
                      <w:r w:rsidRPr="00D235B7">
                        <w:rPr>
                          <w:b w:val="0"/>
                          <w:color w:val="auto"/>
                        </w:rPr>
                        <w:t xml:space="preserve"> | tel.: 274 052 347, 274 052 757 | e-mail: esds@czso.cz</w:t>
                      </w:r>
                    </w:p>
                    <w:p w:rsidR="00F8307D" w:rsidRPr="00D235B7" w:rsidRDefault="00F8307D" w:rsidP="000B30FA">
                      <w:pPr>
                        <w:pStyle w:val="TLKontakty"/>
                        <w:spacing w:after="80" w:line="240" w:lineRule="auto"/>
                        <w:contextualSpacing w:val="0"/>
                        <w:rPr>
                          <w:b w:val="0"/>
                          <w:color w:val="auto"/>
                        </w:rPr>
                      </w:pPr>
                      <w:r w:rsidRPr="00D235B7">
                        <w:rPr>
                          <w:color w:val="auto"/>
                        </w:rPr>
                        <w:t>Ústřední statistická knihovna</w:t>
                      </w:r>
                      <w:r w:rsidRPr="00D235B7">
                        <w:rPr>
                          <w:b w:val="0"/>
                          <w:color w:val="auto"/>
                        </w:rPr>
                        <w:t xml:space="preserve"> | tel.: 274 052 361 | e-mail: knihovna@czso.cz</w:t>
                      </w: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contextualSpacing w:val="0"/>
                        <w:rPr>
                          <w:color w:val="auto"/>
                        </w:rPr>
                      </w:pPr>
                    </w:p>
                    <w:p w:rsidR="00F8307D" w:rsidRPr="00D66223" w:rsidRDefault="00F8307D" w:rsidP="000B30FA">
                      <w:pPr>
                        <w:pStyle w:val="TLKontaktyerven"/>
                      </w:pPr>
                      <w:r w:rsidRPr="00D66223">
                        <w:t>INFORMAČNÍ SLUŽBY V REGIONECH</w:t>
                      </w:r>
                    </w:p>
                    <w:p w:rsidR="00F8307D" w:rsidRPr="00992CF3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Hl. m. Praha</w:t>
                      </w:r>
                      <w:r w:rsidRPr="00992CF3">
                        <w:rPr>
                          <w:b w:val="0"/>
                          <w:color w:val="auto"/>
                        </w:rPr>
                        <w:t xml:space="preserve"> | Na</w:t>
                      </w:r>
                      <w:r>
                        <w:rPr>
                          <w:b w:val="0"/>
                          <w:color w:val="auto"/>
                        </w:rPr>
                        <w:t xml:space="preserve"> padesátém 81, 100 82 Praha 10, </w:t>
                      </w:r>
                      <w:r w:rsidRPr="00992CF3">
                        <w:rPr>
                          <w:b w:val="0"/>
                          <w:color w:val="auto"/>
                        </w:rPr>
                        <w:t>tel.</w:t>
                      </w:r>
                      <w:r w:rsidRPr="007D40DF">
                        <w:rPr>
                          <w:b w:val="0"/>
                          <w:color w:val="auto"/>
                        </w:rPr>
                        <w:t>:</w:t>
                      </w:r>
                      <w:r>
                        <w:rPr>
                          <w:b w:val="0"/>
                          <w:color w:val="auto"/>
                        </w:rPr>
                        <w:t xml:space="preserve"> 274 052 673, </w:t>
                      </w:r>
                      <w:r w:rsidRPr="00992CF3">
                        <w:rPr>
                          <w:b w:val="0"/>
                          <w:color w:val="auto"/>
                        </w:rPr>
                        <w:t>274 054 223</w:t>
                      </w:r>
                    </w:p>
                    <w:p w:rsidR="00F8307D" w:rsidRPr="00992CF3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992CF3">
                        <w:rPr>
                          <w:b w:val="0"/>
                          <w:color w:val="auto"/>
                        </w:rPr>
                        <w:t xml:space="preserve">e-mail: infoservispraha@czso.cz | </w:t>
                      </w:r>
                      <w:r w:rsidRPr="00992CF3">
                        <w:rPr>
                          <w:color w:val="auto"/>
                        </w:rPr>
                        <w:t>www.praha.czso.cz</w:t>
                      </w: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color w:val="auto"/>
                        </w:rPr>
                      </w:pPr>
                    </w:p>
                    <w:p w:rsidR="00F8307D" w:rsidRPr="00992CF3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Středočeský kraj</w:t>
                      </w:r>
                      <w:r w:rsidRPr="00992CF3">
                        <w:rPr>
                          <w:b w:val="0"/>
                          <w:color w:val="auto"/>
                        </w:rPr>
                        <w:t xml:space="preserve"> | Na padesátém 81, 100 82 Praha 10, tel.</w:t>
                      </w:r>
                      <w:r>
                        <w:rPr>
                          <w:b w:val="0"/>
                          <w:color w:val="auto"/>
                        </w:rPr>
                        <w:t xml:space="preserve">: </w:t>
                      </w:r>
                      <w:r w:rsidRPr="00992CF3">
                        <w:rPr>
                          <w:b w:val="0"/>
                          <w:color w:val="auto"/>
                        </w:rPr>
                        <w:t>274 054 175</w:t>
                      </w:r>
                    </w:p>
                    <w:p w:rsidR="00F8307D" w:rsidRPr="00992CF3" w:rsidRDefault="00F8307D" w:rsidP="000B30FA">
                      <w:pPr>
                        <w:pStyle w:val="TLKontakty"/>
                        <w:spacing w:after="80" w:line="240" w:lineRule="auto"/>
                        <w:rPr>
                          <w:color w:val="auto"/>
                        </w:rPr>
                      </w:pPr>
                      <w:r w:rsidRPr="00992CF3">
                        <w:rPr>
                          <w:b w:val="0"/>
                          <w:color w:val="auto"/>
                        </w:rPr>
                        <w:t xml:space="preserve">e-mail: infoservisstc@czso.cz | </w:t>
                      </w:r>
                      <w:r w:rsidRPr="00992CF3">
                        <w:rPr>
                          <w:color w:val="auto"/>
                        </w:rPr>
                        <w:t>www.stredocesky.czso.cz</w:t>
                      </w: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color w:val="auto"/>
                        </w:rPr>
                      </w:pPr>
                    </w:p>
                    <w:p w:rsidR="00F8307D" w:rsidRPr="00992CF3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České Budějovice</w:t>
                      </w:r>
                      <w:r w:rsidRPr="00992CF3">
                        <w:rPr>
                          <w:b w:val="0"/>
                          <w:color w:val="auto"/>
                        </w:rPr>
                        <w:t xml:space="preserve"> | Žižkova 1, 370 77 České Budějovice</w:t>
                      </w:r>
                      <w:r>
                        <w:rPr>
                          <w:b w:val="0"/>
                          <w:color w:val="auto"/>
                        </w:rPr>
                        <w:t xml:space="preserve">, </w:t>
                      </w:r>
                      <w:r w:rsidRPr="00992CF3">
                        <w:rPr>
                          <w:b w:val="0"/>
                          <w:color w:val="auto"/>
                        </w:rPr>
                        <w:t>tel.</w:t>
                      </w:r>
                      <w:r>
                        <w:rPr>
                          <w:b w:val="0"/>
                          <w:color w:val="auto"/>
                        </w:rPr>
                        <w:t xml:space="preserve">: </w:t>
                      </w:r>
                      <w:r w:rsidRPr="00992CF3">
                        <w:rPr>
                          <w:b w:val="0"/>
                          <w:color w:val="auto"/>
                        </w:rPr>
                        <w:t>386 718 440</w:t>
                      </w:r>
                    </w:p>
                    <w:p w:rsidR="00F8307D" w:rsidRPr="00992CF3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992CF3">
                        <w:rPr>
                          <w:b w:val="0"/>
                          <w:color w:val="auto"/>
                        </w:rPr>
                        <w:t xml:space="preserve">e-mail: infoserviscb@czso.cz | </w:t>
                      </w:r>
                      <w:r w:rsidRPr="00992CF3">
                        <w:rPr>
                          <w:color w:val="auto"/>
                        </w:rPr>
                        <w:t>www.cbudejovice.czso.cz</w:t>
                      </w: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color w:val="auto"/>
                        </w:rPr>
                      </w:pPr>
                    </w:p>
                    <w:p w:rsidR="00F8307D" w:rsidRPr="00BC731E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Plzeň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 | Slovanská alej 36, 326 64 Plzeň</w:t>
                      </w:r>
                      <w:r>
                        <w:rPr>
                          <w:b w:val="0"/>
                          <w:color w:val="auto"/>
                        </w:rPr>
                        <w:t xml:space="preserve">, </w:t>
                      </w:r>
                      <w:r w:rsidRPr="004A61C5">
                        <w:rPr>
                          <w:b w:val="0"/>
                          <w:color w:val="auto"/>
                        </w:rPr>
                        <w:t>tel.</w:t>
                      </w:r>
                      <w:r>
                        <w:rPr>
                          <w:b w:val="0"/>
                          <w:color w:val="auto"/>
                        </w:rPr>
                        <w:t xml:space="preserve">: </w:t>
                      </w:r>
                      <w:r w:rsidRPr="004A61C5">
                        <w:rPr>
                          <w:b w:val="0"/>
                          <w:color w:val="auto"/>
                        </w:rPr>
                        <w:t>377 612 108</w:t>
                      </w:r>
                      <w:r w:rsidRPr="00BC731E">
                        <w:rPr>
                          <w:b w:val="0"/>
                          <w:color w:val="auto"/>
                        </w:rPr>
                        <w:t>, 377 612 145</w:t>
                      </w: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4A61C5">
                        <w:rPr>
                          <w:b w:val="0"/>
                          <w:color w:val="auto"/>
                        </w:rPr>
                        <w:t xml:space="preserve">e-mail: infoservisplzen@czso.cz | </w:t>
                      </w:r>
                      <w:r w:rsidRPr="004A61C5">
                        <w:rPr>
                          <w:color w:val="auto"/>
                        </w:rPr>
                        <w:t>www.plzen.czso.cz</w:t>
                      </w: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color w:val="auto"/>
                        </w:rPr>
                      </w:pP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Karlovy Vary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 | </w:t>
                      </w:r>
                      <w:r w:rsidRPr="00095135">
                        <w:rPr>
                          <w:b w:val="0"/>
                          <w:color w:val="auto"/>
                        </w:rPr>
                        <w:t>Závodní 360/94, 360 06 Karlovy Vary</w:t>
                      </w:r>
                      <w:r w:rsidRPr="004A61C5">
                        <w:rPr>
                          <w:b w:val="0"/>
                          <w:color w:val="auto"/>
                        </w:rPr>
                        <w:t>, tel.</w:t>
                      </w:r>
                      <w:r>
                        <w:rPr>
                          <w:b w:val="0"/>
                          <w:color w:val="auto"/>
                        </w:rPr>
                        <w:t xml:space="preserve">: </w:t>
                      </w:r>
                      <w:r w:rsidRPr="004A61C5">
                        <w:rPr>
                          <w:b w:val="0"/>
                          <w:color w:val="auto"/>
                        </w:rPr>
                        <w:t>353 114 529, 353 114 525</w:t>
                      </w: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4A61C5">
                        <w:rPr>
                          <w:b w:val="0"/>
                          <w:color w:val="auto"/>
                        </w:rPr>
                        <w:t xml:space="preserve">e-mail: infoserviskv@czso.cz | </w:t>
                      </w:r>
                      <w:r w:rsidRPr="004A61C5">
                        <w:rPr>
                          <w:color w:val="auto"/>
                        </w:rPr>
                        <w:t>www.kvary.czso.cz</w:t>
                      </w: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color w:val="auto"/>
                        </w:rPr>
                      </w:pP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Ústí nad Labem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 | Špálova 2684, 400 11 Ústí nad Labem</w:t>
                      </w:r>
                      <w:r>
                        <w:rPr>
                          <w:b w:val="0"/>
                          <w:color w:val="auto"/>
                        </w:rPr>
                        <w:t xml:space="preserve">, </w:t>
                      </w:r>
                      <w:r w:rsidRPr="004A61C5">
                        <w:rPr>
                          <w:b w:val="0"/>
                          <w:color w:val="auto"/>
                        </w:rPr>
                        <w:t>tel.</w:t>
                      </w:r>
                      <w:r>
                        <w:rPr>
                          <w:b w:val="0"/>
                          <w:color w:val="auto"/>
                        </w:rPr>
                        <w:t xml:space="preserve">: </w:t>
                      </w:r>
                      <w:r w:rsidRPr="004A61C5">
                        <w:rPr>
                          <w:b w:val="0"/>
                          <w:color w:val="auto"/>
                        </w:rPr>
                        <w:t>472 706 176,</w:t>
                      </w:r>
                      <w:r>
                        <w:rPr>
                          <w:b w:val="0"/>
                          <w:color w:val="auto"/>
                        </w:rPr>
                        <w:t xml:space="preserve"> </w:t>
                      </w:r>
                      <w:r w:rsidRPr="004A61C5">
                        <w:rPr>
                          <w:b w:val="0"/>
                          <w:color w:val="auto"/>
                        </w:rPr>
                        <w:t>472 706 121</w:t>
                      </w: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4A61C5">
                        <w:rPr>
                          <w:b w:val="0"/>
                          <w:color w:val="auto"/>
                        </w:rPr>
                        <w:t xml:space="preserve">e-mail: infoservisul@czso.cz | </w:t>
                      </w:r>
                      <w:r w:rsidRPr="004A61C5">
                        <w:rPr>
                          <w:color w:val="auto"/>
                        </w:rPr>
                        <w:t>www.ustinadlabem.czso.cz</w:t>
                      </w: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color w:val="auto"/>
                        </w:rPr>
                      </w:pP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Liberec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 | Nám. Dr. Edvarda Beneše 585/26, 460 01 Liberec 1, tel.</w:t>
                      </w:r>
                      <w:r>
                        <w:rPr>
                          <w:b w:val="0"/>
                          <w:color w:val="auto"/>
                        </w:rPr>
                        <w:t xml:space="preserve">: </w:t>
                      </w:r>
                      <w:r w:rsidRPr="004A61C5">
                        <w:rPr>
                          <w:b w:val="0"/>
                          <w:color w:val="auto"/>
                        </w:rPr>
                        <w:t>485 238 811</w:t>
                      </w: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4A61C5">
                        <w:rPr>
                          <w:b w:val="0"/>
                          <w:color w:val="auto"/>
                        </w:rPr>
                        <w:t xml:space="preserve">e-mail: infoservislbc@czso.cz | </w:t>
                      </w:r>
                      <w:r w:rsidRPr="004A61C5">
                        <w:rPr>
                          <w:color w:val="auto"/>
                        </w:rPr>
                        <w:t>www.liberec.czso.cz</w:t>
                      </w: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Hradec Králové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 | Myslivečkova 914, 500 03 Hradec Králové 3, </w:t>
                      </w:r>
                      <w:r>
                        <w:rPr>
                          <w:b w:val="0"/>
                          <w:color w:val="auto"/>
                        </w:rPr>
                        <w:t>tel.</w:t>
                      </w:r>
                      <w:r w:rsidRPr="007D40DF">
                        <w:rPr>
                          <w:b w:val="0"/>
                          <w:color w:val="auto"/>
                        </w:rPr>
                        <w:t>:</w:t>
                      </w:r>
                      <w:r>
                        <w:rPr>
                          <w:b w:val="0"/>
                          <w:color w:val="auto"/>
                        </w:rPr>
                        <w:t xml:space="preserve"> </w:t>
                      </w:r>
                      <w:r w:rsidRPr="004A61C5">
                        <w:rPr>
                          <w:b w:val="0"/>
                          <w:color w:val="auto"/>
                        </w:rPr>
                        <w:t>495 762 322,</w:t>
                      </w:r>
                      <w:r>
                        <w:rPr>
                          <w:b w:val="0"/>
                          <w:color w:val="auto"/>
                        </w:rPr>
                        <w:t xml:space="preserve"> </w:t>
                      </w:r>
                      <w:r w:rsidRPr="004A61C5">
                        <w:rPr>
                          <w:b w:val="0"/>
                          <w:color w:val="auto"/>
                        </w:rPr>
                        <w:t>495 762 317</w:t>
                      </w: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4A61C5">
                        <w:rPr>
                          <w:b w:val="0"/>
                          <w:color w:val="auto"/>
                        </w:rPr>
                        <w:t xml:space="preserve">e-mail: infoservishk@czso.cz | </w:t>
                      </w:r>
                      <w:r w:rsidRPr="004A61C5">
                        <w:rPr>
                          <w:color w:val="auto"/>
                        </w:rPr>
                        <w:t>www.hradeckralove.czso.cz</w:t>
                      </w: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color w:val="auto"/>
                        </w:rPr>
                      </w:pP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Pardubice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 | V Ráji 872, 531 53 Pardubice</w:t>
                      </w:r>
                      <w:r>
                        <w:rPr>
                          <w:b w:val="0"/>
                          <w:color w:val="auto"/>
                        </w:rPr>
                        <w:t xml:space="preserve">, </w:t>
                      </w:r>
                      <w:r w:rsidRPr="004A61C5">
                        <w:rPr>
                          <w:b w:val="0"/>
                          <w:color w:val="auto"/>
                        </w:rPr>
                        <w:t>tel.</w:t>
                      </w:r>
                      <w:r>
                        <w:rPr>
                          <w:b w:val="0"/>
                          <w:color w:val="auto"/>
                        </w:rPr>
                        <w:t>: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 466 743 480, 466 743 418</w:t>
                      </w: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4A61C5">
                        <w:rPr>
                          <w:b w:val="0"/>
                          <w:color w:val="auto"/>
                        </w:rPr>
                        <w:t xml:space="preserve">e-mail: infoservispa@czso.cz | </w:t>
                      </w:r>
                      <w:r w:rsidRPr="004A61C5">
                        <w:rPr>
                          <w:color w:val="auto"/>
                        </w:rPr>
                        <w:t>www.pardubice.czso.cz</w:t>
                      </w: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Jihlava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 | Ke Skalce 30,</w:t>
                      </w:r>
                      <w:r>
                        <w:rPr>
                          <w:b w:val="0"/>
                          <w:color w:val="auto"/>
                        </w:rPr>
                        <w:t xml:space="preserve"> 586 01 Jihlava, tel.: 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567 109 </w:t>
                      </w:r>
                      <w:r w:rsidRPr="00BC731E">
                        <w:rPr>
                          <w:b w:val="0"/>
                          <w:color w:val="auto"/>
                        </w:rPr>
                        <w:t>062, 567 109 073</w:t>
                      </w: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4A61C5">
                        <w:rPr>
                          <w:b w:val="0"/>
                          <w:color w:val="auto"/>
                        </w:rPr>
                        <w:t xml:space="preserve">e-mail: infoservisvys@czso.cz | </w:t>
                      </w:r>
                      <w:r w:rsidRPr="004A61C5">
                        <w:rPr>
                          <w:color w:val="auto"/>
                        </w:rPr>
                        <w:t>www.jihlava.czso.cz</w:t>
                      </w:r>
                    </w:p>
                    <w:p w:rsidR="00F8307D" w:rsidRDefault="00F8307D" w:rsidP="000B30FA">
                      <w:pPr>
                        <w:pStyle w:val="TLKontakty"/>
                        <w:spacing w:after="80" w:line="240" w:lineRule="auto"/>
                      </w:pPr>
                    </w:p>
                    <w:p w:rsidR="00F8307D" w:rsidRPr="00BC731E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Brno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 | Jezuitská 2, 601 59 Brno, </w:t>
                      </w:r>
                      <w:r>
                        <w:rPr>
                          <w:b w:val="0"/>
                          <w:color w:val="auto"/>
                        </w:rPr>
                        <w:t xml:space="preserve">tel: 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542 528 </w:t>
                      </w:r>
                      <w:r w:rsidRPr="00BC731E">
                        <w:rPr>
                          <w:b w:val="0"/>
                          <w:color w:val="auto"/>
                        </w:rPr>
                        <w:t>115, 542 528 200</w:t>
                      </w: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color w:val="auto"/>
                        </w:rPr>
                      </w:pPr>
                      <w:r w:rsidRPr="004A61C5">
                        <w:rPr>
                          <w:b w:val="0"/>
                          <w:color w:val="auto"/>
                        </w:rPr>
                        <w:t xml:space="preserve">e-mail: infoservisbrno@czso.cz | </w:t>
                      </w:r>
                      <w:r w:rsidRPr="004A61C5">
                        <w:rPr>
                          <w:color w:val="auto"/>
                        </w:rPr>
                        <w:t>www.brno.czso.cz</w:t>
                      </w:r>
                    </w:p>
                    <w:p w:rsidR="00F8307D" w:rsidRPr="004A61C5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</w:p>
                    <w:p w:rsidR="00F8307D" w:rsidRPr="005E7C78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Olomouc</w:t>
                      </w:r>
                      <w:r w:rsidRPr="005E7C78">
                        <w:rPr>
                          <w:b w:val="0"/>
                          <w:color w:val="auto"/>
                        </w:rPr>
                        <w:t xml:space="preserve"> | Jeremenkova 1142/42, 772 11 Olomouc, </w:t>
                      </w:r>
                      <w:r>
                        <w:rPr>
                          <w:b w:val="0"/>
                          <w:color w:val="auto"/>
                        </w:rPr>
                        <w:t xml:space="preserve">tel.: </w:t>
                      </w:r>
                      <w:r w:rsidRPr="005E7C78">
                        <w:rPr>
                          <w:b w:val="0"/>
                          <w:color w:val="auto"/>
                        </w:rPr>
                        <w:t xml:space="preserve">585 731 </w:t>
                      </w:r>
                      <w:r w:rsidRPr="00BC731E">
                        <w:rPr>
                          <w:b w:val="0"/>
                          <w:color w:val="auto"/>
                        </w:rPr>
                        <w:t>516, 585 731 511</w:t>
                      </w:r>
                    </w:p>
                    <w:p w:rsidR="00F8307D" w:rsidRPr="005E7C78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5E7C78">
                        <w:rPr>
                          <w:b w:val="0"/>
                          <w:color w:val="auto"/>
                        </w:rPr>
                        <w:t xml:space="preserve">e-mail: infoservisolom@czso.cz | </w:t>
                      </w:r>
                      <w:r w:rsidRPr="005E7C78">
                        <w:rPr>
                          <w:color w:val="auto"/>
                        </w:rPr>
                        <w:t>www.olomouc.czso.cz</w:t>
                      </w:r>
                    </w:p>
                    <w:p w:rsidR="00F8307D" w:rsidRPr="005E7C78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</w:p>
                    <w:p w:rsidR="00F8307D" w:rsidRPr="005E7C78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Zlín</w:t>
                      </w:r>
                      <w:r w:rsidRPr="005E7C78">
                        <w:rPr>
                          <w:b w:val="0"/>
                          <w:color w:val="auto"/>
                        </w:rPr>
                        <w:t xml:space="preserve"> | tř. Tomáše Bati 1565, 761 76 Zlín, </w:t>
                      </w:r>
                      <w:r w:rsidRPr="00BC731E">
                        <w:rPr>
                          <w:b w:val="0"/>
                          <w:color w:val="auto"/>
                        </w:rPr>
                        <w:t>tel.: 577 004 932, 5</w:t>
                      </w:r>
                      <w:r w:rsidRPr="005E7C78">
                        <w:rPr>
                          <w:b w:val="0"/>
                          <w:color w:val="auto"/>
                        </w:rPr>
                        <w:t>77 004 935</w:t>
                      </w:r>
                    </w:p>
                    <w:p w:rsidR="00F8307D" w:rsidRDefault="00F8307D" w:rsidP="000B30FA">
                      <w:pPr>
                        <w:pStyle w:val="TLKontakty"/>
                        <w:spacing w:after="80" w:line="240" w:lineRule="auto"/>
                        <w:rPr>
                          <w:color w:val="auto"/>
                        </w:rPr>
                      </w:pPr>
                      <w:r w:rsidRPr="005E7C78">
                        <w:rPr>
                          <w:b w:val="0"/>
                          <w:color w:val="auto"/>
                        </w:rPr>
                        <w:t xml:space="preserve">e-mail: infoservis-zl@czso.cz | </w:t>
                      </w:r>
                      <w:r w:rsidRPr="00227A53">
                        <w:rPr>
                          <w:color w:val="auto"/>
                        </w:rPr>
                        <w:t>www.zlin.czso.cz</w:t>
                      </w:r>
                    </w:p>
                    <w:p w:rsidR="00F8307D" w:rsidRPr="005E7C78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</w:p>
                    <w:p w:rsidR="00F8307D" w:rsidRPr="005E7C78" w:rsidRDefault="00F8307D" w:rsidP="000B30FA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Ostrava</w:t>
                      </w:r>
                      <w:r w:rsidRPr="005E7C78">
                        <w:rPr>
                          <w:b w:val="0"/>
                          <w:color w:val="auto"/>
                        </w:rPr>
                        <w:t xml:space="preserve"> | Repinova 17, 702 03 Ostrava,</w:t>
                      </w:r>
                      <w:r>
                        <w:rPr>
                          <w:b w:val="0"/>
                          <w:color w:val="auto"/>
                        </w:rPr>
                        <w:t xml:space="preserve"> tel: </w:t>
                      </w:r>
                      <w:r w:rsidRPr="005E7C78">
                        <w:rPr>
                          <w:b w:val="0"/>
                          <w:color w:val="auto"/>
                        </w:rPr>
                        <w:t>595 131 230, 595 131 232</w:t>
                      </w:r>
                    </w:p>
                    <w:p w:rsidR="00F8307D" w:rsidRPr="0010437D" w:rsidRDefault="00F8307D" w:rsidP="00825C4D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5E7C78">
                        <w:rPr>
                          <w:b w:val="0"/>
                          <w:color w:val="auto"/>
                        </w:rPr>
                        <w:t xml:space="preserve">e-mail: infoservis_ov@czso.cz | </w:t>
                      </w:r>
                      <w:r w:rsidRPr="005E7C78">
                        <w:rPr>
                          <w:color w:val="auto"/>
                        </w:rPr>
                        <w:t>www.ostrava.czso.cz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1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9486900</wp:posOffset>
                </wp:positionV>
                <wp:extent cx="6120130" cy="360045"/>
                <wp:effectExtent l="0" t="0" r="1270" b="20955"/>
                <wp:wrapNone/>
                <wp:docPr id="2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0130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307D" w:rsidRPr="00321924" w:rsidRDefault="00F8307D" w:rsidP="008F029B">
                            <w:r w:rsidRPr="00321924">
                              <w:br/>
                              <w:t xml:space="preserve">© Český statistický úřad, </w:t>
                            </w:r>
                            <w:r>
                              <w:t>Praha</w:t>
                            </w:r>
                            <w:r w:rsidRPr="00321924">
                              <w:t xml:space="preserve">, </w:t>
                            </w:r>
                            <w:r>
                              <w:t>2018</w:t>
                            </w:r>
                          </w:p>
                          <w:p w:rsidR="00F8307D" w:rsidRDefault="00F8307D"/>
                          <w:p w:rsidR="00F8307D" w:rsidRPr="00841D9F" w:rsidRDefault="00F8307D" w:rsidP="000A3A2C">
                            <w:r w:rsidRPr="00841D9F">
                              <w:rPr>
                                <w:szCs w:val="26"/>
                              </w:rPr>
                              <w:t xml:space="preserve">ISBN XX-XXXX-XXX-X  </w:t>
                            </w:r>
                            <w:r w:rsidRPr="00841D9F">
                              <w:t>(pouze u nepravidelných a ročních publikací)</w:t>
                            </w:r>
                          </w:p>
                          <w:p w:rsidR="00F8307D" w:rsidRPr="00AF2852" w:rsidRDefault="00F8307D" w:rsidP="000A3A2C">
                            <w:r w:rsidRPr="00841D9F">
                              <w:t>© Český sta</w:t>
                            </w:r>
                            <w:r>
                              <w:t xml:space="preserve">tistický úřad / </w:t>
                            </w:r>
                            <w:r w:rsidRPr="009A1902">
                              <w:rPr>
                                <w:i/>
                              </w:rPr>
                              <w:t xml:space="preserve">Czech </w:t>
                            </w:r>
                            <w:r w:rsidRPr="009A1902">
                              <w:rPr>
                                <w:rFonts w:cs="Arial"/>
                                <w:i/>
                                <w:szCs w:val="20"/>
                              </w:rPr>
                              <w:t>Statistical Office</w:t>
                            </w:r>
                            <w:r>
                              <w:t>, místo, rok vydání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56.7pt;margin-top:747pt;width:481.9pt;height:28.35pt;z-index: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" filled="f" stroked="f">
                <v:textbox inset="0,0,0,0">
                  <w:txbxContent>
                    <w:p w:rsidR="00F8307D" w:rsidRPr="00321924" w:rsidRDefault="00F8307D" w:rsidP="008F029B">
                      <w:r w:rsidRPr="00321924">
                        <w:br/>
                        <w:t xml:space="preserve">© Český statistický úřad, </w:t>
                      </w:r>
                      <w:r>
                        <w:t>Praha</w:t>
                      </w:r>
                      <w:r w:rsidRPr="00321924">
                        <w:t xml:space="preserve">, </w:t>
                      </w:r>
                      <w:r>
                        <w:t>2018</w:t>
                      </w:r>
                    </w:p>
                    <w:p w:rsidR="00F8307D" w:rsidRDefault="00F8307D"/>
                    <w:p w:rsidR="00F8307D" w:rsidRPr="00841D9F" w:rsidRDefault="00F8307D" w:rsidP="000A3A2C">
                      <w:r w:rsidRPr="00841D9F">
                        <w:rPr>
                          <w:szCs w:val="26"/>
                        </w:rPr>
                        <w:t xml:space="preserve">ISBN XX-XXXX-XXX-X  </w:t>
                      </w:r>
                      <w:r w:rsidRPr="00841D9F">
                        <w:t>(pouze u nepravidelných a ročních publikací)</w:t>
                      </w:r>
                    </w:p>
                    <w:p w:rsidR="00F8307D" w:rsidRPr="00AF2852" w:rsidRDefault="00F8307D" w:rsidP="000A3A2C">
                      <w:r w:rsidRPr="00841D9F">
                        <w:t>© Český sta</w:t>
                      </w:r>
                      <w:r>
                        <w:t xml:space="preserve">tistický úřad / </w:t>
                      </w:r>
                      <w:r w:rsidRPr="009A1902">
                        <w:rPr>
                          <w:i/>
                        </w:rPr>
                        <w:t xml:space="preserve">Czech </w:t>
                      </w:r>
                      <w:r w:rsidRPr="009A1902">
                        <w:rPr>
                          <w:rFonts w:cs="Arial"/>
                          <w:i/>
                          <w:szCs w:val="20"/>
                        </w:rPr>
                        <w:t>Statistical Office</w:t>
                      </w:r>
                      <w:r>
                        <w:t>, místo, rok vydání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1" layoutInCell="1" allowOverlap="1">
                <wp:simplePos x="0" y="0"/>
                <wp:positionH relativeFrom="page">
                  <wp:posOffset>723265</wp:posOffset>
                </wp:positionH>
                <wp:positionV relativeFrom="page">
                  <wp:posOffset>723265</wp:posOffset>
                </wp:positionV>
                <wp:extent cx="6119495" cy="572770"/>
                <wp:effectExtent l="0" t="0" r="2540" b="0"/>
                <wp:wrapNone/>
                <wp:docPr id="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19495" cy="5727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307D" w:rsidRPr="009A1902" w:rsidRDefault="00F8307D" w:rsidP="000A3A2C">
                            <w:pPr>
                              <w:rPr>
                                <w:b/>
                                <w:bCs/>
                                <w:i/>
                                <w:sz w:val="24"/>
                              </w:rPr>
                            </w:pPr>
                            <w:r w:rsidRPr="00B95F50">
                              <w:rPr>
                                <w:b/>
                                <w:color w:val="0071BC"/>
                                <w:sz w:val="24"/>
                              </w:rPr>
                              <w:t xml:space="preserve">Zajímají Vás nejnovější údaje o inflaci, HDP, obyvatelstvu, průměrných mzdách </w:t>
                            </w:r>
                            <w:r>
                              <w:rPr>
                                <w:b/>
                                <w:color w:val="0071BC"/>
                                <w:sz w:val="24"/>
                              </w:rPr>
                              <w:br/>
                            </w:r>
                            <w:r w:rsidRPr="00B95F50">
                              <w:rPr>
                                <w:b/>
                                <w:color w:val="0071BC"/>
                                <w:sz w:val="24"/>
                              </w:rPr>
                              <w:t xml:space="preserve">a mnohé další? Najdete je na stránkách ČSÚ na internetu: </w:t>
                            </w:r>
                            <w:r>
                              <w:rPr>
                                <w:b/>
                                <w:bCs/>
                                <w:sz w:val="24"/>
                              </w:rPr>
                              <w:t>www.czso.cz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56.95pt;margin-top:56.95pt;width:481.85pt;height:45.1pt;z-index: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" filled="f" stroked="f">
                <v:textbox style="mso-fit-shape-to-text:t" inset="0,0,0,0">
                  <w:txbxContent>
                    <w:p w:rsidR="00F8307D" w:rsidRPr="009A1902" w:rsidRDefault="00F8307D" w:rsidP="000A3A2C">
                      <w:pPr>
                        <w:rPr>
                          <w:b/>
                          <w:bCs/>
                          <w:i/>
                          <w:sz w:val="24"/>
                        </w:rPr>
                      </w:pPr>
                      <w:r w:rsidRPr="00B95F50">
                        <w:rPr>
                          <w:b/>
                          <w:color w:val="0071BC"/>
                          <w:sz w:val="24"/>
                        </w:rPr>
                        <w:t xml:space="preserve">Zajímají Vás nejnovější údaje o inflaci, HDP, obyvatelstvu, průměrných mzdách </w:t>
                      </w:r>
                      <w:r>
                        <w:rPr>
                          <w:b/>
                          <w:color w:val="0071BC"/>
                          <w:sz w:val="24"/>
                        </w:rPr>
                        <w:br/>
                      </w:r>
                      <w:r w:rsidRPr="00B95F50">
                        <w:rPr>
                          <w:b/>
                          <w:color w:val="0071BC"/>
                          <w:sz w:val="24"/>
                        </w:rPr>
                        <w:t xml:space="preserve">a mnohé další? Najdete je na stránkách ČSÚ na internetu: </w:t>
                      </w:r>
                      <w:r>
                        <w:rPr>
                          <w:b/>
                          <w:bCs/>
                          <w:sz w:val="24"/>
                        </w:rPr>
                        <w:t>www.czso.cz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</w:p>
    <w:p w:rsidR="00FA2558" w:rsidRPr="00B62887" w:rsidRDefault="00FA2558" w:rsidP="00FA2558">
      <w:pPr>
        <w:pStyle w:val="Nadpisobsahu"/>
        <w:rPr>
          <w:rFonts w:ascii="Arial" w:hAnsi="Arial" w:cs="Arial"/>
          <w:color w:val="C00000"/>
          <w:sz w:val="32"/>
          <w:szCs w:val="32"/>
        </w:rPr>
      </w:pPr>
      <w:r w:rsidRPr="00B62887">
        <w:rPr>
          <w:rFonts w:ascii="Arial" w:hAnsi="Arial" w:cs="Arial"/>
          <w:color w:val="C00000"/>
          <w:sz w:val="32"/>
          <w:szCs w:val="32"/>
        </w:rPr>
        <w:lastRenderedPageBreak/>
        <w:t>Obsah</w:t>
      </w:r>
    </w:p>
    <w:p w:rsidR="00F8307D" w:rsidRDefault="00FA2558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893B21">
        <w:rPr>
          <w:sz w:val="22"/>
          <w:szCs w:val="22"/>
        </w:rPr>
        <w:fldChar w:fldCharType="begin"/>
      </w:r>
      <w:r w:rsidRPr="00893B21">
        <w:rPr>
          <w:sz w:val="22"/>
          <w:szCs w:val="22"/>
        </w:rPr>
        <w:instrText xml:space="preserve"> TOC \o "1-3" \h \z \u </w:instrText>
      </w:r>
      <w:r w:rsidRPr="00893B21">
        <w:rPr>
          <w:sz w:val="22"/>
          <w:szCs w:val="22"/>
        </w:rPr>
        <w:fldChar w:fldCharType="separate"/>
      </w:r>
      <w:hyperlink w:anchor="_Toc531859772" w:history="1">
        <w:r w:rsidR="00F8307D" w:rsidRPr="0080609B">
          <w:rPr>
            <w:rStyle w:val="Hypertextovodkaz"/>
            <w:noProof/>
          </w:rPr>
          <w:t>1. Úvod a metodologie</w:t>
        </w:r>
        <w:r w:rsidR="00F8307D">
          <w:rPr>
            <w:noProof/>
            <w:webHidden/>
          </w:rPr>
          <w:tab/>
        </w:r>
        <w:r w:rsidR="00F8307D">
          <w:rPr>
            <w:noProof/>
            <w:webHidden/>
          </w:rPr>
          <w:fldChar w:fldCharType="begin"/>
        </w:r>
        <w:r w:rsidR="00F8307D">
          <w:rPr>
            <w:noProof/>
            <w:webHidden/>
          </w:rPr>
          <w:instrText xml:space="preserve"> PAGEREF _Toc531859772 \h </w:instrText>
        </w:r>
        <w:r w:rsidR="00F8307D">
          <w:rPr>
            <w:noProof/>
            <w:webHidden/>
          </w:rPr>
        </w:r>
        <w:r w:rsidR="00F8307D">
          <w:rPr>
            <w:noProof/>
            <w:webHidden/>
          </w:rPr>
          <w:fldChar w:fldCharType="separate"/>
        </w:r>
        <w:r w:rsidR="00F8307D">
          <w:rPr>
            <w:noProof/>
            <w:webHidden/>
          </w:rPr>
          <w:t>4</w:t>
        </w:r>
        <w:r w:rsidR="00F8307D">
          <w:rPr>
            <w:noProof/>
            <w:webHidden/>
          </w:rPr>
          <w:fldChar w:fldCharType="end"/>
        </w:r>
      </w:hyperlink>
    </w:p>
    <w:p w:rsidR="00F8307D" w:rsidRDefault="00F8307D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859773" w:history="1">
        <w:r w:rsidRPr="0080609B">
          <w:rPr>
            <w:rStyle w:val="Hypertextovodkaz"/>
            <w:noProof/>
          </w:rPr>
          <w:t>2. Vnitřní stěhování v České republice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_Toc531859773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F8307D" w:rsidRDefault="00F8307D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859774" w:history="1">
        <w:r w:rsidRPr="0080609B">
          <w:rPr>
            <w:rStyle w:val="Hypertextovodkaz"/>
            <w:noProof/>
          </w:rPr>
          <w:t>3. Mezikrajské stěhová</w:t>
        </w:r>
        <w:r w:rsidRPr="0080609B">
          <w:rPr>
            <w:rStyle w:val="Hypertextovodkaz"/>
            <w:noProof/>
          </w:rPr>
          <w:t>n</w:t>
        </w:r>
        <w:r w:rsidRPr="0080609B">
          <w:rPr>
            <w:rStyle w:val="Hypertextovodkaz"/>
            <w:noProof/>
          </w:rPr>
          <w:t>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_Toc531859774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F8307D" w:rsidRDefault="00F8307D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859775" w:history="1">
        <w:r w:rsidRPr="0080609B">
          <w:rPr>
            <w:rStyle w:val="Hypertextovodkaz"/>
            <w:noProof/>
          </w:rPr>
          <w:t>4. Vnitrokrajské stěhován</w:t>
        </w:r>
        <w:r w:rsidRPr="0080609B">
          <w:rPr>
            <w:rStyle w:val="Hypertextovodkaz"/>
            <w:noProof/>
          </w:rPr>
          <w:t>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_Toc531859775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F8307D" w:rsidRDefault="00F8307D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859776" w:history="1">
        <w:r w:rsidRPr="0080609B">
          <w:rPr>
            <w:rStyle w:val="Hypertextovodkaz"/>
            <w:noProof/>
          </w:rPr>
          <w:t>4.1 Meziokresní stěhování v rámci kraje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_Toc531859776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F8307D" w:rsidRDefault="00F8307D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859777" w:history="1">
        <w:r w:rsidRPr="0080609B">
          <w:rPr>
            <w:rStyle w:val="Hypertextovodkaz"/>
            <w:noProof/>
          </w:rPr>
          <w:t>4.2 Meziobecní stěhování v rámci okresu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_Toc531859777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F8307D" w:rsidRDefault="00F8307D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859778" w:history="1">
        <w:r w:rsidRPr="0080609B">
          <w:rPr>
            <w:rStyle w:val="Hypertextovodkaz"/>
            <w:noProof/>
          </w:rPr>
          <w:t>5. Meziokresní stěhov</w:t>
        </w:r>
        <w:r w:rsidRPr="0080609B">
          <w:rPr>
            <w:rStyle w:val="Hypertextovodkaz"/>
            <w:noProof/>
          </w:rPr>
          <w:t>á</w:t>
        </w:r>
        <w:r w:rsidRPr="0080609B">
          <w:rPr>
            <w:rStyle w:val="Hypertextovodkaz"/>
            <w:noProof/>
          </w:rPr>
          <w:t>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_Toc531859778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F8307D" w:rsidRDefault="00F8307D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859779" w:history="1">
        <w:r w:rsidRPr="0080609B">
          <w:rPr>
            <w:rStyle w:val="Hypertextovodkaz"/>
            <w:noProof/>
          </w:rPr>
          <w:t>6. Stěhování mezi správními obvody obcí s rozšířenou působností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_Toc531859779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F8307D" w:rsidRDefault="00F8307D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859780" w:history="1">
        <w:r w:rsidRPr="0080609B">
          <w:rPr>
            <w:rStyle w:val="Hypertextovodkaz"/>
            <w:noProof/>
          </w:rPr>
          <w:t>7. Meziobecní stěhování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_Toc531859780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F8307D" w:rsidRDefault="00F8307D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859781" w:history="1">
        <w:r w:rsidRPr="0080609B">
          <w:rPr>
            <w:rStyle w:val="Hypertextovodkaz"/>
            <w:noProof/>
          </w:rPr>
          <w:t>8. Stěhování mezi velikostními skupinami obcí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_Toc531859781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F8307D" w:rsidRDefault="00F8307D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859782" w:history="1">
        <w:r w:rsidRPr="0080609B">
          <w:rPr>
            <w:rStyle w:val="Hypertextovodkaz"/>
            <w:noProof/>
          </w:rPr>
          <w:t>9. Závěr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_Toc531859782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8E2C57" w:rsidRPr="006F5416" w:rsidRDefault="00FA2558" w:rsidP="00FA2558">
      <w:pPr>
        <w:pStyle w:val="Obsahpoloky"/>
      </w:pPr>
      <w:r w:rsidRPr="00893B21">
        <w:rPr>
          <w:b/>
          <w:bCs/>
          <w:sz w:val="22"/>
          <w:szCs w:val="22"/>
        </w:rPr>
        <w:fldChar w:fldCharType="end"/>
      </w:r>
      <w:r w:rsidR="00087F2B" w:rsidRPr="006F5416">
        <w:br w:type="page"/>
      </w:r>
    </w:p>
    <w:p w:rsidR="00351207" w:rsidRDefault="00FA2558" w:rsidP="00E817C3">
      <w:pPr>
        <w:pStyle w:val="Nadpis1"/>
      </w:pPr>
      <w:bookmarkStart w:id="1" w:name="_Toc444112494"/>
      <w:bookmarkStart w:id="2" w:name="_Toc531859772"/>
      <w:r>
        <w:lastRenderedPageBreak/>
        <w:t>1. Úvod a metodologie</w:t>
      </w:r>
      <w:bookmarkEnd w:id="2"/>
    </w:p>
    <w:p w:rsidR="00697B57" w:rsidRDefault="00697B57" w:rsidP="00214045">
      <w:pPr>
        <w:spacing w:after="0"/>
      </w:pPr>
      <w:r>
        <w:t xml:space="preserve">Publikace se zabývá vnitřním stěhováním v České republice mezi roky 2005 a 2017 ve vazbě na demografické charakteristiky jako jsou pohlaví, věk a státní občanství. Dále hodnotí vývoj vnitřního stěhování na různých územních úrovních (krajské, okresní, správních obvodů obcí s rozšířenou působností nebo obecní) a podle velikostních skupin obcí. Obsahuje také informace o migračních proudech a populačních ziscích nebo ztrátách územních celků díky vnitřnímu stěhování. </w:t>
      </w:r>
    </w:p>
    <w:p w:rsidR="00697B57" w:rsidRDefault="00697B57" w:rsidP="00214045">
      <w:pPr>
        <w:spacing w:after="0"/>
      </w:pPr>
    </w:p>
    <w:p w:rsidR="00697B57" w:rsidRDefault="00351207" w:rsidP="00214045">
      <w:pPr>
        <w:spacing w:after="0"/>
      </w:pPr>
      <w:r>
        <w:t>Tato publikace analyzuje výhradně vnitřní stěhování a nezabývá se zahraniční migrací.</w:t>
      </w:r>
      <w:r w:rsidR="00E817C3">
        <w:t xml:space="preserve"> Za vnitřní stěhování se v demografické statistice České republiky považuje změna bydliště mimo hranice obce současného registrovaného pobytu.</w:t>
      </w:r>
      <w:r w:rsidR="00FD2457">
        <w:t xml:space="preserve"> Jde tedy o prostorové přemístění osob z jedné obce do jiné.</w:t>
      </w:r>
      <w:r w:rsidR="00E05CAF">
        <w:t xml:space="preserve"> Sleduje se i vnitřní stěhování uvnitř Prahy mezi urbanistickými obvody, což ale není předmětem této publikace.</w:t>
      </w:r>
      <w:r w:rsidR="00A54058">
        <w:t xml:space="preserve"> Obyvatelé </w:t>
      </w:r>
      <w:r w:rsidR="00C57FFE">
        <w:t xml:space="preserve">České republiky </w:t>
      </w:r>
      <w:r w:rsidR="00A54058">
        <w:t>s českým občanstvím ovšem nemají</w:t>
      </w:r>
      <w:r w:rsidR="00C57FFE">
        <w:t xml:space="preserve"> povinnost změnu svého pobytu hlásit, takže množství případů vnitřního stěhování je pravděpodobně </w:t>
      </w:r>
      <w:r w:rsidR="00A54058">
        <w:t>vyšší</w:t>
      </w:r>
      <w:r w:rsidR="00C57FFE">
        <w:t>, než udávají oficiální čísla vycházející ze změny registrovaného pobytu.</w:t>
      </w:r>
      <w:r w:rsidR="00A54058">
        <w:t xml:space="preserve"> Cizinci </w:t>
      </w:r>
      <w:r w:rsidR="004E5BDF">
        <w:t xml:space="preserve">ze třetích zemí (mimo EU a EFTA) </w:t>
      </w:r>
      <w:r w:rsidR="00A54058">
        <w:t>tuto povinnost mají</w:t>
      </w:r>
      <w:r w:rsidR="00A54058">
        <w:rPr>
          <w:rStyle w:val="Znakapoznpodarou"/>
        </w:rPr>
        <w:footnoteReference w:id="1"/>
      </w:r>
      <w:r w:rsidR="00A54058">
        <w:t xml:space="preserve"> a jejich registrované vnitřní stěhování tudíž více odpovídá realitě.</w:t>
      </w:r>
      <w:r w:rsidR="004E5BDF">
        <w:t xml:space="preserve"> Občané EU a EFTA se registrovat k pobytu nemusí.</w:t>
      </w:r>
      <w:r w:rsidR="00A54058">
        <w:t xml:space="preserve"> </w:t>
      </w:r>
      <w:r w:rsidR="00E05CAF">
        <w:t xml:space="preserve"> </w:t>
      </w:r>
      <w:r w:rsidR="00FD2457">
        <w:t xml:space="preserve"> </w:t>
      </w:r>
      <w:r w:rsidR="00E817C3">
        <w:t xml:space="preserve">   </w:t>
      </w:r>
    </w:p>
    <w:p w:rsidR="00697B57" w:rsidRDefault="00697B57" w:rsidP="00214045">
      <w:pPr>
        <w:spacing w:after="0"/>
      </w:pPr>
    </w:p>
    <w:p w:rsidR="00954BA2" w:rsidRDefault="00BD13E9" w:rsidP="00214045">
      <w:pPr>
        <w:spacing w:after="0"/>
      </w:pPr>
      <w:r>
        <w:t>Zdrojem dat pro</w:t>
      </w:r>
      <w:r w:rsidR="00C86793">
        <w:t xml:space="preserve"> údaje o vnitřním stěhování byla</w:t>
      </w:r>
      <w:r>
        <w:t xml:space="preserve"> před rokem 2005 </w:t>
      </w:r>
      <w:r w:rsidR="00094E75">
        <w:t>statistická</w:t>
      </w:r>
      <w:r>
        <w:t xml:space="preserve"> hlášení o stěhování. Od roku 2005 se data o vnitřní migraci českých občanů přebírají z informačního systému evidence obyvatelstva (ISEO) ministerstva vnitra. V případě cizinců se mezi roky 2005 až 2007 a</w:t>
      </w:r>
      <w:r w:rsidR="00954BA2">
        <w:t xml:space="preserve"> opět od července 2012 používají</w:t>
      </w:r>
      <w:r>
        <w:t xml:space="preserve"> data z</w:t>
      </w:r>
      <w:r w:rsidRPr="00BD13E9">
        <w:t xml:space="preserve"> </w:t>
      </w:r>
      <w:r>
        <w:t>cizineckého informačního systému (CIS) ředitelství služby cizinecké policie, v mezidobí šlo o údaje z </w:t>
      </w:r>
      <w:proofErr w:type="gramStart"/>
      <w:r>
        <w:t>ISEO</w:t>
      </w:r>
      <w:proofErr w:type="gramEnd"/>
      <w:r>
        <w:t>.</w:t>
      </w:r>
      <w:r w:rsidR="00954BA2">
        <w:t xml:space="preserve"> Vzhledem k přechodu z hlášení o stěhování na administrativní zdroje dat vypadly charakteristiky důvod stěhování a vzdělání. </w:t>
      </w:r>
      <w:r>
        <w:t xml:space="preserve"> </w:t>
      </w:r>
    </w:p>
    <w:p w:rsidR="00954BA2" w:rsidRDefault="00954BA2" w:rsidP="00214045">
      <w:pPr>
        <w:spacing w:after="0"/>
      </w:pPr>
    </w:p>
    <w:p w:rsidR="00537378" w:rsidRDefault="00EE7A4A" w:rsidP="00214045">
      <w:pPr>
        <w:spacing w:after="0"/>
      </w:pPr>
      <w:r>
        <w:t>Data použitá v publikaci vycházejí z územní struktury daného roku, nicméně vzhledem ke snaze přiblížit se aktuálnímu územnímu členění</w:t>
      </w:r>
      <w:r w:rsidR="00537378">
        <w:t xml:space="preserve"> i pro starší období</w:t>
      </w:r>
      <w:r>
        <w:t xml:space="preserve"> jsou teritoriální změny, které mohou podstatně ovlivnit výsledky zohledněny. Jedná se o převedení 119 obcí do jiného okresu od 1. 1. 2007</w:t>
      </w:r>
      <w:r>
        <w:rPr>
          <w:rStyle w:val="Znakapoznpodarou"/>
        </w:rPr>
        <w:footnoteReference w:id="2"/>
      </w:r>
      <w:r>
        <w:t xml:space="preserve">. </w:t>
      </w:r>
      <w:r w:rsidR="00537378">
        <w:t xml:space="preserve">Dále o převod obce Dolní Lutyně ze správního obvodu obcí s rozšířenou působností (SO ORP) Orlová do SO ORP Bohumín </w:t>
      </w:r>
      <w:r w:rsidR="00537378">
        <w:br/>
        <w:t>k 1. 1. 2012</w:t>
      </w:r>
      <w:r w:rsidR="00537378">
        <w:rPr>
          <w:rStyle w:val="Znakapoznpodarou"/>
        </w:rPr>
        <w:footnoteReference w:id="3"/>
      </w:r>
      <w:r w:rsidR="00537378">
        <w:t>.</w:t>
      </w:r>
    </w:p>
    <w:p w:rsidR="00537378" w:rsidRDefault="00537378" w:rsidP="00214045">
      <w:pPr>
        <w:spacing w:after="0"/>
      </w:pPr>
    </w:p>
    <w:p w:rsidR="00837D7F" w:rsidRDefault="00B34C2E" w:rsidP="00214045">
      <w:pPr>
        <w:spacing w:after="0"/>
      </w:pPr>
      <w:r>
        <w:t>Do roku 2007 pub</w:t>
      </w:r>
      <w:r w:rsidR="004E5BDF">
        <w:t>likovala demografická statistika</w:t>
      </w:r>
      <w:r>
        <w:t xml:space="preserve"> počty případů stěhování, </w:t>
      </w:r>
      <w:proofErr w:type="gramStart"/>
      <w:r>
        <w:t>tzn.</w:t>
      </w:r>
      <w:proofErr w:type="gramEnd"/>
      <w:r>
        <w:t xml:space="preserve"> jedna osoba se </w:t>
      </w:r>
      <w:proofErr w:type="gramStart"/>
      <w:r>
        <w:t>mohla</w:t>
      </w:r>
      <w:proofErr w:type="gramEnd"/>
      <w:r>
        <w:t xml:space="preserve"> stěhovat vícekrát</w:t>
      </w:r>
      <w:r w:rsidR="00C86793">
        <w:t xml:space="preserve"> během jednoho roku</w:t>
      </w:r>
      <w:r>
        <w:t xml:space="preserve"> a v datech byla všechna vícečetná stěhování zahrnuta. Od roku 2008 se ovšem údaj</w:t>
      </w:r>
      <w:r w:rsidR="00837D7F">
        <w:t>e o </w:t>
      </w:r>
      <w:r>
        <w:t>tyto případy očišťují</w:t>
      </w:r>
      <w:r w:rsidR="00837D7F">
        <w:t xml:space="preserve"> a na jednu osobu tak připadá pouze jeden případ stěhování</w:t>
      </w:r>
      <w:r w:rsidR="00C86793">
        <w:t xml:space="preserve"> v rámci kalendářního roku</w:t>
      </w:r>
      <w:r w:rsidR="00837D7F">
        <w:rPr>
          <w:rStyle w:val="Znakapoznpodarou"/>
        </w:rPr>
        <w:footnoteReference w:id="4"/>
      </w:r>
      <w:r w:rsidR="00837D7F">
        <w:t>. Vzhledem k tomu, že současná praxe pokrývá většinu</w:t>
      </w:r>
      <w:r w:rsidR="004E5BDF">
        <w:t xml:space="preserve"> z analyzovaného</w:t>
      </w:r>
      <w:r w:rsidR="00837D7F">
        <w:t xml:space="preserve"> období, tak jsou v publikaci synonymně používány termíny počet případů stěhování a počet stěhujících se osob.</w:t>
      </w:r>
    </w:p>
    <w:p w:rsidR="00837D7F" w:rsidRDefault="00837D7F" w:rsidP="00214045">
      <w:pPr>
        <w:spacing w:after="0"/>
      </w:pPr>
    </w:p>
    <w:p w:rsidR="00F23EEC" w:rsidRDefault="00F23EEC" w:rsidP="00214045">
      <w:pPr>
        <w:spacing w:after="0"/>
      </w:pPr>
      <w:r>
        <w:t>Definice často používaných ukazatelů:</w:t>
      </w:r>
    </w:p>
    <w:p w:rsidR="00F23EEC" w:rsidRDefault="00F23EEC" w:rsidP="00214045">
      <w:pPr>
        <w:spacing w:after="0"/>
      </w:pPr>
      <w:r>
        <w:t>Objem stěhování – počet případů stěhování uvnitř určité územní jednotky</w:t>
      </w:r>
    </w:p>
    <w:p w:rsidR="00F23EEC" w:rsidRDefault="00F23EEC" w:rsidP="00214045">
      <w:pPr>
        <w:spacing w:after="0"/>
      </w:pPr>
      <w:r>
        <w:t>Obrat stěhování – součet počtu vystěhovalých z a přistěhovalých do dané územní jednotky</w:t>
      </w:r>
    </w:p>
    <w:p w:rsidR="00F23EEC" w:rsidRDefault="00F23EEC" w:rsidP="00214045">
      <w:pPr>
        <w:spacing w:after="0"/>
      </w:pPr>
      <w:r>
        <w:t xml:space="preserve">Saldo stěhování – rozdíl mezi počtem přistěhovalých a vystěhovalých </w:t>
      </w:r>
    </w:p>
    <w:p w:rsidR="004E5BDF" w:rsidRDefault="004E5BDF" w:rsidP="00214045">
      <w:pPr>
        <w:spacing w:after="0"/>
      </w:pPr>
      <w:r>
        <w:t xml:space="preserve">Všechny tyto ukazatele je možné relativizovat, tedy vztáhnout na počet obyvatel (obvykle středního stavu), případně ještě podle pohlaví a věku, a výsledný ukazatel pak není závislý na počtu obyvatel nebo pohlavně-věkové struktuře populace. Pokud je takový ukazatel vypočítán za celé období, tak vždy vychází ze sumy počty případů stěhování a ze sumy stavů za celé období.  </w:t>
      </w:r>
    </w:p>
    <w:p w:rsidR="004E5BDF" w:rsidRDefault="004E5BDF" w:rsidP="00214045">
      <w:pPr>
        <w:spacing w:after="0"/>
      </w:pPr>
    </w:p>
    <w:p w:rsidR="00FA2558" w:rsidRPr="006F5416" w:rsidRDefault="00FA2558" w:rsidP="00FA2558">
      <w:pPr>
        <w:pStyle w:val="Nadpis1"/>
      </w:pPr>
      <w:bookmarkStart w:id="3" w:name="_Toc531859773"/>
      <w:r>
        <w:lastRenderedPageBreak/>
        <w:t xml:space="preserve">2. </w:t>
      </w:r>
      <w:r w:rsidR="00FA2ED9" w:rsidRPr="00FA2ED9">
        <w:t>Vnitřní stěhování v České republice</w:t>
      </w:r>
      <w:bookmarkEnd w:id="3"/>
    </w:p>
    <w:p w:rsidR="00F54B0E" w:rsidRDefault="00537904" w:rsidP="008963FC">
      <w:pPr>
        <w:spacing w:after="0"/>
      </w:pPr>
      <w:r>
        <w:t>Počet případů vnitřního stěhování v České republice, respektive objem vnitřní migrace (Graf 1), neměl mezi roky 2005 a 2017 jednoznačný trend. V letech 2005 až 2007 bylo možné sledovat nárůst z 213 688 na 255</w:t>
      </w:r>
      <w:r w:rsidR="00A435EE">
        <w:t> </w:t>
      </w:r>
      <w:r>
        <w:t>689</w:t>
      </w:r>
      <w:r w:rsidR="00A435EE">
        <w:t xml:space="preserve"> (zřejmě v souvislosti s ekonomickým růstem), poté došlo k poklesu až na hodnoty mírně nad 230 tisíc </w:t>
      </w:r>
      <w:r w:rsidR="00D12FE0">
        <w:t>v letech 2009–2012</w:t>
      </w:r>
      <w:r w:rsidR="00F54B0E">
        <w:t xml:space="preserve"> (období ekonomické krize</w:t>
      </w:r>
      <w:r w:rsidR="00D12FE0">
        <w:t>; s výjimkou v roce 2010 – nárůst na 240 695</w:t>
      </w:r>
      <w:r w:rsidR="00F54B0E">
        <w:t>)</w:t>
      </w:r>
      <w:r w:rsidR="00A435EE">
        <w:t xml:space="preserve"> a vzápětí objem vnitřní migrace opět narostl na 250 722 v roce 2016. V posledním sledovaném roce byl zaznamenán mírný pokles na hodnotu 246</w:t>
      </w:r>
      <w:r w:rsidR="008963FC">
        <w:t> </w:t>
      </w:r>
      <w:r w:rsidR="00A435EE">
        <w:t>070.</w:t>
      </w:r>
    </w:p>
    <w:p w:rsidR="008963FC" w:rsidRDefault="008963FC" w:rsidP="008963FC">
      <w:pPr>
        <w:spacing w:after="0"/>
      </w:pPr>
    </w:p>
    <w:p w:rsidR="008963FC" w:rsidRDefault="00834CD6" w:rsidP="00170831">
      <w:r>
        <w:t xml:space="preserve">V analyzovaném období lze sledovat mírnou feminizaci vnitřní migrace. Podíl mužů na objemu vnitřního stěhování (Graf 1) se ve sledovaném období pohyboval v rozmezí 46,2 % až 49,4 %, přičemž vyšší zastoupení mužů bylo typické spíše pro první polovinu období, v letech 2012 až 2017 podíl klesl pod 47,0 %. </w:t>
      </w:r>
    </w:p>
    <w:p w:rsidR="00170831" w:rsidRDefault="00170831" w:rsidP="00170831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Graf 1</w:t>
      </w:r>
      <w:r w:rsidRPr="00091A5B">
        <w:rPr>
          <w:rFonts w:cs="Arial"/>
          <w:b/>
          <w:szCs w:val="20"/>
        </w:rPr>
        <w:t xml:space="preserve"> </w:t>
      </w:r>
      <w:r w:rsidR="00400443" w:rsidRPr="00400443">
        <w:rPr>
          <w:rFonts w:cs="Arial"/>
          <w:b/>
          <w:szCs w:val="20"/>
        </w:rPr>
        <w:t>Objem vnitřního stěhování a podíl mužů</w:t>
      </w:r>
      <w:r w:rsidR="00400443">
        <w:rPr>
          <w:rFonts w:cs="Arial"/>
          <w:b/>
          <w:szCs w:val="20"/>
        </w:rPr>
        <w:t xml:space="preserve"> (v %)</w:t>
      </w:r>
      <w:r w:rsidR="00400443" w:rsidRPr="00400443">
        <w:rPr>
          <w:rFonts w:cs="Arial"/>
          <w:b/>
          <w:szCs w:val="20"/>
        </w:rPr>
        <w:t xml:space="preserve"> v letech 2005–2017</w:t>
      </w:r>
    </w:p>
    <w:p w:rsidR="00170831" w:rsidRDefault="00090433" w:rsidP="00170831">
      <w:r w:rsidRPr="00090433">
        <w:rPr>
          <w:noProof/>
        </w:rPr>
        <w:drawing>
          <wp:anchor distT="0" distB="0" distL="114300" distR="114300" simplePos="0" relativeHeight="25167206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1270</wp:posOffset>
            </wp:positionV>
            <wp:extent cx="5400675" cy="2886075"/>
            <wp:effectExtent l="0" t="0" r="9525" b="9525"/>
            <wp:wrapNone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0831" w:rsidRDefault="00170831" w:rsidP="00170831"/>
    <w:p w:rsidR="00170831" w:rsidRDefault="00170831" w:rsidP="00170831"/>
    <w:p w:rsidR="00170831" w:rsidRDefault="00170831" w:rsidP="00170831"/>
    <w:p w:rsidR="00170831" w:rsidRDefault="00170831" w:rsidP="00170831"/>
    <w:p w:rsidR="00170831" w:rsidRDefault="00170831" w:rsidP="00170831"/>
    <w:p w:rsidR="00170831" w:rsidRDefault="00170831" w:rsidP="00170831"/>
    <w:p w:rsidR="00170831" w:rsidRDefault="00170831" w:rsidP="00170831"/>
    <w:p w:rsidR="00170831" w:rsidRDefault="00170831" w:rsidP="00B44A02"/>
    <w:p w:rsidR="00170831" w:rsidRDefault="00170831" w:rsidP="00170831">
      <w:pPr>
        <w:spacing w:after="0"/>
      </w:pPr>
    </w:p>
    <w:p w:rsidR="002B5D25" w:rsidRDefault="00AD2D2E" w:rsidP="00170831">
      <w:pPr>
        <w:spacing w:after="0"/>
        <w:rPr>
          <w:rFonts w:cs="Arial"/>
        </w:rPr>
      </w:pPr>
      <w:r>
        <w:t>Intenzita vnitřního stěhování vyjádřená hrubou mírou vnitřního stěhování (objem vnitřního stěhování na 1 000 obyvatel středního stavu) se vyvíjela obdobně jak</w:t>
      </w:r>
      <w:r w:rsidR="007C0AA1">
        <w:t>o objem vnitřní migrace (Graf 2</w:t>
      </w:r>
      <w:r>
        <w:t xml:space="preserve">). Mezi roky 2005 a 2007 vzrostla z 20,9 </w:t>
      </w:r>
      <w:r>
        <w:rPr>
          <w:rFonts w:cs="Arial"/>
        </w:rPr>
        <w:t>‰</w:t>
      </w:r>
      <w:r>
        <w:t xml:space="preserve"> na 24,8 </w:t>
      </w:r>
      <w:r>
        <w:rPr>
          <w:rFonts w:cs="Arial"/>
        </w:rPr>
        <w:t>‰, následoval pokles na hodnoty mír</w:t>
      </w:r>
      <w:r w:rsidR="003658E1">
        <w:rPr>
          <w:rFonts w:cs="Arial"/>
        </w:rPr>
        <w:t>ně nad 22,0 ‰ okolo roku 2011 a </w:t>
      </w:r>
      <w:r>
        <w:rPr>
          <w:rFonts w:cs="Arial"/>
        </w:rPr>
        <w:t>opětovný růst na hodnotu 23,7 ‰ v roce 2016 a 23,2 ‰ v roce 2017.</w:t>
      </w:r>
      <w:r w:rsidR="00587DCF">
        <w:rPr>
          <w:rFonts w:cs="Arial"/>
        </w:rPr>
        <w:t xml:space="preserve"> Intenzita stěhování podle pohlaví se v letech 2005 až 2010 vyvíjela velmi podobně jako ta celková</w:t>
      </w:r>
      <w:r w:rsidR="007C0AA1">
        <w:rPr>
          <w:rFonts w:cs="Arial"/>
        </w:rPr>
        <w:t xml:space="preserve"> (Graf 2</w:t>
      </w:r>
      <w:r w:rsidR="00304343">
        <w:rPr>
          <w:rFonts w:cs="Arial"/>
        </w:rPr>
        <w:t>)</w:t>
      </w:r>
      <w:r w:rsidR="00587DCF">
        <w:rPr>
          <w:rFonts w:cs="Arial"/>
        </w:rPr>
        <w:t>, od roku 2011 byla vyšší u žen, ale tre</w:t>
      </w:r>
      <w:r w:rsidR="00C86793">
        <w:rPr>
          <w:rFonts w:cs="Arial"/>
        </w:rPr>
        <w:t>ndy byly pro obě pohlaví podobné</w:t>
      </w:r>
      <w:r w:rsidR="00D47C99">
        <w:rPr>
          <w:rStyle w:val="Znakapoznpodarou"/>
          <w:rFonts w:cs="Arial"/>
        </w:rPr>
        <w:footnoteReference w:id="5"/>
      </w:r>
      <w:r w:rsidR="00304343">
        <w:rPr>
          <w:rFonts w:cs="Arial"/>
        </w:rPr>
        <w:t xml:space="preserve">. V roce 2017 dosahovala hrubá míra vnitřního stěhování pro muže hodnoty 22,0 ‰, zatímco u žen byla 24,5 ‰. </w:t>
      </w:r>
      <w:r>
        <w:rPr>
          <w:rFonts w:cs="Arial"/>
        </w:rPr>
        <w:t xml:space="preserve">   </w:t>
      </w:r>
    </w:p>
    <w:p w:rsidR="00C71935" w:rsidRDefault="00C71935" w:rsidP="00170831">
      <w:pPr>
        <w:spacing w:after="0"/>
        <w:rPr>
          <w:rFonts w:cs="Arial"/>
        </w:rPr>
      </w:pPr>
    </w:p>
    <w:p w:rsidR="00C71935" w:rsidRDefault="0025143C" w:rsidP="006C4CE3">
      <w:r>
        <w:t xml:space="preserve">Na celkovém objemu vnitřního stěhování se nejvíce podílela věková skupina 18–34, jejíž zastoupení mělo ale mezi roky 2005 a 2017 sestupnou </w:t>
      </w:r>
      <w:proofErr w:type="gramStart"/>
      <w:r>
        <w:t>ten</w:t>
      </w:r>
      <w:r w:rsidR="007C0AA1">
        <w:t>denci z 44,5</w:t>
      </w:r>
      <w:proofErr w:type="gramEnd"/>
      <w:r w:rsidR="007C0AA1">
        <w:t xml:space="preserve"> % na 35,5 % (Graf 3</w:t>
      </w:r>
      <w:r>
        <w:t>). Naopak spíše rostl podíl věkových skupin 0–17 (z 21,9 % na 26,5 %) a 35–49 (z 17,7 % na 22,1 %). Starší věkové skupiny spíše stagnovaly – 50–64letí mezi 9,2 % až 9,8 % a 65letí a starší mezi 4,6 % až 6,5 %</w:t>
      </w:r>
      <w:r w:rsidR="008B21CB">
        <w:rPr>
          <w:rStyle w:val="Znakapoznpodarou"/>
        </w:rPr>
        <w:footnoteReference w:id="6"/>
      </w:r>
      <w:r>
        <w:t>.</w:t>
      </w:r>
      <w:r w:rsidR="00032D27">
        <w:t xml:space="preserve"> Muži měli na začátku sledovaného období vyšší zastoupení zejména u věkové skupiny 35–49 let (nad 55,0 % v letech 2006 až 2008), ale v čase jejich podíl klesal až na zhruba polovinu v letech 2013–2017</w:t>
      </w:r>
      <w:r w:rsidR="006C4CE3">
        <w:t xml:space="preserve"> (Přílohová tabulka 2)</w:t>
      </w:r>
      <w:r w:rsidR="00032D27">
        <w:t>. Mírně nadpoloviční zastoupení měli muži i u věkových skupin 0–17 a 50–64 po celé zkoumané období.</w:t>
      </w:r>
      <w:r w:rsidR="00F47258">
        <w:t xml:space="preserve"> V případě </w:t>
      </w:r>
      <w:r w:rsidR="00F47258">
        <w:lastRenderedPageBreak/>
        <w:t>18–34 letých a 65letých</w:t>
      </w:r>
      <w:r w:rsidR="00A12E2A">
        <w:t xml:space="preserve"> a starších</w:t>
      </w:r>
      <w:r w:rsidR="00F47258">
        <w:t xml:space="preserve"> převažovaly ženy. U první věkové skupiny podíl mužů spíše klesal z hodnot nad 45,0 % v letech 2005–2010 na 41,5 % v roce 2017, zatímco u nejstarších migrantů podíl mužů vzrostl z 31,</w:t>
      </w:r>
      <w:r w:rsidR="006C4CE3">
        <w:t>2 </w:t>
      </w:r>
      <w:r w:rsidR="00F47258">
        <w:t xml:space="preserve">% v roce 2005 na 37,4 % v roce 2017. </w:t>
      </w:r>
      <w:r w:rsidR="00097168">
        <w:t xml:space="preserve">  </w:t>
      </w:r>
      <w:r w:rsidR="00032D27">
        <w:t xml:space="preserve">    </w:t>
      </w:r>
      <w:r w:rsidR="008B21CB">
        <w:t xml:space="preserve"> </w:t>
      </w:r>
      <w:r>
        <w:t xml:space="preserve">     </w:t>
      </w:r>
    </w:p>
    <w:p w:rsidR="005C36B0" w:rsidRDefault="00013A18" w:rsidP="005C36B0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Graf 2</w:t>
      </w:r>
      <w:r w:rsidR="005C36B0" w:rsidRPr="00091A5B">
        <w:rPr>
          <w:rFonts w:cs="Arial"/>
          <w:b/>
          <w:szCs w:val="20"/>
        </w:rPr>
        <w:t xml:space="preserve"> </w:t>
      </w:r>
      <w:r w:rsidR="005C36B0" w:rsidRPr="005C36B0">
        <w:rPr>
          <w:rFonts w:cs="Arial"/>
          <w:b/>
          <w:szCs w:val="20"/>
        </w:rPr>
        <w:t>Hrubá míra vnitřního stěhování podle pohlaví v letech 2005–2017</w:t>
      </w:r>
      <w:r w:rsidR="005C36B0">
        <w:rPr>
          <w:rFonts w:cs="Arial"/>
          <w:b/>
          <w:szCs w:val="20"/>
        </w:rPr>
        <w:t xml:space="preserve"> </w:t>
      </w:r>
      <w:r w:rsidR="005C36B0" w:rsidRPr="00A14E31">
        <w:rPr>
          <w:rFonts w:cs="Arial"/>
          <w:b/>
          <w:szCs w:val="20"/>
        </w:rPr>
        <w:t>(</w:t>
      </w:r>
      <w:r w:rsidR="005C36B0" w:rsidRPr="009B07FE">
        <w:rPr>
          <w:rFonts w:cs="Arial"/>
          <w:b/>
          <w:szCs w:val="20"/>
        </w:rPr>
        <w:t>v ‰</w:t>
      </w:r>
      <w:r w:rsidR="005C36B0">
        <w:rPr>
          <w:rFonts w:cs="Arial"/>
          <w:b/>
          <w:szCs w:val="20"/>
        </w:rPr>
        <w:t>)</w:t>
      </w:r>
    </w:p>
    <w:p w:rsidR="005C36B0" w:rsidRDefault="004A0CA5" w:rsidP="005C36B0">
      <w:pPr>
        <w:spacing w:after="60"/>
        <w:rPr>
          <w:rFonts w:cs="Arial"/>
          <w:b/>
          <w:szCs w:val="20"/>
        </w:rPr>
      </w:pPr>
      <w:r w:rsidRPr="004A0CA5">
        <w:rPr>
          <w:noProof/>
        </w:rPr>
        <w:drawing>
          <wp:anchor distT="0" distB="0" distL="114300" distR="114300" simplePos="0" relativeHeight="25167718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-2540</wp:posOffset>
            </wp:positionV>
            <wp:extent cx="5400675" cy="2886075"/>
            <wp:effectExtent l="0" t="0" r="9525" b="9525"/>
            <wp:wrapNone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36B0" w:rsidRDefault="005C36B0" w:rsidP="00127A36">
      <w:pPr>
        <w:spacing w:after="60"/>
        <w:rPr>
          <w:rFonts w:cs="Arial"/>
          <w:b/>
          <w:szCs w:val="20"/>
        </w:rPr>
      </w:pPr>
    </w:p>
    <w:p w:rsidR="005C36B0" w:rsidRDefault="005C36B0" w:rsidP="00127A36">
      <w:pPr>
        <w:spacing w:after="60"/>
        <w:rPr>
          <w:rFonts w:cs="Arial"/>
          <w:b/>
          <w:szCs w:val="20"/>
        </w:rPr>
      </w:pPr>
    </w:p>
    <w:p w:rsidR="005C36B0" w:rsidRDefault="005C36B0" w:rsidP="00127A36">
      <w:pPr>
        <w:spacing w:after="60"/>
        <w:rPr>
          <w:rFonts w:cs="Arial"/>
          <w:b/>
          <w:szCs w:val="20"/>
        </w:rPr>
      </w:pPr>
    </w:p>
    <w:p w:rsidR="005C36B0" w:rsidRDefault="005C36B0" w:rsidP="00127A36">
      <w:pPr>
        <w:spacing w:after="60"/>
        <w:rPr>
          <w:rFonts w:cs="Arial"/>
          <w:b/>
          <w:szCs w:val="20"/>
        </w:rPr>
      </w:pPr>
    </w:p>
    <w:p w:rsidR="005C36B0" w:rsidRDefault="005C36B0" w:rsidP="00127A36">
      <w:pPr>
        <w:spacing w:after="60"/>
        <w:rPr>
          <w:rFonts w:cs="Arial"/>
          <w:b/>
          <w:szCs w:val="20"/>
        </w:rPr>
      </w:pPr>
    </w:p>
    <w:p w:rsidR="005C36B0" w:rsidRDefault="005C36B0" w:rsidP="00127A36">
      <w:pPr>
        <w:spacing w:after="60"/>
        <w:rPr>
          <w:rFonts w:cs="Arial"/>
          <w:b/>
          <w:szCs w:val="20"/>
        </w:rPr>
      </w:pPr>
    </w:p>
    <w:p w:rsidR="005C36B0" w:rsidRDefault="005C36B0" w:rsidP="00127A36">
      <w:pPr>
        <w:spacing w:after="60"/>
        <w:rPr>
          <w:rFonts w:cs="Arial"/>
          <w:b/>
          <w:szCs w:val="20"/>
        </w:rPr>
      </w:pPr>
    </w:p>
    <w:p w:rsidR="005C36B0" w:rsidRDefault="005C36B0" w:rsidP="00127A36">
      <w:pPr>
        <w:spacing w:after="60"/>
        <w:rPr>
          <w:rFonts w:cs="Arial"/>
          <w:b/>
          <w:szCs w:val="20"/>
        </w:rPr>
      </w:pPr>
    </w:p>
    <w:p w:rsidR="005C36B0" w:rsidRDefault="005C36B0" w:rsidP="00127A36">
      <w:pPr>
        <w:spacing w:after="60"/>
        <w:rPr>
          <w:rFonts w:cs="Arial"/>
          <w:b/>
          <w:szCs w:val="20"/>
        </w:rPr>
      </w:pPr>
    </w:p>
    <w:p w:rsidR="004A0CA5" w:rsidRDefault="004A0CA5" w:rsidP="00127A36">
      <w:pPr>
        <w:spacing w:after="60"/>
        <w:rPr>
          <w:rFonts w:cs="Arial"/>
          <w:b/>
          <w:szCs w:val="20"/>
        </w:rPr>
      </w:pPr>
    </w:p>
    <w:p w:rsidR="004A0CA5" w:rsidRDefault="004A0CA5" w:rsidP="00127A36">
      <w:pPr>
        <w:spacing w:after="60"/>
        <w:rPr>
          <w:rFonts w:cs="Arial"/>
          <w:b/>
          <w:szCs w:val="20"/>
        </w:rPr>
      </w:pPr>
    </w:p>
    <w:p w:rsidR="004A0CA5" w:rsidRDefault="004A0CA5" w:rsidP="00127A36">
      <w:pPr>
        <w:spacing w:after="60"/>
        <w:rPr>
          <w:rFonts w:cs="Arial"/>
          <w:b/>
          <w:szCs w:val="20"/>
        </w:rPr>
      </w:pPr>
    </w:p>
    <w:p w:rsidR="004A0CA5" w:rsidRDefault="004A0CA5" w:rsidP="00127A36">
      <w:pPr>
        <w:spacing w:after="60"/>
        <w:rPr>
          <w:rFonts w:cs="Arial"/>
          <w:b/>
          <w:szCs w:val="20"/>
        </w:rPr>
      </w:pPr>
    </w:p>
    <w:p w:rsidR="00127A36" w:rsidRDefault="00013A18" w:rsidP="00127A36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Graf 3</w:t>
      </w:r>
      <w:r w:rsidR="00127A36" w:rsidRPr="00091A5B">
        <w:rPr>
          <w:rFonts w:cs="Arial"/>
          <w:b/>
          <w:szCs w:val="20"/>
        </w:rPr>
        <w:t xml:space="preserve"> </w:t>
      </w:r>
      <w:r w:rsidR="00127A36" w:rsidRPr="00127A36">
        <w:rPr>
          <w:rFonts w:cs="Arial"/>
          <w:b/>
          <w:szCs w:val="20"/>
        </w:rPr>
        <w:t>Objem vnitřního stěhování podle věkových skupin v letech 2005–2017 (v %)</w:t>
      </w:r>
    </w:p>
    <w:p w:rsidR="00400443" w:rsidRDefault="00AE0A8B" w:rsidP="00B44A02">
      <w:r w:rsidRPr="00AE0A8B">
        <w:rPr>
          <w:noProof/>
        </w:rPr>
        <w:drawing>
          <wp:anchor distT="0" distB="0" distL="114300" distR="114300" simplePos="0" relativeHeight="251703808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-1905</wp:posOffset>
            </wp:positionV>
            <wp:extent cx="5429250" cy="2886075"/>
            <wp:effectExtent l="0" t="0" r="0" b="9525"/>
            <wp:wrapNone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27A36" w:rsidRDefault="00127A36" w:rsidP="00B44A02"/>
    <w:p w:rsidR="00127A36" w:rsidRDefault="00127A36" w:rsidP="00B44A02"/>
    <w:p w:rsidR="00127A36" w:rsidRDefault="00127A36" w:rsidP="00B44A02"/>
    <w:p w:rsidR="00127A36" w:rsidRDefault="00127A36" w:rsidP="00B44A02"/>
    <w:p w:rsidR="00127A36" w:rsidRDefault="00127A36" w:rsidP="00B44A02"/>
    <w:p w:rsidR="00127A36" w:rsidRDefault="00127A36" w:rsidP="00B44A02"/>
    <w:p w:rsidR="00127A36" w:rsidRDefault="00127A36" w:rsidP="00B44A02"/>
    <w:p w:rsidR="00127A36" w:rsidRDefault="00127A36" w:rsidP="00B44A02"/>
    <w:p w:rsidR="00127A36" w:rsidRDefault="00127A36" w:rsidP="00CB070D">
      <w:pPr>
        <w:spacing w:after="0"/>
      </w:pPr>
    </w:p>
    <w:p w:rsidR="006A2FAF" w:rsidRDefault="00A67DC7" w:rsidP="00CB070D">
      <w:pPr>
        <w:spacing w:after="0"/>
      </w:pPr>
      <w:r>
        <w:t>Intenzita vnitřního stěhování podle věku znázorněná mírami vnitřního stěhování podle věku (objem vnitřního stěhování podle věku na 1 000 obyvatel středního stavu daného věku) bývá obecně nejvyšší u dětí v prvních letech života, k</w:t>
      </w:r>
      <w:r w:rsidR="007C0AA1">
        <w:t>teré se stěhují s rodiči (Graf 4</w:t>
      </w:r>
      <w:r>
        <w:t>). Poté intenzita migrace klesá až do věku o</w:t>
      </w:r>
      <w:r w:rsidR="003658E1">
        <w:t>kolo 16–17 let a </w:t>
      </w:r>
      <w:r>
        <w:t>vzápětí roste k druhému, byť nižšímu, vrcholu ve věku zhruba 25–30 let. Tento růst obvykle souvisí se stěhování po absolvování školy za prací nebo s nově založenou rodinou.</w:t>
      </w:r>
      <w:r w:rsidR="00016930">
        <w:t xml:space="preserve"> Následně se intenzita stěhování postupně snižuje až na minima okolo věku 70–75 let. U nejstarších osob míry stěhování opět rostou v souvislosti se stěhováním do menších bytů, k rodinám nebo do zařízení sociální péče.</w:t>
      </w:r>
      <w:r w:rsidR="006A2FAF">
        <w:t xml:space="preserve"> </w:t>
      </w:r>
    </w:p>
    <w:p w:rsidR="006A2FAF" w:rsidRDefault="006A2FAF" w:rsidP="00CB070D">
      <w:pPr>
        <w:spacing w:after="0"/>
      </w:pPr>
    </w:p>
    <w:p w:rsidR="00CB070D" w:rsidRDefault="006A2FAF" w:rsidP="00BE4469">
      <w:r>
        <w:t>Při srovnání let 2005 a 2017 je patrný růst měr vnitřní migrace téměř u všech jednotek věku až do</w:t>
      </w:r>
      <w:r w:rsidR="00217B77">
        <w:t xml:space="preserve"> věku zhruba 65 let, přičemž nejintenzivnější nárůst byl u dětí do dvou let. U nejstarších migrantů byl pozorován </w:t>
      </w:r>
      <w:r w:rsidR="00217B77">
        <w:lastRenderedPageBreak/>
        <w:t xml:space="preserve">výrazný pokles intenzity stěhování (Přílohová tabulka 3). </w:t>
      </w:r>
      <w:r w:rsidR="00C91685">
        <w:t>Druhý vrchol mimo dětský věk se posunul z 26 na 28</w:t>
      </w:r>
      <w:r w:rsidR="00BE4469">
        <w:t xml:space="preserve"> let mezi roky 2005 a 2017. Pokud srovnáme poslední sledovaný rok a rok 2008, kdy byla jedna z nejvyšších intenzit vnitřní migrace, tak můžeme sledovat podstatný pokles intenzit stěhování okolo věků 25 a 40 a naopak růst u dětí do dvou let, osob ve věku 15-18 let a u šedesátníků. </w:t>
      </w:r>
      <w:r w:rsidR="00016930">
        <w:t xml:space="preserve"> </w:t>
      </w:r>
      <w:r w:rsidR="00A67DC7">
        <w:t xml:space="preserve"> </w:t>
      </w:r>
    </w:p>
    <w:p w:rsidR="00A14E31" w:rsidRDefault="00013A18" w:rsidP="00A14E31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Graf 4</w:t>
      </w:r>
      <w:r w:rsidR="00A14E31" w:rsidRPr="00091A5B">
        <w:rPr>
          <w:rFonts w:cs="Arial"/>
          <w:b/>
          <w:szCs w:val="20"/>
        </w:rPr>
        <w:t xml:space="preserve"> </w:t>
      </w:r>
      <w:r w:rsidR="00A14E31" w:rsidRPr="00A14E31">
        <w:rPr>
          <w:rFonts w:cs="Arial"/>
          <w:b/>
          <w:szCs w:val="20"/>
        </w:rPr>
        <w:t>Míry vnitřního stěhování podle věku v letech 2005–2017 (</w:t>
      </w:r>
      <w:r w:rsidR="009B07FE" w:rsidRPr="009B07FE">
        <w:rPr>
          <w:rFonts w:cs="Arial"/>
          <w:b/>
          <w:szCs w:val="20"/>
        </w:rPr>
        <w:t>v ‰</w:t>
      </w:r>
      <w:r w:rsidR="00F07E4B">
        <w:rPr>
          <w:rFonts w:cs="Arial"/>
          <w:b/>
          <w:szCs w:val="20"/>
        </w:rPr>
        <w:t>)</w:t>
      </w:r>
    </w:p>
    <w:bookmarkEnd w:id="1"/>
    <w:p w:rsidR="00E74D0F" w:rsidRDefault="000E2F16" w:rsidP="000469B3">
      <w:pPr>
        <w:spacing w:after="0"/>
      </w:pPr>
      <w:r w:rsidRPr="000E2F16">
        <w:rPr>
          <w:noProof/>
        </w:rPr>
        <w:drawing>
          <wp:anchor distT="0" distB="0" distL="114300" distR="114300" simplePos="0" relativeHeight="251670016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4445</wp:posOffset>
            </wp:positionV>
            <wp:extent cx="5391150" cy="2886075"/>
            <wp:effectExtent l="0" t="0" r="0" b="9525"/>
            <wp:wrapNone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74D0F" w:rsidRDefault="00E74D0F" w:rsidP="00E74D0F"/>
    <w:p w:rsidR="00E74D0F" w:rsidRDefault="00E74D0F" w:rsidP="00E74D0F"/>
    <w:p w:rsidR="00E74D0F" w:rsidRDefault="00E74D0F" w:rsidP="00E74D0F"/>
    <w:p w:rsidR="00E74D0F" w:rsidRDefault="00E74D0F" w:rsidP="00E74D0F"/>
    <w:p w:rsidR="00E74D0F" w:rsidRDefault="00E74D0F" w:rsidP="00E74D0F"/>
    <w:p w:rsidR="00E74D0F" w:rsidRDefault="00E74D0F" w:rsidP="00E74D0F"/>
    <w:p w:rsidR="00E74D0F" w:rsidRDefault="00E74D0F" w:rsidP="00E74D0F"/>
    <w:p w:rsidR="00E74D0F" w:rsidRDefault="00E74D0F" w:rsidP="00E74D0F"/>
    <w:p w:rsidR="001C2992" w:rsidRDefault="001C2992" w:rsidP="00E74D0F">
      <w:pPr>
        <w:spacing w:after="60"/>
        <w:rPr>
          <w:rFonts w:cs="Arial"/>
          <w:b/>
          <w:szCs w:val="20"/>
        </w:rPr>
      </w:pPr>
    </w:p>
    <w:p w:rsidR="00E74D0F" w:rsidRDefault="004D0DF1" w:rsidP="00E74D0F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Graf 5</w:t>
      </w:r>
      <w:r w:rsidR="00E74D0F" w:rsidRPr="00091A5B">
        <w:rPr>
          <w:rFonts w:cs="Arial"/>
          <w:b/>
          <w:szCs w:val="20"/>
        </w:rPr>
        <w:t xml:space="preserve"> </w:t>
      </w:r>
      <w:r w:rsidR="009B07FE" w:rsidRPr="009B07FE">
        <w:rPr>
          <w:rFonts w:cs="Arial"/>
          <w:b/>
          <w:szCs w:val="20"/>
        </w:rPr>
        <w:t>Míry vnitřního stěhování podle pohlaví a věku v letech 2008 a 2017 (v ‰)</w:t>
      </w:r>
    </w:p>
    <w:p w:rsidR="009B07FE" w:rsidRDefault="00B91EEF" w:rsidP="00E74D0F">
      <w:pPr>
        <w:spacing w:after="60"/>
        <w:rPr>
          <w:rFonts w:cs="Arial"/>
          <w:b/>
          <w:szCs w:val="20"/>
        </w:rPr>
      </w:pPr>
      <w:r w:rsidRPr="00B91EEF">
        <w:rPr>
          <w:noProof/>
        </w:rPr>
        <w:drawing>
          <wp:anchor distT="0" distB="0" distL="114300" distR="114300" simplePos="0" relativeHeight="251700736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391150" cy="2886075"/>
            <wp:effectExtent l="0" t="0" r="0" b="9525"/>
            <wp:wrapNone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6FA6" w:rsidRDefault="00386FA6" w:rsidP="00E74D0F"/>
    <w:p w:rsidR="00386FA6" w:rsidRPr="00386FA6" w:rsidRDefault="00386FA6" w:rsidP="00386FA6"/>
    <w:p w:rsidR="00386FA6" w:rsidRPr="00386FA6" w:rsidRDefault="00386FA6" w:rsidP="00386FA6"/>
    <w:p w:rsidR="00386FA6" w:rsidRPr="00386FA6" w:rsidRDefault="00386FA6" w:rsidP="00386FA6"/>
    <w:p w:rsidR="00386FA6" w:rsidRPr="00386FA6" w:rsidRDefault="00386FA6" w:rsidP="00386FA6"/>
    <w:p w:rsidR="00386FA6" w:rsidRPr="00386FA6" w:rsidRDefault="00386FA6" w:rsidP="00386FA6"/>
    <w:p w:rsidR="00386FA6" w:rsidRPr="00386FA6" w:rsidRDefault="00386FA6" w:rsidP="00386FA6"/>
    <w:p w:rsidR="00386FA6" w:rsidRPr="00386FA6" w:rsidRDefault="00386FA6" w:rsidP="00386FA6"/>
    <w:p w:rsidR="001C2992" w:rsidRDefault="001C2992" w:rsidP="001C2992">
      <w:pPr>
        <w:spacing w:after="0"/>
      </w:pPr>
    </w:p>
    <w:p w:rsidR="001C2992" w:rsidRDefault="001C2992" w:rsidP="001C2992">
      <w:pPr>
        <w:spacing w:after="0"/>
      </w:pPr>
      <w:r>
        <w:t>Pro srovnání měr stěhov</w:t>
      </w:r>
      <w:r w:rsidR="007C0AA1">
        <w:t>ání podle věku a pohlaví (Graf 5</w:t>
      </w:r>
      <w:r>
        <w:t>) byly vybrány roky 2008 (nejvyšší podíl mužů na vnitřním stěhování a jeden z největších objemů a intenzit migrace ve sledovaném období) a 2017 (aktuální rok a jeden z nejnižších podílů mužů). V případě mužů vzrostla intenzita stěhování podstatně u nejmladších dětí a u šedesátníků, naopak se snížila u stěhujících se ve věcích okolo 25 a 40 let (trendy byly podobné jako u měr vnitřního stěhování bez rozlišení pohlaví). U žen míry stěhování ve</w:t>
      </w:r>
      <w:r w:rsidR="003658E1">
        <w:t xml:space="preserve"> většině věků rostly, nejvíce u </w:t>
      </w:r>
      <w:r>
        <w:t xml:space="preserve">nejmladších dětí, osob ve věku 15–18 let, 30–35 let a u šedesátnic. </w:t>
      </w:r>
    </w:p>
    <w:p w:rsidR="001C2992" w:rsidRDefault="001C2992" w:rsidP="001C2992">
      <w:pPr>
        <w:spacing w:after="0"/>
      </w:pPr>
    </w:p>
    <w:p w:rsidR="008C0A7B" w:rsidRDefault="00C86793" w:rsidP="008C0A7B">
      <w:pPr>
        <w:spacing w:after="0"/>
      </w:pPr>
      <w:r>
        <w:t>Mezi pohlavími</w:t>
      </w:r>
      <w:r w:rsidR="001C2992">
        <w:t xml:space="preserve"> jsou největší rozdíly patrné ve věku 18–30 let, kde měly výrazně vyšší intenzitu stěhování ženy, která se v čase ještě prohloubila, a podstatně vyšší míry stěhování u žen byly i u nejstarších migrantů ve věku</w:t>
      </w:r>
      <w:r w:rsidR="00A12E2A">
        <w:t xml:space="preserve"> 70 let a více. Naopak muži měli</w:t>
      </w:r>
      <w:r w:rsidR="001C2992">
        <w:t xml:space="preserve"> vyšší intenzity stěhování než ženy u padesátníků a šedesátníků </w:t>
      </w:r>
      <w:r w:rsidR="001C2992">
        <w:lastRenderedPageBreak/>
        <w:t>(platí pro oba roky). U intenzity stěhování ve věkové skupině cca 35–49 let dominovaly v roce 2008 muži, v posledním sl</w:t>
      </w:r>
      <w:r w:rsidR="00A12E2A">
        <w:t xml:space="preserve">edovaném roce už to byly ženy. </w:t>
      </w:r>
      <w:r w:rsidR="001C2992">
        <w:t xml:space="preserve">Vrchol intenzity stěhování byl u žen (pokud vyloučíme nejmladší děti) o 1–2 roky dříve než u mužů, kde byl okolo 28 let. </w:t>
      </w:r>
    </w:p>
    <w:p w:rsidR="001C2992" w:rsidRDefault="001C2992" w:rsidP="008C0A7B">
      <w:pPr>
        <w:spacing w:after="0"/>
      </w:pPr>
    </w:p>
    <w:p w:rsidR="008C0A7B" w:rsidRDefault="0087240B" w:rsidP="0081263C">
      <w:r>
        <w:t>Průměrný věk migrantů se signifikantně neměnil a pohyboval se v rozmezí 30,6 až 31,5 let</w:t>
      </w:r>
      <w:r w:rsidR="003658E1">
        <w:t xml:space="preserve"> mezi roky 2005 a </w:t>
      </w:r>
      <w:r w:rsidR="003C6360">
        <w:t>2017</w:t>
      </w:r>
      <w:r w:rsidR="007C0AA1">
        <w:t xml:space="preserve"> (Graf 6</w:t>
      </w:r>
      <w:r>
        <w:t>).</w:t>
      </w:r>
      <w:r w:rsidR="003C6360">
        <w:t xml:space="preserve"> Nižší byl u mužů (29,9–30,7 let), než u žen (31,1–32,2).</w:t>
      </w:r>
      <w:r w:rsidR="0081263C">
        <w:t xml:space="preserve"> Vyšší průměrný věk v případě žen byl způsoben zejména jejich převahou ve starších věkových kategoriích.</w:t>
      </w:r>
      <w:r w:rsidR="003C6360">
        <w:t xml:space="preserve"> </w:t>
      </w:r>
      <w:r>
        <w:t xml:space="preserve">  </w:t>
      </w:r>
    </w:p>
    <w:p w:rsidR="0076529D" w:rsidRDefault="004D0DF1" w:rsidP="0076529D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Graf 6</w:t>
      </w:r>
      <w:r w:rsidR="0076529D" w:rsidRPr="00091A5B">
        <w:rPr>
          <w:rFonts w:cs="Arial"/>
          <w:b/>
          <w:szCs w:val="20"/>
        </w:rPr>
        <w:t xml:space="preserve"> </w:t>
      </w:r>
      <w:r w:rsidR="0076529D">
        <w:rPr>
          <w:rFonts w:cs="Arial"/>
          <w:b/>
          <w:szCs w:val="20"/>
        </w:rPr>
        <w:t>Průměrný věk</w:t>
      </w:r>
      <w:r w:rsidR="00B72730">
        <w:rPr>
          <w:rFonts w:cs="Arial"/>
          <w:b/>
          <w:szCs w:val="20"/>
        </w:rPr>
        <w:t xml:space="preserve"> migrantů podle pohlaví</w:t>
      </w:r>
      <w:r w:rsidR="0076529D">
        <w:rPr>
          <w:rFonts w:cs="Arial"/>
          <w:b/>
          <w:szCs w:val="20"/>
        </w:rPr>
        <w:t xml:space="preserve"> </w:t>
      </w:r>
      <w:r w:rsidR="00B72730">
        <w:rPr>
          <w:rFonts w:cs="Arial"/>
          <w:b/>
          <w:szCs w:val="20"/>
        </w:rPr>
        <w:t>v letech 2005–2017</w:t>
      </w:r>
    </w:p>
    <w:p w:rsidR="00386FA6" w:rsidRDefault="004759D8" w:rsidP="00386FA6">
      <w:r w:rsidRPr="004759D8">
        <w:rPr>
          <w:noProof/>
        </w:rPr>
        <w:drawing>
          <wp:anchor distT="0" distB="0" distL="114300" distR="114300" simplePos="0" relativeHeight="251673088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1905</wp:posOffset>
            </wp:positionV>
            <wp:extent cx="5400675" cy="2886075"/>
            <wp:effectExtent l="0" t="0" r="9525" b="9525"/>
            <wp:wrapNone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759D8" w:rsidRDefault="004759D8" w:rsidP="00386FA6"/>
    <w:p w:rsidR="004759D8" w:rsidRPr="004759D8" w:rsidRDefault="004759D8" w:rsidP="004759D8"/>
    <w:p w:rsidR="004759D8" w:rsidRPr="004759D8" w:rsidRDefault="004759D8" w:rsidP="004759D8"/>
    <w:p w:rsidR="004759D8" w:rsidRPr="004759D8" w:rsidRDefault="004759D8" w:rsidP="004759D8"/>
    <w:p w:rsidR="004759D8" w:rsidRPr="004759D8" w:rsidRDefault="004759D8" w:rsidP="004759D8"/>
    <w:p w:rsidR="004759D8" w:rsidRPr="004759D8" w:rsidRDefault="004759D8" w:rsidP="004759D8"/>
    <w:p w:rsidR="004759D8" w:rsidRPr="004759D8" w:rsidRDefault="004759D8" w:rsidP="004759D8"/>
    <w:p w:rsidR="004759D8" w:rsidRDefault="004759D8" w:rsidP="004759D8"/>
    <w:p w:rsidR="0081263C" w:rsidRDefault="0081263C" w:rsidP="0081263C">
      <w:pPr>
        <w:spacing w:after="0"/>
        <w:rPr>
          <w:rFonts w:cs="Arial"/>
          <w:b/>
          <w:szCs w:val="20"/>
        </w:rPr>
      </w:pPr>
    </w:p>
    <w:p w:rsidR="00106D41" w:rsidRDefault="004D0DF1" w:rsidP="00106D41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Graf 7</w:t>
      </w:r>
      <w:r w:rsidR="00106D41" w:rsidRPr="00091A5B">
        <w:rPr>
          <w:rFonts w:cs="Arial"/>
          <w:b/>
          <w:szCs w:val="20"/>
        </w:rPr>
        <w:t xml:space="preserve"> </w:t>
      </w:r>
      <w:r w:rsidR="00106D41" w:rsidRPr="00106D41">
        <w:rPr>
          <w:rFonts w:cs="Arial"/>
          <w:b/>
          <w:szCs w:val="20"/>
        </w:rPr>
        <w:t>Objem vnitřního stěhování podle druhu stěhování v letech 2005–2017 (v %)</w:t>
      </w:r>
    </w:p>
    <w:p w:rsidR="00106D41" w:rsidRDefault="00003075" w:rsidP="00FC75C9">
      <w:pPr>
        <w:spacing w:after="60"/>
        <w:rPr>
          <w:rFonts w:cs="Arial"/>
          <w:b/>
          <w:szCs w:val="20"/>
        </w:rPr>
      </w:pPr>
      <w:r w:rsidRPr="00003075">
        <w:rPr>
          <w:noProof/>
        </w:rPr>
        <w:drawing>
          <wp:anchor distT="0" distB="0" distL="114300" distR="114300" simplePos="0" relativeHeight="251676160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429250" cy="2886075"/>
            <wp:effectExtent l="0" t="0" r="0" b="9525"/>
            <wp:wrapNone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06D41" w:rsidRDefault="00106D41" w:rsidP="00FC75C9">
      <w:pPr>
        <w:spacing w:after="60"/>
        <w:rPr>
          <w:rFonts w:cs="Arial"/>
          <w:b/>
          <w:szCs w:val="20"/>
        </w:rPr>
      </w:pPr>
    </w:p>
    <w:p w:rsidR="00106D41" w:rsidRDefault="00106D41" w:rsidP="00FC75C9">
      <w:pPr>
        <w:spacing w:after="60"/>
        <w:rPr>
          <w:rFonts w:cs="Arial"/>
          <w:b/>
          <w:szCs w:val="20"/>
        </w:rPr>
      </w:pPr>
    </w:p>
    <w:p w:rsidR="00106D41" w:rsidRDefault="00106D41" w:rsidP="00FC75C9">
      <w:pPr>
        <w:spacing w:after="60"/>
        <w:rPr>
          <w:rFonts w:cs="Arial"/>
          <w:b/>
          <w:szCs w:val="20"/>
        </w:rPr>
      </w:pPr>
    </w:p>
    <w:p w:rsidR="00106D41" w:rsidRDefault="00106D41" w:rsidP="00FC75C9">
      <w:pPr>
        <w:spacing w:after="60"/>
        <w:rPr>
          <w:rFonts w:cs="Arial"/>
          <w:b/>
          <w:szCs w:val="20"/>
        </w:rPr>
      </w:pPr>
    </w:p>
    <w:p w:rsidR="00106D41" w:rsidRDefault="00106D41" w:rsidP="00FC75C9">
      <w:pPr>
        <w:spacing w:after="60"/>
        <w:rPr>
          <w:rFonts w:cs="Arial"/>
          <w:b/>
          <w:szCs w:val="20"/>
        </w:rPr>
      </w:pPr>
    </w:p>
    <w:p w:rsidR="00106D41" w:rsidRDefault="00106D41" w:rsidP="00FC75C9">
      <w:pPr>
        <w:spacing w:after="60"/>
        <w:rPr>
          <w:rFonts w:cs="Arial"/>
          <w:b/>
          <w:szCs w:val="20"/>
        </w:rPr>
      </w:pPr>
    </w:p>
    <w:p w:rsidR="00106D41" w:rsidRDefault="00106D41" w:rsidP="00FC75C9">
      <w:pPr>
        <w:spacing w:after="60"/>
        <w:rPr>
          <w:rFonts w:cs="Arial"/>
          <w:b/>
          <w:szCs w:val="20"/>
        </w:rPr>
      </w:pPr>
    </w:p>
    <w:p w:rsidR="00106D41" w:rsidRDefault="00106D41" w:rsidP="00FC75C9">
      <w:pPr>
        <w:spacing w:after="60"/>
        <w:rPr>
          <w:rFonts w:cs="Arial"/>
          <w:b/>
          <w:szCs w:val="20"/>
        </w:rPr>
      </w:pPr>
    </w:p>
    <w:p w:rsidR="00106D41" w:rsidRDefault="00106D41" w:rsidP="00FC75C9">
      <w:pPr>
        <w:spacing w:after="60"/>
        <w:rPr>
          <w:rFonts w:cs="Arial"/>
          <w:b/>
          <w:szCs w:val="20"/>
        </w:rPr>
      </w:pPr>
    </w:p>
    <w:p w:rsidR="00106D41" w:rsidRDefault="00106D41" w:rsidP="00FC75C9">
      <w:pPr>
        <w:spacing w:after="60"/>
        <w:rPr>
          <w:rFonts w:cs="Arial"/>
          <w:b/>
          <w:szCs w:val="20"/>
        </w:rPr>
      </w:pPr>
    </w:p>
    <w:p w:rsidR="00106D41" w:rsidRDefault="00106D41" w:rsidP="00FC75C9">
      <w:pPr>
        <w:spacing w:after="60"/>
        <w:rPr>
          <w:rFonts w:cs="Arial"/>
          <w:b/>
          <w:szCs w:val="20"/>
        </w:rPr>
      </w:pPr>
    </w:p>
    <w:p w:rsidR="00106D41" w:rsidRDefault="00106D41" w:rsidP="00FC75C9">
      <w:pPr>
        <w:spacing w:after="60"/>
        <w:rPr>
          <w:rFonts w:cs="Arial"/>
          <w:b/>
          <w:szCs w:val="20"/>
        </w:rPr>
      </w:pPr>
    </w:p>
    <w:p w:rsidR="00106D41" w:rsidRDefault="00106D41" w:rsidP="00FC75C9">
      <w:pPr>
        <w:spacing w:after="60"/>
        <w:rPr>
          <w:rFonts w:cs="Arial"/>
          <w:b/>
          <w:szCs w:val="20"/>
        </w:rPr>
      </w:pPr>
    </w:p>
    <w:p w:rsidR="00106D41" w:rsidRPr="00EE7B85" w:rsidRDefault="00EE7B85" w:rsidP="004857DE">
      <w:pPr>
        <w:spacing w:after="0"/>
        <w:rPr>
          <w:rFonts w:cs="Arial"/>
          <w:szCs w:val="20"/>
        </w:rPr>
      </w:pPr>
      <w:r>
        <w:rPr>
          <w:rFonts w:cs="Arial"/>
          <w:szCs w:val="20"/>
        </w:rPr>
        <w:t>Zastoupení druhů stěhování na celkovém objemu se ve sledovaném období výrazně nezměnilo</w:t>
      </w:r>
      <w:r w:rsidR="007C0AA1">
        <w:rPr>
          <w:rFonts w:cs="Arial"/>
          <w:szCs w:val="20"/>
        </w:rPr>
        <w:t xml:space="preserve"> (Graf 7</w:t>
      </w:r>
      <w:r w:rsidR="008E754A">
        <w:rPr>
          <w:rFonts w:cs="Arial"/>
          <w:szCs w:val="20"/>
        </w:rPr>
        <w:t>)</w:t>
      </w:r>
      <w:r>
        <w:rPr>
          <w:rFonts w:cs="Arial"/>
          <w:szCs w:val="20"/>
        </w:rPr>
        <w:t xml:space="preserve">. Podíl mezikrajského stěhování (které probíhá v průměru na delší vzdálenost než </w:t>
      </w:r>
      <w:proofErr w:type="spellStart"/>
      <w:r>
        <w:rPr>
          <w:rFonts w:cs="Arial"/>
          <w:szCs w:val="20"/>
        </w:rPr>
        <w:t>vnitrokrajské</w:t>
      </w:r>
      <w:proofErr w:type="spellEnd"/>
      <w:r>
        <w:rPr>
          <w:rFonts w:cs="Arial"/>
          <w:szCs w:val="20"/>
        </w:rPr>
        <w:t xml:space="preserve"> stěhování) se pohyboval v rozmezí 34,8 % až 39,4 %, přičemž nejvyšších hodnot bylo dosaženo v letech </w:t>
      </w:r>
      <w:r w:rsidR="008E754A">
        <w:rPr>
          <w:rFonts w:cs="Arial"/>
          <w:szCs w:val="20"/>
        </w:rPr>
        <w:t xml:space="preserve">2008 a 2009 (lehce přes 39,0 %) a nejnižších (do 35,0 %) v letech 2013–2014. </w:t>
      </w:r>
      <w:r>
        <w:rPr>
          <w:rFonts w:cs="Arial"/>
          <w:szCs w:val="20"/>
        </w:rPr>
        <w:t xml:space="preserve">Podíl meziokresního stěhování v rámci kraje byl mezi 18,7 % až 21,3 % s nejnižšími hodnotami do 19,0 % v letech 2005 až 2008 a s nejvyšší </w:t>
      </w:r>
      <w:r>
        <w:rPr>
          <w:rFonts w:cs="Arial"/>
          <w:szCs w:val="20"/>
        </w:rPr>
        <w:lastRenderedPageBreak/>
        <w:t xml:space="preserve">hodnotou v roce 2017. </w:t>
      </w:r>
      <w:proofErr w:type="spellStart"/>
      <w:r w:rsidR="0043641D">
        <w:rPr>
          <w:rFonts w:cs="Arial"/>
          <w:szCs w:val="20"/>
        </w:rPr>
        <w:t>Meziobecní</w:t>
      </w:r>
      <w:proofErr w:type="spellEnd"/>
      <w:r w:rsidR="0043641D">
        <w:rPr>
          <w:rFonts w:cs="Arial"/>
          <w:szCs w:val="20"/>
        </w:rPr>
        <w:t xml:space="preserve"> stěhování v rámci okresu se na celkovém objemu vnitřního stěhování </w:t>
      </w:r>
      <w:proofErr w:type="gramStart"/>
      <w:r w:rsidR="0043641D">
        <w:rPr>
          <w:rFonts w:cs="Arial"/>
          <w:szCs w:val="20"/>
        </w:rPr>
        <w:t xml:space="preserve">podílelo z </w:t>
      </w:r>
      <w:r>
        <w:rPr>
          <w:rFonts w:cs="Arial"/>
          <w:szCs w:val="20"/>
        </w:rPr>
        <w:t>41,3</w:t>
      </w:r>
      <w:proofErr w:type="gramEnd"/>
      <w:r>
        <w:rPr>
          <w:rFonts w:cs="Arial"/>
          <w:szCs w:val="20"/>
        </w:rPr>
        <w:t xml:space="preserve"> %</w:t>
      </w:r>
      <w:r w:rsidR="0043641D">
        <w:rPr>
          <w:rFonts w:cs="Arial"/>
          <w:szCs w:val="20"/>
        </w:rPr>
        <w:t xml:space="preserve"> až</w:t>
      </w:r>
      <w:r>
        <w:rPr>
          <w:rFonts w:cs="Arial"/>
          <w:szCs w:val="20"/>
        </w:rPr>
        <w:t xml:space="preserve"> 45,6 %</w:t>
      </w:r>
      <w:r w:rsidR="0043641D">
        <w:rPr>
          <w:rFonts w:cs="Arial"/>
          <w:szCs w:val="20"/>
        </w:rPr>
        <w:t>.</w:t>
      </w:r>
      <w:r w:rsidR="00C86793">
        <w:rPr>
          <w:rFonts w:cs="Arial"/>
          <w:szCs w:val="20"/>
        </w:rPr>
        <w:t xml:space="preserve"> Nejméně a to do 42,0 % </w:t>
      </w:r>
      <w:r w:rsidR="0043641D">
        <w:rPr>
          <w:rFonts w:cs="Arial"/>
          <w:szCs w:val="20"/>
        </w:rPr>
        <w:t xml:space="preserve">v letech 2008–2010 a nejvíce (45,6 %) v roce 2005. </w:t>
      </w:r>
    </w:p>
    <w:p w:rsidR="0081263C" w:rsidRDefault="0081263C" w:rsidP="008E754A">
      <w:pPr>
        <w:spacing w:after="0"/>
      </w:pPr>
    </w:p>
    <w:p w:rsidR="004857DE" w:rsidRDefault="004857DE" w:rsidP="00A018F8">
      <w:r>
        <w:t>Objem vnitřního stěhování cizinců se výrazně měnil</w:t>
      </w:r>
      <w:r w:rsidR="007C0AA1">
        <w:t xml:space="preserve"> (Graf 8</w:t>
      </w:r>
      <w:r w:rsidR="00815FEC">
        <w:t>)</w:t>
      </w:r>
      <w:r>
        <w:t>. V roce 2005 šlo o 17 933 případů stěhování, následoval výrazný nárůst až na 45 755 v</w:t>
      </w:r>
      <w:r w:rsidR="00A12E2A">
        <w:t> roce 2007. Na hodnotách přes 40</w:t>
      </w:r>
      <w:r>
        <w:t xml:space="preserve"> tisíc se objem držel ještě v letech 2008 a 2009. Poté došlo k výraznému poklesu a v posledních pěti letech se pohybuje okolo 19 tisíc.</w:t>
      </w:r>
      <w:r w:rsidR="00815FEC">
        <w:t xml:space="preserve"> Podíl stěhování cizinců na celkovém objemu stěhování měl podobný vývoj. Narostl z 8,4 % v roce 2005 na 17,8 % v roce 2009 a vzápětí došlo ke snížení podílu na hodnoty okolo 8,0 % v poslední pětiletce.</w:t>
      </w:r>
      <w:r w:rsidR="008C7D37">
        <w:t xml:space="preserve"> Za nárůstem celkového objemu vnitřního stěhování o 42 001 mezi roky 2005 a 2007 tedy mohou z 59,1 % cizinci, protože mezi nimi narostl objem </w:t>
      </w:r>
      <w:r w:rsidR="00C86793">
        <w:t xml:space="preserve">vnitřní migrace </w:t>
      </w:r>
      <w:r w:rsidR="008C7D37">
        <w:t xml:space="preserve">ve </w:t>
      </w:r>
      <w:r w:rsidR="00C86793">
        <w:t>stejném období o 24 822 případů.</w:t>
      </w:r>
    </w:p>
    <w:p w:rsidR="004857DE" w:rsidRDefault="004D0DF1" w:rsidP="004857DE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Graf 8</w:t>
      </w:r>
      <w:r w:rsidR="004857DE" w:rsidRPr="00091A5B">
        <w:rPr>
          <w:rFonts w:cs="Arial"/>
          <w:b/>
          <w:szCs w:val="20"/>
        </w:rPr>
        <w:t xml:space="preserve"> </w:t>
      </w:r>
      <w:r w:rsidR="004857DE">
        <w:rPr>
          <w:rFonts w:cs="Arial"/>
          <w:b/>
          <w:szCs w:val="20"/>
        </w:rPr>
        <w:t>Objem vnitřního stěhování cizinců v letech 2005–2017</w:t>
      </w:r>
    </w:p>
    <w:p w:rsidR="004857DE" w:rsidRDefault="004857DE" w:rsidP="004857DE">
      <w:pPr>
        <w:tabs>
          <w:tab w:val="left" w:pos="1740"/>
        </w:tabs>
      </w:pPr>
      <w:r w:rsidRPr="00183CA7">
        <w:rPr>
          <w:noProof/>
        </w:rPr>
        <w:drawing>
          <wp:anchor distT="0" distB="0" distL="114300" distR="114300" simplePos="0" relativeHeight="251697664" behindDoc="1" locked="0" layoutInCell="1" allowOverlap="1" wp14:anchorId="496DB50C" wp14:editId="10C776DD">
            <wp:simplePos x="0" y="0"/>
            <wp:positionH relativeFrom="column">
              <wp:posOffset>3810</wp:posOffset>
            </wp:positionH>
            <wp:positionV relativeFrom="paragraph">
              <wp:posOffset>-3810</wp:posOffset>
            </wp:positionV>
            <wp:extent cx="5400675" cy="2886075"/>
            <wp:effectExtent l="0" t="0" r="9525" b="9525"/>
            <wp:wrapNone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263C" w:rsidRPr="008E754A" w:rsidRDefault="0081263C" w:rsidP="00FC75C9">
      <w:pPr>
        <w:spacing w:after="60"/>
        <w:rPr>
          <w:rFonts w:cs="Arial"/>
          <w:szCs w:val="20"/>
        </w:rPr>
      </w:pPr>
    </w:p>
    <w:p w:rsidR="0081263C" w:rsidRDefault="0081263C" w:rsidP="00FC75C9">
      <w:pPr>
        <w:spacing w:after="60"/>
        <w:rPr>
          <w:rFonts w:cs="Arial"/>
          <w:b/>
          <w:szCs w:val="20"/>
        </w:rPr>
      </w:pPr>
    </w:p>
    <w:p w:rsidR="0081263C" w:rsidRDefault="0081263C" w:rsidP="00FC75C9">
      <w:pPr>
        <w:spacing w:after="60"/>
        <w:rPr>
          <w:rFonts w:cs="Arial"/>
          <w:b/>
          <w:szCs w:val="20"/>
        </w:rPr>
      </w:pPr>
    </w:p>
    <w:p w:rsidR="00106D41" w:rsidRDefault="00106D41" w:rsidP="00FC75C9">
      <w:pPr>
        <w:spacing w:after="60"/>
        <w:rPr>
          <w:rFonts w:cs="Arial"/>
          <w:b/>
          <w:szCs w:val="20"/>
        </w:rPr>
      </w:pPr>
    </w:p>
    <w:p w:rsidR="00106D41" w:rsidRDefault="00106D41" w:rsidP="00FC75C9">
      <w:pPr>
        <w:spacing w:after="60"/>
        <w:rPr>
          <w:rFonts w:cs="Arial"/>
          <w:b/>
          <w:szCs w:val="20"/>
        </w:rPr>
      </w:pPr>
    </w:p>
    <w:p w:rsidR="004857DE" w:rsidRDefault="004857DE" w:rsidP="00FC75C9">
      <w:pPr>
        <w:spacing w:after="60"/>
        <w:rPr>
          <w:rFonts w:cs="Arial"/>
          <w:b/>
          <w:szCs w:val="20"/>
        </w:rPr>
      </w:pPr>
    </w:p>
    <w:p w:rsidR="004857DE" w:rsidRDefault="004857DE" w:rsidP="00FC75C9">
      <w:pPr>
        <w:spacing w:after="60"/>
        <w:rPr>
          <w:rFonts w:cs="Arial"/>
          <w:b/>
          <w:szCs w:val="20"/>
        </w:rPr>
      </w:pPr>
    </w:p>
    <w:p w:rsidR="004857DE" w:rsidRDefault="004857DE" w:rsidP="00FC75C9">
      <w:pPr>
        <w:spacing w:after="60"/>
        <w:rPr>
          <w:rFonts w:cs="Arial"/>
          <w:b/>
          <w:szCs w:val="20"/>
        </w:rPr>
      </w:pPr>
    </w:p>
    <w:p w:rsidR="004857DE" w:rsidRDefault="004857DE" w:rsidP="00FC75C9">
      <w:pPr>
        <w:spacing w:after="60"/>
        <w:rPr>
          <w:rFonts w:cs="Arial"/>
          <w:b/>
          <w:szCs w:val="20"/>
        </w:rPr>
      </w:pPr>
    </w:p>
    <w:p w:rsidR="004857DE" w:rsidRDefault="004857DE" w:rsidP="00FC75C9">
      <w:pPr>
        <w:spacing w:after="60"/>
        <w:rPr>
          <w:rFonts w:cs="Arial"/>
          <w:b/>
          <w:szCs w:val="20"/>
        </w:rPr>
      </w:pPr>
    </w:p>
    <w:p w:rsidR="004857DE" w:rsidRDefault="004857DE" w:rsidP="00FC75C9">
      <w:pPr>
        <w:spacing w:after="60"/>
        <w:rPr>
          <w:rFonts w:cs="Arial"/>
          <w:b/>
          <w:szCs w:val="20"/>
        </w:rPr>
      </w:pPr>
    </w:p>
    <w:p w:rsidR="004857DE" w:rsidRDefault="004857DE" w:rsidP="00FC75C9">
      <w:pPr>
        <w:spacing w:after="60"/>
        <w:rPr>
          <w:rFonts w:cs="Arial"/>
          <w:b/>
          <w:szCs w:val="20"/>
        </w:rPr>
      </w:pPr>
    </w:p>
    <w:p w:rsidR="004857DE" w:rsidRDefault="004857DE" w:rsidP="00FC75C9">
      <w:pPr>
        <w:spacing w:after="60"/>
        <w:rPr>
          <w:rFonts w:cs="Arial"/>
          <w:b/>
          <w:szCs w:val="20"/>
        </w:rPr>
      </w:pPr>
    </w:p>
    <w:p w:rsidR="00FC75C9" w:rsidRDefault="004D0DF1" w:rsidP="00FC75C9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Graf 9</w:t>
      </w:r>
      <w:r w:rsidR="00FC75C9" w:rsidRPr="00091A5B">
        <w:rPr>
          <w:rFonts w:cs="Arial"/>
          <w:b/>
          <w:szCs w:val="20"/>
        </w:rPr>
        <w:t xml:space="preserve"> </w:t>
      </w:r>
      <w:r w:rsidR="00FC75C9">
        <w:rPr>
          <w:rFonts w:cs="Arial"/>
          <w:b/>
          <w:szCs w:val="20"/>
        </w:rPr>
        <w:t>Objem vnitřní</w:t>
      </w:r>
      <w:r w:rsidR="00183CA7">
        <w:rPr>
          <w:rFonts w:cs="Arial"/>
          <w:b/>
          <w:szCs w:val="20"/>
        </w:rPr>
        <w:t>ho</w:t>
      </w:r>
      <w:r w:rsidR="00FC75C9">
        <w:rPr>
          <w:rFonts w:cs="Arial"/>
          <w:b/>
          <w:szCs w:val="20"/>
        </w:rPr>
        <w:t xml:space="preserve"> </w:t>
      </w:r>
      <w:r w:rsidR="00183CA7">
        <w:rPr>
          <w:rFonts w:cs="Arial"/>
          <w:b/>
          <w:szCs w:val="20"/>
        </w:rPr>
        <w:t xml:space="preserve">stěhování </w:t>
      </w:r>
      <w:r w:rsidR="00FC75C9">
        <w:rPr>
          <w:rFonts w:cs="Arial"/>
          <w:b/>
          <w:szCs w:val="20"/>
        </w:rPr>
        <w:t>občanů ČR a Ukrajiny v letech 2005–2017</w:t>
      </w:r>
    </w:p>
    <w:p w:rsidR="00FC75C9" w:rsidRDefault="00997355" w:rsidP="00FC75C9">
      <w:pPr>
        <w:spacing w:after="60"/>
        <w:rPr>
          <w:rFonts w:cs="Arial"/>
          <w:b/>
          <w:szCs w:val="20"/>
        </w:rPr>
      </w:pPr>
      <w:r w:rsidRPr="00997355">
        <w:rPr>
          <w:noProof/>
        </w:rPr>
        <w:drawing>
          <wp:anchor distT="0" distB="0" distL="114300" distR="114300" simplePos="0" relativeHeight="25170278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635</wp:posOffset>
            </wp:positionV>
            <wp:extent cx="5400675" cy="2886075"/>
            <wp:effectExtent l="0" t="0" r="9525" b="9525"/>
            <wp:wrapNone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C75C9" w:rsidRDefault="00FC75C9" w:rsidP="00FC75C9">
      <w:pPr>
        <w:spacing w:after="60"/>
        <w:rPr>
          <w:rFonts w:cs="Arial"/>
          <w:b/>
          <w:szCs w:val="20"/>
        </w:rPr>
      </w:pPr>
    </w:p>
    <w:p w:rsidR="00FC75C9" w:rsidRDefault="00FC75C9" w:rsidP="002C4ACB">
      <w:pPr>
        <w:spacing w:after="60"/>
        <w:rPr>
          <w:rFonts w:cs="Arial"/>
          <w:b/>
          <w:szCs w:val="20"/>
        </w:rPr>
      </w:pPr>
    </w:p>
    <w:p w:rsidR="00FC75C9" w:rsidRDefault="00FC75C9" w:rsidP="002C4ACB">
      <w:pPr>
        <w:spacing w:after="60"/>
        <w:rPr>
          <w:rFonts w:cs="Arial"/>
          <w:b/>
          <w:szCs w:val="20"/>
        </w:rPr>
      </w:pPr>
    </w:p>
    <w:p w:rsidR="00FC75C9" w:rsidRDefault="00FC75C9" w:rsidP="002C4ACB">
      <w:pPr>
        <w:spacing w:after="60"/>
        <w:rPr>
          <w:rFonts w:cs="Arial"/>
          <w:b/>
          <w:szCs w:val="20"/>
        </w:rPr>
      </w:pPr>
    </w:p>
    <w:p w:rsidR="00FC75C9" w:rsidRDefault="00FC75C9" w:rsidP="002C4ACB">
      <w:pPr>
        <w:spacing w:after="60"/>
        <w:rPr>
          <w:rFonts w:cs="Arial"/>
          <w:b/>
          <w:szCs w:val="20"/>
        </w:rPr>
      </w:pPr>
    </w:p>
    <w:p w:rsidR="00FC75C9" w:rsidRDefault="00FC75C9" w:rsidP="002C4ACB">
      <w:pPr>
        <w:spacing w:after="60"/>
        <w:rPr>
          <w:rFonts w:cs="Arial"/>
          <w:b/>
          <w:szCs w:val="20"/>
        </w:rPr>
      </w:pPr>
    </w:p>
    <w:p w:rsidR="00FC75C9" w:rsidRDefault="00FC75C9" w:rsidP="002C4ACB">
      <w:pPr>
        <w:spacing w:after="60"/>
        <w:rPr>
          <w:rFonts w:cs="Arial"/>
          <w:b/>
          <w:szCs w:val="20"/>
        </w:rPr>
      </w:pPr>
    </w:p>
    <w:p w:rsidR="00FC75C9" w:rsidRDefault="00FC75C9" w:rsidP="002C4ACB">
      <w:pPr>
        <w:spacing w:after="60"/>
        <w:rPr>
          <w:rFonts w:cs="Arial"/>
          <w:b/>
          <w:szCs w:val="20"/>
        </w:rPr>
      </w:pPr>
    </w:p>
    <w:p w:rsidR="00FC75C9" w:rsidRDefault="00FC75C9" w:rsidP="002C4ACB">
      <w:pPr>
        <w:spacing w:after="60"/>
        <w:rPr>
          <w:rFonts w:cs="Arial"/>
          <w:b/>
          <w:szCs w:val="20"/>
        </w:rPr>
      </w:pPr>
    </w:p>
    <w:p w:rsidR="00FC75C9" w:rsidRDefault="00FC75C9" w:rsidP="002C4ACB">
      <w:pPr>
        <w:spacing w:after="60"/>
        <w:rPr>
          <w:rFonts w:cs="Arial"/>
          <w:b/>
          <w:szCs w:val="20"/>
        </w:rPr>
      </w:pPr>
    </w:p>
    <w:p w:rsidR="00FC75C9" w:rsidRDefault="00FC75C9" w:rsidP="002C4ACB">
      <w:pPr>
        <w:spacing w:after="60"/>
        <w:rPr>
          <w:rFonts w:cs="Arial"/>
          <w:b/>
          <w:szCs w:val="20"/>
        </w:rPr>
      </w:pPr>
    </w:p>
    <w:p w:rsidR="00FC75C9" w:rsidRDefault="00FC75C9" w:rsidP="002C4ACB">
      <w:pPr>
        <w:spacing w:after="60"/>
        <w:rPr>
          <w:rFonts w:cs="Arial"/>
          <w:b/>
          <w:szCs w:val="20"/>
        </w:rPr>
      </w:pPr>
    </w:p>
    <w:p w:rsidR="00FC75C9" w:rsidRDefault="00FC75C9" w:rsidP="002C4ACB">
      <w:pPr>
        <w:spacing w:after="60"/>
        <w:rPr>
          <w:rFonts w:cs="Arial"/>
          <w:b/>
          <w:szCs w:val="20"/>
        </w:rPr>
      </w:pPr>
    </w:p>
    <w:p w:rsidR="00FC75C9" w:rsidRPr="00BE71D0" w:rsidRDefault="00BE71D0" w:rsidP="00A018F8">
      <w:pPr>
        <w:spacing w:after="0"/>
        <w:rPr>
          <w:rFonts w:cs="Arial"/>
          <w:szCs w:val="20"/>
        </w:rPr>
      </w:pPr>
      <w:r w:rsidRPr="00BE71D0">
        <w:rPr>
          <w:rFonts w:cs="Arial"/>
          <w:szCs w:val="20"/>
        </w:rPr>
        <w:t>Z</w:t>
      </w:r>
      <w:r>
        <w:rPr>
          <w:rFonts w:cs="Arial"/>
          <w:szCs w:val="20"/>
        </w:rPr>
        <w:t xml:space="preserve"> jednotlivých státních příslušníků se na objemu vnitřní migrace cizinců nejvíce podíleli Ukrajinci (za celé </w:t>
      </w:r>
      <w:proofErr w:type="gramStart"/>
      <w:r>
        <w:rPr>
          <w:rFonts w:cs="Arial"/>
          <w:szCs w:val="20"/>
        </w:rPr>
        <w:t>období z 42,4</w:t>
      </w:r>
      <w:proofErr w:type="gramEnd"/>
      <w:r>
        <w:rPr>
          <w:rFonts w:cs="Arial"/>
          <w:szCs w:val="20"/>
        </w:rPr>
        <w:t xml:space="preserve"> %). </w:t>
      </w:r>
      <w:r w:rsidR="001F3D79">
        <w:rPr>
          <w:rFonts w:cs="Arial"/>
          <w:szCs w:val="20"/>
        </w:rPr>
        <w:t>Nejvíce případů stěhování Ukrajinců bylo v letech 200</w:t>
      </w:r>
      <w:r w:rsidR="007C0AA1">
        <w:rPr>
          <w:rFonts w:cs="Arial"/>
          <w:szCs w:val="20"/>
        </w:rPr>
        <w:t>7 a 2008 (okolo 23 tisíc; Graf 9</w:t>
      </w:r>
      <w:r w:rsidR="001F3D79">
        <w:rPr>
          <w:rFonts w:cs="Arial"/>
          <w:szCs w:val="20"/>
        </w:rPr>
        <w:t xml:space="preserve">). </w:t>
      </w:r>
      <w:r w:rsidR="006B587B">
        <w:rPr>
          <w:rFonts w:cs="Arial"/>
          <w:szCs w:val="20"/>
        </w:rPr>
        <w:t>V dalších letech pravděpodobně v souvislosti s ekonomickou krizí počty výrazně klesaly. V letech 2014–</w:t>
      </w:r>
      <w:r w:rsidR="006B587B">
        <w:rPr>
          <w:rFonts w:cs="Arial"/>
          <w:szCs w:val="20"/>
        </w:rPr>
        <w:lastRenderedPageBreak/>
        <w:t>2017 nepřekonaly ani hranici 5 tisíc, tedy výrazně nižší hodnotu než na začátku sledovaného období. Další početnou sub-populací s častými migračními pohyby uvnitř území státu byli Vietnamci (za celé období tvořili 21,3 % ze všech migračních pohybů cizinců; Přílohová tabulka 8) a Slováci (9,4 %).</w:t>
      </w:r>
      <w:r w:rsidR="00E915A3">
        <w:rPr>
          <w:rFonts w:cs="Arial"/>
          <w:szCs w:val="20"/>
        </w:rPr>
        <w:t xml:space="preserve"> </w:t>
      </w:r>
      <w:r w:rsidR="006B587B">
        <w:rPr>
          <w:rFonts w:cs="Arial"/>
          <w:szCs w:val="20"/>
        </w:rPr>
        <w:t xml:space="preserve">    </w:t>
      </w:r>
      <w:r>
        <w:rPr>
          <w:rFonts w:cs="Arial"/>
          <w:szCs w:val="20"/>
        </w:rPr>
        <w:t xml:space="preserve"> </w:t>
      </w:r>
    </w:p>
    <w:p w:rsidR="00240EDD" w:rsidRDefault="00240EDD" w:rsidP="00E915A3">
      <w:pPr>
        <w:spacing w:after="0"/>
        <w:rPr>
          <w:rFonts w:cs="Arial"/>
          <w:b/>
          <w:szCs w:val="20"/>
        </w:rPr>
      </w:pPr>
    </w:p>
    <w:p w:rsidR="00E915A3" w:rsidRPr="006B7663" w:rsidRDefault="006B7663" w:rsidP="002C4ACB">
      <w:pPr>
        <w:spacing w:after="60"/>
        <w:rPr>
          <w:rFonts w:cs="Arial"/>
          <w:szCs w:val="20"/>
        </w:rPr>
      </w:pPr>
      <w:r>
        <w:rPr>
          <w:rFonts w:cs="Arial"/>
          <w:szCs w:val="20"/>
        </w:rPr>
        <w:t>Počty pří</w:t>
      </w:r>
      <w:r w:rsidR="007C0AA1">
        <w:rPr>
          <w:rFonts w:cs="Arial"/>
          <w:szCs w:val="20"/>
        </w:rPr>
        <w:t>padů stěhování občanů ČR (Graf 9</w:t>
      </w:r>
      <w:r>
        <w:rPr>
          <w:rFonts w:cs="Arial"/>
          <w:szCs w:val="20"/>
        </w:rPr>
        <w:t>) sice kopírují trendy jako u všech obyvatel ČR s růstem mezi roky 2005 a 2007 a následným poklesem, minima ale bylo dosaženo už v roce 2009 a od té doby objem vnitřní migrace u občanů ČR každoročně rostl až do roku 2016. V posledním roce došlo k mírnému poklesu.</w:t>
      </w:r>
      <w:r w:rsidR="00EB37C9">
        <w:rPr>
          <w:rFonts w:cs="Arial"/>
          <w:szCs w:val="20"/>
        </w:rPr>
        <w:t xml:space="preserve"> Od roku 2012 je však objem vnitřní migrace vyšší než v roce 2007</w:t>
      </w:r>
      <w:r w:rsidR="00C47FFB">
        <w:rPr>
          <w:rFonts w:cs="Arial"/>
          <w:szCs w:val="20"/>
        </w:rPr>
        <w:t xml:space="preserve"> a maximální hodnota</w:t>
      </w:r>
      <w:r w:rsidR="00EB37C9">
        <w:rPr>
          <w:rFonts w:cs="Arial"/>
          <w:szCs w:val="20"/>
        </w:rPr>
        <w:t xml:space="preserve"> 231 651 </w:t>
      </w:r>
      <w:r w:rsidR="00C47FFB">
        <w:rPr>
          <w:rFonts w:cs="Arial"/>
          <w:szCs w:val="20"/>
        </w:rPr>
        <w:t>byla</w:t>
      </w:r>
      <w:r w:rsidR="00EB37C9">
        <w:rPr>
          <w:rFonts w:cs="Arial"/>
          <w:szCs w:val="20"/>
        </w:rPr>
        <w:t xml:space="preserve"> </w:t>
      </w:r>
      <w:r w:rsidR="00C47FFB">
        <w:rPr>
          <w:rFonts w:cs="Arial"/>
          <w:szCs w:val="20"/>
        </w:rPr>
        <w:t>evidována</w:t>
      </w:r>
      <w:r w:rsidR="00EB37C9">
        <w:rPr>
          <w:rFonts w:cs="Arial"/>
          <w:szCs w:val="20"/>
        </w:rPr>
        <w:t xml:space="preserve"> v roce </w:t>
      </w:r>
      <w:r w:rsidR="00C47FFB">
        <w:rPr>
          <w:rFonts w:cs="Arial"/>
          <w:szCs w:val="20"/>
        </w:rPr>
        <w:t xml:space="preserve">2016, zatímco u </w:t>
      </w:r>
      <w:r w:rsidR="00EE4EE1">
        <w:rPr>
          <w:rFonts w:cs="Arial"/>
          <w:szCs w:val="20"/>
        </w:rPr>
        <w:t>stěhování</w:t>
      </w:r>
      <w:r w:rsidR="00C47FFB">
        <w:rPr>
          <w:rFonts w:cs="Arial"/>
          <w:szCs w:val="20"/>
        </w:rPr>
        <w:t xml:space="preserve"> bez rozlišení občanství to bylo v roce 2007.</w:t>
      </w:r>
      <w:r w:rsidR="00EE4EE1">
        <w:rPr>
          <w:rFonts w:cs="Arial"/>
          <w:szCs w:val="20"/>
        </w:rPr>
        <w:t xml:space="preserve"> Současný nižší objem vnitřní migrace než v roce 2007 je tak způsoben menším počtem případů stěhování u cizinců. </w:t>
      </w:r>
      <w:r w:rsidR="00EB37C9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 xml:space="preserve">   </w:t>
      </w:r>
    </w:p>
    <w:p w:rsidR="00EE4EE1" w:rsidRPr="00EE4EE1" w:rsidRDefault="00EE4EE1" w:rsidP="00EE4EE1">
      <w:pPr>
        <w:spacing w:after="0"/>
        <w:rPr>
          <w:rFonts w:cs="Arial"/>
          <w:b/>
          <w:szCs w:val="20"/>
        </w:rPr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8C52BF" w:rsidRDefault="008C52BF" w:rsidP="00240EDD">
      <w:pPr>
        <w:pStyle w:val="Nadpis1"/>
      </w:pPr>
    </w:p>
    <w:p w:rsidR="00240EDD" w:rsidRPr="006F5416" w:rsidRDefault="00240EDD" w:rsidP="00240EDD">
      <w:pPr>
        <w:pStyle w:val="Nadpis1"/>
      </w:pPr>
      <w:bookmarkStart w:id="4" w:name="_Toc531859774"/>
      <w:r>
        <w:lastRenderedPageBreak/>
        <w:t>3. Mezikrajské stěhování</w:t>
      </w:r>
      <w:bookmarkEnd w:id="4"/>
    </w:p>
    <w:p w:rsidR="006B7835" w:rsidRPr="006B7835" w:rsidRDefault="00326D8C" w:rsidP="00C93F25">
      <w:pPr>
        <w:rPr>
          <w:rFonts w:cs="Arial"/>
          <w:szCs w:val="20"/>
        </w:rPr>
      </w:pPr>
      <w:r>
        <w:rPr>
          <w:rFonts w:cs="Arial"/>
          <w:szCs w:val="20"/>
        </w:rPr>
        <w:t>Objem mezikrajského stěhování (migrant překračuje hranice kraje) se vyvíjel obdobně jako u objemu celkového stěhování. Mezi roky 2005 a 2007 došlo k </w:t>
      </w:r>
      <w:proofErr w:type="gramStart"/>
      <w:r>
        <w:rPr>
          <w:rFonts w:cs="Arial"/>
          <w:szCs w:val="20"/>
        </w:rPr>
        <w:t>nárůstu z 75 669</w:t>
      </w:r>
      <w:proofErr w:type="gramEnd"/>
      <w:r>
        <w:rPr>
          <w:rFonts w:cs="Arial"/>
          <w:szCs w:val="20"/>
        </w:rPr>
        <w:t xml:space="preserve"> na </w:t>
      </w:r>
      <w:r w:rsidR="007C0AA1">
        <w:rPr>
          <w:rFonts w:cs="Arial"/>
          <w:szCs w:val="20"/>
        </w:rPr>
        <w:t>98 403 případů stěhování (Graf 10</w:t>
      </w:r>
      <w:r>
        <w:rPr>
          <w:rFonts w:cs="Arial"/>
          <w:szCs w:val="20"/>
        </w:rPr>
        <w:t>). Po mírném poklesu v roce 2008 došlo k jeho akceleraci a minima bylo dosaženo v roce 2013 (81 448). Následovaly tři roky růstu na hodnotu 90 493 v roce 2016, které vystřídal drobný pokles na 89 090 případů stěhování v posledním sledovaném roce.</w:t>
      </w:r>
      <w:r w:rsidR="00A0280F">
        <w:rPr>
          <w:rFonts w:cs="Arial"/>
          <w:szCs w:val="20"/>
        </w:rPr>
        <w:t xml:space="preserve"> Podíl mužů na celokrajském stěhování byl zhruba o jeden procentní bod vyšší než u stěhování celkem a pohyboval se v rozmezí </w:t>
      </w:r>
      <w:proofErr w:type="gramStart"/>
      <w:r w:rsidR="00A0280F">
        <w:rPr>
          <w:rFonts w:cs="Arial"/>
          <w:szCs w:val="20"/>
        </w:rPr>
        <w:t>46,7 %–51,2</w:t>
      </w:r>
      <w:proofErr w:type="gramEnd"/>
      <w:r w:rsidR="00A0280F">
        <w:rPr>
          <w:rFonts w:cs="Arial"/>
          <w:szCs w:val="20"/>
        </w:rPr>
        <w:t xml:space="preserve"> %, přičemž vyšší hodnoty nad 50 % byly pozorovány v letech 2007 až 2010.</w:t>
      </w:r>
      <w:r w:rsidR="004209BC">
        <w:rPr>
          <w:rFonts w:cs="Arial"/>
          <w:szCs w:val="20"/>
        </w:rPr>
        <w:t xml:space="preserve"> Od roku 2011 se ovšem i u mezikrajské migrace stěhuje více žen než mužů. </w:t>
      </w:r>
      <w:r w:rsidR="00A0280F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 xml:space="preserve">   </w:t>
      </w:r>
    </w:p>
    <w:p w:rsidR="00D2125D" w:rsidRDefault="00D2125D" w:rsidP="00D2125D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 xml:space="preserve">Graf </w:t>
      </w:r>
      <w:r w:rsidR="003B6020">
        <w:rPr>
          <w:rFonts w:cs="Arial"/>
          <w:b/>
          <w:szCs w:val="20"/>
        </w:rPr>
        <w:t>10</w:t>
      </w:r>
      <w:r w:rsidRPr="00091A5B">
        <w:rPr>
          <w:rFonts w:cs="Arial"/>
          <w:b/>
          <w:szCs w:val="20"/>
        </w:rPr>
        <w:t xml:space="preserve"> </w:t>
      </w:r>
      <w:r>
        <w:rPr>
          <w:rFonts w:cs="Arial"/>
          <w:b/>
          <w:szCs w:val="20"/>
        </w:rPr>
        <w:t>Mezikrajské stěhování</w:t>
      </w:r>
      <w:r w:rsidRPr="00400443">
        <w:rPr>
          <w:rFonts w:cs="Arial"/>
          <w:b/>
          <w:szCs w:val="20"/>
        </w:rPr>
        <w:t xml:space="preserve"> a podíl mužů</w:t>
      </w:r>
      <w:r>
        <w:rPr>
          <w:rFonts w:cs="Arial"/>
          <w:b/>
          <w:szCs w:val="20"/>
        </w:rPr>
        <w:t xml:space="preserve"> (v %)</w:t>
      </w:r>
      <w:r w:rsidRPr="00400443">
        <w:rPr>
          <w:rFonts w:cs="Arial"/>
          <w:b/>
          <w:szCs w:val="20"/>
        </w:rPr>
        <w:t xml:space="preserve"> v letech 2005–2017</w:t>
      </w:r>
    </w:p>
    <w:p w:rsidR="00286992" w:rsidRDefault="006A09EC" w:rsidP="00240EDD">
      <w:pPr>
        <w:tabs>
          <w:tab w:val="left" w:pos="1650"/>
        </w:tabs>
      </w:pPr>
      <w:r w:rsidRPr="006A09EC">
        <w:rPr>
          <w:noProof/>
        </w:rPr>
        <w:drawing>
          <wp:anchor distT="0" distB="0" distL="114300" distR="114300" simplePos="0" relativeHeight="251678208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-1270</wp:posOffset>
            </wp:positionV>
            <wp:extent cx="5400675" cy="2886075"/>
            <wp:effectExtent l="0" t="0" r="9525" b="9525"/>
            <wp:wrapNone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86992" w:rsidRPr="00286992" w:rsidRDefault="00286992" w:rsidP="00286992"/>
    <w:p w:rsidR="00286992" w:rsidRPr="00286992" w:rsidRDefault="00286992" w:rsidP="00286992"/>
    <w:p w:rsidR="00286992" w:rsidRPr="00286992" w:rsidRDefault="00286992" w:rsidP="00286992"/>
    <w:p w:rsidR="00286992" w:rsidRPr="00286992" w:rsidRDefault="00286992" w:rsidP="00286992"/>
    <w:p w:rsidR="00286992" w:rsidRPr="00286992" w:rsidRDefault="00286992" w:rsidP="00286992"/>
    <w:p w:rsidR="00286992" w:rsidRPr="00286992" w:rsidRDefault="00286992" w:rsidP="00286992"/>
    <w:p w:rsidR="00286992" w:rsidRPr="00286992" w:rsidRDefault="00286992" w:rsidP="00286992"/>
    <w:p w:rsidR="00286992" w:rsidRDefault="00286992" w:rsidP="00286992"/>
    <w:p w:rsidR="00F07248" w:rsidRDefault="00F07248" w:rsidP="00F07248">
      <w:pPr>
        <w:spacing w:after="0"/>
        <w:rPr>
          <w:rFonts w:cs="Arial"/>
          <w:b/>
          <w:szCs w:val="20"/>
        </w:rPr>
      </w:pPr>
    </w:p>
    <w:p w:rsidR="00286992" w:rsidRDefault="003E0A39" w:rsidP="00286992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Graf 11</w:t>
      </w:r>
      <w:r w:rsidR="00286992" w:rsidRPr="00091A5B">
        <w:rPr>
          <w:rFonts w:cs="Arial"/>
          <w:b/>
          <w:szCs w:val="20"/>
        </w:rPr>
        <w:t xml:space="preserve"> </w:t>
      </w:r>
      <w:r w:rsidR="00286992" w:rsidRPr="00286992">
        <w:rPr>
          <w:rFonts w:cs="Arial"/>
          <w:b/>
          <w:szCs w:val="20"/>
        </w:rPr>
        <w:t>Mezikrajské stěhování podle věkových skupin v letech 2005–2017 (v %)</w:t>
      </w:r>
    </w:p>
    <w:p w:rsidR="001D3DA3" w:rsidRDefault="0001432B" w:rsidP="00286992">
      <w:pPr>
        <w:spacing w:after="60"/>
      </w:pPr>
      <w:r w:rsidRPr="0001432B">
        <w:rPr>
          <w:noProof/>
        </w:rPr>
        <w:drawing>
          <wp:anchor distT="0" distB="0" distL="114300" distR="114300" simplePos="0" relativeHeight="251704832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3175</wp:posOffset>
            </wp:positionV>
            <wp:extent cx="5429250" cy="2886075"/>
            <wp:effectExtent l="0" t="0" r="0" b="9525"/>
            <wp:wrapNone/>
            <wp:docPr id="4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3DA3" w:rsidRPr="001D3DA3" w:rsidRDefault="001D3DA3" w:rsidP="001D3DA3"/>
    <w:p w:rsidR="001D3DA3" w:rsidRPr="001D3DA3" w:rsidRDefault="001D3DA3" w:rsidP="001D3DA3"/>
    <w:p w:rsidR="001D3DA3" w:rsidRPr="001D3DA3" w:rsidRDefault="001D3DA3" w:rsidP="001D3DA3"/>
    <w:p w:rsidR="001D3DA3" w:rsidRPr="001D3DA3" w:rsidRDefault="001D3DA3" w:rsidP="001D3DA3"/>
    <w:p w:rsidR="001D3DA3" w:rsidRPr="001D3DA3" w:rsidRDefault="001D3DA3" w:rsidP="001D3DA3"/>
    <w:p w:rsidR="001D3DA3" w:rsidRPr="001D3DA3" w:rsidRDefault="001D3DA3" w:rsidP="001D3DA3"/>
    <w:p w:rsidR="001D3DA3" w:rsidRPr="001D3DA3" w:rsidRDefault="001D3DA3" w:rsidP="001D3DA3"/>
    <w:p w:rsidR="001D3DA3" w:rsidRDefault="001D3DA3" w:rsidP="001D3DA3"/>
    <w:p w:rsidR="00F07248" w:rsidRDefault="00F07248" w:rsidP="00F07248">
      <w:pPr>
        <w:tabs>
          <w:tab w:val="left" w:pos="2040"/>
        </w:tabs>
        <w:spacing w:after="0"/>
      </w:pPr>
    </w:p>
    <w:p w:rsidR="00286992" w:rsidRDefault="005E6219" w:rsidP="001D3DA3">
      <w:pPr>
        <w:tabs>
          <w:tab w:val="left" w:pos="2040"/>
        </w:tabs>
      </w:pPr>
      <w:r>
        <w:t xml:space="preserve">Nejčastější věkovou skupinou, která se podílela na mezikrajském stěhování, byli 18–34letí, jejichž podíl ale </w:t>
      </w:r>
      <w:proofErr w:type="gramStart"/>
      <w:r>
        <w:t>poklesl z 47,5</w:t>
      </w:r>
      <w:proofErr w:type="gramEnd"/>
      <w:r>
        <w:t xml:space="preserve"> % v roce 2005 na 38,0 % o dvanáct let později. Děti do 17 let byli zastoupeni z 23,7 % v posledním sledovaném roce při nárůstu podílu z 18,7 % v roce 2005. Rostlo i zastoupení osob ve věku </w:t>
      </w:r>
      <w:r>
        <w:br/>
      </w:r>
      <w:r>
        <w:lastRenderedPageBreak/>
        <w:t xml:space="preserve">35–49 let z 18,1 % na začátku sledovaného období na 22,3 % v roce 2017. Starší věkové skupiny spíše stagnovaly v rozmezí </w:t>
      </w:r>
      <w:proofErr w:type="gramStart"/>
      <w:r>
        <w:t>9,3 %–10,1</w:t>
      </w:r>
      <w:proofErr w:type="gramEnd"/>
      <w:r>
        <w:t xml:space="preserve"> % u 50–64letých a 4,5 %–6,8 % v případě 65letých a starších. </w:t>
      </w:r>
      <w:r w:rsidR="003150F3">
        <w:t>Ve srovnání</w:t>
      </w:r>
      <w:r w:rsidR="000D5597">
        <w:t xml:space="preserve"> s celkovou vnitřní migrací byl</w:t>
      </w:r>
      <w:r w:rsidR="003150F3">
        <w:t xml:space="preserve"> u mezikrajského stěhování sledován nižší podíl dět</w:t>
      </w:r>
      <w:r w:rsidR="000D5597">
        <w:t>í</w:t>
      </w:r>
      <w:r w:rsidR="003150F3">
        <w:t xml:space="preserve"> a vyšší zastoupení osob ve věku 18</w:t>
      </w:r>
      <w:r w:rsidR="00467DBD">
        <w:t>–34 let, což vedlo k tomu, že průměrný věk stěhující se osoby byl u mezikrajského stěhování vyšší než u všech migrantů (ve sledovaném období o 0,5–1,0 roku) a pohyboval se v r</w:t>
      </w:r>
      <w:r w:rsidR="007C0AA1">
        <w:t>ozmezí 31,2 až 32,0 let (Graf 12</w:t>
      </w:r>
      <w:r w:rsidR="00467DBD">
        <w:t>).</w:t>
      </w:r>
      <w:r w:rsidR="00953C4E">
        <w:t xml:space="preserve"> Ženy měly opět tento průměrný věk vyšší než muži.</w:t>
      </w:r>
      <w:r w:rsidR="00467DBD">
        <w:t xml:space="preserve"> </w:t>
      </w:r>
      <w:r w:rsidR="003150F3">
        <w:t xml:space="preserve"> </w:t>
      </w:r>
      <w:r>
        <w:t xml:space="preserve"> </w:t>
      </w:r>
      <w:r w:rsidR="001D3DA3">
        <w:tab/>
      </w:r>
    </w:p>
    <w:p w:rsidR="001D3DA3" w:rsidRDefault="003E0A39" w:rsidP="001D3DA3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Graf 12</w:t>
      </w:r>
      <w:r w:rsidR="001D3DA3" w:rsidRPr="00091A5B">
        <w:rPr>
          <w:rFonts w:cs="Arial"/>
          <w:b/>
          <w:szCs w:val="20"/>
        </w:rPr>
        <w:t xml:space="preserve"> </w:t>
      </w:r>
      <w:r w:rsidR="001D3DA3" w:rsidRPr="001D3DA3">
        <w:rPr>
          <w:rFonts w:cs="Arial"/>
          <w:b/>
          <w:szCs w:val="20"/>
        </w:rPr>
        <w:t>Průměrný věk migrantů u mezikrajského stěhování podle pohlaví v letech 2005–2017</w:t>
      </w:r>
    </w:p>
    <w:p w:rsidR="001D3DA3" w:rsidRDefault="006B04CE" w:rsidP="001D3DA3">
      <w:pPr>
        <w:spacing w:after="60"/>
        <w:rPr>
          <w:rFonts w:cs="Arial"/>
          <w:b/>
          <w:szCs w:val="20"/>
        </w:rPr>
      </w:pPr>
      <w:r w:rsidRPr="006B04CE">
        <w:rPr>
          <w:noProof/>
        </w:rPr>
        <w:drawing>
          <wp:anchor distT="0" distB="0" distL="114300" distR="114300" simplePos="0" relativeHeight="251680256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400675" cy="2886075"/>
            <wp:effectExtent l="0" t="0" r="9525" b="9525"/>
            <wp:wrapNone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81958" w:rsidRDefault="00581958" w:rsidP="001D3DA3">
      <w:pPr>
        <w:tabs>
          <w:tab w:val="left" w:pos="2040"/>
        </w:tabs>
      </w:pPr>
    </w:p>
    <w:p w:rsidR="00581958" w:rsidRPr="00581958" w:rsidRDefault="00581958" w:rsidP="00581958"/>
    <w:p w:rsidR="00581958" w:rsidRPr="00581958" w:rsidRDefault="00581958" w:rsidP="00581958"/>
    <w:p w:rsidR="00581958" w:rsidRPr="00581958" w:rsidRDefault="00581958" w:rsidP="00581958"/>
    <w:p w:rsidR="00581958" w:rsidRPr="00581958" w:rsidRDefault="00581958" w:rsidP="00581958"/>
    <w:p w:rsidR="00581958" w:rsidRPr="00581958" w:rsidRDefault="00581958" w:rsidP="00581958"/>
    <w:p w:rsidR="00581958" w:rsidRPr="00581958" w:rsidRDefault="00581958" w:rsidP="00581958"/>
    <w:p w:rsidR="00581958" w:rsidRPr="00581958" w:rsidRDefault="00581958" w:rsidP="00581958"/>
    <w:p w:rsidR="00953C4E" w:rsidRDefault="00953C4E" w:rsidP="00581958">
      <w:pPr>
        <w:spacing w:after="60"/>
        <w:rPr>
          <w:rFonts w:cs="Arial"/>
          <w:b/>
          <w:szCs w:val="20"/>
        </w:rPr>
      </w:pPr>
    </w:p>
    <w:p w:rsidR="00581958" w:rsidRDefault="00501671" w:rsidP="00581958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Graf 13</w:t>
      </w:r>
      <w:r w:rsidR="00581958" w:rsidRPr="00091A5B">
        <w:rPr>
          <w:rFonts w:cs="Arial"/>
          <w:b/>
          <w:szCs w:val="20"/>
        </w:rPr>
        <w:t xml:space="preserve"> </w:t>
      </w:r>
      <w:r w:rsidR="00581958">
        <w:rPr>
          <w:rFonts w:cs="Arial"/>
          <w:b/>
          <w:szCs w:val="20"/>
        </w:rPr>
        <w:t>Mezikrajské stěhování cizinců v letech 2005–2017</w:t>
      </w:r>
    </w:p>
    <w:p w:rsidR="00581958" w:rsidRDefault="00BB5AAD" w:rsidP="00581958">
      <w:pPr>
        <w:spacing w:after="60"/>
        <w:rPr>
          <w:rFonts w:cs="Arial"/>
          <w:b/>
          <w:szCs w:val="20"/>
        </w:rPr>
      </w:pPr>
      <w:r w:rsidRPr="00BB5AAD">
        <w:rPr>
          <w:noProof/>
        </w:rPr>
        <w:drawing>
          <wp:anchor distT="0" distB="0" distL="114300" distR="114300" simplePos="0" relativeHeight="251681280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-3810</wp:posOffset>
            </wp:positionV>
            <wp:extent cx="5400675" cy="2886075"/>
            <wp:effectExtent l="0" t="0" r="9525" b="9525"/>
            <wp:wrapNone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3DA3" w:rsidRDefault="001D3DA3" w:rsidP="00581958">
      <w:pPr>
        <w:tabs>
          <w:tab w:val="left" w:pos="1110"/>
        </w:tabs>
      </w:pPr>
    </w:p>
    <w:p w:rsidR="00C807F4" w:rsidRDefault="00C807F4" w:rsidP="00581958">
      <w:pPr>
        <w:tabs>
          <w:tab w:val="left" w:pos="1110"/>
        </w:tabs>
      </w:pPr>
    </w:p>
    <w:p w:rsidR="00C807F4" w:rsidRDefault="00C807F4" w:rsidP="00581958">
      <w:pPr>
        <w:tabs>
          <w:tab w:val="left" w:pos="1110"/>
        </w:tabs>
      </w:pPr>
    </w:p>
    <w:p w:rsidR="00C807F4" w:rsidRDefault="00C807F4" w:rsidP="00581958">
      <w:pPr>
        <w:tabs>
          <w:tab w:val="left" w:pos="1110"/>
        </w:tabs>
      </w:pPr>
    </w:p>
    <w:p w:rsidR="00C807F4" w:rsidRDefault="00C807F4" w:rsidP="00581958">
      <w:pPr>
        <w:tabs>
          <w:tab w:val="left" w:pos="1110"/>
        </w:tabs>
      </w:pPr>
    </w:p>
    <w:p w:rsidR="00C807F4" w:rsidRDefault="00C807F4" w:rsidP="00581958">
      <w:pPr>
        <w:tabs>
          <w:tab w:val="left" w:pos="1110"/>
        </w:tabs>
      </w:pPr>
    </w:p>
    <w:p w:rsidR="00C807F4" w:rsidRDefault="00C807F4" w:rsidP="00581958">
      <w:pPr>
        <w:tabs>
          <w:tab w:val="left" w:pos="1110"/>
        </w:tabs>
      </w:pPr>
    </w:p>
    <w:p w:rsidR="00C807F4" w:rsidRDefault="00C807F4" w:rsidP="00581958">
      <w:pPr>
        <w:tabs>
          <w:tab w:val="left" w:pos="1110"/>
        </w:tabs>
      </w:pPr>
    </w:p>
    <w:p w:rsidR="00C807F4" w:rsidRDefault="00C807F4" w:rsidP="008A13EC">
      <w:pPr>
        <w:tabs>
          <w:tab w:val="left" w:pos="1110"/>
        </w:tabs>
        <w:spacing w:after="0"/>
      </w:pPr>
    </w:p>
    <w:p w:rsidR="008A13EC" w:rsidRDefault="00410F63" w:rsidP="00581958">
      <w:pPr>
        <w:tabs>
          <w:tab w:val="left" w:pos="1110"/>
        </w:tabs>
      </w:pPr>
      <w:r>
        <w:t>Cizinci se na mezikrajském stěhování podílel</w:t>
      </w:r>
      <w:r w:rsidR="000D5597">
        <w:t>i</w:t>
      </w:r>
      <w:r>
        <w:t xml:space="preserve"> více než na celkovém objemu vnitřního stěhování. Mezi roky 2005 a 2007 se </w:t>
      </w:r>
      <w:r w:rsidR="006433C0">
        <w:t xml:space="preserve">jejich podíl </w:t>
      </w:r>
      <w:r>
        <w:t xml:space="preserve">zvýšil z 15,0 % na 28,6 %, další dva roky se pohyboval na podobné úrovni a poté poklesl </w:t>
      </w:r>
      <w:r w:rsidR="006433C0">
        <w:t xml:space="preserve">až </w:t>
      </w:r>
      <w:r>
        <w:t>na 12,3 % v roce 2017</w:t>
      </w:r>
      <w:r w:rsidR="007C0AA1">
        <w:t xml:space="preserve"> (Graf 13</w:t>
      </w:r>
      <w:r w:rsidR="000D73F0">
        <w:t>)</w:t>
      </w:r>
      <w:r>
        <w:t>.</w:t>
      </w:r>
      <w:r w:rsidR="006433C0">
        <w:t xml:space="preserve"> </w:t>
      </w:r>
      <w:r w:rsidR="000D73F0">
        <w:t xml:space="preserve">Počet případů mezikrajského stěhování cizinců měl stejné trendy – z 11 356 v roce 2005 na 28 114 v roce 2007, následovaly dva roky stagnace a pokles na hodnoty okolo 11 tisíc v posledních pěti letech. </w:t>
      </w:r>
      <w:r>
        <w:t xml:space="preserve"> </w:t>
      </w:r>
    </w:p>
    <w:p w:rsidR="00C807F4" w:rsidRDefault="00C807F4" w:rsidP="00581958">
      <w:pPr>
        <w:tabs>
          <w:tab w:val="left" w:pos="1110"/>
        </w:tabs>
      </w:pPr>
    </w:p>
    <w:p w:rsidR="00C807F4" w:rsidRDefault="00007A03" w:rsidP="00B17F98">
      <w:pPr>
        <w:tabs>
          <w:tab w:val="left" w:pos="1110"/>
        </w:tabs>
        <w:spacing w:after="0"/>
      </w:pPr>
      <w:r>
        <w:lastRenderedPageBreak/>
        <w:t>Za celé období 2005–2017 se nejvíce obyvatel ČR přistěhovalo do Středočeského kraje (301 904; Gr</w:t>
      </w:r>
      <w:r w:rsidR="007C0AA1">
        <w:t>af 14</w:t>
      </w:r>
      <w:r w:rsidR="003658E1">
        <w:t>) a </w:t>
      </w:r>
      <w:r>
        <w:t>do Hlavního města Prahy (262 757).</w:t>
      </w:r>
      <w:r w:rsidR="00B17F98">
        <w:t xml:space="preserve"> Tyto dva kraje se na celkovém počtu přistěhovalých podílely téměř z poloviny.</w:t>
      </w:r>
      <w:r>
        <w:t xml:space="preserve"> </w:t>
      </w:r>
      <w:r w:rsidR="001A3896">
        <w:t>S velkým odstupem následovaly kraje Jihomoravský (80 024 osob) a Ústecký (68 474).</w:t>
      </w:r>
      <w:r w:rsidR="00FD5632">
        <w:t xml:space="preserve"> Naopak nejméně obyvatel se přestěhovalo do Karlovarského (23 303 osob) a Zlínského (34 361 osob) kraje.</w:t>
      </w:r>
      <w:r w:rsidR="00B17F98">
        <w:t xml:space="preserve"> Do Středočeského kraje se přistěhovalo nejvíce obyvatel v každém roce ze sledovaného období s výjimkou roku 2016, kdy si prohodil pozice s Prahou.</w:t>
      </w:r>
      <w:r w:rsidR="00051BE1">
        <w:t xml:space="preserve"> Obdobně Karlovarský kraj měl stabilně nejmenší počet přistěhovalých osob. </w:t>
      </w:r>
      <w:r w:rsidR="001A3896">
        <w:t xml:space="preserve"> </w:t>
      </w:r>
      <w:r>
        <w:t xml:space="preserve"> </w:t>
      </w:r>
    </w:p>
    <w:p w:rsidR="00B17F98" w:rsidRDefault="00B17F98" w:rsidP="00B17F98">
      <w:pPr>
        <w:spacing w:after="0"/>
        <w:rPr>
          <w:rFonts w:cs="Arial"/>
          <w:b/>
          <w:szCs w:val="20"/>
        </w:rPr>
      </w:pPr>
    </w:p>
    <w:p w:rsidR="00C807F4" w:rsidRDefault="00B175A0" w:rsidP="00581958">
      <w:pPr>
        <w:tabs>
          <w:tab w:val="left" w:pos="1110"/>
        </w:tabs>
      </w:pPr>
      <w:r>
        <w:t>U vystěhovalých dominovalo jednoznačně Hlavní město Praha s 281 886 vystěhovalými ve zkoumaném období, následoval Středočeský kraj s 171 632 osobami, kt</w:t>
      </w:r>
      <w:r w:rsidR="007C0AA1">
        <w:t>eré tento kraj opustili (Graf 14</w:t>
      </w:r>
      <w:r>
        <w:t>). Koncentrace vystěhovalých v těchto dvou krajích nebyla tak výrazná jako u přistěhovalých (40,0 %). Další kraje s vysokým počtem vystěhovalých byly ještě Ústecký (88 337</w:t>
      </w:r>
      <w:r w:rsidR="003658E1">
        <w:t xml:space="preserve"> osob), Jihomoravský (81 413) a </w:t>
      </w:r>
      <w:proofErr w:type="spellStart"/>
      <w:r>
        <w:t>Moravskoslezký</w:t>
      </w:r>
      <w:proofErr w:type="spellEnd"/>
      <w:r>
        <w:t xml:space="preserve"> (79 620). Nejméně obyvatel se vystěhovalo z Karlovarského (40 590 osob), Plzeňského (41 131) a Zlínského (42 668) kraje.</w:t>
      </w:r>
      <w:r w:rsidR="00051BE1">
        <w:t xml:space="preserve"> V celém období 2005–2017 se každoročně nejvíce obyvatel vystěhovalo z Prahy, kterou následoval Středočeský kraj. Na opačném pólu se střídaly kraje Karlovarský, Plzeňský a Zlínský. </w:t>
      </w:r>
      <w:r>
        <w:t xml:space="preserve">    </w:t>
      </w:r>
    </w:p>
    <w:p w:rsidR="00C807F4" w:rsidRDefault="00501671" w:rsidP="00C807F4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Graf 14</w:t>
      </w:r>
      <w:r w:rsidR="00C807F4" w:rsidRPr="00091A5B">
        <w:rPr>
          <w:rFonts w:cs="Arial"/>
          <w:b/>
          <w:szCs w:val="20"/>
        </w:rPr>
        <w:t xml:space="preserve"> </w:t>
      </w:r>
      <w:r w:rsidR="00C807F4" w:rsidRPr="00C807F4">
        <w:rPr>
          <w:rFonts w:cs="Arial"/>
          <w:b/>
          <w:szCs w:val="20"/>
        </w:rPr>
        <w:t xml:space="preserve">Přistěhovalí a vystěhovalí </w:t>
      </w:r>
      <w:r w:rsidR="00F71A56">
        <w:rPr>
          <w:rFonts w:cs="Arial"/>
          <w:b/>
          <w:szCs w:val="20"/>
        </w:rPr>
        <w:t>podle krajů</w:t>
      </w:r>
      <w:r w:rsidR="00C807F4" w:rsidRPr="00C807F4">
        <w:rPr>
          <w:rFonts w:cs="Arial"/>
          <w:b/>
          <w:szCs w:val="20"/>
        </w:rPr>
        <w:t xml:space="preserve"> za období 2005–2017</w:t>
      </w:r>
    </w:p>
    <w:p w:rsidR="00C807F4" w:rsidRDefault="00C807F4" w:rsidP="00C807F4">
      <w:pPr>
        <w:spacing w:after="60"/>
        <w:rPr>
          <w:rFonts w:cs="Arial"/>
          <w:b/>
          <w:szCs w:val="20"/>
        </w:rPr>
      </w:pPr>
      <w:r w:rsidRPr="00C807F4">
        <w:rPr>
          <w:noProof/>
        </w:rPr>
        <w:drawing>
          <wp:anchor distT="0" distB="0" distL="114300" distR="114300" simplePos="0" relativeHeight="25168230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400675" cy="2886075"/>
            <wp:effectExtent l="0" t="0" r="9525" b="9525"/>
            <wp:wrapNone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07F4" w:rsidRDefault="00C807F4" w:rsidP="00581958">
      <w:pPr>
        <w:tabs>
          <w:tab w:val="left" w:pos="1110"/>
        </w:tabs>
      </w:pPr>
    </w:p>
    <w:p w:rsidR="00C807F4" w:rsidRDefault="00C807F4" w:rsidP="00581958">
      <w:pPr>
        <w:tabs>
          <w:tab w:val="left" w:pos="1110"/>
        </w:tabs>
      </w:pPr>
    </w:p>
    <w:p w:rsidR="00C807F4" w:rsidRDefault="00C807F4" w:rsidP="00581958">
      <w:pPr>
        <w:tabs>
          <w:tab w:val="left" w:pos="1110"/>
        </w:tabs>
      </w:pPr>
    </w:p>
    <w:p w:rsidR="00C807F4" w:rsidRDefault="00C807F4" w:rsidP="00581958">
      <w:pPr>
        <w:tabs>
          <w:tab w:val="left" w:pos="1110"/>
        </w:tabs>
      </w:pPr>
    </w:p>
    <w:p w:rsidR="00C807F4" w:rsidRDefault="00C807F4" w:rsidP="00581958">
      <w:pPr>
        <w:tabs>
          <w:tab w:val="left" w:pos="1110"/>
        </w:tabs>
      </w:pPr>
    </w:p>
    <w:p w:rsidR="00C807F4" w:rsidRDefault="00C807F4" w:rsidP="00581958">
      <w:pPr>
        <w:tabs>
          <w:tab w:val="left" w:pos="1110"/>
        </w:tabs>
      </w:pPr>
    </w:p>
    <w:p w:rsidR="00C807F4" w:rsidRDefault="00C807F4" w:rsidP="00581958">
      <w:pPr>
        <w:tabs>
          <w:tab w:val="left" w:pos="1110"/>
        </w:tabs>
      </w:pPr>
    </w:p>
    <w:p w:rsidR="00C807F4" w:rsidRDefault="00C807F4" w:rsidP="00581958">
      <w:pPr>
        <w:tabs>
          <w:tab w:val="left" w:pos="1110"/>
        </w:tabs>
      </w:pPr>
    </w:p>
    <w:p w:rsidR="00C807F4" w:rsidRDefault="00C807F4" w:rsidP="00051BE1">
      <w:pPr>
        <w:tabs>
          <w:tab w:val="left" w:pos="1110"/>
        </w:tabs>
        <w:spacing w:after="0"/>
      </w:pPr>
    </w:p>
    <w:p w:rsidR="009A5B97" w:rsidRDefault="00912AD6" w:rsidP="009A5B97">
      <w:pPr>
        <w:tabs>
          <w:tab w:val="left" w:pos="1110"/>
        </w:tabs>
        <w:spacing w:after="0"/>
      </w:pPr>
      <w:r>
        <w:t>Saldo mezikrajské</w:t>
      </w:r>
      <w:r w:rsidR="006F301A">
        <w:t>ho</w:t>
      </w:r>
      <w:r>
        <w:t xml:space="preserve"> </w:t>
      </w:r>
      <w:r w:rsidR="006F301A">
        <w:t>stěhování</w:t>
      </w:r>
      <w:r>
        <w:t xml:space="preserve"> </w:t>
      </w:r>
      <w:r w:rsidR="000D5597">
        <w:t>bylo za celé období 2005 až 2017</w:t>
      </w:r>
      <w:r>
        <w:t xml:space="preserve"> nejvyšší ve Středočeském kraji (130 272 osob</w:t>
      </w:r>
      <w:r w:rsidR="007C0AA1">
        <w:t>; Graf 15</w:t>
      </w:r>
      <w:r>
        <w:t>). Z dalších krajů přibylo obyvatel vnitřní migrací již jen v Plzeňském (</w:t>
      </w:r>
      <w:r w:rsidR="003658E1">
        <w:t>8 672 osob) a </w:t>
      </w:r>
      <w:r>
        <w:t>Jihočeském kraji (1 471).</w:t>
      </w:r>
      <w:r w:rsidR="00B54C6A">
        <w:t xml:space="preserve"> Výrazně ztrátový byl Moravskoslezský kraj (-39 090 osob), který byl následovaný Ústeckým </w:t>
      </w:r>
      <w:r w:rsidR="00E11D1F">
        <w:t>krajem (-</w:t>
      </w:r>
      <w:r w:rsidR="00B54C6A">
        <w:t>19 863)</w:t>
      </w:r>
      <w:r w:rsidR="00E11D1F">
        <w:t>, Hlavním městem Prahou (-19 129)</w:t>
      </w:r>
      <w:r w:rsidR="00B54C6A">
        <w:t xml:space="preserve"> a Karlovarským krajem (-17 287).</w:t>
      </w:r>
      <w:r w:rsidR="006F301A">
        <w:t xml:space="preserve"> Středočeský kraj byl populačně nejziskovější vnitřním stěhováním každoročně</w:t>
      </w:r>
      <w:r w:rsidR="00462D3F">
        <w:t xml:space="preserve"> (s maximem v roce 2008 – 15 012 osob; Přílohová tabulka 14)</w:t>
      </w:r>
      <w:r w:rsidR="006F301A">
        <w:t>, naopak Moravskoslezský byl nejztrátovější s výjimkou let 2008 a 2010, kdy šlo o Prahu. Zajímavý byl vývoj u Jihomoravského kraje, který byl za celé období migračně</w:t>
      </w:r>
      <w:r w:rsidR="003658E1">
        <w:t xml:space="preserve"> ztrátový </w:t>
      </w:r>
      <w:r w:rsidR="003658E1">
        <w:br/>
        <w:t>(-</w:t>
      </w:r>
      <w:r w:rsidR="006F301A">
        <w:t xml:space="preserve">1 389 osob), což bylo způsobeno záporným saldem v letech 2005 až 2008. Od roku 2009 měl tento kraj kladné saldo vnitřní migrace. </w:t>
      </w:r>
      <w:r w:rsidR="00E2652C">
        <w:t xml:space="preserve"> </w:t>
      </w:r>
    </w:p>
    <w:p w:rsidR="009A5B97" w:rsidRPr="009A5B97" w:rsidRDefault="009A5B97" w:rsidP="009A5B97">
      <w:pPr>
        <w:spacing w:after="0"/>
        <w:rPr>
          <w:rFonts w:cs="Arial"/>
          <w:szCs w:val="20"/>
        </w:rPr>
      </w:pPr>
    </w:p>
    <w:p w:rsidR="00051BE1" w:rsidRDefault="009A5B97" w:rsidP="00581958">
      <w:pPr>
        <w:tabs>
          <w:tab w:val="left" w:pos="1110"/>
        </w:tabs>
      </w:pPr>
      <w:r>
        <w:t>Vzhledem k tomu, že velikost salda je značně ovlivněna populační velikostí daného kraje, tak bylo vypočítáno relativní saldo na 1 000 obyvatel středního stavu</w:t>
      </w:r>
      <w:r w:rsidR="007C0AA1">
        <w:t xml:space="preserve"> (Graf 15</w:t>
      </w:r>
      <w:r w:rsidR="00462D3F">
        <w:t>)</w:t>
      </w:r>
      <w:r>
        <w:t>.</w:t>
      </w:r>
      <w:r w:rsidR="00A02710">
        <w:t xml:space="preserve"> Krajem s nejvyšším relativním saldem za celé období zůstává Středočeský kraj (8,0 </w:t>
      </w:r>
      <w:r w:rsidR="00A02710">
        <w:rPr>
          <w:rFonts w:cs="Arial"/>
        </w:rPr>
        <w:t>‰</w:t>
      </w:r>
      <w:r w:rsidR="00A02710">
        <w:t xml:space="preserve">), zatímco nejnižší úrovně dosáhl Karlovarský kraj (-4,4 </w:t>
      </w:r>
      <w:r w:rsidR="003658E1">
        <w:rPr>
          <w:rFonts w:cs="Arial"/>
        </w:rPr>
        <w:t>‰) a </w:t>
      </w:r>
      <w:r w:rsidR="00A02710">
        <w:rPr>
          <w:rFonts w:cs="Arial"/>
        </w:rPr>
        <w:t xml:space="preserve">Moravskoslezský byl až druhý (-2,4 ‰) následovaný Ústeckým krajem (-1,8 ‰). </w:t>
      </w:r>
      <w:r w:rsidR="00044538">
        <w:rPr>
          <w:rFonts w:cs="Arial"/>
        </w:rPr>
        <w:t>Hlavní město Praha bylo až šesté nejztrátovější</w:t>
      </w:r>
      <w:r w:rsidR="00B46EC3">
        <w:rPr>
          <w:rFonts w:cs="Arial"/>
        </w:rPr>
        <w:t xml:space="preserve"> (-1,2 ‰)</w:t>
      </w:r>
      <w:r w:rsidR="00044538">
        <w:rPr>
          <w:rFonts w:cs="Arial"/>
        </w:rPr>
        <w:t>.</w:t>
      </w:r>
      <w:r w:rsidR="00462D3F">
        <w:rPr>
          <w:rFonts w:cs="Arial"/>
        </w:rPr>
        <w:t xml:space="preserve"> Středočeský kraj byl nejziskovějším mezi kraji každoročně, stejně jako Karlovarský kraj nejztrátovější (Přílohová tabulka 15).</w:t>
      </w:r>
      <w:r w:rsidR="00044538">
        <w:rPr>
          <w:rFonts w:cs="Arial"/>
        </w:rPr>
        <w:t xml:space="preserve"> </w:t>
      </w:r>
      <w:r w:rsidR="00A02710">
        <w:rPr>
          <w:rFonts w:cs="Arial"/>
        </w:rPr>
        <w:t xml:space="preserve">  </w:t>
      </w:r>
      <w:r w:rsidR="00A02710">
        <w:t xml:space="preserve"> </w:t>
      </w:r>
      <w:r>
        <w:t xml:space="preserve">  </w:t>
      </w:r>
      <w:r w:rsidR="00E2652C">
        <w:t xml:space="preserve">  </w:t>
      </w:r>
      <w:r w:rsidR="00B54C6A">
        <w:t xml:space="preserve">  </w:t>
      </w:r>
      <w:r w:rsidR="00912AD6">
        <w:t xml:space="preserve">  </w:t>
      </w:r>
    </w:p>
    <w:p w:rsidR="008F7E24" w:rsidRDefault="00501671" w:rsidP="008F7E24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lastRenderedPageBreak/>
        <w:t>Graf 15</w:t>
      </w:r>
      <w:r w:rsidR="008F7E24" w:rsidRPr="00091A5B">
        <w:rPr>
          <w:rFonts w:cs="Arial"/>
          <w:b/>
          <w:szCs w:val="20"/>
        </w:rPr>
        <w:t xml:space="preserve"> </w:t>
      </w:r>
      <w:r w:rsidR="008F7E24" w:rsidRPr="008F7E24">
        <w:rPr>
          <w:rFonts w:cs="Arial"/>
          <w:b/>
          <w:szCs w:val="20"/>
        </w:rPr>
        <w:t>Saldo stěhování</w:t>
      </w:r>
      <w:r w:rsidR="00F71A56">
        <w:rPr>
          <w:rFonts w:cs="Arial"/>
          <w:b/>
          <w:szCs w:val="20"/>
        </w:rPr>
        <w:t xml:space="preserve"> podle krajů</w:t>
      </w:r>
      <w:r w:rsidR="008F7E24" w:rsidRPr="008F7E24">
        <w:rPr>
          <w:rFonts w:cs="Arial"/>
          <w:b/>
          <w:szCs w:val="20"/>
        </w:rPr>
        <w:t xml:space="preserve"> za období 2005–2017</w:t>
      </w:r>
    </w:p>
    <w:p w:rsidR="00C807F4" w:rsidRDefault="00036F27" w:rsidP="00581958">
      <w:pPr>
        <w:tabs>
          <w:tab w:val="left" w:pos="1110"/>
        </w:tabs>
      </w:pPr>
      <w:r w:rsidRPr="00036F27">
        <w:rPr>
          <w:noProof/>
        </w:rPr>
        <w:drawing>
          <wp:anchor distT="0" distB="0" distL="114300" distR="114300" simplePos="0" relativeHeight="251698688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400675" cy="3248025"/>
            <wp:effectExtent l="0" t="0" r="9525" b="9525"/>
            <wp:wrapNone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3FCA" w:rsidRDefault="00233FCA" w:rsidP="00581958">
      <w:pPr>
        <w:tabs>
          <w:tab w:val="left" w:pos="1110"/>
        </w:tabs>
      </w:pPr>
    </w:p>
    <w:p w:rsidR="00233FCA" w:rsidRPr="00233FCA" w:rsidRDefault="00233FCA" w:rsidP="00233FCA"/>
    <w:p w:rsidR="00233FCA" w:rsidRPr="00233FCA" w:rsidRDefault="00233FCA" w:rsidP="00233FCA"/>
    <w:p w:rsidR="00233FCA" w:rsidRPr="00233FCA" w:rsidRDefault="00233FCA" w:rsidP="00233FCA"/>
    <w:p w:rsidR="00233FCA" w:rsidRPr="00233FCA" w:rsidRDefault="00233FCA" w:rsidP="00233FCA"/>
    <w:p w:rsidR="00233FCA" w:rsidRPr="00233FCA" w:rsidRDefault="00233FCA" w:rsidP="00233FCA"/>
    <w:p w:rsidR="00233FCA" w:rsidRPr="00233FCA" w:rsidRDefault="00233FCA" w:rsidP="00233FCA"/>
    <w:p w:rsidR="00233FCA" w:rsidRPr="00233FCA" w:rsidRDefault="00233FCA" w:rsidP="00233FCA"/>
    <w:p w:rsidR="00233FCA" w:rsidRDefault="00233FCA" w:rsidP="00233FCA"/>
    <w:p w:rsidR="00EC31E7" w:rsidRDefault="00EC31E7" w:rsidP="00462D3F">
      <w:pPr>
        <w:spacing w:after="0"/>
      </w:pPr>
    </w:p>
    <w:p w:rsidR="00AF3DA5" w:rsidRDefault="00B17E52" w:rsidP="00AF3DA5">
      <w:pPr>
        <w:spacing w:after="0"/>
      </w:pPr>
      <w:r>
        <w:t xml:space="preserve">Nejsilnějším proudem mezikrajského stěhování v souhrnu za celé období 2005 až 2017 byla migrace mezi Hlavním městem Prahou a Středočeským krajem s obratem 286 970 osob (téměř 13 % z celkového obratu </w:t>
      </w:r>
      <w:r w:rsidR="00CD3E9D">
        <w:t xml:space="preserve">mezikrajské </w:t>
      </w:r>
      <w:r>
        <w:t>vnitřní migrace</w:t>
      </w:r>
      <w:r w:rsidR="00216E1A">
        <w:t>; Přílohová tabulka 17</w:t>
      </w:r>
      <w:r>
        <w:t xml:space="preserve">). </w:t>
      </w:r>
      <w:r w:rsidR="00B938AC">
        <w:t xml:space="preserve">Více osob se vystěhovalo z Prahy do </w:t>
      </w:r>
      <w:r>
        <w:t>Středočeského kraje (</w:t>
      </w:r>
      <w:r w:rsidR="00B938AC">
        <w:t>193 158), než opačným směrem (93</w:t>
      </w:r>
      <w:r w:rsidR="00216E1A">
        <w:t> </w:t>
      </w:r>
      <w:r w:rsidR="00B938AC">
        <w:t>812</w:t>
      </w:r>
      <w:r w:rsidR="00216E1A">
        <w:t>; Přílohová tabulka 16</w:t>
      </w:r>
      <w:r w:rsidR="00B938AC">
        <w:t>).</w:t>
      </w:r>
      <w:r w:rsidR="00AF3DA5">
        <w:t xml:space="preserve"> S výrazným odstupem další nejpočetnější proudy byly mezi Hlavním městem Prahou a Ústeckým krajem s obratem 44 1</w:t>
      </w:r>
      <w:r w:rsidR="003658E1">
        <w:t>72 osob (z </w:t>
      </w:r>
      <w:r w:rsidR="00AF3DA5">
        <w:t xml:space="preserve">Ústeckého kraje do Prahy 27 728 osob a 16 444 opačným směrem) a mezi Středočeským a Ústeckým </w:t>
      </w:r>
      <w:r w:rsidR="00094E75">
        <w:t>krajem s obratem 36 605 osob (z Ústeckého do Středočeského</w:t>
      </w:r>
      <w:r w:rsidR="00AF3DA5">
        <w:t xml:space="preserve"> 20 315 osob a 16 290 opačně). Další dva proudy jsou silné pouze v jednom směru – z Jihomoravského (19 558 osob) a Moravskoslezského kraje (19 331) do Prahy. Naopak nejslabší proud byl mezi Karlovarským a vzdáleným Zlínským krajem s obratem pouhých 766 osob za celé období.</w:t>
      </w:r>
    </w:p>
    <w:p w:rsidR="00AF3DA5" w:rsidRPr="00AF3DA5" w:rsidRDefault="00AF3DA5" w:rsidP="00AF3DA5">
      <w:pPr>
        <w:spacing w:after="0"/>
        <w:rPr>
          <w:rFonts w:cs="Arial"/>
          <w:szCs w:val="20"/>
        </w:rPr>
      </w:pPr>
    </w:p>
    <w:p w:rsidR="00A948B0" w:rsidRDefault="00D61D28" w:rsidP="00233FCA">
      <w:r>
        <w:t>Největší kladné saldo mezikrajského stěhování měl v období 2005–2017</w:t>
      </w:r>
      <w:r w:rsidR="00633C4B">
        <w:t xml:space="preserve"> Střed</w:t>
      </w:r>
      <w:r w:rsidR="003658E1">
        <w:t>očeský kraj s Prahou (o </w:t>
      </w:r>
      <w:r w:rsidR="00633C4B">
        <w:t>99 346 osob více se přestěhovalo z Prahy do Středočeského kraje, než opačným směrem; Přílohová tabulka 17).</w:t>
      </w:r>
      <w:r w:rsidR="003D3F98">
        <w:t xml:space="preserve"> Roční maximum bylo v roce 2008 a to 11 921 osob. Od roku 2014 se saldo pohybuje na nižší úrovni okolo 6 až 7 tisíc. Středočeský kraj byl ve sledovaném období ztrátový pouze s Plzeňským krajem, s ostatními kraji měl saldo kladné. Hlavní měst</w:t>
      </w:r>
      <w:r w:rsidR="00633439">
        <w:t>o Praha bylo ztrátové</w:t>
      </w:r>
      <w:r w:rsidR="003D3F98">
        <w:t xml:space="preserve"> pouze se S</w:t>
      </w:r>
      <w:r w:rsidR="003658E1">
        <w:t>tředočeským krajem a </w:t>
      </w:r>
      <w:r w:rsidR="00633439">
        <w:t>výrazně ziskové s Moravskoslezským (14 421 osob), Jihomoravským (12 319) a Ústeckým krajem (11 284). Karlovarský kraj přišel o obyvatele vnitřní migrací se všemi kraji kromě Moravskoslezského. Nejvíce s Prahou (-6 777 osob). Nejhůře na tom byl Moravskoslezský kraj, který ztratil obyvatele se všemi kraji. Kromě již zmiňované Prahy byla významná záporná salda zaznamenána i v migraci se Středočeským</w:t>
      </w:r>
      <w:r w:rsidR="00633439">
        <w:br/>
        <w:t xml:space="preserve">(-7 357 obyvatel) a Jihomoravským krajem (-6 056). </w:t>
      </w:r>
      <w:r w:rsidR="003D3F98">
        <w:t xml:space="preserve">  </w:t>
      </w:r>
      <w:r w:rsidR="00633C4B">
        <w:t xml:space="preserve"> </w:t>
      </w:r>
    </w:p>
    <w:p w:rsidR="00462D3F" w:rsidRDefault="00AF3DA5" w:rsidP="00233FCA">
      <w:r>
        <w:t xml:space="preserve">     </w:t>
      </w:r>
      <w:r w:rsidR="005058E5">
        <w:t xml:space="preserve"> </w:t>
      </w:r>
    </w:p>
    <w:p w:rsidR="00233FCA" w:rsidRDefault="00233FCA" w:rsidP="00233FCA">
      <w:pPr>
        <w:tabs>
          <w:tab w:val="left" w:pos="1125"/>
        </w:tabs>
      </w:pPr>
    </w:p>
    <w:p w:rsidR="00233FCA" w:rsidRDefault="00233FCA" w:rsidP="00233FCA">
      <w:pPr>
        <w:tabs>
          <w:tab w:val="left" w:pos="1125"/>
        </w:tabs>
      </w:pPr>
    </w:p>
    <w:p w:rsidR="00233FCA" w:rsidRDefault="00233FCA" w:rsidP="00233FCA">
      <w:pPr>
        <w:tabs>
          <w:tab w:val="left" w:pos="1125"/>
        </w:tabs>
      </w:pPr>
    </w:p>
    <w:p w:rsidR="00233FCA" w:rsidRDefault="00233FCA" w:rsidP="00233FCA">
      <w:pPr>
        <w:tabs>
          <w:tab w:val="left" w:pos="1125"/>
        </w:tabs>
      </w:pPr>
    </w:p>
    <w:p w:rsidR="00FF0A52" w:rsidRDefault="00FF0A52" w:rsidP="00FF0A52">
      <w:pPr>
        <w:pStyle w:val="Nadpis1"/>
      </w:pPr>
      <w:bookmarkStart w:id="5" w:name="_Toc531859775"/>
      <w:r>
        <w:lastRenderedPageBreak/>
        <w:t xml:space="preserve">4. </w:t>
      </w:r>
      <w:proofErr w:type="spellStart"/>
      <w:r>
        <w:t>Vnitrokrajské</w:t>
      </w:r>
      <w:proofErr w:type="spellEnd"/>
      <w:r>
        <w:t xml:space="preserve"> stěhování</w:t>
      </w:r>
      <w:bookmarkEnd w:id="5"/>
    </w:p>
    <w:p w:rsidR="001C7FBA" w:rsidRPr="001C7FBA" w:rsidRDefault="00F54DAE" w:rsidP="00DE3C36">
      <w:pPr>
        <w:spacing w:after="60"/>
        <w:rPr>
          <w:rFonts w:cs="Arial"/>
          <w:szCs w:val="20"/>
        </w:rPr>
      </w:pPr>
      <w:r>
        <w:rPr>
          <w:rFonts w:cs="Arial"/>
          <w:szCs w:val="20"/>
        </w:rPr>
        <w:t xml:space="preserve">Počet případů </w:t>
      </w:r>
      <w:proofErr w:type="spellStart"/>
      <w:r>
        <w:rPr>
          <w:rFonts w:cs="Arial"/>
          <w:szCs w:val="20"/>
        </w:rPr>
        <w:t>vnitrokrajského</w:t>
      </w:r>
      <w:proofErr w:type="spellEnd"/>
      <w:r>
        <w:rPr>
          <w:rFonts w:cs="Arial"/>
          <w:szCs w:val="20"/>
        </w:rPr>
        <w:t xml:space="preserve"> stěhování (migrace mimo hranice obce v rámci kraje) se zvýšil </w:t>
      </w:r>
      <w:proofErr w:type="gramStart"/>
      <w:r>
        <w:rPr>
          <w:rFonts w:cs="Arial"/>
          <w:szCs w:val="20"/>
        </w:rPr>
        <w:t>ze</w:t>
      </w:r>
      <w:proofErr w:type="gramEnd"/>
      <w:r>
        <w:rPr>
          <w:rFonts w:cs="Arial"/>
          <w:szCs w:val="20"/>
        </w:rPr>
        <w:t xml:space="preserve"> 138 019 v roce 2005</w:t>
      </w:r>
      <w:r w:rsidR="007C0AA1">
        <w:rPr>
          <w:rFonts w:cs="Arial"/>
          <w:szCs w:val="20"/>
        </w:rPr>
        <w:t xml:space="preserve"> na 157 286 v roce 2007 (Graf 16</w:t>
      </w:r>
      <w:r>
        <w:rPr>
          <w:rFonts w:cs="Arial"/>
          <w:szCs w:val="20"/>
        </w:rPr>
        <w:t xml:space="preserve">). Následoval pokles na 141 397 v roce 2009. Poté tento druh vnitřní migrace rostl až na 160 229 pohybů v roce 2016 a v posledním roce došlo k poklesu na hodnotu 156 980. V posledních třech letech se tak objem </w:t>
      </w:r>
      <w:proofErr w:type="spellStart"/>
      <w:r>
        <w:rPr>
          <w:rFonts w:cs="Arial"/>
          <w:szCs w:val="20"/>
        </w:rPr>
        <w:t>vnitrokrajské</w:t>
      </w:r>
      <w:proofErr w:type="spellEnd"/>
      <w:r>
        <w:rPr>
          <w:rFonts w:cs="Arial"/>
          <w:szCs w:val="20"/>
        </w:rPr>
        <w:t xml:space="preserve"> migrace dostal na podobnou úroveň jako v roce 2007, na rozdíl od mezikrajské migrace, která podobného objemu jako v roce 2007 zatím nedosáhla. </w:t>
      </w:r>
      <w:r w:rsidR="00617D08">
        <w:rPr>
          <w:rFonts w:cs="Arial"/>
          <w:szCs w:val="20"/>
        </w:rPr>
        <w:t xml:space="preserve">Podíl mužů na </w:t>
      </w:r>
      <w:proofErr w:type="spellStart"/>
      <w:r w:rsidR="00617D08">
        <w:rPr>
          <w:rFonts w:cs="Arial"/>
          <w:szCs w:val="20"/>
        </w:rPr>
        <w:t>vnitrokrajské</w:t>
      </w:r>
      <w:proofErr w:type="spellEnd"/>
      <w:r w:rsidR="00617D08">
        <w:rPr>
          <w:rFonts w:cs="Arial"/>
          <w:szCs w:val="20"/>
        </w:rPr>
        <w:t xml:space="preserve"> migraci se ve zkoumaném období pohyboval v rozmezí 45,9 % – 48,2 %, tedy na nižších hodnotách než u všech případů stěhování. </w:t>
      </w:r>
      <w:r>
        <w:rPr>
          <w:rFonts w:cs="Arial"/>
          <w:szCs w:val="20"/>
        </w:rPr>
        <w:t xml:space="preserve"> </w:t>
      </w:r>
    </w:p>
    <w:p w:rsidR="001C7FBA" w:rsidRDefault="001C7FBA" w:rsidP="00044043">
      <w:pPr>
        <w:spacing w:after="0"/>
        <w:rPr>
          <w:rFonts w:cs="Arial"/>
          <w:b/>
          <w:szCs w:val="20"/>
        </w:rPr>
      </w:pPr>
    </w:p>
    <w:p w:rsidR="00DE3C36" w:rsidRDefault="00501671" w:rsidP="00DE3C36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Graf 16</w:t>
      </w:r>
      <w:r w:rsidR="00DE3C36" w:rsidRPr="00091A5B">
        <w:rPr>
          <w:rFonts w:cs="Arial"/>
          <w:b/>
          <w:szCs w:val="20"/>
        </w:rPr>
        <w:t xml:space="preserve"> </w:t>
      </w:r>
      <w:proofErr w:type="spellStart"/>
      <w:r w:rsidR="00DE3C36">
        <w:rPr>
          <w:rFonts w:cs="Arial"/>
          <w:b/>
          <w:szCs w:val="20"/>
        </w:rPr>
        <w:t>Vnitrokrajské</w:t>
      </w:r>
      <w:proofErr w:type="spellEnd"/>
      <w:r w:rsidR="00DE3C36">
        <w:rPr>
          <w:rFonts w:cs="Arial"/>
          <w:b/>
          <w:szCs w:val="20"/>
        </w:rPr>
        <w:t xml:space="preserve"> stěhování</w:t>
      </w:r>
      <w:r w:rsidR="00DE3C36" w:rsidRPr="00400443">
        <w:rPr>
          <w:rFonts w:cs="Arial"/>
          <w:b/>
          <w:szCs w:val="20"/>
        </w:rPr>
        <w:t xml:space="preserve"> a podíl mužů</w:t>
      </w:r>
      <w:r w:rsidR="00DE3C36">
        <w:rPr>
          <w:rFonts w:cs="Arial"/>
          <w:b/>
          <w:szCs w:val="20"/>
        </w:rPr>
        <w:t xml:space="preserve"> (v %)</w:t>
      </w:r>
      <w:r w:rsidR="00DE3C36" w:rsidRPr="00400443">
        <w:rPr>
          <w:rFonts w:cs="Arial"/>
          <w:b/>
          <w:szCs w:val="20"/>
        </w:rPr>
        <w:t xml:space="preserve"> v letech 2005–2017</w:t>
      </w:r>
    </w:p>
    <w:p w:rsidR="00FF0A52" w:rsidRPr="00FF0A52" w:rsidRDefault="004E73B2" w:rsidP="00FF0A52">
      <w:r w:rsidRPr="004E73B2">
        <w:rPr>
          <w:noProof/>
        </w:rPr>
        <w:drawing>
          <wp:anchor distT="0" distB="0" distL="114300" distR="114300" simplePos="0" relativeHeight="251701760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-2540</wp:posOffset>
            </wp:positionV>
            <wp:extent cx="5400675" cy="2886075"/>
            <wp:effectExtent l="0" t="0" r="9525" b="9525"/>
            <wp:wrapNone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3FCA" w:rsidRDefault="00233FCA" w:rsidP="00233FCA">
      <w:pPr>
        <w:tabs>
          <w:tab w:val="left" w:pos="1125"/>
        </w:tabs>
      </w:pPr>
    </w:p>
    <w:p w:rsidR="007D125D" w:rsidRDefault="007D125D" w:rsidP="00233FCA">
      <w:pPr>
        <w:tabs>
          <w:tab w:val="left" w:pos="1125"/>
        </w:tabs>
      </w:pPr>
    </w:p>
    <w:p w:rsidR="007D125D" w:rsidRPr="007D125D" w:rsidRDefault="007D125D" w:rsidP="007D125D"/>
    <w:p w:rsidR="007D125D" w:rsidRPr="007D125D" w:rsidRDefault="007D125D" w:rsidP="007D125D"/>
    <w:p w:rsidR="007D125D" w:rsidRPr="007D125D" w:rsidRDefault="007D125D" w:rsidP="007D125D"/>
    <w:p w:rsidR="007D125D" w:rsidRPr="007D125D" w:rsidRDefault="007D125D" w:rsidP="007D125D"/>
    <w:p w:rsidR="007D125D" w:rsidRPr="007D125D" w:rsidRDefault="007D125D" w:rsidP="007D125D"/>
    <w:p w:rsidR="007D125D" w:rsidRDefault="007D125D" w:rsidP="007D125D"/>
    <w:p w:rsidR="007D125D" w:rsidRDefault="007D125D" w:rsidP="00044043">
      <w:pPr>
        <w:spacing w:after="0"/>
        <w:rPr>
          <w:rFonts w:cs="Arial"/>
          <w:b/>
          <w:szCs w:val="20"/>
        </w:rPr>
      </w:pPr>
    </w:p>
    <w:p w:rsidR="007D125D" w:rsidRDefault="00501671" w:rsidP="007D125D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Graf 17</w:t>
      </w:r>
      <w:r w:rsidR="007D125D" w:rsidRPr="00091A5B">
        <w:rPr>
          <w:rFonts w:cs="Arial"/>
          <w:b/>
          <w:szCs w:val="20"/>
        </w:rPr>
        <w:t xml:space="preserve"> </w:t>
      </w:r>
      <w:proofErr w:type="spellStart"/>
      <w:r w:rsidR="007D125D">
        <w:rPr>
          <w:rFonts w:cs="Arial"/>
          <w:b/>
          <w:szCs w:val="20"/>
        </w:rPr>
        <w:t>Vnitro</w:t>
      </w:r>
      <w:r w:rsidR="007D125D" w:rsidRPr="00286992">
        <w:rPr>
          <w:rFonts w:cs="Arial"/>
          <w:b/>
          <w:szCs w:val="20"/>
        </w:rPr>
        <w:t>krajské</w:t>
      </w:r>
      <w:proofErr w:type="spellEnd"/>
      <w:r w:rsidR="007D125D" w:rsidRPr="00286992">
        <w:rPr>
          <w:rFonts w:cs="Arial"/>
          <w:b/>
          <w:szCs w:val="20"/>
        </w:rPr>
        <w:t xml:space="preserve"> stěhování podle věkových skupin v letech 2005–2017 (v %)</w:t>
      </w:r>
    </w:p>
    <w:p w:rsidR="0023600E" w:rsidRDefault="0001432B" w:rsidP="007D125D">
      <w:pPr>
        <w:spacing w:after="60"/>
        <w:rPr>
          <w:rFonts w:cs="Arial"/>
          <w:b/>
          <w:szCs w:val="20"/>
        </w:rPr>
      </w:pPr>
      <w:r w:rsidRPr="0001432B">
        <w:rPr>
          <w:noProof/>
        </w:rPr>
        <w:drawing>
          <wp:anchor distT="0" distB="0" distL="114300" distR="114300" simplePos="0" relativeHeight="251705856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3175</wp:posOffset>
            </wp:positionV>
            <wp:extent cx="5429250" cy="2886075"/>
            <wp:effectExtent l="0" t="0" r="0" b="9525"/>
            <wp:wrapNone/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47E93" w:rsidRDefault="00847E93" w:rsidP="007D125D"/>
    <w:p w:rsidR="00847E93" w:rsidRPr="00847E93" w:rsidRDefault="00847E93" w:rsidP="00847E93"/>
    <w:p w:rsidR="00847E93" w:rsidRPr="00847E93" w:rsidRDefault="00847E93" w:rsidP="00847E93"/>
    <w:p w:rsidR="00847E93" w:rsidRPr="00847E93" w:rsidRDefault="00847E93" w:rsidP="00847E93"/>
    <w:p w:rsidR="00847E93" w:rsidRPr="00847E93" w:rsidRDefault="00847E93" w:rsidP="00847E93"/>
    <w:p w:rsidR="00847E93" w:rsidRPr="00847E93" w:rsidRDefault="00847E93" w:rsidP="00847E93"/>
    <w:p w:rsidR="00847E93" w:rsidRPr="00847E93" w:rsidRDefault="00847E93" w:rsidP="00847E93"/>
    <w:p w:rsidR="00847E93" w:rsidRDefault="00847E93" w:rsidP="00847E93"/>
    <w:p w:rsidR="00847E93" w:rsidRDefault="00847E93" w:rsidP="00044043">
      <w:pPr>
        <w:spacing w:after="0"/>
      </w:pPr>
    </w:p>
    <w:p w:rsidR="00847E93" w:rsidRPr="0049318C" w:rsidRDefault="0049318C" w:rsidP="00AC754C">
      <w:pPr>
        <w:rPr>
          <w:rFonts w:cs="Arial"/>
          <w:szCs w:val="20"/>
        </w:rPr>
      </w:pPr>
      <w:r>
        <w:rPr>
          <w:rFonts w:cs="Arial"/>
          <w:szCs w:val="20"/>
        </w:rPr>
        <w:t xml:space="preserve">Nejčastěji zastoupenou věkovou skupinou u </w:t>
      </w:r>
      <w:proofErr w:type="spellStart"/>
      <w:r>
        <w:rPr>
          <w:rFonts w:cs="Arial"/>
          <w:szCs w:val="20"/>
        </w:rPr>
        <w:t>vnitrokrajské</w:t>
      </w:r>
      <w:proofErr w:type="spellEnd"/>
      <w:r>
        <w:rPr>
          <w:rFonts w:cs="Arial"/>
          <w:szCs w:val="20"/>
        </w:rPr>
        <w:t xml:space="preserve"> migrace byly 18–34letí, jejich podíl </w:t>
      </w:r>
      <w:proofErr w:type="gramStart"/>
      <w:r>
        <w:rPr>
          <w:rFonts w:cs="Arial"/>
          <w:szCs w:val="20"/>
        </w:rPr>
        <w:t>poklesl z 42,9</w:t>
      </w:r>
      <w:proofErr w:type="gramEnd"/>
      <w:r>
        <w:rPr>
          <w:rFonts w:cs="Arial"/>
          <w:szCs w:val="20"/>
        </w:rPr>
        <w:t> % v roce 2005 na 34,1 % v posledním sledovaném roce</w:t>
      </w:r>
      <w:r w:rsidR="007C0AA1">
        <w:rPr>
          <w:rFonts w:cs="Arial"/>
          <w:szCs w:val="20"/>
        </w:rPr>
        <w:t xml:space="preserve"> (Graf 17</w:t>
      </w:r>
      <w:r w:rsidR="00BA3A9F">
        <w:rPr>
          <w:rFonts w:cs="Arial"/>
          <w:szCs w:val="20"/>
        </w:rPr>
        <w:t>)</w:t>
      </w:r>
      <w:r>
        <w:rPr>
          <w:rFonts w:cs="Arial"/>
          <w:szCs w:val="20"/>
        </w:rPr>
        <w:t xml:space="preserve">. Zastoupení dětí do 17 let bylo také významné a narostlo z 23,7 % v roce 2005 na 28,1 % v roce 2017. Vzrostl </w:t>
      </w:r>
      <w:r w:rsidR="009B0CED">
        <w:rPr>
          <w:rFonts w:cs="Arial"/>
          <w:szCs w:val="20"/>
        </w:rPr>
        <w:t>i</w:t>
      </w:r>
      <w:r>
        <w:rPr>
          <w:rFonts w:cs="Arial"/>
          <w:szCs w:val="20"/>
        </w:rPr>
        <w:t xml:space="preserve"> podíl osob ve věku 35–49 let z 17,4 % na 21,9 % ve stejném období. Podíly 50 až 64letých a 65letých a starších na </w:t>
      </w:r>
      <w:proofErr w:type="spellStart"/>
      <w:r>
        <w:rPr>
          <w:rFonts w:cs="Arial"/>
          <w:szCs w:val="20"/>
        </w:rPr>
        <w:t>vnitrokrajské</w:t>
      </w:r>
      <w:proofErr w:type="spellEnd"/>
      <w:r>
        <w:rPr>
          <w:rFonts w:cs="Arial"/>
          <w:szCs w:val="20"/>
        </w:rPr>
        <w:t xml:space="preserve"> migraci </w:t>
      </w:r>
      <w:r>
        <w:rPr>
          <w:rFonts w:cs="Arial"/>
          <w:szCs w:val="20"/>
        </w:rPr>
        <w:lastRenderedPageBreak/>
        <w:t xml:space="preserve">v letech 2005 až 2017 stagnovaly v rozpětí 9,1 % – 9,8 %, respektive 4,6 % – 6,8 %. </w:t>
      </w:r>
      <w:r w:rsidR="00BA3A9F">
        <w:rPr>
          <w:rFonts w:cs="Arial"/>
          <w:szCs w:val="20"/>
        </w:rPr>
        <w:t xml:space="preserve">Ve srovnání se všemi případy vnitřního stěhování se u </w:t>
      </w:r>
      <w:proofErr w:type="spellStart"/>
      <w:r w:rsidR="00BA3A9F">
        <w:rPr>
          <w:rFonts w:cs="Arial"/>
          <w:szCs w:val="20"/>
        </w:rPr>
        <w:t>vnitrokrajského</w:t>
      </w:r>
      <w:proofErr w:type="spellEnd"/>
      <w:r w:rsidR="00BA3A9F">
        <w:rPr>
          <w:rFonts w:cs="Arial"/>
          <w:szCs w:val="20"/>
        </w:rPr>
        <w:t xml:space="preserve"> relativně více stěhovaly děti a méně osoby ve věku 18–34 let. Z toho vyplývá, že průměrný věk migranta, který se stěhoval uvnitř kraje, byl </w:t>
      </w:r>
      <w:r w:rsidR="009B0CED">
        <w:rPr>
          <w:rFonts w:cs="Arial"/>
          <w:szCs w:val="20"/>
        </w:rPr>
        <w:t>zhruba o 0,5 roku nižší než u všech případů vnitřního stěhování a pohyboval se v r</w:t>
      </w:r>
      <w:r w:rsidR="007C0AA1">
        <w:rPr>
          <w:rFonts w:cs="Arial"/>
          <w:szCs w:val="20"/>
        </w:rPr>
        <w:t>ozmezí 30,1 až 31,2 let (Graf 18</w:t>
      </w:r>
      <w:r w:rsidR="009B0CED">
        <w:rPr>
          <w:rFonts w:cs="Arial"/>
          <w:szCs w:val="20"/>
        </w:rPr>
        <w:t xml:space="preserve">).   </w:t>
      </w:r>
      <w:r w:rsidR="00BA3A9F">
        <w:rPr>
          <w:rFonts w:cs="Arial"/>
          <w:szCs w:val="20"/>
        </w:rPr>
        <w:t xml:space="preserve">    </w:t>
      </w:r>
      <w:r>
        <w:rPr>
          <w:rFonts w:cs="Arial"/>
          <w:szCs w:val="20"/>
        </w:rPr>
        <w:t xml:space="preserve">  </w:t>
      </w:r>
    </w:p>
    <w:p w:rsidR="00847E93" w:rsidRDefault="00501671" w:rsidP="00847E93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Graf 18</w:t>
      </w:r>
      <w:r w:rsidR="00847E93" w:rsidRPr="00091A5B">
        <w:rPr>
          <w:rFonts w:cs="Arial"/>
          <w:b/>
          <w:szCs w:val="20"/>
        </w:rPr>
        <w:t xml:space="preserve"> </w:t>
      </w:r>
      <w:r w:rsidR="00847E93">
        <w:rPr>
          <w:rFonts w:cs="Arial"/>
          <w:b/>
          <w:szCs w:val="20"/>
        </w:rPr>
        <w:t xml:space="preserve">Průměrný věk migrantů u </w:t>
      </w:r>
      <w:proofErr w:type="spellStart"/>
      <w:r w:rsidR="00847E93">
        <w:rPr>
          <w:rFonts w:cs="Arial"/>
          <w:b/>
          <w:szCs w:val="20"/>
        </w:rPr>
        <w:t>vnitro</w:t>
      </w:r>
      <w:r w:rsidR="00847E93" w:rsidRPr="001D3DA3">
        <w:rPr>
          <w:rFonts w:cs="Arial"/>
          <w:b/>
          <w:szCs w:val="20"/>
        </w:rPr>
        <w:t>krajského</w:t>
      </w:r>
      <w:proofErr w:type="spellEnd"/>
      <w:r w:rsidR="00847E93" w:rsidRPr="001D3DA3">
        <w:rPr>
          <w:rFonts w:cs="Arial"/>
          <w:b/>
          <w:szCs w:val="20"/>
        </w:rPr>
        <w:t xml:space="preserve"> stěhování podle pohlaví v letech 2005–2017</w:t>
      </w:r>
    </w:p>
    <w:p w:rsidR="00F64276" w:rsidRDefault="00F64276" w:rsidP="00847E93">
      <w:pPr>
        <w:tabs>
          <w:tab w:val="left" w:pos="2850"/>
        </w:tabs>
      </w:pPr>
      <w:r w:rsidRPr="00F64276">
        <w:rPr>
          <w:noProof/>
        </w:rPr>
        <w:drawing>
          <wp:anchor distT="0" distB="0" distL="114300" distR="114300" simplePos="0" relativeHeight="251686400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400675" cy="2886075"/>
            <wp:effectExtent l="0" t="0" r="9525" b="9525"/>
            <wp:wrapNone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4276" w:rsidRPr="00F64276" w:rsidRDefault="00F64276" w:rsidP="00F64276"/>
    <w:p w:rsidR="00F64276" w:rsidRPr="00F64276" w:rsidRDefault="00F64276" w:rsidP="00F64276"/>
    <w:p w:rsidR="00F64276" w:rsidRPr="00F64276" w:rsidRDefault="00F64276" w:rsidP="00F64276"/>
    <w:p w:rsidR="00F64276" w:rsidRPr="00F64276" w:rsidRDefault="00F64276" w:rsidP="00F64276"/>
    <w:p w:rsidR="00F64276" w:rsidRPr="00F64276" w:rsidRDefault="00F64276" w:rsidP="00F64276"/>
    <w:p w:rsidR="00F64276" w:rsidRPr="00F64276" w:rsidRDefault="00F64276" w:rsidP="00F64276"/>
    <w:p w:rsidR="00F64276" w:rsidRPr="00F64276" w:rsidRDefault="00F64276" w:rsidP="00F64276"/>
    <w:p w:rsidR="00F64276" w:rsidRDefault="00F64276" w:rsidP="00F64276"/>
    <w:p w:rsidR="00AC754C" w:rsidRDefault="00AC754C" w:rsidP="00AC754C">
      <w:pPr>
        <w:spacing w:after="0"/>
        <w:rPr>
          <w:rFonts w:cs="Arial"/>
          <w:b/>
          <w:szCs w:val="20"/>
        </w:rPr>
      </w:pPr>
    </w:p>
    <w:p w:rsidR="00F64276" w:rsidRDefault="00501671" w:rsidP="00F64276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Graf 19</w:t>
      </w:r>
      <w:r w:rsidR="00F64276" w:rsidRPr="00091A5B">
        <w:rPr>
          <w:rFonts w:cs="Arial"/>
          <w:b/>
          <w:szCs w:val="20"/>
        </w:rPr>
        <w:t xml:space="preserve"> </w:t>
      </w:r>
      <w:proofErr w:type="spellStart"/>
      <w:r w:rsidR="00F64276">
        <w:rPr>
          <w:rFonts w:cs="Arial"/>
          <w:b/>
          <w:szCs w:val="20"/>
        </w:rPr>
        <w:t>Vnitrokrajské</w:t>
      </w:r>
      <w:proofErr w:type="spellEnd"/>
      <w:r w:rsidR="00F64276">
        <w:rPr>
          <w:rFonts w:cs="Arial"/>
          <w:b/>
          <w:szCs w:val="20"/>
        </w:rPr>
        <w:t xml:space="preserve"> stěhování cizinců v letech 2005–2017</w:t>
      </w:r>
    </w:p>
    <w:p w:rsidR="00CA69A1" w:rsidRDefault="00AB0923" w:rsidP="00AB0923">
      <w:r w:rsidRPr="00AB0923">
        <w:rPr>
          <w:noProof/>
        </w:rPr>
        <w:drawing>
          <wp:anchor distT="0" distB="0" distL="114300" distR="114300" simplePos="0" relativeHeight="25168742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-3810</wp:posOffset>
            </wp:positionV>
            <wp:extent cx="5400675" cy="2886075"/>
            <wp:effectExtent l="0" t="0" r="9525" b="9525"/>
            <wp:wrapNone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69A1" w:rsidRPr="00CA69A1" w:rsidRDefault="00CA69A1" w:rsidP="00CA69A1"/>
    <w:p w:rsidR="00CA69A1" w:rsidRPr="00CA69A1" w:rsidRDefault="00CA69A1" w:rsidP="00CA69A1"/>
    <w:p w:rsidR="00CA69A1" w:rsidRPr="00CA69A1" w:rsidRDefault="00CA69A1" w:rsidP="00CA69A1"/>
    <w:p w:rsidR="00CA69A1" w:rsidRPr="00CA69A1" w:rsidRDefault="00CA69A1" w:rsidP="00CA69A1"/>
    <w:p w:rsidR="00CA69A1" w:rsidRPr="00CA69A1" w:rsidRDefault="00CA69A1" w:rsidP="00CA69A1"/>
    <w:p w:rsidR="00CA69A1" w:rsidRPr="00CA69A1" w:rsidRDefault="00CA69A1" w:rsidP="00CA69A1"/>
    <w:p w:rsidR="00CA69A1" w:rsidRPr="00CA69A1" w:rsidRDefault="00CA69A1" w:rsidP="00CA69A1"/>
    <w:p w:rsidR="00CA69A1" w:rsidRDefault="00CA69A1" w:rsidP="00CA69A1"/>
    <w:p w:rsidR="00DF5D37" w:rsidRDefault="00DF5D37" w:rsidP="00AC754C">
      <w:pPr>
        <w:spacing w:after="0"/>
        <w:rPr>
          <w:rFonts w:cs="Arial"/>
          <w:b/>
          <w:szCs w:val="20"/>
        </w:rPr>
      </w:pPr>
    </w:p>
    <w:p w:rsidR="00AC754C" w:rsidRPr="00EA7BF4" w:rsidRDefault="00EA7BF4" w:rsidP="00DF5D37">
      <w:pPr>
        <w:spacing w:after="60"/>
        <w:rPr>
          <w:rFonts w:cs="Arial"/>
          <w:szCs w:val="20"/>
        </w:rPr>
      </w:pPr>
      <w:r>
        <w:rPr>
          <w:rFonts w:cs="Arial"/>
          <w:szCs w:val="20"/>
        </w:rPr>
        <w:t xml:space="preserve">Podíl cizinců na </w:t>
      </w:r>
      <w:proofErr w:type="spellStart"/>
      <w:r>
        <w:rPr>
          <w:rFonts w:cs="Arial"/>
          <w:szCs w:val="20"/>
        </w:rPr>
        <w:t>vnitrokrajské</w:t>
      </w:r>
      <w:proofErr w:type="spellEnd"/>
      <w:r>
        <w:rPr>
          <w:rFonts w:cs="Arial"/>
          <w:szCs w:val="20"/>
        </w:rPr>
        <w:t xml:space="preserve"> migraci byl nižší než u stěhování celkem a pohyboval se ve sledovaném období v rozmezí </w:t>
      </w:r>
      <w:r w:rsidR="007C0AA1">
        <w:rPr>
          <w:rFonts w:cs="Arial"/>
          <w:szCs w:val="20"/>
        </w:rPr>
        <w:t>4,8 % až 10,3 % (Graf 19</w:t>
      </w:r>
      <w:r w:rsidR="00CC5498">
        <w:rPr>
          <w:rFonts w:cs="Arial"/>
          <w:szCs w:val="20"/>
        </w:rPr>
        <w:t xml:space="preserve">), přičemž nejnižší hodnoty byly na začátku a na konci sledovaného období a nejvyšší (nad 9,0 %) v letech 2007 až 2010. Obdobně to bylo i s celkovým počtem cizinců, kteří se přestěhovali uvnitř kraje. Nejnižší hodnoty okolo 7 až 8 tisíc byly na krajích zkoumaného období a maxima na úrovni 14 až 15 tisíc v letech 2007 až 2010. </w:t>
      </w:r>
      <w:r>
        <w:rPr>
          <w:rFonts w:cs="Arial"/>
          <w:szCs w:val="20"/>
        </w:rPr>
        <w:t xml:space="preserve"> </w:t>
      </w:r>
    </w:p>
    <w:p w:rsidR="00DF5D37" w:rsidRDefault="00DF5D37" w:rsidP="00445339">
      <w:pPr>
        <w:spacing w:after="0"/>
        <w:rPr>
          <w:rFonts w:cs="Arial"/>
          <w:b/>
          <w:szCs w:val="20"/>
        </w:rPr>
      </w:pPr>
    </w:p>
    <w:p w:rsidR="00DF5D37" w:rsidRPr="009F5E33" w:rsidRDefault="009F5E33" w:rsidP="0094522B">
      <w:pPr>
        <w:rPr>
          <w:rFonts w:cs="Arial"/>
          <w:szCs w:val="20"/>
        </w:rPr>
      </w:pPr>
      <w:r>
        <w:rPr>
          <w:rFonts w:cs="Arial"/>
          <w:szCs w:val="20"/>
        </w:rPr>
        <w:t xml:space="preserve">Za celé sledované období se nejvyšší počet případů </w:t>
      </w:r>
      <w:proofErr w:type="spellStart"/>
      <w:r>
        <w:rPr>
          <w:rFonts w:cs="Arial"/>
          <w:szCs w:val="20"/>
        </w:rPr>
        <w:t>vnitrokrajského</w:t>
      </w:r>
      <w:proofErr w:type="spellEnd"/>
      <w:r>
        <w:rPr>
          <w:rFonts w:cs="Arial"/>
          <w:szCs w:val="20"/>
        </w:rPr>
        <w:t xml:space="preserve"> stěhování uskutečnil ve Stře</w:t>
      </w:r>
      <w:r w:rsidR="007C0AA1">
        <w:rPr>
          <w:rFonts w:cs="Arial"/>
          <w:szCs w:val="20"/>
        </w:rPr>
        <w:t>dočeském kraji (273 908; graf 20</w:t>
      </w:r>
      <w:r>
        <w:rPr>
          <w:rFonts w:cs="Arial"/>
          <w:szCs w:val="20"/>
        </w:rPr>
        <w:t xml:space="preserve">), za kterým následovaly kraje Moravskoslezský (244 028), Jihomoravský (231 940) </w:t>
      </w:r>
      <w:r>
        <w:rPr>
          <w:rFonts w:cs="Arial"/>
          <w:szCs w:val="20"/>
        </w:rPr>
        <w:lastRenderedPageBreak/>
        <w:t>a</w:t>
      </w:r>
      <w:r w:rsidR="003658E1">
        <w:rPr>
          <w:rFonts w:cs="Arial"/>
          <w:szCs w:val="20"/>
        </w:rPr>
        <w:t> </w:t>
      </w:r>
      <w:r>
        <w:rPr>
          <w:rFonts w:cs="Arial"/>
          <w:szCs w:val="20"/>
        </w:rPr>
        <w:t>Ústecký (225 624). Naopak nejméně to bylo v Karlovarském kraji (76 472) a kraji Vysočina (85 759)</w:t>
      </w:r>
      <w:r w:rsidR="0041048E">
        <w:rPr>
          <w:rFonts w:cs="Arial"/>
          <w:szCs w:val="20"/>
        </w:rPr>
        <w:t>.</w:t>
      </w:r>
      <w:r w:rsidR="00C12942">
        <w:rPr>
          <w:rFonts w:cs="Arial"/>
          <w:szCs w:val="20"/>
        </w:rPr>
        <w:t xml:space="preserve"> Při relativizaci ukazatele na 1 000 obyvatel středního stavu daného kraje měly nejvyššího hodnoty Ústecký (21,0 ‰) a Karlovarský kraj (19,4 ‰) a naopak nejnižší kraj Vysočina a Zlínský (oba 12,9 ‰).</w:t>
      </w:r>
      <w:r w:rsidR="00B94565">
        <w:rPr>
          <w:rFonts w:cs="Arial"/>
          <w:szCs w:val="20"/>
        </w:rPr>
        <w:t xml:space="preserve"> Vysoké hodnoty u Ústeckého kraje jsou pravděpodobně částečně způsobeny větším počtem populačně </w:t>
      </w:r>
      <w:r w:rsidR="00BD0254">
        <w:rPr>
          <w:rFonts w:cs="Arial"/>
          <w:szCs w:val="20"/>
        </w:rPr>
        <w:t>velkých</w:t>
      </w:r>
      <w:r w:rsidR="00B94565">
        <w:rPr>
          <w:rFonts w:cs="Arial"/>
          <w:szCs w:val="20"/>
        </w:rPr>
        <w:t xml:space="preserve"> měst v kraji.  </w:t>
      </w:r>
      <w:r w:rsidR="00C12942">
        <w:rPr>
          <w:rFonts w:cs="Arial"/>
          <w:szCs w:val="20"/>
        </w:rPr>
        <w:t xml:space="preserve">   </w:t>
      </w:r>
      <w:r w:rsidR="0041048E">
        <w:rPr>
          <w:rFonts w:cs="Arial"/>
          <w:szCs w:val="20"/>
        </w:rPr>
        <w:t xml:space="preserve"> </w:t>
      </w:r>
    </w:p>
    <w:p w:rsidR="00DF5D37" w:rsidRDefault="00501671" w:rsidP="00DF5D37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Graf 20</w:t>
      </w:r>
      <w:r w:rsidR="00DF5D37" w:rsidRPr="00091A5B">
        <w:rPr>
          <w:rFonts w:cs="Arial"/>
          <w:b/>
          <w:szCs w:val="20"/>
        </w:rPr>
        <w:t xml:space="preserve"> </w:t>
      </w:r>
      <w:proofErr w:type="spellStart"/>
      <w:r w:rsidR="00DF5D37" w:rsidRPr="00DF5D37">
        <w:rPr>
          <w:rFonts w:cs="Arial"/>
          <w:b/>
          <w:szCs w:val="20"/>
        </w:rPr>
        <w:t>Vnitrokrajské</w:t>
      </w:r>
      <w:proofErr w:type="spellEnd"/>
      <w:r w:rsidR="00DF5D37" w:rsidRPr="00DF5D37">
        <w:rPr>
          <w:rFonts w:cs="Arial"/>
          <w:b/>
          <w:szCs w:val="20"/>
        </w:rPr>
        <w:t xml:space="preserve"> stěhování podle krajů </w:t>
      </w:r>
      <w:r w:rsidR="006B662B">
        <w:rPr>
          <w:rFonts w:cs="Arial"/>
          <w:b/>
          <w:szCs w:val="20"/>
        </w:rPr>
        <w:t>za období</w:t>
      </w:r>
      <w:r w:rsidR="00DF5D37" w:rsidRPr="00DF5D37">
        <w:rPr>
          <w:rFonts w:cs="Arial"/>
          <w:b/>
          <w:szCs w:val="20"/>
        </w:rPr>
        <w:t xml:space="preserve"> 2005–2017</w:t>
      </w:r>
    </w:p>
    <w:p w:rsidR="00DF5D37" w:rsidRDefault="0086319A" w:rsidP="00DF5D37">
      <w:pPr>
        <w:spacing w:after="60"/>
        <w:rPr>
          <w:rFonts w:cs="Arial"/>
          <w:b/>
          <w:szCs w:val="20"/>
        </w:rPr>
      </w:pPr>
      <w:r w:rsidRPr="0086319A">
        <w:rPr>
          <w:noProof/>
        </w:rPr>
        <w:drawing>
          <wp:anchor distT="0" distB="0" distL="114300" distR="114300" simplePos="0" relativeHeight="251691520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400675" cy="3248025"/>
            <wp:effectExtent l="0" t="0" r="9525" b="9525"/>
            <wp:wrapNone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5D37" w:rsidRDefault="00DF5D37" w:rsidP="00CA69A1">
      <w:pPr>
        <w:tabs>
          <w:tab w:val="left" w:pos="1170"/>
        </w:tabs>
      </w:pPr>
    </w:p>
    <w:p w:rsidR="00765793" w:rsidRDefault="00765793" w:rsidP="00CA69A1">
      <w:pPr>
        <w:tabs>
          <w:tab w:val="left" w:pos="1170"/>
        </w:tabs>
      </w:pPr>
    </w:p>
    <w:p w:rsidR="00765793" w:rsidRPr="00765793" w:rsidRDefault="00765793" w:rsidP="00765793"/>
    <w:p w:rsidR="00765793" w:rsidRPr="00765793" w:rsidRDefault="00765793" w:rsidP="00765793"/>
    <w:p w:rsidR="00765793" w:rsidRPr="00765793" w:rsidRDefault="00765793" w:rsidP="00765793"/>
    <w:p w:rsidR="00765793" w:rsidRPr="00765793" w:rsidRDefault="00765793" w:rsidP="00765793"/>
    <w:p w:rsidR="00765793" w:rsidRPr="00765793" w:rsidRDefault="00765793" w:rsidP="00765793"/>
    <w:p w:rsidR="00765793" w:rsidRPr="00765793" w:rsidRDefault="00765793" w:rsidP="00765793"/>
    <w:p w:rsidR="00765793" w:rsidRPr="00765793" w:rsidRDefault="00765793" w:rsidP="00765793"/>
    <w:p w:rsidR="00765793" w:rsidRDefault="00765793" w:rsidP="00765793"/>
    <w:p w:rsidR="00765793" w:rsidRDefault="00765793" w:rsidP="00765793">
      <w:pPr>
        <w:pStyle w:val="Nadpis2"/>
      </w:pPr>
      <w:bookmarkStart w:id="6" w:name="_Toc531859776"/>
      <w:r>
        <w:t xml:space="preserve">4.1 </w:t>
      </w:r>
      <w:r w:rsidRPr="00765793">
        <w:t>Meziokresní stěhování v rámci kraje</w:t>
      </w:r>
      <w:bookmarkEnd w:id="6"/>
    </w:p>
    <w:p w:rsidR="003677AA" w:rsidRPr="003677AA" w:rsidRDefault="003677AA" w:rsidP="00316A2C">
      <w:pPr>
        <w:spacing w:after="60"/>
        <w:rPr>
          <w:rFonts w:cs="Arial"/>
          <w:szCs w:val="20"/>
        </w:rPr>
      </w:pPr>
      <w:proofErr w:type="spellStart"/>
      <w:r>
        <w:rPr>
          <w:rFonts w:cs="Arial"/>
          <w:szCs w:val="20"/>
        </w:rPr>
        <w:t>Vnitrokrajské</w:t>
      </w:r>
      <w:proofErr w:type="spellEnd"/>
      <w:r>
        <w:rPr>
          <w:rFonts w:cs="Arial"/>
          <w:szCs w:val="20"/>
        </w:rPr>
        <w:t xml:space="preserve"> stěhování lze dále rozdělit na stěhování mezi okresy v rámci kraje a na migraci mezi obcemi v rámci okresu. Prvně jmenované nejčastěji v období 2005–2017 probíhalo mezi okresy Jihomoravského (122 332 případů stěhování</w:t>
      </w:r>
      <w:r w:rsidR="007C0AA1">
        <w:rPr>
          <w:rFonts w:cs="Arial"/>
          <w:szCs w:val="20"/>
        </w:rPr>
        <w:t>; Graf 21</w:t>
      </w:r>
      <w:r>
        <w:rPr>
          <w:rFonts w:cs="Arial"/>
          <w:szCs w:val="20"/>
        </w:rPr>
        <w:t xml:space="preserve">), Moravskoslezského (99 503) a Středočeského kraje (81 108). Oproti tomu nejmenší počet </w:t>
      </w:r>
      <w:proofErr w:type="spellStart"/>
      <w:r>
        <w:rPr>
          <w:rFonts w:cs="Arial"/>
          <w:szCs w:val="20"/>
        </w:rPr>
        <w:t>přestěhovalých</w:t>
      </w:r>
      <w:proofErr w:type="spellEnd"/>
      <w:r>
        <w:rPr>
          <w:rFonts w:cs="Arial"/>
          <w:szCs w:val="20"/>
        </w:rPr>
        <w:t xml:space="preserve"> mezi okresy byl v rámci Karlovarského (17 857) a Zlínského kraje (18 398)</w:t>
      </w:r>
      <w:r w:rsidR="00C753DE">
        <w:rPr>
          <w:rStyle w:val="Znakapoznpodarou"/>
          <w:rFonts w:cs="Arial"/>
          <w:szCs w:val="20"/>
        </w:rPr>
        <w:footnoteReference w:id="7"/>
      </w:r>
      <w:r>
        <w:rPr>
          <w:rFonts w:cs="Arial"/>
          <w:szCs w:val="20"/>
        </w:rPr>
        <w:t>.</w:t>
      </w:r>
      <w:r w:rsidR="005E69C5">
        <w:rPr>
          <w:rFonts w:cs="Arial"/>
          <w:szCs w:val="20"/>
        </w:rPr>
        <w:t xml:space="preserve"> Po vztáhnutí meziokresního stěhování v rámci kraje na 1 000 obyvatel středního stavu kraje měl nejvyšší hodnoty Plzeňský kraj (8,8 ‰), následovaný Jihomoravským (8,1 ‰) a Moravskoslezským (6,2 ‰), zatímco nejnižší kraj Vysočina a Zlínský kraj (oba 2,4 ‰). </w:t>
      </w:r>
      <w:r w:rsidR="00DA77A0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 xml:space="preserve">   </w:t>
      </w:r>
    </w:p>
    <w:p w:rsidR="00DA77A0" w:rsidRDefault="00DA77A0" w:rsidP="002420F6">
      <w:pPr>
        <w:spacing w:after="0"/>
        <w:rPr>
          <w:rFonts w:cs="Arial"/>
          <w:b/>
          <w:szCs w:val="20"/>
        </w:rPr>
      </w:pPr>
    </w:p>
    <w:p w:rsidR="002420F6" w:rsidRPr="00465114" w:rsidRDefault="00465114" w:rsidP="00316A2C">
      <w:pPr>
        <w:spacing w:after="60"/>
        <w:rPr>
          <w:rFonts w:cs="Arial"/>
          <w:szCs w:val="20"/>
        </w:rPr>
      </w:pPr>
      <w:r w:rsidRPr="00465114">
        <w:rPr>
          <w:rFonts w:cs="Arial"/>
          <w:szCs w:val="20"/>
        </w:rPr>
        <w:t>Nejpočetnější mez</w:t>
      </w:r>
      <w:r>
        <w:rPr>
          <w:rFonts w:cs="Arial"/>
          <w:szCs w:val="20"/>
        </w:rPr>
        <w:t xml:space="preserve">iokresní proudy v rámci kraje se týkaly zejména okresů tvořených úplně (Brno-město) nebo z větší části (Ostrava-město, Plzeň-město) velkým městem na jedné straně a okresy tvořící zázemí těchto měst na druhé straně (Tab. 1). Vůbec nejpočetnější proud </w:t>
      </w:r>
      <w:r w:rsidR="00DD2F82">
        <w:rPr>
          <w:rFonts w:cs="Arial"/>
          <w:szCs w:val="20"/>
        </w:rPr>
        <w:t xml:space="preserve">za celé sledované období </w:t>
      </w:r>
      <w:r>
        <w:rPr>
          <w:rFonts w:cs="Arial"/>
          <w:szCs w:val="20"/>
        </w:rPr>
        <w:t>byl zaznamenán mezi Brnem-městem a Brnem-venkovem (38 510 ve směru z Brna-města a 17 802 druhým směrem).</w:t>
      </w:r>
      <w:r w:rsidR="00886579">
        <w:rPr>
          <w:rFonts w:cs="Arial"/>
          <w:szCs w:val="20"/>
        </w:rPr>
        <w:t xml:space="preserve"> Další významné proudy byly mezi Plzní-městem a Plzní-severem (o něco objemově nižší i s Plzní-jihem), kde také převažoval proud směrem z města. </w:t>
      </w:r>
      <w:r w:rsidR="00A902A5">
        <w:rPr>
          <w:rFonts w:cs="Arial"/>
          <w:szCs w:val="20"/>
        </w:rPr>
        <w:t xml:space="preserve">Z Ostravy-města se spíše obyvatelé vystěhovávali směrem do okresů Frýdek-Místek, Opava nebo Nový Jičín. Opačný směr byl silnější pouze u okresu Karviná – 11 637 obyvatel se přestěhovalo v letech 2005 až 2017 z Karviné </w:t>
      </w:r>
      <w:r w:rsidR="00DD2F82">
        <w:rPr>
          <w:rFonts w:cs="Arial"/>
          <w:szCs w:val="20"/>
        </w:rPr>
        <w:t>do Ostravy-města</w:t>
      </w:r>
      <w:r w:rsidR="00A902A5">
        <w:rPr>
          <w:rFonts w:cs="Arial"/>
          <w:szCs w:val="20"/>
        </w:rPr>
        <w:t>, zatímco směrem do Karviné to bylo 10 133.</w:t>
      </w:r>
      <w:r w:rsidR="005D4AC1">
        <w:rPr>
          <w:rFonts w:cs="Arial"/>
          <w:szCs w:val="20"/>
        </w:rPr>
        <w:t xml:space="preserve"> Právě proud z Karviné do Ostravy-města nejvíce početně posílil (z nejpočetnějších proudů z tab. 1) z hodnot pod 700 na začátku období až na zhruba 1 100 v letech 2013–2017.</w:t>
      </w:r>
      <w:r w:rsidR="00A902A5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 xml:space="preserve">  </w:t>
      </w:r>
    </w:p>
    <w:p w:rsidR="00DA77A0" w:rsidRDefault="00DA77A0" w:rsidP="00316A2C">
      <w:pPr>
        <w:spacing w:after="60"/>
        <w:rPr>
          <w:rFonts w:cs="Arial"/>
          <w:b/>
          <w:szCs w:val="20"/>
        </w:rPr>
      </w:pPr>
    </w:p>
    <w:p w:rsidR="00EB4118" w:rsidRDefault="00EB4118" w:rsidP="00316A2C">
      <w:pPr>
        <w:spacing w:after="60"/>
        <w:rPr>
          <w:rFonts w:cs="Arial"/>
          <w:b/>
          <w:szCs w:val="20"/>
        </w:rPr>
      </w:pPr>
    </w:p>
    <w:p w:rsidR="00316A2C" w:rsidRDefault="00501671" w:rsidP="00316A2C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lastRenderedPageBreak/>
        <w:t>Graf 21</w:t>
      </w:r>
      <w:r w:rsidR="00316A2C" w:rsidRPr="00091A5B">
        <w:rPr>
          <w:rFonts w:cs="Arial"/>
          <w:b/>
          <w:szCs w:val="20"/>
        </w:rPr>
        <w:t xml:space="preserve"> </w:t>
      </w:r>
      <w:r w:rsidR="00316A2C" w:rsidRPr="00316A2C">
        <w:rPr>
          <w:rFonts w:cs="Arial"/>
          <w:b/>
          <w:szCs w:val="20"/>
        </w:rPr>
        <w:t>Meziokresní stěhování v rámci kraje podle krajů</w:t>
      </w:r>
      <w:r w:rsidR="00316A2C" w:rsidRPr="00DF5D37">
        <w:rPr>
          <w:rFonts w:cs="Arial"/>
          <w:b/>
          <w:szCs w:val="20"/>
        </w:rPr>
        <w:t xml:space="preserve"> </w:t>
      </w:r>
      <w:r w:rsidR="00316A2C">
        <w:rPr>
          <w:rFonts w:cs="Arial"/>
          <w:b/>
          <w:szCs w:val="20"/>
        </w:rPr>
        <w:t>za období</w:t>
      </w:r>
      <w:r w:rsidR="00316A2C" w:rsidRPr="00DF5D37">
        <w:rPr>
          <w:rFonts w:cs="Arial"/>
          <w:b/>
          <w:szCs w:val="20"/>
        </w:rPr>
        <w:t xml:space="preserve"> 2005–2017</w:t>
      </w:r>
    </w:p>
    <w:p w:rsidR="00316A2C" w:rsidRDefault="00CD778A" w:rsidP="00316A2C">
      <w:pPr>
        <w:spacing w:after="60"/>
        <w:rPr>
          <w:rFonts w:cs="Arial"/>
          <w:b/>
          <w:szCs w:val="20"/>
        </w:rPr>
      </w:pPr>
      <w:r w:rsidRPr="00CD778A">
        <w:rPr>
          <w:noProof/>
        </w:rPr>
        <w:drawing>
          <wp:anchor distT="0" distB="0" distL="114300" distR="114300" simplePos="0" relativeHeight="25169254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635</wp:posOffset>
            </wp:positionV>
            <wp:extent cx="5400675" cy="3248025"/>
            <wp:effectExtent l="0" t="0" r="9525" b="9525"/>
            <wp:wrapNone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5793" w:rsidRPr="00765793" w:rsidRDefault="00765793" w:rsidP="00765793"/>
    <w:p w:rsidR="00CD778A" w:rsidRDefault="00CD778A" w:rsidP="00765793">
      <w:pPr>
        <w:tabs>
          <w:tab w:val="left" w:pos="2910"/>
        </w:tabs>
      </w:pPr>
    </w:p>
    <w:p w:rsidR="00CD778A" w:rsidRPr="00CD778A" w:rsidRDefault="00CD778A" w:rsidP="00CD778A"/>
    <w:p w:rsidR="00CD778A" w:rsidRPr="00CD778A" w:rsidRDefault="00CD778A" w:rsidP="00CD778A"/>
    <w:p w:rsidR="00CD778A" w:rsidRPr="00CD778A" w:rsidRDefault="00CD778A" w:rsidP="00CD778A"/>
    <w:p w:rsidR="00CD778A" w:rsidRPr="00CD778A" w:rsidRDefault="00CD778A" w:rsidP="00CD778A"/>
    <w:p w:rsidR="00CD778A" w:rsidRPr="00CD778A" w:rsidRDefault="00CD778A" w:rsidP="00CD778A"/>
    <w:p w:rsidR="00CD778A" w:rsidRDefault="00CD778A" w:rsidP="00CD778A"/>
    <w:p w:rsidR="00CA69A1" w:rsidRDefault="00CA69A1" w:rsidP="00CD778A">
      <w:pPr>
        <w:jc w:val="right"/>
      </w:pPr>
    </w:p>
    <w:p w:rsidR="004D08F9" w:rsidRDefault="004D08F9" w:rsidP="004D08F9"/>
    <w:p w:rsidR="004D08F9" w:rsidRDefault="004D08F9" w:rsidP="004D08F9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Tab. 1</w:t>
      </w:r>
      <w:r w:rsidRPr="00091A5B">
        <w:rPr>
          <w:rFonts w:cs="Arial"/>
          <w:b/>
          <w:szCs w:val="20"/>
        </w:rPr>
        <w:t xml:space="preserve"> </w:t>
      </w:r>
      <w:r w:rsidR="007E58B7">
        <w:rPr>
          <w:rFonts w:cs="Arial"/>
          <w:b/>
          <w:szCs w:val="20"/>
        </w:rPr>
        <w:t>Nejpočetnější m</w:t>
      </w:r>
      <w:r w:rsidRPr="004D08F9">
        <w:rPr>
          <w:rFonts w:cs="Arial"/>
          <w:b/>
          <w:szCs w:val="20"/>
        </w:rPr>
        <w:t>eziokresní proudy stěhování v rámci kraje za období 2005–2017</w:t>
      </w:r>
    </w:p>
    <w:tbl>
      <w:tblPr>
        <w:tblW w:w="850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5"/>
        <w:gridCol w:w="2835"/>
        <w:gridCol w:w="2835"/>
      </w:tblGrid>
      <w:tr w:rsidR="00771D95" w:rsidRPr="00771D95" w:rsidTr="00584628">
        <w:trPr>
          <w:trHeight w:val="263"/>
        </w:trPr>
        <w:tc>
          <w:tcPr>
            <w:tcW w:w="2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771D95" w:rsidRPr="00771D95" w:rsidRDefault="00771D95" w:rsidP="00771D95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71D95">
              <w:rPr>
                <w:rFonts w:cs="Arial"/>
                <w:b/>
                <w:bCs/>
                <w:sz w:val="16"/>
                <w:szCs w:val="16"/>
              </w:rPr>
              <w:t>Okres vystěhování</w:t>
            </w: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771D95" w:rsidRPr="00771D95" w:rsidRDefault="00771D95" w:rsidP="00771D95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71D95">
              <w:rPr>
                <w:rFonts w:cs="Arial"/>
                <w:b/>
                <w:bCs/>
                <w:sz w:val="16"/>
                <w:szCs w:val="16"/>
              </w:rPr>
              <w:t>Okres přistěhování</w:t>
            </w: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FFFFFF" w:fill="F5DADD"/>
            <w:vAlign w:val="center"/>
            <w:hideMark/>
          </w:tcPr>
          <w:p w:rsidR="00771D95" w:rsidRPr="00771D95" w:rsidRDefault="00771D95" w:rsidP="00771D95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71D95">
              <w:rPr>
                <w:rFonts w:cs="Arial"/>
                <w:b/>
                <w:bCs/>
                <w:sz w:val="16"/>
                <w:szCs w:val="16"/>
              </w:rPr>
              <w:t>Počet migrantů</w:t>
            </w:r>
          </w:p>
        </w:tc>
      </w:tr>
      <w:tr w:rsidR="00771D95" w:rsidRPr="00771D95" w:rsidTr="00584628">
        <w:trPr>
          <w:trHeight w:val="255"/>
        </w:trPr>
        <w:tc>
          <w:tcPr>
            <w:tcW w:w="2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Brno-město</w:t>
            </w: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Brno-venkov</w:t>
            </w: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38 510</w:t>
            </w:r>
          </w:p>
        </w:tc>
      </w:tr>
      <w:tr w:rsidR="00771D95" w:rsidRPr="00771D95" w:rsidTr="00584628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Brno-venkov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Brno-město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17 802</w:t>
            </w:r>
          </w:p>
        </w:tc>
      </w:tr>
      <w:tr w:rsidR="00771D95" w:rsidRPr="00771D95" w:rsidTr="00584628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Plzeň-město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Plzeň-sever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12 545</w:t>
            </w:r>
          </w:p>
        </w:tc>
      </w:tr>
      <w:tr w:rsidR="00771D95" w:rsidRPr="00771D95" w:rsidTr="00584628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Karviná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Ostrava-město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11 637</w:t>
            </w:r>
          </w:p>
        </w:tc>
      </w:tr>
      <w:tr w:rsidR="00771D95" w:rsidRPr="00771D95" w:rsidTr="00584628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Ostrava-město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Frýdek-Místek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10 737</w:t>
            </w:r>
          </w:p>
        </w:tc>
      </w:tr>
      <w:tr w:rsidR="00771D95" w:rsidRPr="00771D95" w:rsidTr="00584628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Ostrava-město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Karviná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10 133</w:t>
            </w:r>
          </w:p>
        </w:tc>
      </w:tr>
      <w:tr w:rsidR="00771D95" w:rsidRPr="00771D95" w:rsidTr="00584628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Ostrava-město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Opava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9 346</w:t>
            </w:r>
          </w:p>
        </w:tc>
      </w:tr>
      <w:tr w:rsidR="00771D95" w:rsidRPr="00771D95" w:rsidTr="00584628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Karviná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Frýdek-Místek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8 461</w:t>
            </w:r>
          </w:p>
        </w:tc>
      </w:tr>
      <w:tr w:rsidR="00771D95" w:rsidRPr="00771D95" w:rsidTr="00584628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Plzeň-sever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Plzeň-město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7 159</w:t>
            </w:r>
          </w:p>
        </w:tc>
      </w:tr>
      <w:tr w:rsidR="00771D95" w:rsidRPr="00771D95" w:rsidTr="00584628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Brno-město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Vyškov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6 839</w:t>
            </w:r>
          </w:p>
        </w:tc>
      </w:tr>
      <w:tr w:rsidR="00771D95" w:rsidRPr="00771D95" w:rsidTr="00584628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Plzeň-město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Plzeň-jih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6 624</w:t>
            </w:r>
          </w:p>
        </w:tc>
      </w:tr>
      <w:tr w:rsidR="00771D95" w:rsidRPr="00771D95" w:rsidTr="00584628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Opava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Ostrava-město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6 439</w:t>
            </w:r>
          </w:p>
        </w:tc>
      </w:tr>
      <w:tr w:rsidR="00771D95" w:rsidRPr="00771D95" w:rsidTr="00584628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Brno-město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Blansko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6 181</w:t>
            </w:r>
          </w:p>
        </w:tc>
      </w:tr>
      <w:tr w:rsidR="00771D95" w:rsidRPr="00771D95" w:rsidTr="00584628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Český Krumlov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České Budějovice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5 741</w:t>
            </w:r>
          </w:p>
        </w:tc>
      </w:tr>
      <w:tr w:rsidR="00771D95" w:rsidRPr="00771D95" w:rsidTr="00584628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Frýdek-Místek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Ostrava-město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5 497</w:t>
            </w:r>
          </w:p>
        </w:tc>
      </w:tr>
      <w:tr w:rsidR="00771D95" w:rsidRPr="00771D95" w:rsidTr="00584628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Ostrava-město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Nový Jičín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5 486</w:t>
            </w:r>
          </w:p>
        </w:tc>
      </w:tr>
      <w:tr w:rsidR="00771D95" w:rsidRPr="00771D95" w:rsidTr="00584628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Pardubice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Chrudim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5 451</w:t>
            </w:r>
          </w:p>
        </w:tc>
      </w:tr>
      <w:tr w:rsidR="00771D95" w:rsidRPr="00771D95" w:rsidTr="00584628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Liberec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Jablonec nad Nisou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5 181</w:t>
            </w:r>
          </w:p>
        </w:tc>
      </w:tr>
      <w:tr w:rsidR="00771D95" w:rsidRPr="00771D95" w:rsidTr="00584628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Sokolov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Karlovy Vary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5 048</w:t>
            </w:r>
          </w:p>
        </w:tc>
      </w:tr>
      <w:tr w:rsidR="00771D95" w:rsidRPr="00771D95" w:rsidTr="00584628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Plzeň-jih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Plzeň-město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771D95" w:rsidRPr="00771D95" w:rsidRDefault="00771D95" w:rsidP="00771D9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71D95">
              <w:rPr>
                <w:rFonts w:cs="Arial"/>
                <w:sz w:val="16"/>
                <w:szCs w:val="16"/>
              </w:rPr>
              <w:t>5 007</w:t>
            </w:r>
          </w:p>
        </w:tc>
      </w:tr>
    </w:tbl>
    <w:p w:rsidR="00771D95" w:rsidRDefault="00771D95" w:rsidP="005D4AC1">
      <w:pPr>
        <w:spacing w:after="0"/>
        <w:rPr>
          <w:rFonts w:cs="Arial"/>
          <w:b/>
          <w:szCs w:val="20"/>
        </w:rPr>
      </w:pPr>
    </w:p>
    <w:p w:rsidR="006E5FB9" w:rsidRDefault="006E5FB9" w:rsidP="006E5FB9">
      <w:pPr>
        <w:pStyle w:val="Nadpis2"/>
      </w:pPr>
      <w:bookmarkStart w:id="7" w:name="_Toc531859777"/>
      <w:r>
        <w:t xml:space="preserve">4.2 </w:t>
      </w:r>
      <w:proofErr w:type="spellStart"/>
      <w:r w:rsidRPr="006E5FB9">
        <w:t>Meziobecní</w:t>
      </w:r>
      <w:proofErr w:type="spellEnd"/>
      <w:r w:rsidRPr="006E5FB9">
        <w:t xml:space="preserve"> stěhování v rámci okresu</w:t>
      </w:r>
      <w:bookmarkEnd w:id="7"/>
    </w:p>
    <w:p w:rsidR="00DD2F82" w:rsidRPr="00BA04B8" w:rsidRDefault="00C235DF" w:rsidP="00007445">
      <w:pPr>
        <w:rPr>
          <w:rFonts w:cs="Arial"/>
          <w:szCs w:val="20"/>
        </w:rPr>
      </w:pPr>
      <w:r>
        <w:rPr>
          <w:rFonts w:cs="Arial"/>
          <w:szCs w:val="20"/>
        </w:rPr>
        <w:t xml:space="preserve">Stěhování v rámci okresu bylo v období 2005–2017 nejčastější v okrese Karviná (37 741 případů stěhování; Tab. 2). V tomto okrese se kromě Karviné nachází i další větší města (Havířov, Orlová), mezi kterými jsou migrační proudy </w:t>
      </w:r>
      <w:r w:rsidR="000C4F06">
        <w:rPr>
          <w:rFonts w:cs="Arial"/>
          <w:szCs w:val="20"/>
        </w:rPr>
        <w:t xml:space="preserve">v rámci okresu </w:t>
      </w:r>
      <w:r>
        <w:rPr>
          <w:rFonts w:cs="Arial"/>
          <w:szCs w:val="20"/>
        </w:rPr>
        <w:t xml:space="preserve">nejčastější. Za Karvinou následovaly okresy Olomouc (37 441 případů) </w:t>
      </w:r>
      <w:r>
        <w:rPr>
          <w:rFonts w:cs="Arial"/>
          <w:szCs w:val="20"/>
        </w:rPr>
        <w:lastRenderedPageBreak/>
        <w:t>a</w:t>
      </w:r>
      <w:r w:rsidR="003658E1">
        <w:rPr>
          <w:rFonts w:cs="Arial"/>
          <w:szCs w:val="20"/>
        </w:rPr>
        <w:t> </w:t>
      </w:r>
      <w:r>
        <w:rPr>
          <w:rFonts w:cs="Arial"/>
          <w:szCs w:val="20"/>
        </w:rPr>
        <w:t>České Budějovice (36 828).</w:t>
      </w:r>
      <w:r w:rsidR="00C753DE">
        <w:rPr>
          <w:rFonts w:cs="Arial"/>
          <w:szCs w:val="20"/>
        </w:rPr>
        <w:t xml:space="preserve"> Nejméně početné bylo </w:t>
      </w:r>
      <w:proofErr w:type="spellStart"/>
      <w:r w:rsidR="00C753DE">
        <w:rPr>
          <w:rFonts w:cs="Arial"/>
          <w:szCs w:val="20"/>
        </w:rPr>
        <w:t>meziobecní</w:t>
      </w:r>
      <w:proofErr w:type="spellEnd"/>
      <w:r w:rsidR="00C753DE">
        <w:rPr>
          <w:rFonts w:cs="Arial"/>
          <w:szCs w:val="20"/>
        </w:rPr>
        <w:t xml:space="preserve"> stěhování v rámci okresu (ve sledovaném období) v okrese Plzeň-město (4 149 stěhování), Plzeň-jih (7 028) a Rokycany (7 534)</w:t>
      </w:r>
      <w:r w:rsidR="006260B9">
        <w:rPr>
          <w:rStyle w:val="Znakapoznpodarou"/>
          <w:rFonts w:cs="Arial"/>
          <w:szCs w:val="20"/>
        </w:rPr>
        <w:footnoteReference w:id="8"/>
      </w:r>
      <w:r w:rsidR="00C753DE">
        <w:rPr>
          <w:rFonts w:cs="Arial"/>
          <w:szCs w:val="20"/>
        </w:rPr>
        <w:t xml:space="preserve">. </w:t>
      </w:r>
      <w:r>
        <w:rPr>
          <w:rFonts w:cs="Arial"/>
          <w:szCs w:val="20"/>
        </w:rPr>
        <w:t xml:space="preserve">   </w:t>
      </w:r>
    </w:p>
    <w:p w:rsidR="006E6E30" w:rsidRDefault="006E6E30" w:rsidP="006E6E30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Tab. 2</w:t>
      </w:r>
      <w:r w:rsidRPr="00091A5B">
        <w:rPr>
          <w:rFonts w:cs="Arial"/>
          <w:b/>
          <w:szCs w:val="20"/>
        </w:rPr>
        <w:t xml:space="preserve"> </w:t>
      </w:r>
      <w:proofErr w:type="spellStart"/>
      <w:r w:rsidRPr="006E6E30">
        <w:rPr>
          <w:rFonts w:cs="Arial"/>
          <w:b/>
          <w:szCs w:val="20"/>
        </w:rPr>
        <w:t>Meziobecní</w:t>
      </w:r>
      <w:proofErr w:type="spellEnd"/>
      <w:r w:rsidRPr="006E6E30">
        <w:rPr>
          <w:rFonts w:cs="Arial"/>
          <w:b/>
          <w:szCs w:val="20"/>
        </w:rPr>
        <w:t xml:space="preserve"> stěhování v rámci okresu podle okresů </w:t>
      </w:r>
      <w:r>
        <w:rPr>
          <w:rFonts w:cs="Arial"/>
          <w:b/>
          <w:szCs w:val="20"/>
        </w:rPr>
        <w:t xml:space="preserve">za </w:t>
      </w:r>
      <w:r w:rsidRPr="004D08F9">
        <w:rPr>
          <w:rFonts w:cs="Arial"/>
          <w:b/>
          <w:szCs w:val="20"/>
        </w:rPr>
        <w:t>období 2005–2017</w:t>
      </w:r>
    </w:p>
    <w:tbl>
      <w:tblPr>
        <w:tblW w:w="850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7"/>
        <w:gridCol w:w="2126"/>
        <w:gridCol w:w="2126"/>
        <w:gridCol w:w="2126"/>
      </w:tblGrid>
      <w:tr w:rsidR="00C12EB3" w:rsidRPr="00C12EB3" w:rsidTr="00C12EB3">
        <w:trPr>
          <w:trHeight w:val="263"/>
        </w:trPr>
        <w:tc>
          <w:tcPr>
            <w:tcW w:w="3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FFFFFF" w:fill="F5DADD"/>
            <w:vAlign w:val="center"/>
            <w:hideMark/>
          </w:tcPr>
          <w:p w:rsidR="00C12EB3" w:rsidRPr="00C12EB3" w:rsidRDefault="00C12EB3" w:rsidP="00C12EB3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C12EB3">
              <w:rPr>
                <w:rFonts w:cs="Arial"/>
                <w:b/>
                <w:bCs/>
                <w:sz w:val="16"/>
                <w:szCs w:val="16"/>
              </w:rPr>
              <w:t>Okresy s nejvyšším počtem migrantů</w:t>
            </w:r>
          </w:p>
        </w:tc>
        <w:tc>
          <w:tcPr>
            <w:tcW w:w="3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FFFFFF" w:fill="F5DADD"/>
            <w:vAlign w:val="center"/>
            <w:hideMark/>
          </w:tcPr>
          <w:p w:rsidR="00C12EB3" w:rsidRPr="00C12EB3" w:rsidRDefault="00C12EB3" w:rsidP="00C12EB3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C12EB3">
              <w:rPr>
                <w:rFonts w:cs="Arial"/>
                <w:b/>
                <w:bCs/>
                <w:sz w:val="16"/>
                <w:szCs w:val="16"/>
              </w:rPr>
              <w:t>Okresy s nejnižším počtem migrantů</w:t>
            </w:r>
          </w:p>
        </w:tc>
      </w:tr>
      <w:tr w:rsidR="00C12EB3" w:rsidRPr="00C12EB3" w:rsidTr="00C12EB3">
        <w:trPr>
          <w:trHeight w:val="263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C12EB3" w:rsidRPr="00C12EB3" w:rsidRDefault="00C12EB3" w:rsidP="00C12EB3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C12EB3">
              <w:rPr>
                <w:rFonts w:cs="Arial"/>
                <w:b/>
                <w:bCs/>
                <w:sz w:val="16"/>
                <w:szCs w:val="16"/>
              </w:rPr>
              <w:t xml:space="preserve">Okres 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C12EB3" w:rsidRPr="00C12EB3" w:rsidRDefault="00C12EB3" w:rsidP="00C12EB3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C12EB3">
              <w:rPr>
                <w:rFonts w:cs="Arial"/>
                <w:b/>
                <w:bCs/>
                <w:sz w:val="16"/>
                <w:szCs w:val="16"/>
              </w:rPr>
              <w:t>Počet migrantů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C12EB3" w:rsidRPr="00C12EB3" w:rsidRDefault="00C12EB3" w:rsidP="00C12EB3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C12EB3">
              <w:rPr>
                <w:rFonts w:cs="Arial"/>
                <w:b/>
                <w:bCs/>
                <w:sz w:val="16"/>
                <w:szCs w:val="16"/>
              </w:rPr>
              <w:t>Okres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5DADD"/>
            <w:vAlign w:val="center"/>
            <w:hideMark/>
          </w:tcPr>
          <w:p w:rsidR="00C12EB3" w:rsidRPr="00C12EB3" w:rsidRDefault="00C12EB3" w:rsidP="00C12EB3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C12EB3">
              <w:rPr>
                <w:rFonts w:cs="Arial"/>
                <w:b/>
                <w:bCs/>
                <w:sz w:val="16"/>
                <w:szCs w:val="16"/>
              </w:rPr>
              <w:t>Počet migrantů</w:t>
            </w:r>
          </w:p>
        </w:tc>
      </w:tr>
      <w:tr w:rsidR="00C12EB3" w:rsidRPr="00C12EB3" w:rsidTr="00C12EB3">
        <w:trPr>
          <w:trHeight w:val="255"/>
        </w:trPr>
        <w:tc>
          <w:tcPr>
            <w:tcW w:w="19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C12EB3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Karviná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7D21F0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37 741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C12EB3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Plzeň-město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7D21F0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4 149</w:t>
            </w:r>
          </w:p>
        </w:tc>
      </w:tr>
      <w:tr w:rsidR="00C12EB3" w:rsidRPr="00C12EB3" w:rsidTr="00C12EB3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C12EB3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Olomouc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7D21F0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37 441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C12EB3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Plzeň-jih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7D21F0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7 028</w:t>
            </w:r>
          </w:p>
        </w:tc>
      </w:tr>
      <w:tr w:rsidR="00C12EB3" w:rsidRPr="00C12EB3" w:rsidTr="00C12EB3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C12EB3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České Budějovice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7D21F0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36 828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C12EB3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Rokycany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7D21F0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7 534</w:t>
            </w:r>
          </w:p>
        </w:tc>
      </w:tr>
      <w:tr w:rsidR="00C12EB3" w:rsidRPr="00C12EB3" w:rsidTr="00C12EB3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C12EB3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Teplice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7D21F0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32 647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C12EB3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Prachatice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7D21F0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7 912</w:t>
            </w:r>
          </w:p>
        </w:tc>
      </w:tr>
      <w:tr w:rsidR="00C12EB3" w:rsidRPr="00C12EB3" w:rsidTr="00C12EB3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C12EB3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Frýdek-Místek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7D21F0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32 333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C12EB3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Jeseník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7D21F0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8 196</w:t>
            </w:r>
          </w:p>
        </w:tc>
      </w:tr>
      <w:tr w:rsidR="00C12EB3" w:rsidRPr="00C12EB3" w:rsidTr="00C12EB3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C12EB3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Chomutov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7D21F0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29 114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C12EB3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Plzeň-sever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7D21F0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8 608</w:t>
            </w:r>
          </w:p>
        </w:tc>
      </w:tr>
      <w:tr w:rsidR="00C12EB3" w:rsidRPr="00C12EB3" w:rsidTr="00C12EB3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C12EB3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Mladá Boleslav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7D21F0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28 122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C12EB3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Písek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7D21F0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9 008</w:t>
            </w:r>
          </w:p>
        </w:tc>
      </w:tr>
      <w:tr w:rsidR="00C12EB3" w:rsidRPr="00C12EB3" w:rsidTr="00C12EB3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C12EB3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Kladno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7D21F0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27 707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C12EB3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Praha-západ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7D21F0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9 303</w:t>
            </w:r>
          </w:p>
        </w:tc>
      </w:tr>
      <w:tr w:rsidR="00C12EB3" w:rsidRPr="00C12EB3" w:rsidTr="00C12EB3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C12EB3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Pardubice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7D21F0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26 584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C12EB3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Rakovník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7D21F0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9 517</w:t>
            </w:r>
          </w:p>
        </w:tc>
      </w:tr>
      <w:tr w:rsidR="00C12EB3" w:rsidRPr="00C12EB3" w:rsidTr="00C12EB3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C12EB3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Liberec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7D21F0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26 070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C12EB3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Pelhřimov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C12EB3" w:rsidRPr="00C12EB3" w:rsidRDefault="00C12EB3" w:rsidP="007D21F0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C12EB3">
              <w:rPr>
                <w:rFonts w:cs="Arial"/>
                <w:sz w:val="16"/>
                <w:szCs w:val="16"/>
              </w:rPr>
              <w:t>9 729</w:t>
            </w:r>
          </w:p>
        </w:tc>
      </w:tr>
    </w:tbl>
    <w:p w:rsidR="00C12EB3" w:rsidRPr="00007445" w:rsidRDefault="00C12EB3" w:rsidP="00007445">
      <w:pPr>
        <w:spacing w:after="0"/>
        <w:rPr>
          <w:rFonts w:cs="Arial"/>
          <w:szCs w:val="20"/>
        </w:rPr>
      </w:pPr>
    </w:p>
    <w:p w:rsidR="00007445" w:rsidRPr="00007445" w:rsidRDefault="006260B9" w:rsidP="007E2727">
      <w:pPr>
        <w:spacing w:after="0"/>
        <w:rPr>
          <w:rFonts w:cs="Arial"/>
          <w:szCs w:val="20"/>
        </w:rPr>
      </w:pPr>
      <w:r>
        <w:rPr>
          <w:rFonts w:cs="Arial"/>
          <w:szCs w:val="20"/>
        </w:rPr>
        <w:t>Po přepočtu na 1 000 obyvatel střední</w:t>
      </w:r>
      <w:r w:rsidR="00EB4118">
        <w:rPr>
          <w:rFonts w:cs="Arial"/>
          <w:szCs w:val="20"/>
        </w:rPr>
        <w:t>ho</w:t>
      </w:r>
      <w:r>
        <w:rPr>
          <w:rFonts w:cs="Arial"/>
          <w:szCs w:val="20"/>
        </w:rPr>
        <w:t xml:space="preserve"> stavu daného okresu měly nejvíce případů stěhování v rámci okresu za období 2005–2017</w:t>
      </w:r>
      <w:r w:rsidR="00836E97">
        <w:rPr>
          <w:rFonts w:cs="Arial"/>
          <w:szCs w:val="20"/>
        </w:rPr>
        <w:t xml:space="preserve"> (Tab. 3)</w:t>
      </w:r>
      <w:r>
        <w:rPr>
          <w:rFonts w:cs="Arial"/>
          <w:szCs w:val="20"/>
        </w:rPr>
        <w:t xml:space="preserve"> okresy Teplice (19,5 ‰), Chomutov </w:t>
      </w:r>
      <w:r w:rsidR="003658E1">
        <w:rPr>
          <w:rFonts w:cs="Arial"/>
          <w:szCs w:val="20"/>
        </w:rPr>
        <w:t>(17,9 ‰) a Mladá Boleslav (17,6 </w:t>
      </w:r>
      <w:r>
        <w:rPr>
          <w:rFonts w:cs="Arial"/>
          <w:szCs w:val="20"/>
        </w:rPr>
        <w:t>‰).</w:t>
      </w:r>
      <w:r w:rsidR="00836E97">
        <w:rPr>
          <w:rFonts w:cs="Arial"/>
          <w:szCs w:val="20"/>
        </w:rPr>
        <w:t xml:space="preserve"> Naopak nejnižší intenzita migrace v rámci okresu byla zaznamen</w:t>
      </w:r>
      <w:r w:rsidR="003658E1">
        <w:rPr>
          <w:rFonts w:cs="Arial"/>
          <w:szCs w:val="20"/>
        </w:rPr>
        <w:t>ána v okresech Plzeň-město (1,8 </w:t>
      </w:r>
      <w:r w:rsidR="00836E97">
        <w:rPr>
          <w:rFonts w:cs="Arial"/>
          <w:szCs w:val="20"/>
        </w:rPr>
        <w:t xml:space="preserve">‰) a Ostrava-město (2,8 ‰). Jedná se o vysoce urbanizované okresy s velmi nízkým počtem obcí, kde se obyvatelstvo většinou stěhuje mimo hranice okresu. Další okresy s nízkou intenzitou migrace uvnitř okresu byly např. Praha-západ, Praha-východ nebo Plzeň-jih a Plzeň-sever, kde bylo také typické stěhování mimo hranice okresu do (z) blízkého velkého města.       </w:t>
      </w:r>
      <w:r>
        <w:rPr>
          <w:rFonts w:cs="Arial"/>
          <w:szCs w:val="20"/>
        </w:rPr>
        <w:t xml:space="preserve"> </w:t>
      </w:r>
    </w:p>
    <w:p w:rsidR="00007445" w:rsidRDefault="00007445" w:rsidP="007E2727">
      <w:pPr>
        <w:spacing w:after="0"/>
        <w:rPr>
          <w:rFonts w:cs="Arial"/>
          <w:b/>
          <w:szCs w:val="20"/>
        </w:rPr>
      </w:pPr>
    </w:p>
    <w:p w:rsidR="007E2727" w:rsidRDefault="007E2727" w:rsidP="007E2727">
      <w:pPr>
        <w:spacing w:after="0"/>
        <w:rPr>
          <w:rFonts w:cs="Arial"/>
          <w:b/>
          <w:szCs w:val="20"/>
        </w:rPr>
      </w:pPr>
      <w:r>
        <w:rPr>
          <w:rFonts w:cs="Arial"/>
          <w:b/>
          <w:szCs w:val="20"/>
        </w:rPr>
        <w:t>Tab. 3</w:t>
      </w:r>
      <w:r w:rsidRPr="00091A5B">
        <w:rPr>
          <w:rFonts w:cs="Arial"/>
          <w:b/>
          <w:szCs w:val="20"/>
        </w:rPr>
        <w:t xml:space="preserve"> </w:t>
      </w:r>
      <w:proofErr w:type="spellStart"/>
      <w:r w:rsidRPr="006E6E30">
        <w:rPr>
          <w:rFonts w:cs="Arial"/>
          <w:b/>
          <w:szCs w:val="20"/>
        </w:rPr>
        <w:t>Meziobecní</w:t>
      </w:r>
      <w:proofErr w:type="spellEnd"/>
      <w:r w:rsidRPr="006E6E30">
        <w:rPr>
          <w:rFonts w:cs="Arial"/>
          <w:b/>
          <w:szCs w:val="20"/>
        </w:rPr>
        <w:t xml:space="preserve"> stěhování v rámci okresu podle okresů </w:t>
      </w:r>
      <w:r>
        <w:rPr>
          <w:rFonts w:cs="Arial"/>
          <w:b/>
          <w:szCs w:val="20"/>
        </w:rPr>
        <w:t xml:space="preserve">za </w:t>
      </w:r>
      <w:r w:rsidRPr="004D08F9">
        <w:rPr>
          <w:rFonts w:cs="Arial"/>
          <w:b/>
          <w:szCs w:val="20"/>
        </w:rPr>
        <w:t>období 2005–201</w:t>
      </w:r>
      <w:r>
        <w:rPr>
          <w:rFonts w:cs="Arial"/>
          <w:b/>
          <w:szCs w:val="20"/>
        </w:rPr>
        <w:t>7</w:t>
      </w:r>
    </w:p>
    <w:p w:rsidR="007E2727" w:rsidRDefault="007E2727" w:rsidP="007E2727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 xml:space="preserve">           (na 1 000 obyvatel k 1. 7.) </w:t>
      </w:r>
    </w:p>
    <w:tbl>
      <w:tblPr>
        <w:tblW w:w="850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7"/>
        <w:gridCol w:w="2126"/>
        <w:gridCol w:w="2126"/>
        <w:gridCol w:w="2126"/>
      </w:tblGrid>
      <w:tr w:rsidR="00996564" w:rsidRPr="00996564" w:rsidTr="00996564">
        <w:trPr>
          <w:trHeight w:val="263"/>
        </w:trPr>
        <w:tc>
          <w:tcPr>
            <w:tcW w:w="3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FFFFFF" w:fill="F5DADD"/>
            <w:vAlign w:val="center"/>
            <w:hideMark/>
          </w:tcPr>
          <w:p w:rsidR="00996564" w:rsidRPr="00996564" w:rsidRDefault="00996564" w:rsidP="00996564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96564">
              <w:rPr>
                <w:rFonts w:cs="Arial"/>
                <w:b/>
                <w:bCs/>
                <w:sz w:val="16"/>
                <w:szCs w:val="16"/>
              </w:rPr>
              <w:t>Okresy s nejvyšší intenzitou migrace</w:t>
            </w:r>
          </w:p>
        </w:tc>
        <w:tc>
          <w:tcPr>
            <w:tcW w:w="3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FFFFFF" w:fill="F5DADD"/>
            <w:vAlign w:val="center"/>
            <w:hideMark/>
          </w:tcPr>
          <w:p w:rsidR="00996564" w:rsidRPr="00996564" w:rsidRDefault="00996564" w:rsidP="00996564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96564">
              <w:rPr>
                <w:rFonts w:cs="Arial"/>
                <w:b/>
                <w:bCs/>
                <w:sz w:val="16"/>
                <w:szCs w:val="16"/>
              </w:rPr>
              <w:t>Okresy s nejnižší intenzitou migrace</w:t>
            </w:r>
          </w:p>
        </w:tc>
      </w:tr>
      <w:tr w:rsidR="00996564" w:rsidRPr="00996564" w:rsidTr="00996564">
        <w:trPr>
          <w:trHeight w:val="263"/>
        </w:trPr>
        <w:tc>
          <w:tcPr>
            <w:tcW w:w="1960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996564" w:rsidRPr="00996564" w:rsidRDefault="00996564" w:rsidP="00996564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96564">
              <w:rPr>
                <w:rFonts w:cs="Arial"/>
                <w:b/>
                <w:bCs/>
                <w:sz w:val="16"/>
                <w:szCs w:val="16"/>
              </w:rPr>
              <w:t xml:space="preserve">Okres </w:t>
            </w:r>
          </w:p>
        </w:tc>
        <w:tc>
          <w:tcPr>
            <w:tcW w:w="1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996564" w:rsidRPr="00996564" w:rsidRDefault="00996564" w:rsidP="00996564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96564">
              <w:rPr>
                <w:rFonts w:cs="Arial"/>
                <w:b/>
                <w:bCs/>
                <w:sz w:val="16"/>
                <w:szCs w:val="16"/>
              </w:rPr>
              <w:t xml:space="preserve">Počet migrantů na </w:t>
            </w:r>
            <w:r w:rsidRPr="00996564">
              <w:rPr>
                <w:rFonts w:cs="Arial"/>
                <w:b/>
                <w:bCs/>
                <w:sz w:val="16"/>
                <w:szCs w:val="16"/>
              </w:rPr>
              <w:br/>
              <w:t>1 000 obyvatel</w:t>
            </w:r>
          </w:p>
        </w:tc>
        <w:tc>
          <w:tcPr>
            <w:tcW w:w="1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996564" w:rsidRPr="00996564" w:rsidRDefault="00996564" w:rsidP="00996564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96564">
              <w:rPr>
                <w:rFonts w:cs="Arial"/>
                <w:b/>
                <w:bCs/>
                <w:sz w:val="16"/>
                <w:szCs w:val="16"/>
              </w:rPr>
              <w:t>Okres</w:t>
            </w:r>
          </w:p>
        </w:tc>
        <w:tc>
          <w:tcPr>
            <w:tcW w:w="1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FFFFFF" w:fill="F5DADD"/>
            <w:vAlign w:val="center"/>
            <w:hideMark/>
          </w:tcPr>
          <w:p w:rsidR="00996564" w:rsidRPr="00996564" w:rsidRDefault="00996564" w:rsidP="00996564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96564">
              <w:rPr>
                <w:rFonts w:cs="Arial"/>
                <w:b/>
                <w:bCs/>
                <w:sz w:val="16"/>
                <w:szCs w:val="16"/>
              </w:rPr>
              <w:t xml:space="preserve">Počet migrantů na </w:t>
            </w:r>
            <w:r w:rsidRPr="00996564">
              <w:rPr>
                <w:rFonts w:cs="Arial"/>
                <w:b/>
                <w:bCs/>
                <w:sz w:val="16"/>
                <w:szCs w:val="16"/>
              </w:rPr>
              <w:br/>
              <w:t>1 000 obyvatel</w:t>
            </w:r>
          </w:p>
        </w:tc>
      </w:tr>
      <w:tr w:rsidR="00996564" w:rsidRPr="00996564" w:rsidTr="00996564">
        <w:trPr>
          <w:trHeight w:val="263"/>
        </w:trPr>
        <w:tc>
          <w:tcPr>
            <w:tcW w:w="19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1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1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1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</w:tr>
      <w:tr w:rsidR="00996564" w:rsidRPr="00996564" w:rsidTr="00996564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Teplice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19,5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Plzeň-město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1,8</w:t>
            </w:r>
          </w:p>
        </w:tc>
      </w:tr>
      <w:tr w:rsidR="00996564" w:rsidRPr="00996564" w:rsidTr="00996564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Chomutov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17,9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Ostrava-město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2,8</w:t>
            </w:r>
          </w:p>
        </w:tc>
      </w:tr>
      <w:tr w:rsidR="00996564" w:rsidRPr="00996564" w:rsidTr="00996564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Mladá Boleslav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17,6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Praha-západ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5,9</w:t>
            </w:r>
          </w:p>
        </w:tc>
      </w:tr>
      <w:tr w:rsidR="00996564" w:rsidRPr="00996564" w:rsidTr="00996564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Litoměřice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16,9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Praha-východ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7,5</w:t>
            </w:r>
          </w:p>
        </w:tc>
      </w:tr>
      <w:tr w:rsidR="00996564" w:rsidRPr="00996564" w:rsidTr="00996564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Sokolov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16,7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Plzeň-jih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8,6</w:t>
            </w:r>
          </w:p>
        </w:tc>
      </w:tr>
      <w:tr w:rsidR="00996564" w:rsidRPr="00996564" w:rsidTr="00996564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Česká Lípa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15,9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Plzeň-sever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8,8</w:t>
            </w:r>
          </w:p>
        </w:tc>
      </w:tr>
      <w:tr w:rsidR="00996564" w:rsidRPr="00996564" w:rsidTr="00996564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Tachov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15,8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Břeclav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9,4</w:t>
            </w:r>
          </w:p>
        </w:tc>
      </w:tr>
      <w:tr w:rsidR="00996564" w:rsidRPr="00996564" w:rsidTr="00996564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Jeseník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15,5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Brno-venkov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9,7</w:t>
            </w:r>
          </w:p>
        </w:tc>
      </w:tr>
      <w:tr w:rsidR="00996564" w:rsidRPr="00996564" w:rsidTr="00996564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Český Krumlov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15,4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Písek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9,8</w:t>
            </w:r>
          </w:p>
        </w:tc>
      </w:tr>
      <w:tr w:rsidR="00996564" w:rsidRPr="00996564" w:rsidTr="00996564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Louny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15,3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996564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Hradec Králové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996564" w:rsidRPr="00996564" w:rsidRDefault="00996564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96564">
              <w:rPr>
                <w:rFonts w:cs="Arial"/>
                <w:sz w:val="16"/>
                <w:szCs w:val="16"/>
              </w:rPr>
              <w:t>9,8</w:t>
            </w:r>
          </w:p>
        </w:tc>
      </w:tr>
    </w:tbl>
    <w:p w:rsidR="00996564" w:rsidRDefault="00996564" w:rsidP="0071105F">
      <w:pPr>
        <w:spacing w:after="0"/>
        <w:rPr>
          <w:rFonts w:cs="Arial"/>
          <w:b/>
          <w:szCs w:val="20"/>
        </w:rPr>
      </w:pPr>
    </w:p>
    <w:p w:rsidR="0071105F" w:rsidRPr="008D18E2" w:rsidRDefault="008D18E2" w:rsidP="007E2727">
      <w:pPr>
        <w:spacing w:after="60"/>
        <w:rPr>
          <w:rFonts w:cs="Arial"/>
          <w:szCs w:val="20"/>
        </w:rPr>
      </w:pPr>
      <w:r w:rsidRPr="008D18E2">
        <w:rPr>
          <w:rFonts w:cs="Arial"/>
          <w:szCs w:val="20"/>
        </w:rPr>
        <w:t xml:space="preserve">Nejpočetnější </w:t>
      </w:r>
      <w:proofErr w:type="spellStart"/>
      <w:r>
        <w:rPr>
          <w:rFonts w:cs="Arial"/>
          <w:szCs w:val="20"/>
        </w:rPr>
        <w:t>meziobecní</w:t>
      </w:r>
      <w:proofErr w:type="spellEnd"/>
      <w:r>
        <w:rPr>
          <w:rFonts w:cs="Arial"/>
          <w:szCs w:val="20"/>
        </w:rPr>
        <w:t xml:space="preserve"> proud uvnitř okresu v období 2005–20</w:t>
      </w:r>
      <w:r w:rsidR="003658E1">
        <w:rPr>
          <w:rFonts w:cs="Arial"/>
          <w:szCs w:val="20"/>
        </w:rPr>
        <w:t>17 byl sledován mezi Jirkovem a </w:t>
      </w:r>
      <w:r>
        <w:rPr>
          <w:rFonts w:cs="Arial"/>
          <w:szCs w:val="20"/>
        </w:rPr>
        <w:t xml:space="preserve">Chomutovem – 4 709 případů stěhování z Jirkova do Chomutova a 4 531 opačně (Tab. 4) Také proud mezi Litvínovem a Mostem byl velmi silný – 2 472 stěhujících se z Litvínova a 2 119 opačným směrem. Časté byly i proudy mezi Teplicemi na jedné straně a Dubím/Krupkou na straně druhé. Z 12 proudů s více než 1 500 případy stěhování ve zkoumaném období jich bylo 10 na území Ústeckého kraje.  </w:t>
      </w:r>
    </w:p>
    <w:p w:rsidR="00836E97" w:rsidRDefault="00836E97" w:rsidP="003E44F7">
      <w:pPr>
        <w:spacing w:after="60"/>
        <w:rPr>
          <w:rFonts w:cs="Arial"/>
          <w:b/>
          <w:szCs w:val="20"/>
        </w:rPr>
      </w:pPr>
    </w:p>
    <w:p w:rsidR="00836E97" w:rsidRDefault="00836E97" w:rsidP="003E44F7">
      <w:pPr>
        <w:spacing w:after="60"/>
        <w:rPr>
          <w:rFonts w:cs="Arial"/>
          <w:b/>
          <w:szCs w:val="20"/>
        </w:rPr>
      </w:pPr>
    </w:p>
    <w:p w:rsidR="00836E97" w:rsidRDefault="00836E97" w:rsidP="003E44F7">
      <w:pPr>
        <w:spacing w:after="60"/>
        <w:rPr>
          <w:rFonts w:cs="Arial"/>
          <w:b/>
          <w:szCs w:val="20"/>
        </w:rPr>
      </w:pPr>
    </w:p>
    <w:p w:rsidR="003E44F7" w:rsidRDefault="003E44F7" w:rsidP="003E44F7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lastRenderedPageBreak/>
        <w:t>Tab. 4</w:t>
      </w:r>
      <w:r w:rsidRPr="00091A5B">
        <w:rPr>
          <w:rFonts w:cs="Arial"/>
          <w:b/>
          <w:szCs w:val="20"/>
        </w:rPr>
        <w:t xml:space="preserve"> </w:t>
      </w:r>
      <w:r>
        <w:rPr>
          <w:rFonts w:cs="Arial"/>
          <w:b/>
          <w:szCs w:val="20"/>
        </w:rPr>
        <w:t xml:space="preserve">Nejpočetnější </w:t>
      </w:r>
      <w:proofErr w:type="spellStart"/>
      <w:r>
        <w:rPr>
          <w:rFonts w:cs="Arial"/>
          <w:b/>
          <w:szCs w:val="20"/>
        </w:rPr>
        <w:t>m</w:t>
      </w:r>
      <w:r w:rsidRPr="004D08F9">
        <w:rPr>
          <w:rFonts w:cs="Arial"/>
          <w:b/>
          <w:szCs w:val="20"/>
        </w:rPr>
        <w:t>ezio</w:t>
      </w:r>
      <w:r>
        <w:rPr>
          <w:rFonts w:cs="Arial"/>
          <w:b/>
          <w:szCs w:val="20"/>
        </w:rPr>
        <w:t>becní</w:t>
      </w:r>
      <w:proofErr w:type="spellEnd"/>
      <w:r w:rsidRPr="004D08F9">
        <w:rPr>
          <w:rFonts w:cs="Arial"/>
          <w:b/>
          <w:szCs w:val="20"/>
        </w:rPr>
        <w:t xml:space="preserve"> proudy stěhování v rámci </w:t>
      </w:r>
      <w:r>
        <w:rPr>
          <w:rFonts w:cs="Arial"/>
          <w:b/>
          <w:szCs w:val="20"/>
        </w:rPr>
        <w:t>okresu</w:t>
      </w:r>
      <w:r w:rsidRPr="004D08F9">
        <w:rPr>
          <w:rFonts w:cs="Arial"/>
          <w:b/>
          <w:szCs w:val="20"/>
        </w:rPr>
        <w:t xml:space="preserve"> za období 2005–2017</w:t>
      </w:r>
    </w:p>
    <w:tbl>
      <w:tblPr>
        <w:tblW w:w="850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5"/>
        <w:gridCol w:w="2835"/>
        <w:gridCol w:w="2835"/>
      </w:tblGrid>
      <w:tr w:rsidR="00012BA6" w:rsidRPr="00012BA6" w:rsidTr="00012BA6">
        <w:trPr>
          <w:trHeight w:val="263"/>
        </w:trPr>
        <w:tc>
          <w:tcPr>
            <w:tcW w:w="2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012BA6" w:rsidRPr="00012BA6" w:rsidRDefault="00012BA6" w:rsidP="00012BA6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012BA6">
              <w:rPr>
                <w:rFonts w:cs="Arial"/>
                <w:b/>
                <w:bCs/>
                <w:sz w:val="16"/>
                <w:szCs w:val="16"/>
              </w:rPr>
              <w:t>Obec vystěhování</w:t>
            </w: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012BA6" w:rsidRPr="00012BA6" w:rsidRDefault="00012BA6" w:rsidP="00012BA6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012BA6">
              <w:rPr>
                <w:rFonts w:cs="Arial"/>
                <w:b/>
                <w:bCs/>
                <w:sz w:val="16"/>
                <w:szCs w:val="16"/>
              </w:rPr>
              <w:t>Obec přistěhování</w:t>
            </w: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FFFFFF" w:fill="F5DADD"/>
            <w:vAlign w:val="center"/>
            <w:hideMark/>
          </w:tcPr>
          <w:p w:rsidR="00012BA6" w:rsidRPr="00012BA6" w:rsidRDefault="00012BA6" w:rsidP="00012BA6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012BA6">
              <w:rPr>
                <w:rFonts w:cs="Arial"/>
                <w:b/>
                <w:bCs/>
                <w:sz w:val="16"/>
                <w:szCs w:val="16"/>
              </w:rPr>
              <w:t>Počet migrantů</w:t>
            </w:r>
          </w:p>
        </w:tc>
      </w:tr>
      <w:tr w:rsidR="00012BA6" w:rsidRPr="00012BA6" w:rsidTr="00012BA6">
        <w:trPr>
          <w:trHeight w:val="255"/>
        </w:trPr>
        <w:tc>
          <w:tcPr>
            <w:tcW w:w="2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012BA6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012BA6">
              <w:rPr>
                <w:rFonts w:cs="Arial"/>
                <w:sz w:val="16"/>
                <w:szCs w:val="16"/>
              </w:rPr>
              <w:t>Jirkov</w:t>
            </w: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012BA6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012BA6">
              <w:rPr>
                <w:rFonts w:cs="Arial"/>
                <w:sz w:val="16"/>
                <w:szCs w:val="16"/>
              </w:rPr>
              <w:t>Chomutov</w:t>
            </w: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012BA6" w:rsidRPr="00012BA6" w:rsidRDefault="00012BA6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012BA6">
              <w:rPr>
                <w:rFonts w:cs="Arial"/>
                <w:sz w:val="16"/>
                <w:szCs w:val="16"/>
              </w:rPr>
              <w:t>4 709</w:t>
            </w:r>
          </w:p>
        </w:tc>
      </w:tr>
      <w:tr w:rsidR="00012BA6" w:rsidRPr="008D18E2" w:rsidTr="00012BA6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Chomutov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Jirkov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4 531</w:t>
            </w:r>
          </w:p>
        </w:tc>
      </w:tr>
      <w:tr w:rsidR="00012BA6" w:rsidRPr="008D18E2" w:rsidTr="00012BA6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Litvínov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Most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2 472</w:t>
            </w:r>
          </w:p>
        </w:tc>
      </w:tr>
      <w:tr w:rsidR="00012BA6" w:rsidRPr="008D18E2" w:rsidTr="00012BA6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Krupka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Teplice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2 219</w:t>
            </w:r>
          </w:p>
        </w:tc>
      </w:tr>
      <w:tr w:rsidR="00012BA6" w:rsidRPr="008D18E2" w:rsidTr="00012BA6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Most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Litvínov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2 119</w:t>
            </w:r>
          </w:p>
        </w:tc>
      </w:tr>
      <w:tr w:rsidR="00012BA6" w:rsidRPr="008D18E2" w:rsidTr="00012BA6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Ostrava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Vratimov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1 960</w:t>
            </w:r>
          </w:p>
        </w:tc>
      </w:tr>
      <w:tr w:rsidR="00012BA6" w:rsidRPr="008D18E2" w:rsidTr="00012BA6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Teplice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Dubí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1 858</w:t>
            </w:r>
          </w:p>
        </w:tc>
      </w:tr>
      <w:tr w:rsidR="00012BA6" w:rsidRPr="008D18E2" w:rsidTr="00012BA6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Teplice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Krupka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1 731</w:t>
            </w:r>
          </w:p>
        </w:tc>
      </w:tr>
      <w:tr w:rsidR="00012BA6" w:rsidRPr="008D18E2" w:rsidTr="00012BA6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Trmice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Ústí nad Labem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1 587</w:t>
            </w:r>
          </w:p>
        </w:tc>
      </w:tr>
      <w:tr w:rsidR="00012BA6" w:rsidRPr="008D18E2" w:rsidTr="00012BA6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Orlová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Havířov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1 558</w:t>
            </w:r>
          </w:p>
        </w:tc>
      </w:tr>
      <w:tr w:rsidR="00012BA6" w:rsidRPr="00012BA6" w:rsidTr="00012BA6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Dubí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8D18E2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Teplice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012BA6" w:rsidRPr="00012BA6" w:rsidRDefault="00012BA6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D18E2">
              <w:rPr>
                <w:rFonts w:cs="Arial"/>
                <w:sz w:val="16"/>
                <w:szCs w:val="16"/>
              </w:rPr>
              <w:t>1 556</w:t>
            </w:r>
          </w:p>
        </w:tc>
      </w:tr>
      <w:tr w:rsidR="00012BA6" w:rsidRPr="00012BA6" w:rsidTr="00012BA6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012BA6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012BA6">
              <w:rPr>
                <w:rFonts w:cs="Arial"/>
                <w:sz w:val="16"/>
                <w:szCs w:val="16"/>
              </w:rPr>
              <w:t>Ústí nad Labem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012BA6" w:rsidRPr="00012BA6" w:rsidRDefault="00012BA6" w:rsidP="00012BA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012BA6">
              <w:rPr>
                <w:rFonts w:cs="Arial"/>
                <w:sz w:val="16"/>
                <w:szCs w:val="16"/>
              </w:rPr>
              <w:t>Trmice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012BA6" w:rsidRPr="00012BA6" w:rsidRDefault="00012BA6" w:rsidP="00012BA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012BA6">
              <w:rPr>
                <w:rFonts w:cs="Arial"/>
                <w:sz w:val="16"/>
                <w:szCs w:val="16"/>
              </w:rPr>
              <w:t>1 536</w:t>
            </w:r>
          </w:p>
        </w:tc>
      </w:tr>
    </w:tbl>
    <w:p w:rsidR="006E6E30" w:rsidRPr="006E6E30" w:rsidRDefault="006E6E30" w:rsidP="006E6E30"/>
    <w:p w:rsidR="00DE48EF" w:rsidRDefault="00DE48EF" w:rsidP="00AF17BA">
      <w:pPr>
        <w:pStyle w:val="Nadpis1"/>
      </w:pPr>
    </w:p>
    <w:p w:rsidR="00DE48EF" w:rsidRDefault="00DE48EF" w:rsidP="00AF17BA">
      <w:pPr>
        <w:pStyle w:val="Nadpis1"/>
      </w:pPr>
    </w:p>
    <w:p w:rsidR="00DE48EF" w:rsidRDefault="00DE48EF" w:rsidP="00AF17BA">
      <w:pPr>
        <w:pStyle w:val="Nadpis1"/>
      </w:pPr>
    </w:p>
    <w:p w:rsidR="00DE48EF" w:rsidRDefault="00DE48EF" w:rsidP="00AF17BA">
      <w:pPr>
        <w:pStyle w:val="Nadpis1"/>
      </w:pPr>
    </w:p>
    <w:p w:rsidR="00836E97" w:rsidRDefault="00836E97" w:rsidP="00AF17BA">
      <w:pPr>
        <w:pStyle w:val="Nadpis1"/>
      </w:pPr>
    </w:p>
    <w:p w:rsidR="00836E97" w:rsidRDefault="00836E97" w:rsidP="00AF17BA">
      <w:pPr>
        <w:pStyle w:val="Nadpis1"/>
      </w:pPr>
    </w:p>
    <w:p w:rsidR="00836E97" w:rsidRDefault="00836E97" w:rsidP="00AF17BA">
      <w:pPr>
        <w:pStyle w:val="Nadpis1"/>
      </w:pPr>
    </w:p>
    <w:p w:rsidR="00836E97" w:rsidRDefault="00836E97" w:rsidP="00AF17BA">
      <w:pPr>
        <w:pStyle w:val="Nadpis1"/>
      </w:pPr>
    </w:p>
    <w:p w:rsidR="00836E97" w:rsidRDefault="00836E97" w:rsidP="00AF17BA">
      <w:pPr>
        <w:pStyle w:val="Nadpis1"/>
      </w:pPr>
    </w:p>
    <w:p w:rsidR="0069614B" w:rsidRDefault="0069614B" w:rsidP="00AF17BA">
      <w:pPr>
        <w:pStyle w:val="Nadpis1"/>
      </w:pPr>
    </w:p>
    <w:p w:rsidR="0069614B" w:rsidRDefault="0069614B" w:rsidP="00AF17BA">
      <w:pPr>
        <w:pStyle w:val="Nadpis1"/>
      </w:pPr>
    </w:p>
    <w:p w:rsidR="0069614B" w:rsidRDefault="0069614B" w:rsidP="00AF17BA">
      <w:pPr>
        <w:pStyle w:val="Nadpis1"/>
      </w:pPr>
    </w:p>
    <w:p w:rsidR="0069614B" w:rsidRDefault="0069614B" w:rsidP="00AF17BA">
      <w:pPr>
        <w:pStyle w:val="Nadpis1"/>
      </w:pPr>
    </w:p>
    <w:p w:rsidR="0069614B" w:rsidRDefault="0069614B" w:rsidP="00AF17BA">
      <w:pPr>
        <w:pStyle w:val="Nadpis1"/>
      </w:pPr>
    </w:p>
    <w:p w:rsidR="0069614B" w:rsidRDefault="0069614B" w:rsidP="00AF17BA">
      <w:pPr>
        <w:pStyle w:val="Nadpis1"/>
      </w:pPr>
    </w:p>
    <w:p w:rsidR="0069614B" w:rsidRDefault="0069614B" w:rsidP="00AF17BA">
      <w:pPr>
        <w:pStyle w:val="Nadpis1"/>
      </w:pPr>
    </w:p>
    <w:p w:rsidR="0069614B" w:rsidRDefault="0069614B" w:rsidP="00AF17BA">
      <w:pPr>
        <w:pStyle w:val="Nadpis1"/>
      </w:pPr>
    </w:p>
    <w:p w:rsidR="0069614B" w:rsidRDefault="0069614B" w:rsidP="00AF17BA">
      <w:pPr>
        <w:pStyle w:val="Nadpis1"/>
      </w:pPr>
    </w:p>
    <w:p w:rsidR="0069614B" w:rsidRDefault="0069614B" w:rsidP="00AF17BA">
      <w:pPr>
        <w:pStyle w:val="Nadpis1"/>
      </w:pPr>
    </w:p>
    <w:p w:rsidR="0069614B" w:rsidRDefault="0069614B" w:rsidP="00AF17BA">
      <w:pPr>
        <w:pStyle w:val="Nadpis1"/>
      </w:pPr>
    </w:p>
    <w:p w:rsidR="0069614B" w:rsidRDefault="0069614B" w:rsidP="00AF17BA">
      <w:pPr>
        <w:pStyle w:val="Nadpis1"/>
      </w:pPr>
    </w:p>
    <w:p w:rsidR="0069614B" w:rsidRDefault="0069614B" w:rsidP="00AF17BA">
      <w:pPr>
        <w:pStyle w:val="Nadpis1"/>
      </w:pPr>
    </w:p>
    <w:p w:rsidR="0069614B" w:rsidRDefault="0069614B" w:rsidP="00AF17BA">
      <w:pPr>
        <w:pStyle w:val="Nadpis1"/>
      </w:pPr>
    </w:p>
    <w:p w:rsidR="0054598A" w:rsidRPr="0054598A" w:rsidRDefault="00AF17BA" w:rsidP="0054598A">
      <w:pPr>
        <w:pStyle w:val="Nadpis1"/>
      </w:pPr>
      <w:bookmarkStart w:id="8" w:name="_Toc531859778"/>
      <w:r>
        <w:lastRenderedPageBreak/>
        <w:t>5. Meziokresní stěhování</w:t>
      </w:r>
      <w:bookmarkEnd w:id="8"/>
    </w:p>
    <w:p w:rsidR="00AB7033" w:rsidRDefault="003739F1" w:rsidP="00AB7033">
      <w:pPr>
        <w:spacing w:after="0"/>
      </w:pPr>
      <w:r>
        <w:t>Nejvíce obyvatel se u meziokresního stěhování (bez ohledu na hranice krajů) přistěhovalo ve sledovaném období 2005–2017 do okresů tvořených velkými městy nebo jejich zázemím (Přílohová tabulka 28). Vůbec nejvíce to bylo v případě Prahy (262 757 případů), následovala Praha-východ (85 196) a Praha-západ (72 647).</w:t>
      </w:r>
      <w:r w:rsidR="00AB7033">
        <w:t xml:space="preserve"> U vystěhovalých dominovaly velké městské okresy (Přílohová tabulka 29) – Praha (281 886 případů), Brno-město (94 071) a Ostrava-město (60 655). </w:t>
      </w:r>
      <w:r>
        <w:t xml:space="preserve">  </w:t>
      </w:r>
    </w:p>
    <w:p w:rsidR="00AB7033" w:rsidRDefault="00AB7033" w:rsidP="00AB7033">
      <w:pPr>
        <w:spacing w:after="0"/>
      </w:pPr>
    </w:p>
    <w:p w:rsidR="00AB7033" w:rsidRDefault="000D53BE" w:rsidP="00AB7033">
      <w:pPr>
        <w:spacing w:after="0"/>
      </w:pPr>
      <w:r>
        <w:t>Okresy v zázemí Prahy nejvíce populačně profitovaly z vnitřní migrace. Ve sledovaném období měly nejvyšší saldo migrace Praha-východ (45 332) a Praha-západ (37 543).</w:t>
      </w:r>
      <w:r w:rsidR="00ED2ABF">
        <w:t xml:space="preserve"> Maximálních hodnot v těchto okresech bylo dosaženo v roce </w:t>
      </w:r>
      <w:r w:rsidR="004C7F81">
        <w:t>2008</w:t>
      </w:r>
      <w:r w:rsidR="00ED2ABF">
        <w:t>.</w:t>
      </w:r>
      <w:r>
        <w:t xml:space="preserve"> V první desítce okresů (Tab. 5) najdeme sedm ze Středočeského kraje, které doplňují Brno-venkov, České Budějovice a Plzeň-sever.</w:t>
      </w:r>
      <w:r w:rsidR="00ED2ABF">
        <w:t xml:space="preserve"> Naopak nejvíce obyvatel vnitřní migrací ztratily v období 2005–2017 okresy Brno-město (-23 957), Praha (-19 129), Karviná (-18 107)</w:t>
      </w:r>
      <w:r w:rsidR="0007054F">
        <w:t xml:space="preserve"> a Ostrava-město </w:t>
      </w:r>
      <w:r w:rsidR="0007054F">
        <w:br/>
        <w:t>(-</w:t>
      </w:r>
      <w:r w:rsidR="00ED2ABF">
        <w:t>18 099).</w:t>
      </w:r>
      <w:r w:rsidR="000351D8">
        <w:t xml:space="preserve"> Kromě Prahy se snižoval počet obyvatel vnitřní migrací v těchto okresech každý rok. V Praze to bylo pouze v letech 2005–2006, 2008–2013</w:t>
      </w:r>
      <w:r w:rsidR="004C7F81">
        <w:t xml:space="preserve"> (maximum v roce 2008)</w:t>
      </w:r>
      <w:r w:rsidR="000351D8">
        <w:t xml:space="preserve"> a mírně také v roce 2015</w:t>
      </w:r>
      <w:r w:rsidR="004C7F81">
        <w:t xml:space="preserve"> (Přílohová tabulka 31)</w:t>
      </w:r>
      <w:r w:rsidR="000351D8">
        <w:t>.</w:t>
      </w:r>
      <w:r w:rsidR="00782784">
        <w:t xml:space="preserve"> Mezi deseti okresy s nejhorším saldem vnitřního</w:t>
      </w:r>
      <w:r w:rsidR="00D50F93">
        <w:t xml:space="preserve"> stěhování byly všechny tři okresy z </w:t>
      </w:r>
      <w:r w:rsidR="00782784">
        <w:t xml:space="preserve">Karlovarského kraje. </w:t>
      </w:r>
      <w:r w:rsidR="000351D8">
        <w:t xml:space="preserve"> </w:t>
      </w:r>
      <w:r w:rsidR="00ED2ABF">
        <w:t xml:space="preserve">   </w:t>
      </w:r>
      <w:r>
        <w:t xml:space="preserve"> </w:t>
      </w:r>
    </w:p>
    <w:p w:rsidR="003739F1" w:rsidRDefault="003739F1" w:rsidP="00AB7033">
      <w:pPr>
        <w:spacing w:after="0"/>
      </w:pPr>
      <w:r>
        <w:t xml:space="preserve"> </w:t>
      </w:r>
    </w:p>
    <w:p w:rsidR="00D325AC" w:rsidRDefault="00D325AC" w:rsidP="00D325AC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Tab. 5</w:t>
      </w:r>
      <w:r w:rsidRPr="00091A5B">
        <w:rPr>
          <w:rFonts w:cs="Arial"/>
          <w:b/>
          <w:szCs w:val="20"/>
        </w:rPr>
        <w:t xml:space="preserve"> </w:t>
      </w:r>
      <w:r>
        <w:rPr>
          <w:rFonts w:cs="Arial"/>
          <w:b/>
          <w:szCs w:val="20"/>
        </w:rPr>
        <w:t xml:space="preserve">Saldo </w:t>
      </w:r>
      <w:r w:rsidRPr="006E6E30">
        <w:rPr>
          <w:rFonts w:cs="Arial"/>
          <w:b/>
          <w:szCs w:val="20"/>
        </w:rPr>
        <w:t xml:space="preserve">stěhování podle okresů </w:t>
      </w:r>
      <w:r>
        <w:rPr>
          <w:rFonts w:cs="Arial"/>
          <w:b/>
          <w:szCs w:val="20"/>
        </w:rPr>
        <w:t xml:space="preserve">za </w:t>
      </w:r>
      <w:r w:rsidRPr="004D08F9">
        <w:rPr>
          <w:rFonts w:cs="Arial"/>
          <w:b/>
          <w:szCs w:val="20"/>
        </w:rPr>
        <w:t>období 2005–2017</w:t>
      </w:r>
    </w:p>
    <w:tbl>
      <w:tblPr>
        <w:tblW w:w="850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7"/>
        <w:gridCol w:w="2126"/>
        <w:gridCol w:w="2126"/>
        <w:gridCol w:w="2126"/>
      </w:tblGrid>
      <w:tr w:rsidR="0075221A" w:rsidRPr="0075221A" w:rsidTr="0075221A">
        <w:trPr>
          <w:trHeight w:val="263"/>
        </w:trPr>
        <w:tc>
          <w:tcPr>
            <w:tcW w:w="3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FFFFFF" w:fill="F5DADD"/>
            <w:vAlign w:val="center"/>
            <w:hideMark/>
          </w:tcPr>
          <w:p w:rsidR="0075221A" w:rsidRPr="0075221A" w:rsidRDefault="0075221A" w:rsidP="0075221A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5221A">
              <w:rPr>
                <w:rFonts w:cs="Arial"/>
                <w:b/>
                <w:bCs/>
                <w:sz w:val="16"/>
                <w:szCs w:val="16"/>
              </w:rPr>
              <w:t>Okresy s nejvyšším saldem</w:t>
            </w:r>
          </w:p>
        </w:tc>
        <w:tc>
          <w:tcPr>
            <w:tcW w:w="3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FFFFFF" w:fill="F5DADD"/>
            <w:vAlign w:val="center"/>
            <w:hideMark/>
          </w:tcPr>
          <w:p w:rsidR="0075221A" w:rsidRPr="0075221A" w:rsidRDefault="0075221A" w:rsidP="0075221A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5221A">
              <w:rPr>
                <w:rFonts w:cs="Arial"/>
                <w:b/>
                <w:bCs/>
                <w:sz w:val="16"/>
                <w:szCs w:val="16"/>
              </w:rPr>
              <w:t>Okresy s nejnižším saldem</w:t>
            </w:r>
          </w:p>
        </w:tc>
      </w:tr>
      <w:tr w:rsidR="0075221A" w:rsidRPr="0075221A" w:rsidTr="0075221A">
        <w:trPr>
          <w:trHeight w:val="263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75221A" w:rsidRPr="0075221A" w:rsidRDefault="0075221A" w:rsidP="0075221A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5221A">
              <w:rPr>
                <w:rFonts w:cs="Arial"/>
                <w:b/>
                <w:bCs/>
                <w:sz w:val="16"/>
                <w:szCs w:val="16"/>
              </w:rPr>
              <w:t xml:space="preserve">Okres 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75221A" w:rsidRPr="0075221A" w:rsidRDefault="0075221A" w:rsidP="0075221A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5221A">
              <w:rPr>
                <w:rFonts w:cs="Arial"/>
                <w:b/>
                <w:bCs/>
                <w:sz w:val="16"/>
                <w:szCs w:val="16"/>
              </w:rPr>
              <w:t>Saldo stěhování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75221A" w:rsidRPr="0075221A" w:rsidRDefault="0075221A" w:rsidP="0075221A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5221A">
              <w:rPr>
                <w:rFonts w:cs="Arial"/>
                <w:b/>
                <w:bCs/>
                <w:sz w:val="16"/>
                <w:szCs w:val="16"/>
              </w:rPr>
              <w:t>Okres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5DADD"/>
            <w:vAlign w:val="center"/>
            <w:hideMark/>
          </w:tcPr>
          <w:p w:rsidR="0075221A" w:rsidRPr="0075221A" w:rsidRDefault="0075221A" w:rsidP="0075221A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5221A">
              <w:rPr>
                <w:rFonts w:cs="Arial"/>
                <w:b/>
                <w:bCs/>
                <w:sz w:val="16"/>
                <w:szCs w:val="16"/>
              </w:rPr>
              <w:t>Saldo stěhování</w:t>
            </w:r>
          </w:p>
        </w:tc>
      </w:tr>
      <w:tr w:rsidR="0075221A" w:rsidRPr="0075221A" w:rsidTr="00E1696B">
        <w:trPr>
          <w:trHeight w:val="255"/>
        </w:trPr>
        <w:tc>
          <w:tcPr>
            <w:tcW w:w="19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Praha-východ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45 332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Brno-město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-23 957</w:t>
            </w:r>
          </w:p>
        </w:tc>
      </w:tr>
      <w:tr w:rsidR="0075221A" w:rsidRPr="0075221A" w:rsidTr="00E1696B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Praha-západ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37 543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5221A" w:rsidRPr="0075221A" w:rsidRDefault="002015D5" w:rsidP="0075221A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-19 129</w:t>
            </w:r>
          </w:p>
        </w:tc>
      </w:tr>
      <w:tr w:rsidR="0075221A" w:rsidRPr="0075221A" w:rsidTr="00E1696B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Brno-venkov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19 852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Karviná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-18 107</w:t>
            </w:r>
          </w:p>
        </w:tc>
      </w:tr>
      <w:tr w:rsidR="0075221A" w:rsidRPr="0075221A" w:rsidTr="00E1696B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Beroun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10 733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Ostrava-město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-18 099</w:t>
            </w:r>
          </w:p>
        </w:tc>
      </w:tr>
      <w:tr w:rsidR="0075221A" w:rsidRPr="0075221A" w:rsidTr="00E1696B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České Budějovice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7 500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Karlovy Vary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-7 563</w:t>
            </w:r>
          </w:p>
        </w:tc>
      </w:tr>
      <w:tr w:rsidR="0075221A" w:rsidRPr="0075221A" w:rsidTr="00E1696B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Nymburk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7 090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Most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-5 078</w:t>
            </w:r>
          </w:p>
        </w:tc>
      </w:tr>
      <w:tr w:rsidR="0075221A" w:rsidRPr="0075221A" w:rsidTr="00E1696B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Kolín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6 779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Sokolov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-4 888</w:t>
            </w:r>
          </w:p>
        </w:tc>
      </w:tr>
      <w:tr w:rsidR="0075221A" w:rsidRPr="0075221A" w:rsidTr="00E1696B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Plzeň-sever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6 418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Bruntál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-4 850</w:t>
            </w:r>
          </w:p>
        </w:tc>
      </w:tr>
      <w:tr w:rsidR="0075221A" w:rsidRPr="0075221A" w:rsidTr="00E1696B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Kladno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6 349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Cheb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-4 836</w:t>
            </w:r>
          </w:p>
        </w:tc>
      </w:tr>
      <w:tr w:rsidR="0075221A" w:rsidRPr="0075221A" w:rsidTr="00E1696B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Benešov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5 778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Přerov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75221A" w:rsidRPr="0075221A" w:rsidRDefault="0075221A" w:rsidP="0075221A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5221A">
              <w:rPr>
                <w:rFonts w:cs="Arial"/>
                <w:sz w:val="16"/>
                <w:szCs w:val="16"/>
              </w:rPr>
              <w:t>-4 422</w:t>
            </w:r>
          </w:p>
        </w:tc>
      </w:tr>
    </w:tbl>
    <w:p w:rsidR="00D325AC" w:rsidRDefault="00D325AC" w:rsidP="005A0C68">
      <w:pPr>
        <w:spacing w:after="0"/>
      </w:pPr>
    </w:p>
    <w:p w:rsidR="005A0C68" w:rsidRDefault="00E8347D" w:rsidP="004D08F9">
      <w:r>
        <w:t xml:space="preserve">Po přepočtu ukazatelů na 1 000 obyvatel středního stavu dosahovaly </w:t>
      </w:r>
      <w:r w:rsidR="004A0CE0">
        <w:t xml:space="preserve">ve sledovaném období </w:t>
      </w:r>
      <w:r>
        <w:t xml:space="preserve">stále nejvyšších hodnot salda stěhování okresy Praha-východ (24,0 </w:t>
      </w:r>
      <w:r>
        <w:rPr>
          <w:rFonts w:cs="Arial"/>
        </w:rPr>
        <w:t>‰</w:t>
      </w:r>
      <w:r>
        <w:t xml:space="preserve">) a Praha-západ (23,9 </w:t>
      </w:r>
      <w:r>
        <w:rPr>
          <w:rFonts w:cs="Arial"/>
        </w:rPr>
        <w:t>‰</w:t>
      </w:r>
      <w:r>
        <w:t>)</w:t>
      </w:r>
      <w:r w:rsidR="004A0CE0">
        <w:t xml:space="preserve"> s maximy v roce 2008 (Přílohová tabulka 32).</w:t>
      </w:r>
      <w:r>
        <w:t xml:space="preserve"> </w:t>
      </w:r>
      <w:r w:rsidR="002C36E6">
        <w:t>Kromě dalších středočeských okresů se v první desítce na</w:t>
      </w:r>
      <w:r w:rsidR="004A0CE0">
        <w:t>c</w:t>
      </w:r>
      <w:r w:rsidR="002C36E6">
        <w:t>házely ještě okresy Brno-venkov, Plzeň-sever a Plzeň-jih (Tab. 6).</w:t>
      </w:r>
      <w:r w:rsidR="004A0CE0">
        <w:t xml:space="preserve"> Okresy s nejnižším relativním saldem stěhování byly Jeseník (-5,7 </w:t>
      </w:r>
      <w:r w:rsidR="004A0CE0">
        <w:rPr>
          <w:rFonts w:cs="Arial"/>
        </w:rPr>
        <w:t>‰)</w:t>
      </w:r>
      <w:r w:rsidR="004A0CE0">
        <w:t xml:space="preserve">, Karviná (-5,3 </w:t>
      </w:r>
      <w:r w:rsidR="004A0CE0">
        <w:rPr>
          <w:rFonts w:cs="Arial"/>
        </w:rPr>
        <w:t>‰)</w:t>
      </w:r>
      <w:r w:rsidR="004A0CE0">
        <w:t xml:space="preserve">, Brno-město a Karlovy Vary (oba -4,9 </w:t>
      </w:r>
      <w:r w:rsidR="004A0CE0">
        <w:rPr>
          <w:rFonts w:cs="Arial"/>
        </w:rPr>
        <w:t>‰). Praha měla až 30. nejnižší saldo.</w:t>
      </w:r>
      <w:r w:rsidR="004A0CE0">
        <w:t xml:space="preserve"> </w:t>
      </w:r>
      <w:r w:rsidR="002C36E6">
        <w:t xml:space="preserve"> </w:t>
      </w:r>
      <w:r>
        <w:t xml:space="preserve"> </w:t>
      </w:r>
    </w:p>
    <w:p w:rsidR="005B2831" w:rsidRDefault="005B2831" w:rsidP="00D97D7F">
      <w:pPr>
        <w:spacing w:after="0"/>
        <w:rPr>
          <w:rFonts w:cs="Arial"/>
          <w:b/>
          <w:szCs w:val="20"/>
        </w:rPr>
      </w:pPr>
      <w:r>
        <w:rPr>
          <w:rFonts w:cs="Arial"/>
          <w:b/>
          <w:szCs w:val="20"/>
        </w:rPr>
        <w:t>Tab. 6</w:t>
      </w:r>
      <w:r w:rsidRPr="00091A5B">
        <w:rPr>
          <w:rFonts w:cs="Arial"/>
          <w:b/>
          <w:szCs w:val="20"/>
        </w:rPr>
        <w:t xml:space="preserve"> </w:t>
      </w:r>
      <w:r>
        <w:rPr>
          <w:rFonts w:cs="Arial"/>
          <w:b/>
          <w:szCs w:val="20"/>
        </w:rPr>
        <w:t xml:space="preserve">Saldo </w:t>
      </w:r>
      <w:r w:rsidRPr="006E6E30">
        <w:rPr>
          <w:rFonts w:cs="Arial"/>
          <w:b/>
          <w:szCs w:val="20"/>
        </w:rPr>
        <w:t xml:space="preserve">stěhování podle okresů </w:t>
      </w:r>
      <w:r>
        <w:rPr>
          <w:rFonts w:cs="Arial"/>
          <w:b/>
          <w:szCs w:val="20"/>
        </w:rPr>
        <w:t xml:space="preserve">za </w:t>
      </w:r>
      <w:r w:rsidRPr="004D08F9">
        <w:rPr>
          <w:rFonts w:cs="Arial"/>
          <w:b/>
          <w:szCs w:val="20"/>
        </w:rPr>
        <w:t>období 2005–201</w:t>
      </w:r>
      <w:r w:rsidR="00D97D7F">
        <w:rPr>
          <w:rFonts w:cs="Arial"/>
          <w:b/>
          <w:szCs w:val="20"/>
        </w:rPr>
        <w:t>7</w:t>
      </w:r>
      <w:r>
        <w:rPr>
          <w:rFonts w:cs="Arial"/>
          <w:b/>
          <w:szCs w:val="20"/>
        </w:rPr>
        <w:t xml:space="preserve"> (na 1 000 obyvatel k 1. 7.)</w:t>
      </w:r>
    </w:p>
    <w:tbl>
      <w:tblPr>
        <w:tblW w:w="850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7"/>
        <w:gridCol w:w="2126"/>
        <w:gridCol w:w="2126"/>
        <w:gridCol w:w="2126"/>
      </w:tblGrid>
      <w:tr w:rsidR="00A35EF2" w:rsidRPr="00A35EF2" w:rsidTr="00A35EF2">
        <w:trPr>
          <w:trHeight w:val="263"/>
        </w:trPr>
        <w:tc>
          <w:tcPr>
            <w:tcW w:w="3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FFFFFF" w:fill="F5DADD"/>
            <w:vAlign w:val="center"/>
            <w:hideMark/>
          </w:tcPr>
          <w:p w:rsidR="00A35EF2" w:rsidRPr="00A35EF2" w:rsidRDefault="00A35EF2" w:rsidP="00A35EF2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A35EF2">
              <w:rPr>
                <w:rFonts w:cs="Arial"/>
                <w:b/>
                <w:bCs/>
                <w:sz w:val="16"/>
                <w:szCs w:val="16"/>
              </w:rPr>
              <w:t>Okresy s nejvyšším saldem</w:t>
            </w:r>
          </w:p>
        </w:tc>
        <w:tc>
          <w:tcPr>
            <w:tcW w:w="3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FFFFFF" w:fill="F5DADD"/>
            <w:vAlign w:val="center"/>
            <w:hideMark/>
          </w:tcPr>
          <w:p w:rsidR="00A35EF2" w:rsidRPr="00A35EF2" w:rsidRDefault="00A35EF2" w:rsidP="00A35EF2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A35EF2">
              <w:rPr>
                <w:rFonts w:cs="Arial"/>
                <w:b/>
                <w:bCs/>
                <w:sz w:val="16"/>
                <w:szCs w:val="16"/>
              </w:rPr>
              <w:t>Okresy s nejnižším saldem</w:t>
            </w:r>
          </w:p>
        </w:tc>
      </w:tr>
      <w:tr w:rsidR="00A35EF2" w:rsidRPr="00A35EF2" w:rsidTr="00A35EF2">
        <w:trPr>
          <w:trHeight w:val="263"/>
        </w:trPr>
        <w:tc>
          <w:tcPr>
            <w:tcW w:w="1960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A35EF2" w:rsidRPr="00A35EF2" w:rsidRDefault="00A35EF2" w:rsidP="00A35EF2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A35EF2">
              <w:rPr>
                <w:rFonts w:cs="Arial"/>
                <w:b/>
                <w:bCs/>
                <w:sz w:val="16"/>
                <w:szCs w:val="16"/>
              </w:rPr>
              <w:t xml:space="preserve">Okres </w:t>
            </w:r>
          </w:p>
        </w:tc>
        <w:tc>
          <w:tcPr>
            <w:tcW w:w="1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A35EF2" w:rsidRPr="00A35EF2" w:rsidRDefault="00A35EF2" w:rsidP="00A35EF2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A35EF2">
              <w:rPr>
                <w:rFonts w:cs="Arial"/>
                <w:b/>
                <w:bCs/>
                <w:sz w:val="16"/>
                <w:szCs w:val="16"/>
              </w:rPr>
              <w:t xml:space="preserve">Saldo stěhování na </w:t>
            </w:r>
            <w:r w:rsidRPr="00A35EF2">
              <w:rPr>
                <w:rFonts w:cs="Arial"/>
                <w:b/>
                <w:bCs/>
                <w:sz w:val="16"/>
                <w:szCs w:val="16"/>
              </w:rPr>
              <w:br/>
              <w:t>1 000 obyvatel</w:t>
            </w:r>
          </w:p>
        </w:tc>
        <w:tc>
          <w:tcPr>
            <w:tcW w:w="1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A35EF2" w:rsidRPr="00A35EF2" w:rsidRDefault="00A35EF2" w:rsidP="00A35EF2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A35EF2">
              <w:rPr>
                <w:rFonts w:cs="Arial"/>
                <w:b/>
                <w:bCs/>
                <w:sz w:val="16"/>
                <w:szCs w:val="16"/>
              </w:rPr>
              <w:t>Okres</w:t>
            </w:r>
          </w:p>
        </w:tc>
        <w:tc>
          <w:tcPr>
            <w:tcW w:w="1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FFFFFF" w:fill="F5DADD"/>
            <w:vAlign w:val="center"/>
            <w:hideMark/>
          </w:tcPr>
          <w:p w:rsidR="00A35EF2" w:rsidRPr="00A35EF2" w:rsidRDefault="00A35EF2" w:rsidP="00A35EF2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A35EF2">
              <w:rPr>
                <w:rFonts w:cs="Arial"/>
                <w:b/>
                <w:bCs/>
                <w:sz w:val="16"/>
                <w:szCs w:val="16"/>
              </w:rPr>
              <w:t xml:space="preserve">Saldo stěhování na </w:t>
            </w:r>
            <w:r w:rsidRPr="00A35EF2">
              <w:rPr>
                <w:rFonts w:cs="Arial"/>
                <w:b/>
                <w:bCs/>
                <w:sz w:val="16"/>
                <w:szCs w:val="16"/>
              </w:rPr>
              <w:br/>
              <w:t>1 000 obyvatel</w:t>
            </w:r>
          </w:p>
        </w:tc>
      </w:tr>
      <w:tr w:rsidR="00A35EF2" w:rsidRPr="00A35EF2" w:rsidTr="00A35EF2">
        <w:trPr>
          <w:trHeight w:val="263"/>
        </w:trPr>
        <w:tc>
          <w:tcPr>
            <w:tcW w:w="19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1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1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1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</w:tr>
      <w:tr w:rsidR="00A35EF2" w:rsidRPr="00A35EF2" w:rsidTr="00E1696B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Praha-východ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24,0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Jeseník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E1696B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-5,7</w:t>
            </w:r>
          </w:p>
        </w:tc>
      </w:tr>
      <w:tr w:rsidR="00A35EF2" w:rsidRPr="00A35EF2" w:rsidTr="00E1696B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Praha-západ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23,9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Karviná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E1696B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-5,3</w:t>
            </w:r>
          </w:p>
        </w:tc>
      </w:tr>
      <w:tr w:rsidR="00A35EF2" w:rsidRPr="00A35EF2" w:rsidTr="00E1696B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Beroun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9,7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Brno-město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E1696B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-4,9</w:t>
            </w:r>
          </w:p>
        </w:tc>
      </w:tr>
      <w:tr w:rsidR="00A35EF2" w:rsidRPr="00A35EF2" w:rsidTr="00E1696B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Brno-venkov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7,6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Karlovy Vary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E1696B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-4,9</w:t>
            </w:r>
          </w:p>
        </w:tc>
      </w:tr>
      <w:tr w:rsidR="00A35EF2" w:rsidRPr="00A35EF2" w:rsidTr="00E1696B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Plzeň-sever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6,5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Ostrava-město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E1696B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-4,3</w:t>
            </w:r>
          </w:p>
        </w:tc>
      </w:tr>
      <w:tr w:rsidR="00A35EF2" w:rsidRPr="00A35EF2" w:rsidTr="00E1696B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Nymburk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5,9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Sokolov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E1696B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-4,1</w:t>
            </w:r>
          </w:p>
        </w:tc>
      </w:tr>
      <w:tr w:rsidR="00A35EF2" w:rsidRPr="00A35EF2" w:rsidTr="00E1696B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Kolín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5,4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Cheb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E1696B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-4,0</w:t>
            </w:r>
          </w:p>
        </w:tc>
      </w:tr>
      <w:tr w:rsidR="00A35EF2" w:rsidRPr="00A35EF2" w:rsidTr="00E1696B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Benešov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4,7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Bruntál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E1696B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-3,9</w:t>
            </w:r>
          </w:p>
        </w:tc>
      </w:tr>
      <w:tr w:rsidR="00A35EF2" w:rsidRPr="00A35EF2" w:rsidTr="00E1696B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Mělník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3,6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Most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E1696B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-3,4</w:t>
            </w:r>
          </w:p>
        </w:tc>
      </w:tr>
      <w:tr w:rsidR="00A35EF2" w:rsidRPr="00A35EF2" w:rsidTr="00E1696B">
        <w:trPr>
          <w:trHeight w:val="255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Plzeň-jih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3,4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A35EF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Tachov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A35EF2" w:rsidRPr="00A35EF2" w:rsidRDefault="00A35EF2" w:rsidP="00E1696B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A35EF2">
              <w:rPr>
                <w:rFonts w:cs="Arial"/>
                <w:sz w:val="16"/>
                <w:szCs w:val="16"/>
              </w:rPr>
              <w:t>-3,3</w:t>
            </w:r>
          </w:p>
        </w:tc>
      </w:tr>
    </w:tbl>
    <w:p w:rsidR="005B2831" w:rsidRDefault="005B2831" w:rsidP="004D08F9"/>
    <w:p w:rsidR="00DD45F6" w:rsidRDefault="00235807" w:rsidP="004D08F9">
      <w:r>
        <w:lastRenderedPageBreak/>
        <w:t>Nejsilnější proudy meziokresního stěhování byly za celé období 2005–201</w:t>
      </w:r>
      <w:r w:rsidR="003658E1">
        <w:t>7 mezi Prahou na jedné straně a </w:t>
      </w:r>
      <w:r>
        <w:t>okresy Praha-východ a Praha-západ na straně druhé</w:t>
      </w:r>
      <w:r w:rsidR="008E5CFB">
        <w:t xml:space="preserve"> (Tab. 7)</w:t>
      </w:r>
      <w:r>
        <w:t xml:space="preserve">. </w:t>
      </w:r>
      <w:r w:rsidR="008E5CFB">
        <w:t xml:space="preserve">Z Prahy se do </w:t>
      </w:r>
      <w:proofErr w:type="gramStart"/>
      <w:r w:rsidR="008E5CFB">
        <w:t>Prahy-východ</w:t>
      </w:r>
      <w:proofErr w:type="gramEnd"/>
      <w:r w:rsidR="008E5CFB">
        <w:t xml:space="preserve"> vystěhovalo 56 387 osob a 20 129 směřovalo opačným směrem. Z hlavního města se do </w:t>
      </w:r>
      <w:proofErr w:type="gramStart"/>
      <w:r w:rsidR="008E5CFB">
        <w:t>Prahy-západ</w:t>
      </w:r>
      <w:proofErr w:type="gramEnd"/>
      <w:r w:rsidR="008E5CFB">
        <w:t xml:space="preserve"> přestěhovalo 50 596 obyvatel a 18 279 šlo opačně. </w:t>
      </w:r>
      <w:r w:rsidR="00FB3D2D">
        <w:t xml:space="preserve">Tyto proudy dosahovaly svých nejvyšších hodnot v roce 2008. </w:t>
      </w:r>
      <w:r w:rsidR="002F3423">
        <w:t>Tradičně silný proud byl i mezi Brnem-městem a Brnem-venkovem (38 510 z Brna-města a 17 802 do Brna-města)</w:t>
      </w:r>
      <w:r w:rsidR="00FB3D2D">
        <w:t xml:space="preserve"> s vrcholem v roce 2010</w:t>
      </w:r>
      <w:r w:rsidR="002F3423">
        <w:t>.</w:t>
      </w:r>
      <w:r w:rsidR="00E06DF1">
        <w:t xml:space="preserve"> Z </w:t>
      </w:r>
      <w:r w:rsidR="00FB3D2D">
        <w:t>Prahy</w:t>
      </w:r>
      <w:r w:rsidR="00E06DF1">
        <w:t xml:space="preserve"> se obyvatelé často stěhovali i do dalších okresů Středočeského kraje (Kladno, Mělník, Beroun, Nymburk, Benešov, Kolín), obrácené proudy byl</w:t>
      </w:r>
      <w:r w:rsidR="00FB3D2D">
        <w:t>y</w:t>
      </w:r>
      <w:r w:rsidR="00E06DF1">
        <w:t xml:space="preserve"> méně početné.</w:t>
      </w:r>
      <w:r w:rsidR="00632E9D">
        <w:t xml:space="preserve"> Dynamický byl ale vývoj u proudů z </w:t>
      </w:r>
      <w:proofErr w:type="gramStart"/>
      <w:r w:rsidR="00632E9D">
        <w:t>Prahy-východ</w:t>
      </w:r>
      <w:proofErr w:type="gramEnd"/>
      <w:r w:rsidR="00632E9D">
        <w:t xml:space="preserve"> a Prahy-západ do Prahy. Počet takových případů stěhování se zvýšil mezi začátkem a koncem sledovaného období více než dvojnásobně (z hodnot okolo 800–900 až na 1 800–1 900)</w:t>
      </w:r>
      <w:r w:rsidR="00882B1B">
        <w:t xml:space="preserve">. Tato data dokládají určité </w:t>
      </w:r>
      <w:proofErr w:type="spellStart"/>
      <w:r w:rsidR="00882B1B">
        <w:t>reurbanizační</w:t>
      </w:r>
      <w:proofErr w:type="spellEnd"/>
      <w:r w:rsidR="00882B1B">
        <w:t xml:space="preserve"> tendence obyvatelstva ze zázemí hlavního města. </w:t>
      </w:r>
      <w:r w:rsidR="00632E9D">
        <w:t xml:space="preserve"> </w:t>
      </w:r>
      <w:r w:rsidR="00E06DF1">
        <w:t xml:space="preserve">  </w:t>
      </w:r>
      <w:r w:rsidR="002F3423">
        <w:t xml:space="preserve"> </w:t>
      </w:r>
      <w:r w:rsidR="008E5CFB">
        <w:t xml:space="preserve">  </w:t>
      </w:r>
    </w:p>
    <w:p w:rsidR="00D37826" w:rsidRDefault="00D37826" w:rsidP="00D37826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>Tab. 7</w:t>
      </w:r>
      <w:r w:rsidRPr="00091A5B">
        <w:rPr>
          <w:rFonts w:cs="Arial"/>
          <w:b/>
          <w:szCs w:val="20"/>
        </w:rPr>
        <w:t xml:space="preserve"> </w:t>
      </w:r>
      <w:r w:rsidRPr="00D37826">
        <w:rPr>
          <w:rFonts w:cs="Arial"/>
          <w:b/>
          <w:szCs w:val="20"/>
        </w:rPr>
        <w:t>Meziokresní proudy stěhování za období 2005–2017</w:t>
      </w:r>
    </w:p>
    <w:tbl>
      <w:tblPr>
        <w:tblW w:w="850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5"/>
        <w:gridCol w:w="2835"/>
        <w:gridCol w:w="2835"/>
      </w:tblGrid>
      <w:tr w:rsidR="009E7A45" w:rsidRPr="009E7A45" w:rsidTr="009E7A45">
        <w:trPr>
          <w:trHeight w:val="263"/>
        </w:trPr>
        <w:tc>
          <w:tcPr>
            <w:tcW w:w="2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9E7A45" w:rsidRPr="009E7A45" w:rsidRDefault="009E7A45" w:rsidP="009E7A45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E7A45">
              <w:rPr>
                <w:rFonts w:cs="Arial"/>
                <w:b/>
                <w:bCs/>
                <w:sz w:val="16"/>
                <w:szCs w:val="16"/>
              </w:rPr>
              <w:t>Okres vystěhování</w:t>
            </w: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9E7A45" w:rsidRPr="009E7A45" w:rsidRDefault="009E7A45" w:rsidP="009E7A45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E7A45">
              <w:rPr>
                <w:rFonts w:cs="Arial"/>
                <w:b/>
                <w:bCs/>
                <w:sz w:val="16"/>
                <w:szCs w:val="16"/>
              </w:rPr>
              <w:t>Okres přistěhování</w:t>
            </w: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FFFFFF" w:fill="F5DADD"/>
            <w:vAlign w:val="center"/>
            <w:hideMark/>
          </w:tcPr>
          <w:p w:rsidR="009E7A45" w:rsidRPr="009E7A45" w:rsidRDefault="009E7A45" w:rsidP="009E7A45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E7A45">
              <w:rPr>
                <w:rFonts w:cs="Arial"/>
                <w:b/>
                <w:bCs/>
                <w:sz w:val="16"/>
                <w:szCs w:val="16"/>
              </w:rPr>
              <w:t>Počet migrantů</w:t>
            </w:r>
          </w:p>
        </w:tc>
      </w:tr>
      <w:tr w:rsidR="009E7A45" w:rsidRPr="009E7A45" w:rsidTr="00E1696B">
        <w:trPr>
          <w:trHeight w:val="255"/>
        </w:trPr>
        <w:tc>
          <w:tcPr>
            <w:tcW w:w="2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2015D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Praha-východ</w:t>
            </w: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247" w:type="dxa"/>
            </w:tcMar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56 387</w:t>
            </w:r>
          </w:p>
        </w:tc>
      </w:tr>
      <w:tr w:rsidR="009E7A45" w:rsidRPr="009E7A45" w:rsidTr="00E1696B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2015D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Praha-západ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247" w:type="dxa"/>
            </w:tcMar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50 596</w:t>
            </w:r>
          </w:p>
        </w:tc>
      </w:tr>
      <w:tr w:rsidR="009E7A45" w:rsidRPr="009E7A45" w:rsidTr="00E1696B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Brno-město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Brno-venkov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247" w:type="dxa"/>
            </w:tcMar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38 510</w:t>
            </w:r>
          </w:p>
        </w:tc>
      </w:tr>
      <w:tr w:rsidR="009E7A45" w:rsidRPr="009E7A45" w:rsidTr="00E1696B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Praha-východ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2015D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247" w:type="dxa"/>
            </w:tcMar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20 129</w:t>
            </w:r>
          </w:p>
        </w:tc>
      </w:tr>
      <w:tr w:rsidR="009E7A45" w:rsidRPr="009E7A45" w:rsidTr="00E1696B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Praha-západ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2015D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247" w:type="dxa"/>
            </w:tcMar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18 279</w:t>
            </w:r>
          </w:p>
        </w:tc>
      </w:tr>
      <w:tr w:rsidR="009E7A45" w:rsidRPr="009E7A45" w:rsidTr="00E1696B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Brno-venkov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Brno-město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247" w:type="dxa"/>
            </w:tcMar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17 802</w:t>
            </w:r>
          </w:p>
        </w:tc>
      </w:tr>
      <w:tr w:rsidR="009E7A45" w:rsidRPr="009E7A45" w:rsidTr="00E1696B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2015D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Kladno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247" w:type="dxa"/>
            </w:tcMar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14 114</w:t>
            </w:r>
          </w:p>
        </w:tc>
      </w:tr>
      <w:tr w:rsidR="009E7A45" w:rsidRPr="009E7A45" w:rsidTr="00E1696B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2015D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Mělník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247" w:type="dxa"/>
            </w:tcMar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13 219</w:t>
            </w:r>
          </w:p>
        </w:tc>
      </w:tr>
      <w:tr w:rsidR="009E7A45" w:rsidRPr="009E7A45" w:rsidTr="00E1696B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Plzeň-město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Plzeň-sever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247" w:type="dxa"/>
            </w:tcMar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12 545</w:t>
            </w:r>
          </w:p>
        </w:tc>
      </w:tr>
      <w:tr w:rsidR="009E7A45" w:rsidRPr="009E7A45" w:rsidTr="00E1696B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Karviná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Ostrava-město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247" w:type="dxa"/>
            </w:tcMar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11 637</w:t>
            </w:r>
          </w:p>
        </w:tc>
      </w:tr>
      <w:tr w:rsidR="009E7A45" w:rsidRPr="009E7A45" w:rsidTr="00E1696B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2015D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Beroun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247" w:type="dxa"/>
            </w:tcMar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11 422</w:t>
            </w:r>
          </w:p>
        </w:tc>
      </w:tr>
      <w:tr w:rsidR="009E7A45" w:rsidRPr="009E7A45" w:rsidTr="00E1696B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Ostrava-město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Frýdek-Místek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247" w:type="dxa"/>
            </w:tcMar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10 737</w:t>
            </w:r>
          </w:p>
        </w:tc>
      </w:tr>
      <w:tr w:rsidR="009E7A45" w:rsidRPr="009E7A45" w:rsidTr="00E1696B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2015D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Nymburk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247" w:type="dxa"/>
            </w:tcMar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10 366</w:t>
            </w:r>
          </w:p>
        </w:tc>
      </w:tr>
      <w:tr w:rsidR="009E7A45" w:rsidRPr="009E7A45" w:rsidTr="00E1696B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Brno-město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2015D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247" w:type="dxa"/>
            </w:tcMar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10 242</w:t>
            </w:r>
          </w:p>
        </w:tc>
      </w:tr>
      <w:tr w:rsidR="009E7A45" w:rsidRPr="009E7A45" w:rsidTr="00E1696B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Ostrava-město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Karviná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247" w:type="dxa"/>
            </w:tcMar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10 133</w:t>
            </w:r>
          </w:p>
        </w:tc>
      </w:tr>
      <w:tr w:rsidR="009E7A45" w:rsidRPr="009E7A45" w:rsidTr="00E1696B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2015D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Benešov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247" w:type="dxa"/>
            </w:tcMar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9 500</w:t>
            </w:r>
          </w:p>
        </w:tc>
      </w:tr>
      <w:tr w:rsidR="009E7A45" w:rsidRPr="009E7A45" w:rsidTr="00E1696B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Ostrava-město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Opava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247" w:type="dxa"/>
            </w:tcMar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9 346</w:t>
            </w:r>
          </w:p>
        </w:tc>
      </w:tr>
      <w:tr w:rsidR="009E7A45" w:rsidRPr="009E7A45" w:rsidTr="00E1696B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Mělník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2015D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247" w:type="dxa"/>
            </w:tcMar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9 246</w:t>
            </w:r>
          </w:p>
        </w:tc>
      </w:tr>
      <w:tr w:rsidR="009E7A45" w:rsidRPr="009E7A45" w:rsidTr="00E1696B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Kladno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2015D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247" w:type="dxa"/>
            </w:tcMar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8 679</w:t>
            </w:r>
          </w:p>
        </w:tc>
      </w:tr>
      <w:tr w:rsidR="009E7A45" w:rsidRPr="009E7A45" w:rsidTr="00E1696B">
        <w:trPr>
          <w:trHeight w:val="255"/>
        </w:trPr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2015D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Kolín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247" w:type="dxa"/>
            </w:tcMar>
            <w:vAlign w:val="bottom"/>
            <w:hideMark/>
          </w:tcPr>
          <w:p w:rsidR="009E7A45" w:rsidRPr="009E7A45" w:rsidRDefault="009E7A45" w:rsidP="009E7A4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E7A45">
              <w:rPr>
                <w:rFonts w:cs="Arial"/>
                <w:sz w:val="16"/>
                <w:szCs w:val="16"/>
              </w:rPr>
              <w:t>8 555</w:t>
            </w:r>
          </w:p>
        </w:tc>
      </w:tr>
    </w:tbl>
    <w:p w:rsidR="00DD45F6" w:rsidRDefault="00DD45F6" w:rsidP="004D08F9"/>
    <w:p w:rsidR="00FB3D2D" w:rsidRDefault="00FB3D2D" w:rsidP="00DA0EDA">
      <w:pPr>
        <w:pStyle w:val="Nadpis1"/>
      </w:pPr>
    </w:p>
    <w:p w:rsidR="00FB3D2D" w:rsidRDefault="00FB3D2D" w:rsidP="00DA0EDA">
      <w:pPr>
        <w:pStyle w:val="Nadpis1"/>
      </w:pPr>
    </w:p>
    <w:p w:rsidR="00FB3D2D" w:rsidRDefault="00FB3D2D" w:rsidP="00DA0EDA">
      <w:pPr>
        <w:pStyle w:val="Nadpis1"/>
      </w:pPr>
    </w:p>
    <w:p w:rsidR="00FB3D2D" w:rsidRDefault="00FB3D2D" w:rsidP="00DA0EDA">
      <w:pPr>
        <w:pStyle w:val="Nadpis1"/>
      </w:pPr>
    </w:p>
    <w:p w:rsidR="00FB3D2D" w:rsidRDefault="00FB3D2D" w:rsidP="00DA0EDA">
      <w:pPr>
        <w:pStyle w:val="Nadpis1"/>
      </w:pPr>
    </w:p>
    <w:p w:rsidR="00FB3D2D" w:rsidRDefault="00FB3D2D" w:rsidP="00DA0EDA">
      <w:pPr>
        <w:pStyle w:val="Nadpis1"/>
      </w:pPr>
    </w:p>
    <w:p w:rsidR="00FB3D2D" w:rsidRDefault="00FB3D2D" w:rsidP="00DA0EDA">
      <w:pPr>
        <w:pStyle w:val="Nadpis1"/>
      </w:pPr>
    </w:p>
    <w:p w:rsidR="00FB3D2D" w:rsidRDefault="00FB3D2D" w:rsidP="00DA0EDA">
      <w:pPr>
        <w:pStyle w:val="Nadpis1"/>
      </w:pPr>
    </w:p>
    <w:p w:rsidR="00FB3D2D" w:rsidRDefault="00FB3D2D" w:rsidP="00DA0EDA">
      <w:pPr>
        <w:pStyle w:val="Nadpis1"/>
      </w:pPr>
    </w:p>
    <w:p w:rsidR="00FB3D2D" w:rsidRDefault="00FB3D2D" w:rsidP="00DA0EDA">
      <w:pPr>
        <w:pStyle w:val="Nadpis1"/>
      </w:pPr>
    </w:p>
    <w:p w:rsidR="00FB3D2D" w:rsidRDefault="00FB3D2D" w:rsidP="00DA0EDA">
      <w:pPr>
        <w:pStyle w:val="Nadpis1"/>
      </w:pPr>
    </w:p>
    <w:p w:rsidR="00DA0EDA" w:rsidRDefault="00DA0EDA" w:rsidP="00DA0EDA">
      <w:pPr>
        <w:pStyle w:val="Nadpis1"/>
      </w:pPr>
      <w:bookmarkStart w:id="9" w:name="_Toc531859779"/>
      <w:r>
        <w:lastRenderedPageBreak/>
        <w:t xml:space="preserve">6. Stěhování </w:t>
      </w:r>
      <w:r w:rsidR="004F1746">
        <w:t>mezi správními obvody obcí s</w:t>
      </w:r>
      <w:r w:rsidRPr="00DA0EDA">
        <w:t xml:space="preserve"> rozšířenou působností</w:t>
      </w:r>
      <w:bookmarkEnd w:id="9"/>
    </w:p>
    <w:p w:rsidR="00666303" w:rsidRDefault="00945D0F" w:rsidP="00617038">
      <w:pPr>
        <w:spacing w:after="0"/>
      </w:pPr>
      <w:r>
        <w:t>Ve zkoumaném období 2005–2017 se nejvíce obyvatel přistěhovalo do Prahy</w:t>
      </w:r>
      <w:r>
        <w:rPr>
          <w:rStyle w:val="Znakapoznpodarou"/>
        </w:rPr>
        <w:footnoteReference w:id="9"/>
      </w:r>
      <w:r>
        <w:t xml:space="preserve"> (262 757 případů stěhování; Přílohová tabulka 34). S výrazným odstupem následovaly správní obvody obcí s rozšířenou působností (SO ORP) v zázemí velkých měst (Černošice, Brandýs nad </w:t>
      </w:r>
      <w:proofErr w:type="gramStart"/>
      <w:r>
        <w:t>Labem-Stará</w:t>
      </w:r>
      <w:proofErr w:type="gramEnd"/>
      <w:r>
        <w:t xml:space="preserve"> Boleslav a Říčany u Prahy nebo Šlapanice u Brna)</w:t>
      </w:r>
      <w:r w:rsidR="00D563AC">
        <w:t xml:space="preserve"> či SO ORP tvořená úplně nebo z větší části velkými městy (Brno, Ostrava, Plzeň, Kladno nebo České Budějovice).</w:t>
      </w:r>
      <w:r w:rsidR="009259F5">
        <w:t xml:space="preserve"> V případě vystěhovalých dominovaly SO ORP velkých měst (Praha – 281 886 případů stěhování, Brno, Ostrava a Plzeň; Přílohová tabulka 35). Pátého a šestého nejvyššího počtu ovšem dosáhly SO ORP v zázemí Prahy – Černošice (35 104) a Brandýs nad </w:t>
      </w:r>
      <w:proofErr w:type="gramStart"/>
      <w:r w:rsidR="009259F5">
        <w:t>Labem-Stará</w:t>
      </w:r>
      <w:proofErr w:type="gramEnd"/>
      <w:r w:rsidR="009259F5">
        <w:t xml:space="preserve"> Boleslav (26 598). Počet vystěhovalých zde při srovnání začátku a konce období narostl téměř dvakrát.   </w:t>
      </w:r>
      <w:r w:rsidR="001A1C96">
        <w:t xml:space="preserve"> </w:t>
      </w:r>
      <w:r w:rsidR="00D563AC">
        <w:t xml:space="preserve"> </w:t>
      </w:r>
      <w:r>
        <w:t xml:space="preserve"> </w:t>
      </w:r>
    </w:p>
    <w:p w:rsidR="00666303" w:rsidRDefault="00666303" w:rsidP="00617038">
      <w:pPr>
        <w:spacing w:after="0"/>
      </w:pPr>
    </w:p>
    <w:p w:rsidR="00A3383C" w:rsidRDefault="004D2293" w:rsidP="002C4F90">
      <w:r>
        <w:t>Nejvýraznější kladné saldo stěhování měly zejména SO ORP ze zázemí Prahy, ale i jiných velkých měst</w:t>
      </w:r>
      <w:r w:rsidR="00A3383C">
        <w:t xml:space="preserve"> (Tab. 8)</w:t>
      </w:r>
      <w:r>
        <w:t xml:space="preserve">. V období 2005–2017 vnitřní migrací získaly obyvatele zejména SO ORP Černošice (37 543), Brandýs nad </w:t>
      </w:r>
      <w:proofErr w:type="gramStart"/>
      <w:r>
        <w:t>Labem-Stará</w:t>
      </w:r>
      <w:proofErr w:type="gramEnd"/>
      <w:r>
        <w:t xml:space="preserve"> Boleslav (26 537) a Říčany (18 795). </w:t>
      </w:r>
      <w:r w:rsidR="004830BC">
        <w:t xml:space="preserve">Všechna tato tři SO ORP měla nejvyšší salda stěhování v roce 2008. </w:t>
      </w:r>
      <w:r>
        <w:t xml:space="preserve">Do SO ORP Šlapanice sousedícího s Brnem </w:t>
      </w:r>
      <w:r w:rsidR="003658E1">
        <w:t>přibylo 8 584 osob a do Nýřan u </w:t>
      </w:r>
      <w:r>
        <w:t>Plzně 6</w:t>
      </w:r>
      <w:r w:rsidR="00A3383C">
        <w:t> </w:t>
      </w:r>
      <w:r>
        <w:t>022.</w:t>
      </w:r>
      <w:r w:rsidR="00A3383C">
        <w:t xml:space="preserve"> Naopak populačně výrazně ztratily SO ORP velkých měst</w:t>
      </w:r>
      <w:r w:rsidR="003658E1">
        <w:t>. Brno přišlo vnitřní migrací o </w:t>
      </w:r>
      <w:r w:rsidR="00A3383C">
        <w:t>23 957 obyvatel ve sledovaném období, Praha potom o 19 129 a Ostrava o 18 099.</w:t>
      </w:r>
      <w:r w:rsidR="00FD4F8F">
        <w:t xml:space="preserve"> Z 205 SO ORP (respektive 206 s Prahou) jich</w:t>
      </w:r>
      <w:r w:rsidR="00A3383C">
        <w:t xml:space="preserve"> </w:t>
      </w:r>
      <w:r w:rsidR="00FD4F8F">
        <w:t xml:space="preserve">81 ve sledovaném období obyvatele vnitřní migrací získalo.  </w:t>
      </w:r>
    </w:p>
    <w:p w:rsidR="005E3DC5" w:rsidRDefault="004A2A36" w:rsidP="005E3DC5">
      <w:pPr>
        <w:spacing w:after="0"/>
        <w:rPr>
          <w:rFonts w:cs="Arial"/>
          <w:b/>
          <w:szCs w:val="20"/>
        </w:rPr>
      </w:pPr>
      <w:r>
        <w:rPr>
          <w:rFonts w:cs="Arial"/>
          <w:b/>
          <w:szCs w:val="20"/>
        </w:rPr>
        <w:t>Tab. 8</w:t>
      </w:r>
      <w:r w:rsidRPr="00091A5B">
        <w:rPr>
          <w:rFonts w:cs="Arial"/>
          <w:b/>
          <w:szCs w:val="20"/>
        </w:rPr>
        <w:t xml:space="preserve"> </w:t>
      </w:r>
      <w:r>
        <w:rPr>
          <w:rFonts w:cs="Arial"/>
          <w:b/>
          <w:szCs w:val="20"/>
        </w:rPr>
        <w:t xml:space="preserve">Saldo </w:t>
      </w:r>
      <w:r w:rsidRPr="004A2A36">
        <w:rPr>
          <w:rFonts w:cs="Arial"/>
          <w:b/>
          <w:szCs w:val="20"/>
        </w:rPr>
        <w:t xml:space="preserve">stěhování </w:t>
      </w:r>
      <w:r w:rsidR="001C17C6">
        <w:rPr>
          <w:rFonts w:cs="Arial"/>
          <w:b/>
          <w:szCs w:val="20"/>
        </w:rPr>
        <w:t>podle</w:t>
      </w:r>
      <w:r w:rsidRPr="004A2A36">
        <w:rPr>
          <w:rFonts w:cs="Arial"/>
          <w:b/>
          <w:szCs w:val="20"/>
        </w:rPr>
        <w:t xml:space="preserve"> správn</w:t>
      </w:r>
      <w:r w:rsidR="001C17C6">
        <w:rPr>
          <w:rFonts w:cs="Arial"/>
          <w:b/>
          <w:szCs w:val="20"/>
        </w:rPr>
        <w:t>ích obvodů</w:t>
      </w:r>
      <w:r w:rsidRPr="004A2A36">
        <w:rPr>
          <w:rFonts w:cs="Arial"/>
          <w:b/>
          <w:szCs w:val="20"/>
        </w:rPr>
        <w:t xml:space="preserve"> obcí s rozšířenou působností</w:t>
      </w:r>
      <w:r w:rsidRPr="006E6E30">
        <w:rPr>
          <w:rFonts w:cs="Arial"/>
          <w:b/>
          <w:szCs w:val="20"/>
        </w:rPr>
        <w:t xml:space="preserve"> </w:t>
      </w:r>
    </w:p>
    <w:p w:rsidR="004A2A36" w:rsidRDefault="004A2A36" w:rsidP="005E3DC5">
      <w:pPr>
        <w:spacing w:after="60"/>
        <w:ind w:firstLine="708"/>
        <w:rPr>
          <w:rFonts w:cs="Arial"/>
          <w:b/>
          <w:szCs w:val="20"/>
        </w:rPr>
      </w:pPr>
      <w:r>
        <w:rPr>
          <w:rFonts w:cs="Arial"/>
          <w:b/>
          <w:szCs w:val="20"/>
        </w:rPr>
        <w:t xml:space="preserve">za </w:t>
      </w:r>
      <w:r w:rsidRPr="004D08F9">
        <w:rPr>
          <w:rFonts w:cs="Arial"/>
          <w:b/>
          <w:szCs w:val="20"/>
        </w:rPr>
        <w:t>období 2005–2017</w:t>
      </w:r>
    </w:p>
    <w:tbl>
      <w:tblPr>
        <w:tblW w:w="850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63"/>
        <w:gridCol w:w="1904"/>
        <w:gridCol w:w="1934"/>
        <w:gridCol w:w="1904"/>
      </w:tblGrid>
      <w:tr w:rsidR="005E3DC5" w:rsidRPr="005E3DC5" w:rsidTr="00FD4F8F">
        <w:trPr>
          <w:trHeight w:val="263"/>
        </w:trPr>
        <w:tc>
          <w:tcPr>
            <w:tcW w:w="46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FFFFFF" w:fill="F5DADD"/>
            <w:vAlign w:val="center"/>
            <w:hideMark/>
          </w:tcPr>
          <w:p w:rsidR="005E3DC5" w:rsidRPr="005E3DC5" w:rsidRDefault="005E3DC5" w:rsidP="005E3DC5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E3DC5">
              <w:rPr>
                <w:rFonts w:cs="Arial"/>
                <w:b/>
                <w:bCs/>
                <w:sz w:val="16"/>
                <w:szCs w:val="16"/>
              </w:rPr>
              <w:t>SO ORP s nejvyšším saldem</w:t>
            </w:r>
          </w:p>
        </w:tc>
        <w:tc>
          <w:tcPr>
            <w:tcW w:w="38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FFFFFF" w:fill="F5DADD"/>
            <w:vAlign w:val="center"/>
            <w:hideMark/>
          </w:tcPr>
          <w:p w:rsidR="005E3DC5" w:rsidRPr="005E3DC5" w:rsidRDefault="005E3DC5" w:rsidP="005E3DC5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E3DC5">
              <w:rPr>
                <w:rFonts w:cs="Arial"/>
                <w:b/>
                <w:bCs/>
                <w:sz w:val="16"/>
                <w:szCs w:val="16"/>
              </w:rPr>
              <w:t>SO ORP s nejnižším saldem</w:t>
            </w:r>
          </w:p>
        </w:tc>
      </w:tr>
      <w:tr w:rsidR="005E3DC5" w:rsidRPr="005E3DC5" w:rsidTr="00FD4F8F">
        <w:trPr>
          <w:trHeight w:val="263"/>
        </w:trPr>
        <w:tc>
          <w:tcPr>
            <w:tcW w:w="276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5E3DC5" w:rsidRPr="005E3DC5" w:rsidRDefault="005E3DC5" w:rsidP="005E3DC5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E3DC5">
              <w:rPr>
                <w:rFonts w:cs="Arial"/>
                <w:b/>
                <w:bCs/>
                <w:sz w:val="16"/>
                <w:szCs w:val="16"/>
              </w:rPr>
              <w:t>SO ORP</w:t>
            </w: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5E3DC5" w:rsidRPr="005E3DC5" w:rsidRDefault="005E3DC5" w:rsidP="005E3DC5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E3DC5">
              <w:rPr>
                <w:rFonts w:cs="Arial"/>
                <w:b/>
                <w:bCs/>
                <w:sz w:val="16"/>
                <w:szCs w:val="16"/>
              </w:rPr>
              <w:t>Saldo stěhování</w:t>
            </w:r>
          </w:p>
        </w:tc>
        <w:tc>
          <w:tcPr>
            <w:tcW w:w="19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5E3DC5" w:rsidRPr="005E3DC5" w:rsidRDefault="005E3DC5" w:rsidP="005E3DC5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E3DC5">
              <w:rPr>
                <w:rFonts w:cs="Arial"/>
                <w:b/>
                <w:bCs/>
                <w:sz w:val="16"/>
                <w:szCs w:val="16"/>
              </w:rPr>
              <w:t>SO ORP</w:t>
            </w: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nil"/>
            </w:tcBorders>
            <w:shd w:val="clear" w:color="FFFFFF" w:fill="F5DADD"/>
            <w:vAlign w:val="center"/>
            <w:hideMark/>
          </w:tcPr>
          <w:p w:rsidR="005E3DC5" w:rsidRPr="005E3DC5" w:rsidRDefault="005E3DC5" w:rsidP="005E3DC5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E3DC5">
              <w:rPr>
                <w:rFonts w:cs="Arial"/>
                <w:b/>
                <w:bCs/>
                <w:sz w:val="16"/>
                <w:szCs w:val="16"/>
              </w:rPr>
              <w:t>Saldo stěhování</w:t>
            </w:r>
          </w:p>
        </w:tc>
      </w:tr>
      <w:tr w:rsidR="005E3DC5" w:rsidRPr="005E3DC5" w:rsidTr="00FD4F8F">
        <w:trPr>
          <w:trHeight w:val="255"/>
        </w:trPr>
        <w:tc>
          <w:tcPr>
            <w:tcW w:w="27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Černošice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680" w:type="dxa"/>
            </w:tcMar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37 543</w:t>
            </w:r>
          </w:p>
        </w:tc>
        <w:tc>
          <w:tcPr>
            <w:tcW w:w="19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Brno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680" w:type="dxa"/>
            </w:tcMar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-23 957</w:t>
            </w:r>
          </w:p>
        </w:tc>
      </w:tr>
      <w:tr w:rsidR="005E3DC5" w:rsidRPr="005E3DC5" w:rsidTr="00FD4F8F">
        <w:trPr>
          <w:trHeight w:val="255"/>
        </w:trPr>
        <w:tc>
          <w:tcPr>
            <w:tcW w:w="276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 xml:space="preserve">Brandýs nad </w:t>
            </w:r>
            <w:proofErr w:type="gramStart"/>
            <w:r w:rsidRPr="005E3DC5">
              <w:rPr>
                <w:rFonts w:cs="Arial"/>
                <w:sz w:val="16"/>
                <w:szCs w:val="16"/>
              </w:rPr>
              <w:t>Labem-Stará</w:t>
            </w:r>
            <w:proofErr w:type="gramEnd"/>
            <w:r w:rsidRPr="005E3DC5">
              <w:rPr>
                <w:rFonts w:cs="Arial"/>
                <w:sz w:val="16"/>
                <w:szCs w:val="16"/>
              </w:rPr>
              <w:t xml:space="preserve"> Boleslav</w:t>
            </w: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680" w:type="dxa"/>
            </w:tcMar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26 537</w:t>
            </w:r>
          </w:p>
        </w:tc>
        <w:tc>
          <w:tcPr>
            <w:tcW w:w="19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680" w:type="dxa"/>
            </w:tcMar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-19 129</w:t>
            </w:r>
          </w:p>
        </w:tc>
      </w:tr>
      <w:tr w:rsidR="005E3DC5" w:rsidRPr="005E3DC5" w:rsidTr="00FD4F8F">
        <w:trPr>
          <w:trHeight w:val="255"/>
        </w:trPr>
        <w:tc>
          <w:tcPr>
            <w:tcW w:w="276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Říčany</w:t>
            </w: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680" w:type="dxa"/>
            </w:tcMar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18 795</w:t>
            </w:r>
          </w:p>
        </w:tc>
        <w:tc>
          <w:tcPr>
            <w:tcW w:w="19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Ostrava</w:t>
            </w: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680" w:type="dxa"/>
            </w:tcMar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-18 099</w:t>
            </w:r>
          </w:p>
        </w:tc>
      </w:tr>
      <w:tr w:rsidR="005E3DC5" w:rsidRPr="005E3DC5" w:rsidTr="00FD4F8F">
        <w:trPr>
          <w:trHeight w:val="255"/>
        </w:trPr>
        <w:tc>
          <w:tcPr>
            <w:tcW w:w="276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Beroun</w:t>
            </w: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680" w:type="dxa"/>
            </w:tcMar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8 613</w:t>
            </w:r>
          </w:p>
        </w:tc>
        <w:tc>
          <w:tcPr>
            <w:tcW w:w="19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Havířov</w:t>
            </w: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680" w:type="dxa"/>
            </w:tcMar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-7 620</w:t>
            </w:r>
          </w:p>
        </w:tc>
      </w:tr>
      <w:tr w:rsidR="005E3DC5" w:rsidRPr="005E3DC5" w:rsidTr="00FD4F8F">
        <w:trPr>
          <w:trHeight w:val="255"/>
        </w:trPr>
        <w:tc>
          <w:tcPr>
            <w:tcW w:w="276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Šlapanice</w:t>
            </w: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680" w:type="dxa"/>
            </w:tcMar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8 584</w:t>
            </w:r>
          </w:p>
        </w:tc>
        <w:tc>
          <w:tcPr>
            <w:tcW w:w="19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Karviná</w:t>
            </w: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680" w:type="dxa"/>
            </w:tcMar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-5 685</w:t>
            </w:r>
          </w:p>
        </w:tc>
      </w:tr>
      <w:tr w:rsidR="005E3DC5" w:rsidRPr="005E3DC5" w:rsidTr="00FD4F8F">
        <w:trPr>
          <w:trHeight w:val="255"/>
        </w:trPr>
        <w:tc>
          <w:tcPr>
            <w:tcW w:w="276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České Budějovice</w:t>
            </w: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680" w:type="dxa"/>
            </w:tcMar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6 313</w:t>
            </w:r>
          </w:p>
        </w:tc>
        <w:tc>
          <w:tcPr>
            <w:tcW w:w="19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Karlovy Vary</w:t>
            </w: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680" w:type="dxa"/>
            </w:tcMar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-4 115</w:t>
            </w:r>
          </w:p>
        </w:tc>
      </w:tr>
      <w:tr w:rsidR="005E3DC5" w:rsidRPr="005E3DC5" w:rsidTr="00FD4F8F">
        <w:trPr>
          <w:trHeight w:val="255"/>
        </w:trPr>
        <w:tc>
          <w:tcPr>
            <w:tcW w:w="276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Nýřany</w:t>
            </w: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680" w:type="dxa"/>
            </w:tcMar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6 022</w:t>
            </w:r>
          </w:p>
        </w:tc>
        <w:tc>
          <w:tcPr>
            <w:tcW w:w="19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Sokolov</w:t>
            </w: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680" w:type="dxa"/>
            </w:tcMar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-3 956</w:t>
            </w:r>
          </w:p>
        </w:tc>
      </w:tr>
      <w:tr w:rsidR="005E3DC5" w:rsidRPr="005E3DC5" w:rsidTr="00FD4F8F">
        <w:trPr>
          <w:trHeight w:val="255"/>
        </w:trPr>
        <w:tc>
          <w:tcPr>
            <w:tcW w:w="276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Benešov</w:t>
            </w: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680" w:type="dxa"/>
            </w:tcMar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4 877</w:t>
            </w:r>
          </w:p>
        </w:tc>
        <w:tc>
          <w:tcPr>
            <w:tcW w:w="19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Orlová</w:t>
            </w: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680" w:type="dxa"/>
            </w:tcMar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-3 574</w:t>
            </w:r>
          </w:p>
        </w:tc>
      </w:tr>
      <w:tr w:rsidR="005E3DC5" w:rsidRPr="005E3DC5" w:rsidTr="00FD4F8F">
        <w:trPr>
          <w:trHeight w:val="255"/>
        </w:trPr>
        <w:tc>
          <w:tcPr>
            <w:tcW w:w="276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Lysá nad Labem</w:t>
            </w: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680" w:type="dxa"/>
            </w:tcMar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4 570</w:t>
            </w:r>
          </w:p>
        </w:tc>
        <w:tc>
          <w:tcPr>
            <w:tcW w:w="19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Most</w:t>
            </w: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680" w:type="dxa"/>
            </w:tcMar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-3 449</w:t>
            </w:r>
          </w:p>
        </w:tc>
      </w:tr>
      <w:tr w:rsidR="005E3DC5" w:rsidRPr="005E3DC5" w:rsidTr="00FD4F8F">
        <w:trPr>
          <w:trHeight w:val="255"/>
        </w:trPr>
        <w:tc>
          <w:tcPr>
            <w:tcW w:w="276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Kladno</w:t>
            </w: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680" w:type="dxa"/>
            </w:tcMar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4 309</w:t>
            </w:r>
          </w:p>
        </w:tc>
        <w:tc>
          <w:tcPr>
            <w:tcW w:w="19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Ostrov</w:t>
            </w: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680" w:type="dxa"/>
            </w:tcMar>
            <w:vAlign w:val="bottom"/>
            <w:hideMark/>
          </w:tcPr>
          <w:p w:rsidR="005E3DC5" w:rsidRPr="005E3DC5" w:rsidRDefault="005E3DC5" w:rsidP="005E3DC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E3DC5">
              <w:rPr>
                <w:rFonts w:cs="Arial"/>
                <w:sz w:val="16"/>
                <w:szCs w:val="16"/>
              </w:rPr>
              <w:t>-3 448</w:t>
            </w:r>
          </w:p>
        </w:tc>
      </w:tr>
    </w:tbl>
    <w:p w:rsidR="00FD4F8F" w:rsidRDefault="00FD4F8F" w:rsidP="00FD4F8F">
      <w:pPr>
        <w:spacing w:after="0"/>
      </w:pPr>
    </w:p>
    <w:p w:rsidR="000C58BE" w:rsidRDefault="00FD4F8F" w:rsidP="00FD4F8F">
      <w:r>
        <w:t xml:space="preserve">Po přepočtu na 1 000 obyvatel středního stavu měly nejvyšší saldo stěhování za období 2005–2017 také SO ORP ze zázemí Prahy (Tab. 9) – Říčany (25,6 </w:t>
      </w:r>
      <w:r>
        <w:rPr>
          <w:rFonts w:cs="Arial"/>
        </w:rPr>
        <w:t>‰</w:t>
      </w:r>
      <w:r>
        <w:t xml:space="preserve">), Černošice (24,0 </w:t>
      </w:r>
      <w:r>
        <w:rPr>
          <w:rFonts w:cs="Arial"/>
        </w:rPr>
        <w:t>‰</w:t>
      </w:r>
      <w:r>
        <w:t xml:space="preserve">) a Brandýs nad </w:t>
      </w:r>
      <w:proofErr w:type="gramStart"/>
      <w:r>
        <w:t>Labem-Stará</w:t>
      </w:r>
      <w:proofErr w:type="gramEnd"/>
      <w:r>
        <w:t xml:space="preserve"> Boleslav (22,7 </w:t>
      </w:r>
      <w:r>
        <w:rPr>
          <w:rFonts w:cs="Arial"/>
        </w:rPr>
        <w:t>‰</w:t>
      </w:r>
      <w:r>
        <w:t>), za kterými s odstupem následovaly Lysá nad Labem, Český Brod a Beroun.</w:t>
      </w:r>
      <w:r w:rsidR="000C58BE">
        <w:t xml:space="preserve"> Pořadí SO ORP s nejnižším saldem se po relativizaci na počet obyvatel značně proměnilo. SO ORP Brno tak mělo až 12. nejnižší saldo, Ostrava 17. a Praha 90. Relativně nejvíce obyvatel ubylo v SO ORP Ostrov v Karlovarském kraji (-9,1 </w:t>
      </w:r>
      <w:r w:rsidR="000C58BE">
        <w:rPr>
          <w:rFonts w:cs="Arial"/>
        </w:rPr>
        <w:t>‰</w:t>
      </w:r>
      <w:r w:rsidR="000C58BE">
        <w:t xml:space="preserve">), Kaplice v Jihočeském kraji (-7,1 </w:t>
      </w:r>
      <w:r w:rsidR="000C58BE">
        <w:rPr>
          <w:rFonts w:cs="Arial"/>
        </w:rPr>
        <w:t xml:space="preserve">‰) a Orlová v Moravskoslezském kraji (-6,9 ‰), za kterou následovaly další dvě SO ORP ve stejném kraji (Havířov a Karviná oba -6,2 ‰)   </w:t>
      </w:r>
      <w:r w:rsidR="000C58BE">
        <w:t xml:space="preserve">  </w:t>
      </w:r>
    </w:p>
    <w:p w:rsidR="000C58BE" w:rsidRDefault="00222683" w:rsidP="00FD4F8F">
      <w:r>
        <w:t xml:space="preserve">Nejsilnější proudy mezi SO ORP lze sledovat mezi Prahou a jejím zázemím (Tab. 10). Z Prahy do Černošic se v období 2005–2017 vystěhovalo 50 596 osob (18 279 opačným směrem), do Brandýsa nad Labem-Staré Boleslavi 34 188 obyvatel (12 780 opačně) a do Říčan migrovalo 22 199 osob (7 349 zpět). Další silné proudy z Prahy byly i do SO ORP Kladna, Berouna a Benešova. Z mimopražských byly nejvýznamnější proudy z Brna do Šlapanic (17 364 osob a 7 785 opačným směrem) a z Plzně do Nýřan (10 904 případů </w:t>
      </w:r>
      <w:r>
        <w:lastRenderedPageBreak/>
        <w:t xml:space="preserve">stěhování a 5 674 zpět). </w:t>
      </w:r>
      <w:r w:rsidR="007A4E6F">
        <w:t xml:space="preserve">Zatímco </w:t>
      </w:r>
      <w:proofErr w:type="spellStart"/>
      <w:r w:rsidR="007A4E6F">
        <w:t>suburbanizační</w:t>
      </w:r>
      <w:proofErr w:type="spellEnd"/>
      <w:r w:rsidR="007A4E6F">
        <w:t xml:space="preserve"> proudy z Prahy směrem do tří SO ORP v jejím zázemí vrcholily v roce 2008 a poté poklesly, tak proudy</w:t>
      </w:r>
      <w:r>
        <w:t xml:space="preserve"> </w:t>
      </w:r>
      <w:proofErr w:type="spellStart"/>
      <w:r w:rsidR="007A4E6F">
        <w:t>reurbanizační</w:t>
      </w:r>
      <w:proofErr w:type="spellEnd"/>
      <w:r w:rsidR="007A4E6F">
        <w:t xml:space="preserve"> ve sledovaném období sílily a v roce 2017 byly na více než dvounásobných hodnotách oproti roku 2005.  </w:t>
      </w:r>
      <w:r>
        <w:t xml:space="preserve"> </w:t>
      </w:r>
    </w:p>
    <w:p w:rsidR="00AB7D65" w:rsidRDefault="0030171D" w:rsidP="00FD4F8F">
      <w:pPr>
        <w:spacing w:before="240" w:after="0"/>
        <w:rPr>
          <w:rFonts w:cs="Arial"/>
          <w:b/>
          <w:szCs w:val="20"/>
        </w:rPr>
      </w:pPr>
      <w:r>
        <w:rPr>
          <w:rFonts w:cs="Arial"/>
          <w:b/>
          <w:szCs w:val="20"/>
        </w:rPr>
        <w:t>Tab. 9</w:t>
      </w:r>
      <w:r w:rsidRPr="00091A5B">
        <w:rPr>
          <w:rFonts w:cs="Arial"/>
          <w:b/>
          <w:szCs w:val="20"/>
        </w:rPr>
        <w:t xml:space="preserve"> </w:t>
      </w:r>
      <w:r w:rsidR="001C17C6">
        <w:rPr>
          <w:rFonts w:cs="Arial"/>
          <w:b/>
          <w:szCs w:val="20"/>
        </w:rPr>
        <w:t xml:space="preserve">Saldo </w:t>
      </w:r>
      <w:r w:rsidR="001C17C6" w:rsidRPr="004A2A36">
        <w:rPr>
          <w:rFonts w:cs="Arial"/>
          <w:b/>
          <w:szCs w:val="20"/>
        </w:rPr>
        <w:t xml:space="preserve">stěhování </w:t>
      </w:r>
      <w:r w:rsidR="001C17C6">
        <w:rPr>
          <w:rFonts w:cs="Arial"/>
          <w:b/>
          <w:szCs w:val="20"/>
        </w:rPr>
        <w:t>podle</w:t>
      </w:r>
      <w:r w:rsidR="001C17C6" w:rsidRPr="004A2A36">
        <w:rPr>
          <w:rFonts w:cs="Arial"/>
          <w:b/>
          <w:szCs w:val="20"/>
        </w:rPr>
        <w:t xml:space="preserve"> správn</w:t>
      </w:r>
      <w:r w:rsidR="001C17C6">
        <w:rPr>
          <w:rFonts w:cs="Arial"/>
          <w:b/>
          <w:szCs w:val="20"/>
        </w:rPr>
        <w:t>ích obvodů</w:t>
      </w:r>
      <w:r w:rsidR="001C17C6" w:rsidRPr="004A2A36">
        <w:rPr>
          <w:rFonts w:cs="Arial"/>
          <w:b/>
          <w:szCs w:val="20"/>
        </w:rPr>
        <w:t xml:space="preserve"> obcí s rozšířenou působností</w:t>
      </w:r>
      <w:r w:rsidRPr="006E6E30">
        <w:rPr>
          <w:rFonts w:cs="Arial"/>
          <w:b/>
          <w:szCs w:val="20"/>
        </w:rPr>
        <w:t xml:space="preserve"> </w:t>
      </w:r>
      <w:r>
        <w:rPr>
          <w:rFonts w:cs="Arial"/>
          <w:b/>
          <w:szCs w:val="20"/>
        </w:rPr>
        <w:t xml:space="preserve">za </w:t>
      </w:r>
      <w:r w:rsidRPr="004D08F9">
        <w:rPr>
          <w:rFonts w:cs="Arial"/>
          <w:b/>
          <w:szCs w:val="20"/>
        </w:rPr>
        <w:t>období</w:t>
      </w:r>
    </w:p>
    <w:p w:rsidR="0030171D" w:rsidRDefault="00AB7D65" w:rsidP="00AB7D65">
      <w:pPr>
        <w:spacing w:after="0"/>
        <w:rPr>
          <w:rFonts w:cs="Arial"/>
          <w:b/>
          <w:szCs w:val="20"/>
        </w:rPr>
      </w:pPr>
      <w:r>
        <w:rPr>
          <w:rFonts w:cs="Arial"/>
          <w:b/>
          <w:szCs w:val="20"/>
        </w:rPr>
        <w:t xml:space="preserve">            </w:t>
      </w:r>
      <w:r w:rsidR="0030171D" w:rsidRPr="004D08F9">
        <w:rPr>
          <w:rFonts w:cs="Arial"/>
          <w:b/>
          <w:szCs w:val="20"/>
        </w:rPr>
        <w:t>2005–2017</w:t>
      </w:r>
      <w:r>
        <w:rPr>
          <w:rFonts w:cs="Arial"/>
          <w:b/>
          <w:szCs w:val="20"/>
        </w:rPr>
        <w:t xml:space="preserve"> </w:t>
      </w:r>
      <w:r w:rsidR="0030171D">
        <w:rPr>
          <w:rFonts w:cs="Arial"/>
          <w:b/>
          <w:szCs w:val="20"/>
        </w:rPr>
        <w:t>(na 1 000 obyvatel k 1. 7.)</w:t>
      </w:r>
    </w:p>
    <w:tbl>
      <w:tblPr>
        <w:tblW w:w="850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64"/>
        <w:gridCol w:w="1881"/>
        <w:gridCol w:w="1979"/>
        <w:gridCol w:w="1881"/>
      </w:tblGrid>
      <w:tr w:rsidR="00AB7D65" w:rsidRPr="00AB7D65" w:rsidTr="00AB7D65">
        <w:trPr>
          <w:trHeight w:val="263"/>
        </w:trPr>
        <w:tc>
          <w:tcPr>
            <w:tcW w:w="428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FFFFFF" w:fill="F5DADD"/>
            <w:vAlign w:val="center"/>
            <w:hideMark/>
          </w:tcPr>
          <w:p w:rsidR="00AB7D65" w:rsidRPr="00AB7D65" w:rsidRDefault="00AB7D65" w:rsidP="00AB7D65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AB7D65">
              <w:rPr>
                <w:rFonts w:cs="Arial"/>
                <w:b/>
                <w:bCs/>
                <w:sz w:val="16"/>
                <w:szCs w:val="16"/>
              </w:rPr>
              <w:t>SO ORP s nejvyšším saldem</w:t>
            </w:r>
          </w:p>
        </w:tc>
        <w:tc>
          <w:tcPr>
            <w:tcW w:w="3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FFFFFF" w:fill="F5DADD"/>
            <w:vAlign w:val="center"/>
            <w:hideMark/>
          </w:tcPr>
          <w:p w:rsidR="00AB7D65" w:rsidRPr="00AB7D65" w:rsidRDefault="00AB7D65" w:rsidP="00AB7D65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AB7D65">
              <w:rPr>
                <w:rFonts w:cs="Arial"/>
                <w:b/>
                <w:bCs/>
                <w:sz w:val="16"/>
                <w:szCs w:val="16"/>
              </w:rPr>
              <w:t>SO ORP s nejnižším saldem</w:t>
            </w:r>
          </w:p>
        </w:tc>
      </w:tr>
      <w:tr w:rsidR="00AB7D65" w:rsidRPr="00AB7D65" w:rsidTr="00AB7D65">
        <w:trPr>
          <w:trHeight w:val="263"/>
        </w:trPr>
        <w:tc>
          <w:tcPr>
            <w:tcW w:w="2548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AB7D65" w:rsidRPr="00AB7D65" w:rsidRDefault="00AB7D65" w:rsidP="00AB7D65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AB7D65">
              <w:rPr>
                <w:rFonts w:cs="Arial"/>
                <w:b/>
                <w:bCs/>
                <w:sz w:val="16"/>
                <w:szCs w:val="16"/>
              </w:rPr>
              <w:t>SO ORP</w:t>
            </w:r>
          </w:p>
        </w:tc>
        <w:tc>
          <w:tcPr>
            <w:tcW w:w="173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AB7D65" w:rsidRPr="00AB7D65" w:rsidRDefault="00AB7D65" w:rsidP="00AB7D65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AB7D65">
              <w:rPr>
                <w:rFonts w:cs="Arial"/>
                <w:b/>
                <w:bCs/>
                <w:sz w:val="16"/>
                <w:szCs w:val="16"/>
              </w:rPr>
              <w:t xml:space="preserve">Saldo stěhování na </w:t>
            </w:r>
            <w:r w:rsidRPr="00AB7D65">
              <w:rPr>
                <w:rFonts w:cs="Arial"/>
                <w:b/>
                <w:bCs/>
                <w:sz w:val="16"/>
                <w:szCs w:val="16"/>
              </w:rPr>
              <w:br/>
              <w:t>1 000 obyvatel</w:t>
            </w:r>
          </w:p>
        </w:tc>
        <w:tc>
          <w:tcPr>
            <w:tcW w:w="182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AB7D65" w:rsidRPr="00AB7D65" w:rsidRDefault="00AB7D65" w:rsidP="00AB7D65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AB7D65">
              <w:rPr>
                <w:rFonts w:cs="Arial"/>
                <w:b/>
                <w:bCs/>
                <w:sz w:val="16"/>
                <w:szCs w:val="16"/>
              </w:rPr>
              <w:t>SO ORP</w:t>
            </w:r>
          </w:p>
        </w:tc>
        <w:tc>
          <w:tcPr>
            <w:tcW w:w="173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FFFFFF" w:fill="F5DADD"/>
            <w:vAlign w:val="center"/>
            <w:hideMark/>
          </w:tcPr>
          <w:p w:rsidR="00AB7D65" w:rsidRPr="00AB7D65" w:rsidRDefault="00AB7D65" w:rsidP="00AB7D65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AB7D65">
              <w:rPr>
                <w:rFonts w:cs="Arial"/>
                <w:b/>
                <w:bCs/>
                <w:sz w:val="16"/>
                <w:szCs w:val="16"/>
              </w:rPr>
              <w:t xml:space="preserve">Saldo stěhování na </w:t>
            </w:r>
            <w:r w:rsidRPr="00AB7D65">
              <w:rPr>
                <w:rFonts w:cs="Arial"/>
                <w:b/>
                <w:bCs/>
                <w:sz w:val="16"/>
                <w:szCs w:val="16"/>
              </w:rPr>
              <w:br/>
              <w:t>1 000 obyvatel</w:t>
            </w:r>
          </w:p>
        </w:tc>
      </w:tr>
      <w:tr w:rsidR="00AB7D65" w:rsidRPr="00AB7D65" w:rsidTr="00AB7D65">
        <w:trPr>
          <w:trHeight w:val="263"/>
        </w:trPr>
        <w:tc>
          <w:tcPr>
            <w:tcW w:w="2548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17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182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17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</w:tr>
      <w:tr w:rsidR="00AB7D65" w:rsidRPr="00AB7D65" w:rsidTr="00935421">
        <w:trPr>
          <w:trHeight w:val="255"/>
        </w:trPr>
        <w:tc>
          <w:tcPr>
            <w:tcW w:w="25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Říčany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25,6</w:t>
            </w:r>
          </w:p>
        </w:tc>
        <w:tc>
          <w:tcPr>
            <w:tcW w:w="18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Ostrov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93542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-9,1</w:t>
            </w:r>
          </w:p>
        </w:tc>
      </w:tr>
      <w:tr w:rsidR="00AB7D65" w:rsidRPr="00AB7D65" w:rsidTr="00935421">
        <w:trPr>
          <w:trHeight w:val="255"/>
        </w:trPr>
        <w:tc>
          <w:tcPr>
            <w:tcW w:w="25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Černošice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24,0</w:t>
            </w:r>
          </w:p>
        </w:tc>
        <w:tc>
          <w:tcPr>
            <w:tcW w:w="18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Kaplice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93542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-7,1</w:t>
            </w:r>
          </w:p>
        </w:tc>
      </w:tr>
      <w:tr w:rsidR="00AB7D65" w:rsidRPr="00AB7D65" w:rsidTr="00935421">
        <w:trPr>
          <w:trHeight w:val="255"/>
        </w:trPr>
        <w:tc>
          <w:tcPr>
            <w:tcW w:w="25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 xml:space="preserve">Brandýs nad </w:t>
            </w:r>
            <w:proofErr w:type="gramStart"/>
            <w:r w:rsidRPr="00AB7D65">
              <w:rPr>
                <w:rFonts w:cs="Arial"/>
                <w:sz w:val="16"/>
                <w:szCs w:val="16"/>
              </w:rPr>
              <w:t>Labem-Stará</w:t>
            </w:r>
            <w:proofErr w:type="gramEnd"/>
            <w:r w:rsidRPr="00AB7D65">
              <w:rPr>
                <w:rFonts w:cs="Arial"/>
                <w:sz w:val="16"/>
                <w:szCs w:val="16"/>
              </w:rPr>
              <w:t xml:space="preserve"> Boleslav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22,7</w:t>
            </w:r>
          </w:p>
        </w:tc>
        <w:tc>
          <w:tcPr>
            <w:tcW w:w="18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Orlová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93542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-6,9</w:t>
            </w:r>
          </w:p>
        </w:tc>
      </w:tr>
      <w:tr w:rsidR="00AB7D65" w:rsidRPr="00AB7D65" w:rsidTr="00935421">
        <w:trPr>
          <w:trHeight w:val="255"/>
        </w:trPr>
        <w:tc>
          <w:tcPr>
            <w:tcW w:w="25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Lysá nad Labem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15,8</w:t>
            </w:r>
          </w:p>
        </w:tc>
        <w:tc>
          <w:tcPr>
            <w:tcW w:w="18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Havířov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93542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-6,2</w:t>
            </w:r>
          </w:p>
        </w:tc>
      </w:tr>
      <w:tr w:rsidR="00AB7D65" w:rsidRPr="00AB7D65" w:rsidTr="00935421">
        <w:trPr>
          <w:trHeight w:val="255"/>
        </w:trPr>
        <w:tc>
          <w:tcPr>
            <w:tcW w:w="25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Český Brod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11,9</w:t>
            </w:r>
          </w:p>
        </w:tc>
        <w:tc>
          <w:tcPr>
            <w:tcW w:w="18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Karviná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93542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-6,2</w:t>
            </w:r>
          </w:p>
        </w:tc>
      </w:tr>
      <w:tr w:rsidR="00AB7D65" w:rsidRPr="00AB7D65" w:rsidTr="00935421">
        <w:trPr>
          <w:trHeight w:val="255"/>
        </w:trPr>
        <w:tc>
          <w:tcPr>
            <w:tcW w:w="25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Beroun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11,7</w:t>
            </w:r>
          </w:p>
        </w:tc>
        <w:tc>
          <w:tcPr>
            <w:tcW w:w="18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Broumov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93542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-5,8</w:t>
            </w:r>
          </w:p>
        </w:tc>
      </w:tr>
      <w:tr w:rsidR="00AB7D65" w:rsidRPr="00AB7D65" w:rsidTr="00935421">
        <w:trPr>
          <w:trHeight w:val="255"/>
        </w:trPr>
        <w:tc>
          <w:tcPr>
            <w:tcW w:w="25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Šlapanice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10,7</w:t>
            </w:r>
          </w:p>
        </w:tc>
        <w:tc>
          <w:tcPr>
            <w:tcW w:w="18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Jeseník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93542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-5,7</w:t>
            </w:r>
          </w:p>
        </w:tc>
      </w:tr>
      <w:tr w:rsidR="00AB7D65" w:rsidRPr="00AB7D65" w:rsidTr="00935421">
        <w:trPr>
          <w:trHeight w:val="255"/>
        </w:trPr>
        <w:tc>
          <w:tcPr>
            <w:tcW w:w="25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Dobříš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10,0</w:t>
            </w:r>
          </w:p>
        </w:tc>
        <w:tc>
          <w:tcPr>
            <w:tcW w:w="18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Rýmařov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93542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-5,4</w:t>
            </w:r>
          </w:p>
        </w:tc>
      </w:tr>
      <w:tr w:rsidR="00AB7D65" w:rsidRPr="00AB7D65" w:rsidTr="00935421">
        <w:trPr>
          <w:trHeight w:val="255"/>
        </w:trPr>
        <w:tc>
          <w:tcPr>
            <w:tcW w:w="25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Frýdlant nad Ostravicí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9,2</w:t>
            </w:r>
          </w:p>
        </w:tc>
        <w:tc>
          <w:tcPr>
            <w:tcW w:w="18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Mariánské Lázně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93542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-5,4</w:t>
            </w:r>
          </w:p>
        </w:tc>
      </w:tr>
      <w:tr w:rsidR="00AB7D65" w:rsidRPr="00AB7D65" w:rsidTr="00935421">
        <w:trPr>
          <w:trHeight w:val="255"/>
        </w:trPr>
        <w:tc>
          <w:tcPr>
            <w:tcW w:w="25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Nýřany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tcMar>
              <w:right w:w="851" w:type="dxa"/>
            </w:tcMar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8,8</w:t>
            </w:r>
          </w:p>
        </w:tc>
        <w:tc>
          <w:tcPr>
            <w:tcW w:w="18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AB7D65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Kraslice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:rsidR="00AB7D65" w:rsidRPr="00AB7D65" w:rsidRDefault="00AB7D65" w:rsidP="0093542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AB7D65">
              <w:rPr>
                <w:rFonts w:cs="Arial"/>
                <w:sz w:val="16"/>
                <w:szCs w:val="16"/>
              </w:rPr>
              <w:t>-5,2</w:t>
            </w:r>
          </w:p>
        </w:tc>
      </w:tr>
    </w:tbl>
    <w:p w:rsidR="00FD4F8F" w:rsidRDefault="00FD4F8F" w:rsidP="002838E0">
      <w:pPr>
        <w:spacing w:after="0"/>
      </w:pPr>
    </w:p>
    <w:p w:rsidR="00B62000" w:rsidRDefault="000A1EC4" w:rsidP="000A1EC4">
      <w:pPr>
        <w:spacing w:after="0"/>
        <w:rPr>
          <w:rFonts w:cs="Arial"/>
          <w:b/>
          <w:szCs w:val="20"/>
        </w:rPr>
      </w:pPr>
      <w:r>
        <w:rPr>
          <w:rFonts w:cs="Arial"/>
          <w:b/>
          <w:szCs w:val="20"/>
        </w:rPr>
        <w:t xml:space="preserve">Tab. 10 </w:t>
      </w:r>
      <w:r w:rsidRPr="000A1EC4">
        <w:rPr>
          <w:rFonts w:cs="Arial"/>
          <w:b/>
          <w:szCs w:val="20"/>
        </w:rPr>
        <w:t xml:space="preserve">Proudy stěhování mezi správními obvody obcí s rozšířenou působností </w:t>
      </w:r>
    </w:p>
    <w:p w:rsidR="000A1EC4" w:rsidRDefault="00B62000" w:rsidP="000A1EC4">
      <w:pPr>
        <w:spacing w:after="0"/>
        <w:rPr>
          <w:rFonts w:cs="Arial"/>
          <w:b/>
          <w:szCs w:val="20"/>
        </w:rPr>
      </w:pPr>
      <w:r>
        <w:rPr>
          <w:rFonts w:cs="Arial"/>
          <w:b/>
          <w:szCs w:val="20"/>
        </w:rPr>
        <w:t xml:space="preserve">              </w:t>
      </w:r>
      <w:r w:rsidR="000A1EC4" w:rsidRPr="000A1EC4">
        <w:rPr>
          <w:rFonts w:cs="Arial"/>
          <w:b/>
          <w:szCs w:val="20"/>
        </w:rPr>
        <w:t>za období 2005–2017</w:t>
      </w:r>
    </w:p>
    <w:tbl>
      <w:tblPr>
        <w:tblW w:w="850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34"/>
        <w:gridCol w:w="3034"/>
        <w:gridCol w:w="2437"/>
      </w:tblGrid>
      <w:tr w:rsidR="00B62000" w:rsidRPr="00B62000" w:rsidTr="00B62000">
        <w:trPr>
          <w:trHeight w:val="263"/>
        </w:trPr>
        <w:tc>
          <w:tcPr>
            <w:tcW w:w="30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B62000" w:rsidRPr="00B62000" w:rsidRDefault="00B62000" w:rsidP="00B62000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B62000">
              <w:rPr>
                <w:rFonts w:cs="Arial"/>
                <w:b/>
                <w:bCs/>
                <w:sz w:val="16"/>
                <w:szCs w:val="16"/>
              </w:rPr>
              <w:t>SO ORP vystěhování</w:t>
            </w:r>
          </w:p>
        </w:tc>
        <w:tc>
          <w:tcPr>
            <w:tcW w:w="30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B62000" w:rsidRPr="00B62000" w:rsidRDefault="00B62000" w:rsidP="00B62000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B62000">
              <w:rPr>
                <w:rFonts w:cs="Arial"/>
                <w:b/>
                <w:bCs/>
                <w:sz w:val="16"/>
                <w:szCs w:val="16"/>
              </w:rPr>
              <w:t>SO ORP přistěhování</w:t>
            </w:r>
          </w:p>
        </w:tc>
        <w:tc>
          <w:tcPr>
            <w:tcW w:w="243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FFFFFF" w:fill="F5DADD"/>
            <w:vAlign w:val="center"/>
            <w:hideMark/>
          </w:tcPr>
          <w:p w:rsidR="00B62000" w:rsidRPr="00B62000" w:rsidRDefault="00B62000" w:rsidP="00B62000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B62000">
              <w:rPr>
                <w:rFonts w:cs="Arial"/>
                <w:b/>
                <w:bCs/>
                <w:sz w:val="16"/>
                <w:szCs w:val="16"/>
              </w:rPr>
              <w:t>Počet migrantů</w:t>
            </w:r>
          </w:p>
        </w:tc>
      </w:tr>
      <w:tr w:rsidR="00B62000" w:rsidRPr="00B62000" w:rsidTr="00220916">
        <w:trPr>
          <w:trHeight w:val="255"/>
        </w:trPr>
        <w:tc>
          <w:tcPr>
            <w:tcW w:w="30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30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Černošice</w:t>
            </w:r>
          </w:p>
        </w:tc>
        <w:tc>
          <w:tcPr>
            <w:tcW w:w="243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021" w:type="dxa"/>
            </w:tcMar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50 596</w:t>
            </w:r>
          </w:p>
        </w:tc>
      </w:tr>
      <w:tr w:rsidR="00B62000" w:rsidRPr="00B62000" w:rsidTr="00220916">
        <w:trPr>
          <w:trHeight w:val="255"/>
        </w:trPr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 xml:space="preserve">Brandýs nad </w:t>
            </w:r>
            <w:proofErr w:type="gramStart"/>
            <w:r w:rsidRPr="00B62000">
              <w:rPr>
                <w:rFonts w:cs="Arial"/>
                <w:sz w:val="16"/>
                <w:szCs w:val="16"/>
              </w:rPr>
              <w:t>Labem-Stará</w:t>
            </w:r>
            <w:proofErr w:type="gramEnd"/>
            <w:r w:rsidRPr="00B62000">
              <w:rPr>
                <w:rFonts w:cs="Arial"/>
                <w:sz w:val="16"/>
                <w:szCs w:val="16"/>
              </w:rPr>
              <w:t xml:space="preserve"> Boleslav</w:t>
            </w:r>
          </w:p>
        </w:tc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021" w:type="dxa"/>
            </w:tcMar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34 188</w:t>
            </w:r>
          </w:p>
        </w:tc>
      </w:tr>
      <w:tr w:rsidR="00B62000" w:rsidRPr="00B62000" w:rsidTr="00220916">
        <w:trPr>
          <w:trHeight w:val="255"/>
        </w:trPr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Říčany</w:t>
            </w:r>
          </w:p>
        </w:tc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021" w:type="dxa"/>
            </w:tcMar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22 199</w:t>
            </w:r>
          </w:p>
        </w:tc>
      </w:tr>
      <w:tr w:rsidR="00B62000" w:rsidRPr="00B62000" w:rsidTr="00220916">
        <w:trPr>
          <w:trHeight w:val="255"/>
        </w:trPr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Černošice</w:t>
            </w:r>
          </w:p>
        </w:tc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021" w:type="dxa"/>
            </w:tcMar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18 279</w:t>
            </w:r>
          </w:p>
        </w:tc>
      </w:tr>
      <w:tr w:rsidR="00B62000" w:rsidRPr="00B62000" w:rsidTr="00220916">
        <w:trPr>
          <w:trHeight w:val="255"/>
        </w:trPr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Brno</w:t>
            </w:r>
          </w:p>
        </w:tc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Šlapanice</w:t>
            </w:r>
          </w:p>
        </w:tc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021" w:type="dxa"/>
            </w:tcMar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17 364</w:t>
            </w:r>
          </w:p>
        </w:tc>
      </w:tr>
      <w:tr w:rsidR="00B62000" w:rsidRPr="00B62000" w:rsidTr="00220916">
        <w:trPr>
          <w:trHeight w:val="255"/>
        </w:trPr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 xml:space="preserve">Brandýs nad </w:t>
            </w:r>
            <w:proofErr w:type="gramStart"/>
            <w:r w:rsidRPr="00B62000">
              <w:rPr>
                <w:rFonts w:cs="Arial"/>
                <w:sz w:val="16"/>
                <w:szCs w:val="16"/>
              </w:rPr>
              <w:t>Labem-Stará</w:t>
            </w:r>
            <w:proofErr w:type="gramEnd"/>
            <w:r w:rsidRPr="00B62000">
              <w:rPr>
                <w:rFonts w:cs="Arial"/>
                <w:sz w:val="16"/>
                <w:szCs w:val="16"/>
              </w:rPr>
              <w:t xml:space="preserve"> Boleslav</w:t>
            </w:r>
          </w:p>
        </w:tc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021" w:type="dxa"/>
            </w:tcMar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12 780</w:t>
            </w:r>
          </w:p>
        </w:tc>
      </w:tr>
      <w:tr w:rsidR="00B62000" w:rsidRPr="00B62000" w:rsidTr="00220916">
        <w:trPr>
          <w:trHeight w:val="255"/>
        </w:trPr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Kladno</w:t>
            </w:r>
          </w:p>
        </w:tc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021" w:type="dxa"/>
            </w:tcMar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11 160</w:t>
            </w:r>
          </w:p>
        </w:tc>
      </w:tr>
      <w:tr w:rsidR="00B62000" w:rsidRPr="00B62000" w:rsidTr="00220916">
        <w:trPr>
          <w:trHeight w:val="255"/>
        </w:trPr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Plzeň</w:t>
            </w:r>
          </w:p>
        </w:tc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Nýřany</w:t>
            </w:r>
          </w:p>
        </w:tc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021" w:type="dxa"/>
            </w:tcMar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10 904</w:t>
            </w:r>
          </w:p>
        </w:tc>
      </w:tr>
      <w:tr w:rsidR="00B62000" w:rsidRPr="00B62000" w:rsidTr="00220916">
        <w:trPr>
          <w:trHeight w:val="255"/>
        </w:trPr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Brno</w:t>
            </w:r>
          </w:p>
        </w:tc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021" w:type="dxa"/>
            </w:tcMar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10 242</w:t>
            </w:r>
          </w:p>
        </w:tc>
      </w:tr>
      <w:tr w:rsidR="00B62000" w:rsidRPr="00B62000" w:rsidTr="00220916">
        <w:trPr>
          <w:trHeight w:val="255"/>
        </w:trPr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Beroun</w:t>
            </w:r>
          </w:p>
        </w:tc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021" w:type="dxa"/>
            </w:tcMar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9 287</w:t>
            </w:r>
          </w:p>
        </w:tc>
      </w:tr>
      <w:tr w:rsidR="00B62000" w:rsidRPr="00B62000" w:rsidTr="00220916">
        <w:trPr>
          <w:trHeight w:val="255"/>
        </w:trPr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Šlapanice</w:t>
            </w:r>
          </w:p>
        </w:tc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Brno</w:t>
            </w:r>
          </w:p>
        </w:tc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021" w:type="dxa"/>
            </w:tcMar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7 785</w:t>
            </w:r>
          </w:p>
        </w:tc>
      </w:tr>
      <w:tr w:rsidR="00B62000" w:rsidRPr="00B62000" w:rsidTr="00220916">
        <w:trPr>
          <w:trHeight w:val="255"/>
        </w:trPr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Ostrava</w:t>
            </w:r>
          </w:p>
        </w:tc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Frýdek-Místek</w:t>
            </w:r>
          </w:p>
        </w:tc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021" w:type="dxa"/>
            </w:tcMar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7 492</w:t>
            </w:r>
          </w:p>
        </w:tc>
      </w:tr>
      <w:tr w:rsidR="00B62000" w:rsidRPr="00B62000" w:rsidTr="00220916">
        <w:trPr>
          <w:trHeight w:val="255"/>
        </w:trPr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Říčany</w:t>
            </w:r>
          </w:p>
        </w:tc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021" w:type="dxa"/>
            </w:tcMar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7 349</w:t>
            </w:r>
          </w:p>
        </w:tc>
      </w:tr>
      <w:tr w:rsidR="00B62000" w:rsidRPr="00B62000" w:rsidTr="00220916">
        <w:trPr>
          <w:trHeight w:val="255"/>
        </w:trPr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Benešov</w:t>
            </w:r>
          </w:p>
        </w:tc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021" w:type="dxa"/>
            </w:tcMar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7 224</w:t>
            </w:r>
          </w:p>
        </w:tc>
      </w:tr>
      <w:tr w:rsidR="00B62000" w:rsidRPr="00B62000" w:rsidTr="00220916">
        <w:trPr>
          <w:trHeight w:val="255"/>
        </w:trPr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Ostrava</w:t>
            </w:r>
          </w:p>
        </w:tc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021" w:type="dxa"/>
            </w:tcMar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6 995</w:t>
            </w:r>
          </w:p>
        </w:tc>
      </w:tr>
      <w:tr w:rsidR="00B62000" w:rsidRPr="00B62000" w:rsidTr="00220916">
        <w:trPr>
          <w:trHeight w:val="255"/>
        </w:trPr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Kladno</w:t>
            </w:r>
          </w:p>
        </w:tc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021" w:type="dxa"/>
            </w:tcMar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6 776</w:t>
            </w:r>
          </w:p>
        </w:tc>
      </w:tr>
      <w:tr w:rsidR="00B62000" w:rsidRPr="00B62000" w:rsidTr="00220916">
        <w:trPr>
          <w:trHeight w:val="255"/>
        </w:trPr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Nýřany</w:t>
            </w:r>
          </w:p>
        </w:tc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Plzeň</w:t>
            </w:r>
          </w:p>
        </w:tc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021" w:type="dxa"/>
            </w:tcMar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5 674</w:t>
            </w:r>
          </w:p>
        </w:tc>
      </w:tr>
      <w:tr w:rsidR="00B62000" w:rsidRPr="00B62000" w:rsidTr="00220916">
        <w:trPr>
          <w:trHeight w:val="255"/>
        </w:trPr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Brno</w:t>
            </w:r>
          </w:p>
        </w:tc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Židlochovice</w:t>
            </w:r>
          </w:p>
        </w:tc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021" w:type="dxa"/>
            </w:tcMar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5 646</w:t>
            </w:r>
          </w:p>
        </w:tc>
      </w:tr>
      <w:tr w:rsidR="00B62000" w:rsidRPr="00B62000" w:rsidTr="00220916">
        <w:trPr>
          <w:trHeight w:val="255"/>
        </w:trPr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Havířov</w:t>
            </w:r>
          </w:p>
        </w:tc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Ostrava</w:t>
            </w:r>
          </w:p>
        </w:tc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021" w:type="dxa"/>
            </w:tcMar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5 280</w:t>
            </w:r>
          </w:p>
        </w:tc>
      </w:tr>
      <w:tr w:rsidR="00B62000" w:rsidRPr="00B62000" w:rsidTr="00220916">
        <w:trPr>
          <w:trHeight w:val="255"/>
        </w:trPr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Mladá Boleslav</w:t>
            </w:r>
          </w:p>
        </w:tc>
        <w:tc>
          <w:tcPr>
            <w:tcW w:w="30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021" w:type="dxa"/>
            </w:tcMar>
            <w:vAlign w:val="bottom"/>
            <w:hideMark/>
          </w:tcPr>
          <w:p w:rsidR="00B62000" w:rsidRPr="00B62000" w:rsidRDefault="00B62000" w:rsidP="00B62000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B62000">
              <w:rPr>
                <w:rFonts w:cs="Arial"/>
                <w:sz w:val="16"/>
                <w:szCs w:val="16"/>
              </w:rPr>
              <w:t>5 261</w:t>
            </w:r>
          </w:p>
        </w:tc>
      </w:tr>
    </w:tbl>
    <w:p w:rsidR="00B62000" w:rsidRDefault="00B62000" w:rsidP="000A1EC4">
      <w:pPr>
        <w:spacing w:after="0"/>
        <w:rPr>
          <w:rFonts w:cs="Arial"/>
          <w:b/>
          <w:szCs w:val="20"/>
        </w:rPr>
      </w:pPr>
    </w:p>
    <w:p w:rsidR="00EB3D95" w:rsidRDefault="00EB3D95" w:rsidP="00EB3D95">
      <w:pPr>
        <w:pStyle w:val="Nadpis1"/>
      </w:pPr>
    </w:p>
    <w:p w:rsidR="00EB3D95" w:rsidRDefault="00EB3D95" w:rsidP="00EB3D95">
      <w:pPr>
        <w:pStyle w:val="Nadpis1"/>
      </w:pPr>
    </w:p>
    <w:p w:rsidR="00EB3D95" w:rsidRDefault="00EB3D95" w:rsidP="00EB3D95">
      <w:pPr>
        <w:pStyle w:val="Nadpis1"/>
      </w:pPr>
    </w:p>
    <w:p w:rsidR="00EB3D95" w:rsidRDefault="00EB3D95" w:rsidP="00EB3D95">
      <w:pPr>
        <w:pStyle w:val="Nadpis1"/>
      </w:pPr>
    </w:p>
    <w:p w:rsidR="00EB3D95" w:rsidRDefault="00EB3D95" w:rsidP="00EB3D95">
      <w:pPr>
        <w:pStyle w:val="Nadpis1"/>
      </w:pPr>
    </w:p>
    <w:p w:rsidR="00EB3D95" w:rsidRDefault="00EB3D95" w:rsidP="00EB3D95">
      <w:pPr>
        <w:pStyle w:val="Nadpis1"/>
      </w:pPr>
    </w:p>
    <w:p w:rsidR="00EB3D95" w:rsidRDefault="00EB3D95" w:rsidP="00EB3D95">
      <w:pPr>
        <w:pStyle w:val="Nadpis1"/>
      </w:pPr>
      <w:bookmarkStart w:id="10" w:name="_Toc531859780"/>
      <w:r>
        <w:lastRenderedPageBreak/>
        <w:t xml:space="preserve">7. </w:t>
      </w:r>
      <w:proofErr w:type="spellStart"/>
      <w:r>
        <w:t>Meziobecní</w:t>
      </w:r>
      <w:proofErr w:type="spellEnd"/>
      <w:r>
        <w:t xml:space="preserve"> stěhování</w:t>
      </w:r>
      <w:bookmarkEnd w:id="10"/>
    </w:p>
    <w:p w:rsidR="00EB3D95" w:rsidRDefault="007022B1" w:rsidP="000A1EC4">
      <w:pPr>
        <w:spacing w:after="0"/>
        <w:rPr>
          <w:rFonts w:cs="Arial"/>
          <w:szCs w:val="20"/>
        </w:rPr>
      </w:pPr>
      <w:r>
        <w:rPr>
          <w:rFonts w:cs="Arial"/>
          <w:szCs w:val="20"/>
        </w:rPr>
        <w:t xml:space="preserve">Obce s nejvyššími počty přistěhovalých a vystěhovalých se v podstatě shodují s obcemi podle jejich populační velikosti. Nejvyšší počet přistěhovalých v období 2005–2017 byl proto v Praze (262 757; Přílohová tabulka 40), Brně (70 114), Ostravě (41 879) a Plzni (39 357). Nejčastěji se obyvatelé vystěhovávali také z Prahy (281 886; Přílohová tabulka 42), Brna (94 071), Ostravy (64 819) a Plzně (41 341).   </w:t>
      </w:r>
    </w:p>
    <w:p w:rsidR="001C36AD" w:rsidRDefault="001C36AD" w:rsidP="000A1EC4">
      <w:pPr>
        <w:spacing w:after="0"/>
        <w:rPr>
          <w:rFonts w:cs="Arial"/>
          <w:szCs w:val="20"/>
        </w:rPr>
      </w:pPr>
    </w:p>
    <w:p w:rsidR="007022B1" w:rsidRDefault="000D41E8" w:rsidP="000A1EC4">
      <w:pPr>
        <w:spacing w:after="0"/>
        <w:rPr>
          <w:rFonts w:cs="Arial"/>
          <w:szCs w:val="20"/>
        </w:rPr>
      </w:pPr>
      <w:r>
        <w:rPr>
          <w:rFonts w:cs="Arial"/>
          <w:szCs w:val="20"/>
        </w:rPr>
        <w:t>Z prvních deseti obcí s nejvyšším saldem vnitřní migrace mezi roky 2005 a 2017 jsou všechny ze Středočeského kraje, osm z nich z okresů Praha-východ nebo Praha-západ, pouze Milovice jsou v okrese Nymburk a Králův Dvůr v okrese Beroun (Tab. 11).</w:t>
      </w:r>
      <w:r w:rsidR="001C6796">
        <w:rPr>
          <w:rFonts w:cs="Arial"/>
          <w:szCs w:val="20"/>
        </w:rPr>
        <w:t xml:space="preserve"> Populačně nejziskovější byla Jesenice (3 751 osob), následovaná Milovicemi (3 086 osob) a Říčany (2 794 obyvatel). </w:t>
      </w:r>
      <w:r w:rsidR="004B591E">
        <w:rPr>
          <w:rFonts w:cs="Arial"/>
          <w:szCs w:val="20"/>
        </w:rPr>
        <w:t xml:space="preserve">Nejztrátovější byla v období 2005 až 2017 velká města – Brno (-23 957), Ostrava (-22 940) a Praha (-19 129). </w:t>
      </w:r>
      <w:r w:rsidR="001C6796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 xml:space="preserve">  </w:t>
      </w:r>
    </w:p>
    <w:p w:rsidR="007022B1" w:rsidRPr="001C36AD" w:rsidRDefault="007022B1" w:rsidP="000A1EC4">
      <w:pPr>
        <w:spacing w:after="0"/>
        <w:rPr>
          <w:rFonts w:cs="Arial"/>
          <w:szCs w:val="20"/>
        </w:rPr>
      </w:pPr>
    </w:p>
    <w:p w:rsidR="00EB3D95" w:rsidRDefault="009F49E6" w:rsidP="009F49E6">
      <w:pPr>
        <w:spacing w:after="60"/>
        <w:rPr>
          <w:rFonts w:cs="Arial"/>
          <w:b/>
          <w:szCs w:val="20"/>
        </w:rPr>
      </w:pPr>
      <w:r>
        <w:rPr>
          <w:rFonts w:cs="Arial"/>
          <w:b/>
          <w:szCs w:val="20"/>
        </w:rPr>
        <w:t xml:space="preserve">Tab. 11 </w:t>
      </w:r>
      <w:r w:rsidRPr="009F49E6">
        <w:rPr>
          <w:rFonts w:cs="Arial"/>
          <w:b/>
          <w:szCs w:val="20"/>
        </w:rPr>
        <w:t>Saldo stěhování</w:t>
      </w:r>
      <w:r w:rsidR="001C17C6">
        <w:rPr>
          <w:rFonts w:cs="Arial"/>
          <w:b/>
          <w:szCs w:val="20"/>
        </w:rPr>
        <w:t xml:space="preserve"> podle obcí</w:t>
      </w:r>
      <w:r w:rsidRPr="009F49E6">
        <w:rPr>
          <w:rFonts w:cs="Arial"/>
          <w:b/>
          <w:szCs w:val="20"/>
        </w:rPr>
        <w:t xml:space="preserve"> za období 2005–2017</w:t>
      </w:r>
    </w:p>
    <w:tbl>
      <w:tblPr>
        <w:tblW w:w="850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74"/>
        <w:gridCol w:w="1479"/>
        <w:gridCol w:w="2773"/>
        <w:gridCol w:w="1479"/>
      </w:tblGrid>
      <w:tr w:rsidR="009F49E6" w:rsidRPr="009F49E6" w:rsidTr="009F49E6">
        <w:trPr>
          <w:trHeight w:val="263"/>
        </w:trPr>
        <w:tc>
          <w:tcPr>
            <w:tcW w:w="41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FFFFFF" w:fill="F5DADD"/>
            <w:vAlign w:val="center"/>
            <w:hideMark/>
          </w:tcPr>
          <w:p w:rsidR="009F49E6" w:rsidRPr="009F49E6" w:rsidRDefault="009F49E6" w:rsidP="009F49E6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F49E6">
              <w:rPr>
                <w:rFonts w:cs="Arial"/>
                <w:b/>
                <w:bCs/>
                <w:sz w:val="16"/>
                <w:szCs w:val="16"/>
              </w:rPr>
              <w:t>Obce s nejvyšším saldem</w:t>
            </w:r>
          </w:p>
        </w:tc>
        <w:tc>
          <w:tcPr>
            <w:tcW w:w="41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FFFFFF" w:fill="F5DADD"/>
            <w:vAlign w:val="center"/>
            <w:hideMark/>
          </w:tcPr>
          <w:p w:rsidR="009F49E6" w:rsidRPr="009F49E6" w:rsidRDefault="009F49E6" w:rsidP="009F49E6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F49E6">
              <w:rPr>
                <w:rFonts w:cs="Arial"/>
                <w:b/>
                <w:bCs/>
                <w:sz w:val="16"/>
                <w:szCs w:val="16"/>
              </w:rPr>
              <w:t>Obce s nejnižším saldem</w:t>
            </w:r>
          </w:p>
        </w:tc>
      </w:tr>
      <w:tr w:rsidR="009F49E6" w:rsidRPr="009F49E6" w:rsidTr="009F49E6">
        <w:trPr>
          <w:trHeight w:val="263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9F49E6" w:rsidRPr="009F49E6" w:rsidRDefault="009F49E6" w:rsidP="009F49E6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F49E6">
              <w:rPr>
                <w:rFonts w:cs="Arial"/>
                <w:b/>
                <w:bCs/>
                <w:sz w:val="16"/>
                <w:szCs w:val="16"/>
              </w:rPr>
              <w:t>Obec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9F49E6" w:rsidRPr="009F49E6" w:rsidRDefault="009F49E6" w:rsidP="009F49E6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F49E6">
              <w:rPr>
                <w:rFonts w:cs="Arial"/>
                <w:b/>
                <w:bCs/>
                <w:sz w:val="16"/>
                <w:szCs w:val="16"/>
              </w:rPr>
              <w:t>Saldo stěhování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9F49E6" w:rsidRPr="009F49E6" w:rsidRDefault="009F49E6" w:rsidP="009F49E6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F49E6">
              <w:rPr>
                <w:rFonts w:cs="Arial"/>
                <w:b/>
                <w:bCs/>
                <w:sz w:val="16"/>
                <w:szCs w:val="16"/>
              </w:rPr>
              <w:t>Obec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FFFFFF" w:fill="F5DADD"/>
            <w:vAlign w:val="center"/>
            <w:hideMark/>
          </w:tcPr>
          <w:p w:rsidR="009F49E6" w:rsidRPr="009F49E6" w:rsidRDefault="009F49E6" w:rsidP="009F49E6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F49E6">
              <w:rPr>
                <w:rFonts w:cs="Arial"/>
                <w:b/>
                <w:bCs/>
                <w:sz w:val="16"/>
                <w:szCs w:val="16"/>
              </w:rPr>
              <w:t>Saldo stěhování</w:t>
            </w:r>
          </w:p>
        </w:tc>
      </w:tr>
      <w:tr w:rsidR="009F49E6" w:rsidRPr="009F49E6" w:rsidTr="009F49E6">
        <w:trPr>
          <w:trHeight w:val="255"/>
        </w:trPr>
        <w:tc>
          <w:tcPr>
            <w:tcW w:w="27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Jesenice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3 751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Brno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397" w:type="dxa"/>
            </w:tcMar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-23 957</w:t>
            </w:r>
          </w:p>
        </w:tc>
      </w:tr>
      <w:tr w:rsidR="009F49E6" w:rsidRPr="009F49E6" w:rsidTr="009F49E6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Milovice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3 086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Ostrava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397" w:type="dxa"/>
            </w:tcMar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-22 940</w:t>
            </w:r>
          </w:p>
        </w:tc>
      </w:tr>
      <w:tr w:rsidR="009F49E6" w:rsidRPr="009F49E6" w:rsidTr="009F49E6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Říčany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2 794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397" w:type="dxa"/>
            </w:tcMar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-19 129</w:t>
            </w:r>
          </w:p>
        </w:tc>
      </w:tr>
      <w:tr w:rsidR="009F49E6" w:rsidRPr="009F49E6" w:rsidTr="009F49E6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Hostivice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2 219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Havířov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397" w:type="dxa"/>
            </w:tcMar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-9 004</w:t>
            </w:r>
          </w:p>
        </w:tc>
      </w:tr>
      <w:tr w:rsidR="009F49E6" w:rsidRPr="009F49E6" w:rsidTr="009F49E6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Králův Dvůr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2 189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Karviná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397" w:type="dxa"/>
            </w:tcMar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-7 189</w:t>
            </w:r>
          </w:p>
        </w:tc>
      </w:tr>
      <w:tr w:rsidR="009F49E6" w:rsidRPr="009F49E6" w:rsidTr="009F49E6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Chýně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1 746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Mladá Boleslav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397" w:type="dxa"/>
            </w:tcMar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-6 604</w:t>
            </w:r>
          </w:p>
        </w:tc>
      </w:tr>
      <w:tr w:rsidR="009F49E6" w:rsidRPr="009F49E6" w:rsidTr="009F49E6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Šestajovice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1 662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Hradec Králové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397" w:type="dxa"/>
            </w:tcMar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-4 995</w:t>
            </w:r>
          </w:p>
        </w:tc>
      </w:tr>
      <w:tr w:rsidR="009F49E6" w:rsidRPr="009F49E6" w:rsidTr="009F49E6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Zdiby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1 608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Ústí nad Labem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397" w:type="dxa"/>
            </w:tcMar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-4 909</w:t>
            </w:r>
          </w:p>
        </w:tc>
      </w:tr>
      <w:tr w:rsidR="009F49E6" w:rsidRPr="009F49E6" w:rsidTr="009F49E6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Bašť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1 538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Frýdek-Místek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397" w:type="dxa"/>
            </w:tcMar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-4 746</w:t>
            </w:r>
          </w:p>
        </w:tc>
      </w:tr>
      <w:tr w:rsidR="009F49E6" w:rsidRPr="009F49E6" w:rsidTr="009F49E6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Nehvizdy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1 503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Karlovy Vary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397" w:type="dxa"/>
            </w:tcMar>
            <w:vAlign w:val="bottom"/>
            <w:hideMark/>
          </w:tcPr>
          <w:p w:rsidR="009F49E6" w:rsidRPr="009F49E6" w:rsidRDefault="009F49E6" w:rsidP="009F49E6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F49E6">
              <w:rPr>
                <w:rFonts w:cs="Arial"/>
                <w:sz w:val="16"/>
                <w:szCs w:val="16"/>
              </w:rPr>
              <w:t>-4 508</w:t>
            </w:r>
          </w:p>
        </w:tc>
      </w:tr>
    </w:tbl>
    <w:p w:rsidR="009F49E6" w:rsidRDefault="009F49E6" w:rsidP="006E08A2">
      <w:pPr>
        <w:spacing w:after="0"/>
        <w:rPr>
          <w:rFonts w:cs="Arial"/>
          <w:b/>
          <w:szCs w:val="20"/>
        </w:rPr>
      </w:pPr>
    </w:p>
    <w:p w:rsidR="00CA0E5E" w:rsidRDefault="00CA0E5E" w:rsidP="00CA0E5E">
      <w:pPr>
        <w:spacing w:after="0"/>
        <w:rPr>
          <w:rFonts w:cs="Arial"/>
          <w:b/>
          <w:szCs w:val="20"/>
        </w:rPr>
      </w:pPr>
      <w:r>
        <w:rPr>
          <w:rFonts w:cs="Arial"/>
          <w:b/>
          <w:szCs w:val="20"/>
        </w:rPr>
        <w:t xml:space="preserve">Tab. 12 </w:t>
      </w:r>
      <w:proofErr w:type="spellStart"/>
      <w:r>
        <w:rPr>
          <w:rFonts w:cs="Arial"/>
          <w:b/>
          <w:szCs w:val="20"/>
        </w:rPr>
        <w:t>Meziobecní</w:t>
      </w:r>
      <w:proofErr w:type="spellEnd"/>
      <w:r>
        <w:rPr>
          <w:rFonts w:cs="Arial"/>
          <w:b/>
          <w:szCs w:val="20"/>
        </w:rPr>
        <w:t xml:space="preserve"> proudy stěhování</w:t>
      </w:r>
      <w:r w:rsidRPr="000A1EC4">
        <w:rPr>
          <w:rFonts w:cs="Arial"/>
          <w:b/>
          <w:szCs w:val="20"/>
        </w:rPr>
        <w:t xml:space="preserve"> za období 2005–2017</w:t>
      </w:r>
    </w:p>
    <w:tbl>
      <w:tblPr>
        <w:tblW w:w="850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51"/>
        <w:gridCol w:w="2952"/>
        <w:gridCol w:w="2602"/>
      </w:tblGrid>
      <w:tr w:rsidR="00D27E08" w:rsidRPr="00D27E08" w:rsidTr="00D27E08">
        <w:trPr>
          <w:trHeight w:val="263"/>
        </w:trPr>
        <w:tc>
          <w:tcPr>
            <w:tcW w:w="27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D27E08" w:rsidRPr="00D27E08" w:rsidRDefault="00D27E08" w:rsidP="00D27E08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27E08">
              <w:rPr>
                <w:rFonts w:cs="Arial"/>
                <w:b/>
                <w:bCs/>
                <w:sz w:val="16"/>
                <w:szCs w:val="16"/>
              </w:rPr>
              <w:t>Obec vystěhování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5DADD"/>
            <w:vAlign w:val="center"/>
            <w:hideMark/>
          </w:tcPr>
          <w:p w:rsidR="00D27E08" w:rsidRPr="00D27E08" w:rsidRDefault="00D27E08" w:rsidP="00D27E08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27E08">
              <w:rPr>
                <w:rFonts w:cs="Arial"/>
                <w:b/>
                <w:bCs/>
                <w:sz w:val="16"/>
                <w:szCs w:val="16"/>
              </w:rPr>
              <w:t>Obec přistěhování</w:t>
            </w: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FFFFFF" w:fill="F5DADD"/>
            <w:vAlign w:val="center"/>
            <w:hideMark/>
          </w:tcPr>
          <w:p w:rsidR="00D27E08" w:rsidRPr="00D27E08" w:rsidRDefault="00D27E08" w:rsidP="00D27E08">
            <w:pPr>
              <w:spacing w:after="0"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27E08">
              <w:rPr>
                <w:rFonts w:cs="Arial"/>
                <w:b/>
                <w:bCs/>
                <w:sz w:val="16"/>
                <w:szCs w:val="16"/>
              </w:rPr>
              <w:t>Počet migrantů</w:t>
            </w:r>
          </w:p>
        </w:tc>
      </w:tr>
      <w:tr w:rsidR="00D27E08" w:rsidRPr="00D27E08" w:rsidTr="00D64A65">
        <w:trPr>
          <w:trHeight w:val="255"/>
        </w:trPr>
        <w:tc>
          <w:tcPr>
            <w:tcW w:w="27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Brno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10 242</w:t>
            </w:r>
          </w:p>
        </w:tc>
      </w:tr>
      <w:tr w:rsidR="00D27E08" w:rsidRPr="00D27E08" w:rsidTr="00D64A65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Ostrava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6 649</w:t>
            </w:r>
          </w:p>
        </w:tc>
      </w:tr>
      <w:tr w:rsidR="00D27E08" w:rsidRPr="00D27E08" w:rsidTr="00D64A65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Kladno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5 251</w:t>
            </w:r>
          </w:p>
        </w:tc>
      </w:tr>
      <w:tr w:rsidR="00D27E08" w:rsidRPr="00D27E08" w:rsidTr="00D64A65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Plzeň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4 885</w:t>
            </w:r>
          </w:p>
        </w:tc>
      </w:tr>
      <w:tr w:rsidR="00D27E08" w:rsidRPr="00D27E08" w:rsidTr="00D64A65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Jirkov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Chomutov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4 758</w:t>
            </w:r>
          </w:p>
        </w:tc>
      </w:tr>
      <w:tr w:rsidR="00D27E08" w:rsidRPr="00D27E08" w:rsidTr="00D64A65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Chomutov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Jirkov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4 556</w:t>
            </w:r>
          </w:p>
        </w:tc>
      </w:tr>
      <w:tr w:rsidR="00D27E08" w:rsidRPr="00D27E08" w:rsidTr="00D64A65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Jesenice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4 360</w:t>
            </w:r>
          </w:p>
        </w:tc>
      </w:tr>
      <w:tr w:rsidR="00D27E08" w:rsidRPr="00D27E08" w:rsidTr="00D64A65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Kladno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4 357</w:t>
            </w:r>
          </w:p>
        </w:tc>
      </w:tr>
      <w:tr w:rsidR="00D27E08" w:rsidRPr="00D27E08" w:rsidTr="00D64A65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Říčany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4 047</w:t>
            </w:r>
          </w:p>
        </w:tc>
      </w:tr>
      <w:tr w:rsidR="00D27E08" w:rsidRPr="00D27E08" w:rsidTr="00D64A65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Liberec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3 820</w:t>
            </w:r>
          </w:p>
        </w:tc>
      </w:tr>
      <w:tr w:rsidR="00D27E08" w:rsidRPr="00D27E08" w:rsidTr="00D64A65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Brno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3 579</w:t>
            </w:r>
          </w:p>
        </w:tc>
      </w:tr>
      <w:tr w:rsidR="00D27E08" w:rsidRPr="00D27E08" w:rsidTr="00D64A65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Havířov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Ostrava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3 543</w:t>
            </w:r>
          </w:p>
        </w:tc>
      </w:tr>
      <w:tr w:rsidR="00D27E08" w:rsidRPr="00D27E08" w:rsidTr="00D64A65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Plzeň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3 487</w:t>
            </w:r>
          </w:p>
        </w:tc>
      </w:tr>
      <w:tr w:rsidR="00D27E08" w:rsidRPr="00D27E08" w:rsidTr="00D64A65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Hostivice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3 348</w:t>
            </w:r>
          </w:p>
        </w:tc>
      </w:tr>
      <w:tr w:rsidR="00D27E08" w:rsidRPr="00D27E08" w:rsidTr="00D64A65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 xml:space="preserve">Brandýs nad </w:t>
            </w:r>
            <w:proofErr w:type="gramStart"/>
            <w:r w:rsidRPr="00D27E08">
              <w:rPr>
                <w:rFonts w:cs="Arial"/>
                <w:sz w:val="16"/>
                <w:szCs w:val="16"/>
              </w:rPr>
              <w:t>Labem-Stará</w:t>
            </w:r>
            <w:proofErr w:type="gramEnd"/>
            <w:r w:rsidRPr="00D27E08">
              <w:rPr>
                <w:rFonts w:cs="Arial"/>
                <w:sz w:val="16"/>
                <w:szCs w:val="16"/>
              </w:rPr>
              <w:t xml:space="preserve"> Boleslav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3 242</w:t>
            </w:r>
          </w:p>
        </w:tc>
      </w:tr>
      <w:tr w:rsidR="00D27E08" w:rsidRPr="00D27E08" w:rsidTr="00D64A65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Ústí nad Labem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3 239</w:t>
            </w:r>
          </w:p>
        </w:tc>
      </w:tr>
      <w:tr w:rsidR="00D27E08" w:rsidRPr="00D27E08" w:rsidTr="00D64A65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Hradec Králové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3 179</w:t>
            </w:r>
          </w:p>
        </w:tc>
      </w:tr>
      <w:tr w:rsidR="00D27E08" w:rsidRPr="00D27E08" w:rsidTr="00D64A65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Ostrava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Havířov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2 768</w:t>
            </w:r>
          </w:p>
        </w:tc>
      </w:tr>
      <w:tr w:rsidR="00D27E08" w:rsidRPr="00D27E08" w:rsidTr="00D64A65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Milovice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2 758</w:t>
            </w:r>
          </w:p>
        </w:tc>
      </w:tr>
      <w:tr w:rsidR="00D27E08" w:rsidRPr="00D27E08" w:rsidTr="00D64A65">
        <w:trPr>
          <w:trHeight w:val="255"/>
        </w:trPr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Mladá Boleslav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Praha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tcMar>
              <w:right w:w="1134" w:type="dxa"/>
            </w:tcMar>
            <w:vAlign w:val="bottom"/>
            <w:hideMark/>
          </w:tcPr>
          <w:p w:rsidR="00D27E08" w:rsidRPr="00D27E08" w:rsidRDefault="00D27E08" w:rsidP="00D27E08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D27E08">
              <w:rPr>
                <w:rFonts w:cs="Arial"/>
                <w:sz w:val="16"/>
                <w:szCs w:val="16"/>
              </w:rPr>
              <w:t>2 678</w:t>
            </w:r>
          </w:p>
        </w:tc>
      </w:tr>
    </w:tbl>
    <w:p w:rsidR="00400ECE" w:rsidRDefault="00400ECE" w:rsidP="006E08A2">
      <w:pPr>
        <w:spacing w:after="0"/>
        <w:rPr>
          <w:rFonts w:cs="Arial"/>
          <w:b/>
          <w:szCs w:val="20"/>
        </w:rPr>
      </w:pPr>
    </w:p>
    <w:p w:rsidR="00400ECE" w:rsidRPr="00722C5D" w:rsidRDefault="00722C5D" w:rsidP="009F49E6">
      <w:pPr>
        <w:spacing w:after="60"/>
        <w:rPr>
          <w:rFonts w:cs="Arial"/>
          <w:szCs w:val="20"/>
        </w:rPr>
      </w:pPr>
      <w:r>
        <w:rPr>
          <w:rFonts w:cs="Arial"/>
          <w:szCs w:val="20"/>
        </w:rPr>
        <w:t xml:space="preserve">U </w:t>
      </w:r>
      <w:proofErr w:type="spellStart"/>
      <w:r>
        <w:rPr>
          <w:rFonts w:cs="Arial"/>
          <w:szCs w:val="20"/>
        </w:rPr>
        <w:t>meziobecních</w:t>
      </w:r>
      <w:proofErr w:type="spellEnd"/>
      <w:r>
        <w:rPr>
          <w:rFonts w:cs="Arial"/>
          <w:szCs w:val="20"/>
        </w:rPr>
        <w:t xml:space="preserve"> proudů stěhování dominoval</w:t>
      </w:r>
      <w:r w:rsidR="00D76936">
        <w:rPr>
          <w:rFonts w:cs="Arial"/>
          <w:szCs w:val="20"/>
        </w:rPr>
        <w:t>y většinou</w:t>
      </w:r>
      <w:r>
        <w:rPr>
          <w:rFonts w:cs="Arial"/>
          <w:szCs w:val="20"/>
        </w:rPr>
        <w:t xml:space="preserve"> proud</w:t>
      </w:r>
      <w:r w:rsidR="00D76936">
        <w:rPr>
          <w:rFonts w:cs="Arial"/>
          <w:szCs w:val="20"/>
        </w:rPr>
        <w:t>y mezi velkými městy. Nejpočetnější byl proud</w:t>
      </w:r>
      <w:r>
        <w:rPr>
          <w:rFonts w:cs="Arial"/>
          <w:szCs w:val="20"/>
        </w:rPr>
        <w:t xml:space="preserve"> mezi Prahou a Brnem (Tab. 12)</w:t>
      </w:r>
      <w:r w:rsidR="008F42B7">
        <w:rPr>
          <w:rFonts w:cs="Arial"/>
          <w:szCs w:val="20"/>
        </w:rPr>
        <w:t>. Ve směru do</w:t>
      </w:r>
      <w:r>
        <w:rPr>
          <w:rFonts w:cs="Arial"/>
          <w:szCs w:val="20"/>
        </w:rPr>
        <w:t> hlavního města se v období 2005–2017 přestěhovalo 10 242 osob, opačně směrem zamířilo 3 579 osob.</w:t>
      </w:r>
      <w:r w:rsidR="007956AD">
        <w:rPr>
          <w:rFonts w:cs="Arial"/>
          <w:szCs w:val="20"/>
        </w:rPr>
        <w:t xml:space="preserve"> Obousměrně silné proudy byly ještě mezi Prahou a Kladnem </w:t>
      </w:r>
      <w:r w:rsidR="007956AD">
        <w:rPr>
          <w:rFonts w:cs="Arial"/>
          <w:szCs w:val="20"/>
        </w:rPr>
        <w:lastRenderedPageBreak/>
        <w:t>(5 252 obyvatel z Prahy a 4 357 do Prahy)</w:t>
      </w:r>
      <w:r w:rsidR="00632216">
        <w:rPr>
          <w:rFonts w:cs="Arial"/>
          <w:szCs w:val="20"/>
        </w:rPr>
        <w:t xml:space="preserve">, </w:t>
      </w:r>
      <w:r w:rsidR="007956AD">
        <w:rPr>
          <w:rFonts w:cs="Arial"/>
          <w:szCs w:val="20"/>
        </w:rPr>
        <w:t>Prahou a Plzní (4 885 osob do Prahy a 3 487 z Prahy)</w:t>
      </w:r>
      <w:r w:rsidR="003658E1">
        <w:rPr>
          <w:rFonts w:cs="Arial"/>
          <w:szCs w:val="20"/>
        </w:rPr>
        <w:t xml:space="preserve"> a </w:t>
      </w:r>
      <w:r w:rsidR="00632216">
        <w:rPr>
          <w:rFonts w:cs="Arial"/>
          <w:szCs w:val="20"/>
        </w:rPr>
        <w:t>Jirkovem s Chomutovem (4 758 přistěhovalých do Chomutova a 4 556 vystěhovalých z Chomutova).</w:t>
      </w:r>
      <w:r w:rsidR="008F42B7">
        <w:rPr>
          <w:rFonts w:cs="Arial"/>
          <w:szCs w:val="20"/>
        </w:rPr>
        <w:t xml:space="preserve"> V jednom směru výrazně silnější byly proudy z Ostravy do Prahy (6 649 osob a 1 907 zpět), z Prahy do Jesenice (4 360 a 1 377 opačným směrem) a z Prahy do Říčan (4 047 a 1 766 opačně). </w:t>
      </w:r>
    </w:p>
    <w:p w:rsidR="00EB3D95" w:rsidRDefault="00EB3D95" w:rsidP="00EB3D95"/>
    <w:p w:rsidR="00EB3D95" w:rsidRDefault="00EB3D95" w:rsidP="000A1EC4">
      <w:pPr>
        <w:spacing w:after="0"/>
        <w:rPr>
          <w:rFonts w:cs="Arial"/>
          <w:b/>
          <w:szCs w:val="20"/>
        </w:rPr>
      </w:pPr>
    </w:p>
    <w:p w:rsidR="00A9687B" w:rsidRDefault="00A9687B" w:rsidP="000A1EC4">
      <w:pPr>
        <w:spacing w:after="0"/>
        <w:rPr>
          <w:rFonts w:cs="Arial"/>
          <w:b/>
          <w:szCs w:val="20"/>
        </w:rPr>
      </w:pPr>
    </w:p>
    <w:p w:rsidR="00A9687B" w:rsidRDefault="00A9687B" w:rsidP="000A1EC4">
      <w:pPr>
        <w:spacing w:after="0"/>
        <w:rPr>
          <w:rFonts w:cs="Arial"/>
          <w:b/>
          <w:szCs w:val="20"/>
        </w:rPr>
      </w:pPr>
    </w:p>
    <w:p w:rsidR="00A9687B" w:rsidRDefault="00A9687B" w:rsidP="000A1EC4">
      <w:pPr>
        <w:spacing w:after="0"/>
        <w:rPr>
          <w:rFonts w:cs="Arial"/>
          <w:b/>
          <w:szCs w:val="20"/>
        </w:rPr>
      </w:pPr>
    </w:p>
    <w:p w:rsidR="00A9687B" w:rsidRDefault="00A9687B" w:rsidP="000A1EC4">
      <w:pPr>
        <w:spacing w:after="0"/>
        <w:rPr>
          <w:rFonts w:cs="Arial"/>
          <w:b/>
          <w:szCs w:val="20"/>
        </w:rPr>
      </w:pPr>
    </w:p>
    <w:p w:rsidR="00A9687B" w:rsidRDefault="00A9687B" w:rsidP="000A1EC4">
      <w:pPr>
        <w:spacing w:after="0"/>
        <w:rPr>
          <w:rFonts w:cs="Arial"/>
          <w:b/>
          <w:szCs w:val="20"/>
        </w:rPr>
      </w:pPr>
    </w:p>
    <w:p w:rsidR="00A9687B" w:rsidRDefault="00A9687B" w:rsidP="000A1EC4">
      <w:pPr>
        <w:spacing w:after="0"/>
        <w:rPr>
          <w:rFonts w:cs="Arial"/>
          <w:b/>
          <w:szCs w:val="20"/>
        </w:rPr>
      </w:pPr>
    </w:p>
    <w:p w:rsidR="00A9687B" w:rsidRDefault="00A9687B" w:rsidP="000A1EC4">
      <w:pPr>
        <w:spacing w:after="0"/>
        <w:rPr>
          <w:rFonts w:cs="Arial"/>
          <w:b/>
          <w:szCs w:val="20"/>
        </w:rPr>
      </w:pPr>
    </w:p>
    <w:p w:rsidR="00ED597A" w:rsidRDefault="00ED597A" w:rsidP="00A9687B">
      <w:pPr>
        <w:pStyle w:val="Nadpis1"/>
      </w:pPr>
    </w:p>
    <w:p w:rsidR="00ED597A" w:rsidRDefault="00ED597A" w:rsidP="00A9687B">
      <w:pPr>
        <w:pStyle w:val="Nadpis1"/>
      </w:pPr>
    </w:p>
    <w:p w:rsidR="00ED597A" w:rsidRDefault="00ED597A" w:rsidP="00A9687B">
      <w:pPr>
        <w:pStyle w:val="Nadpis1"/>
      </w:pPr>
    </w:p>
    <w:p w:rsidR="00ED597A" w:rsidRDefault="00ED597A" w:rsidP="00A9687B">
      <w:pPr>
        <w:pStyle w:val="Nadpis1"/>
      </w:pPr>
    </w:p>
    <w:p w:rsidR="00ED597A" w:rsidRDefault="00ED597A" w:rsidP="00A9687B">
      <w:pPr>
        <w:pStyle w:val="Nadpis1"/>
      </w:pPr>
    </w:p>
    <w:p w:rsidR="00ED597A" w:rsidRDefault="00ED597A" w:rsidP="00A9687B">
      <w:pPr>
        <w:pStyle w:val="Nadpis1"/>
      </w:pPr>
    </w:p>
    <w:p w:rsidR="00ED597A" w:rsidRDefault="00ED597A" w:rsidP="00A9687B">
      <w:pPr>
        <w:pStyle w:val="Nadpis1"/>
      </w:pPr>
    </w:p>
    <w:p w:rsidR="00ED597A" w:rsidRDefault="00ED597A" w:rsidP="00A9687B">
      <w:pPr>
        <w:pStyle w:val="Nadpis1"/>
      </w:pPr>
    </w:p>
    <w:p w:rsidR="00ED597A" w:rsidRDefault="00ED597A" w:rsidP="00A9687B">
      <w:pPr>
        <w:pStyle w:val="Nadpis1"/>
      </w:pPr>
    </w:p>
    <w:p w:rsidR="00ED597A" w:rsidRDefault="00ED597A" w:rsidP="00A9687B">
      <w:pPr>
        <w:pStyle w:val="Nadpis1"/>
      </w:pPr>
    </w:p>
    <w:p w:rsidR="00ED597A" w:rsidRDefault="00ED597A" w:rsidP="00A9687B">
      <w:pPr>
        <w:pStyle w:val="Nadpis1"/>
      </w:pPr>
    </w:p>
    <w:p w:rsidR="00A52D43" w:rsidRDefault="00A52D43" w:rsidP="00A9687B">
      <w:pPr>
        <w:pStyle w:val="Nadpis1"/>
      </w:pPr>
    </w:p>
    <w:p w:rsidR="00A52D43" w:rsidRDefault="00A52D43" w:rsidP="00A9687B">
      <w:pPr>
        <w:pStyle w:val="Nadpis1"/>
      </w:pPr>
    </w:p>
    <w:p w:rsidR="00A52D43" w:rsidRDefault="00A52D43" w:rsidP="00A9687B">
      <w:pPr>
        <w:pStyle w:val="Nadpis1"/>
      </w:pPr>
    </w:p>
    <w:p w:rsidR="00A52D43" w:rsidRDefault="00A52D43" w:rsidP="00A9687B">
      <w:pPr>
        <w:pStyle w:val="Nadpis1"/>
      </w:pPr>
    </w:p>
    <w:p w:rsidR="00A52D43" w:rsidRDefault="00A52D43" w:rsidP="00A9687B">
      <w:pPr>
        <w:pStyle w:val="Nadpis1"/>
      </w:pPr>
    </w:p>
    <w:p w:rsidR="00A52D43" w:rsidRDefault="00A52D43" w:rsidP="00A9687B">
      <w:pPr>
        <w:pStyle w:val="Nadpis1"/>
      </w:pPr>
    </w:p>
    <w:p w:rsidR="00A52D43" w:rsidRDefault="00A52D43" w:rsidP="00A9687B">
      <w:pPr>
        <w:pStyle w:val="Nadpis1"/>
      </w:pPr>
    </w:p>
    <w:p w:rsidR="00A52D43" w:rsidRDefault="00A52D43" w:rsidP="00A9687B">
      <w:pPr>
        <w:pStyle w:val="Nadpis1"/>
      </w:pPr>
    </w:p>
    <w:p w:rsidR="00A52D43" w:rsidRDefault="00A52D43" w:rsidP="00A9687B">
      <w:pPr>
        <w:pStyle w:val="Nadpis1"/>
      </w:pPr>
    </w:p>
    <w:p w:rsidR="00A52D43" w:rsidRDefault="00A52D43" w:rsidP="00A9687B">
      <w:pPr>
        <w:pStyle w:val="Nadpis1"/>
      </w:pPr>
    </w:p>
    <w:p w:rsidR="00A52D43" w:rsidRDefault="00A52D43" w:rsidP="00A9687B">
      <w:pPr>
        <w:pStyle w:val="Nadpis1"/>
      </w:pPr>
    </w:p>
    <w:p w:rsidR="00A52D43" w:rsidRDefault="00A52D43" w:rsidP="00A9687B">
      <w:pPr>
        <w:pStyle w:val="Nadpis1"/>
      </w:pPr>
    </w:p>
    <w:p w:rsidR="00A9687B" w:rsidRDefault="00A9687B" w:rsidP="00A9687B">
      <w:pPr>
        <w:pStyle w:val="Nadpis1"/>
      </w:pPr>
      <w:bookmarkStart w:id="11" w:name="_Toc531859781"/>
      <w:r>
        <w:lastRenderedPageBreak/>
        <w:t>8. Stěhování mezi velikostními skupinami obcí</w:t>
      </w:r>
      <w:bookmarkEnd w:id="11"/>
    </w:p>
    <w:p w:rsidR="00DB4667" w:rsidRPr="00B91EEF" w:rsidRDefault="00BF5686" w:rsidP="00FD3663">
      <w:pPr>
        <w:rPr>
          <w:rFonts w:cs="Arial"/>
          <w:szCs w:val="20"/>
        </w:rPr>
      </w:pPr>
      <w:r>
        <w:rPr>
          <w:rFonts w:cs="Arial"/>
          <w:szCs w:val="20"/>
        </w:rPr>
        <w:t>Stěhování z jedné velikostní skupiny obce do jiné se dlouhodobě týkalo zhruba 90 %</w:t>
      </w:r>
      <w:r w:rsidR="00512C38">
        <w:rPr>
          <w:rFonts w:cs="Arial"/>
          <w:szCs w:val="20"/>
        </w:rPr>
        <w:t xml:space="preserve"> ze</w:t>
      </w:r>
      <w:r>
        <w:rPr>
          <w:rFonts w:cs="Arial"/>
          <w:szCs w:val="20"/>
        </w:rPr>
        <w:t xml:space="preserve"> všech případů vnitřní migrace. Nejvíce se v období 2005–2017 obyvatelé ČR přistěhovali do obcí s počtem obyvatel 100 000 a více </w:t>
      </w:r>
      <w:r w:rsidR="0035326A">
        <w:rPr>
          <w:rFonts w:cs="Arial"/>
          <w:szCs w:val="20"/>
        </w:rPr>
        <w:t>(405 342 přistěhovalých; Graf 22</w:t>
      </w:r>
      <w:r>
        <w:rPr>
          <w:rFonts w:cs="Arial"/>
          <w:szCs w:val="20"/>
        </w:rPr>
        <w:t>) a obcí ve velikostní skupině 2 000–4 999 obyvatel (381 617). Nejmenší počet přistěhovalých se týkal měs</w:t>
      </w:r>
      <w:r w:rsidR="00EB4118">
        <w:rPr>
          <w:rFonts w:cs="Arial"/>
          <w:szCs w:val="20"/>
        </w:rPr>
        <w:t>t s populací 50 000–99 9999 (219 311</w:t>
      </w:r>
      <w:r>
        <w:rPr>
          <w:rFonts w:cs="Arial"/>
          <w:szCs w:val="20"/>
        </w:rPr>
        <w:t>).</w:t>
      </w:r>
      <w:r w:rsidR="00FD3663">
        <w:rPr>
          <w:rFonts w:cs="Arial"/>
          <w:szCs w:val="20"/>
        </w:rPr>
        <w:t xml:space="preserve"> Z pohledu počtu vystěhovalých dominovala města se 100 000 a více obyvateli (478 146 vystěhovalých) a </w:t>
      </w:r>
      <w:r w:rsidR="00512C38">
        <w:rPr>
          <w:rFonts w:cs="Arial"/>
          <w:szCs w:val="20"/>
        </w:rPr>
        <w:t xml:space="preserve">nejméně měly </w:t>
      </w:r>
      <w:r w:rsidR="00FD3663">
        <w:rPr>
          <w:rFonts w:cs="Arial"/>
          <w:szCs w:val="20"/>
        </w:rPr>
        <w:t>nejmenší obce do 499 obyvatel (243 957).</w:t>
      </w:r>
      <w:r w:rsidR="00A71BEA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 xml:space="preserve"> </w:t>
      </w:r>
    </w:p>
    <w:p w:rsidR="00DB4667" w:rsidRDefault="00501671" w:rsidP="00DB4667">
      <w:pPr>
        <w:spacing w:after="0"/>
        <w:rPr>
          <w:rFonts w:cs="Arial"/>
          <w:b/>
          <w:szCs w:val="20"/>
        </w:rPr>
      </w:pPr>
      <w:r>
        <w:rPr>
          <w:rFonts w:cs="Arial"/>
          <w:b/>
          <w:szCs w:val="20"/>
        </w:rPr>
        <w:t>Graf 22</w:t>
      </w:r>
      <w:r w:rsidR="00DB4667">
        <w:rPr>
          <w:rFonts w:cs="Arial"/>
          <w:b/>
          <w:szCs w:val="20"/>
        </w:rPr>
        <w:t xml:space="preserve"> </w:t>
      </w:r>
      <w:r w:rsidR="00DB4667" w:rsidRPr="00DB4667">
        <w:rPr>
          <w:rFonts w:cs="Arial"/>
          <w:b/>
          <w:szCs w:val="20"/>
        </w:rPr>
        <w:t>Přistěho</w:t>
      </w:r>
      <w:r w:rsidR="00ED597A">
        <w:rPr>
          <w:rFonts w:cs="Arial"/>
          <w:b/>
          <w:szCs w:val="20"/>
        </w:rPr>
        <w:t>valí a vystěhovalí podle</w:t>
      </w:r>
      <w:r w:rsidR="00DB4667">
        <w:rPr>
          <w:rFonts w:cs="Arial"/>
          <w:b/>
          <w:szCs w:val="20"/>
        </w:rPr>
        <w:t xml:space="preserve"> </w:t>
      </w:r>
      <w:r w:rsidR="00ED597A">
        <w:rPr>
          <w:rFonts w:cs="Arial"/>
          <w:b/>
          <w:szCs w:val="20"/>
        </w:rPr>
        <w:t>velikostních skupin</w:t>
      </w:r>
      <w:r w:rsidR="00DB4667" w:rsidRPr="00DB4667">
        <w:rPr>
          <w:rFonts w:cs="Arial"/>
          <w:b/>
          <w:szCs w:val="20"/>
        </w:rPr>
        <w:t xml:space="preserve"> obcí za období 2005–2017</w:t>
      </w:r>
    </w:p>
    <w:p w:rsidR="00510BE4" w:rsidRDefault="004B30DC" w:rsidP="00DB4667">
      <w:r w:rsidRPr="004B30DC">
        <w:rPr>
          <w:noProof/>
        </w:rPr>
        <w:drawing>
          <wp:anchor distT="0" distB="0" distL="114300" distR="114300" simplePos="0" relativeHeight="251693568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1270</wp:posOffset>
            </wp:positionV>
            <wp:extent cx="5400675" cy="2886075"/>
            <wp:effectExtent l="0" t="0" r="9525" b="9525"/>
            <wp:wrapNone/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10BE4" w:rsidRPr="00510BE4" w:rsidRDefault="00510BE4" w:rsidP="00510BE4"/>
    <w:p w:rsidR="00510BE4" w:rsidRPr="00510BE4" w:rsidRDefault="00510BE4" w:rsidP="00510BE4"/>
    <w:p w:rsidR="00510BE4" w:rsidRPr="00510BE4" w:rsidRDefault="00510BE4" w:rsidP="00510BE4"/>
    <w:p w:rsidR="00510BE4" w:rsidRPr="00510BE4" w:rsidRDefault="00510BE4" w:rsidP="00510BE4"/>
    <w:p w:rsidR="00510BE4" w:rsidRPr="00510BE4" w:rsidRDefault="00510BE4" w:rsidP="00510BE4"/>
    <w:p w:rsidR="00510BE4" w:rsidRPr="00510BE4" w:rsidRDefault="00510BE4" w:rsidP="00510BE4"/>
    <w:p w:rsidR="00510BE4" w:rsidRPr="00510BE4" w:rsidRDefault="00510BE4" w:rsidP="00510BE4"/>
    <w:p w:rsidR="00510BE4" w:rsidRDefault="00510BE4" w:rsidP="00510BE4"/>
    <w:p w:rsidR="00510BE4" w:rsidRDefault="00510BE4" w:rsidP="00FD3663">
      <w:pPr>
        <w:spacing w:after="0"/>
      </w:pPr>
    </w:p>
    <w:p w:rsidR="00510BE4" w:rsidRDefault="00501671" w:rsidP="00510BE4">
      <w:pPr>
        <w:spacing w:after="0"/>
      </w:pPr>
      <w:r>
        <w:rPr>
          <w:rFonts w:cs="Arial"/>
          <w:b/>
          <w:szCs w:val="20"/>
        </w:rPr>
        <w:t>Graf 23</w:t>
      </w:r>
      <w:r w:rsidR="00510BE4">
        <w:rPr>
          <w:rFonts w:cs="Arial"/>
          <w:b/>
          <w:szCs w:val="20"/>
        </w:rPr>
        <w:t xml:space="preserve"> </w:t>
      </w:r>
      <w:r w:rsidR="00510BE4" w:rsidRPr="00510BE4">
        <w:rPr>
          <w:rFonts w:cs="Arial"/>
          <w:b/>
          <w:szCs w:val="20"/>
        </w:rPr>
        <w:t xml:space="preserve">Saldo stěhování </w:t>
      </w:r>
      <w:r w:rsidR="00ED597A">
        <w:rPr>
          <w:rFonts w:cs="Arial"/>
          <w:b/>
          <w:szCs w:val="20"/>
        </w:rPr>
        <w:t>podle velikostních skupin</w:t>
      </w:r>
      <w:r w:rsidR="00510BE4" w:rsidRPr="00510BE4">
        <w:rPr>
          <w:rFonts w:cs="Arial"/>
          <w:b/>
          <w:szCs w:val="20"/>
        </w:rPr>
        <w:t xml:space="preserve"> obcí za období 2005–2017</w:t>
      </w:r>
      <w:r w:rsidR="00510BE4">
        <w:tab/>
      </w:r>
    </w:p>
    <w:p w:rsidR="00904983" w:rsidRDefault="006B07E5" w:rsidP="00510BE4">
      <w:pPr>
        <w:tabs>
          <w:tab w:val="left" w:pos="4200"/>
        </w:tabs>
      </w:pPr>
      <w:r w:rsidRPr="006B07E5">
        <w:rPr>
          <w:noProof/>
        </w:rPr>
        <w:drawing>
          <wp:anchor distT="0" distB="0" distL="114300" distR="114300" simplePos="0" relativeHeight="251699712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1270</wp:posOffset>
            </wp:positionV>
            <wp:extent cx="5400675" cy="3248025"/>
            <wp:effectExtent l="0" t="0" r="9525" b="9525"/>
            <wp:wrapNone/>
            <wp:docPr id="4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4983" w:rsidRPr="00904983" w:rsidRDefault="00904983" w:rsidP="00904983"/>
    <w:p w:rsidR="00904983" w:rsidRPr="00904983" w:rsidRDefault="00904983" w:rsidP="00904983"/>
    <w:p w:rsidR="00904983" w:rsidRPr="00904983" w:rsidRDefault="00904983" w:rsidP="00904983"/>
    <w:p w:rsidR="00904983" w:rsidRPr="00904983" w:rsidRDefault="00904983" w:rsidP="00904983"/>
    <w:p w:rsidR="00904983" w:rsidRPr="00904983" w:rsidRDefault="00904983" w:rsidP="00904983"/>
    <w:p w:rsidR="00904983" w:rsidRPr="00904983" w:rsidRDefault="00904983" w:rsidP="00904983"/>
    <w:p w:rsidR="00904983" w:rsidRPr="00904983" w:rsidRDefault="00904983" w:rsidP="00904983"/>
    <w:p w:rsidR="00904983" w:rsidRPr="00904983" w:rsidRDefault="00904983" w:rsidP="00904983"/>
    <w:p w:rsidR="00904983" w:rsidRPr="00904983" w:rsidRDefault="00904983" w:rsidP="00904983"/>
    <w:p w:rsidR="00C83A7B" w:rsidRDefault="00C83A7B" w:rsidP="00C83A7B">
      <w:pPr>
        <w:spacing w:after="0"/>
      </w:pPr>
    </w:p>
    <w:p w:rsidR="00C83A7B" w:rsidRDefault="00C83A7B" w:rsidP="0040483F">
      <w:pPr>
        <w:spacing w:after="0"/>
      </w:pPr>
      <w:r>
        <w:t>Populačně ziskové vnitřní migrací byly v analyzovaném období zejména malé obce – 80 019 obyvatel získaly obce ve velikostní skupině 500–999, 75 457 obyvatel přibylo mezi o</w:t>
      </w:r>
      <w:r w:rsidR="003658E1">
        <w:t>bcemi s 1 000–1 999 obyvateli a </w:t>
      </w:r>
      <w:r>
        <w:t xml:space="preserve">70 175 u velikostní </w:t>
      </w:r>
      <w:r w:rsidR="0035326A">
        <w:t>skupiny do 499 obyvatel (Graf 23</w:t>
      </w:r>
      <w:r>
        <w:t xml:space="preserve">). Kladné saldo vnitřní migrací měly i obce v kategorii </w:t>
      </w:r>
      <w:r>
        <w:lastRenderedPageBreak/>
        <w:t xml:space="preserve">2 000–4 999. </w:t>
      </w:r>
      <w:r w:rsidR="00593E54">
        <w:t>Od hranice 5 000 obyvatel obce vnitřní migrací ztrácely, nejvíce ve velikostní skupině 20 000–49 999 (-84 772 obyvatel).</w:t>
      </w:r>
      <w:r w:rsidR="0040775F">
        <w:t xml:space="preserve"> </w:t>
      </w:r>
      <w:r w:rsidR="008F004C">
        <w:t>Stejné velikostní skupiny obcí, které byly populačně ziskové vnitřní migrací za celé období, měly kladné saldo i v každém sledovaném roce (Přílohová tabulka 48). To samé platilo i pro ztrátové obce.</w:t>
      </w:r>
      <w:r w:rsidR="0071158F">
        <w:t xml:space="preserve"> Pokud se sečtou všechna kladná salda vnitřního stěhování u velikostních skupin obcí v jednotlivých letech, tak nejvyšší hodnota byla v roce 2008 (31 562), naopak nejnižší v roce 2014 (12 420).</w:t>
      </w:r>
      <w:r w:rsidR="0040483F">
        <w:t xml:space="preserve"> </w:t>
      </w:r>
      <w:r w:rsidR="00512C38">
        <w:t>V</w:t>
      </w:r>
      <w:r w:rsidR="0040483F">
        <w:t xml:space="preserve">nitřní migrací </w:t>
      </w:r>
      <w:r w:rsidR="00512C38">
        <w:t xml:space="preserve">tak </w:t>
      </w:r>
      <w:r w:rsidR="0040483F">
        <w:t>nejvíce získaly velikostní skupiny obcí, které měly k</w:t>
      </w:r>
      <w:r w:rsidR="00512C38">
        <w:t>ladné saldo vnitřním stěhováním v roce 2008.</w:t>
      </w:r>
      <w:r w:rsidR="0040483F">
        <w:t xml:space="preserve"> </w:t>
      </w:r>
      <w:r w:rsidR="0071158F">
        <w:t xml:space="preserve">  </w:t>
      </w:r>
      <w:r w:rsidR="00C602C4">
        <w:t xml:space="preserve"> </w:t>
      </w:r>
      <w:r w:rsidR="008F004C">
        <w:t xml:space="preserve">   </w:t>
      </w:r>
      <w:r w:rsidR="0040775F">
        <w:t xml:space="preserve"> </w:t>
      </w:r>
    </w:p>
    <w:p w:rsidR="00904983" w:rsidRDefault="00904983" w:rsidP="0040483F">
      <w:pPr>
        <w:spacing w:after="0"/>
      </w:pPr>
    </w:p>
    <w:p w:rsidR="0040483F" w:rsidRDefault="006D3CAD" w:rsidP="00512C38">
      <w:pPr>
        <w:spacing w:after="0"/>
      </w:pPr>
      <w:r>
        <w:t xml:space="preserve">Saldo stěhování na 1 000 obyvatel bylo ve sledovaném období nejvyšší u velikostních skupin s 500–999 obyvateli (6,5 </w:t>
      </w:r>
      <w:r>
        <w:rPr>
          <w:rFonts w:cs="Arial"/>
        </w:rPr>
        <w:t>‰</w:t>
      </w:r>
      <w:r>
        <w:t xml:space="preserve">), do 499 obyvatel (6,4 </w:t>
      </w:r>
      <w:r>
        <w:rPr>
          <w:rFonts w:cs="Arial"/>
        </w:rPr>
        <w:t>‰) a s 1 000–1 999 obyvateli (5,8 ‰).</w:t>
      </w:r>
      <w:r w:rsidR="00A862C3">
        <w:rPr>
          <w:rFonts w:cs="Arial"/>
        </w:rPr>
        <w:t xml:space="preserve"> Relativně nejvíce populačně ztrátové vnitřní migrací byly kategorie velikostních</w:t>
      </w:r>
      <w:r w:rsidR="00A823F2">
        <w:rPr>
          <w:rFonts w:cs="Arial"/>
        </w:rPr>
        <w:t xml:space="preserve"> skupin</w:t>
      </w:r>
      <w:r w:rsidR="00A862C3">
        <w:rPr>
          <w:rFonts w:cs="Arial"/>
        </w:rPr>
        <w:t xml:space="preserve"> obcí 20 000–49 999 (-5,2 ‰) a 50 000–99 999 </w:t>
      </w:r>
      <w:r w:rsidR="00A862C3">
        <w:rPr>
          <w:rFonts w:cs="Arial"/>
        </w:rPr>
        <w:br/>
        <w:t xml:space="preserve">(-4,6 ‰).   </w:t>
      </w:r>
      <w:r>
        <w:rPr>
          <w:rFonts w:cs="Arial"/>
        </w:rPr>
        <w:t xml:space="preserve">  </w:t>
      </w:r>
      <w:r>
        <w:t xml:space="preserve">  </w:t>
      </w:r>
    </w:p>
    <w:p w:rsidR="00A52D43" w:rsidRDefault="00A52D43" w:rsidP="00512C38">
      <w:pPr>
        <w:spacing w:after="0"/>
      </w:pPr>
    </w:p>
    <w:p w:rsidR="008010C3" w:rsidRDefault="00EB2E8C" w:rsidP="008010C3">
      <w:pPr>
        <w:tabs>
          <w:tab w:val="left" w:pos="3885"/>
        </w:tabs>
        <w:spacing w:after="0"/>
      </w:pPr>
      <w:r>
        <w:t>Nejsilnější proud mezi velikostními skupinami obcí byl zaznamenán mezi kategoriemi 100 000 a více a 2 000–4 999, když se z největší měst za období 2005–2017 vystěhovalo 97 262 obyvatel do obcí s 2 000–4 999 obyvateli a opačným směrem 66 514 osob</w:t>
      </w:r>
      <w:r w:rsidR="00C85154">
        <w:t xml:space="preserve"> (Přílohová tabulka 50)</w:t>
      </w:r>
      <w:r>
        <w:t>.</w:t>
      </w:r>
      <w:r w:rsidR="007C72C1">
        <w:t xml:space="preserve"> O něco slabší proud byl mezi městy s alespoň 100 000 obyvateli a obcemi s populační velikostí 1 000–1 99</w:t>
      </w:r>
      <w:r w:rsidR="003658E1">
        <w:t>9 (83 194 osob z velkých měst a </w:t>
      </w:r>
      <w:r w:rsidR="007C72C1">
        <w:t>48 233 opačně).</w:t>
      </w:r>
    </w:p>
    <w:p w:rsidR="00A52D43" w:rsidRDefault="00EB2E8C" w:rsidP="008010C3">
      <w:pPr>
        <w:spacing w:after="0"/>
      </w:pPr>
      <w:r>
        <w:t xml:space="preserve">  </w:t>
      </w:r>
    </w:p>
    <w:p w:rsidR="00A52D43" w:rsidRDefault="00DD3D3E" w:rsidP="00904983">
      <w:pPr>
        <w:tabs>
          <w:tab w:val="left" w:pos="3885"/>
        </w:tabs>
      </w:pPr>
      <w:r>
        <w:t>Největší města se 100 000 a více obyvateli vnitřní migrací získávala za období 2005 až 2017 hlavně na úkor měst s 20 000–49 999 obyvateli (28 660 obyvatel), ale i s dalšími kategoriemi nad 10 000 obyvatel</w:t>
      </w:r>
      <w:r w:rsidR="00FB02A6">
        <w:t xml:space="preserve"> (Přílohová tabulka 51)</w:t>
      </w:r>
      <w:r>
        <w:t xml:space="preserve">. </w:t>
      </w:r>
      <w:r w:rsidR="00FB02A6">
        <w:t xml:space="preserve">Naopak značně ztrátová byla s obcemi s 1 000–1 999 (-34 961) a 500–999 obyvateli (-34 152) a navíc s dalšími skupinami obcí do 9 999 obyvatel. </w:t>
      </w:r>
      <w:r w:rsidR="0064494D">
        <w:t xml:space="preserve">Populačně nejmenší obce do 499 obyvatel byly ziskové se všemi velikostními skupinami obcí. Naopak nejhůře na tom byly obce s 10 000–19 999 obyvateli, které byly ztrátové se všemi dalšími kategoriemi obcí podle populační velikosti.    </w:t>
      </w:r>
      <w:r w:rsidR="00FB02A6">
        <w:t xml:space="preserve">  </w:t>
      </w:r>
      <w:r>
        <w:t xml:space="preserve"> </w:t>
      </w:r>
    </w:p>
    <w:p w:rsidR="00512C38" w:rsidRDefault="00512C38" w:rsidP="00A52D43">
      <w:pPr>
        <w:pStyle w:val="Nadpis1"/>
      </w:pPr>
    </w:p>
    <w:p w:rsidR="00512C38" w:rsidRDefault="00512C38" w:rsidP="00A52D43">
      <w:pPr>
        <w:pStyle w:val="Nadpis1"/>
      </w:pPr>
    </w:p>
    <w:p w:rsidR="00512C38" w:rsidRDefault="00512C38" w:rsidP="00A52D43">
      <w:pPr>
        <w:pStyle w:val="Nadpis1"/>
      </w:pPr>
    </w:p>
    <w:p w:rsidR="00512C38" w:rsidRDefault="00512C38" w:rsidP="00A52D43">
      <w:pPr>
        <w:pStyle w:val="Nadpis1"/>
      </w:pPr>
    </w:p>
    <w:p w:rsidR="00512C38" w:rsidRDefault="00512C38" w:rsidP="00A52D43">
      <w:pPr>
        <w:pStyle w:val="Nadpis1"/>
      </w:pPr>
    </w:p>
    <w:p w:rsidR="00512C38" w:rsidRDefault="00512C38" w:rsidP="00A52D43">
      <w:pPr>
        <w:pStyle w:val="Nadpis1"/>
      </w:pPr>
    </w:p>
    <w:p w:rsidR="00512C38" w:rsidRDefault="00512C38" w:rsidP="00A52D43">
      <w:pPr>
        <w:pStyle w:val="Nadpis1"/>
      </w:pPr>
    </w:p>
    <w:p w:rsidR="00512C38" w:rsidRDefault="00512C38" w:rsidP="00A52D43">
      <w:pPr>
        <w:pStyle w:val="Nadpis1"/>
      </w:pPr>
    </w:p>
    <w:p w:rsidR="00512C38" w:rsidRDefault="00512C38" w:rsidP="00A52D43">
      <w:pPr>
        <w:pStyle w:val="Nadpis1"/>
      </w:pPr>
    </w:p>
    <w:p w:rsidR="00512C38" w:rsidRDefault="00512C38" w:rsidP="00A52D43">
      <w:pPr>
        <w:pStyle w:val="Nadpis1"/>
      </w:pPr>
    </w:p>
    <w:p w:rsidR="00512C38" w:rsidRDefault="00512C38" w:rsidP="00A52D43">
      <w:pPr>
        <w:pStyle w:val="Nadpis1"/>
      </w:pPr>
    </w:p>
    <w:p w:rsidR="00512C38" w:rsidRDefault="00512C38" w:rsidP="00A52D43">
      <w:pPr>
        <w:pStyle w:val="Nadpis1"/>
      </w:pPr>
    </w:p>
    <w:p w:rsidR="00512C38" w:rsidRDefault="00512C38" w:rsidP="00A52D43">
      <w:pPr>
        <w:pStyle w:val="Nadpis1"/>
      </w:pPr>
    </w:p>
    <w:p w:rsidR="00512C38" w:rsidRDefault="00512C38" w:rsidP="00A52D43">
      <w:pPr>
        <w:pStyle w:val="Nadpis1"/>
      </w:pPr>
    </w:p>
    <w:p w:rsidR="00512C38" w:rsidRDefault="00512C38" w:rsidP="00A52D43">
      <w:pPr>
        <w:pStyle w:val="Nadpis1"/>
      </w:pPr>
    </w:p>
    <w:p w:rsidR="00512C38" w:rsidRDefault="00512C38" w:rsidP="00A52D43">
      <w:pPr>
        <w:pStyle w:val="Nadpis1"/>
      </w:pPr>
    </w:p>
    <w:p w:rsidR="00A52D43" w:rsidRDefault="00A52D43" w:rsidP="00A52D43">
      <w:pPr>
        <w:pStyle w:val="Nadpis1"/>
      </w:pPr>
      <w:bookmarkStart w:id="12" w:name="_Toc531859782"/>
      <w:r>
        <w:lastRenderedPageBreak/>
        <w:t>9. Závěr</w:t>
      </w:r>
      <w:bookmarkEnd w:id="12"/>
    </w:p>
    <w:p w:rsidR="00EE2F87" w:rsidRDefault="00FE4DAD" w:rsidP="00EE2F87">
      <w:pPr>
        <w:tabs>
          <w:tab w:val="left" w:pos="3885"/>
        </w:tabs>
        <w:spacing w:after="0"/>
      </w:pPr>
      <w:r>
        <w:t xml:space="preserve">Vývoj celkového objemu vnitřní migrace v České republice nebyl jednoznačný. Období růstu bylo mezi roky 2005 až 2007 s maximem právě </w:t>
      </w:r>
      <w:r w:rsidR="00424FA6">
        <w:t xml:space="preserve">v </w:t>
      </w:r>
      <w:r>
        <w:t>roce 2007</w:t>
      </w:r>
      <w:r w:rsidR="00CC166A">
        <w:t xml:space="preserve"> (256 tis.)</w:t>
      </w:r>
      <w:r>
        <w:t>, následoval spíše pokles až na minimální hodnoty ve sledovaném období v roce 2011</w:t>
      </w:r>
      <w:r w:rsidR="00CC166A">
        <w:t xml:space="preserve"> (232 tis.)</w:t>
      </w:r>
      <w:r>
        <w:t>. Od roku 2012 počet případů vnitřního stěhování opět rostl s výjimkou poklesu v roce 2017.</w:t>
      </w:r>
      <w:r w:rsidR="00295C22">
        <w:t xml:space="preserve"> Z dostupných dat byla patrná mírná feminizace vnitřní migrace, když podíl žen na objemu vnitřního</w:t>
      </w:r>
      <w:r w:rsidR="009964D1">
        <w:t xml:space="preserve"> stěhování byl vždy nadpoloviční</w:t>
      </w:r>
      <w:r w:rsidR="00295C22">
        <w:t xml:space="preserve"> a v čase rostl. Intenzita stěhování byla do roku 2010 u mužů i žen velmi podobná, ale od roku 2011 měly ženy vyšší intenzitu. V rozlišení podle věku byla intenzita vnitřní migrace nejvyšší v prvních letech života (stěhování malých dětí s rodiči), a pak ve věkové skupině 25 až 30 let</w:t>
      </w:r>
      <w:r w:rsidR="00BB6D19">
        <w:t xml:space="preserve"> (v souvislosti se stěhování</w:t>
      </w:r>
      <w:r w:rsidR="00EE2F87">
        <w:t>m</w:t>
      </w:r>
      <w:r w:rsidR="00BB6D19">
        <w:t xml:space="preserve"> za prací, nebo s rodinou).</w:t>
      </w:r>
      <w:r w:rsidR="00EE2F87">
        <w:t xml:space="preserve"> Průměrný věk migranta se výrazně neměnil a pohyboval se okolo 31 let, přičemž mírně vyšší byl u žen. </w:t>
      </w:r>
    </w:p>
    <w:p w:rsidR="00EE2F87" w:rsidRDefault="00EE2F87" w:rsidP="00EE2F87">
      <w:pPr>
        <w:tabs>
          <w:tab w:val="left" w:pos="3885"/>
        </w:tabs>
        <w:spacing w:after="0"/>
      </w:pPr>
    </w:p>
    <w:p w:rsidR="006370E8" w:rsidRDefault="00EE2F87" w:rsidP="006370E8">
      <w:pPr>
        <w:tabs>
          <w:tab w:val="left" w:pos="3885"/>
        </w:tabs>
        <w:spacing w:after="0"/>
      </w:pPr>
      <w:r>
        <w:t xml:space="preserve">Podíl cizinců na vnitřním stěhování byl nejvyšší v letech 2007–2009, kdy se pohyboval okolo 17 %. Na začátku a na konci sledovaného období to bylo okolo 8 %. </w:t>
      </w:r>
      <w:r w:rsidR="00BD7B58">
        <w:t>Nárůst celkového objemu vnitřního stěhování mezi roky 2005 až 2007 byl z větší části způsoben růstem počtu případů stěhování u cizinců. Nejvíce se mezi cizími státními příslušníky stěhovali Ukrajinci</w:t>
      </w:r>
      <w:r w:rsidR="0073791B">
        <w:t>.</w:t>
      </w:r>
    </w:p>
    <w:p w:rsidR="006370E8" w:rsidRDefault="006370E8" w:rsidP="006370E8">
      <w:pPr>
        <w:tabs>
          <w:tab w:val="left" w:pos="3885"/>
        </w:tabs>
        <w:spacing w:after="0"/>
      </w:pPr>
    </w:p>
    <w:p w:rsidR="009964D1" w:rsidRDefault="008B2202" w:rsidP="009964D1">
      <w:pPr>
        <w:tabs>
          <w:tab w:val="left" w:pos="3885"/>
        </w:tabs>
        <w:spacing w:after="0"/>
      </w:pPr>
      <w:r>
        <w:t>Objem vnitřního stěhování rozlišený podle jeho druhu se výrazně v období 2005–2017 neměnil. Nejčastější bylo stěhování mezi obcemi v rámci okresu (zhruba 45 % ze všech případů vnitřního stěhování), následovalo mezikrajské stěhování (35 %) a nejméně časté bylo stěhování mezi okresy v rámci krajů (20 %).</w:t>
      </w:r>
      <w:r w:rsidR="00345CEA">
        <w:t xml:space="preserve"> Na mezikrajském stěhování se relativně více (ve srovnání se všemi případy vnitřního stěhování) podílely muži a cizinci, průměrný věk migrantů byl mírně vyšší.  </w:t>
      </w:r>
    </w:p>
    <w:p w:rsidR="009964D1" w:rsidRDefault="009964D1" w:rsidP="009964D1">
      <w:pPr>
        <w:tabs>
          <w:tab w:val="left" w:pos="3885"/>
        </w:tabs>
        <w:spacing w:after="0"/>
      </w:pPr>
    </w:p>
    <w:p w:rsidR="002B2DCF" w:rsidRDefault="00901D86" w:rsidP="009964D1">
      <w:pPr>
        <w:tabs>
          <w:tab w:val="left" w:pos="3885"/>
        </w:tabs>
        <w:spacing w:after="0"/>
      </w:pPr>
      <w:r>
        <w:t>Nejvíce obyvatel vnitřním stěhování získal v období 2005–2017 Středočeský kraj (130 tis.). Další dva kraje s mírně kladným saldem byly Plzeňský a Jihočeský. Z ostatních krajů se více obyvatel vystěhovalo, než se do nich přistěhovalo. Nejvýraznějšímu absolutnímu úbytku čelil Moravskoslezský kraj (- 39 tis.), v přepočtu na počet obyvatel Karlovarský kraj</w:t>
      </w:r>
      <w:r w:rsidR="008C6728">
        <w:t>.</w:t>
      </w:r>
      <w:r w:rsidR="00CC166A">
        <w:t xml:space="preserve"> Nejsilnější proud byl mezi Prahou a Středočeským krajem, přičemž do Středočeského kraje se z Prahy vystěhovalo za období 2005–2017 o téměř 100 tis. obyvatel více než</w:t>
      </w:r>
      <w:r w:rsidR="005306D0">
        <w:t xml:space="preserve"> se</w:t>
      </w:r>
      <w:r w:rsidR="00CC166A">
        <w:t xml:space="preserve"> stěhovalo opačným směrem. </w:t>
      </w:r>
    </w:p>
    <w:p w:rsidR="002B2DCF" w:rsidRDefault="002B2DCF" w:rsidP="009964D1">
      <w:pPr>
        <w:tabs>
          <w:tab w:val="left" w:pos="3885"/>
        </w:tabs>
        <w:spacing w:after="0"/>
      </w:pPr>
    </w:p>
    <w:p w:rsidR="00FE240F" w:rsidRDefault="004E2C63" w:rsidP="009964D1">
      <w:pPr>
        <w:tabs>
          <w:tab w:val="left" w:pos="3885"/>
        </w:tabs>
        <w:spacing w:after="0"/>
      </w:pPr>
      <w:proofErr w:type="spellStart"/>
      <w:r>
        <w:t>Vnitrokrajské</w:t>
      </w:r>
      <w:proofErr w:type="spellEnd"/>
      <w:r>
        <w:t xml:space="preserve"> stěhování bylo </w:t>
      </w:r>
      <w:r w:rsidR="005306D0">
        <w:t>nejčastější</w:t>
      </w:r>
      <w:r>
        <w:t xml:space="preserve"> ve Středočeském kraji, ale po přepočtu na počet obyvatel kraje měl nejvyšší hodnoty Ústecký kraj. </w:t>
      </w:r>
      <w:proofErr w:type="spellStart"/>
      <w:r>
        <w:t>Vnitrokrajské</w:t>
      </w:r>
      <w:proofErr w:type="spellEnd"/>
      <w:r>
        <w:t xml:space="preserve"> stěhování lze dále rozdělit</w:t>
      </w:r>
      <w:r w:rsidR="003658E1">
        <w:t xml:space="preserve"> na meziokresní v rámci kraje a </w:t>
      </w:r>
      <w:proofErr w:type="spellStart"/>
      <w:r>
        <w:t>meziobecní</w:t>
      </w:r>
      <w:proofErr w:type="spellEnd"/>
      <w:r>
        <w:t xml:space="preserve"> uvnitř okresu. U prvního jmenovaného byly zaznamenány nejsilnější proudy mezi okresy Brno-město a Brno-venkov a Plzeň-město a Plzeň-sever (početnější byly </w:t>
      </w:r>
      <w:proofErr w:type="spellStart"/>
      <w:r>
        <w:t>suburbanizační</w:t>
      </w:r>
      <w:proofErr w:type="spellEnd"/>
      <w:r>
        <w:t xml:space="preserve"> proudy). Velmi početné byly i migrační proudy z okresu Ostrava-město do sousedních okresů (Frýdek-Místek, Karviná nebo Opava).</w:t>
      </w:r>
      <w:r w:rsidR="00CD2DBC">
        <w:t xml:space="preserve"> </w:t>
      </w:r>
      <w:proofErr w:type="spellStart"/>
      <w:r w:rsidR="00CD2DBC">
        <w:t>Meziobecní</w:t>
      </w:r>
      <w:proofErr w:type="spellEnd"/>
      <w:r w:rsidR="00CD2DBC">
        <w:t xml:space="preserve"> proudy v rámci okresu byly nejpočetnější mezi Jirkovem a Chomutovem a Litvínovem a Mostem (obousměrně podobně silné).  </w:t>
      </w:r>
    </w:p>
    <w:p w:rsidR="00FE240F" w:rsidRDefault="00FE240F" w:rsidP="009964D1">
      <w:pPr>
        <w:tabs>
          <w:tab w:val="left" w:pos="3885"/>
        </w:tabs>
        <w:spacing w:after="0"/>
      </w:pPr>
    </w:p>
    <w:p w:rsidR="00762603" w:rsidRDefault="00035BAC" w:rsidP="009964D1">
      <w:pPr>
        <w:tabs>
          <w:tab w:val="left" w:pos="3885"/>
        </w:tabs>
        <w:spacing w:after="0"/>
      </w:pPr>
      <w:r>
        <w:t>Na okresní úrovni získaly nejvíce obyvatel vnitřní migrací Praha-vý</w:t>
      </w:r>
      <w:r w:rsidR="003658E1">
        <w:t>chod i Praha-západ (absolutně i </w:t>
      </w:r>
      <w:r>
        <w:t>relativně), absolutně nejvíce ztratily okresy Brno-město a Praha a relativně (na počet obyvatel okresu) Jeseník a Karviná. Výrazně nejsilnější proudy byly sledovány mezi Prahou na jedné straně a Prahou-východ a Prahou-západ na straně druhé. Proudy směrem z Prahy vrcholily v roce 2008, opačné (</w:t>
      </w:r>
      <w:proofErr w:type="spellStart"/>
      <w:r>
        <w:t>reurbanizační</w:t>
      </w:r>
      <w:proofErr w:type="spellEnd"/>
      <w:r>
        <w:t>) proudy v čase sílily a na konci sledovaného období dosahovaly dvounásobných hodnot oproti stavu na počátku.</w:t>
      </w:r>
    </w:p>
    <w:p w:rsidR="00762603" w:rsidRDefault="00762603" w:rsidP="009964D1">
      <w:pPr>
        <w:tabs>
          <w:tab w:val="left" w:pos="3885"/>
        </w:tabs>
        <w:spacing w:after="0"/>
      </w:pPr>
    </w:p>
    <w:p w:rsidR="00762603" w:rsidRDefault="00762603" w:rsidP="009964D1">
      <w:pPr>
        <w:tabs>
          <w:tab w:val="left" w:pos="3885"/>
        </w:tabs>
        <w:spacing w:after="0"/>
      </w:pPr>
      <w:r>
        <w:t xml:space="preserve">Na územní úrovni správních obvodů obcí s rozšířenou působností byly nejsilnější proudy z Prahy do jejích zázemí (SO ORP Černošice, </w:t>
      </w:r>
      <w:r w:rsidRPr="00762603">
        <w:t xml:space="preserve">Brandýs nad </w:t>
      </w:r>
      <w:proofErr w:type="gramStart"/>
      <w:r w:rsidRPr="00762603">
        <w:t>Labem-Stará</w:t>
      </w:r>
      <w:proofErr w:type="gramEnd"/>
      <w:r w:rsidRPr="00762603">
        <w:t xml:space="preserve"> Boleslav</w:t>
      </w:r>
      <w:r>
        <w:t xml:space="preserve"> a Říčany). Jednalo se o SO ORP, která vnitřní migrací nejvíce populačně získala. Oproti relativně největší ztráty vnitřním stěhováním postihly SO ORP Ostrov, Kaplice a Orlová. </w:t>
      </w:r>
    </w:p>
    <w:p w:rsidR="00762603" w:rsidRDefault="00762603" w:rsidP="009964D1">
      <w:pPr>
        <w:tabs>
          <w:tab w:val="left" w:pos="3885"/>
        </w:tabs>
        <w:spacing w:after="0"/>
      </w:pPr>
    </w:p>
    <w:p w:rsidR="00C93DB3" w:rsidRDefault="005217C4" w:rsidP="009964D1">
      <w:pPr>
        <w:tabs>
          <w:tab w:val="left" w:pos="3885"/>
        </w:tabs>
        <w:spacing w:after="0"/>
      </w:pPr>
      <w:r>
        <w:lastRenderedPageBreak/>
        <w:t>Vnitřní migrací narostlo obyvatelstvo zejména v obcích Středočeského kraje, n</w:t>
      </w:r>
      <w:r w:rsidR="003658E1">
        <w:t>ejvíce v Jesenici, Milovicích a </w:t>
      </w:r>
      <w:r>
        <w:t>Říčanech. Naopak výrazně záporné saldo vnitřního stěhování měla hlavně velká města (Brno, Ostrava, Praha). V případě</w:t>
      </w:r>
      <w:r w:rsidRPr="005217C4">
        <w:t xml:space="preserve"> </w:t>
      </w:r>
      <w:proofErr w:type="spellStart"/>
      <w:r w:rsidRPr="005217C4">
        <w:t>meziobecních</w:t>
      </w:r>
      <w:proofErr w:type="spellEnd"/>
      <w:r w:rsidRPr="005217C4">
        <w:t xml:space="preserve"> proudů stěhování dominovaly většinou proudy mezi velkými městy.</w:t>
      </w:r>
      <w:r w:rsidR="00C93DB3">
        <w:t xml:space="preserve"> Nejvýraznější byl ten mezi Prahou a Brnem, když se z Brna do hlavního města přestěhovalo v období 2005–2017 10 tis. obyvatel a opačným směrem pouze téměř 4 tis. </w:t>
      </w:r>
      <w:r>
        <w:t xml:space="preserve"> </w:t>
      </w:r>
    </w:p>
    <w:p w:rsidR="00C93DB3" w:rsidRDefault="00C93DB3" w:rsidP="009964D1">
      <w:pPr>
        <w:tabs>
          <w:tab w:val="left" w:pos="3885"/>
        </w:tabs>
        <w:spacing w:after="0"/>
      </w:pPr>
    </w:p>
    <w:p w:rsidR="00A52D43" w:rsidRPr="00904983" w:rsidRDefault="00C93DB3" w:rsidP="009964D1">
      <w:pPr>
        <w:tabs>
          <w:tab w:val="left" w:pos="3885"/>
        </w:tabs>
        <w:spacing w:after="0"/>
      </w:pPr>
      <w:r>
        <w:t>Vývoj vnitřní migrace lze sledovat i podle velikostní skupiny obce. Ve sledovaném období byly populačně ziskové kategorie obcí o velikostní skupině do 4 999 obyvatel, naopak ztrátové od 5 000 obyvatel. Nejvíce obyvatel získaly obce s populací 500–999 obyvat</w:t>
      </w:r>
      <w:r w:rsidR="00D000EE">
        <w:t>el, oproti tomu nejvíce ztratila</w:t>
      </w:r>
      <w:r>
        <w:t xml:space="preserve"> města o velikosti 20 000–49 999 obyvatel (platí v obou případech absolutně i relativně).</w:t>
      </w:r>
      <w:r w:rsidR="00C13F68">
        <w:t xml:space="preserve"> Nejsilnější proud byl z</w:t>
      </w:r>
      <w:r w:rsidR="005905F7">
        <w:t> největších měst</w:t>
      </w:r>
      <w:r w:rsidR="00C13F68">
        <w:t xml:space="preserve"> nad 100 000 obyvatel do obcí ve velikostní skupině 2 000–4 999 obyvatel (164 tis. za celé období).</w:t>
      </w:r>
      <w:r w:rsidR="005905F7">
        <w:t xml:space="preserve"> </w:t>
      </w:r>
      <w:r w:rsidR="00C13F68">
        <w:t xml:space="preserve"> </w:t>
      </w:r>
      <w:r>
        <w:t xml:space="preserve">  </w:t>
      </w:r>
      <w:r w:rsidR="005217C4" w:rsidRPr="005217C4">
        <w:t xml:space="preserve"> </w:t>
      </w:r>
      <w:r w:rsidR="005217C4">
        <w:t xml:space="preserve"> </w:t>
      </w:r>
      <w:r w:rsidR="00762603">
        <w:t xml:space="preserve">   </w:t>
      </w:r>
      <w:r w:rsidR="00035BAC">
        <w:t xml:space="preserve">    </w:t>
      </w:r>
      <w:r w:rsidR="004E2C63">
        <w:t xml:space="preserve">     </w:t>
      </w:r>
      <w:r w:rsidR="008C6728">
        <w:t xml:space="preserve">  </w:t>
      </w:r>
      <w:r w:rsidR="00901D86">
        <w:t xml:space="preserve">    </w:t>
      </w:r>
      <w:r w:rsidR="00345CEA">
        <w:t xml:space="preserve"> </w:t>
      </w:r>
    </w:p>
    <w:sectPr w:rsidR="00A52D43" w:rsidRPr="00904983" w:rsidSect="006F5416">
      <w:headerReference w:type="even" r:id="rId32"/>
      <w:headerReference w:type="default" r:id="rId33"/>
      <w:footerReference w:type="even" r:id="rId34"/>
      <w:footerReference w:type="default" r:id="rId35"/>
      <w:pgSz w:w="11906" w:h="16838" w:code="9"/>
      <w:pgMar w:top="1134" w:right="1134" w:bottom="1418" w:left="1134" w:header="680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75303" w:rsidRDefault="00E75303" w:rsidP="00E71A58">
      <w:r>
        <w:separator/>
      </w:r>
    </w:p>
  </w:endnote>
  <w:endnote w:type="continuationSeparator" w:id="0">
    <w:p w:rsidR="00E75303" w:rsidRDefault="00E75303" w:rsidP="00E71A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altName w:val="Times New Roman"/>
    <w:panose1 w:val="00000000000000000000"/>
    <w:charset w:val="00"/>
    <w:family w:val="roman"/>
    <w:notTrueType/>
    <w:pitch w:val="variable"/>
    <w:sig w:usb0="00000001" w:usb1="00000001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307D" w:rsidRPr="00932443" w:rsidRDefault="00F8307D" w:rsidP="00A418BC">
    <w:pPr>
      <w:pStyle w:val="Zpat"/>
      <w:rPr>
        <w:szCs w:val="16"/>
      </w:rPr>
    </w:pPr>
    <w:r>
      <w:rPr>
        <w:szCs w:val="16"/>
        <w:lang w:eastAsia="cs-CZ"/>
      </w:rPr>
      <w:drawing>
        <wp:anchor distT="0" distB="0" distL="114300" distR="114300" simplePos="0" relativeHeight="251658240" behindDoc="0" locked="0" layoutInCell="1" allowOverlap="1" wp14:anchorId="309AEED0" wp14:editId="42C860A7">
          <wp:simplePos x="0" y="0"/>
          <wp:positionH relativeFrom="column">
            <wp:align>right</wp:align>
          </wp:positionH>
          <wp:positionV relativeFrom="paragraph">
            <wp:posOffset>-64770</wp:posOffset>
          </wp:positionV>
          <wp:extent cx="428625" cy="201295"/>
          <wp:effectExtent l="0" t="0" r="3175" b="1905"/>
          <wp:wrapNone/>
          <wp:docPr id="14" name="Picture 11" descr="CSU RGB CZ 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SU RGB CZ logo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2012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32443">
      <w:rPr>
        <w:szCs w:val="16"/>
      </w:rPr>
      <w:fldChar w:fldCharType="begin"/>
    </w:r>
    <w:r w:rsidRPr="00932443">
      <w:rPr>
        <w:szCs w:val="16"/>
      </w:rPr>
      <w:instrText>PAGE   \* MERGEFORMAT</w:instrText>
    </w:r>
    <w:r w:rsidRPr="00932443">
      <w:rPr>
        <w:szCs w:val="16"/>
      </w:rPr>
      <w:fldChar w:fldCharType="separate"/>
    </w:r>
    <w:r w:rsidR="00B3002A">
      <w:rPr>
        <w:szCs w:val="16"/>
      </w:rPr>
      <w:t>28</w:t>
    </w:r>
    <w:r w:rsidRPr="00932443">
      <w:rPr>
        <w:szCs w:val="16"/>
      </w:rPr>
      <w:fldChar w:fldCharType="end"/>
    </w:r>
    <w:r w:rsidRPr="00932443">
      <w:rPr>
        <w:szCs w:val="16"/>
      </w:rPr>
      <w:tab/>
    </w:r>
    <w:r>
      <w:rPr>
        <w:rStyle w:val="ZpatChar"/>
        <w:szCs w:val="16"/>
      </w:rPr>
      <w:t>2005–2017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307D" w:rsidRPr="00932443" w:rsidRDefault="00F8307D" w:rsidP="00A418BC">
    <w:pPr>
      <w:pStyle w:val="Zpat"/>
      <w:rPr>
        <w:szCs w:val="16"/>
      </w:rPr>
    </w:pPr>
    <w:r>
      <w:rPr>
        <w:szCs w:val="16"/>
        <w:lang w:eastAsia="cs-CZ"/>
      </w:rPr>
      <w:drawing>
        <wp:anchor distT="0" distB="0" distL="114300" distR="114300" simplePos="0" relativeHeight="251657216" behindDoc="0" locked="0" layoutInCell="1" allowOverlap="1" wp14:anchorId="1C30BE43" wp14:editId="14FFD0C8">
          <wp:simplePos x="0" y="0"/>
          <wp:positionH relativeFrom="column">
            <wp:align>left</wp:align>
          </wp:positionH>
          <wp:positionV relativeFrom="paragraph">
            <wp:posOffset>-122555</wp:posOffset>
          </wp:positionV>
          <wp:extent cx="510540" cy="272415"/>
          <wp:effectExtent l="0" t="0" r="0" b="6985"/>
          <wp:wrapNone/>
          <wp:docPr id="15" name="Picture 10" descr="CSU RGB CZ logo-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CSU RGB CZ logo-0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0540" cy="2724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32443">
      <w:rPr>
        <w:szCs w:val="16"/>
      </w:rPr>
      <w:tab/>
    </w:r>
    <w:r>
      <w:rPr>
        <w:rStyle w:val="ZpatChar"/>
        <w:szCs w:val="16"/>
      </w:rPr>
      <w:t>2005–2017</w:t>
    </w:r>
    <w:r w:rsidRPr="00932443">
      <w:rPr>
        <w:szCs w:val="16"/>
      </w:rPr>
      <w:tab/>
    </w:r>
    <w:r w:rsidRPr="00932443">
      <w:rPr>
        <w:rStyle w:val="ZpatChar"/>
        <w:szCs w:val="16"/>
      </w:rPr>
      <w:fldChar w:fldCharType="begin"/>
    </w:r>
    <w:r w:rsidRPr="00932443">
      <w:rPr>
        <w:rStyle w:val="ZpatChar"/>
        <w:szCs w:val="16"/>
      </w:rPr>
      <w:instrText>PAGE   \* MERGEFORMAT</w:instrText>
    </w:r>
    <w:r w:rsidRPr="00932443">
      <w:rPr>
        <w:rStyle w:val="ZpatChar"/>
        <w:szCs w:val="16"/>
      </w:rPr>
      <w:fldChar w:fldCharType="separate"/>
    </w:r>
    <w:r w:rsidR="00B3002A">
      <w:rPr>
        <w:rStyle w:val="ZpatChar"/>
        <w:szCs w:val="16"/>
      </w:rPr>
      <w:t>27</w:t>
    </w:r>
    <w:r w:rsidRPr="00932443">
      <w:rPr>
        <w:rStyle w:val="ZpatChar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75303" w:rsidRDefault="00E75303" w:rsidP="00E71A58">
      <w:r>
        <w:separator/>
      </w:r>
    </w:p>
  </w:footnote>
  <w:footnote w:type="continuationSeparator" w:id="0">
    <w:p w:rsidR="00E75303" w:rsidRDefault="00E75303" w:rsidP="00E71A58">
      <w:r>
        <w:continuationSeparator/>
      </w:r>
    </w:p>
  </w:footnote>
  <w:footnote w:id="1">
    <w:p w:rsidR="00F8307D" w:rsidRPr="00EE7A4A" w:rsidRDefault="00F8307D" w:rsidP="00A54058">
      <w:pPr>
        <w:pStyle w:val="Textpoznpodarou"/>
        <w:rPr>
          <w:i/>
          <w:sz w:val="18"/>
          <w:szCs w:val="18"/>
        </w:rPr>
      </w:pPr>
      <w:r w:rsidRPr="00EE7A4A">
        <w:rPr>
          <w:rStyle w:val="Znakapoznpodarou"/>
          <w:i/>
          <w:sz w:val="18"/>
          <w:szCs w:val="18"/>
        </w:rPr>
        <w:footnoteRef/>
      </w:r>
      <w:r w:rsidRPr="00EE7A4A">
        <w:rPr>
          <w:i/>
          <w:sz w:val="18"/>
          <w:szCs w:val="18"/>
        </w:rPr>
        <w:t xml:space="preserve"> Podle § 98 zákona č. 326/1999 Sb., o pobytu cizinců na území České republiky a o změně některých zákonů.</w:t>
      </w:r>
    </w:p>
  </w:footnote>
  <w:footnote w:id="2">
    <w:p w:rsidR="00F8307D" w:rsidRPr="00EE7A4A" w:rsidRDefault="00F8307D">
      <w:pPr>
        <w:pStyle w:val="Textpoznpodarou"/>
        <w:rPr>
          <w:i/>
          <w:sz w:val="18"/>
          <w:szCs w:val="18"/>
        </w:rPr>
      </w:pPr>
      <w:r w:rsidRPr="00EE7A4A">
        <w:rPr>
          <w:rStyle w:val="Znakapoznpodarou"/>
          <w:i/>
          <w:sz w:val="18"/>
          <w:szCs w:val="18"/>
        </w:rPr>
        <w:footnoteRef/>
      </w:r>
      <w:r w:rsidRPr="00EE7A4A">
        <w:rPr>
          <w:i/>
          <w:sz w:val="18"/>
          <w:szCs w:val="18"/>
        </w:rPr>
        <w:t xml:space="preserve"> Na základě vyhlášky č. 513/2006 Sb., kterou se mění vyhláška č. 564/2002 Sb., o stanovení území okresů České republiky a území obvodů hlavního města Prahy, ve znění pozdějších předpisů</w:t>
      </w:r>
      <w:r>
        <w:rPr>
          <w:i/>
          <w:sz w:val="18"/>
          <w:szCs w:val="18"/>
        </w:rPr>
        <w:t>.</w:t>
      </w:r>
    </w:p>
  </w:footnote>
  <w:footnote w:id="3">
    <w:p w:rsidR="00F8307D" w:rsidRDefault="00F8307D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EE7A4A">
        <w:rPr>
          <w:i/>
          <w:sz w:val="18"/>
          <w:szCs w:val="18"/>
        </w:rPr>
        <w:t>Na základě vyhlášky č.</w:t>
      </w:r>
      <w:r>
        <w:rPr>
          <w:i/>
          <w:sz w:val="18"/>
          <w:szCs w:val="18"/>
        </w:rPr>
        <w:t xml:space="preserve"> </w:t>
      </w:r>
      <w:r w:rsidRPr="00537378">
        <w:rPr>
          <w:i/>
          <w:sz w:val="18"/>
          <w:szCs w:val="18"/>
        </w:rPr>
        <w:t>440/2011 Sb</w:t>
      </w:r>
      <w:r>
        <w:rPr>
          <w:i/>
          <w:sz w:val="18"/>
          <w:szCs w:val="18"/>
        </w:rPr>
        <w:t xml:space="preserve">., </w:t>
      </w:r>
      <w:r w:rsidRPr="00EE7A4A">
        <w:rPr>
          <w:i/>
          <w:sz w:val="18"/>
          <w:szCs w:val="18"/>
        </w:rPr>
        <w:t>kterou se mění vyhláška č.</w:t>
      </w:r>
      <w:r w:rsidRPr="00537378">
        <w:t xml:space="preserve"> </w:t>
      </w:r>
      <w:r w:rsidRPr="00537378">
        <w:rPr>
          <w:i/>
          <w:sz w:val="18"/>
          <w:szCs w:val="18"/>
        </w:rPr>
        <w:t>388/2002 Sb., o stanovení správních obvodů obcí s pověřeným obecním úřadem a správních obvodů obcí s rozšířenou působností, ve znění pozdějších předpisů</w:t>
      </w:r>
      <w:r>
        <w:rPr>
          <w:i/>
          <w:sz w:val="18"/>
          <w:szCs w:val="18"/>
        </w:rPr>
        <w:t>.</w:t>
      </w:r>
    </w:p>
  </w:footnote>
  <w:footnote w:id="4">
    <w:p w:rsidR="00F8307D" w:rsidRPr="00837D7F" w:rsidRDefault="00F8307D">
      <w:pPr>
        <w:pStyle w:val="Textpoznpodarou"/>
        <w:rPr>
          <w:i/>
          <w:sz w:val="18"/>
          <w:szCs w:val="18"/>
        </w:rPr>
      </w:pPr>
      <w:r w:rsidRPr="00837D7F">
        <w:rPr>
          <w:rStyle w:val="Znakapoznpodarou"/>
          <w:i/>
          <w:sz w:val="18"/>
          <w:szCs w:val="18"/>
        </w:rPr>
        <w:footnoteRef/>
      </w:r>
      <w:r w:rsidRPr="00837D7F">
        <w:rPr>
          <w:i/>
          <w:sz w:val="18"/>
          <w:szCs w:val="18"/>
        </w:rPr>
        <w:t xml:space="preserve"> </w:t>
      </w:r>
      <w:r>
        <w:rPr>
          <w:i/>
          <w:sz w:val="18"/>
          <w:szCs w:val="18"/>
        </w:rPr>
        <w:t xml:space="preserve">Stěhování je tak evidováno </w:t>
      </w:r>
      <w:r w:rsidRPr="00837D7F">
        <w:rPr>
          <w:i/>
          <w:sz w:val="18"/>
          <w:szCs w:val="18"/>
        </w:rPr>
        <w:t>mezi první obcí vystěhování v průběhu roku a poslední obcí přistěhování.</w:t>
      </w:r>
    </w:p>
  </w:footnote>
  <w:footnote w:id="5">
    <w:p w:rsidR="00F8307D" w:rsidRDefault="00F8307D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>
        <w:rPr>
          <w:i/>
          <w:sz w:val="18"/>
          <w:szCs w:val="18"/>
        </w:rPr>
        <w:t xml:space="preserve">Hlavním důvodem byl poklesu objemu vnitřního stěhování u cizinců mužského pohlaví  </w:t>
      </w:r>
    </w:p>
  </w:footnote>
  <w:footnote w:id="6">
    <w:p w:rsidR="00F8307D" w:rsidRPr="008B21CB" w:rsidRDefault="00F8307D">
      <w:pPr>
        <w:pStyle w:val="Textpoznpodarou"/>
        <w:rPr>
          <w:i/>
          <w:sz w:val="18"/>
          <w:szCs w:val="18"/>
        </w:rPr>
      </w:pPr>
      <w:r w:rsidRPr="008B21CB">
        <w:rPr>
          <w:rStyle w:val="Znakapoznpodarou"/>
          <w:i/>
          <w:sz w:val="18"/>
          <w:szCs w:val="18"/>
        </w:rPr>
        <w:footnoteRef/>
      </w:r>
      <w:r w:rsidRPr="008B21CB">
        <w:rPr>
          <w:i/>
          <w:sz w:val="18"/>
          <w:szCs w:val="18"/>
        </w:rPr>
        <w:t xml:space="preserve"> </w:t>
      </w:r>
      <w:r>
        <w:rPr>
          <w:i/>
          <w:sz w:val="18"/>
          <w:szCs w:val="18"/>
        </w:rPr>
        <w:t xml:space="preserve">Změny jsou ovlivněny vývojem věkové struktury obyvatelstva České republiky, podrobněji viz </w:t>
      </w:r>
      <w:r w:rsidRPr="008B21CB">
        <w:rPr>
          <w:i/>
          <w:sz w:val="18"/>
          <w:szCs w:val="18"/>
        </w:rPr>
        <w:t>https://www.czso.cz/documents/10180/61565976/1300691801.pdf/1cce4610-d412-4d04-994e-dbf5a16386e4?version=1.2</w:t>
      </w:r>
    </w:p>
  </w:footnote>
  <w:footnote w:id="7">
    <w:p w:rsidR="00F8307D" w:rsidRPr="00C753DE" w:rsidRDefault="00F8307D">
      <w:pPr>
        <w:pStyle w:val="Textpoznpodarou"/>
        <w:rPr>
          <w:i/>
          <w:sz w:val="18"/>
          <w:szCs w:val="18"/>
        </w:rPr>
      </w:pPr>
      <w:r w:rsidRPr="00C753DE">
        <w:rPr>
          <w:rStyle w:val="Znakapoznpodarou"/>
          <w:i/>
          <w:sz w:val="18"/>
          <w:szCs w:val="18"/>
        </w:rPr>
        <w:footnoteRef/>
      </w:r>
      <w:r>
        <w:rPr>
          <w:i/>
          <w:sz w:val="18"/>
          <w:szCs w:val="18"/>
        </w:rPr>
        <w:t xml:space="preserve"> Kraj Hlavní město Praha</w:t>
      </w:r>
      <w:r w:rsidRPr="00C753DE">
        <w:rPr>
          <w:i/>
          <w:sz w:val="18"/>
          <w:szCs w:val="18"/>
        </w:rPr>
        <w:t xml:space="preserve"> je vymezen totožně jako okres a obec, proto není meziokresní migrace v rámci kraje možná. </w:t>
      </w:r>
    </w:p>
  </w:footnote>
  <w:footnote w:id="8">
    <w:p w:rsidR="00F8307D" w:rsidRPr="006260B9" w:rsidRDefault="00F8307D">
      <w:pPr>
        <w:pStyle w:val="Textpoznpodarou"/>
        <w:rPr>
          <w:i/>
          <w:sz w:val="18"/>
          <w:szCs w:val="18"/>
        </w:rPr>
      </w:pPr>
      <w:r w:rsidRPr="006260B9">
        <w:rPr>
          <w:rStyle w:val="Znakapoznpodarou"/>
          <w:i/>
          <w:sz w:val="18"/>
          <w:szCs w:val="18"/>
        </w:rPr>
        <w:footnoteRef/>
      </w:r>
      <w:r w:rsidRPr="006260B9">
        <w:rPr>
          <w:i/>
          <w:sz w:val="18"/>
          <w:szCs w:val="18"/>
        </w:rPr>
        <w:t xml:space="preserve"> Praha jako okres je vymezena totožně jako obec tudíž není </w:t>
      </w:r>
      <w:proofErr w:type="spellStart"/>
      <w:r w:rsidRPr="006260B9">
        <w:rPr>
          <w:i/>
          <w:sz w:val="18"/>
          <w:szCs w:val="18"/>
        </w:rPr>
        <w:t>meziobecní</w:t>
      </w:r>
      <w:proofErr w:type="spellEnd"/>
      <w:r w:rsidRPr="006260B9">
        <w:rPr>
          <w:i/>
          <w:sz w:val="18"/>
          <w:szCs w:val="18"/>
        </w:rPr>
        <w:t xml:space="preserve"> migrace v rámci okresu možná</w:t>
      </w:r>
      <w:r>
        <w:rPr>
          <w:i/>
          <w:sz w:val="18"/>
          <w:szCs w:val="18"/>
        </w:rPr>
        <w:t xml:space="preserve">. Totéž platí pro okres Brno-město a obec Brno. </w:t>
      </w:r>
    </w:p>
  </w:footnote>
  <w:footnote w:id="9">
    <w:p w:rsidR="00F8307D" w:rsidRDefault="00F8307D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945D0F">
        <w:rPr>
          <w:i/>
          <w:sz w:val="18"/>
          <w:szCs w:val="18"/>
        </w:rPr>
        <w:t>Praha sice není</w:t>
      </w:r>
      <w:r>
        <w:rPr>
          <w:i/>
          <w:sz w:val="18"/>
          <w:szCs w:val="18"/>
        </w:rPr>
        <w:t xml:space="preserve"> SO ORP, ale z důvodu zachování celistvosti ČR na všech územních úrovních je za něj v této kapitole považován.</w:t>
      </w:r>
      <w:r>
        <w:t xml:space="preserve">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307D" w:rsidRPr="006F5416" w:rsidRDefault="00F8307D" w:rsidP="00900550">
    <w:pPr>
      <w:pStyle w:val="Zhlav"/>
    </w:pPr>
    <w:r>
      <w:t>Vnitřní migrace v České republice 2005–2017</w:t>
    </w:r>
  </w:p>
  <w:p w:rsidR="00F8307D" w:rsidRPr="00900550" w:rsidRDefault="00F8307D" w:rsidP="00900550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307D" w:rsidRPr="006F5416" w:rsidRDefault="00F8307D" w:rsidP="00937AE2">
    <w:pPr>
      <w:pStyle w:val="Zhlav"/>
    </w:pPr>
    <w:r>
      <w:t>Vnitřní migrace v České republice 2005–2017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71" type="#_x0000_t75" style="width:11.25pt;height:11.25pt" o:bullet="t">
        <v:imagedata r:id="rId1" o:title="msoFAAF"/>
      </v:shape>
    </w:pict>
  </w:numPicBullet>
  <w:abstractNum w:abstractNumId="0">
    <w:nsid w:val="FFFFFF7C"/>
    <w:multiLevelType w:val="singleLevel"/>
    <w:tmpl w:val="49CEEC4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EC69A9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437A1C9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5B76230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F6965B5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30DE276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C7AED3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168C5BA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C7C8EEA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918AD8C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58473A1"/>
    <w:multiLevelType w:val="hybridMultilevel"/>
    <w:tmpl w:val="7984410C"/>
    <w:lvl w:ilvl="0" w:tplc="371200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8384A27"/>
    <w:multiLevelType w:val="hybridMultilevel"/>
    <w:tmpl w:val="105050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C581760"/>
    <w:multiLevelType w:val="hybridMultilevel"/>
    <w:tmpl w:val="CFEE97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0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>
      <o:colormru v:ext="edit" colors="#ecf4dd,#eaecee,#fcec0a,#fcecdb,#f1daf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7AD0"/>
    <w:rsid w:val="00001AEF"/>
    <w:rsid w:val="0000209D"/>
    <w:rsid w:val="000023DC"/>
    <w:rsid w:val="00003075"/>
    <w:rsid w:val="000035CB"/>
    <w:rsid w:val="00004D5A"/>
    <w:rsid w:val="000056D5"/>
    <w:rsid w:val="00005A0B"/>
    <w:rsid w:val="00005DDC"/>
    <w:rsid w:val="00006B6F"/>
    <w:rsid w:val="00007445"/>
    <w:rsid w:val="0000767A"/>
    <w:rsid w:val="00007A03"/>
    <w:rsid w:val="00007F75"/>
    <w:rsid w:val="00010702"/>
    <w:rsid w:val="00010DD8"/>
    <w:rsid w:val="000119F9"/>
    <w:rsid w:val="00012BA6"/>
    <w:rsid w:val="0001365E"/>
    <w:rsid w:val="00013A18"/>
    <w:rsid w:val="0001432B"/>
    <w:rsid w:val="000153A0"/>
    <w:rsid w:val="00016930"/>
    <w:rsid w:val="00016992"/>
    <w:rsid w:val="00017347"/>
    <w:rsid w:val="00021BA9"/>
    <w:rsid w:val="000234D6"/>
    <w:rsid w:val="00023D29"/>
    <w:rsid w:val="00026389"/>
    <w:rsid w:val="00027325"/>
    <w:rsid w:val="00030D3C"/>
    <w:rsid w:val="0003153B"/>
    <w:rsid w:val="00031AE0"/>
    <w:rsid w:val="000322EF"/>
    <w:rsid w:val="00032D27"/>
    <w:rsid w:val="00033FCD"/>
    <w:rsid w:val="000351D8"/>
    <w:rsid w:val="00035BAC"/>
    <w:rsid w:val="00035FEE"/>
    <w:rsid w:val="00036A91"/>
    <w:rsid w:val="00036F27"/>
    <w:rsid w:val="000402D0"/>
    <w:rsid w:val="000402D2"/>
    <w:rsid w:val="000419F3"/>
    <w:rsid w:val="00041CEC"/>
    <w:rsid w:val="00043274"/>
    <w:rsid w:val="00044043"/>
    <w:rsid w:val="00044538"/>
    <w:rsid w:val="00044BAE"/>
    <w:rsid w:val="00045131"/>
    <w:rsid w:val="0004694F"/>
    <w:rsid w:val="000469B3"/>
    <w:rsid w:val="000473E5"/>
    <w:rsid w:val="00050751"/>
    <w:rsid w:val="00050A0A"/>
    <w:rsid w:val="00051BE1"/>
    <w:rsid w:val="000522E4"/>
    <w:rsid w:val="0005470D"/>
    <w:rsid w:val="00054A4E"/>
    <w:rsid w:val="00054F7C"/>
    <w:rsid w:val="0005721A"/>
    <w:rsid w:val="00057D39"/>
    <w:rsid w:val="00060983"/>
    <w:rsid w:val="000610E1"/>
    <w:rsid w:val="00062176"/>
    <w:rsid w:val="00062907"/>
    <w:rsid w:val="00062BCA"/>
    <w:rsid w:val="00062EC5"/>
    <w:rsid w:val="00062F22"/>
    <w:rsid w:val="00064369"/>
    <w:rsid w:val="00067A09"/>
    <w:rsid w:val="0007054F"/>
    <w:rsid w:val="00070974"/>
    <w:rsid w:val="0007121D"/>
    <w:rsid w:val="000712B3"/>
    <w:rsid w:val="000745E7"/>
    <w:rsid w:val="00077EC8"/>
    <w:rsid w:val="00080569"/>
    <w:rsid w:val="0008263E"/>
    <w:rsid w:val="00082C19"/>
    <w:rsid w:val="00083E73"/>
    <w:rsid w:val="00085395"/>
    <w:rsid w:val="00086604"/>
    <w:rsid w:val="00087634"/>
    <w:rsid w:val="00087F2B"/>
    <w:rsid w:val="00090433"/>
    <w:rsid w:val="000933B5"/>
    <w:rsid w:val="00094E75"/>
    <w:rsid w:val="00097168"/>
    <w:rsid w:val="00097282"/>
    <w:rsid w:val="000974D1"/>
    <w:rsid w:val="0009799E"/>
    <w:rsid w:val="000A0195"/>
    <w:rsid w:val="000A1183"/>
    <w:rsid w:val="000A16E1"/>
    <w:rsid w:val="000A1EC4"/>
    <w:rsid w:val="000A256D"/>
    <w:rsid w:val="000A3A2C"/>
    <w:rsid w:val="000A41DC"/>
    <w:rsid w:val="000A53C4"/>
    <w:rsid w:val="000A7FFB"/>
    <w:rsid w:val="000B0BB6"/>
    <w:rsid w:val="000B11A5"/>
    <w:rsid w:val="000B30FA"/>
    <w:rsid w:val="000B40F1"/>
    <w:rsid w:val="000B4E56"/>
    <w:rsid w:val="000B6C64"/>
    <w:rsid w:val="000B7A13"/>
    <w:rsid w:val="000C029F"/>
    <w:rsid w:val="000C0C6D"/>
    <w:rsid w:val="000C2060"/>
    <w:rsid w:val="000C2284"/>
    <w:rsid w:val="000C3408"/>
    <w:rsid w:val="000C4F06"/>
    <w:rsid w:val="000C5535"/>
    <w:rsid w:val="000C58BE"/>
    <w:rsid w:val="000C58C7"/>
    <w:rsid w:val="000C5FFA"/>
    <w:rsid w:val="000C6AFD"/>
    <w:rsid w:val="000C7561"/>
    <w:rsid w:val="000C7EDF"/>
    <w:rsid w:val="000D06FE"/>
    <w:rsid w:val="000D182C"/>
    <w:rsid w:val="000D41E8"/>
    <w:rsid w:val="000D53BE"/>
    <w:rsid w:val="000D5597"/>
    <w:rsid w:val="000D5637"/>
    <w:rsid w:val="000D583A"/>
    <w:rsid w:val="000D5FC1"/>
    <w:rsid w:val="000D6EB5"/>
    <w:rsid w:val="000D6FD3"/>
    <w:rsid w:val="000D73F0"/>
    <w:rsid w:val="000D7F83"/>
    <w:rsid w:val="000E1193"/>
    <w:rsid w:val="000E156B"/>
    <w:rsid w:val="000E1B49"/>
    <w:rsid w:val="000E1BDD"/>
    <w:rsid w:val="000E269A"/>
    <w:rsid w:val="000E2F16"/>
    <w:rsid w:val="000E5D21"/>
    <w:rsid w:val="000E6FBD"/>
    <w:rsid w:val="000F02F0"/>
    <w:rsid w:val="000F2EC6"/>
    <w:rsid w:val="000F2F65"/>
    <w:rsid w:val="000F4337"/>
    <w:rsid w:val="000F5EE7"/>
    <w:rsid w:val="000F6824"/>
    <w:rsid w:val="000F706B"/>
    <w:rsid w:val="000F797F"/>
    <w:rsid w:val="00100F5C"/>
    <w:rsid w:val="00101CDC"/>
    <w:rsid w:val="00102DFC"/>
    <w:rsid w:val="0010437D"/>
    <w:rsid w:val="00104C4C"/>
    <w:rsid w:val="00106D41"/>
    <w:rsid w:val="00107089"/>
    <w:rsid w:val="00111FCC"/>
    <w:rsid w:val="00113327"/>
    <w:rsid w:val="00113522"/>
    <w:rsid w:val="001167E0"/>
    <w:rsid w:val="00117400"/>
    <w:rsid w:val="001179DA"/>
    <w:rsid w:val="0012103B"/>
    <w:rsid w:val="001211CE"/>
    <w:rsid w:val="0012192F"/>
    <w:rsid w:val="00122C48"/>
    <w:rsid w:val="00123381"/>
    <w:rsid w:val="00124BA1"/>
    <w:rsid w:val="001258DC"/>
    <w:rsid w:val="00125D69"/>
    <w:rsid w:val="00127A36"/>
    <w:rsid w:val="00131836"/>
    <w:rsid w:val="00133A83"/>
    <w:rsid w:val="001405FA"/>
    <w:rsid w:val="001425C3"/>
    <w:rsid w:val="00142701"/>
    <w:rsid w:val="00142E55"/>
    <w:rsid w:val="00145EA6"/>
    <w:rsid w:val="001462B0"/>
    <w:rsid w:val="001514A8"/>
    <w:rsid w:val="00152B67"/>
    <w:rsid w:val="001566B6"/>
    <w:rsid w:val="00160656"/>
    <w:rsid w:val="0016134C"/>
    <w:rsid w:val="0016256B"/>
    <w:rsid w:val="0016352B"/>
    <w:rsid w:val="00163793"/>
    <w:rsid w:val="001670D2"/>
    <w:rsid w:val="001678EC"/>
    <w:rsid w:val="00167F47"/>
    <w:rsid w:val="00170457"/>
    <w:rsid w:val="001706D6"/>
    <w:rsid w:val="00170831"/>
    <w:rsid w:val="001714F2"/>
    <w:rsid w:val="00172BA8"/>
    <w:rsid w:val="00172D31"/>
    <w:rsid w:val="00175F52"/>
    <w:rsid w:val="001779CE"/>
    <w:rsid w:val="001811DD"/>
    <w:rsid w:val="00182959"/>
    <w:rsid w:val="00183CA7"/>
    <w:rsid w:val="0018474A"/>
    <w:rsid w:val="00184B08"/>
    <w:rsid w:val="00185010"/>
    <w:rsid w:val="00185614"/>
    <w:rsid w:val="00185DE9"/>
    <w:rsid w:val="00186466"/>
    <w:rsid w:val="00187AD0"/>
    <w:rsid w:val="0019067C"/>
    <w:rsid w:val="0019613F"/>
    <w:rsid w:val="001A04FC"/>
    <w:rsid w:val="001A1C96"/>
    <w:rsid w:val="001A3896"/>
    <w:rsid w:val="001A552F"/>
    <w:rsid w:val="001A65C0"/>
    <w:rsid w:val="001A7029"/>
    <w:rsid w:val="001A7117"/>
    <w:rsid w:val="001B20A4"/>
    <w:rsid w:val="001B2CA9"/>
    <w:rsid w:val="001B2FD9"/>
    <w:rsid w:val="001B3110"/>
    <w:rsid w:val="001B3BD9"/>
    <w:rsid w:val="001B4729"/>
    <w:rsid w:val="001B6C09"/>
    <w:rsid w:val="001B72EF"/>
    <w:rsid w:val="001B7EEF"/>
    <w:rsid w:val="001C05CD"/>
    <w:rsid w:val="001C07E8"/>
    <w:rsid w:val="001C09CB"/>
    <w:rsid w:val="001C17C6"/>
    <w:rsid w:val="001C2992"/>
    <w:rsid w:val="001C36AD"/>
    <w:rsid w:val="001C6049"/>
    <w:rsid w:val="001C63DE"/>
    <w:rsid w:val="001C6796"/>
    <w:rsid w:val="001C7409"/>
    <w:rsid w:val="001C7FBA"/>
    <w:rsid w:val="001D0FEE"/>
    <w:rsid w:val="001D3DA3"/>
    <w:rsid w:val="001D5D5C"/>
    <w:rsid w:val="001D6209"/>
    <w:rsid w:val="001D62EB"/>
    <w:rsid w:val="001D68B2"/>
    <w:rsid w:val="001D7A0D"/>
    <w:rsid w:val="001D7DA1"/>
    <w:rsid w:val="001D7DD3"/>
    <w:rsid w:val="001E0717"/>
    <w:rsid w:val="001E0A38"/>
    <w:rsid w:val="001E1DD5"/>
    <w:rsid w:val="001E238C"/>
    <w:rsid w:val="001E4123"/>
    <w:rsid w:val="001E544C"/>
    <w:rsid w:val="001E5820"/>
    <w:rsid w:val="001E71E0"/>
    <w:rsid w:val="001E7E74"/>
    <w:rsid w:val="001F2346"/>
    <w:rsid w:val="001F3D79"/>
    <w:rsid w:val="001F4597"/>
    <w:rsid w:val="001F4608"/>
    <w:rsid w:val="001F461A"/>
    <w:rsid w:val="002015D5"/>
    <w:rsid w:val="00201642"/>
    <w:rsid w:val="00203BB2"/>
    <w:rsid w:val="00203F13"/>
    <w:rsid w:val="002118B9"/>
    <w:rsid w:val="00214045"/>
    <w:rsid w:val="00216E1A"/>
    <w:rsid w:val="002174E0"/>
    <w:rsid w:val="00217B77"/>
    <w:rsid w:val="00217C5B"/>
    <w:rsid w:val="00220391"/>
    <w:rsid w:val="00220916"/>
    <w:rsid w:val="00220CAE"/>
    <w:rsid w:val="0022139E"/>
    <w:rsid w:val="0022195A"/>
    <w:rsid w:val="00222683"/>
    <w:rsid w:val="0022486F"/>
    <w:rsid w:val="002252E0"/>
    <w:rsid w:val="002255F6"/>
    <w:rsid w:val="00227850"/>
    <w:rsid w:val="00227A53"/>
    <w:rsid w:val="00230C6E"/>
    <w:rsid w:val="00231140"/>
    <w:rsid w:val="002323BD"/>
    <w:rsid w:val="002332AC"/>
    <w:rsid w:val="00233FCA"/>
    <w:rsid w:val="00235807"/>
    <w:rsid w:val="0023600E"/>
    <w:rsid w:val="00236443"/>
    <w:rsid w:val="00237BEB"/>
    <w:rsid w:val="00240EDD"/>
    <w:rsid w:val="002419A4"/>
    <w:rsid w:val="002420F6"/>
    <w:rsid w:val="002436BA"/>
    <w:rsid w:val="0024443E"/>
    <w:rsid w:val="00244A15"/>
    <w:rsid w:val="00245AD7"/>
    <w:rsid w:val="00247319"/>
    <w:rsid w:val="00247859"/>
    <w:rsid w:val="0024799E"/>
    <w:rsid w:val="00250AB6"/>
    <w:rsid w:val="00250F55"/>
    <w:rsid w:val="0025143C"/>
    <w:rsid w:val="002518A4"/>
    <w:rsid w:val="00252106"/>
    <w:rsid w:val="00252B6C"/>
    <w:rsid w:val="002530EF"/>
    <w:rsid w:val="00253C0F"/>
    <w:rsid w:val="002571C4"/>
    <w:rsid w:val="00257684"/>
    <w:rsid w:val="0026019F"/>
    <w:rsid w:val="0026130C"/>
    <w:rsid w:val="0026666A"/>
    <w:rsid w:val="002667E3"/>
    <w:rsid w:val="00270419"/>
    <w:rsid w:val="00270E3A"/>
    <w:rsid w:val="00271465"/>
    <w:rsid w:val="0027207C"/>
    <w:rsid w:val="00273A0A"/>
    <w:rsid w:val="002760AB"/>
    <w:rsid w:val="00276FDC"/>
    <w:rsid w:val="00277CEA"/>
    <w:rsid w:val="00280325"/>
    <w:rsid w:val="002838E0"/>
    <w:rsid w:val="00283B35"/>
    <w:rsid w:val="00284DE4"/>
    <w:rsid w:val="00285412"/>
    <w:rsid w:val="00286992"/>
    <w:rsid w:val="00290E11"/>
    <w:rsid w:val="002930BF"/>
    <w:rsid w:val="00293B0F"/>
    <w:rsid w:val="00293ECA"/>
    <w:rsid w:val="0029467D"/>
    <w:rsid w:val="00295C22"/>
    <w:rsid w:val="002974FF"/>
    <w:rsid w:val="00297F1B"/>
    <w:rsid w:val="002A00BE"/>
    <w:rsid w:val="002A091C"/>
    <w:rsid w:val="002A09CF"/>
    <w:rsid w:val="002A16D4"/>
    <w:rsid w:val="002A1822"/>
    <w:rsid w:val="002A230C"/>
    <w:rsid w:val="002A2421"/>
    <w:rsid w:val="002A393C"/>
    <w:rsid w:val="002A3994"/>
    <w:rsid w:val="002A5EE7"/>
    <w:rsid w:val="002B0C83"/>
    <w:rsid w:val="002B1658"/>
    <w:rsid w:val="002B2DCF"/>
    <w:rsid w:val="002B47F8"/>
    <w:rsid w:val="002B5D25"/>
    <w:rsid w:val="002C034B"/>
    <w:rsid w:val="002C1249"/>
    <w:rsid w:val="002C1D2A"/>
    <w:rsid w:val="002C36E6"/>
    <w:rsid w:val="002C43BD"/>
    <w:rsid w:val="002C4ACB"/>
    <w:rsid w:val="002C4F90"/>
    <w:rsid w:val="002C6E3A"/>
    <w:rsid w:val="002C774A"/>
    <w:rsid w:val="002C7B4E"/>
    <w:rsid w:val="002D0E59"/>
    <w:rsid w:val="002D10D2"/>
    <w:rsid w:val="002D1C35"/>
    <w:rsid w:val="002D505E"/>
    <w:rsid w:val="002D50E0"/>
    <w:rsid w:val="002D79AD"/>
    <w:rsid w:val="002E02A1"/>
    <w:rsid w:val="002E4E4C"/>
    <w:rsid w:val="002E5641"/>
    <w:rsid w:val="002E60EE"/>
    <w:rsid w:val="002E6125"/>
    <w:rsid w:val="002E6A2F"/>
    <w:rsid w:val="002F08F3"/>
    <w:rsid w:val="002F26F5"/>
    <w:rsid w:val="002F2803"/>
    <w:rsid w:val="002F3423"/>
    <w:rsid w:val="002F37F1"/>
    <w:rsid w:val="00301442"/>
    <w:rsid w:val="0030171D"/>
    <w:rsid w:val="00304343"/>
    <w:rsid w:val="00304771"/>
    <w:rsid w:val="003052D4"/>
    <w:rsid w:val="00306C5B"/>
    <w:rsid w:val="00312241"/>
    <w:rsid w:val="00312FD4"/>
    <w:rsid w:val="00313C82"/>
    <w:rsid w:val="003150F3"/>
    <w:rsid w:val="0031510D"/>
    <w:rsid w:val="00316A2C"/>
    <w:rsid w:val="0032013E"/>
    <w:rsid w:val="003209D6"/>
    <w:rsid w:val="003213EC"/>
    <w:rsid w:val="00321924"/>
    <w:rsid w:val="00321C7E"/>
    <w:rsid w:val="003254E4"/>
    <w:rsid w:val="00325CB0"/>
    <w:rsid w:val="0032656E"/>
    <w:rsid w:val="00326B49"/>
    <w:rsid w:val="00326D8C"/>
    <w:rsid w:val="00327911"/>
    <w:rsid w:val="00327D45"/>
    <w:rsid w:val="003319A7"/>
    <w:rsid w:val="00332190"/>
    <w:rsid w:val="0033235D"/>
    <w:rsid w:val="00334BA2"/>
    <w:rsid w:val="003400E3"/>
    <w:rsid w:val="0034015C"/>
    <w:rsid w:val="0034021F"/>
    <w:rsid w:val="0034109E"/>
    <w:rsid w:val="003415A9"/>
    <w:rsid w:val="00343544"/>
    <w:rsid w:val="00344668"/>
    <w:rsid w:val="00345CEA"/>
    <w:rsid w:val="003462D9"/>
    <w:rsid w:val="003479F4"/>
    <w:rsid w:val="00350712"/>
    <w:rsid w:val="00351207"/>
    <w:rsid w:val="0035145A"/>
    <w:rsid w:val="00351FD4"/>
    <w:rsid w:val="00352D1C"/>
    <w:rsid w:val="0035326A"/>
    <w:rsid w:val="003545E9"/>
    <w:rsid w:val="00354632"/>
    <w:rsid w:val="00356BA0"/>
    <w:rsid w:val="00360C86"/>
    <w:rsid w:val="0036174E"/>
    <w:rsid w:val="00362295"/>
    <w:rsid w:val="00362C8E"/>
    <w:rsid w:val="00363D5E"/>
    <w:rsid w:val="00364E9E"/>
    <w:rsid w:val="003657F3"/>
    <w:rsid w:val="003658E1"/>
    <w:rsid w:val="00366058"/>
    <w:rsid w:val="003677AA"/>
    <w:rsid w:val="00367E8A"/>
    <w:rsid w:val="003712DF"/>
    <w:rsid w:val="003719F6"/>
    <w:rsid w:val="003730B7"/>
    <w:rsid w:val="003739F1"/>
    <w:rsid w:val="00375E9F"/>
    <w:rsid w:val="0037676E"/>
    <w:rsid w:val="003809CC"/>
    <w:rsid w:val="003811FB"/>
    <w:rsid w:val="003818DC"/>
    <w:rsid w:val="00382770"/>
    <w:rsid w:val="003837AC"/>
    <w:rsid w:val="00383DA1"/>
    <w:rsid w:val="00384327"/>
    <w:rsid w:val="00385D98"/>
    <w:rsid w:val="00386284"/>
    <w:rsid w:val="00386FA6"/>
    <w:rsid w:val="0039267A"/>
    <w:rsid w:val="00394E37"/>
    <w:rsid w:val="003957BD"/>
    <w:rsid w:val="003969F2"/>
    <w:rsid w:val="003A1179"/>
    <w:rsid w:val="003A199F"/>
    <w:rsid w:val="003A2B4D"/>
    <w:rsid w:val="003A3182"/>
    <w:rsid w:val="003A3A22"/>
    <w:rsid w:val="003A44A7"/>
    <w:rsid w:val="003A478C"/>
    <w:rsid w:val="003A5525"/>
    <w:rsid w:val="003A6B38"/>
    <w:rsid w:val="003A7A92"/>
    <w:rsid w:val="003B4C02"/>
    <w:rsid w:val="003B5A32"/>
    <w:rsid w:val="003B6020"/>
    <w:rsid w:val="003C1DD0"/>
    <w:rsid w:val="003C24A4"/>
    <w:rsid w:val="003C3390"/>
    <w:rsid w:val="003C3490"/>
    <w:rsid w:val="003C3B69"/>
    <w:rsid w:val="003C592E"/>
    <w:rsid w:val="003C59EE"/>
    <w:rsid w:val="003C6360"/>
    <w:rsid w:val="003C7966"/>
    <w:rsid w:val="003C7F25"/>
    <w:rsid w:val="003D09AA"/>
    <w:rsid w:val="003D3708"/>
    <w:rsid w:val="003D3F98"/>
    <w:rsid w:val="003D6920"/>
    <w:rsid w:val="003D699F"/>
    <w:rsid w:val="003D7B16"/>
    <w:rsid w:val="003E02BA"/>
    <w:rsid w:val="003E0A39"/>
    <w:rsid w:val="003E0E3A"/>
    <w:rsid w:val="003E3B90"/>
    <w:rsid w:val="003E44F7"/>
    <w:rsid w:val="003E4C91"/>
    <w:rsid w:val="003E7B37"/>
    <w:rsid w:val="003F313C"/>
    <w:rsid w:val="003F4B2C"/>
    <w:rsid w:val="003F551C"/>
    <w:rsid w:val="003F7445"/>
    <w:rsid w:val="003F7D23"/>
    <w:rsid w:val="00400443"/>
    <w:rsid w:val="00400ECE"/>
    <w:rsid w:val="00402C39"/>
    <w:rsid w:val="004031AC"/>
    <w:rsid w:val="0040463D"/>
    <w:rsid w:val="0040483F"/>
    <w:rsid w:val="00405EBE"/>
    <w:rsid w:val="00406F16"/>
    <w:rsid w:val="0040775F"/>
    <w:rsid w:val="00407C13"/>
    <w:rsid w:val="0041048E"/>
    <w:rsid w:val="00410638"/>
    <w:rsid w:val="00410F63"/>
    <w:rsid w:val="0041108E"/>
    <w:rsid w:val="0041187E"/>
    <w:rsid w:val="004136B5"/>
    <w:rsid w:val="004168A2"/>
    <w:rsid w:val="00416CCB"/>
    <w:rsid w:val="004209BC"/>
    <w:rsid w:val="00420B40"/>
    <w:rsid w:val="00424FA6"/>
    <w:rsid w:val="0043110C"/>
    <w:rsid w:val="00432A58"/>
    <w:rsid w:val="004333FA"/>
    <w:rsid w:val="00434617"/>
    <w:rsid w:val="0043641D"/>
    <w:rsid w:val="004401A4"/>
    <w:rsid w:val="00440535"/>
    <w:rsid w:val="00440900"/>
    <w:rsid w:val="00442727"/>
    <w:rsid w:val="00442BC0"/>
    <w:rsid w:val="004441A0"/>
    <w:rsid w:val="00445339"/>
    <w:rsid w:val="00445923"/>
    <w:rsid w:val="0044729A"/>
    <w:rsid w:val="004475A6"/>
    <w:rsid w:val="0045030B"/>
    <w:rsid w:val="004531E0"/>
    <w:rsid w:val="0045498A"/>
    <w:rsid w:val="0045617F"/>
    <w:rsid w:val="0045642F"/>
    <w:rsid w:val="00460FB3"/>
    <w:rsid w:val="00462D3F"/>
    <w:rsid w:val="004633E1"/>
    <w:rsid w:val="00465114"/>
    <w:rsid w:val="004662BB"/>
    <w:rsid w:val="00466C24"/>
    <w:rsid w:val="00467DBD"/>
    <w:rsid w:val="004703BD"/>
    <w:rsid w:val="004759D8"/>
    <w:rsid w:val="00476240"/>
    <w:rsid w:val="00476439"/>
    <w:rsid w:val="0047735C"/>
    <w:rsid w:val="004776BC"/>
    <w:rsid w:val="0048139F"/>
    <w:rsid w:val="0048148E"/>
    <w:rsid w:val="0048162D"/>
    <w:rsid w:val="00481E40"/>
    <w:rsid w:val="004830BC"/>
    <w:rsid w:val="00483994"/>
    <w:rsid w:val="00484EA3"/>
    <w:rsid w:val="00484ECE"/>
    <w:rsid w:val="004857DE"/>
    <w:rsid w:val="00485AF7"/>
    <w:rsid w:val="00486AF0"/>
    <w:rsid w:val="004900FF"/>
    <w:rsid w:val="004915CB"/>
    <w:rsid w:val="004924DC"/>
    <w:rsid w:val="00492CA7"/>
    <w:rsid w:val="0049318C"/>
    <w:rsid w:val="00495B68"/>
    <w:rsid w:val="004A021E"/>
    <w:rsid w:val="004A0CA5"/>
    <w:rsid w:val="004A0CE0"/>
    <w:rsid w:val="004A0DF8"/>
    <w:rsid w:val="004A14E4"/>
    <w:rsid w:val="004A2A36"/>
    <w:rsid w:val="004A2A54"/>
    <w:rsid w:val="004A3212"/>
    <w:rsid w:val="004A35FF"/>
    <w:rsid w:val="004A4D1F"/>
    <w:rsid w:val="004A61C5"/>
    <w:rsid w:val="004A6347"/>
    <w:rsid w:val="004A77DF"/>
    <w:rsid w:val="004B05B7"/>
    <w:rsid w:val="004B0A4B"/>
    <w:rsid w:val="004B1417"/>
    <w:rsid w:val="004B15A2"/>
    <w:rsid w:val="004B2DAB"/>
    <w:rsid w:val="004B30DC"/>
    <w:rsid w:val="004B3334"/>
    <w:rsid w:val="004B46FB"/>
    <w:rsid w:val="004B55B7"/>
    <w:rsid w:val="004B591E"/>
    <w:rsid w:val="004B5D6E"/>
    <w:rsid w:val="004B5E29"/>
    <w:rsid w:val="004B6468"/>
    <w:rsid w:val="004C1E70"/>
    <w:rsid w:val="004C384C"/>
    <w:rsid w:val="004C3867"/>
    <w:rsid w:val="004C3968"/>
    <w:rsid w:val="004C3D5A"/>
    <w:rsid w:val="004C4CD0"/>
    <w:rsid w:val="004C514B"/>
    <w:rsid w:val="004C5254"/>
    <w:rsid w:val="004C70DC"/>
    <w:rsid w:val="004C714D"/>
    <w:rsid w:val="004C78A6"/>
    <w:rsid w:val="004C7F81"/>
    <w:rsid w:val="004D0211"/>
    <w:rsid w:val="004D032D"/>
    <w:rsid w:val="004D0794"/>
    <w:rsid w:val="004D08F9"/>
    <w:rsid w:val="004D0DF1"/>
    <w:rsid w:val="004D2293"/>
    <w:rsid w:val="004D4523"/>
    <w:rsid w:val="004D6C61"/>
    <w:rsid w:val="004D71F8"/>
    <w:rsid w:val="004D7AC6"/>
    <w:rsid w:val="004E2C63"/>
    <w:rsid w:val="004E2DE3"/>
    <w:rsid w:val="004E2FD2"/>
    <w:rsid w:val="004E46CF"/>
    <w:rsid w:val="004E4A71"/>
    <w:rsid w:val="004E5BDF"/>
    <w:rsid w:val="004E68A9"/>
    <w:rsid w:val="004E6B8D"/>
    <w:rsid w:val="004E73B2"/>
    <w:rsid w:val="004F06F5"/>
    <w:rsid w:val="004F1746"/>
    <w:rsid w:val="004F33A0"/>
    <w:rsid w:val="004F4D3E"/>
    <w:rsid w:val="004F526C"/>
    <w:rsid w:val="004F6BEF"/>
    <w:rsid w:val="00500A8A"/>
    <w:rsid w:val="00500E0E"/>
    <w:rsid w:val="005015F6"/>
    <w:rsid w:val="00501671"/>
    <w:rsid w:val="00505225"/>
    <w:rsid w:val="005058E5"/>
    <w:rsid w:val="00505A03"/>
    <w:rsid w:val="00506052"/>
    <w:rsid w:val="00507DEE"/>
    <w:rsid w:val="005108C0"/>
    <w:rsid w:val="00510BE4"/>
    <w:rsid w:val="00511873"/>
    <w:rsid w:val="00511C34"/>
    <w:rsid w:val="005125B8"/>
    <w:rsid w:val="00512A2F"/>
    <w:rsid w:val="00512C38"/>
    <w:rsid w:val="00513B7E"/>
    <w:rsid w:val="00515C74"/>
    <w:rsid w:val="00515CC3"/>
    <w:rsid w:val="005167DE"/>
    <w:rsid w:val="0052007E"/>
    <w:rsid w:val="005217C4"/>
    <w:rsid w:val="0052180A"/>
    <w:rsid w:val="005219C5"/>
    <w:rsid w:val="0052337A"/>
    <w:rsid w:val="00524E7C"/>
    <w:rsid w:val="00525137"/>
    <w:rsid w:val="005251DD"/>
    <w:rsid w:val="005306D0"/>
    <w:rsid w:val="00530875"/>
    <w:rsid w:val="00530A00"/>
    <w:rsid w:val="005311E6"/>
    <w:rsid w:val="00532280"/>
    <w:rsid w:val="00532371"/>
    <w:rsid w:val="0053261A"/>
    <w:rsid w:val="00532CE7"/>
    <w:rsid w:val="0053324C"/>
    <w:rsid w:val="00534A28"/>
    <w:rsid w:val="00537378"/>
    <w:rsid w:val="00537904"/>
    <w:rsid w:val="00537A98"/>
    <w:rsid w:val="00537AF9"/>
    <w:rsid w:val="00540478"/>
    <w:rsid w:val="00541508"/>
    <w:rsid w:val="0054598A"/>
    <w:rsid w:val="00545C4C"/>
    <w:rsid w:val="005502B1"/>
    <w:rsid w:val="00551ECE"/>
    <w:rsid w:val="00553864"/>
    <w:rsid w:val="00554CEE"/>
    <w:rsid w:val="0055599F"/>
    <w:rsid w:val="00556D68"/>
    <w:rsid w:val="0056308C"/>
    <w:rsid w:val="00563783"/>
    <w:rsid w:val="005647BF"/>
    <w:rsid w:val="00566A8E"/>
    <w:rsid w:val="00566B9A"/>
    <w:rsid w:val="0056726D"/>
    <w:rsid w:val="005712C3"/>
    <w:rsid w:val="005726CA"/>
    <w:rsid w:val="005728E1"/>
    <w:rsid w:val="0057364B"/>
    <w:rsid w:val="00574773"/>
    <w:rsid w:val="00577EFA"/>
    <w:rsid w:val="00581958"/>
    <w:rsid w:val="005827EA"/>
    <w:rsid w:val="00583FFD"/>
    <w:rsid w:val="00584628"/>
    <w:rsid w:val="00584E79"/>
    <w:rsid w:val="00585C80"/>
    <w:rsid w:val="00585F09"/>
    <w:rsid w:val="00587DCF"/>
    <w:rsid w:val="005905F7"/>
    <w:rsid w:val="00590985"/>
    <w:rsid w:val="00590F4F"/>
    <w:rsid w:val="005911BE"/>
    <w:rsid w:val="005926DB"/>
    <w:rsid w:val="00593152"/>
    <w:rsid w:val="005932CF"/>
    <w:rsid w:val="00593E54"/>
    <w:rsid w:val="00594124"/>
    <w:rsid w:val="00594A48"/>
    <w:rsid w:val="005A0C68"/>
    <w:rsid w:val="005A10F2"/>
    <w:rsid w:val="005A2091"/>
    <w:rsid w:val="005A21E0"/>
    <w:rsid w:val="005A269D"/>
    <w:rsid w:val="005A28FF"/>
    <w:rsid w:val="005A3C74"/>
    <w:rsid w:val="005A3DF8"/>
    <w:rsid w:val="005A5549"/>
    <w:rsid w:val="005B040B"/>
    <w:rsid w:val="005B121D"/>
    <w:rsid w:val="005B2831"/>
    <w:rsid w:val="005B2D78"/>
    <w:rsid w:val="005B5D92"/>
    <w:rsid w:val="005B7B34"/>
    <w:rsid w:val="005C05F5"/>
    <w:rsid w:val="005C06B9"/>
    <w:rsid w:val="005C06ED"/>
    <w:rsid w:val="005C3100"/>
    <w:rsid w:val="005C36B0"/>
    <w:rsid w:val="005C4919"/>
    <w:rsid w:val="005C75D7"/>
    <w:rsid w:val="005D060F"/>
    <w:rsid w:val="005D069F"/>
    <w:rsid w:val="005D128B"/>
    <w:rsid w:val="005D176B"/>
    <w:rsid w:val="005D26A0"/>
    <w:rsid w:val="005D4AC1"/>
    <w:rsid w:val="005D5802"/>
    <w:rsid w:val="005D606B"/>
    <w:rsid w:val="005D7890"/>
    <w:rsid w:val="005E0344"/>
    <w:rsid w:val="005E08A9"/>
    <w:rsid w:val="005E3857"/>
    <w:rsid w:val="005E3DC5"/>
    <w:rsid w:val="005E4DA5"/>
    <w:rsid w:val="005E5335"/>
    <w:rsid w:val="005E6219"/>
    <w:rsid w:val="005E69C5"/>
    <w:rsid w:val="005E6C62"/>
    <w:rsid w:val="005E7A5A"/>
    <w:rsid w:val="005E7C78"/>
    <w:rsid w:val="005F062B"/>
    <w:rsid w:val="005F06B5"/>
    <w:rsid w:val="005F3EB1"/>
    <w:rsid w:val="005F3EF0"/>
    <w:rsid w:val="005F4D6C"/>
    <w:rsid w:val="005F5469"/>
    <w:rsid w:val="005F6395"/>
    <w:rsid w:val="00601252"/>
    <w:rsid w:val="00604307"/>
    <w:rsid w:val="0060487F"/>
    <w:rsid w:val="00604A2A"/>
    <w:rsid w:val="00604EAD"/>
    <w:rsid w:val="006053AA"/>
    <w:rsid w:val="00606566"/>
    <w:rsid w:val="0060771A"/>
    <w:rsid w:val="00610236"/>
    <w:rsid w:val="006104FB"/>
    <w:rsid w:val="00610799"/>
    <w:rsid w:val="00610BDC"/>
    <w:rsid w:val="0061160A"/>
    <w:rsid w:val="00611FF8"/>
    <w:rsid w:val="00612A2F"/>
    <w:rsid w:val="00614990"/>
    <w:rsid w:val="006167B8"/>
    <w:rsid w:val="00616E05"/>
    <w:rsid w:val="00617038"/>
    <w:rsid w:val="00617D08"/>
    <w:rsid w:val="006201D8"/>
    <w:rsid w:val="006220BE"/>
    <w:rsid w:val="006234A1"/>
    <w:rsid w:val="00624093"/>
    <w:rsid w:val="00624621"/>
    <w:rsid w:val="006260B9"/>
    <w:rsid w:val="0062641F"/>
    <w:rsid w:val="006268DB"/>
    <w:rsid w:val="0063164C"/>
    <w:rsid w:val="00632216"/>
    <w:rsid w:val="00632E9D"/>
    <w:rsid w:val="00632ED0"/>
    <w:rsid w:val="00633439"/>
    <w:rsid w:val="00633C4B"/>
    <w:rsid w:val="00633FC5"/>
    <w:rsid w:val="00634060"/>
    <w:rsid w:val="0063504A"/>
    <w:rsid w:val="00635B85"/>
    <w:rsid w:val="006364D7"/>
    <w:rsid w:val="0063677B"/>
    <w:rsid w:val="006370E8"/>
    <w:rsid w:val="006404A7"/>
    <w:rsid w:val="006407C4"/>
    <w:rsid w:val="00642376"/>
    <w:rsid w:val="0064336E"/>
    <w:rsid w:val="006433C0"/>
    <w:rsid w:val="00643DF7"/>
    <w:rsid w:val="0064494D"/>
    <w:rsid w:val="006451E4"/>
    <w:rsid w:val="0064527C"/>
    <w:rsid w:val="006454B0"/>
    <w:rsid w:val="00645B33"/>
    <w:rsid w:val="00646F09"/>
    <w:rsid w:val="006516CB"/>
    <w:rsid w:val="00651DA4"/>
    <w:rsid w:val="00652B1A"/>
    <w:rsid w:val="0065312D"/>
    <w:rsid w:val="00654CDD"/>
    <w:rsid w:val="00654FD7"/>
    <w:rsid w:val="006553A9"/>
    <w:rsid w:val="00655AD6"/>
    <w:rsid w:val="006570DB"/>
    <w:rsid w:val="00657E87"/>
    <w:rsid w:val="00661F18"/>
    <w:rsid w:val="00664803"/>
    <w:rsid w:val="00664A70"/>
    <w:rsid w:val="006658C3"/>
    <w:rsid w:val="00665BA4"/>
    <w:rsid w:val="00666303"/>
    <w:rsid w:val="006666EE"/>
    <w:rsid w:val="00666A0D"/>
    <w:rsid w:val="006673EA"/>
    <w:rsid w:val="00667AF2"/>
    <w:rsid w:val="00670F9F"/>
    <w:rsid w:val="006710C9"/>
    <w:rsid w:val="00672B6F"/>
    <w:rsid w:val="00674B82"/>
    <w:rsid w:val="00674D89"/>
    <w:rsid w:val="00675E37"/>
    <w:rsid w:val="00677BF0"/>
    <w:rsid w:val="00677C8F"/>
    <w:rsid w:val="006807E2"/>
    <w:rsid w:val="0068174E"/>
    <w:rsid w:val="00681DCE"/>
    <w:rsid w:val="0068260E"/>
    <w:rsid w:val="00682F63"/>
    <w:rsid w:val="00684182"/>
    <w:rsid w:val="006860B7"/>
    <w:rsid w:val="006923C8"/>
    <w:rsid w:val="00692BD9"/>
    <w:rsid w:val="0069379F"/>
    <w:rsid w:val="00695BEF"/>
    <w:rsid w:val="00695F6F"/>
    <w:rsid w:val="0069614B"/>
    <w:rsid w:val="006977F6"/>
    <w:rsid w:val="00697A13"/>
    <w:rsid w:val="00697B57"/>
    <w:rsid w:val="006A09EC"/>
    <w:rsid w:val="006A109C"/>
    <w:rsid w:val="006A2FAF"/>
    <w:rsid w:val="006A34A6"/>
    <w:rsid w:val="006A3A94"/>
    <w:rsid w:val="006A3B27"/>
    <w:rsid w:val="006A3C5F"/>
    <w:rsid w:val="006A5C9F"/>
    <w:rsid w:val="006A6CAF"/>
    <w:rsid w:val="006A6E68"/>
    <w:rsid w:val="006A7CA1"/>
    <w:rsid w:val="006B04CE"/>
    <w:rsid w:val="006B07E5"/>
    <w:rsid w:val="006B344A"/>
    <w:rsid w:val="006B3E2B"/>
    <w:rsid w:val="006B3F74"/>
    <w:rsid w:val="006B4638"/>
    <w:rsid w:val="006B5824"/>
    <w:rsid w:val="006B587B"/>
    <w:rsid w:val="006B5E3E"/>
    <w:rsid w:val="006B62C7"/>
    <w:rsid w:val="006B662B"/>
    <w:rsid w:val="006B6814"/>
    <w:rsid w:val="006B7191"/>
    <w:rsid w:val="006B7663"/>
    <w:rsid w:val="006B76D8"/>
    <w:rsid w:val="006B7835"/>
    <w:rsid w:val="006B78D8"/>
    <w:rsid w:val="006C0FD2"/>
    <w:rsid w:val="006C113F"/>
    <w:rsid w:val="006C123E"/>
    <w:rsid w:val="006C4CE3"/>
    <w:rsid w:val="006C4EB1"/>
    <w:rsid w:val="006C56D4"/>
    <w:rsid w:val="006C6924"/>
    <w:rsid w:val="006C7CA6"/>
    <w:rsid w:val="006D13B3"/>
    <w:rsid w:val="006D239F"/>
    <w:rsid w:val="006D3CAD"/>
    <w:rsid w:val="006D3E8A"/>
    <w:rsid w:val="006D61F6"/>
    <w:rsid w:val="006D62A4"/>
    <w:rsid w:val="006D6949"/>
    <w:rsid w:val="006D7729"/>
    <w:rsid w:val="006D7BE4"/>
    <w:rsid w:val="006E0015"/>
    <w:rsid w:val="006E08A2"/>
    <w:rsid w:val="006E279A"/>
    <w:rsid w:val="006E30E8"/>
    <w:rsid w:val="006E313B"/>
    <w:rsid w:val="006E373D"/>
    <w:rsid w:val="006E3A47"/>
    <w:rsid w:val="006E3DD1"/>
    <w:rsid w:val="006E54D9"/>
    <w:rsid w:val="006E5FB9"/>
    <w:rsid w:val="006E6E30"/>
    <w:rsid w:val="006F1785"/>
    <w:rsid w:val="006F301A"/>
    <w:rsid w:val="006F3AA7"/>
    <w:rsid w:val="006F4367"/>
    <w:rsid w:val="006F5297"/>
    <w:rsid w:val="006F5416"/>
    <w:rsid w:val="006F552E"/>
    <w:rsid w:val="006F699B"/>
    <w:rsid w:val="006F7137"/>
    <w:rsid w:val="006F77D2"/>
    <w:rsid w:val="006F7905"/>
    <w:rsid w:val="0070026E"/>
    <w:rsid w:val="00700957"/>
    <w:rsid w:val="00701C4D"/>
    <w:rsid w:val="00701C87"/>
    <w:rsid w:val="007022B1"/>
    <w:rsid w:val="00702898"/>
    <w:rsid w:val="00706AD4"/>
    <w:rsid w:val="0071105F"/>
    <w:rsid w:val="0071158F"/>
    <w:rsid w:val="00713981"/>
    <w:rsid w:val="00713F05"/>
    <w:rsid w:val="007140BE"/>
    <w:rsid w:val="007154FE"/>
    <w:rsid w:val="00715E9E"/>
    <w:rsid w:val="00717956"/>
    <w:rsid w:val="00720D36"/>
    <w:rsid w:val="007211F5"/>
    <w:rsid w:val="0072146A"/>
    <w:rsid w:val="007222D7"/>
    <w:rsid w:val="00722415"/>
    <w:rsid w:val="00722C5D"/>
    <w:rsid w:val="00725AC6"/>
    <w:rsid w:val="00725BB5"/>
    <w:rsid w:val="0073087E"/>
    <w:rsid w:val="00730AE8"/>
    <w:rsid w:val="00731340"/>
    <w:rsid w:val="00731A06"/>
    <w:rsid w:val="00731B32"/>
    <w:rsid w:val="00732921"/>
    <w:rsid w:val="0073395D"/>
    <w:rsid w:val="0073433F"/>
    <w:rsid w:val="00735379"/>
    <w:rsid w:val="00735AB8"/>
    <w:rsid w:val="0073791B"/>
    <w:rsid w:val="0074004B"/>
    <w:rsid w:val="007405F4"/>
    <w:rsid w:val="00740C84"/>
    <w:rsid w:val="00741493"/>
    <w:rsid w:val="00741A72"/>
    <w:rsid w:val="00742447"/>
    <w:rsid w:val="00742BD7"/>
    <w:rsid w:val="007501EE"/>
    <w:rsid w:val="00751E0A"/>
    <w:rsid w:val="00752180"/>
    <w:rsid w:val="0075221A"/>
    <w:rsid w:val="00753751"/>
    <w:rsid w:val="00755202"/>
    <w:rsid w:val="00755D3A"/>
    <w:rsid w:val="00756AE1"/>
    <w:rsid w:val="007578D3"/>
    <w:rsid w:val="0076070B"/>
    <w:rsid w:val="007609C6"/>
    <w:rsid w:val="0076126C"/>
    <w:rsid w:val="0076175D"/>
    <w:rsid w:val="00762603"/>
    <w:rsid w:val="0076310A"/>
    <w:rsid w:val="007633CC"/>
    <w:rsid w:val="0076521E"/>
    <w:rsid w:val="0076529D"/>
    <w:rsid w:val="00765793"/>
    <w:rsid w:val="007659ED"/>
    <w:rsid w:val="00765B47"/>
    <w:rsid w:val="00765BA7"/>
    <w:rsid w:val="00765F04"/>
    <w:rsid w:val="007661E9"/>
    <w:rsid w:val="00767B3C"/>
    <w:rsid w:val="00770DD4"/>
    <w:rsid w:val="00771D95"/>
    <w:rsid w:val="00773379"/>
    <w:rsid w:val="00776169"/>
    <w:rsid w:val="00776527"/>
    <w:rsid w:val="00776F31"/>
    <w:rsid w:val="00780EF1"/>
    <w:rsid w:val="00781745"/>
    <w:rsid w:val="00782784"/>
    <w:rsid w:val="007831E0"/>
    <w:rsid w:val="007841B6"/>
    <w:rsid w:val="00784B84"/>
    <w:rsid w:val="007903A3"/>
    <w:rsid w:val="00790764"/>
    <w:rsid w:val="00790972"/>
    <w:rsid w:val="00792EB2"/>
    <w:rsid w:val="00793419"/>
    <w:rsid w:val="007938D3"/>
    <w:rsid w:val="0079453C"/>
    <w:rsid w:val="00794677"/>
    <w:rsid w:val="007956AD"/>
    <w:rsid w:val="007956EF"/>
    <w:rsid w:val="007A16C8"/>
    <w:rsid w:val="007A1B32"/>
    <w:rsid w:val="007A3022"/>
    <w:rsid w:val="007A30FB"/>
    <w:rsid w:val="007A34B4"/>
    <w:rsid w:val="007A4E6F"/>
    <w:rsid w:val="007A54FF"/>
    <w:rsid w:val="007B01D8"/>
    <w:rsid w:val="007B2668"/>
    <w:rsid w:val="007B5B0F"/>
    <w:rsid w:val="007B604A"/>
    <w:rsid w:val="007B6689"/>
    <w:rsid w:val="007B733B"/>
    <w:rsid w:val="007B74A0"/>
    <w:rsid w:val="007C0AA1"/>
    <w:rsid w:val="007C22C3"/>
    <w:rsid w:val="007C6B44"/>
    <w:rsid w:val="007C72C1"/>
    <w:rsid w:val="007D125D"/>
    <w:rsid w:val="007D1B7E"/>
    <w:rsid w:val="007D21F0"/>
    <w:rsid w:val="007D3B04"/>
    <w:rsid w:val="007D40DF"/>
    <w:rsid w:val="007D612B"/>
    <w:rsid w:val="007E23ED"/>
    <w:rsid w:val="007E2727"/>
    <w:rsid w:val="007E58B7"/>
    <w:rsid w:val="007E7243"/>
    <w:rsid w:val="007E7E61"/>
    <w:rsid w:val="007F0845"/>
    <w:rsid w:val="007F194B"/>
    <w:rsid w:val="007F4C97"/>
    <w:rsid w:val="007F6A83"/>
    <w:rsid w:val="00800DB2"/>
    <w:rsid w:val="008010C3"/>
    <w:rsid w:val="00802B6D"/>
    <w:rsid w:val="00804B19"/>
    <w:rsid w:val="008059F2"/>
    <w:rsid w:val="00807654"/>
    <w:rsid w:val="00807C82"/>
    <w:rsid w:val="0081263C"/>
    <w:rsid w:val="00812684"/>
    <w:rsid w:val="00813938"/>
    <w:rsid w:val="00815403"/>
    <w:rsid w:val="00815477"/>
    <w:rsid w:val="00815FEC"/>
    <w:rsid w:val="00816905"/>
    <w:rsid w:val="00817A1B"/>
    <w:rsid w:val="00821884"/>
    <w:rsid w:val="00821FF6"/>
    <w:rsid w:val="00824DB9"/>
    <w:rsid w:val="00825C4D"/>
    <w:rsid w:val="00827100"/>
    <w:rsid w:val="00830044"/>
    <w:rsid w:val="0083143E"/>
    <w:rsid w:val="00831CDE"/>
    <w:rsid w:val="00834304"/>
    <w:rsid w:val="00834CD6"/>
    <w:rsid w:val="00834F4F"/>
    <w:rsid w:val="00834FAA"/>
    <w:rsid w:val="00836086"/>
    <w:rsid w:val="008360C2"/>
    <w:rsid w:val="008366E2"/>
    <w:rsid w:val="00836895"/>
    <w:rsid w:val="00836E97"/>
    <w:rsid w:val="00837D7F"/>
    <w:rsid w:val="0084142F"/>
    <w:rsid w:val="00841E1A"/>
    <w:rsid w:val="00843064"/>
    <w:rsid w:val="0084708F"/>
    <w:rsid w:val="008477C8"/>
    <w:rsid w:val="00847E93"/>
    <w:rsid w:val="0085114D"/>
    <w:rsid w:val="00852217"/>
    <w:rsid w:val="00854339"/>
    <w:rsid w:val="00855408"/>
    <w:rsid w:val="00856D65"/>
    <w:rsid w:val="00860C80"/>
    <w:rsid w:val="00861B41"/>
    <w:rsid w:val="00862220"/>
    <w:rsid w:val="0086313E"/>
    <w:rsid w:val="0086319A"/>
    <w:rsid w:val="00863434"/>
    <w:rsid w:val="00864C0B"/>
    <w:rsid w:val="00864F46"/>
    <w:rsid w:val="00865E4C"/>
    <w:rsid w:val="008701E4"/>
    <w:rsid w:val="00871103"/>
    <w:rsid w:val="0087240B"/>
    <w:rsid w:val="00873935"/>
    <w:rsid w:val="00873994"/>
    <w:rsid w:val="00875A32"/>
    <w:rsid w:val="00875FFA"/>
    <w:rsid w:val="00876086"/>
    <w:rsid w:val="00877979"/>
    <w:rsid w:val="008807E3"/>
    <w:rsid w:val="00880A35"/>
    <w:rsid w:val="00882B1B"/>
    <w:rsid w:val="00882BF5"/>
    <w:rsid w:val="00884775"/>
    <w:rsid w:val="008852CE"/>
    <w:rsid w:val="00885CEB"/>
    <w:rsid w:val="00886579"/>
    <w:rsid w:val="008873D4"/>
    <w:rsid w:val="0088772F"/>
    <w:rsid w:val="00887B74"/>
    <w:rsid w:val="00890D10"/>
    <w:rsid w:val="00892666"/>
    <w:rsid w:val="00893536"/>
    <w:rsid w:val="0089366C"/>
    <w:rsid w:val="00893B21"/>
    <w:rsid w:val="00893E85"/>
    <w:rsid w:val="00894031"/>
    <w:rsid w:val="00894870"/>
    <w:rsid w:val="008963FC"/>
    <w:rsid w:val="00897C20"/>
    <w:rsid w:val="008A13EC"/>
    <w:rsid w:val="008A25CE"/>
    <w:rsid w:val="008A2A8C"/>
    <w:rsid w:val="008A5644"/>
    <w:rsid w:val="008A6526"/>
    <w:rsid w:val="008A6EE5"/>
    <w:rsid w:val="008B0A24"/>
    <w:rsid w:val="008B21CB"/>
    <w:rsid w:val="008B2202"/>
    <w:rsid w:val="008B365B"/>
    <w:rsid w:val="008B4863"/>
    <w:rsid w:val="008B7C02"/>
    <w:rsid w:val="008B7D2B"/>
    <w:rsid w:val="008C0049"/>
    <w:rsid w:val="008C0A7B"/>
    <w:rsid w:val="008C0E88"/>
    <w:rsid w:val="008C52BF"/>
    <w:rsid w:val="008C549D"/>
    <w:rsid w:val="008C6728"/>
    <w:rsid w:val="008C7D37"/>
    <w:rsid w:val="008D18E2"/>
    <w:rsid w:val="008D1E6A"/>
    <w:rsid w:val="008D2A16"/>
    <w:rsid w:val="008D31F0"/>
    <w:rsid w:val="008D3516"/>
    <w:rsid w:val="008D6FD8"/>
    <w:rsid w:val="008E023A"/>
    <w:rsid w:val="008E05FD"/>
    <w:rsid w:val="008E12DF"/>
    <w:rsid w:val="008E2C57"/>
    <w:rsid w:val="008E31FF"/>
    <w:rsid w:val="008E3235"/>
    <w:rsid w:val="008E3CB1"/>
    <w:rsid w:val="008E5CFB"/>
    <w:rsid w:val="008E6F06"/>
    <w:rsid w:val="008E705E"/>
    <w:rsid w:val="008E754A"/>
    <w:rsid w:val="008E7D85"/>
    <w:rsid w:val="008F004C"/>
    <w:rsid w:val="008F029B"/>
    <w:rsid w:val="008F3FC9"/>
    <w:rsid w:val="008F42B7"/>
    <w:rsid w:val="008F47E2"/>
    <w:rsid w:val="008F585B"/>
    <w:rsid w:val="008F6367"/>
    <w:rsid w:val="008F780E"/>
    <w:rsid w:val="008F7E24"/>
    <w:rsid w:val="009003A8"/>
    <w:rsid w:val="00900550"/>
    <w:rsid w:val="00901D86"/>
    <w:rsid w:val="00902500"/>
    <w:rsid w:val="00902EFF"/>
    <w:rsid w:val="00904983"/>
    <w:rsid w:val="00904E72"/>
    <w:rsid w:val="00906401"/>
    <w:rsid w:val="009074E8"/>
    <w:rsid w:val="009075C8"/>
    <w:rsid w:val="0091155E"/>
    <w:rsid w:val="00912A92"/>
    <w:rsid w:val="00912AD6"/>
    <w:rsid w:val="0091466D"/>
    <w:rsid w:val="00916EE4"/>
    <w:rsid w:val="0091728D"/>
    <w:rsid w:val="009174F7"/>
    <w:rsid w:val="0092180B"/>
    <w:rsid w:val="00921F14"/>
    <w:rsid w:val="00923EA3"/>
    <w:rsid w:val="00924AC8"/>
    <w:rsid w:val="0092597A"/>
    <w:rsid w:val="009259F5"/>
    <w:rsid w:val="00925C1C"/>
    <w:rsid w:val="0092600D"/>
    <w:rsid w:val="00930BC3"/>
    <w:rsid w:val="00931C19"/>
    <w:rsid w:val="00932443"/>
    <w:rsid w:val="0093382F"/>
    <w:rsid w:val="00934D79"/>
    <w:rsid w:val="00935421"/>
    <w:rsid w:val="00937AE2"/>
    <w:rsid w:val="0094189C"/>
    <w:rsid w:val="00941CE5"/>
    <w:rsid w:val="0094280E"/>
    <w:rsid w:val="0094410E"/>
    <w:rsid w:val="0094427A"/>
    <w:rsid w:val="00944573"/>
    <w:rsid w:val="0094522B"/>
    <w:rsid w:val="00945D0F"/>
    <w:rsid w:val="00951581"/>
    <w:rsid w:val="00952599"/>
    <w:rsid w:val="00953C4E"/>
    <w:rsid w:val="00954BA2"/>
    <w:rsid w:val="009556DE"/>
    <w:rsid w:val="00960808"/>
    <w:rsid w:val="00963892"/>
    <w:rsid w:val="009645CE"/>
    <w:rsid w:val="0096493A"/>
    <w:rsid w:val="009711BA"/>
    <w:rsid w:val="009733DC"/>
    <w:rsid w:val="00974923"/>
    <w:rsid w:val="00975656"/>
    <w:rsid w:val="00977C97"/>
    <w:rsid w:val="00977F66"/>
    <w:rsid w:val="00980D3D"/>
    <w:rsid w:val="0098262F"/>
    <w:rsid w:val="00986F1E"/>
    <w:rsid w:val="0098750E"/>
    <w:rsid w:val="00987A30"/>
    <w:rsid w:val="009917A8"/>
    <w:rsid w:val="00992CC8"/>
    <w:rsid w:val="00992CF3"/>
    <w:rsid w:val="00994FCD"/>
    <w:rsid w:val="009964D1"/>
    <w:rsid w:val="00996564"/>
    <w:rsid w:val="009968D6"/>
    <w:rsid w:val="00997355"/>
    <w:rsid w:val="009974DB"/>
    <w:rsid w:val="009A1CAB"/>
    <w:rsid w:val="009A3659"/>
    <w:rsid w:val="009A53E6"/>
    <w:rsid w:val="009A599D"/>
    <w:rsid w:val="009A5B97"/>
    <w:rsid w:val="009A60D1"/>
    <w:rsid w:val="009A621A"/>
    <w:rsid w:val="009B07FE"/>
    <w:rsid w:val="009B0CED"/>
    <w:rsid w:val="009B1533"/>
    <w:rsid w:val="009B4BBB"/>
    <w:rsid w:val="009B6FD3"/>
    <w:rsid w:val="009C0110"/>
    <w:rsid w:val="009C05F0"/>
    <w:rsid w:val="009C0823"/>
    <w:rsid w:val="009C12E0"/>
    <w:rsid w:val="009C146C"/>
    <w:rsid w:val="009C1750"/>
    <w:rsid w:val="009C2E29"/>
    <w:rsid w:val="009C2FCC"/>
    <w:rsid w:val="009C44E8"/>
    <w:rsid w:val="009C4D89"/>
    <w:rsid w:val="009C516F"/>
    <w:rsid w:val="009C554B"/>
    <w:rsid w:val="009C622B"/>
    <w:rsid w:val="009C719E"/>
    <w:rsid w:val="009D27B3"/>
    <w:rsid w:val="009D3ACD"/>
    <w:rsid w:val="009D4DBD"/>
    <w:rsid w:val="009D72E8"/>
    <w:rsid w:val="009E13D0"/>
    <w:rsid w:val="009E31A6"/>
    <w:rsid w:val="009E48A6"/>
    <w:rsid w:val="009E5273"/>
    <w:rsid w:val="009E55DB"/>
    <w:rsid w:val="009E5DDB"/>
    <w:rsid w:val="009E7A45"/>
    <w:rsid w:val="009F2832"/>
    <w:rsid w:val="009F30F9"/>
    <w:rsid w:val="009F37AD"/>
    <w:rsid w:val="009F49E6"/>
    <w:rsid w:val="009F4CA7"/>
    <w:rsid w:val="009F588A"/>
    <w:rsid w:val="009F5C7F"/>
    <w:rsid w:val="009F5E33"/>
    <w:rsid w:val="009F7847"/>
    <w:rsid w:val="009F7BB7"/>
    <w:rsid w:val="00A004E5"/>
    <w:rsid w:val="00A00AC9"/>
    <w:rsid w:val="00A00CF7"/>
    <w:rsid w:val="00A018F8"/>
    <w:rsid w:val="00A02710"/>
    <w:rsid w:val="00A0280F"/>
    <w:rsid w:val="00A06181"/>
    <w:rsid w:val="00A10D66"/>
    <w:rsid w:val="00A112A7"/>
    <w:rsid w:val="00A12E2A"/>
    <w:rsid w:val="00A14114"/>
    <w:rsid w:val="00A14E31"/>
    <w:rsid w:val="00A1585F"/>
    <w:rsid w:val="00A16413"/>
    <w:rsid w:val="00A16C53"/>
    <w:rsid w:val="00A16CE7"/>
    <w:rsid w:val="00A2193F"/>
    <w:rsid w:val="00A23E43"/>
    <w:rsid w:val="00A27910"/>
    <w:rsid w:val="00A30E5C"/>
    <w:rsid w:val="00A30F65"/>
    <w:rsid w:val="00A3383C"/>
    <w:rsid w:val="00A33F18"/>
    <w:rsid w:val="00A3441E"/>
    <w:rsid w:val="00A35EF2"/>
    <w:rsid w:val="00A3710B"/>
    <w:rsid w:val="00A37FEA"/>
    <w:rsid w:val="00A40B86"/>
    <w:rsid w:val="00A414C4"/>
    <w:rsid w:val="00A41848"/>
    <w:rsid w:val="00A418BC"/>
    <w:rsid w:val="00A4294E"/>
    <w:rsid w:val="00A42DB6"/>
    <w:rsid w:val="00A435EE"/>
    <w:rsid w:val="00A4423A"/>
    <w:rsid w:val="00A44369"/>
    <w:rsid w:val="00A4652F"/>
    <w:rsid w:val="00A46DE0"/>
    <w:rsid w:val="00A50C94"/>
    <w:rsid w:val="00A50D73"/>
    <w:rsid w:val="00A51DDF"/>
    <w:rsid w:val="00A52712"/>
    <w:rsid w:val="00A52CAD"/>
    <w:rsid w:val="00A52D43"/>
    <w:rsid w:val="00A53FC7"/>
    <w:rsid w:val="00A54058"/>
    <w:rsid w:val="00A548CB"/>
    <w:rsid w:val="00A550B2"/>
    <w:rsid w:val="00A55EC9"/>
    <w:rsid w:val="00A561D9"/>
    <w:rsid w:val="00A60720"/>
    <w:rsid w:val="00A61485"/>
    <w:rsid w:val="00A6284F"/>
    <w:rsid w:val="00A62CE1"/>
    <w:rsid w:val="00A67066"/>
    <w:rsid w:val="00A6741E"/>
    <w:rsid w:val="00A67DC7"/>
    <w:rsid w:val="00A70738"/>
    <w:rsid w:val="00A70C57"/>
    <w:rsid w:val="00A71BEA"/>
    <w:rsid w:val="00A71D1D"/>
    <w:rsid w:val="00A73293"/>
    <w:rsid w:val="00A75E40"/>
    <w:rsid w:val="00A76BED"/>
    <w:rsid w:val="00A77D1D"/>
    <w:rsid w:val="00A8020D"/>
    <w:rsid w:val="00A805BF"/>
    <w:rsid w:val="00A823F2"/>
    <w:rsid w:val="00A839FC"/>
    <w:rsid w:val="00A83A03"/>
    <w:rsid w:val="00A857C0"/>
    <w:rsid w:val="00A861EB"/>
    <w:rsid w:val="00A862C3"/>
    <w:rsid w:val="00A902A5"/>
    <w:rsid w:val="00A90356"/>
    <w:rsid w:val="00A93898"/>
    <w:rsid w:val="00A93D98"/>
    <w:rsid w:val="00A948B0"/>
    <w:rsid w:val="00A950DD"/>
    <w:rsid w:val="00A9687B"/>
    <w:rsid w:val="00A971C9"/>
    <w:rsid w:val="00AA1911"/>
    <w:rsid w:val="00AA2996"/>
    <w:rsid w:val="00AA2AA4"/>
    <w:rsid w:val="00AA3E75"/>
    <w:rsid w:val="00AA4630"/>
    <w:rsid w:val="00AA52BF"/>
    <w:rsid w:val="00AA559A"/>
    <w:rsid w:val="00AA5DB4"/>
    <w:rsid w:val="00AA6579"/>
    <w:rsid w:val="00AA693E"/>
    <w:rsid w:val="00AB0923"/>
    <w:rsid w:val="00AB0A00"/>
    <w:rsid w:val="00AB143F"/>
    <w:rsid w:val="00AB1F3F"/>
    <w:rsid w:val="00AB2AF1"/>
    <w:rsid w:val="00AB4358"/>
    <w:rsid w:val="00AB51F2"/>
    <w:rsid w:val="00AB6286"/>
    <w:rsid w:val="00AB62D3"/>
    <w:rsid w:val="00AB7033"/>
    <w:rsid w:val="00AB7B84"/>
    <w:rsid w:val="00AB7BBF"/>
    <w:rsid w:val="00AB7D65"/>
    <w:rsid w:val="00AC0616"/>
    <w:rsid w:val="00AC294B"/>
    <w:rsid w:val="00AC4C86"/>
    <w:rsid w:val="00AC754C"/>
    <w:rsid w:val="00AD1C15"/>
    <w:rsid w:val="00AD209E"/>
    <w:rsid w:val="00AD2D2E"/>
    <w:rsid w:val="00AD306C"/>
    <w:rsid w:val="00AD6DBB"/>
    <w:rsid w:val="00AD768A"/>
    <w:rsid w:val="00AE09B3"/>
    <w:rsid w:val="00AE0A8B"/>
    <w:rsid w:val="00AE1A83"/>
    <w:rsid w:val="00AE5B3C"/>
    <w:rsid w:val="00AE7D84"/>
    <w:rsid w:val="00AF0950"/>
    <w:rsid w:val="00AF17BA"/>
    <w:rsid w:val="00AF1DF8"/>
    <w:rsid w:val="00AF39B8"/>
    <w:rsid w:val="00AF3DA5"/>
    <w:rsid w:val="00AF6965"/>
    <w:rsid w:val="00AF7A0F"/>
    <w:rsid w:val="00B0058E"/>
    <w:rsid w:val="00B00913"/>
    <w:rsid w:val="00B01593"/>
    <w:rsid w:val="00B01C79"/>
    <w:rsid w:val="00B0348D"/>
    <w:rsid w:val="00B037DA"/>
    <w:rsid w:val="00B038AF"/>
    <w:rsid w:val="00B052AA"/>
    <w:rsid w:val="00B0562E"/>
    <w:rsid w:val="00B056AD"/>
    <w:rsid w:val="00B108BA"/>
    <w:rsid w:val="00B10A4D"/>
    <w:rsid w:val="00B1498C"/>
    <w:rsid w:val="00B175A0"/>
    <w:rsid w:val="00B17E52"/>
    <w:rsid w:val="00B17E71"/>
    <w:rsid w:val="00B17F98"/>
    <w:rsid w:val="00B17FDE"/>
    <w:rsid w:val="00B203DF"/>
    <w:rsid w:val="00B20D47"/>
    <w:rsid w:val="00B21F69"/>
    <w:rsid w:val="00B22990"/>
    <w:rsid w:val="00B2379C"/>
    <w:rsid w:val="00B2687D"/>
    <w:rsid w:val="00B3002A"/>
    <w:rsid w:val="00B3088D"/>
    <w:rsid w:val="00B32DDB"/>
    <w:rsid w:val="00B34272"/>
    <w:rsid w:val="00B34528"/>
    <w:rsid w:val="00B34C2E"/>
    <w:rsid w:val="00B35F0D"/>
    <w:rsid w:val="00B3602C"/>
    <w:rsid w:val="00B362F8"/>
    <w:rsid w:val="00B36DE0"/>
    <w:rsid w:val="00B37B1B"/>
    <w:rsid w:val="00B402FC"/>
    <w:rsid w:val="00B41620"/>
    <w:rsid w:val="00B42173"/>
    <w:rsid w:val="00B42E53"/>
    <w:rsid w:val="00B4343C"/>
    <w:rsid w:val="00B449F2"/>
    <w:rsid w:val="00B44A02"/>
    <w:rsid w:val="00B45140"/>
    <w:rsid w:val="00B46604"/>
    <w:rsid w:val="00B46EC3"/>
    <w:rsid w:val="00B50DE2"/>
    <w:rsid w:val="00B530CD"/>
    <w:rsid w:val="00B54C6A"/>
    <w:rsid w:val="00B55E92"/>
    <w:rsid w:val="00B55F5E"/>
    <w:rsid w:val="00B56086"/>
    <w:rsid w:val="00B56FAD"/>
    <w:rsid w:val="00B5752D"/>
    <w:rsid w:val="00B5752E"/>
    <w:rsid w:val="00B57558"/>
    <w:rsid w:val="00B62000"/>
    <w:rsid w:val="00B63A11"/>
    <w:rsid w:val="00B64A44"/>
    <w:rsid w:val="00B64C24"/>
    <w:rsid w:val="00B6547C"/>
    <w:rsid w:val="00B6608F"/>
    <w:rsid w:val="00B679FB"/>
    <w:rsid w:val="00B718A3"/>
    <w:rsid w:val="00B71E9B"/>
    <w:rsid w:val="00B72730"/>
    <w:rsid w:val="00B7353E"/>
    <w:rsid w:val="00B73D62"/>
    <w:rsid w:val="00B748F9"/>
    <w:rsid w:val="00B75DBF"/>
    <w:rsid w:val="00B76476"/>
    <w:rsid w:val="00B76D1E"/>
    <w:rsid w:val="00B76D76"/>
    <w:rsid w:val="00B80EC6"/>
    <w:rsid w:val="00B82514"/>
    <w:rsid w:val="00B83E01"/>
    <w:rsid w:val="00B860E7"/>
    <w:rsid w:val="00B86F2B"/>
    <w:rsid w:val="00B87F80"/>
    <w:rsid w:val="00B90C1A"/>
    <w:rsid w:val="00B91EEF"/>
    <w:rsid w:val="00B91EFB"/>
    <w:rsid w:val="00B92D1D"/>
    <w:rsid w:val="00B938AC"/>
    <w:rsid w:val="00B938C5"/>
    <w:rsid w:val="00B93C8E"/>
    <w:rsid w:val="00B94565"/>
    <w:rsid w:val="00B95334"/>
    <w:rsid w:val="00B956EF"/>
    <w:rsid w:val="00B95940"/>
    <w:rsid w:val="00B96687"/>
    <w:rsid w:val="00B96D9F"/>
    <w:rsid w:val="00B96F73"/>
    <w:rsid w:val="00BA04B8"/>
    <w:rsid w:val="00BA25BE"/>
    <w:rsid w:val="00BA336D"/>
    <w:rsid w:val="00BA3A9F"/>
    <w:rsid w:val="00BA425D"/>
    <w:rsid w:val="00BA6A30"/>
    <w:rsid w:val="00BA7826"/>
    <w:rsid w:val="00BA7A5D"/>
    <w:rsid w:val="00BB0623"/>
    <w:rsid w:val="00BB39CA"/>
    <w:rsid w:val="00BB3AC4"/>
    <w:rsid w:val="00BB46F3"/>
    <w:rsid w:val="00BB4CB1"/>
    <w:rsid w:val="00BB4F98"/>
    <w:rsid w:val="00BB5AAD"/>
    <w:rsid w:val="00BB6D19"/>
    <w:rsid w:val="00BC17A1"/>
    <w:rsid w:val="00BC2A0F"/>
    <w:rsid w:val="00BC3A81"/>
    <w:rsid w:val="00BC7154"/>
    <w:rsid w:val="00BD0254"/>
    <w:rsid w:val="00BD0958"/>
    <w:rsid w:val="00BD13E9"/>
    <w:rsid w:val="00BD14F7"/>
    <w:rsid w:val="00BD366B"/>
    <w:rsid w:val="00BD3D11"/>
    <w:rsid w:val="00BD3F9D"/>
    <w:rsid w:val="00BD5301"/>
    <w:rsid w:val="00BD6D50"/>
    <w:rsid w:val="00BD78B2"/>
    <w:rsid w:val="00BD7B58"/>
    <w:rsid w:val="00BE0554"/>
    <w:rsid w:val="00BE18B9"/>
    <w:rsid w:val="00BE1F6D"/>
    <w:rsid w:val="00BE2495"/>
    <w:rsid w:val="00BE3CF1"/>
    <w:rsid w:val="00BE4469"/>
    <w:rsid w:val="00BE6192"/>
    <w:rsid w:val="00BE71D0"/>
    <w:rsid w:val="00BF1578"/>
    <w:rsid w:val="00BF24D8"/>
    <w:rsid w:val="00BF30FB"/>
    <w:rsid w:val="00BF5686"/>
    <w:rsid w:val="00BF65FD"/>
    <w:rsid w:val="00BF72ED"/>
    <w:rsid w:val="00C00E4B"/>
    <w:rsid w:val="00C0393B"/>
    <w:rsid w:val="00C1028C"/>
    <w:rsid w:val="00C1067B"/>
    <w:rsid w:val="00C1290C"/>
    <w:rsid w:val="00C12942"/>
    <w:rsid w:val="00C12B2C"/>
    <w:rsid w:val="00C12EB3"/>
    <w:rsid w:val="00C1308B"/>
    <w:rsid w:val="00C13F68"/>
    <w:rsid w:val="00C141A2"/>
    <w:rsid w:val="00C14A11"/>
    <w:rsid w:val="00C16185"/>
    <w:rsid w:val="00C1637D"/>
    <w:rsid w:val="00C1743E"/>
    <w:rsid w:val="00C21F94"/>
    <w:rsid w:val="00C235DF"/>
    <w:rsid w:val="00C24EDC"/>
    <w:rsid w:val="00C2528B"/>
    <w:rsid w:val="00C25A7D"/>
    <w:rsid w:val="00C25ABA"/>
    <w:rsid w:val="00C26006"/>
    <w:rsid w:val="00C277EA"/>
    <w:rsid w:val="00C27913"/>
    <w:rsid w:val="00C27ECC"/>
    <w:rsid w:val="00C27F43"/>
    <w:rsid w:val="00C30C9D"/>
    <w:rsid w:val="00C327E3"/>
    <w:rsid w:val="00C33B68"/>
    <w:rsid w:val="00C341B5"/>
    <w:rsid w:val="00C3437B"/>
    <w:rsid w:val="00C36A79"/>
    <w:rsid w:val="00C405D4"/>
    <w:rsid w:val="00C4513B"/>
    <w:rsid w:val="00C47FFB"/>
    <w:rsid w:val="00C52E8D"/>
    <w:rsid w:val="00C54118"/>
    <w:rsid w:val="00C54697"/>
    <w:rsid w:val="00C555EF"/>
    <w:rsid w:val="00C55875"/>
    <w:rsid w:val="00C55E1D"/>
    <w:rsid w:val="00C57FFE"/>
    <w:rsid w:val="00C602C4"/>
    <w:rsid w:val="00C60A2C"/>
    <w:rsid w:val="00C6193F"/>
    <w:rsid w:val="00C631B7"/>
    <w:rsid w:val="00C63857"/>
    <w:rsid w:val="00C6626E"/>
    <w:rsid w:val="00C66410"/>
    <w:rsid w:val="00C67120"/>
    <w:rsid w:val="00C701FD"/>
    <w:rsid w:val="00C71935"/>
    <w:rsid w:val="00C73885"/>
    <w:rsid w:val="00C747B1"/>
    <w:rsid w:val="00C753DE"/>
    <w:rsid w:val="00C77051"/>
    <w:rsid w:val="00C807F4"/>
    <w:rsid w:val="00C81D34"/>
    <w:rsid w:val="00C82191"/>
    <w:rsid w:val="00C8365E"/>
    <w:rsid w:val="00C83A7B"/>
    <w:rsid w:val="00C85053"/>
    <w:rsid w:val="00C85154"/>
    <w:rsid w:val="00C853C0"/>
    <w:rsid w:val="00C8621D"/>
    <w:rsid w:val="00C86793"/>
    <w:rsid w:val="00C86C17"/>
    <w:rsid w:val="00C87668"/>
    <w:rsid w:val="00C90CF4"/>
    <w:rsid w:val="00C9146E"/>
    <w:rsid w:val="00C91685"/>
    <w:rsid w:val="00C92EB6"/>
    <w:rsid w:val="00C93389"/>
    <w:rsid w:val="00C93DB3"/>
    <w:rsid w:val="00C93F25"/>
    <w:rsid w:val="00C95684"/>
    <w:rsid w:val="00CA0E5E"/>
    <w:rsid w:val="00CA3288"/>
    <w:rsid w:val="00CA39BB"/>
    <w:rsid w:val="00CA445F"/>
    <w:rsid w:val="00CA69A1"/>
    <w:rsid w:val="00CA6A30"/>
    <w:rsid w:val="00CB070D"/>
    <w:rsid w:val="00CB2EAF"/>
    <w:rsid w:val="00CB30FE"/>
    <w:rsid w:val="00CB3490"/>
    <w:rsid w:val="00CB4223"/>
    <w:rsid w:val="00CB4930"/>
    <w:rsid w:val="00CB4EE3"/>
    <w:rsid w:val="00CB7286"/>
    <w:rsid w:val="00CB7AE5"/>
    <w:rsid w:val="00CC010E"/>
    <w:rsid w:val="00CC166A"/>
    <w:rsid w:val="00CC19EA"/>
    <w:rsid w:val="00CC22F6"/>
    <w:rsid w:val="00CC2555"/>
    <w:rsid w:val="00CC274B"/>
    <w:rsid w:val="00CC2E7D"/>
    <w:rsid w:val="00CC5498"/>
    <w:rsid w:val="00CD10A5"/>
    <w:rsid w:val="00CD1F1A"/>
    <w:rsid w:val="00CD2076"/>
    <w:rsid w:val="00CD2DBC"/>
    <w:rsid w:val="00CD3E9D"/>
    <w:rsid w:val="00CD4296"/>
    <w:rsid w:val="00CD4E99"/>
    <w:rsid w:val="00CD72E6"/>
    <w:rsid w:val="00CD778A"/>
    <w:rsid w:val="00CE2B5A"/>
    <w:rsid w:val="00CE6417"/>
    <w:rsid w:val="00CE670B"/>
    <w:rsid w:val="00CE7911"/>
    <w:rsid w:val="00CF10C5"/>
    <w:rsid w:val="00CF173F"/>
    <w:rsid w:val="00CF325A"/>
    <w:rsid w:val="00CF51EC"/>
    <w:rsid w:val="00CF73AE"/>
    <w:rsid w:val="00CF7F05"/>
    <w:rsid w:val="00D000EE"/>
    <w:rsid w:val="00D010F2"/>
    <w:rsid w:val="00D01D45"/>
    <w:rsid w:val="00D040DD"/>
    <w:rsid w:val="00D06904"/>
    <w:rsid w:val="00D1124E"/>
    <w:rsid w:val="00D112F4"/>
    <w:rsid w:val="00D12FE0"/>
    <w:rsid w:val="00D13986"/>
    <w:rsid w:val="00D13C4B"/>
    <w:rsid w:val="00D1542B"/>
    <w:rsid w:val="00D168DC"/>
    <w:rsid w:val="00D1757E"/>
    <w:rsid w:val="00D17E09"/>
    <w:rsid w:val="00D2125D"/>
    <w:rsid w:val="00D22DF5"/>
    <w:rsid w:val="00D235B7"/>
    <w:rsid w:val="00D25F28"/>
    <w:rsid w:val="00D260E0"/>
    <w:rsid w:val="00D27973"/>
    <w:rsid w:val="00D27E08"/>
    <w:rsid w:val="00D325AC"/>
    <w:rsid w:val="00D33D44"/>
    <w:rsid w:val="00D33FAD"/>
    <w:rsid w:val="00D36B85"/>
    <w:rsid w:val="00D37826"/>
    <w:rsid w:val="00D41AEB"/>
    <w:rsid w:val="00D44E70"/>
    <w:rsid w:val="00D46B17"/>
    <w:rsid w:val="00D47267"/>
    <w:rsid w:val="00D47C38"/>
    <w:rsid w:val="00D47C4B"/>
    <w:rsid w:val="00D47C99"/>
    <w:rsid w:val="00D50A15"/>
    <w:rsid w:val="00D50F46"/>
    <w:rsid w:val="00D50F93"/>
    <w:rsid w:val="00D52644"/>
    <w:rsid w:val="00D527C9"/>
    <w:rsid w:val="00D563AC"/>
    <w:rsid w:val="00D56612"/>
    <w:rsid w:val="00D57D09"/>
    <w:rsid w:val="00D6180C"/>
    <w:rsid w:val="00D61A66"/>
    <w:rsid w:val="00D61D28"/>
    <w:rsid w:val="00D62193"/>
    <w:rsid w:val="00D637CE"/>
    <w:rsid w:val="00D63D46"/>
    <w:rsid w:val="00D63E61"/>
    <w:rsid w:val="00D64A65"/>
    <w:rsid w:val="00D64C05"/>
    <w:rsid w:val="00D66223"/>
    <w:rsid w:val="00D71877"/>
    <w:rsid w:val="00D724DA"/>
    <w:rsid w:val="00D73EA2"/>
    <w:rsid w:val="00D7584B"/>
    <w:rsid w:val="00D76936"/>
    <w:rsid w:val="00D771F6"/>
    <w:rsid w:val="00D8084C"/>
    <w:rsid w:val="00D834AE"/>
    <w:rsid w:val="00D83CE7"/>
    <w:rsid w:val="00D83E86"/>
    <w:rsid w:val="00D86A4E"/>
    <w:rsid w:val="00D92055"/>
    <w:rsid w:val="00D94A6D"/>
    <w:rsid w:val="00D969B7"/>
    <w:rsid w:val="00D976F7"/>
    <w:rsid w:val="00D97D7F"/>
    <w:rsid w:val="00DA0EDA"/>
    <w:rsid w:val="00DA2E0F"/>
    <w:rsid w:val="00DA40D8"/>
    <w:rsid w:val="00DA77A0"/>
    <w:rsid w:val="00DA7C0C"/>
    <w:rsid w:val="00DB16C8"/>
    <w:rsid w:val="00DB22D1"/>
    <w:rsid w:val="00DB2EC8"/>
    <w:rsid w:val="00DB4667"/>
    <w:rsid w:val="00DB704C"/>
    <w:rsid w:val="00DC000D"/>
    <w:rsid w:val="00DC022B"/>
    <w:rsid w:val="00DC05DD"/>
    <w:rsid w:val="00DC09A9"/>
    <w:rsid w:val="00DC3A0E"/>
    <w:rsid w:val="00DC5B3B"/>
    <w:rsid w:val="00DC6E5A"/>
    <w:rsid w:val="00DD11ED"/>
    <w:rsid w:val="00DD129F"/>
    <w:rsid w:val="00DD2F82"/>
    <w:rsid w:val="00DD3D3E"/>
    <w:rsid w:val="00DD45F6"/>
    <w:rsid w:val="00DD488F"/>
    <w:rsid w:val="00DD6484"/>
    <w:rsid w:val="00DD6BF7"/>
    <w:rsid w:val="00DD7862"/>
    <w:rsid w:val="00DE3C36"/>
    <w:rsid w:val="00DE48EF"/>
    <w:rsid w:val="00DE4E5C"/>
    <w:rsid w:val="00DF3E4D"/>
    <w:rsid w:val="00DF42FF"/>
    <w:rsid w:val="00DF58C0"/>
    <w:rsid w:val="00DF5D37"/>
    <w:rsid w:val="00E00351"/>
    <w:rsid w:val="00E00A33"/>
    <w:rsid w:val="00E01C0E"/>
    <w:rsid w:val="00E03F9A"/>
    <w:rsid w:val="00E04694"/>
    <w:rsid w:val="00E04D7F"/>
    <w:rsid w:val="00E05CAF"/>
    <w:rsid w:val="00E06123"/>
    <w:rsid w:val="00E06DF1"/>
    <w:rsid w:val="00E11205"/>
    <w:rsid w:val="00E11D1F"/>
    <w:rsid w:val="00E12B1E"/>
    <w:rsid w:val="00E12B86"/>
    <w:rsid w:val="00E13F3E"/>
    <w:rsid w:val="00E15A9E"/>
    <w:rsid w:val="00E1696B"/>
    <w:rsid w:val="00E16A91"/>
    <w:rsid w:val="00E17262"/>
    <w:rsid w:val="00E17962"/>
    <w:rsid w:val="00E17F0C"/>
    <w:rsid w:val="00E20872"/>
    <w:rsid w:val="00E21EC7"/>
    <w:rsid w:val="00E2436F"/>
    <w:rsid w:val="00E253A2"/>
    <w:rsid w:val="00E2652C"/>
    <w:rsid w:val="00E3309D"/>
    <w:rsid w:val="00E332A1"/>
    <w:rsid w:val="00E336D8"/>
    <w:rsid w:val="00E35989"/>
    <w:rsid w:val="00E35BDC"/>
    <w:rsid w:val="00E430A1"/>
    <w:rsid w:val="00E44BD5"/>
    <w:rsid w:val="00E45E61"/>
    <w:rsid w:val="00E50156"/>
    <w:rsid w:val="00E5207B"/>
    <w:rsid w:val="00E53470"/>
    <w:rsid w:val="00E539F6"/>
    <w:rsid w:val="00E54F8E"/>
    <w:rsid w:val="00E5547C"/>
    <w:rsid w:val="00E56953"/>
    <w:rsid w:val="00E6110C"/>
    <w:rsid w:val="00E6133E"/>
    <w:rsid w:val="00E6402C"/>
    <w:rsid w:val="00E64504"/>
    <w:rsid w:val="00E6519D"/>
    <w:rsid w:val="00E661F7"/>
    <w:rsid w:val="00E669C7"/>
    <w:rsid w:val="00E67696"/>
    <w:rsid w:val="00E71A58"/>
    <w:rsid w:val="00E7225D"/>
    <w:rsid w:val="00E72A7A"/>
    <w:rsid w:val="00E73FC4"/>
    <w:rsid w:val="00E74D0F"/>
    <w:rsid w:val="00E74D2B"/>
    <w:rsid w:val="00E75303"/>
    <w:rsid w:val="00E757DE"/>
    <w:rsid w:val="00E75C94"/>
    <w:rsid w:val="00E76931"/>
    <w:rsid w:val="00E80347"/>
    <w:rsid w:val="00E81580"/>
    <w:rsid w:val="00E817C3"/>
    <w:rsid w:val="00E81FCE"/>
    <w:rsid w:val="00E8347D"/>
    <w:rsid w:val="00E838EA"/>
    <w:rsid w:val="00E865AD"/>
    <w:rsid w:val="00E915A3"/>
    <w:rsid w:val="00E91941"/>
    <w:rsid w:val="00E9248D"/>
    <w:rsid w:val="00E93820"/>
    <w:rsid w:val="00E94E42"/>
    <w:rsid w:val="00E969CA"/>
    <w:rsid w:val="00EA0C68"/>
    <w:rsid w:val="00EA1CAF"/>
    <w:rsid w:val="00EA2D04"/>
    <w:rsid w:val="00EA2FBD"/>
    <w:rsid w:val="00EA32BC"/>
    <w:rsid w:val="00EA39E4"/>
    <w:rsid w:val="00EA7058"/>
    <w:rsid w:val="00EA7BF4"/>
    <w:rsid w:val="00EB2E8C"/>
    <w:rsid w:val="00EB37C9"/>
    <w:rsid w:val="00EB3D95"/>
    <w:rsid w:val="00EB4118"/>
    <w:rsid w:val="00EB4511"/>
    <w:rsid w:val="00EC03D7"/>
    <w:rsid w:val="00EC31E7"/>
    <w:rsid w:val="00EC36B3"/>
    <w:rsid w:val="00EC45B9"/>
    <w:rsid w:val="00EC50FE"/>
    <w:rsid w:val="00EC6BC9"/>
    <w:rsid w:val="00ED2A87"/>
    <w:rsid w:val="00ED2ABF"/>
    <w:rsid w:val="00ED3B8D"/>
    <w:rsid w:val="00ED597A"/>
    <w:rsid w:val="00ED62C6"/>
    <w:rsid w:val="00ED64C1"/>
    <w:rsid w:val="00EE2F87"/>
    <w:rsid w:val="00EE31C4"/>
    <w:rsid w:val="00EE3446"/>
    <w:rsid w:val="00EE3E78"/>
    <w:rsid w:val="00EE4B1B"/>
    <w:rsid w:val="00EE4EE1"/>
    <w:rsid w:val="00EE656A"/>
    <w:rsid w:val="00EE7A4A"/>
    <w:rsid w:val="00EE7B85"/>
    <w:rsid w:val="00EF0591"/>
    <w:rsid w:val="00EF0956"/>
    <w:rsid w:val="00EF0984"/>
    <w:rsid w:val="00EF150D"/>
    <w:rsid w:val="00EF17BF"/>
    <w:rsid w:val="00EF1F5A"/>
    <w:rsid w:val="00EF4629"/>
    <w:rsid w:val="00EF47BF"/>
    <w:rsid w:val="00EF6EA3"/>
    <w:rsid w:val="00F01A2B"/>
    <w:rsid w:val="00F021D4"/>
    <w:rsid w:val="00F03F4E"/>
    <w:rsid w:val="00F03FE3"/>
    <w:rsid w:val="00F04811"/>
    <w:rsid w:val="00F0488C"/>
    <w:rsid w:val="00F04AD5"/>
    <w:rsid w:val="00F04E3A"/>
    <w:rsid w:val="00F05332"/>
    <w:rsid w:val="00F05F5E"/>
    <w:rsid w:val="00F07248"/>
    <w:rsid w:val="00F07E4B"/>
    <w:rsid w:val="00F07F8A"/>
    <w:rsid w:val="00F10620"/>
    <w:rsid w:val="00F10F11"/>
    <w:rsid w:val="00F1444D"/>
    <w:rsid w:val="00F14E8C"/>
    <w:rsid w:val="00F15AAA"/>
    <w:rsid w:val="00F15BEF"/>
    <w:rsid w:val="00F164BE"/>
    <w:rsid w:val="00F17974"/>
    <w:rsid w:val="00F23EEC"/>
    <w:rsid w:val="00F24407"/>
    <w:rsid w:val="00F24FAA"/>
    <w:rsid w:val="00F26541"/>
    <w:rsid w:val="00F27411"/>
    <w:rsid w:val="00F31B73"/>
    <w:rsid w:val="00F334DE"/>
    <w:rsid w:val="00F3364D"/>
    <w:rsid w:val="00F3461A"/>
    <w:rsid w:val="00F34DF4"/>
    <w:rsid w:val="00F359D4"/>
    <w:rsid w:val="00F377AC"/>
    <w:rsid w:val="00F4050C"/>
    <w:rsid w:val="00F40DC7"/>
    <w:rsid w:val="00F42EFA"/>
    <w:rsid w:val="00F437CC"/>
    <w:rsid w:val="00F45BF4"/>
    <w:rsid w:val="00F45EFF"/>
    <w:rsid w:val="00F461F9"/>
    <w:rsid w:val="00F47067"/>
    <w:rsid w:val="00F47258"/>
    <w:rsid w:val="00F47867"/>
    <w:rsid w:val="00F525EB"/>
    <w:rsid w:val="00F54375"/>
    <w:rsid w:val="00F54740"/>
    <w:rsid w:val="00F54B0E"/>
    <w:rsid w:val="00F54DAE"/>
    <w:rsid w:val="00F6043F"/>
    <w:rsid w:val="00F61F91"/>
    <w:rsid w:val="00F62215"/>
    <w:rsid w:val="00F62A5E"/>
    <w:rsid w:val="00F62CED"/>
    <w:rsid w:val="00F63845"/>
    <w:rsid w:val="00F63DDE"/>
    <w:rsid w:val="00F63FB7"/>
    <w:rsid w:val="00F64276"/>
    <w:rsid w:val="00F649D2"/>
    <w:rsid w:val="00F65378"/>
    <w:rsid w:val="00F6563E"/>
    <w:rsid w:val="00F6602B"/>
    <w:rsid w:val="00F66264"/>
    <w:rsid w:val="00F70816"/>
    <w:rsid w:val="00F71A56"/>
    <w:rsid w:val="00F71ADC"/>
    <w:rsid w:val="00F7260E"/>
    <w:rsid w:val="00F73A0C"/>
    <w:rsid w:val="00F756DB"/>
    <w:rsid w:val="00F77390"/>
    <w:rsid w:val="00F821AB"/>
    <w:rsid w:val="00F8307D"/>
    <w:rsid w:val="00F8368E"/>
    <w:rsid w:val="00F85066"/>
    <w:rsid w:val="00F858E3"/>
    <w:rsid w:val="00F875FC"/>
    <w:rsid w:val="00F9190C"/>
    <w:rsid w:val="00F924EA"/>
    <w:rsid w:val="00F92944"/>
    <w:rsid w:val="00F92B12"/>
    <w:rsid w:val="00F943DB"/>
    <w:rsid w:val="00F946B3"/>
    <w:rsid w:val="00F96911"/>
    <w:rsid w:val="00FA08E5"/>
    <w:rsid w:val="00FA2558"/>
    <w:rsid w:val="00FA2684"/>
    <w:rsid w:val="00FA2ED9"/>
    <w:rsid w:val="00FA3CE7"/>
    <w:rsid w:val="00FA5CA6"/>
    <w:rsid w:val="00FA5D4D"/>
    <w:rsid w:val="00FA777B"/>
    <w:rsid w:val="00FB02A6"/>
    <w:rsid w:val="00FB0EE2"/>
    <w:rsid w:val="00FB2027"/>
    <w:rsid w:val="00FB3D2D"/>
    <w:rsid w:val="00FB4F1F"/>
    <w:rsid w:val="00FB542E"/>
    <w:rsid w:val="00FB78B6"/>
    <w:rsid w:val="00FB78DC"/>
    <w:rsid w:val="00FB7D0A"/>
    <w:rsid w:val="00FC0650"/>
    <w:rsid w:val="00FC0E5F"/>
    <w:rsid w:val="00FC1A95"/>
    <w:rsid w:val="00FC3975"/>
    <w:rsid w:val="00FC4217"/>
    <w:rsid w:val="00FC5283"/>
    <w:rsid w:val="00FC56DE"/>
    <w:rsid w:val="00FC684B"/>
    <w:rsid w:val="00FC730C"/>
    <w:rsid w:val="00FC75C9"/>
    <w:rsid w:val="00FD20A6"/>
    <w:rsid w:val="00FD2457"/>
    <w:rsid w:val="00FD279C"/>
    <w:rsid w:val="00FD3265"/>
    <w:rsid w:val="00FD3663"/>
    <w:rsid w:val="00FD3E18"/>
    <w:rsid w:val="00FD4F8F"/>
    <w:rsid w:val="00FD528A"/>
    <w:rsid w:val="00FD5632"/>
    <w:rsid w:val="00FD62B2"/>
    <w:rsid w:val="00FD779A"/>
    <w:rsid w:val="00FD7986"/>
    <w:rsid w:val="00FE0981"/>
    <w:rsid w:val="00FE240F"/>
    <w:rsid w:val="00FE2F78"/>
    <w:rsid w:val="00FE45EF"/>
    <w:rsid w:val="00FE4DAD"/>
    <w:rsid w:val="00FF0A52"/>
    <w:rsid w:val="00FF1A0F"/>
    <w:rsid w:val="00FF4791"/>
    <w:rsid w:val="00FF4D2C"/>
    <w:rsid w:val="00FF718E"/>
    <w:rsid w:val="00FF7835"/>
    <w:rsid w:val="00FF7B96"/>
    <w:rsid w:val="00FF7D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o:colormru v:ext="edit" colors="#ecf4dd,#eaecee,#fcec0a,#fcecdb,#f1daf5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qFormat="1"/>
    <w:lsdException w:name="caption" w:uiPriority="35" w:qFormat="1"/>
    <w:lsdException w:name="List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uiPriority="71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F42FF"/>
    <w:pPr>
      <w:spacing w:after="240" w:line="288" w:lineRule="auto"/>
    </w:pPr>
    <w:rPr>
      <w:rFonts w:ascii="Arial" w:eastAsia="Times New Roman" w:hAnsi="Arial"/>
      <w:szCs w:val="24"/>
      <w:lang w:eastAsia="cs-CZ"/>
    </w:rPr>
  </w:style>
  <w:style w:type="paragraph" w:styleId="Nadpis1">
    <w:name w:val="heading 1"/>
    <w:next w:val="Normln"/>
    <w:link w:val="Nadpis1Char"/>
    <w:uiPriority w:val="9"/>
    <w:qFormat/>
    <w:rsid w:val="00FF1A0F"/>
    <w:pPr>
      <w:keepLines/>
      <w:spacing w:after="100" w:line="288" w:lineRule="auto"/>
      <w:contextualSpacing/>
      <w:outlineLvl w:val="0"/>
    </w:pPr>
    <w:rPr>
      <w:rFonts w:ascii="Arial" w:eastAsia="MS Gothic" w:hAnsi="Arial"/>
      <w:b/>
      <w:bCs/>
      <w:color w:val="C00000"/>
      <w:sz w:val="32"/>
      <w:szCs w:val="28"/>
      <w:lang w:eastAsia="cs-CZ"/>
    </w:rPr>
  </w:style>
  <w:style w:type="paragraph" w:styleId="Nadpis2">
    <w:name w:val="heading 2"/>
    <w:next w:val="Normln"/>
    <w:link w:val="Nadpis2Char"/>
    <w:uiPriority w:val="9"/>
    <w:qFormat/>
    <w:rsid w:val="00F62A5E"/>
    <w:pPr>
      <w:spacing w:line="288" w:lineRule="auto"/>
      <w:outlineLvl w:val="1"/>
    </w:pPr>
    <w:rPr>
      <w:rFonts w:ascii="Arial" w:eastAsia="MS Gothic" w:hAnsi="Arial"/>
      <w:b/>
      <w:bCs/>
      <w:color w:val="BC091B"/>
      <w:sz w:val="28"/>
      <w:szCs w:val="26"/>
      <w:lang w:eastAsia="cs-CZ"/>
    </w:rPr>
  </w:style>
  <w:style w:type="paragraph" w:styleId="Nadpis3">
    <w:name w:val="heading 3"/>
    <w:next w:val="Normln"/>
    <w:link w:val="Nadpis3Char"/>
    <w:uiPriority w:val="9"/>
    <w:qFormat/>
    <w:rsid w:val="004900FF"/>
    <w:pPr>
      <w:keepNext/>
      <w:keepLines/>
      <w:spacing w:line="288" w:lineRule="auto"/>
      <w:outlineLvl w:val="2"/>
    </w:pPr>
    <w:rPr>
      <w:rFonts w:ascii="Arial" w:eastAsia="MS Gothic" w:hAnsi="Arial"/>
      <w:b/>
      <w:bCs/>
      <w:color w:val="BC091B"/>
      <w:sz w:val="24"/>
      <w:szCs w:val="24"/>
      <w:lang w:eastAsia="cs-CZ"/>
    </w:rPr>
  </w:style>
  <w:style w:type="paragraph" w:styleId="Nadpis4">
    <w:name w:val="heading 4"/>
    <w:next w:val="Normln"/>
    <w:link w:val="Nadpis4Char"/>
    <w:uiPriority w:val="9"/>
    <w:qFormat/>
    <w:rsid w:val="004900FF"/>
    <w:pPr>
      <w:keepNext/>
      <w:keepLines/>
      <w:spacing w:line="288" w:lineRule="auto"/>
      <w:outlineLvl w:val="3"/>
    </w:pPr>
    <w:rPr>
      <w:rFonts w:ascii="Arial" w:eastAsia="MS Gothic" w:hAnsi="Arial"/>
      <w:b/>
      <w:bCs/>
      <w:iCs/>
      <w:color w:val="BC091B"/>
      <w:szCs w:val="24"/>
      <w:lang w:eastAsia="cs-CZ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30F65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sid w:val="00FF1A0F"/>
    <w:rPr>
      <w:rFonts w:ascii="Arial" w:eastAsia="MS Gothic" w:hAnsi="Arial"/>
      <w:b/>
      <w:bCs/>
      <w:color w:val="C00000"/>
      <w:sz w:val="32"/>
      <w:szCs w:val="28"/>
      <w:lang w:eastAsia="cs-CZ"/>
    </w:rPr>
  </w:style>
  <w:style w:type="character" w:customStyle="1" w:styleId="Nadpis2Char">
    <w:name w:val="Nadpis 2 Char"/>
    <w:link w:val="Nadpis2"/>
    <w:uiPriority w:val="9"/>
    <w:rsid w:val="00F62A5E"/>
    <w:rPr>
      <w:rFonts w:ascii="Arial" w:eastAsia="MS Gothic" w:hAnsi="Arial"/>
      <w:b/>
      <w:bCs/>
      <w:color w:val="BC091B"/>
      <w:sz w:val="28"/>
      <w:szCs w:val="26"/>
      <w:lang w:eastAsia="cs-CZ"/>
    </w:rPr>
  </w:style>
  <w:style w:type="character" w:customStyle="1" w:styleId="Nadpis3Char">
    <w:name w:val="Nadpis 3 Char"/>
    <w:link w:val="Nadpis3"/>
    <w:uiPriority w:val="9"/>
    <w:rsid w:val="004900FF"/>
    <w:rPr>
      <w:rFonts w:ascii="Arial" w:eastAsia="MS Gothic" w:hAnsi="Arial"/>
      <w:b/>
      <w:bCs/>
      <w:color w:val="BC091B"/>
      <w:sz w:val="24"/>
      <w:szCs w:val="24"/>
    </w:rPr>
  </w:style>
  <w:style w:type="character" w:customStyle="1" w:styleId="Nadpis4Char">
    <w:name w:val="Nadpis 4 Char"/>
    <w:link w:val="Nadpis4"/>
    <w:uiPriority w:val="9"/>
    <w:rsid w:val="004900FF"/>
    <w:rPr>
      <w:rFonts w:ascii="Arial" w:eastAsia="MS Gothic" w:hAnsi="Arial"/>
      <w:b/>
      <w:bCs/>
      <w:iCs/>
      <w:color w:val="BC091B"/>
      <w:szCs w:val="24"/>
    </w:rPr>
  </w:style>
  <w:style w:type="character" w:customStyle="1" w:styleId="Nadpis9Char">
    <w:name w:val="Nadpis 9 Char"/>
    <w:link w:val="Nadpis9"/>
    <w:uiPriority w:val="9"/>
    <w:semiHidden/>
    <w:rsid w:val="00A30F65"/>
    <w:rPr>
      <w:rFonts w:ascii="Cambria" w:eastAsia="Times New Roman" w:hAnsi="Cambria" w:cs="Times New Roman"/>
      <w:sz w:val="22"/>
      <w:szCs w:val="22"/>
    </w:rPr>
  </w:style>
  <w:style w:type="character" w:styleId="Hypertextovodkaz">
    <w:name w:val="Hyperlink"/>
    <w:uiPriority w:val="99"/>
    <w:rsid w:val="00E71A58"/>
    <w:rPr>
      <w:color w:val="0000FF"/>
      <w:u w:val="single"/>
    </w:rPr>
  </w:style>
  <w:style w:type="paragraph" w:styleId="Zhlav">
    <w:name w:val="header"/>
    <w:link w:val="ZhlavChar"/>
    <w:uiPriority w:val="99"/>
    <w:unhideWhenUsed/>
    <w:qFormat/>
    <w:rsid w:val="00A418BC"/>
    <w:pPr>
      <w:spacing w:line="288" w:lineRule="auto"/>
    </w:pPr>
    <w:rPr>
      <w:rFonts w:ascii="Arial" w:hAnsi="Arial"/>
      <w:sz w:val="16"/>
      <w:szCs w:val="22"/>
    </w:rPr>
  </w:style>
  <w:style w:type="character" w:customStyle="1" w:styleId="ZhlavChar">
    <w:name w:val="Záhlaví Char"/>
    <w:link w:val="Zhlav"/>
    <w:uiPriority w:val="99"/>
    <w:rsid w:val="00A418BC"/>
    <w:rPr>
      <w:rFonts w:ascii="Arial" w:hAnsi="Arial"/>
      <w:sz w:val="16"/>
      <w:szCs w:val="22"/>
      <w:lang w:eastAsia="en-US"/>
    </w:rPr>
  </w:style>
  <w:style w:type="paragraph" w:styleId="Zpat">
    <w:name w:val="footer"/>
    <w:link w:val="ZpatChar"/>
    <w:uiPriority w:val="99"/>
    <w:unhideWhenUsed/>
    <w:qFormat/>
    <w:rsid w:val="00031AE0"/>
    <w:pPr>
      <w:tabs>
        <w:tab w:val="center" w:pos="4820"/>
        <w:tab w:val="right" w:pos="9639"/>
      </w:tabs>
    </w:pPr>
    <w:rPr>
      <w:rFonts w:ascii="Arial" w:hAnsi="Arial" w:cs="Arial"/>
      <w:noProof/>
      <w:sz w:val="16"/>
    </w:rPr>
  </w:style>
  <w:style w:type="character" w:customStyle="1" w:styleId="ZpatChar">
    <w:name w:val="Zápatí Char"/>
    <w:link w:val="Zpat"/>
    <w:uiPriority w:val="99"/>
    <w:rsid w:val="00031AE0"/>
    <w:rPr>
      <w:rFonts w:ascii="Arial" w:hAnsi="Arial" w:cs="Arial"/>
      <w:noProof/>
      <w:sz w:val="16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71A58"/>
    <w:rPr>
      <w:rFonts w:ascii="Tahoma" w:eastAsia="Calibri" w:hAnsi="Tahoma"/>
      <w:sz w:val="16"/>
      <w:szCs w:val="16"/>
      <w:lang w:val="x-none" w:eastAsia="x-none"/>
    </w:rPr>
  </w:style>
  <w:style w:type="character" w:customStyle="1" w:styleId="TextbublinyChar">
    <w:name w:val="Text bubliny Char"/>
    <w:link w:val="Textbubliny"/>
    <w:uiPriority w:val="99"/>
    <w:semiHidden/>
    <w:rsid w:val="00E71A58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link w:val="ZkladnodstavecChar"/>
    <w:uiPriority w:val="99"/>
    <w:rsid w:val="0008263E"/>
    <w:pPr>
      <w:autoSpaceDE w:val="0"/>
      <w:autoSpaceDN w:val="0"/>
      <w:adjustRightInd w:val="0"/>
      <w:spacing w:line="276" w:lineRule="auto"/>
      <w:textAlignment w:val="center"/>
    </w:pPr>
    <w:rPr>
      <w:rFonts w:ascii="Arial" w:hAnsi="Arial" w:cs="Minion Pro"/>
      <w:color w:val="000000"/>
      <w:szCs w:val="24"/>
      <w:lang w:eastAsia="cs-CZ"/>
    </w:rPr>
  </w:style>
  <w:style w:type="character" w:customStyle="1" w:styleId="ZkladnodstavecChar">
    <w:name w:val="[Základní odstavec] Char"/>
    <w:link w:val="Zkladnodstavec"/>
    <w:uiPriority w:val="99"/>
    <w:rsid w:val="0008263E"/>
    <w:rPr>
      <w:rFonts w:ascii="Arial" w:hAnsi="Arial" w:cs="Minion Pro"/>
      <w:color w:val="000000"/>
      <w:szCs w:val="24"/>
    </w:rPr>
  </w:style>
  <w:style w:type="paragraph" w:styleId="Obsah1">
    <w:name w:val="toc 1"/>
    <w:basedOn w:val="Obsahpoloky"/>
    <w:next w:val="Obsahpoloky"/>
    <w:autoRedefine/>
    <w:uiPriority w:val="39"/>
    <w:unhideWhenUsed/>
    <w:rsid w:val="00FC1A95"/>
  </w:style>
  <w:style w:type="paragraph" w:customStyle="1" w:styleId="TLIdentifikace-sted">
    <w:name w:val="TL Identifikace - střed"/>
    <w:qFormat/>
    <w:rsid w:val="009A60D1"/>
    <w:pPr>
      <w:spacing w:after="200" w:line="288" w:lineRule="auto"/>
    </w:pPr>
    <w:rPr>
      <w:rFonts w:ascii="Arial" w:eastAsia="Times New Roman" w:hAnsi="Arial"/>
      <w:sz w:val="24"/>
      <w:szCs w:val="24"/>
      <w:lang w:eastAsia="cs-CZ"/>
    </w:rPr>
  </w:style>
  <w:style w:type="paragraph" w:customStyle="1" w:styleId="Obsah">
    <w:name w:val="Obsah"/>
    <w:next w:val="Normln"/>
    <w:qFormat/>
    <w:rsid w:val="004900FF"/>
    <w:pPr>
      <w:spacing w:after="80" w:line="288" w:lineRule="auto"/>
    </w:pPr>
    <w:rPr>
      <w:rFonts w:ascii="Arial" w:eastAsia="Times New Roman" w:hAnsi="Arial"/>
      <w:b/>
      <w:color w:val="BC091B"/>
      <w:sz w:val="32"/>
      <w:szCs w:val="24"/>
      <w:lang w:eastAsia="cs-CZ"/>
    </w:rPr>
  </w:style>
  <w:style w:type="paragraph" w:customStyle="1" w:styleId="Obsahpoloky">
    <w:name w:val="Obsah položky"/>
    <w:qFormat/>
    <w:rsid w:val="00616E05"/>
    <w:pPr>
      <w:tabs>
        <w:tab w:val="right" w:leader="dot" w:pos="9639"/>
      </w:tabs>
      <w:spacing w:line="288" w:lineRule="auto"/>
    </w:pPr>
    <w:rPr>
      <w:rFonts w:ascii="Arial" w:eastAsia="Times New Roman" w:hAnsi="Arial"/>
      <w:szCs w:val="24"/>
      <w:lang w:eastAsia="cs-CZ"/>
    </w:rPr>
  </w:style>
  <w:style w:type="paragraph" w:customStyle="1" w:styleId="Box1">
    <w:name w:val="Box 1"/>
    <w:next w:val="Normln"/>
    <w:qFormat/>
    <w:rsid w:val="004900FF"/>
    <w:pPr>
      <w:shd w:val="clear" w:color="auto" w:fill="F5DADD"/>
      <w:spacing w:before="240" w:after="240" w:line="288" w:lineRule="auto"/>
      <w:ind w:left="709"/>
      <w:contextualSpacing/>
    </w:pPr>
    <w:rPr>
      <w:rFonts w:ascii="Arial" w:hAnsi="Arial" w:cs="Arial"/>
      <w:lang w:eastAsia="cs-CZ"/>
    </w:rPr>
  </w:style>
  <w:style w:type="paragraph" w:customStyle="1" w:styleId="Box2">
    <w:name w:val="Box 2"/>
    <w:qFormat/>
    <w:rsid w:val="004900FF"/>
    <w:pPr>
      <w:spacing w:before="240" w:after="240" w:line="288" w:lineRule="auto"/>
      <w:ind w:left="709"/>
      <w:contextualSpacing/>
    </w:pPr>
    <w:rPr>
      <w:rFonts w:ascii="Arial" w:hAnsi="Arial" w:cs="Arial"/>
      <w:color w:val="BC091B"/>
      <w:lang w:eastAsia="cs-CZ"/>
    </w:rPr>
  </w:style>
  <w:style w:type="paragraph" w:styleId="Seznam">
    <w:name w:val="List"/>
    <w:basedOn w:val="Normln"/>
    <w:uiPriority w:val="99"/>
    <w:unhideWhenUsed/>
    <w:qFormat/>
    <w:rsid w:val="00481E40"/>
    <w:pPr>
      <w:contextualSpacing/>
    </w:pPr>
  </w:style>
  <w:style w:type="character" w:styleId="Siln">
    <w:name w:val="Strong"/>
    <w:aliases w:val="Tučné"/>
    <w:uiPriority w:val="22"/>
    <w:qFormat/>
    <w:rsid w:val="00EC03D7"/>
    <w:rPr>
      <w:rFonts w:ascii="Arial" w:hAnsi="Arial"/>
      <w:b/>
      <w:bCs/>
      <w:sz w:val="20"/>
    </w:rPr>
  </w:style>
  <w:style w:type="paragraph" w:customStyle="1" w:styleId="TLKontaktyerven">
    <w:name w:val="TL Kontakty červené"/>
    <w:basedOn w:val="Normln"/>
    <w:qFormat/>
    <w:rsid w:val="00104C4C"/>
    <w:pPr>
      <w:spacing w:after="40"/>
      <w:contextualSpacing/>
    </w:pPr>
    <w:rPr>
      <w:b/>
      <w:caps/>
      <w:color w:val="BD1B21"/>
      <w:sz w:val="24"/>
    </w:rPr>
  </w:style>
  <w:style w:type="paragraph" w:customStyle="1" w:styleId="TLKontakty">
    <w:name w:val="TL Kontakty"/>
    <w:qFormat/>
    <w:rsid w:val="008E6F06"/>
    <w:pPr>
      <w:spacing w:after="160" w:line="259" w:lineRule="auto"/>
      <w:contextualSpacing/>
    </w:pPr>
    <w:rPr>
      <w:rFonts w:ascii="Arial" w:eastAsia="Times New Roman" w:hAnsi="Arial"/>
      <w:b/>
      <w:color w:val="0071BC"/>
      <w:lang w:eastAsia="cs-CZ"/>
    </w:rPr>
  </w:style>
  <w:style w:type="paragraph" w:styleId="Nzev">
    <w:name w:val="Title"/>
    <w:link w:val="NzevChar"/>
    <w:uiPriority w:val="10"/>
    <w:qFormat/>
    <w:rsid w:val="004900FF"/>
    <w:pPr>
      <w:spacing w:line="288" w:lineRule="auto"/>
    </w:pPr>
    <w:rPr>
      <w:rFonts w:ascii="Arial" w:eastAsia="Times New Roman" w:hAnsi="Arial"/>
      <w:b/>
      <w:bCs/>
      <w:caps/>
      <w:color w:val="BC091B"/>
      <w:kern w:val="28"/>
      <w:sz w:val="56"/>
      <w:szCs w:val="32"/>
      <w:lang w:eastAsia="cs-CZ"/>
    </w:rPr>
  </w:style>
  <w:style w:type="character" w:customStyle="1" w:styleId="NzevChar">
    <w:name w:val="Název Char"/>
    <w:link w:val="Nzev"/>
    <w:uiPriority w:val="10"/>
    <w:rsid w:val="004900FF"/>
    <w:rPr>
      <w:rFonts w:ascii="Arial" w:eastAsia="Times New Roman" w:hAnsi="Arial"/>
      <w:b/>
      <w:bCs/>
      <w:caps/>
      <w:color w:val="BC091B"/>
      <w:kern w:val="28"/>
      <w:sz w:val="56"/>
      <w:szCs w:val="32"/>
    </w:rPr>
  </w:style>
  <w:style w:type="paragraph" w:styleId="Podtitul">
    <w:name w:val="Subtitle"/>
    <w:link w:val="PodtitulChar"/>
    <w:uiPriority w:val="11"/>
    <w:qFormat/>
    <w:rsid w:val="004900FF"/>
    <w:pPr>
      <w:spacing w:line="288" w:lineRule="auto"/>
    </w:pPr>
    <w:rPr>
      <w:rFonts w:ascii="Arial" w:eastAsia="Times New Roman" w:hAnsi="Arial" w:cs="Arial"/>
      <w:b/>
      <w:color w:val="BC091B"/>
      <w:sz w:val="28"/>
      <w:szCs w:val="24"/>
      <w:lang w:eastAsia="cs-CZ"/>
    </w:rPr>
  </w:style>
  <w:style w:type="character" w:customStyle="1" w:styleId="PodtitulChar">
    <w:name w:val="Podtitul Char"/>
    <w:link w:val="Podtitul"/>
    <w:uiPriority w:val="11"/>
    <w:rsid w:val="004900FF"/>
    <w:rPr>
      <w:rFonts w:ascii="Arial" w:eastAsia="Times New Roman" w:hAnsi="Arial" w:cs="Arial"/>
      <w:b/>
      <w:color w:val="BC091B"/>
      <w:sz w:val="28"/>
      <w:szCs w:val="24"/>
    </w:rPr>
  </w:style>
  <w:style w:type="paragraph" w:styleId="Obsah2">
    <w:name w:val="toc 2"/>
    <w:basedOn w:val="Obsahpoloky"/>
    <w:next w:val="Obsahpoloky"/>
    <w:autoRedefine/>
    <w:uiPriority w:val="39"/>
    <w:unhideWhenUsed/>
    <w:rsid w:val="00FC1A95"/>
    <w:pPr>
      <w:ind w:left="200"/>
    </w:pPr>
  </w:style>
  <w:style w:type="paragraph" w:styleId="Obsah3">
    <w:name w:val="toc 3"/>
    <w:basedOn w:val="Obsahpoloky"/>
    <w:next w:val="Obsahpoloky"/>
    <w:autoRedefine/>
    <w:uiPriority w:val="39"/>
    <w:unhideWhenUsed/>
    <w:rsid w:val="00FC1A95"/>
    <w:pPr>
      <w:ind w:left="400"/>
    </w:pPr>
  </w:style>
  <w:style w:type="paragraph" w:styleId="Obsah4">
    <w:name w:val="toc 4"/>
    <w:basedOn w:val="Obsahpoloky"/>
    <w:next w:val="Obsahpoloky"/>
    <w:autoRedefine/>
    <w:uiPriority w:val="39"/>
    <w:unhideWhenUsed/>
    <w:rsid w:val="00FC1A95"/>
    <w:pPr>
      <w:ind w:left="600"/>
    </w:pPr>
  </w:style>
  <w:style w:type="paragraph" w:styleId="Obsah5">
    <w:name w:val="toc 5"/>
    <w:basedOn w:val="Obsahpoloky"/>
    <w:next w:val="Obsahpoloky"/>
    <w:autoRedefine/>
    <w:uiPriority w:val="39"/>
    <w:semiHidden/>
    <w:unhideWhenUsed/>
    <w:rsid w:val="00FC1A95"/>
    <w:pPr>
      <w:ind w:left="800"/>
    </w:pPr>
  </w:style>
  <w:style w:type="paragraph" w:styleId="Obsah6">
    <w:name w:val="toc 6"/>
    <w:basedOn w:val="Obsahpoloky"/>
    <w:next w:val="Obsahpoloky"/>
    <w:autoRedefine/>
    <w:uiPriority w:val="39"/>
    <w:semiHidden/>
    <w:unhideWhenUsed/>
    <w:rsid w:val="00FC1A95"/>
    <w:pPr>
      <w:ind w:left="1000"/>
    </w:pPr>
  </w:style>
  <w:style w:type="paragraph" w:styleId="Obsah7">
    <w:name w:val="toc 7"/>
    <w:basedOn w:val="Obsahpoloky"/>
    <w:next w:val="Obsahpoloky"/>
    <w:autoRedefine/>
    <w:uiPriority w:val="39"/>
    <w:semiHidden/>
    <w:unhideWhenUsed/>
    <w:rsid w:val="00FC1A95"/>
    <w:pPr>
      <w:ind w:left="1200"/>
    </w:pPr>
  </w:style>
  <w:style w:type="paragraph" w:styleId="Obsah8">
    <w:name w:val="toc 8"/>
    <w:basedOn w:val="Obsahpoloky"/>
    <w:next w:val="Obsahpoloky"/>
    <w:autoRedefine/>
    <w:uiPriority w:val="39"/>
    <w:semiHidden/>
    <w:unhideWhenUsed/>
    <w:rsid w:val="00FC1A95"/>
    <w:pPr>
      <w:ind w:left="1400"/>
    </w:pPr>
  </w:style>
  <w:style w:type="paragraph" w:styleId="Obsah9">
    <w:name w:val="toc 9"/>
    <w:basedOn w:val="Obsahpoloky"/>
    <w:next w:val="Obsahpoloky"/>
    <w:autoRedefine/>
    <w:uiPriority w:val="39"/>
    <w:semiHidden/>
    <w:unhideWhenUsed/>
    <w:rsid w:val="00924AC8"/>
    <w:pPr>
      <w:ind w:left="1600"/>
    </w:p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FA2558"/>
    <w:pPr>
      <w:keepLines w:val="0"/>
      <w:widowControl w:val="0"/>
      <w:spacing w:before="480" w:after="0" w:line="276" w:lineRule="auto"/>
      <w:contextualSpacing w:val="0"/>
      <w:outlineLvl w:val="9"/>
    </w:pPr>
    <w:rPr>
      <w:rFonts w:ascii="Cambria" w:eastAsia="Times New Roman" w:hAnsi="Cambria"/>
      <w:color w:val="365F91"/>
      <w:sz w:val="28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11FF8"/>
    <w:pPr>
      <w:spacing w:after="0" w:line="240" w:lineRule="auto"/>
    </w:pPr>
    <w:rPr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611FF8"/>
    <w:rPr>
      <w:rFonts w:ascii="Arial" w:eastAsia="Times New Roman" w:hAnsi="Arial"/>
      <w:lang w:eastAsia="cs-CZ"/>
    </w:rPr>
  </w:style>
  <w:style w:type="character" w:styleId="Znakapoznpodarou">
    <w:name w:val="footnote reference"/>
    <w:basedOn w:val="Standardnpsmoodstavce"/>
    <w:uiPriority w:val="99"/>
    <w:semiHidden/>
    <w:unhideWhenUsed/>
    <w:rsid w:val="00611FF8"/>
    <w:rPr>
      <w:vertAlign w:val="superscript"/>
    </w:rPr>
  </w:style>
  <w:style w:type="character" w:styleId="Odkaznakoment">
    <w:name w:val="annotation reference"/>
    <w:basedOn w:val="Standardnpsmoodstavce"/>
    <w:uiPriority w:val="99"/>
    <w:semiHidden/>
    <w:unhideWhenUsed/>
    <w:rsid w:val="00312FD4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312FD4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312FD4"/>
    <w:rPr>
      <w:rFonts w:ascii="Arial" w:eastAsia="Times New Roman" w:hAnsi="Arial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12FD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12FD4"/>
    <w:rPr>
      <w:rFonts w:ascii="Arial" w:eastAsia="Times New Roman" w:hAnsi="Arial"/>
      <w:b/>
      <w:bCs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qFormat="1"/>
    <w:lsdException w:name="caption" w:uiPriority="35" w:qFormat="1"/>
    <w:lsdException w:name="List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uiPriority="71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F42FF"/>
    <w:pPr>
      <w:spacing w:after="240" w:line="288" w:lineRule="auto"/>
    </w:pPr>
    <w:rPr>
      <w:rFonts w:ascii="Arial" w:eastAsia="Times New Roman" w:hAnsi="Arial"/>
      <w:szCs w:val="24"/>
      <w:lang w:eastAsia="cs-CZ"/>
    </w:rPr>
  </w:style>
  <w:style w:type="paragraph" w:styleId="Nadpis1">
    <w:name w:val="heading 1"/>
    <w:next w:val="Normln"/>
    <w:link w:val="Nadpis1Char"/>
    <w:uiPriority w:val="9"/>
    <w:qFormat/>
    <w:rsid w:val="00FF1A0F"/>
    <w:pPr>
      <w:keepLines/>
      <w:spacing w:after="100" w:line="288" w:lineRule="auto"/>
      <w:contextualSpacing/>
      <w:outlineLvl w:val="0"/>
    </w:pPr>
    <w:rPr>
      <w:rFonts w:ascii="Arial" w:eastAsia="MS Gothic" w:hAnsi="Arial"/>
      <w:b/>
      <w:bCs/>
      <w:color w:val="C00000"/>
      <w:sz w:val="32"/>
      <w:szCs w:val="28"/>
      <w:lang w:eastAsia="cs-CZ"/>
    </w:rPr>
  </w:style>
  <w:style w:type="paragraph" w:styleId="Nadpis2">
    <w:name w:val="heading 2"/>
    <w:next w:val="Normln"/>
    <w:link w:val="Nadpis2Char"/>
    <w:uiPriority w:val="9"/>
    <w:qFormat/>
    <w:rsid w:val="00F62A5E"/>
    <w:pPr>
      <w:spacing w:line="288" w:lineRule="auto"/>
      <w:outlineLvl w:val="1"/>
    </w:pPr>
    <w:rPr>
      <w:rFonts w:ascii="Arial" w:eastAsia="MS Gothic" w:hAnsi="Arial"/>
      <w:b/>
      <w:bCs/>
      <w:color w:val="BC091B"/>
      <w:sz w:val="28"/>
      <w:szCs w:val="26"/>
      <w:lang w:eastAsia="cs-CZ"/>
    </w:rPr>
  </w:style>
  <w:style w:type="paragraph" w:styleId="Nadpis3">
    <w:name w:val="heading 3"/>
    <w:next w:val="Normln"/>
    <w:link w:val="Nadpis3Char"/>
    <w:uiPriority w:val="9"/>
    <w:qFormat/>
    <w:rsid w:val="004900FF"/>
    <w:pPr>
      <w:keepNext/>
      <w:keepLines/>
      <w:spacing w:line="288" w:lineRule="auto"/>
      <w:outlineLvl w:val="2"/>
    </w:pPr>
    <w:rPr>
      <w:rFonts w:ascii="Arial" w:eastAsia="MS Gothic" w:hAnsi="Arial"/>
      <w:b/>
      <w:bCs/>
      <w:color w:val="BC091B"/>
      <w:sz w:val="24"/>
      <w:szCs w:val="24"/>
      <w:lang w:eastAsia="cs-CZ"/>
    </w:rPr>
  </w:style>
  <w:style w:type="paragraph" w:styleId="Nadpis4">
    <w:name w:val="heading 4"/>
    <w:next w:val="Normln"/>
    <w:link w:val="Nadpis4Char"/>
    <w:uiPriority w:val="9"/>
    <w:qFormat/>
    <w:rsid w:val="004900FF"/>
    <w:pPr>
      <w:keepNext/>
      <w:keepLines/>
      <w:spacing w:line="288" w:lineRule="auto"/>
      <w:outlineLvl w:val="3"/>
    </w:pPr>
    <w:rPr>
      <w:rFonts w:ascii="Arial" w:eastAsia="MS Gothic" w:hAnsi="Arial"/>
      <w:b/>
      <w:bCs/>
      <w:iCs/>
      <w:color w:val="BC091B"/>
      <w:szCs w:val="24"/>
      <w:lang w:eastAsia="cs-CZ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30F65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sid w:val="00FF1A0F"/>
    <w:rPr>
      <w:rFonts w:ascii="Arial" w:eastAsia="MS Gothic" w:hAnsi="Arial"/>
      <w:b/>
      <w:bCs/>
      <w:color w:val="C00000"/>
      <w:sz w:val="32"/>
      <w:szCs w:val="28"/>
      <w:lang w:eastAsia="cs-CZ"/>
    </w:rPr>
  </w:style>
  <w:style w:type="character" w:customStyle="1" w:styleId="Nadpis2Char">
    <w:name w:val="Nadpis 2 Char"/>
    <w:link w:val="Nadpis2"/>
    <w:uiPriority w:val="9"/>
    <w:rsid w:val="00F62A5E"/>
    <w:rPr>
      <w:rFonts w:ascii="Arial" w:eastAsia="MS Gothic" w:hAnsi="Arial"/>
      <w:b/>
      <w:bCs/>
      <w:color w:val="BC091B"/>
      <w:sz w:val="28"/>
      <w:szCs w:val="26"/>
      <w:lang w:eastAsia="cs-CZ"/>
    </w:rPr>
  </w:style>
  <w:style w:type="character" w:customStyle="1" w:styleId="Nadpis3Char">
    <w:name w:val="Nadpis 3 Char"/>
    <w:link w:val="Nadpis3"/>
    <w:uiPriority w:val="9"/>
    <w:rsid w:val="004900FF"/>
    <w:rPr>
      <w:rFonts w:ascii="Arial" w:eastAsia="MS Gothic" w:hAnsi="Arial"/>
      <w:b/>
      <w:bCs/>
      <w:color w:val="BC091B"/>
      <w:sz w:val="24"/>
      <w:szCs w:val="24"/>
    </w:rPr>
  </w:style>
  <w:style w:type="character" w:customStyle="1" w:styleId="Nadpis4Char">
    <w:name w:val="Nadpis 4 Char"/>
    <w:link w:val="Nadpis4"/>
    <w:uiPriority w:val="9"/>
    <w:rsid w:val="004900FF"/>
    <w:rPr>
      <w:rFonts w:ascii="Arial" w:eastAsia="MS Gothic" w:hAnsi="Arial"/>
      <w:b/>
      <w:bCs/>
      <w:iCs/>
      <w:color w:val="BC091B"/>
      <w:szCs w:val="24"/>
    </w:rPr>
  </w:style>
  <w:style w:type="character" w:customStyle="1" w:styleId="Nadpis9Char">
    <w:name w:val="Nadpis 9 Char"/>
    <w:link w:val="Nadpis9"/>
    <w:uiPriority w:val="9"/>
    <w:semiHidden/>
    <w:rsid w:val="00A30F65"/>
    <w:rPr>
      <w:rFonts w:ascii="Cambria" w:eastAsia="Times New Roman" w:hAnsi="Cambria" w:cs="Times New Roman"/>
      <w:sz w:val="22"/>
      <w:szCs w:val="22"/>
    </w:rPr>
  </w:style>
  <w:style w:type="character" w:styleId="Hypertextovodkaz">
    <w:name w:val="Hyperlink"/>
    <w:uiPriority w:val="99"/>
    <w:rsid w:val="00E71A58"/>
    <w:rPr>
      <w:color w:val="0000FF"/>
      <w:u w:val="single"/>
    </w:rPr>
  </w:style>
  <w:style w:type="paragraph" w:styleId="Zhlav">
    <w:name w:val="header"/>
    <w:link w:val="ZhlavChar"/>
    <w:uiPriority w:val="99"/>
    <w:unhideWhenUsed/>
    <w:qFormat/>
    <w:rsid w:val="00A418BC"/>
    <w:pPr>
      <w:spacing w:line="288" w:lineRule="auto"/>
    </w:pPr>
    <w:rPr>
      <w:rFonts w:ascii="Arial" w:hAnsi="Arial"/>
      <w:sz w:val="16"/>
      <w:szCs w:val="22"/>
    </w:rPr>
  </w:style>
  <w:style w:type="character" w:customStyle="1" w:styleId="ZhlavChar">
    <w:name w:val="Záhlaví Char"/>
    <w:link w:val="Zhlav"/>
    <w:uiPriority w:val="99"/>
    <w:rsid w:val="00A418BC"/>
    <w:rPr>
      <w:rFonts w:ascii="Arial" w:hAnsi="Arial"/>
      <w:sz w:val="16"/>
      <w:szCs w:val="22"/>
      <w:lang w:eastAsia="en-US"/>
    </w:rPr>
  </w:style>
  <w:style w:type="paragraph" w:styleId="Zpat">
    <w:name w:val="footer"/>
    <w:link w:val="ZpatChar"/>
    <w:uiPriority w:val="99"/>
    <w:unhideWhenUsed/>
    <w:qFormat/>
    <w:rsid w:val="00031AE0"/>
    <w:pPr>
      <w:tabs>
        <w:tab w:val="center" w:pos="4820"/>
        <w:tab w:val="right" w:pos="9639"/>
      </w:tabs>
    </w:pPr>
    <w:rPr>
      <w:rFonts w:ascii="Arial" w:hAnsi="Arial" w:cs="Arial"/>
      <w:noProof/>
      <w:sz w:val="16"/>
    </w:rPr>
  </w:style>
  <w:style w:type="character" w:customStyle="1" w:styleId="ZpatChar">
    <w:name w:val="Zápatí Char"/>
    <w:link w:val="Zpat"/>
    <w:uiPriority w:val="99"/>
    <w:rsid w:val="00031AE0"/>
    <w:rPr>
      <w:rFonts w:ascii="Arial" w:hAnsi="Arial" w:cs="Arial"/>
      <w:noProof/>
      <w:sz w:val="16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71A58"/>
    <w:rPr>
      <w:rFonts w:ascii="Tahoma" w:eastAsia="Calibri" w:hAnsi="Tahoma"/>
      <w:sz w:val="16"/>
      <w:szCs w:val="16"/>
      <w:lang w:val="x-none" w:eastAsia="x-none"/>
    </w:rPr>
  </w:style>
  <w:style w:type="character" w:customStyle="1" w:styleId="TextbublinyChar">
    <w:name w:val="Text bubliny Char"/>
    <w:link w:val="Textbubliny"/>
    <w:uiPriority w:val="99"/>
    <w:semiHidden/>
    <w:rsid w:val="00E71A58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link w:val="ZkladnodstavecChar"/>
    <w:uiPriority w:val="99"/>
    <w:rsid w:val="0008263E"/>
    <w:pPr>
      <w:autoSpaceDE w:val="0"/>
      <w:autoSpaceDN w:val="0"/>
      <w:adjustRightInd w:val="0"/>
      <w:spacing w:line="276" w:lineRule="auto"/>
      <w:textAlignment w:val="center"/>
    </w:pPr>
    <w:rPr>
      <w:rFonts w:ascii="Arial" w:hAnsi="Arial" w:cs="Minion Pro"/>
      <w:color w:val="000000"/>
      <w:szCs w:val="24"/>
      <w:lang w:eastAsia="cs-CZ"/>
    </w:rPr>
  </w:style>
  <w:style w:type="character" w:customStyle="1" w:styleId="ZkladnodstavecChar">
    <w:name w:val="[Základní odstavec] Char"/>
    <w:link w:val="Zkladnodstavec"/>
    <w:uiPriority w:val="99"/>
    <w:rsid w:val="0008263E"/>
    <w:rPr>
      <w:rFonts w:ascii="Arial" w:hAnsi="Arial" w:cs="Minion Pro"/>
      <w:color w:val="000000"/>
      <w:szCs w:val="24"/>
    </w:rPr>
  </w:style>
  <w:style w:type="paragraph" w:styleId="Obsah1">
    <w:name w:val="toc 1"/>
    <w:basedOn w:val="Obsahpoloky"/>
    <w:next w:val="Obsahpoloky"/>
    <w:autoRedefine/>
    <w:uiPriority w:val="39"/>
    <w:unhideWhenUsed/>
    <w:rsid w:val="00FC1A95"/>
  </w:style>
  <w:style w:type="paragraph" w:customStyle="1" w:styleId="TLIdentifikace-sted">
    <w:name w:val="TL Identifikace - střed"/>
    <w:qFormat/>
    <w:rsid w:val="009A60D1"/>
    <w:pPr>
      <w:spacing w:after="200" w:line="288" w:lineRule="auto"/>
    </w:pPr>
    <w:rPr>
      <w:rFonts w:ascii="Arial" w:eastAsia="Times New Roman" w:hAnsi="Arial"/>
      <w:sz w:val="24"/>
      <w:szCs w:val="24"/>
      <w:lang w:eastAsia="cs-CZ"/>
    </w:rPr>
  </w:style>
  <w:style w:type="paragraph" w:customStyle="1" w:styleId="Obsah">
    <w:name w:val="Obsah"/>
    <w:next w:val="Normln"/>
    <w:qFormat/>
    <w:rsid w:val="004900FF"/>
    <w:pPr>
      <w:spacing w:after="80" w:line="288" w:lineRule="auto"/>
    </w:pPr>
    <w:rPr>
      <w:rFonts w:ascii="Arial" w:eastAsia="Times New Roman" w:hAnsi="Arial"/>
      <w:b/>
      <w:color w:val="BC091B"/>
      <w:sz w:val="32"/>
      <w:szCs w:val="24"/>
      <w:lang w:eastAsia="cs-CZ"/>
    </w:rPr>
  </w:style>
  <w:style w:type="paragraph" w:customStyle="1" w:styleId="Obsahpoloky">
    <w:name w:val="Obsah položky"/>
    <w:qFormat/>
    <w:rsid w:val="00616E05"/>
    <w:pPr>
      <w:tabs>
        <w:tab w:val="right" w:leader="dot" w:pos="9639"/>
      </w:tabs>
      <w:spacing w:line="288" w:lineRule="auto"/>
    </w:pPr>
    <w:rPr>
      <w:rFonts w:ascii="Arial" w:eastAsia="Times New Roman" w:hAnsi="Arial"/>
      <w:szCs w:val="24"/>
      <w:lang w:eastAsia="cs-CZ"/>
    </w:rPr>
  </w:style>
  <w:style w:type="paragraph" w:customStyle="1" w:styleId="Box1">
    <w:name w:val="Box 1"/>
    <w:next w:val="Normln"/>
    <w:qFormat/>
    <w:rsid w:val="004900FF"/>
    <w:pPr>
      <w:shd w:val="clear" w:color="auto" w:fill="F5DADD"/>
      <w:spacing w:before="240" w:after="240" w:line="288" w:lineRule="auto"/>
      <w:ind w:left="709"/>
      <w:contextualSpacing/>
    </w:pPr>
    <w:rPr>
      <w:rFonts w:ascii="Arial" w:hAnsi="Arial" w:cs="Arial"/>
      <w:lang w:eastAsia="cs-CZ"/>
    </w:rPr>
  </w:style>
  <w:style w:type="paragraph" w:customStyle="1" w:styleId="Box2">
    <w:name w:val="Box 2"/>
    <w:qFormat/>
    <w:rsid w:val="004900FF"/>
    <w:pPr>
      <w:spacing w:before="240" w:after="240" w:line="288" w:lineRule="auto"/>
      <w:ind w:left="709"/>
      <w:contextualSpacing/>
    </w:pPr>
    <w:rPr>
      <w:rFonts w:ascii="Arial" w:hAnsi="Arial" w:cs="Arial"/>
      <w:color w:val="BC091B"/>
      <w:lang w:eastAsia="cs-CZ"/>
    </w:rPr>
  </w:style>
  <w:style w:type="paragraph" w:styleId="Seznam">
    <w:name w:val="List"/>
    <w:basedOn w:val="Normln"/>
    <w:uiPriority w:val="99"/>
    <w:unhideWhenUsed/>
    <w:qFormat/>
    <w:rsid w:val="00481E40"/>
    <w:pPr>
      <w:contextualSpacing/>
    </w:pPr>
  </w:style>
  <w:style w:type="character" w:styleId="Siln">
    <w:name w:val="Strong"/>
    <w:aliases w:val="Tučné"/>
    <w:uiPriority w:val="22"/>
    <w:qFormat/>
    <w:rsid w:val="00EC03D7"/>
    <w:rPr>
      <w:rFonts w:ascii="Arial" w:hAnsi="Arial"/>
      <w:b/>
      <w:bCs/>
      <w:sz w:val="20"/>
    </w:rPr>
  </w:style>
  <w:style w:type="paragraph" w:customStyle="1" w:styleId="TLKontaktyerven">
    <w:name w:val="TL Kontakty červené"/>
    <w:basedOn w:val="Normln"/>
    <w:qFormat/>
    <w:rsid w:val="00104C4C"/>
    <w:pPr>
      <w:spacing w:after="40"/>
      <w:contextualSpacing/>
    </w:pPr>
    <w:rPr>
      <w:b/>
      <w:caps/>
      <w:color w:val="BD1B21"/>
      <w:sz w:val="24"/>
    </w:rPr>
  </w:style>
  <w:style w:type="paragraph" w:customStyle="1" w:styleId="TLKontakty">
    <w:name w:val="TL Kontakty"/>
    <w:qFormat/>
    <w:rsid w:val="008E6F06"/>
    <w:pPr>
      <w:spacing w:after="160" w:line="259" w:lineRule="auto"/>
      <w:contextualSpacing/>
    </w:pPr>
    <w:rPr>
      <w:rFonts w:ascii="Arial" w:eastAsia="Times New Roman" w:hAnsi="Arial"/>
      <w:b/>
      <w:color w:val="0071BC"/>
      <w:lang w:eastAsia="cs-CZ"/>
    </w:rPr>
  </w:style>
  <w:style w:type="paragraph" w:styleId="Nzev">
    <w:name w:val="Title"/>
    <w:link w:val="NzevChar"/>
    <w:uiPriority w:val="10"/>
    <w:qFormat/>
    <w:rsid w:val="004900FF"/>
    <w:pPr>
      <w:spacing w:line="288" w:lineRule="auto"/>
    </w:pPr>
    <w:rPr>
      <w:rFonts w:ascii="Arial" w:eastAsia="Times New Roman" w:hAnsi="Arial"/>
      <w:b/>
      <w:bCs/>
      <w:caps/>
      <w:color w:val="BC091B"/>
      <w:kern w:val="28"/>
      <w:sz w:val="56"/>
      <w:szCs w:val="32"/>
      <w:lang w:eastAsia="cs-CZ"/>
    </w:rPr>
  </w:style>
  <w:style w:type="character" w:customStyle="1" w:styleId="NzevChar">
    <w:name w:val="Název Char"/>
    <w:link w:val="Nzev"/>
    <w:uiPriority w:val="10"/>
    <w:rsid w:val="004900FF"/>
    <w:rPr>
      <w:rFonts w:ascii="Arial" w:eastAsia="Times New Roman" w:hAnsi="Arial"/>
      <w:b/>
      <w:bCs/>
      <w:caps/>
      <w:color w:val="BC091B"/>
      <w:kern w:val="28"/>
      <w:sz w:val="56"/>
      <w:szCs w:val="32"/>
    </w:rPr>
  </w:style>
  <w:style w:type="paragraph" w:styleId="Podtitul">
    <w:name w:val="Subtitle"/>
    <w:link w:val="PodtitulChar"/>
    <w:uiPriority w:val="11"/>
    <w:qFormat/>
    <w:rsid w:val="004900FF"/>
    <w:pPr>
      <w:spacing w:line="288" w:lineRule="auto"/>
    </w:pPr>
    <w:rPr>
      <w:rFonts w:ascii="Arial" w:eastAsia="Times New Roman" w:hAnsi="Arial" w:cs="Arial"/>
      <w:b/>
      <w:color w:val="BC091B"/>
      <w:sz w:val="28"/>
      <w:szCs w:val="24"/>
      <w:lang w:eastAsia="cs-CZ"/>
    </w:rPr>
  </w:style>
  <w:style w:type="character" w:customStyle="1" w:styleId="PodtitulChar">
    <w:name w:val="Podtitul Char"/>
    <w:link w:val="Podtitul"/>
    <w:uiPriority w:val="11"/>
    <w:rsid w:val="004900FF"/>
    <w:rPr>
      <w:rFonts w:ascii="Arial" w:eastAsia="Times New Roman" w:hAnsi="Arial" w:cs="Arial"/>
      <w:b/>
      <w:color w:val="BC091B"/>
      <w:sz w:val="28"/>
      <w:szCs w:val="24"/>
    </w:rPr>
  </w:style>
  <w:style w:type="paragraph" w:styleId="Obsah2">
    <w:name w:val="toc 2"/>
    <w:basedOn w:val="Obsahpoloky"/>
    <w:next w:val="Obsahpoloky"/>
    <w:autoRedefine/>
    <w:uiPriority w:val="39"/>
    <w:unhideWhenUsed/>
    <w:rsid w:val="00FC1A95"/>
    <w:pPr>
      <w:ind w:left="200"/>
    </w:pPr>
  </w:style>
  <w:style w:type="paragraph" w:styleId="Obsah3">
    <w:name w:val="toc 3"/>
    <w:basedOn w:val="Obsahpoloky"/>
    <w:next w:val="Obsahpoloky"/>
    <w:autoRedefine/>
    <w:uiPriority w:val="39"/>
    <w:unhideWhenUsed/>
    <w:rsid w:val="00FC1A95"/>
    <w:pPr>
      <w:ind w:left="400"/>
    </w:pPr>
  </w:style>
  <w:style w:type="paragraph" w:styleId="Obsah4">
    <w:name w:val="toc 4"/>
    <w:basedOn w:val="Obsahpoloky"/>
    <w:next w:val="Obsahpoloky"/>
    <w:autoRedefine/>
    <w:uiPriority w:val="39"/>
    <w:unhideWhenUsed/>
    <w:rsid w:val="00FC1A95"/>
    <w:pPr>
      <w:ind w:left="600"/>
    </w:pPr>
  </w:style>
  <w:style w:type="paragraph" w:styleId="Obsah5">
    <w:name w:val="toc 5"/>
    <w:basedOn w:val="Obsahpoloky"/>
    <w:next w:val="Obsahpoloky"/>
    <w:autoRedefine/>
    <w:uiPriority w:val="39"/>
    <w:semiHidden/>
    <w:unhideWhenUsed/>
    <w:rsid w:val="00FC1A95"/>
    <w:pPr>
      <w:ind w:left="800"/>
    </w:pPr>
  </w:style>
  <w:style w:type="paragraph" w:styleId="Obsah6">
    <w:name w:val="toc 6"/>
    <w:basedOn w:val="Obsahpoloky"/>
    <w:next w:val="Obsahpoloky"/>
    <w:autoRedefine/>
    <w:uiPriority w:val="39"/>
    <w:semiHidden/>
    <w:unhideWhenUsed/>
    <w:rsid w:val="00FC1A95"/>
    <w:pPr>
      <w:ind w:left="1000"/>
    </w:pPr>
  </w:style>
  <w:style w:type="paragraph" w:styleId="Obsah7">
    <w:name w:val="toc 7"/>
    <w:basedOn w:val="Obsahpoloky"/>
    <w:next w:val="Obsahpoloky"/>
    <w:autoRedefine/>
    <w:uiPriority w:val="39"/>
    <w:semiHidden/>
    <w:unhideWhenUsed/>
    <w:rsid w:val="00FC1A95"/>
    <w:pPr>
      <w:ind w:left="1200"/>
    </w:pPr>
  </w:style>
  <w:style w:type="paragraph" w:styleId="Obsah8">
    <w:name w:val="toc 8"/>
    <w:basedOn w:val="Obsahpoloky"/>
    <w:next w:val="Obsahpoloky"/>
    <w:autoRedefine/>
    <w:uiPriority w:val="39"/>
    <w:semiHidden/>
    <w:unhideWhenUsed/>
    <w:rsid w:val="00FC1A95"/>
    <w:pPr>
      <w:ind w:left="1400"/>
    </w:pPr>
  </w:style>
  <w:style w:type="paragraph" w:styleId="Obsah9">
    <w:name w:val="toc 9"/>
    <w:basedOn w:val="Obsahpoloky"/>
    <w:next w:val="Obsahpoloky"/>
    <w:autoRedefine/>
    <w:uiPriority w:val="39"/>
    <w:semiHidden/>
    <w:unhideWhenUsed/>
    <w:rsid w:val="00924AC8"/>
    <w:pPr>
      <w:ind w:left="1600"/>
    </w:p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FA2558"/>
    <w:pPr>
      <w:keepLines w:val="0"/>
      <w:widowControl w:val="0"/>
      <w:spacing w:before="480" w:after="0" w:line="276" w:lineRule="auto"/>
      <w:contextualSpacing w:val="0"/>
      <w:outlineLvl w:val="9"/>
    </w:pPr>
    <w:rPr>
      <w:rFonts w:ascii="Cambria" w:eastAsia="Times New Roman" w:hAnsi="Cambria"/>
      <w:color w:val="365F91"/>
      <w:sz w:val="28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11FF8"/>
    <w:pPr>
      <w:spacing w:after="0" w:line="240" w:lineRule="auto"/>
    </w:pPr>
    <w:rPr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611FF8"/>
    <w:rPr>
      <w:rFonts w:ascii="Arial" w:eastAsia="Times New Roman" w:hAnsi="Arial"/>
      <w:lang w:eastAsia="cs-CZ"/>
    </w:rPr>
  </w:style>
  <w:style w:type="character" w:styleId="Znakapoznpodarou">
    <w:name w:val="footnote reference"/>
    <w:basedOn w:val="Standardnpsmoodstavce"/>
    <w:uiPriority w:val="99"/>
    <w:semiHidden/>
    <w:unhideWhenUsed/>
    <w:rsid w:val="00611FF8"/>
    <w:rPr>
      <w:vertAlign w:val="superscript"/>
    </w:rPr>
  </w:style>
  <w:style w:type="character" w:styleId="Odkaznakoment">
    <w:name w:val="annotation reference"/>
    <w:basedOn w:val="Standardnpsmoodstavce"/>
    <w:uiPriority w:val="99"/>
    <w:semiHidden/>
    <w:unhideWhenUsed/>
    <w:rsid w:val="00312FD4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312FD4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312FD4"/>
    <w:rPr>
      <w:rFonts w:ascii="Arial" w:eastAsia="Times New Roman" w:hAnsi="Arial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12FD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12FD4"/>
    <w:rPr>
      <w:rFonts w:ascii="Arial" w:eastAsia="Times New Roman" w:hAnsi="Arial"/>
      <w:b/>
      <w:bCs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9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0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79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7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6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01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43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1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11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29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63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66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79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0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0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05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2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81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69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78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8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96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77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8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4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57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247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8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34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5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444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925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39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2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26" Type="http://schemas.openxmlformats.org/officeDocument/2006/relationships/image" Target="media/image19.emf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34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33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29" Type="http://schemas.openxmlformats.org/officeDocument/2006/relationships/image" Target="media/image22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emf"/><Relationship Id="rId24" Type="http://schemas.openxmlformats.org/officeDocument/2006/relationships/image" Target="media/image17.emf"/><Relationship Id="rId32" Type="http://schemas.openxmlformats.org/officeDocument/2006/relationships/header" Target="header1.xml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36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31" Type="http://schemas.openxmlformats.org/officeDocument/2006/relationships/image" Target="media/image24.emf"/><Relationship Id="rId4" Type="http://schemas.microsoft.com/office/2007/relationships/stylesWithEffects" Target="stylesWithEffect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30" Type="http://schemas.openxmlformats.org/officeDocument/2006/relationships/image" Target="media/image23.emf"/><Relationship Id="rId35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6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kumenty\Demografie\Anal&#253;za%20&#250;mrtnosti\Publikace%20bar%20CZ_lide%20a%20spolecnost_2017-08-1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3F8E56-F8A9-4575-B6BD-1943D0118E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Publikace bar CZ_lide a spolecnost_2017-08-14.dotx</Template>
  <TotalTime>171</TotalTime>
  <Pages>30</Pages>
  <Words>7156</Words>
  <Characters>42222</Characters>
  <Application>Microsoft Office Word</Application>
  <DocSecurity>0</DocSecurity>
  <Lines>351</Lines>
  <Paragraphs>98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8</vt:i4>
      </vt:variant>
    </vt:vector>
  </HeadingPairs>
  <TitlesOfParts>
    <vt:vector size="10" baseType="lpstr">
      <vt:lpstr/>
      <vt:lpstr/>
      <vt:lpstr>Styl: Nadpis 1</vt:lpstr>
      <vt:lpstr>    Styl: Nadpis 2</vt:lpstr>
      <vt:lpstr>        Styl: Nadpis 3</vt:lpstr>
      <vt:lpstr>        Styl: Nadpis 3</vt:lpstr>
      <vt:lpstr>    Styl: Nadpis 2</vt:lpstr>
      <vt:lpstr>        Styl: Nadpis 3</vt:lpstr>
      <vt:lpstr>    Styl: Nadpis 2</vt:lpstr>
      <vt:lpstr>        Styl: Nadpis 3</vt:lpstr>
    </vt:vector>
  </TitlesOfParts>
  <Company>CSU</Company>
  <LinksUpToDate>false</LinksUpToDate>
  <CharactersWithSpaces>49280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kurkin4488</dc:creator>
  <cp:lastModifiedBy>kurkin4488</cp:lastModifiedBy>
  <cp:revision>14</cp:revision>
  <cp:lastPrinted>2018-11-27T15:18:00Z</cp:lastPrinted>
  <dcterms:created xsi:type="dcterms:W3CDTF">2018-11-30T08:30:00Z</dcterms:created>
  <dcterms:modified xsi:type="dcterms:W3CDTF">2018-12-06T11:01:00Z</dcterms:modified>
</cp:coreProperties>
</file>