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27FEB" w14:textId="77777777" w:rsidR="00D42211" w:rsidRDefault="00D42211" w:rsidP="00D42211">
      <w:pPr>
        <w:pStyle w:val="Nadpis1"/>
      </w:pPr>
      <w:r w:rsidRPr="00787441">
        <w:rPr>
          <w:szCs w:val="32"/>
        </w:rPr>
        <w:t>8</w:t>
      </w:r>
      <w:r>
        <w:t>. </w:t>
      </w:r>
      <w:r w:rsidRPr="009110F7">
        <w:t>Státní rozpočet</w:t>
      </w:r>
    </w:p>
    <w:tbl>
      <w:tblPr>
        <w:tblW w:w="9669" w:type="dxa"/>
        <w:tblInd w:w="-20" w:type="dxa"/>
        <w:tblLayout w:type="fixed"/>
        <w:tblCellMar>
          <w:left w:w="0" w:type="dxa"/>
          <w:right w:w="0" w:type="dxa"/>
        </w:tblCellMar>
        <w:tblLook w:val="00A0" w:firstRow="1" w:lastRow="0" w:firstColumn="1" w:lastColumn="0" w:noHBand="0" w:noVBand="0"/>
      </w:tblPr>
      <w:tblGrid>
        <w:gridCol w:w="1810"/>
        <w:gridCol w:w="203"/>
        <w:gridCol w:w="7656"/>
      </w:tblGrid>
      <w:tr w:rsidR="00D42211" w:rsidRPr="003C07E6" w14:paraId="4D139506" w14:textId="77777777" w:rsidTr="00D42211">
        <w:trPr>
          <w:trHeight w:val="60"/>
        </w:trPr>
        <w:tc>
          <w:tcPr>
            <w:tcW w:w="1810" w:type="dxa"/>
            <w:shd w:val="clear" w:color="auto" w:fill="auto"/>
            <w:tcMar>
              <w:left w:w="0" w:type="dxa"/>
            </w:tcMar>
          </w:tcPr>
          <w:p w14:paraId="18C21844" w14:textId="77777777" w:rsidR="00D42211" w:rsidRDefault="00D42211" w:rsidP="00D42211">
            <w:pPr>
              <w:pStyle w:val="Marginlie"/>
            </w:pPr>
            <w:r>
              <w:t>Hluboký rozpočtový schodek přetrvával pátým rokem v řadě. Díky nižší potřebě mimořádných výdajů se deficit meziročně lehce snížil.</w:t>
            </w:r>
          </w:p>
        </w:tc>
        <w:tc>
          <w:tcPr>
            <w:tcW w:w="203" w:type="dxa"/>
            <w:shd w:val="clear" w:color="auto" w:fill="auto"/>
            <w:tcMar>
              <w:left w:w="0" w:type="dxa"/>
            </w:tcMar>
          </w:tcPr>
          <w:p w14:paraId="69299D86" w14:textId="77777777" w:rsidR="00D42211" w:rsidRDefault="00D42211" w:rsidP="00D42211">
            <w:pPr>
              <w:pStyle w:val="Textpoznpodarou"/>
              <w:jc w:val="both"/>
              <w:rPr>
                <w:spacing w:val="-4"/>
              </w:rPr>
            </w:pPr>
          </w:p>
        </w:tc>
        <w:tc>
          <w:tcPr>
            <w:tcW w:w="7656" w:type="dxa"/>
            <w:shd w:val="clear" w:color="auto" w:fill="auto"/>
            <w:tcMar>
              <w:left w:w="0" w:type="dxa"/>
            </w:tcMar>
          </w:tcPr>
          <w:p w14:paraId="7C8D200D" w14:textId="77777777" w:rsidR="00D42211" w:rsidRPr="00B57210" w:rsidRDefault="00D42211" w:rsidP="00D42211">
            <w:pPr>
              <w:spacing w:after="200"/>
              <w:rPr>
                <w:spacing w:val="-4"/>
              </w:rPr>
            </w:pPr>
            <w:r w:rsidRPr="00B57210">
              <w:rPr>
                <w:spacing w:val="-4"/>
              </w:rPr>
              <w:t>Hospodaření státního rozpočtu</w:t>
            </w:r>
            <w:r>
              <w:rPr>
                <w:spacing w:val="-4"/>
              </w:rPr>
              <w:t xml:space="preserve"> (SR)</w:t>
            </w:r>
            <w:r w:rsidRPr="00B57210">
              <w:rPr>
                <w:rStyle w:val="Znakapoznpodarou"/>
                <w:spacing w:val="-4"/>
              </w:rPr>
              <w:footnoteReference w:id="1"/>
            </w:r>
            <w:r>
              <w:rPr>
                <w:spacing w:val="-4"/>
              </w:rPr>
              <w:t xml:space="preserve"> ČR vyústilo na konci 1. pololetí 2024 v deficit ve výši 178,6 mld. korun</w:t>
            </w:r>
            <w:r>
              <w:rPr>
                <w:rStyle w:val="Znakapoznpodarou"/>
                <w:spacing w:val="-4"/>
              </w:rPr>
              <w:footnoteReference w:id="2"/>
            </w:r>
            <w:r>
              <w:rPr>
                <w:spacing w:val="-4"/>
              </w:rPr>
              <w:t>. Hluboký schodek tížil státní finance za toto období roku popáté v řadě, letošní deficit byl nicméně v tomto srovnání nejnižší a meziročně se snížil o 37 mld. korun</w:t>
            </w:r>
            <w:r w:rsidRPr="00B57210">
              <w:rPr>
                <w:rStyle w:val="Znakapoznpodarou"/>
                <w:spacing w:val="-4"/>
              </w:rPr>
              <w:footnoteReference w:id="3"/>
            </w:r>
            <w:r>
              <w:rPr>
                <w:spacing w:val="-4"/>
              </w:rPr>
              <w:t>. To souvisí hlavně s odezníváním potřeby mimořádných výdajů domácnostem i firmám zasaženým dopady vysoké inflace. Ta stále ještě ovlivňuje také příjmovou stránku rozpočtu, včetně mimořádných daní dočasně uvalených na vybrané sektory ekonomiky. Navíc se začínají pozvolna projevovat pozitivní dopady mírně se zotavující spotřeby domácností díky jejich zlepšující se finanční situaci i celkové důvěry v ekonomiku. Kromě toho lze v inkasu některých příjmových daní již na počátku roku vystopovat první dopady schváleného konsolidačního balíčku k ozdravení veřejných financí (např. nárůst inkasa některých spotřebních daní vlivem předzásobení motivovaném blížícím se zvýšením sazby daně). S legislativními úpravami souvisí i změna rozpočtového určení daní, které od ledna 2024 zvyšuje podíl na výnosu některých váhově významných daní ve prospěch SR</w:t>
            </w:r>
            <w:r>
              <w:rPr>
                <w:rStyle w:val="Znakapoznpodarou"/>
                <w:spacing w:val="-4"/>
              </w:rPr>
              <w:footnoteReference w:id="4"/>
            </w:r>
            <w:r>
              <w:rPr>
                <w:spacing w:val="-4"/>
              </w:rPr>
              <w:t>.</w:t>
            </w:r>
          </w:p>
        </w:tc>
      </w:tr>
      <w:tr w:rsidR="00D42211" w:rsidRPr="003C07E6" w14:paraId="367092BA" w14:textId="77777777" w:rsidTr="00D42211">
        <w:trPr>
          <w:trHeight w:val="60"/>
        </w:trPr>
        <w:tc>
          <w:tcPr>
            <w:tcW w:w="1810" w:type="dxa"/>
            <w:shd w:val="clear" w:color="auto" w:fill="auto"/>
            <w:tcMar>
              <w:left w:w="0" w:type="dxa"/>
            </w:tcMar>
          </w:tcPr>
          <w:p w14:paraId="0348DC3A" w14:textId="77777777" w:rsidR="00D42211" w:rsidRDefault="00D42211" w:rsidP="00D42211">
            <w:pPr>
              <w:pStyle w:val="Marginlie"/>
            </w:pPr>
            <w:r>
              <w:t>K růstu celkových příjmů přispělo vyšší daňové inkaso i výběr pojistného za sociální zabezpečení.</w:t>
            </w:r>
          </w:p>
        </w:tc>
        <w:tc>
          <w:tcPr>
            <w:tcW w:w="203" w:type="dxa"/>
            <w:shd w:val="clear" w:color="auto" w:fill="auto"/>
            <w:tcMar>
              <w:left w:w="0" w:type="dxa"/>
            </w:tcMar>
          </w:tcPr>
          <w:p w14:paraId="1D3556C4" w14:textId="77777777" w:rsidR="00D42211" w:rsidRDefault="00D42211" w:rsidP="00D42211">
            <w:pPr>
              <w:pStyle w:val="Textpoznpodarou"/>
              <w:jc w:val="both"/>
              <w:rPr>
                <w:spacing w:val="-4"/>
              </w:rPr>
            </w:pPr>
          </w:p>
        </w:tc>
        <w:tc>
          <w:tcPr>
            <w:tcW w:w="7656" w:type="dxa"/>
            <w:shd w:val="clear" w:color="auto" w:fill="auto"/>
            <w:tcMar>
              <w:left w:w="0" w:type="dxa"/>
            </w:tcMar>
          </w:tcPr>
          <w:p w14:paraId="224E71CD" w14:textId="77777777" w:rsidR="00D42211" w:rsidRPr="00B57210" w:rsidRDefault="00D42211" w:rsidP="00D42211">
            <w:pPr>
              <w:spacing w:after="200"/>
              <w:rPr>
                <w:color w:val="0D0D0D" w:themeColor="text1" w:themeTint="F2"/>
                <w:spacing w:val="-4"/>
              </w:rPr>
            </w:pPr>
            <w:r>
              <w:rPr>
                <w:color w:val="0D0D0D" w:themeColor="text1" w:themeTint="F2"/>
                <w:spacing w:val="-4"/>
              </w:rPr>
              <w:t>Celkové příjmy SR vzrostly v 1. pololetí meziročně o 4,2 % a mírně zatím převyšovaly celoroční očekávané tempo (+1,4 %). K růstu přispěly nejvíce vyšší daňové inkaso (+36</w:t>
            </w:r>
            <w:r>
              <w:rPr>
                <w:spacing w:val="-4"/>
              </w:rPr>
              <w:t> </w:t>
            </w:r>
            <w:r>
              <w:rPr>
                <w:color w:val="0D0D0D" w:themeColor="text1" w:themeTint="F2"/>
                <w:spacing w:val="-4"/>
              </w:rPr>
              <w:t xml:space="preserve">mld. korun) a příjmy </w:t>
            </w:r>
            <w:r w:rsidRPr="00B57210">
              <w:rPr>
                <w:spacing w:val="-4"/>
              </w:rPr>
              <w:t>z povinného pojistného</w:t>
            </w:r>
            <w:r w:rsidRPr="00B57210">
              <w:rPr>
                <w:rStyle w:val="Znakapoznpodarou"/>
                <w:spacing w:val="-4"/>
              </w:rPr>
              <w:footnoteReference w:id="5"/>
            </w:r>
            <w:r>
              <w:rPr>
                <w:spacing w:val="-4"/>
              </w:rPr>
              <w:t xml:space="preserve"> (</w:t>
            </w:r>
            <w:r>
              <w:rPr>
                <w:color w:val="0D0D0D" w:themeColor="text1" w:themeTint="F2"/>
                <w:spacing w:val="-4"/>
              </w:rPr>
              <w:t>+30 mld. korun). Celostátní daňové inkaso (zohledňující příjmy na úrovni všech veřejných rozpočtů) se zvýšilo 7,7 % a druhým rokem v řadě jeho tempo zvolnilo. Zatímco v letech 2021 až 2023 stál za jeho růstem především výběr korporátní daně a také DPH, letos se zatím jako nejdůležitější faktor růstu jeví ostatní příjmy. Ty jsou tažené v první řadě mimořádnými příjmy dočasně zavedenými s cílem regulace nestabilního vývoje trhu cen s energiemi (daní</w:t>
            </w:r>
            <w:r w:rsidRPr="00FF37EE">
              <w:rPr>
                <w:color w:val="0D0D0D" w:themeColor="text1" w:themeTint="F2"/>
                <w:spacing w:val="-4"/>
              </w:rPr>
              <w:t xml:space="preserve"> z neočekávaných zisků</w:t>
            </w:r>
            <w:r>
              <w:rPr>
                <w:color w:val="0D0D0D" w:themeColor="text1" w:themeTint="F2"/>
                <w:spacing w:val="-4"/>
              </w:rPr>
              <w:t>). Projevuje se zde i růst výběru daně z nemovitostí (+7 mld. korun)</w:t>
            </w:r>
            <w:r>
              <w:rPr>
                <w:rStyle w:val="Znakapoznpodarou"/>
                <w:color w:val="0D0D0D" w:themeColor="text1" w:themeTint="F2"/>
                <w:spacing w:val="-4"/>
              </w:rPr>
              <w:footnoteReference w:id="6"/>
            </w:r>
            <w:r>
              <w:rPr>
                <w:color w:val="0D0D0D" w:themeColor="text1" w:themeTint="F2"/>
                <w:spacing w:val="-4"/>
              </w:rPr>
              <w:t xml:space="preserve"> související s navýšením zákonných sazeb (+80 %) a vlivem legislativních změn byl vyšší i výběr daně z hazardních her. Celostátní daňové inkaso (bez mimořádných příjmů) v 1. pololetí meziročně narostlo o</w:t>
            </w:r>
            <w:r>
              <w:rPr>
                <w:spacing w:val="-4"/>
              </w:rPr>
              <w:t> </w:t>
            </w:r>
            <w:r>
              <w:rPr>
                <w:color w:val="0D0D0D" w:themeColor="text1" w:themeTint="F2"/>
                <w:spacing w:val="-4"/>
              </w:rPr>
              <w:t xml:space="preserve">rovných 7 % (loni ve stejné období ale o 10,3 %). Příjmy </w:t>
            </w:r>
            <w:r w:rsidRPr="00B57210">
              <w:rPr>
                <w:spacing w:val="-4"/>
              </w:rPr>
              <w:t>z povinného pojistného</w:t>
            </w:r>
            <w:r>
              <w:rPr>
                <w:spacing w:val="-4"/>
              </w:rPr>
              <w:t xml:space="preserve"> se zvýšily o 9,0 % (z toho ve 2. čtvrtletí 2024 o 9,9 %). Projevily se zde nejen aktuální oživení na trhu práce vlivem mírně zlepšeného výkonu ekonomiky, ale i dopady legislativních změn</w:t>
            </w:r>
            <w:r>
              <w:rPr>
                <w:rStyle w:val="Znakapoznpodarou"/>
                <w:spacing w:val="-4"/>
              </w:rPr>
              <w:footnoteReference w:id="7"/>
            </w:r>
            <w:r>
              <w:rPr>
                <w:spacing w:val="-4"/>
              </w:rPr>
              <w:t xml:space="preserve">. </w:t>
            </w:r>
          </w:p>
        </w:tc>
      </w:tr>
      <w:tr w:rsidR="00D42211" w:rsidRPr="003C07E6" w14:paraId="1AD23906" w14:textId="77777777" w:rsidTr="00D42211">
        <w:trPr>
          <w:trHeight w:val="60"/>
        </w:trPr>
        <w:tc>
          <w:tcPr>
            <w:tcW w:w="1810" w:type="dxa"/>
            <w:shd w:val="clear" w:color="auto" w:fill="auto"/>
            <w:tcMar>
              <w:left w:w="0" w:type="dxa"/>
            </w:tcMar>
          </w:tcPr>
          <w:p w14:paraId="17B9A777" w14:textId="77777777" w:rsidR="00D42211" w:rsidRDefault="00D42211" w:rsidP="00D42211">
            <w:pPr>
              <w:pStyle w:val="Marginlie"/>
            </w:pPr>
            <w:r>
              <w:t>Navzdory zotavující se spotřebě domácností tempo růstu výběru DPH zvolnilo a podobně jako loni v půli roku rozpočtové očekávání zcela nenaplňovalo.</w:t>
            </w:r>
          </w:p>
        </w:tc>
        <w:tc>
          <w:tcPr>
            <w:tcW w:w="203" w:type="dxa"/>
            <w:shd w:val="clear" w:color="auto" w:fill="auto"/>
            <w:tcMar>
              <w:left w:w="0" w:type="dxa"/>
            </w:tcMar>
          </w:tcPr>
          <w:p w14:paraId="485A350E" w14:textId="77777777" w:rsidR="00D42211" w:rsidRDefault="00D42211" w:rsidP="00D42211">
            <w:pPr>
              <w:pStyle w:val="Textpoznpodarou"/>
              <w:jc w:val="both"/>
              <w:rPr>
                <w:spacing w:val="-4"/>
              </w:rPr>
            </w:pPr>
          </w:p>
        </w:tc>
        <w:tc>
          <w:tcPr>
            <w:tcW w:w="7656" w:type="dxa"/>
            <w:shd w:val="clear" w:color="auto" w:fill="auto"/>
            <w:tcMar>
              <w:left w:w="0" w:type="dxa"/>
            </w:tcMar>
          </w:tcPr>
          <w:p w14:paraId="47B23619" w14:textId="77777777" w:rsidR="00D42211" w:rsidRDefault="00D42211" w:rsidP="00D42211">
            <w:pPr>
              <w:spacing w:after="0"/>
              <w:rPr>
                <w:spacing w:val="-4"/>
              </w:rPr>
            </w:pPr>
            <w:r>
              <w:rPr>
                <w:spacing w:val="-4"/>
              </w:rPr>
              <w:t xml:space="preserve">Na váhově dominantní dani – DPH – získal SR </w:t>
            </w:r>
            <w:r>
              <w:rPr>
                <w:color w:val="0D0D0D" w:themeColor="text1" w:themeTint="F2"/>
                <w:spacing w:val="-4"/>
              </w:rPr>
              <w:t xml:space="preserve">v 1. pololetí </w:t>
            </w:r>
            <w:r>
              <w:rPr>
                <w:spacing w:val="-4"/>
              </w:rPr>
              <w:t>o 4,8 % více (+8,3 mld. korun meziročně). Růstové tempo za rozpočtovým plánem lehce zaostávalo, byť méně výrazně než loni.  Na úrovni všech veřejných rozpočtů dosáhl růst 3,1 % (z toho ve 2. čtvrtletí 2024 pouze stagnoval), tedy o polovinu méně než ve stejném období loni. Zpomalení tempa odráží ustálení cenové hladiny v ekonomice. V inkasu se postupně pozitivně promítá pozvolna se zotavující spotřeba domácností</w:t>
            </w:r>
            <w:r>
              <w:rPr>
                <w:rStyle w:val="Znakapoznpodarou"/>
                <w:spacing w:val="-4"/>
              </w:rPr>
              <w:footnoteReference w:id="8"/>
            </w:r>
            <w:r>
              <w:rPr>
                <w:spacing w:val="-4"/>
              </w:rPr>
              <w:t>. Vedle toho se navíc od počátku roku začínají projevovat dopady úpravy sazeb daně</w:t>
            </w:r>
            <w:r>
              <w:rPr>
                <w:rStyle w:val="Znakapoznpodarou"/>
                <w:spacing w:val="-4"/>
              </w:rPr>
              <w:footnoteReference w:id="9"/>
            </w:r>
            <w:r>
              <w:rPr>
                <w:spacing w:val="-4"/>
              </w:rPr>
              <w:t xml:space="preserve"> ve vazbě na účinnost konsolidačního balíčku.</w:t>
            </w:r>
          </w:p>
        </w:tc>
      </w:tr>
      <w:tr w:rsidR="00D42211" w:rsidRPr="003C07E6" w14:paraId="4723A7B4" w14:textId="77777777" w:rsidTr="00D42211">
        <w:trPr>
          <w:trHeight w:val="60"/>
        </w:trPr>
        <w:tc>
          <w:tcPr>
            <w:tcW w:w="1810" w:type="dxa"/>
            <w:shd w:val="clear" w:color="auto" w:fill="auto"/>
            <w:tcMar>
              <w:left w:w="0" w:type="dxa"/>
            </w:tcMar>
          </w:tcPr>
          <w:p w14:paraId="0DE249CA" w14:textId="77777777" w:rsidR="00D42211" w:rsidRDefault="00D42211" w:rsidP="00D42211">
            <w:pPr>
              <w:pStyle w:val="Marginlie"/>
            </w:pPr>
            <w:r>
              <w:lastRenderedPageBreak/>
              <w:t>Svižný růst inkasa spotřební daně souvisel primárně se zvýšením sazby u klíčových produktů.</w:t>
            </w:r>
          </w:p>
        </w:tc>
        <w:tc>
          <w:tcPr>
            <w:tcW w:w="203" w:type="dxa"/>
            <w:shd w:val="clear" w:color="auto" w:fill="auto"/>
            <w:tcMar>
              <w:left w:w="0" w:type="dxa"/>
            </w:tcMar>
          </w:tcPr>
          <w:p w14:paraId="3D357D1C" w14:textId="77777777" w:rsidR="00D42211" w:rsidRDefault="00D42211" w:rsidP="00D42211">
            <w:pPr>
              <w:pStyle w:val="Textpoznpodarou"/>
              <w:jc w:val="both"/>
              <w:rPr>
                <w:spacing w:val="-4"/>
              </w:rPr>
            </w:pPr>
          </w:p>
        </w:tc>
        <w:tc>
          <w:tcPr>
            <w:tcW w:w="7656" w:type="dxa"/>
            <w:shd w:val="clear" w:color="auto" w:fill="auto"/>
            <w:tcMar>
              <w:left w:w="0" w:type="dxa"/>
            </w:tcMar>
          </w:tcPr>
          <w:p w14:paraId="480D73E3" w14:textId="77777777" w:rsidR="00D42211" w:rsidRPr="00B57210" w:rsidRDefault="00D42211" w:rsidP="00D42211">
            <w:pPr>
              <w:spacing w:after="200"/>
              <w:rPr>
                <w:spacing w:val="-4"/>
              </w:rPr>
            </w:pPr>
            <w:r>
              <w:rPr>
                <w:spacing w:val="-4"/>
                <w:szCs w:val="20"/>
              </w:rPr>
              <w:t>Inkaso spotřební daně (vč.</w:t>
            </w:r>
            <w:r w:rsidRPr="000B2E46">
              <w:rPr>
                <w:spacing w:val="-4"/>
                <w:szCs w:val="20"/>
              </w:rPr>
              <w:t xml:space="preserve"> energetické daně)</w:t>
            </w:r>
            <w:r>
              <w:rPr>
                <w:spacing w:val="-4"/>
                <w:szCs w:val="20"/>
              </w:rPr>
              <w:t xml:space="preserve"> vzrostlo v 1. pololetí meziročně o 9,8 % a zatím nepatrně zaostávalo za rozpočtovým očekáváním. Ve 2. čtvrtletí tempo výběru lehce zvolnilo, neboť u některých položek vyprchal efekt dočasně vzedmuté poptávky vlivem předzásobení kvůli růstu sazby daně (líh). Celkový vývoj pololetního inkasa ale nejvíce ovlivnila klíčová daň z minerálních olejů, jejíž výběr rostl (+15,8 %) především díky </w:t>
            </w:r>
            <w:r w:rsidRPr="003579AA">
              <w:rPr>
                <w:spacing w:val="-5"/>
              </w:rPr>
              <w:t>návrat</w:t>
            </w:r>
            <w:r>
              <w:rPr>
                <w:spacing w:val="-5"/>
              </w:rPr>
              <w:t>u</w:t>
            </w:r>
            <w:r w:rsidRPr="003579AA">
              <w:rPr>
                <w:spacing w:val="-5"/>
              </w:rPr>
              <w:t xml:space="preserve"> sazby daně z motorové nafty na úroveň před vzplanutím energetické krize</w:t>
            </w:r>
            <w:r w:rsidRPr="003579AA">
              <w:rPr>
                <w:rStyle w:val="Znakapoznpodarou"/>
                <w:color w:val="0D0D0D" w:themeColor="text1" w:themeTint="F2"/>
                <w:spacing w:val="-5"/>
              </w:rPr>
              <w:footnoteReference w:id="10"/>
            </w:r>
            <w:r w:rsidRPr="003579AA">
              <w:rPr>
                <w:spacing w:val="-5"/>
              </w:rPr>
              <w:t>.</w:t>
            </w:r>
            <w:r>
              <w:rPr>
                <w:spacing w:val="-5"/>
              </w:rPr>
              <w:t xml:space="preserve"> Pokračoval mírný růst výběru daně z tabákových výrobků (+5,1 %), v němž se promítlo další navýšení sazby i rozšíření okruhu zdaněných produktů (nově náplně do e-cigaret, nikotinové sáčky). </w:t>
            </w:r>
          </w:p>
        </w:tc>
      </w:tr>
      <w:tr w:rsidR="00D42211" w:rsidRPr="003C07E6" w14:paraId="00CB9131" w14:textId="77777777" w:rsidTr="00D42211">
        <w:trPr>
          <w:trHeight w:val="60"/>
        </w:trPr>
        <w:tc>
          <w:tcPr>
            <w:tcW w:w="1810" w:type="dxa"/>
            <w:shd w:val="clear" w:color="auto" w:fill="auto"/>
            <w:tcMar>
              <w:left w:w="0" w:type="dxa"/>
            </w:tcMar>
          </w:tcPr>
          <w:p w14:paraId="3DE56EDF" w14:textId="77777777" w:rsidR="00D42211" w:rsidRDefault="00D42211" w:rsidP="00D42211">
            <w:pPr>
              <w:pStyle w:val="Marginlie"/>
            </w:pPr>
            <w:r>
              <w:t>Růst výběru běžné korporátní daně se téměř zastavil. Naopak na mimořádných firemních daních bylo v 1. pololetí vybráno meziročně o 5 mld. korun více.</w:t>
            </w:r>
          </w:p>
        </w:tc>
        <w:tc>
          <w:tcPr>
            <w:tcW w:w="203" w:type="dxa"/>
            <w:shd w:val="clear" w:color="auto" w:fill="auto"/>
            <w:tcMar>
              <w:left w:w="0" w:type="dxa"/>
            </w:tcMar>
          </w:tcPr>
          <w:p w14:paraId="25DB299F" w14:textId="77777777" w:rsidR="00D42211" w:rsidRDefault="00D42211" w:rsidP="00D42211">
            <w:pPr>
              <w:pStyle w:val="Textpoznpodarou"/>
              <w:jc w:val="both"/>
              <w:rPr>
                <w:spacing w:val="-4"/>
              </w:rPr>
            </w:pPr>
          </w:p>
        </w:tc>
        <w:tc>
          <w:tcPr>
            <w:tcW w:w="7656" w:type="dxa"/>
            <w:shd w:val="clear" w:color="auto" w:fill="auto"/>
            <w:tcMar>
              <w:left w:w="0" w:type="dxa"/>
            </w:tcMar>
          </w:tcPr>
          <w:p w14:paraId="63D86C9C" w14:textId="77777777" w:rsidR="00D42211" w:rsidRPr="00146F85" w:rsidRDefault="00D42211" w:rsidP="00D42211">
            <w:pPr>
              <w:spacing w:after="200"/>
              <w:rPr>
                <w:spacing w:val="-4"/>
              </w:rPr>
            </w:pPr>
            <w:r>
              <w:rPr>
                <w:color w:val="0D0D0D" w:themeColor="text1" w:themeTint="F2"/>
                <w:spacing w:val="-4"/>
                <w:szCs w:val="20"/>
              </w:rPr>
              <w:t xml:space="preserve">Celostátní výběr korporátní daně (bez mimořádných daní) po dvojciferných růstech v předchozích třech letech v 1. pololetí 2024 v souladu s rozpočtovým očekáváním citelně zvolnil (na 1,4 %, výběr na úrovni SR dokonce jen stagnoval). </w:t>
            </w:r>
            <w:r>
              <w:rPr>
                <w:color w:val="0D0D0D" w:themeColor="text1" w:themeTint="F2"/>
                <w:spacing w:val="-4"/>
              </w:rPr>
              <w:t>Vedle pravidelných příjmů plynoucích z korporátní daně pokračovaly letos i ty nepravidelné. Díky dvěma čtvrtletním zálohovým platbám dosáhl zatím letos výběr daně z</w:t>
            </w:r>
            <w:r w:rsidRPr="00B57210">
              <w:rPr>
                <w:spacing w:val="-4"/>
              </w:rPr>
              <w:t> neočekávaných zisků</w:t>
            </w:r>
            <w:r w:rsidRPr="00B57210">
              <w:rPr>
                <w:rStyle w:val="Znakapoznpodarou"/>
                <w:spacing w:val="-4"/>
              </w:rPr>
              <w:footnoteReference w:id="11"/>
            </w:r>
            <w:r>
              <w:rPr>
                <w:spacing w:val="-4"/>
              </w:rPr>
              <w:t xml:space="preserve"> 18,2 mld. korun (vlivem odvodů ve 2. pololetí 2023 získal SR za celý loňský rok na zálohách 39,1 mld. korun, výrazně méně než činil původní odhad MF). Rozpočtová očekávání byla u této daně letos zásadně redukována, a tak již aktuální pololetní inkaso celoroční plán naplnilo. Na rozdíl od loňského roku již SR prakticky nepočítá s příjmy z daně</w:t>
            </w:r>
            <w:r w:rsidRPr="00B57210">
              <w:rPr>
                <w:spacing w:val="-4"/>
              </w:rPr>
              <w:t xml:space="preserve"> z nadměrných příjmů</w:t>
            </w:r>
            <w:r w:rsidRPr="00B57210">
              <w:rPr>
                <w:rStyle w:val="Znakapoznpodarou"/>
                <w:spacing w:val="-4"/>
              </w:rPr>
              <w:footnoteReference w:id="12"/>
            </w:r>
            <w:r>
              <w:rPr>
                <w:spacing w:val="-4"/>
              </w:rPr>
              <w:t xml:space="preserve">, na níž za celý rok obdržel 18,5 mld. korun (z toho v 1. pololetí 12,8 mld.). </w:t>
            </w:r>
          </w:p>
        </w:tc>
      </w:tr>
      <w:tr w:rsidR="00D42211" w:rsidRPr="003C07E6" w14:paraId="36638029" w14:textId="77777777" w:rsidTr="00D42211">
        <w:trPr>
          <w:trHeight w:val="60"/>
        </w:trPr>
        <w:tc>
          <w:tcPr>
            <w:tcW w:w="1810" w:type="dxa"/>
            <w:shd w:val="clear" w:color="auto" w:fill="auto"/>
            <w:tcMar>
              <w:left w:w="0" w:type="dxa"/>
            </w:tcMar>
          </w:tcPr>
          <w:p w14:paraId="1C8DA339" w14:textId="77777777" w:rsidR="00D42211" w:rsidRDefault="00D42211" w:rsidP="00D42211">
            <w:pPr>
              <w:pStyle w:val="Marginlie"/>
            </w:pPr>
          </w:p>
        </w:tc>
        <w:tc>
          <w:tcPr>
            <w:tcW w:w="203" w:type="dxa"/>
            <w:shd w:val="clear" w:color="auto" w:fill="auto"/>
            <w:tcMar>
              <w:left w:w="0" w:type="dxa"/>
            </w:tcMar>
          </w:tcPr>
          <w:p w14:paraId="00BB91D0" w14:textId="77777777" w:rsidR="00D42211" w:rsidRDefault="00D42211" w:rsidP="00D42211">
            <w:pPr>
              <w:pStyle w:val="Textpoznpodarou"/>
              <w:jc w:val="both"/>
              <w:rPr>
                <w:spacing w:val="-4"/>
              </w:rPr>
            </w:pPr>
          </w:p>
        </w:tc>
        <w:tc>
          <w:tcPr>
            <w:tcW w:w="7656" w:type="dxa"/>
            <w:shd w:val="clear" w:color="auto" w:fill="auto"/>
            <w:tcMar>
              <w:left w:w="0" w:type="dxa"/>
            </w:tcMar>
          </w:tcPr>
          <w:p w14:paraId="36D577D9" w14:textId="0AF94131" w:rsidR="00D42211" w:rsidRPr="001B78B8" w:rsidRDefault="00625F8F" w:rsidP="00D42211">
            <w:pPr>
              <w:spacing w:after="40"/>
              <w:rPr>
                <w:color w:val="0D0D0D" w:themeColor="text1" w:themeTint="F2"/>
                <w:spacing w:val="-4"/>
              </w:rPr>
            </w:pPr>
            <w:r>
              <w:rPr>
                <w:rFonts w:cs="Arial"/>
                <w:b/>
                <w:bCs/>
                <w:color w:val="000000"/>
                <w:spacing w:val="-2"/>
                <w:szCs w:val="20"/>
              </w:rPr>
              <w:t>Graf č. 17</w:t>
            </w:r>
            <w:r w:rsidR="00D42211" w:rsidRPr="004457BD">
              <w:rPr>
                <w:rFonts w:cs="Arial"/>
                <w:b/>
                <w:bCs/>
                <w:color w:val="000000"/>
                <w:spacing w:val="-2"/>
                <w:szCs w:val="20"/>
              </w:rPr>
              <w:t xml:space="preserve"> Příspěvek dílčích příjmů k meziročnímu růstu </w:t>
            </w:r>
            <w:r w:rsidR="00D42211">
              <w:rPr>
                <w:rFonts w:cs="Arial"/>
                <w:b/>
                <w:bCs/>
                <w:color w:val="000000"/>
                <w:spacing w:val="-2"/>
                <w:szCs w:val="20"/>
              </w:rPr>
              <w:t xml:space="preserve">souhrnného </w:t>
            </w:r>
            <w:r w:rsidR="00D42211" w:rsidRPr="004457BD">
              <w:rPr>
                <w:rFonts w:cs="Arial"/>
                <w:b/>
                <w:bCs/>
                <w:color w:val="000000"/>
                <w:spacing w:val="-2"/>
                <w:szCs w:val="20"/>
              </w:rPr>
              <w:t xml:space="preserve">celostátního inkasa daňových příjmů </w:t>
            </w:r>
            <w:r w:rsidR="00D42211" w:rsidRPr="004457BD">
              <w:rPr>
                <w:rFonts w:cs="Arial"/>
                <w:bCs/>
                <w:color w:val="000000"/>
                <w:spacing w:val="-2"/>
                <w:szCs w:val="20"/>
              </w:rPr>
              <w:t xml:space="preserve">(v p. b.), </w:t>
            </w:r>
            <w:r w:rsidR="00D42211" w:rsidRPr="004457BD">
              <w:rPr>
                <w:rFonts w:cs="Arial"/>
                <w:b/>
                <w:bCs/>
                <w:color w:val="000000"/>
                <w:spacing w:val="-2"/>
                <w:szCs w:val="20"/>
              </w:rPr>
              <w:t>meziroční růst příjmů pojistného</w:t>
            </w:r>
            <w:r w:rsidR="00D42211">
              <w:rPr>
                <w:rFonts w:cs="Arial"/>
                <w:b/>
                <w:bCs/>
                <w:color w:val="000000"/>
                <w:spacing w:val="-2"/>
                <w:szCs w:val="20"/>
              </w:rPr>
              <w:t xml:space="preserve"> na sociální</w:t>
            </w:r>
            <w:r w:rsidR="00D42211" w:rsidRPr="004457BD">
              <w:rPr>
                <w:rFonts w:cs="Arial"/>
                <w:b/>
                <w:bCs/>
                <w:color w:val="000000"/>
                <w:spacing w:val="-2"/>
                <w:szCs w:val="20"/>
              </w:rPr>
              <w:t xml:space="preserve"> zabezpečení</w:t>
            </w:r>
            <w:r w:rsidR="00D42211" w:rsidRPr="004457BD">
              <w:rPr>
                <w:rFonts w:cs="Arial"/>
                <w:bCs/>
                <w:color w:val="000000"/>
                <w:spacing w:val="-2"/>
                <w:szCs w:val="20"/>
              </w:rPr>
              <w:t xml:space="preserve"> (%) </w:t>
            </w:r>
            <w:r w:rsidR="00D42211" w:rsidRPr="004457BD">
              <w:rPr>
                <w:rFonts w:cs="Arial"/>
                <w:b/>
                <w:bCs/>
                <w:color w:val="000000"/>
                <w:spacing w:val="-2"/>
                <w:szCs w:val="20"/>
              </w:rPr>
              <w:t xml:space="preserve">a saldo státního rozpočtu </w:t>
            </w:r>
            <w:r w:rsidR="00D42211" w:rsidRPr="004457BD">
              <w:rPr>
                <w:rFonts w:cs="Arial"/>
                <w:bCs/>
                <w:color w:val="000000"/>
                <w:spacing w:val="-2"/>
                <w:szCs w:val="20"/>
              </w:rPr>
              <w:t>(v mld. korun)</w:t>
            </w:r>
            <w:r w:rsidR="00D42211">
              <w:rPr>
                <w:rFonts w:cs="Arial"/>
                <w:bCs/>
                <w:color w:val="000000"/>
                <w:spacing w:val="-2"/>
                <w:szCs w:val="20"/>
              </w:rPr>
              <w:t xml:space="preserve"> </w:t>
            </w:r>
            <w:r w:rsidR="00D42211">
              <w:rPr>
                <w:rFonts w:cs="Arial"/>
                <w:b/>
                <w:bCs/>
              </w:rPr>
              <w:t>v rámci 1. pololetí</w:t>
            </w:r>
          </w:p>
        </w:tc>
      </w:tr>
      <w:tr w:rsidR="00D42211" w:rsidRPr="00F704D2" w14:paraId="28C38EAF" w14:textId="77777777" w:rsidTr="00D42211">
        <w:tblPrEx>
          <w:tblCellMar>
            <w:left w:w="70" w:type="dxa"/>
            <w:right w:w="70" w:type="dxa"/>
          </w:tblCellMar>
        </w:tblPrEx>
        <w:trPr>
          <w:trHeight w:val="170"/>
        </w:trPr>
        <w:tc>
          <w:tcPr>
            <w:tcW w:w="1810" w:type="dxa"/>
            <w:vMerge w:val="restart"/>
            <w:shd w:val="clear" w:color="auto" w:fill="auto"/>
          </w:tcPr>
          <w:p w14:paraId="223874B2" w14:textId="77777777" w:rsidR="00D42211" w:rsidRDefault="00D42211" w:rsidP="00D42211">
            <w:pPr>
              <w:pStyle w:val="Marginlie"/>
            </w:pPr>
          </w:p>
        </w:tc>
        <w:tc>
          <w:tcPr>
            <w:tcW w:w="203" w:type="dxa"/>
            <w:vMerge w:val="restart"/>
            <w:shd w:val="clear" w:color="auto" w:fill="auto"/>
          </w:tcPr>
          <w:p w14:paraId="6AE1954C" w14:textId="77777777" w:rsidR="00D42211" w:rsidRDefault="00D42211" w:rsidP="00D42211">
            <w:pPr>
              <w:pStyle w:val="Textpoznpodarou"/>
              <w:jc w:val="both"/>
              <w:rPr>
                <w:spacing w:val="-4"/>
              </w:rPr>
            </w:pPr>
          </w:p>
          <w:p w14:paraId="6B296D22" w14:textId="77777777" w:rsidR="00D42211" w:rsidRDefault="00D42211" w:rsidP="00D42211">
            <w:pPr>
              <w:pStyle w:val="Textpoznpodarou"/>
              <w:jc w:val="both"/>
              <w:rPr>
                <w:spacing w:val="-4"/>
              </w:rPr>
            </w:pPr>
          </w:p>
        </w:tc>
        <w:tc>
          <w:tcPr>
            <w:tcW w:w="7656" w:type="dxa"/>
            <w:shd w:val="clear" w:color="auto" w:fill="auto"/>
          </w:tcPr>
          <w:p w14:paraId="2F4C9A2D" w14:textId="77777777" w:rsidR="00D42211" w:rsidRPr="004457BD" w:rsidRDefault="00D42211" w:rsidP="00D42211">
            <w:pPr>
              <w:spacing w:after="40"/>
              <w:rPr>
                <w:rFonts w:cs="Arial"/>
                <w:b/>
                <w:bCs/>
                <w:color w:val="000000"/>
                <w:spacing w:val="-2"/>
                <w:szCs w:val="20"/>
              </w:rPr>
            </w:pPr>
            <w:r>
              <w:rPr>
                <w:noProof/>
              </w:rPr>
              <w:drawing>
                <wp:inline distT="0" distB="0" distL="0" distR="0" wp14:anchorId="78197FD5" wp14:editId="74D5A791">
                  <wp:extent cx="4749800" cy="3312000"/>
                  <wp:effectExtent l="0" t="0" r="0" b="3175"/>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D42211" w14:paraId="6FECC07B" w14:textId="77777777" w:rsidTr="00D42211">
        <w:tblPrEx>
          <w:tblCellMar>
            <w:left w:w="70" w:type="dxa"/>
            <w:right w:w="70" w:type="dxa"/>
          </w:tblCellMar>
        </w:tblPrEx>
        <w:trPr>
          <w:trHeight w:val="1317"/>
        </w:trPr>
        <w:tc>
          <w:tcPr>
            <w:tcW w:w="1810" w:type="dxa"/>
            <w:vMerge/>
            <w:shd w:val="clear" w:color="auto" w:fill="auto"/>
          </w:tcPr>
          <w:p w14:paraId="71459D59" w14:textId="77777777" w:rsidR="00D42211" w:rsidRDefault="00D42211" w:rsidP="00D42211">
            <w:pPr>
              <w:pStyle w:val="Marginlie"/>
            </w:pPr>
          </w:p>
        </w:tc>
        <w:tc>
          <w:tcPr>
            <w:tcW w:w="203" w:type="dxa"/>
            <w:vMerge/>
            <w:shd w:val="clear" w:color="auto" w:fill="auto"/>
          </w:tcPr>
          <w:p w14:paraId="16B24E01" w14:textId="77777777" w:rsidR="00D42211" w:rsidRDefault="00D42211" w:rsidP="00D42211">
            <w:pPr>
              <w:pStyle w:val="Textpoznpodarou"/>
              <w:jc w:val="both"/>
              <w:rPr>
                <w:spacing w:val="-4"/>
              </w:rPr>
            </w:pPr>
          </w:p>
        </w:tc>
        <w:tc>
          <w:tcPr>
            <w:tcW w:w="7656" w:type="dxa"/>
            <w:shd w:val="clear" w:color="auto" w:fill="auto"/>
          </w:tcPr>
          <w:p w14:paraId="51673AC7" w14:textId="77777777" w:rsidR="00D42211" w:rsidRDefault="00D42211" w:rsidP="00D42211">
            <w:pPr>
              <w:tabs>
                <w:tab w:val="right" w:pos="7683"/>
              </w:tabs>
              <w:spacing w:after="0" w:line="240" w:lineRule="auto"/>
              <w:jc w:val="left"/>
              <w:rPr>
                <w:spacing w:val="-2"/>
                <w:sz w:val="14"/>
                <w:szCs w:val="14"/>
              </w:rPr>
            </w:pPr>
            <w:r w:rsidRPr="004457BD">
              <w:rPr>
                <w:spacing w:val="-2"/>
                <w:sz w:val="14"/>
                <w:szCs w:val="14"/>
              </w:rPr>
              <w:t>*Zahrnují i příspěvky na státní politiku zaměstnanosti.</w:t>
            </w:r>
          </w:p>
          <w:p w14:paraId="0046C9E6" w14:textId="77777777" w:rsidR="00D42211" w:rsidRDefault="00D42211" w:rsidP="00D42211">
            <w:pPr>
              <w:tabs>
                <w:tab w:val="right" w:pos="7683"/>
              </w:tabs>
              <w:spacing w:after="0" w:line="240" w:lineRule="auto"/>
              <w:jc w:val="left"/>
              <w:rPr>
                <w:spacing w:val="-2"/>
                <w:sz w:val="14"/>
                <w:szCs w:val="14"/>
              </w:rPr>
            </w:pPr>
            <w:r w:rsidRPr="004457BD">
              <w:rPr>
                <w:spacing w:val="-2"/>
                <w:sz w:val="14"/>
                <w:szCs w:val="14"/>
              </w:rPr>
              <w:t>**Saldo očištěné o prostředky na pro</w:t>
            </w:r>
            <w:r>
              <w:rPr>
                <w:spacing w:val="-2"/>
                <w:sz w:val="14"/>
                <w:szCs w:val="14"/>
              </w:rPr>
              <w:t>gramy/projekty z rozpočtu EU a f</w:t>
            </w:r>
            <w:r w:rsidRPr="004457BD">
              <w:rPr>
                <w:spacing w:val="-2"/>
                <w:sz w:val="14"/>
                <w:szCs w:val="14"/>
              </w:rPr>
              <w:t xml:space="preserve">inančních mechanismů, které byly předfinancovány ze SR a následně jsou propláceny z rozpočtu EU a FM. </w:t>
            </w:r>
            <w:r>
              <w:rPr>
                <w:spacing w:val="-2"/>
                <w:sz w:val="14"/>
                <w:szCs w:val="14"/>
              </w:rPr>
              <w:t xml:space="preserve">Celoroční údaje </w:t>
            </w:r>
            <w:r w:rsidRPr="004457BD">
              <w:rPr>
                <w:spacing w:val="-2"/>
                <w:sz w:val="14"/>
                <w:szCs w:val="14"/>
              </w:rPr>
              <w:t>jsou</w:t>
            </w:r>
            <w:r>
              <w:rPr>
                <w:spacing w:val="-2"/>
                <w:sz w:val="14"/>
                <w:szCs w:val="14"/>
              </w:rPr>
              <w:t xml:space="preserve"> k dispozici počínaje rokem 2013</w:t>
            </w:r>
            <w:r w:rsidRPr="004457BD">
              <w:rPr>
                <w:spacing w:val="-2"/>
                <w:sz w:val="14"/>
                <w:szCs w:val="14"/>
              </w:rPr>
              <w:t>.</w:t>
            </w:r>
          </w:p>
          <w:p w14:paraId="36BC3BB8" w14:textId="77777777" w:rsidR="00D42211" w:rsidRDefault="00D42211" w:rsidP="00D42211">
            <w:pPr>
              <w:tabs>
                <w:tab w:val="right" w:pos="7683"/>
              </w:tabs>
              <w:spacing w:after="0" w:line="240" w:lineRule="auto"/>
              <w:jc w:val="left"/>
              <w:rPr>
                <w:sz w:val="16"/>
                <w:szCs w:val="16"/>
              </w:rPr>
            </w:pPr>
            <w:r>
              <w:rPr>
                <w:spacing w:val="-2"/>
                <w:sz w:val="14"/>
                <w:szCs w:val="14"/>
              </w:rPr>
              <w:t>FO = fyzické soby, PO = právnické osoby. Ostatní daně z příjmů FO zahrnují daně placené</w:t>
            </w:r>
            <w:r w:rsidRPr="005B05AD">
              <w:rPr>
                <w:spacing w:val="-2"/>
                <w:sz w:val="14"/>
                <w:szCs w:val="14"/>
              </w:rPr>
              <w:t xml:space="preserve"> poplatníky</w:t>
            </w:r>
            <w:r>
              <w:rPr>
                <w:spacing w:val="-2"/>
                <w:sz w:val="14"/>
                <w:szCs w:val="14"/>
              </w:rPr>
              <w:t xml:space="preserve"> (zejména z drobného podnikání) a dále daně vybírané</w:t>
            </w:r>
            <w:r w:rsidRPr="005B05AD">
              <w:rPr>
                <w:spacing w:val="-2"/>
                <w:sz w:val="14"/>
                <w:szCs w:val="14"/>
              </w:rPr>
              <w:t xml:space="preserve"> srážkou</w:t>
            </w:r>
            <w:r>
              <w:rPr>
                <w:spacing w:val="-2"/>
                <w:sz w:val="14"/>
                <w:szCs w:val="14"/>
              </w:rPr>
              <w:t>.</w:t>
            </w:r>
          </w:p>
          <w:p w14:paraId="6E4BE067" w14:textId="77777777" w:rsidR="00D42211" w:rsidRPr="004B3752" w:rsidRDefault="00D42211" w:rsidP="00D42211">
            <w:pPr>
              <w:spacing w:after="0" w:line="240" w:lineRule="auto"/>
              <w:rPr>
                <w:sz w:val="14"/>
                <w:szCs w:val="14"/>
              </w:rPr>
            </w:pPr>
            <w:r>
              <w:rPr>
                <w:sz w:val="14"/>
                <w:szCs w:val="14"/>
              </w:rPr>
              <w:t>Ostatní daně a poplatky obsahují zejména daň z nemovitých věcí, d</w:t>
            </w:r>
            <w:r w:rsidRPr="001F4360">
              <w:rPr>
                <w:sz w:val="14"/>
                <w:szCs w:val="14"/>
              </w:rPr>
              <w:t>aň z hazardních her</w:t>
            </w:r>
            <w:r>
              <w:rPr>
                <w:sz w:val="14"/>
                <w:szCs w:val="14"/>
              </w:rPr>
              <w:t>, d</w:t>
            </w:r>
            <w:r w:rsidRPr="001F4360">
              <w:rPr>
                <w:sz w:val="14"/>
                <w:szCs w:val="14"/>
              </w:rPr>
              <w:t>álniční poplatek</w:t>
            </w:r>
            <w:r>
              <w:rPr>
                <w:sz w:val="14"/>
                <w:szCs w:val="14"/>
              </w:rPr>
              <w:t>, mýtné a od roku 2023 nově rovněž o</w:t>
            </w:r>
            <w:r w:rsidRPr="003C78E5">
              <w:rPr>
                <w:sz w:val="14"/>
                <w:szCs w:val="14"/>
              </w:rPr>
              <w:t>dvod z nadměrných příjmů</w:t>
            </w:r>
            <w:r>
              <w:rPr>
                <w:sz w:val="14"/>
                <w:szCs w:val="14"/>
              </w:rPr>
              <w:t xml:space="preserve"> a neočekávaných zisků.                                                   Zdroj: MF ČR</w:t>
            </w:r>
          </w:p>
        </w:tc>
      </w:tr>
      <w:tr w:rsidR="00D42211" w:rsidRPr="007B3A78" w14:paraId="2A3B9210" w14:textId="77777777" w:rsidTr="00D42211">
        <w:trPr>
          <w:trHeight w:val="170"/>
        </w:trPr>
        <w:tc>
          <w:tcPr>
            <w:tcW w:w="1810" w:type="dxa"/>
            <w:shd w:val="clear" w:color="auto" w:fill="auto"/>
            <w:tcMar>
              <w:left w:w="0" w:type="dxa"/>
            </w:tcMar>
          </w:tcPr>
          <w:p w14:paraId="68A132A1" w14:textId="77777777" w:rsidR="00D42211" w:rsidRDefault="00D42211" w:rsidP="00D42211">
            <w:pPr>
              <w:pStyle w:val="Marginlie"/>
            </w:pPr>
            <w:r>
              <w:lastRenderedPageBreak/>
              <w:t>Ve svižném růstu daně ze závislé činnosti od fyzických osob se odrážela dobrá kondice trhu práce i legislativní změny schválené v rámci konsolidace veřejných financí.</w:t>
            </w:r>
          </w:p>
        </w:tc>
        <w:tc>
          <w:tcPr>
            <w:tcW w:w="203" w:type="dxa"/>
            <w:shd w:val="clear" w:color="auto" w:fill="auto"/>
            <w:tcMar>
              <w:left w:w="0" w:type="dxa"/>
            </w:tcMar>
          </w:tcPr>
          <w:p w14:paraId="0B2045C0" w14:textId="77777777" w:rsidR="00D42211" w:rsidRDefault="00D42211" w:rsidP="00D42211">
            <w:pPr>
              <w:pStyle w:val="Textpoznpodarou"/>
              <w:jc w:val="both"/>
              <w:rPr>
                <w:spacing w:val="-4"/>
              </w:rPr>
            </w:pPr>
          </w:p>
        </w:tc>
        <w:tc>
          <w:tcPr>
            <w:tcW w:w="7656" w:type="dxa"/>
            <w:shd w:val="clear" w:color="auto" w:fill="auto"/>
            <w:tcMar>
              <w:left w:w="0" w:type="dxa"/>
            </w:tcMar>
          </w:tcPr>
          <w:p w14:paraId="70208281" w14:textId="77777777" w:rsidR="00D42211" w:rsidRDefault="00D42211" w:rsidP="00D42211">
            <w:pPr>
              <w:spacing w:after="200"/>
              <w:rPr>
                <w:spacing w:val="-4"/>
              </w:rPr>
            </w:pPr>
            <w:r>
              <w:rPr>
                <w:spacing w:val="-4"/>
              </w:rPr>
              <w:t xml:space="preserve">Na </w:t>
            </w:r>
            <w:r w:rsidRPr="00A66831">
              <w:rPr>
                <w:color w:val="0D0D0D" w:themeColor="text1" w:themeTint="F2"/>
                <w:spacing w:val="-4"/>
              </w:rPr>
              <w:t>dani</w:t>
            </w:r>
            <w:r w:rsidRPr="00A66831">
              <w:rPr>
                <w:color w:val="0D0D0D" w:themeColor="text1" w:themeTint="F2"/>
                <w:spacing w:val="-5"/>
              </w:rPr>
              <w:t xml:space="preserve"> z příjmů fyzických osob (</w:t>
            </w:r>
            <w:r w:rsidRPr="00A66831">
              <w:rPr>
                <w:color w:val="0D0D0D" w:themeColor="text1" w:themeTint="F2"/>
                <w:spacing w:val="-4"/>
              </w:rPr>
              <w:t>DPFO</w:t>
            </w:r>
            <w:r w:rsidRPr="009F0CDD">
              <w:rPr>
                <w:color w:val="0D0D0D" w:themeColor="text1" w:themeTint="F2"/>
                <w:spacing w:val="-4"/>
              </w:rPr>
              <w:t>)</w:t>
            </w:r>
            <w:r>
              <w:rPr>
                <w:color w:val="0D0D0D" w:themeColor="text1" w:themeTint="F2"/>
                <w:spacing w:val="-4"/>
              </w:rPr>
              <w:t xml:space="preserve"> plynulo SR v 1. pololetí meziročně o 18,0 % více, tempo růstu se zatím pohybuje nad rozpočtovým očekáváním (což platí pro všechny hlavní druhy DPFO). K růstu inkasa přispěla zejména </w:t>
            </w:r>
            <w:r w:rsidRPr="009F0CDD">
              <w:rPr>
                <w:color w:val="0D0D0D" w:themeColor="text1" w:themeTint="F2"/>
                <w:spacing w:val="-4"/>
              </w:rPr>
              <w:t>klíčo</w:t>
            </w:r>
            <w:r>
              <w:rPr>
                <w:color w:val="0D0D0D" w:themeColor="text1" w:themeTint="F2"/>
                <w:spacing w:val="-4"/>
              </w:rPr>
              <w:t xml:space="preserve">vá příjmová daň </w:t>
            </w:r>
            <w:r w:rsidRPr="009F0CDD">
              <w:rPr>
                <w:color w:val="0D0D0D" w:themeColor="text1" w:themeTint="F2"/>
                <w:spacing w:val="-4"/>
              </w:rPr>
              <w:t>ze závislé činnosti</w:t>
            </w:r>
            <w:r>
              <w:rPr>
                <w:color w:val="0D0D0D" w:themeColor="text1" w:themeTint="F2"/>
                <w:spacing w:val="-4"/>
              </w:rPr>
              <w:t xml:space="preserve"> (+17,6 %</w:t>
            </w:r>
            <w:r w:rsidRPr="009F0CDD">
              <w:rPr>
                <w:color w:val="0D0D0D" w:themeColor="text1" w:themeTint="F2"/>
                <w:spacing w:val="-4"/>
              </w:rPr>
              <w:t>)</w:t>
            </w:r>
            <w:r w:rsidRPr="009F0CDD">
              <w:rPr>
                <w:rStyle w:val="Znakapoznpodarou"/>
                <w:color w:val="0D0D0D" w:themeColor="text1" w:themeTint="F2"/>
                <w:spacing w:val="-4"/>
              </w:rPr>
              <w:footnoteReference w:id="13"/>
            </w:r>
            <w:r>
              <w:rPr>
                <w:color w:val="0D0D0D" w:themeColor="text1" w:themeTint="F2"/>
                <w:spacing w:val="-4"/>
              </w:rPr>
              <w:t>. Příznivě se v ní promítala jak přetrvávající dobrá kondice trhu práce (vyšší zaměstnanost</w:t>
            </w:r>
            <w:r w:rsidRPr="009F0CDD">
              <w:rPr>
                <w:color w:val="0D0D0D" w:themeColor="text1" w:themeTint="F2"/>
                <w:spacing w:val="-4"/>
              </w:rPr>
              <w:t xml:space="preserve"> i svižný nominální růst</w:t>
            </w:r>
            <w:r>
              <w:rPr>
                <w:color w:val="0D0D0D" w:themeColor="text1" w:themeTint="F2"/>
                <w:spacing w:val="-4"/>
              </w:rPr>
              <w:t xml:space="preserve"> průměrné mzdy v podnikové sféře), tak legislativní změny (především snížení</w:t>
            </w:r>
            <w:r w:rsidRPr="00A66831">
              <w:rPr>
                <w:color w:val="0D0D0D" w:themeColor="text1" w:themeTint="F2"/>
                <w:spacing w:val="-4"/>
              </w:rPr>
              <w:t xml:space="preserve"> pásma pro druhou zvýšenou sazbu </w:t>
            </w:r>
            <w:r>
              <w:rPr>
                <w:color w:val="0D0D0D" w:themeColor="text1" w:themeTint="F2"/>
                <w:spacing w:val="-4"/>
              </w:rPr>
              <w:t>této daně, v menší míře</w:t>
            </w:r>
            <w:r w:rsidRPr="00A66831">
              <w:rPr>
                <w:color w:val="0D0D0D" w:themeColor="text1" w:themeTint="F2"/>
                <w:spacing w:val="-4"/>
              </w:rPr>
              <w:t xml:space="preserve"> </w:t>
            </w:r>
            <w:r>
              <w:rPr>
                <w:color w:val="0D0D0D" w:themeColor="text1" w:themeTint="F2"/>
                <w:spacing w:val="-4"/>
              </w:rPr>
              <w:t>i</w:t>
            </w:r>
            <w:r w:rsidRPr="00A66831">
              <w:rPr>
                <w:color w:val="0D0D0D" w:themeColor="text1" w:themeTint="F2"/>
                <w:spacing w:val="-5"/>
              </w:rPr>
              <w:t> </w:t>
            </w:r>
            <w:r w:rsidRPr="00A66831">
              <w:rPr>
                <w:color w:val="0D0D0D" w:themeColor="text1" w:themeTint="F2"/>
                <w:spacing w:val="-4"/>
              </w:rPr>
              <w:t>úprava zdanění vybraných nepeněžních benefit</w:t>
            </w:r>
            <w:r>
              <w:rPr>
                <w:color w:val="0D0D0D" w:themeColor="text1" w:themeTint="F2"/>
                <w:spacing w:val="-4"/>
              </w:rPr>
              <w:t xml:space="preserve">ů či zrušení některých daňových slev). Nad očekávání se dařilo i výběru DPFO </w:t>
            </w:r>
            <w:r w:rsidRPr="009F0CDD">
              <w:rPr>
                <w:color w:val="0D0D0D" w:themeColor="text1" w:themeTint="F2"/>
                <w:spacing w:val="-4"/>
              </w:rPr>
              <w:t>vybírané srážkou</w:t>
            </w:r>
            <w:r>
              <w:rPr>
                <w:color w:val="0D0D0D" w:themeColor="text1" w:themeTint="F2"/>
                <w:spacing w:val="-4"/>
              </w:rPr>
              <w:t xml:space="preserve">. Za více než 20% růstem jejího inkasa stály přetrvávající vyšší </w:t>
            </w:r>
            <w:r>
              <w:rPr>
                <w:color w:val="0D0D0D" w:themeColor="text1" w:themeTint="F2"/>
                <w:spacing w:val="-5"/>
              </w:rPr>
              <w:t>úrokové sazby</w:t>
            </w:r>
            <w:r w:rsidRPr="00C1254A">
              <w:rPr>
                <w:color w:val="0D0D0D" w:themeColor="text1" w:themeTint="F2"/>
                <w:spacing w:val="-5"/>
              </w:rPr>
              <w:t xml:space="preserve"> na vkladech</w:t>
            </w:r>
            <w:r>
              <w:rPr>
                <w:color w:val="0D0D0D" w:themeColor="text1" w:themeTint="F2"/>
                <w:spacing w:val="-5"/>
              </w:rPr>
              <w:t xml:space="preserve">, nově se projevilo i snížení limitu pro osvobození příjmů z tombol a hazardních her. </w:t>
            </w:r>
          </w:p>
        </w:tc>
      </w:tr>
      <w:tr w:rsidR="00D42211" w:rsidRPr="007B3A78" w14:paraId="2091E98B" w14:textId="77777777" w:rsidTr="00D42211">
        <w:trPr>
          <w:trHeight w:val="170"/>
        </w:trPr>
        <w:tc>
          <w:tcPr>
            <w:tcW w:w="1810" w:type="dxa"/>
            <w:shd w:val="clear" w:color="auto" w:fill="auto"/>
            <w:tcMar>
              <w:left w:w="0" w:type="dxa"/>
            </w:tcMar>
          </w:tcPr>
          <w:p w14:paraId="4A5F4BC0" w14:textId="77777777" w:rsidR="00D42211" w:rsidRDefault="00D42211" w:rsidP="00D42211">
            <w:pPr>
              <w:pStyle w:val="Marginlie"/>
            </w:pPr>
            <w:r>
              <w:rPr>
                <w:spacing w:val="-5"/>
              </w:rPr>
              <w:t>Nedaňové a kapitálové příjmy byly negativně ovlivněny hlubším poklesem příjmů z rozpočtu EU.</w:t>
            </w:r>
          </w:p>
        </w:tc>
        <w:tc>
          <w:tcPr>
            <w:tcW w:w="203" w:type="dxa"/>
            <w:shd w:val="clear" w:color="auto" w:fill="auto"/>
            <w:tcMar>
              <w:left w:w="0" w:type="dxa"/>
            </w:tcMar>
          </w:tcPr>
          <w:p w14:paraId="44E9D9B8" w14:textId="77777777" w:rsidR="00D42211" w:rsidRDefault="00D42211" w:rsidP="00D42211">
            <w:pPr>
              <w:pStyle w:val="Textpoznpodarou"/>
              <w:jc w:val="both"/>
              <w:rPr>
                <w:spacing w:val="-4"/>
              </w:rPr>
            </w:pPr>
          </w:p>
        </w:tc>
        <w:tc>
          <w:tcPr>
            <w:tcW w:w="7656" w:type="dxa"/>
            <w:shd w:val="clear" w:color="auto" w:fill="auto"/>
            <w:tcMar>
              <w:left w:w="0" w:type="dxa"/>
            </w:tcMar>
          </w:tcPr>
          <w:p w14:paraId="5A5240EF" w14:textId="14BBE6A0" w:rsidR="00D42211" w:rsidRPr="00361978" w:rsidRDefault="00D42211" w:rsidP="00D42211">
            <w:pPr>
              <w:spacing w:after="200"/>
              <w:rPr>
                <w:color w:val="0D0D0D" w:themeColor="text1" w:themeTint="F2"/>
                <w:spacing w:val="-4"/>
              </w:rPr>
            </w:pPr>
            <w:r w:rsidRPr="005F5A3C">
              <w:rPr>
                <w:color w:val="0D0D0D" w:themeColor="text1" w:themeTint="F2"/>
                <w:spacing w:val="-4"/>
              </w:rPr>
              <w:t>Nedaňové a kapitálové příjmy</w:t>
            </w:r>
            <w:r>
              <w:rPr>
                <w:color w:val="0D0D0D" w:themeColor="text1" w:themeTint="F2"/>
                <w:spacing w:val="-4"/>
              </w:rPr>
              <w:t xml:space="preserve"> SR se v souladu s rozpočtovým očekáváním meziročně propadly, když v 1. pololetí byly nižší o pětinu (</w:t>
            </w:r>
            <w:r>
              <w:rPr>
                <w:spacing w:val="-4"/>
              </w:rPr>
              <w:t>−</w:t>
            </w:r>
            <w:r>
              <w:rPr>
                <w:color w:val="0D0D0D" w:themeColor="text1" w:themeTint="F2"/>
                <w:spacing w:val="-4"/>
              </w:rPr>
              <w:t xml:space="preserve">28 mld. korun). Projevil se efekt rekordně vysoké loňské základny, navýšené </w:t>
            </w:r>
            <w:r w:rsidRPr="00361978">
              <w:rPr>
                <w:color w:val="0D0D0D" w:themeColor="text1" w:themeTint="F2"/>
                <w:spacing w:val="-4"/>
              </w:rPr>
              <w:t>červnovou refundací prostředků z Národního plánu obnovy</w:t>
            </w:r>
            <w:r>
              <w:rPr>
                <w:color w:val="0D0D0D" w:themeColor="text1" w:themeTint="F2"/>
                <w:spacing w:val="-4"/>
              </w:rPr>
              <w:t xml:space="preserve"> (44 mld. korun, </w:t>
            </w:r>
            <w:r w:rsidRPr="00361978">
              <w:rPr>
                <w:color w:val="0D0D0D" w:themeColor="text1" w:themeTint="F2"/>
                <w:spacing w:val="-4"/>
              </w:rPr>
              <w:t>letos obdobné platby zatím dosáhly jen poloviční úrovně</w:t>
            </w:r>
            <w:r>
              <w:rPr>
                <w:color w:val="0D0D0D" w:themeColor="text1" w:themeTint="F2"/>
                <w:spacing w:val="-4"/>
              </w:rPr>
              <w:t>)</w:t>
            </w:r>
            <w:r w:rsidRPr="00361978">
              <w:rPr>
                <w:color w:val="0D0D0D" w:themeColor="text1" w:themeTint="F2"/>
                <w:spacing w:val="-4"/>
              </w:rPr>
              <w:t>.</w:t>
            </w:r>
            <w:r>
              <w:rPr>
                <w:color w:val="0D0D0D" w:themeColor="text1" w:themeTint="F2"/>
                <w:spacing w:val="-4"/>
              </w:rPr>
              <w:t xml:space="preserve"> V poklesu příjmů z rozpočtu EU se projevuje i očekávaný pomalejší náběh čerpání při přechodu na nové programové období (2021 až 2027).</w:t>
            </w:r>
          </w:p>
        </w:tc>
      </w:tr>
      <w:tr w:rsidR="00D42211" w:rsidRPr="007B3A78" w14:paraId="23B2AAF4" w14:textId="77777777" w:rsidTr="00D42211">
        <w:trPr>
          <w:trHeight w:val="170"/>
        </w:trPr>
        <w:tc>
          <w:tcPr>
            <w:tcW w:w="1810" w:type="dxa"/>
            <w:shd w:val="clear" w:color="auto" w:fill="auto"/>
            <w:tcMar>
              <w:left w:w="0" w:type="dxa"/>
            </w:tcMar>
          </w:tcPr>
          <w:p w14:paraId="18B92F5F" w14:textId="77777777" w:rsidR="00D42211" w:rsidRDefault="00D42211" w:rsidP="00D42211">
            <w:pPr>
              <w:pStyle w:val="Marginlie"/>
              <w:rPr>
                <w:spacing w:val="-5"/>
              </w:rPr>
            </w:pPr>
            <w:r>
              <w:rPr>
                <w:spacing w:val="-5"/>
              </w:rPr>
              <w:t>Růst běžných výdajů výrazně zvolnil. Projevil se očekávaný útlum mimořádných dotací v energetice.</w:t>
            </w:r>
          </w:p>
        </w:tc>
        <w:tc>
          <w:tcPr>
            <w:tcW w:w="203" w:type="dxa"/>
            <w:shd w:val="clear" w:color="auto" w:fill="auto"/>
            <w:tcMar>
              <w:left w:w="0" w:type="dxa"/>
            </w:tcMar>
          </w:tcPr>
          <w:p w14:paraId="135B19FE" w14:textId="77777777" w:rsidR="00D42211" w:rsidRDefault="00D42211" w:rsidP="00D42211">
            <w:pPr>
              <w:pStyle w:val="Textpoznpodarou"/>
              <w:jc w:val="both"/>
              <w:rPr>
                <w:spacing w:val="-4"/>
              </w:rPr>
            </w:pPr>
          </w:p>
        </w:tc>
        <w:tc>
          <w:tcPr>
            <w:tcW w:w="7656" w:type="dxa"/>
            <w:shd w:val="clear" w:color="auto" w:fill="auto"/>
            <w:tcMar>
              <w:left w:w="0" w:type="dxa"/>
            </w:tcMar>
          </w:tcPr>
          <w:p w14:paraId="2900EDE1" w14:textId="64D8532D" w:rsidR="00D42211" w:rsidRPr="00452944" w:rsidRDefault="00D42211" w:rsidP="00D42211">
            <w:pPr>
              <w:spacing w:after="200"/>
              <w:rPr>
                <w:color w:val="0D0D0D" w:themeColor="text1" w:themeTint="F2"/>
                <w:spacing w:val="-4"/>
              </w:rPr>
            </w:pPr>
            <w:r>
              <w:rPr>
                <w:color w:val="0D0D0D" w:themeColor="text1" w:themeTint="F2"/>
                <w:spacing w:val="-4"/>
              </w:rPr>
              <w:t>Celkové výdaje SR v 1. pololetí stagnovaly (+0,2 %) a významně se zatím neodchylovaly od celoročního rozpočtového očekávání (</w:t>
            </w:r>
            <w:r>
              <w:rPr>
                <w:spacing w:val="-4"/>
              </w:rPr>
              <w:t>−</w:t>
            </w:r>
            <w:r>
              <w:rPr>
                <w:color w:val="0D0D0D" w:themeColor="text1" w:themeTint="F2"/>
                <w:spacing w:val="-4"/>
              </w:rPr>
              <w:t>0,5 %). Běžné výdaje se po dvouciferném loňském růstu letos zvýšily jen o 0,5 % (+4,9 mld. korun). Toto razantní zvolnění souvisí hlavně s očekávaným útlumem podpory v oblasti energií (</w:t>
            </w:r>
            <w:r>
              <w:rPr>
                <w:spacing w:val="-4"/>
              </w:rPr>
              <w:t>−</w:t>
            </w:r>
            <w:r w:rsidRPr="00793F70">
              <w:rPr>
                <w:color w:val="0D0D0D" w:themeColor="text1" w:themeTint="F2"/>
                <w:spacing w:val="-4"/>
              </w:rPr>
              <w:t>35,5 mld. korun)</w:t>
            </w:r>
            <w:r>
              <w:rPr>
                <w:color w:val="0D0D0D" w:themeColor="text1" w:themeTint="F2"/>
                <w:spacing w:val="-4"/>
              </w:rPr>
              <w:t xml:space="preserve"> umožněným příznivým vývojem</w:t>
            </w:r>
            <w:r w:rsidRPr="003467F2">
              <w:rPr>
                <w:color w:val="0D0D0D" w:themeColor="text1" w:themeTint="F2"/>
                <w:spacing w:val="-4"/>
              </w:rPr>
              <w:t xml:space="preserve"> cen energií na světových trzích</w:t>
            </w:r>
            <w:r>
              <w:rPr>
                <w:color w:val="0D0D0D" w:themeColor="text1" w:themeTint="F2"/>
                <w:spacing w:val="-4"/>
              </w:rPr>
              <w:t>. Zklidnění cenového růstu v ekonomice se odrazilo i v nižším tlaku na valorizaci širokého spektra sociálních dávek. Ten byl dále u</w:t>
            </w:r>
            <w:r w:rsidRPr="00A66831">
              <w:rPr>
                <w:color w:val="0D0D0D" w:themeColor="text1" w:themeTint="F2"/>
                <w:spacing w:val="-5"/>
              </w:rPr>
              <w:t> </w:t>
            </w:r>
            <w:r>
              <w:rPr>
                <w:color w:val="0D0D0D" w:themeColor="text1" w:themeTint="F2"/>
                <w:spacing w:val="-4"/>
              </w:rPr>
              <w:t>důchodů zmírněn legislativními změnami řádné i mimořádné valorizace či zpřísněním podmínek přiznání předčasného důchodu.</w:t>
            </w:r>
          </w:p>
        </w:tc>
      </w:tr>
      <w:tr w:rsidR="00D42211" w:rsidRPr="007B3A78" w14:paraId="4577525F" w14:textId="77777777" w:rsidTr="00D42211">
        <w:trPr>
          <w:trHeight w:val="170"/>
        </w:trPr>
        <w:tc>
          <w:tcPr>
            <w:tcW w:w="1810" w:type="dxa"/>
            <w:shd w:val="clear" w:color="auto" w:fill="auto"/>
            <w:tcMar>
              <w:left w:w="0" w:type="dxa"/>
            </w:tcMar>
          </w:tcPr>
          <w:p w14:paraId="185520CB" w14:textId="77777777" w:rsidR="00D42211" w:rsidRDefault="00D42211" w:rsidP="00D42211">
            <w:pPr>
              <w:pStyle w:val="Marginlie"/>
              <w:rPr>
                <w:spacing w:val="-5"/>
              </w:rPr>
            </w:pPr>
            <w:r>
              <w:rPr>
                <w:spacing w:val="-5"/>
              </w:rPr>
              <w:t xml:space="preserve">Výdaje na důchody se zvýšily relativně nejméně za posledních šest let. Pololetní deficit důchodového účtu meziročně poklesl o čtvrtinu. </w:t>
            </w:r>
          </w:p>
        </w:tc>
        <w:tc>
          <w:tcPr>
            <w:tcW w:w="203" w:type="dxa"/>
            <w:shd w:val="clear" w:color="auto" w:fill="auto"/>
            <w:tcMar>
              <w:left w:w="0" w:type="dxa"/>
            </w:tcMar>
          </w:tcPr>
          <w:p w14:paraId="14D7D089" w14:textId="77777777" w:rsidR="00D42211" w:rsidRDefault="00D42211" w:rsidP="00D42211">
            <w:pPr>
              <w:pStyle w:val="Textpoznpodarou"/>
              <w:jc w:val="both"/>
              <w:rPr>
                <w:spacing w:val="-4"/>
              </w:rPr>
            </w:pPr>
          </w:p>
        </w:tc>
        <w:tc>
          <w:tcPr>
            <w:tcW w:w="7656" w:type="dxa"/>
            <w:shd w:val="clear" w:color="auto" w:fill="auto"/>
            <w:tcMar>
              <w:left w:w="0" w:type="dxa"/>
            </w:tcMar>
          </w:tcPr>
          <w:p w14:paraId="3667C181" w14:textId="28477601" w:rsidR="00D42211" w:rsidRPr="001346CF" w:rsidRDefault="00D42211" w:rsidP="00D42211">
            <w:pPr>
              <w:spacing w:after="200"/>
              <w:rPr>
                <w:color w:val="0D0D0D" w:themeColor="text1" w:themeTint="F2"/>
                <w:spacing w:val="-6"/>
              </w:rPr>
            </w:pPr>
            <w:r w:rsidRPr="001346CF">
              <w:rPr>
                <w:color w:val="0D0D0D" w:themeColor="text1" w:themeTint="F2"/>
                <w:spacing w:val="-6"/>
              </w:rPr>
              <w:t xml:space="preserve">K růstu běžných výdajů přispěly zatím letos nejvíce dotace státním fondům (meziročně vyšší skoro o dvě třetiny, resp. 17,3 mld. korun), zejména do oblasti dopravní infrastruktury, v menší míře i do zemědělství. Významný vliv měla také váhově významná položka sociálních dávek (+17,2 mld. korun), která se i přes zpomalení svého růstu na veškerých výdajích SR podílela 39,9 % </w:t>
            </w:r>
            <w:r w:rsidRPr="001346CF">
              <w:rPr>
                <w:spacing w:val="-6"/>
              </w:rPr>
              <w:t>–</w:t>
            </w:r>
            <w:r w:rsidRPr="001346CF">
              <w:rPr>
                <w:color w:val="0D0D0D" w:themeColor="text1" w:themeTint="F2"/>
                <w:spacing w:val="-6"/>
              </w:rPr>
              <w:t xml:space="preserve"> nejvíce za posledních šest let</w:t>
            </w:r>
            <w:r w:rsidRPr="001346CF">
              <w:rPr>
                <w:rStyle w:val="Znakapoznpodarou"/>
                <w:color w:val="0D0D0D" w:themeColor="text1" w:themeTint="F2"/>
                <w:spacing w:val="-6"/>
              </w:rPr>
              <w:footnoteReference w:id="14"/>
            </w:r>
            <w:r w:rsidRPr="001346CF">
              <w:rPr>
                <w:color w:val="0D0D0D" w:themeColor="text1" w:themeTint="F2"/>
                <w:spacing w:val="-6"/>
              </w:rPr>
              <w:t xml:space="preserve">. Drtivá většina letošního navýšení sociálních dávek souvisela tradičně s výdaji na důchody. Ty se po rekordním loňském růstu zatím letos navýšily </w:t>
            </w:r>
            <w:r w:rsidRPr="001346CF">
              <w:rPr>
                <w:color w:val="0D0D0D" w:themeColor="text1" w:themeTint="F2"/>
                <w:spacing w:val="-7"/>
              </w:rPr>
              <w:t xml:space="preserve">o 4,3 %. </w:t>
            </w:r>
            <w:r w:rsidRPr="001346CF">
              <w:rPr>
                <w:spacing w:val="-7"/>
              </w:rPr>
              <w:t>Vlivem ústupu inflace i změny valorizačního mechanismu</w:t>
            </w:r>
            <w:r w:rsidRPr="001346CF">
              <w:rPr>
                <w:spacing w:val="-7"/>
                <w:vertAlign w:val="superscript"/>
              </w:rPr>
              <w:footnoteReference w:id="15"/>
            </w:r>
            <w:r w:rsidRPr="001346CF">
              <w:rPr>
                <w:spacing w:val="-7"/>
              </w:rPr>
              <w:t xml:space="preserve"> šlo ale o nejnižší procentní</w:t>
            </w:r>
            <w:r w:rsidRPr="001346CF">
              <w:rPr>
                <w:spacing w:val="-6"/>
              </w:rPr>
              <w:t xml:space="preserve"> růst v posledních šesti letech. Na druhou stranu počet příjemců důchodů se po poklesu v předchozích třech letech opět zvýšil – na konci června 2024 meziročně o 0,6 % (nejvíce od konce roku 2016). Nadále výrazně roste počet lidí pobírajících</w:t>
            </w:r>
            <w:r w:rsidRPr="001346CF">
              <w:rPr>
                <w:color w:val="0D0D0D" w:themeColor="text1" w:themeTint="F2"/>
                <w:spacing w:val="-6"/>
              </w:rPr>
              <w:t> předčasné penze</w:t>
            </w:r>
            <w:r w:rsidRPr="001346CF">
              <w:rPr>
                <w:rStyle w:val="Znakapoznpodarou"/>
                <w:color w:val="0D0D0D" w:themeColor="text1" w:themeTint="F2"/>
                <w:spacing w:val="-6"/>
              </w:rPr>
              <w:footnoteReference w:id="16"/>
            </w:r>
            <w:r w:rsidRPr="001346CF">
              <w:rPr>
                <w:color w:val="0D0D0D" w:themeColor="text1" w:themeTint="F2"/>
                <w:spacing w:val="-6"/>
              </w:rPr>
              <w:t xml:space="preserve">. </w:t>
            </w:r>
            <w:r>
              <w:rPr>
                <w:color w:val="0D0D0D" w:themeColor="text1" w:themeTint="F2"/>
                <w:spacing w:val="-6"/>
              </w:rPr>
              <w:t>V</w:t>
            </w:r>
            <w:r w:rsidRPr="001346CF">
              <w:rPr>
                <w:color w:val="0D0D0D" w:themeColor="text1" w:themeTint="F2"/>
                <w:spacing w:val="-6"/>
              </w:rPr>
              <w:t xml:space="preserve">ýdaje na důchody rostly poprvé po třech letech pomaleji než příjmy na důchodové pojištění. Pololetní </w:t>
            </w:r>
            <w:r w:rsidRPr="001346CF">
              <w:rPr>
                <w:rFonts w:cs="Arial"/>
                <w:color w:val="0D0D0D" w:themeColor="text1" w:themeTint="F2"/>
                <w:spacing w:val="-6"/>
              </w:rPr>
              <w:t>saldo systému důchodového pojištění</w:t>
            </w:r>
            <w:r w:rsidRPr="001346CF">
              <w:rPr>
                <w:rStyle w:val="Znakapoznpodarou"/>
                <w:color w:val="0D0D0D" w:themeColor="text1" w:themeTint="F2"/>
                <w:spacing w:val="-6"/>
              </w:rPr>
              <w:footnoteReference w:id="17"/>
            </w:r>
            <w:r w:rsidRPr="001346CF">
              <w:rPr>
                <w:rFonts w:cs="Arial"/>
                <w:color w:val="0D0D0D" w:themeColor="text1" w:themeTint="F2"/>
                <w:spacing w:val="-6"/>
              </w:rPr>
              <w:t xml:space="preserve"> se tak snížilo z loňských </w:t>
            </w:r>
            <w:r>
              <w:rPr>
                <w:spacing w:val="-4"/>
              </w:rPr>
              <w:t>−</w:t>
            </w:r>
            <w:r>
              <w:rPr>
                <w:rFonts w:cs="Arial"/>
                <w:color w:val="0D0D0D" w:themeColor="text1" w:themeTint="F2"/>
                <w:spacing w:val="-6"/>
              </w:rPr>
              <w:t xml:space="preserve">38 mld. korun na </w:t>
            </w:r>
            <w:r>
              <w:rPr>
                <w:spacing w:val="-4"/>
              </w:rPr>
              <w:t>−</w:t>
            </w:r>
            <w:r w:rsidRPr="001346CF">
              <w:rPr>
                <w:rFonts w:cs="Arial"/>
                <w:color w:val="0D0D0D" w:themeColor="text1" w:themeTint="F2"/>
                <w:spacing w:val="-6"/>
              </w:rPr>
              <w:t>29 mld.</w:t>
            </w:r>
          </w:p>
        </w:tc>
      </w:tr>
      <w:tr w:rsidR="00D42211" w:rsidRPr="007B3A78" w14:paraId="2E2FC1D4" w14:textId="77777777" w:rsidTr="00D42211">
        <w:trPr>
          <w:trHeight w:val="170"/>
        </w:trPr>
        <w:tc>
          <w:tcPr>
            <w:tcW w:w="1810" w:type="dxa"/>
            <w:shd w:val="clear" w:color="auto" w:fill="auto"/>
            <w:tcMar>
              <w:left w:w="0" w:type="dxa"/>
            </w:tcMar>
          </w:tcPr>
          <w:p w14:paraId="0D9FDE8E" w14:textId="77777777" w:rsidR="00D42211" w:rsidRDefault="00D42211" w:rsidP="00D42211">
            <w:pPr>
              <w:pStyle w:val="Marginlie"/>
              <w:rPr>
                <w:spacing w:val="-5"/>
              </w:rPr>
            </w:pPr>
            <w:r>
              <w:rPr>
                <w:spacing w:val="-5"/>
              </w:rPr>
              <w:t>Zvolnil i růst výdajů na nedůchodové sociální dávky. Projevilo se nižší čerpání u rodičovských příspěvků i humanitárních dávek pro ukrajinské uprchlíky.</w:t>
            </w:r>
          </w:p>
          <w:p w14:paraId="4929B179" w14:textId="77777777" w:rsidR="00D42211" w:rsidRDefault="00D42211" w:rsidP="00D42211">
            <w:pPr>
              <w:pStyle w:val="Marginlie"/>
              <w:rPr>
                <w:spacing w:val="-5"/>
              </w:rPr>
            </w:pPr>
          </w:p>
          <w:p w14:paraId="5F8A3829" w14:textId="77777777" w:rsidR="00D42211" w:rsidRDefault="00D42211" w:rsidP="00D42211">
            <w:pPr>
              <w:pStyle w:val="Marginlie"/>
              <w:rPr>
                <w:spacing w:val="-5"/>
              </w:rPr>
            </w:pPr>
          </w:p>
          <w:p w14:paraId="5499687E" w14:textId="77777777" w:rsidR="00D42211" w:rsidRDefault="00D42211" w:rsidP="00D42211">
            <w:pPr>
              <w:pStyle w:val="Marginlie"/>
              <w:rPr>
                <w:spacing w:val="-5"/>
              </w:rPr>
            </w:pPr>
          </w:p>
          <w:p w14:paraId="1C4A7D52" w14:textId="77777777" w:rsidR="00D42211" w:rsidRDefault="00D42211" w:rsidP="00D42211">
            <w:pPr>
              <w:pStyle w:val="Marginlie"/>
              <w:rPr>
                <w:spacing w:val="-5"/>
              </w:rPr>
            </w:pPr>
            <w:r>
              <w:rPr>
                <w:spacing w:val="-5"/>
              </w:rPr>
              <w:t>Za růstem čerpání nedůchodových dávek stály zejména příspěvky na bydlení a podpora nezaměstnaným.</w:t>
            </w:r>
          </w:p>
          <w:p w14:paraId="70B67A91" w14:textId="77777777" w:rsidR="00D42211" w:rsidRDefault="00D42211" w:rsidP="00D42211">
            <w:pPr>
              <w:pStyle w:val="Marginlie"/>
              <w:rPr>
                <w:spacing w:val="-5"/>
              </w:rPr>
            </w:pPr>
          </w:p>
          <w:p w14:paraId="23890D54" w14:textId="77777777" w:rsidR="00D42211" w:rsidRDefault="00D42211" w:rsidP="00D42211">
            <w:pPr>
              <w:pStyle w:val="Marginlie"/>
              <w:rPr>
                <w:spacing w:val="-5"/>
              </w:rPr>
            </w:pPr>
          </w:p>
          <w:p w14:paraId="5BD124B5" w14:textId="77777777" w:rsidR="00D42211" w:rsidRDefault="00D42211" w:rsidP="00D42211">
            <w:pPr>
              <w:pStyle w:val="Marginlie"/>
              <w:rPr>
                <w:spacing w:val="-5"/>
              </w:rPr>
            </w:pPr>
          </w:p>
          <w:p w14:paraId="017A21C1" w14:textId="77777777" w:rsidR="00D42211" w:rsidRDefault="00D42211" w:rsidP="00D42211">
            <w:pPr>
              <w:pStyle w:val="Marginlie"/>
              <w:rPr>
                <w:spacing w:val="-5"/>
              </w:rPr>
            </w:pPr>
          </w:p>
          <w:p w14:paraId="456D8F1A" w14:textId="77777777" w:rsidR="00D42211" w:rsidRDefault="00D42211" w:rsidP="00D42211">
            <w:pPr>
              <w:pStyle w:val="Marginlie"/>
              <w:rPr>
                <w:spacing w:val="-5"/>
              </w:rPr>
            </w:pPr>
            <w:r>
              <w:rPr>
                <w:spacing w:val="-5"/>
              </w:rPr>
              <w:t xml:space="preserve">Navzdory vyšším výdajům skončilo pololetní saldo nemocenského pojištění v mírném přebytku. </w:t>
            </w:r>
          </w:p>
          <w:p w14:paraId="1717B5CF" w14:textId="77777777" w:rsidR="00D42211" w:rsidRDefault="00D42211" w:rsidP="00D42211">
            <w:pPr>
              <w:pStyle w:val="Marginlie"/>
              <w:rPr>
                <w:spacing w:val="-5"/>
              </w:rPr>
            </w:pPr>
          </w:p>
        </w:tc>
        <w:tc>
          <w:tcPr>
            <w:tcW w:w="203" w:type="dxa"/>
            <w:shd w:val="clear" w:color="auto" w:fill="auto"/>
            <w:tcMar>
              <w:left w:w="0" w:type="dxa"/>
            </w:tcMar>
          </w:tcPr>
          <w:p w14:paraId="03A69195" w14:textId="77777777" w:rsidR="00D42211" w:rsidRDefault="00D42211" w:rsidP="00D42211">
            <w:pPr>
              <w:pStyle w:val="Textpoznpodarou"/>
              <w:jc w:val="both"/>
              <w:rPr>
                <w:spacing w:val="-4"/>
              </w:rPr>
            </w:pPr>
          </w:p>
        </w:tc>
        <w:tc>
          <w:tcPr>
            <w:tcW w:w="7656" w:type="dxa"/>
            <w:shd w:val="clear" w:color="auto" w:fill="auto"/>
            <w:tcMar>
              <w:left w:w="0" w:type="dxa"/>
            </w:tcMar>
          </w:tcPr>
          <w:p w14:paraId="282BAA44" w14:textId="1D08047E" w:rsidR="00D42211" w:rsidRPr="002349B6" w:rsidRDefault="00D42211" w:rsidP="00D42211">
            <w:pPr>
              <w:spacing w:after="200"/>
              <w:rPr>
                <w:spacing w:val="-4"/>
              </w:rPr>
            </w:pPr>
            <w:r w:rsidRPr="007C76F7">
              <w:rPr>
                <w:color w:val="0D0D0D" w:themeColor="text1" w:themeTint="F2"/>
                <w:spacing w:val="-6"/>
              </w:rPr>
              <w:t>Meziroční růst výdajů na ostatní sociální dávky, stejně jako u těch důchodových, v 1. pololetí</w:t>
            </w:r>
            <w:r w:rsidRPr="007C76F7">
              <w:rPr>
                <w:color w:val="0D0D0D" w:themeColor="text1" w:themeTint="F2"/>
                <w:spacing w:val="-2"/>
              </w:rPr>
              <w:t xml:space="preserve"> 2024</w:t>
            </w:r>
            <w:r w:rsidRPr="00417AE8">
              <w:rPr>
                <w:color w:val="0D0D0D" w:themeColor="text1" w:themeTint="F2"/>
                <w:spacing w:val="-4"/>
              </w:rPr>
              <w:t xml:space="preserve"> razantně zvolnil (na 2,7 %). To souviselo s poklesem </w:t>
            </w:r>
            <w:r>
              <w:rPr>
                <w:color w:val="0D0D0D" w:themeColor="text1" w:themeTint="F2"/>
                <w:spacing w:val="-4"/>
              </w:rPr>
              <w:t xml:space="preserve">objemu </w:t>
            </w:r>
            <w:r w:rsidRPr="009164B9">
              <w:rPr>
                <w:rFonts w:cs="Arial"/>
                <w:color w:val="0D0D0D" w:themeColor="text1" w:themeTint="F2"/>
                <w:spacing w:val="-5"/>
              </w:rPr>
              <w:t>váhově významných</w:t>
            </w:r>
            <w:r>
              <w:rPr>
                <w:color w:val="0D0D0D" w:themeColor="text1" w:themeTint="F2"/>
                <w:spacing w:val="-4"/>
              </w:rPr>
              <w:t xml:space="preserve"> rodičovských příspěvků (</w:t>
            </w:r>
            <w:r>
              <w:rPr>
                <w:spacing w:val="-4"/>
              </w:rPr>
              <w:t>−</w:t>
            </w:r>
            <w:r>
              <w:rPr>
                <w:color w:val="0D0D0D" w:themeColor="text1" w:themeTint="F2"/>
                <w:spacing w:val="-4"/>
              </w:rPr>
              <w:t xml:space="preserve">1,0 mld., resp. </w:t>
            </w:r>
            <w:r>
              <w:rPr>
                <w:spacing w:val="-4"/>
              </w:rPr>
              <w:t>−</w:t>
            </w:r>
            <w:r>
              <w:rPr>
                <w:color w:val="0D0D0D" w:themeColor="text1" w:themeTint="F2"/>
                <w:spacing w:val="-4"/>
              </w:rPr>
              <w:t>6 %), který pokračoval čtvrtým rokem v řadě. K letošnímu poklesu čerpání zde došlo navzdory tomu, že hodnota příspěvků u nově narozených dětí byla navýšena</w:t>
            </w:r>
            <w:r>
              <w:rPr>
                <w:rStyle w:val="Znakapoznpodarou"/>
                <w:color w:val="0D0D0D" w:themeColor="text1" w:themeTint="F2"/>
                <w:spacing w:val="-4"/>
              </w:rPr>
              <w:footnoteReference w:id="18"/>
            </w:r>
            <w:r>
              <w:rPr>
                <w:color w:val="0D0D0D" w:themeColor="text1" w:themeTint="F2"/>
                <w:spacing w:val="-4"/>
              </w:rPr>
              <w:t xml:space="preserve">. Především </w:t>
            </w:r>
            <w:r w:rsidRPr="0082189B">
              <w:rPr>
                <w:color w:val="0D0D0D" w:themeColor="text1" w:themeTint="F2"/>
                <w:spacing w:val="-6"/>
              </w:rPr>
              <w:t xml:space="preserve">vlivem většího zacílení se snížil objem </w:t>
            </w:r>
            <w:r w:rsidRPr="0082189B">
              <w:rPr>
                <w:color w:val="0D0D0D" w:themeColor="text1" w:themeTint="F2"/>
                <w:spacing w:val="-6"/>
              </w:rPr>
              <w:lastRenderedPageBreak/>
              <w:t xml:space="preserve">humanitárních dávek </w:t>
            </w:r>
            <w:r w:rsidRPr="0082189B">
              <w:rPr>
                <w:spacing w:val="-6"/>
              </w:rPr>
              <w:t xml:space="preserve">pro </w:t>
            </w:r>
            <w:r>
              <w:rPr>
                <w:rFonts w:cs="Arial"/>
                <w:color w:val="0D0D0D" w:themeColor="text1" w:themeTint="F2"/>
                <w:spacing w:val="-6"/>
              </w:rPr>
              <w:t>uprchlíky z Ukrajiny (o 0,4</w:t>
            </w:r>
            <w:r>
              <w:rPr>
                <w:rFonts w:cs="Arial"/>
                <w:color w:val="0D0D0D" w:themeColor="text1" w:themeTint="F2"/>
                <w:spacing w:val="-4"/>
              </w:rPr>
              <w:t xml:space="preserve"> mld. </w:t>
            </w:r>
            <w:r w:rsidRPr="009164B9">
              <w:rPr>
                <w:rFonts w:cs="Arial"/>
                <w:color w:val="0D0D0D" w:themeColor="text1" w:themeTint="F2"/>
                <w:spacing w:val="-5"/>
              </w:rPr>
              <w:t>korun</w:t>
            </w:r>
            <w:r>
              <w:rPr>
                <w:rFonts w:cs="Arial"/>
                <w:color w:val="0D0D0D" w:themeColor="text1" w:themeTint="F2"/>
                <w:spacing w:val="-5"/>
              </w:rPr>
              <w:t>, 10 %</w:t>
            </w:r>
            <w:r w:rsidRPr="009164B9">
              <w:rPr>
                <w:rFonts w:cs="Arial"/>
                <w:color w:val="0D0D0D" w:themeColor="text1" w:themeTint="F2"/>
                <w:spacing w:val="-5"/>
              </w:rPr>
              <w:t>)</w:t>
            </w:r>
            <w:r w:rsidRPr="0082189B">
              <w:rPr>
                <w:rStyle w:val="Znakapoznpodarou"/>
                <w:color w:val="0D0D0D" w:themeColor="text1" w:themeTint="F2"/>
                <w:spacing w:val="-6"/>
              </w:rPr>
              <w:footnoteReference w:id="19"/>
            </w:r>
            <w:r w:rsidRPr="009164B9">
              <w:rPr>
                <w:rFonts w:cs="Arial"/>
                <w:color w:val="0D0D0D" w:themeColor="text1" w:themeTint="F2"/>
                <w:spacing w:val="-5"/>
              </w:rPr>
              <w:t>.</w:t>
            </w:r>
            <w:r>
              <w:rPr>
                <w:rFonts w:cs="Arial"/>
                <w:color w:val="0D0D0D" w:themeColor="text1" w:themeTint="F2"/>
                <w:spacing w:val="-5"/>
              </w:rPr>
              <w:t xml:space="preserve"> SR naopak více zatížily především vyšší výdaje na příspěvky na bydlení (+21 %, +1,7 mld. korun</w:t>
            </w:r>
            <w:r>
              <w:rPr>
                <w:rStyle w:val="Znakapoznpodarou"/>
                <w:color w:val="0D0D0D" w:themeColor="text1" w:themeTint="F2"/>
                <w:spacing w:val="-5"/>
              </w:rPr>
              <w:footnoteReference w:id="20"/>
            </w:r>
            <w:r>
              <w:rPr>
                <w:rFonts w:cs="Arial"/>
                <w:color w:val="0D0D0D" w:themeColor="text1" w:themeTint="F2"/>
                <w:spacing w:val="-5"/>
              </w:rPr>
              <w:t xml:space="preserve">), a to při relativně mírném růstu počtu jeho příjemců o 5 %. Stále se zde </w:t>
            </w:r>
            <w:r>
              <w:rPr>
                <w:rFonts w:cs="Arial"/>
                <w:color w:val="0D0D0D" w:themeColor="text1" w:themeTint="F2"/>
                <w:spacing w:val="-4"/>
              </w:rPr>
              <w:t xml:space="preserve">projevuje dopad </w:t>
            </w:r>
            <w:r w:rsidRPr="008F130B">
              <w:rPr>
                <w:color w:val="0D0D0D" w:themeColor="text1" w:themeTint="F2"/>
                <w:spacing w:val="-4"/>
              </w:rPr>
              <w:t xml:space="preserve">vysokých cen energií a </w:t>
            </w:r>
            <w:r w:rsidRPr="008F130B">
              <w:rPr>
                <w:spacing w:val="-4"/>
              </w:rPr>
              <w:t>zvýšení nákladů uznatelných pro výplatu</w:t>
            </w:r>
            <w:r>
              <w:rPr>
                <w:spacing w:val="-4"/>
              </w:rPr>
              <w:t>, ale i růstu povědomí o</w:t>
            </w:r>
            <w:r>
              <w:rPr>
                <w:color w:val="0D0D0D" w:themeColor="text1" w:themeTint="F2"/>
                <w:spacing w:val="-4"/>
              </w:rPr>
              <w:t> </w:t>
            </w:r>
            <w:r>
              <w:rPr>
                <w:spacing w:val="-4"/>
              </w:rPr>
              <w:t>možnosti čerpání této pomoci v populaci a zjednodušení procedury podání žádosti o</w:t>
            </w:r>
            <w:r>
              <w:rPr>
                <w:color w:val="0D0D0D" w:themeColor="text1" w:themeTint="F2"/>
                <w:spacing w:val="-4"/>
              </w:rPr>
              <w:t> </w:t>
            </w:r>
            <w:r>
              <w:rPr>
                <w:spacing w:val="-4"/>
              </w:rPr>
              <w:t>dávku. Výdaje na další příjmově testované dávky (přídavek na dítě, příspěvek na živobytí) se meziročně zvýšily jen nepatrně. Naopak růst výdajů na podporu v nezaměstnanosti zrychlil (</w:t>
            </w:r>
            <w:r>
              <w:rPr>
                <w:rFonts w:cs="Arial"/>
                <w:color w:val="0D0D0D" w:themeColor="text1" w:themeTint="F2"/>
                <w:spacing w:val="-5"/>
              </w:rPr>
              <w:t xml:space="preserve">+21 %, +1,1 mld. korun), na rozdíl od loňského roku k němu významněji přispěl i vyšší počet uchazečů o práci s nárokem na podporu. Více byly letos čerpány také dávky plynoucí z nemocenského pojištění (+2,7 %, +0,7 mld. korun), pokles trvající předchozí tři roky se tak zastavil. Letos k růstu přispěla vyšší nemocnost, naopak čerpání </w:t>
            </w:r>
            <w:r w:rsidRPr="00B75E3F">
              <w:rPr>
                <w:rFonts w:cs="Arial"/>
                <w:color w:val="0D0D0D" w:themeColor="text1" w:themeTint="F2"/>
                <w:spacing w:val="-5"/>
              </w:rPr>
              <w:t xml:space="preserve">peněžité pomoci v mateřství </w:t>
            </w:r>
            <w:r>
              <w:rPr>
                <w:rFonts w:cs="Arial"/>
                <w:color w:val="0D0D0D" w:themeColor="text1" w:themeTint="F2"/>
                <w:spacing w:val="-5"/>
              </w:rPr>
              <w:t xml:space="preserve">se vlivem klesající porodnosti </w:t>
            </w:r>
            <w:r w:rsidRPr="00B75E3F">
              <w:rPr>
                <w:rFonts w:cs="Arial"/>
                <w:color w:val="0D0D0D" w:themeColor="text1" w:themeTint="F2"/>
                <w:spacing w:val="-5"/>
              </w:rPr>
              <w:t xml:space="preserve">dále snižovalo. </w:t>
            </w:r>
            <w:r>
              <w:rPr>
                <w:rFonts w:cs="Arial"/>
                <w:color w:val="0D0D0D" w:themeColor="text1" w:themeTint="F2"/>
                <w:spacing w:val="-5"/>
              </w:rPr>
              <w:t>Saldo nemocenského pojištění</w:t>
            </w:r>
            <w:r>
              <w:rPr>
                <w:rStyle w:val="Znakapoznpodarou"/>
                <w:color w:val="0D0D0D" w:themeColor="text1" w:themeTint="F2"/>
                <w:spacing w:val="-5"/>
              </w:rPr>
              <w:footnoteReference w:id="21"/>
            </w:r>
            <w:r>
              <w:rPr>
                <w:rFonts w:cs="Arial"/>
                <w:color w:val="0D0D0D" w:themeColor="text1" w:themeTint="F2"/>
                <w:spacing w:val="-5"/>
              </w:rPr>
              <w:t xml:space="preserve"> bylo díky posílení jeho příjmové stránky v 1. pololetí poprvé po roce 2017 opět kladné (+3</w:t>
            </w:r>
            <w:r>
              <w:rPr>
                <w:color w:val="0D0D0D" w:themeColor="text1" w:themeTint="F2"/>
                <w:spacing w:val="-4"/>
              </w:rPr>
              <w:t> </w:t>
            </w:r>
            <w:r>
              <w:rPr>
                <w:rFonts w:cs="Arial"/>
                <w:color w:val="0D0D0D" w:themeColor="text1" w:themeTint="F2"/>
                <w:spacing w:val="-5"/>
              </w:rPr>
              <w:t xml:space="preserve">mld. korun). </w:t>
            </w:r>
            <w:r w:rsidRPr="00B75E3F">
              <w:rPr>
                <w:rFonts w:cs="Arial"/>
                <w:color w:val="0D0D0D" w:themeColor="text1" w:themeTint="F2"/>
                <w:spacing w:val="-5"/>
              </w:rPr>
              <w:t xml:space="preserve">Z nepojistných dávek </w:t>
            </w:r>
            <w:r>
              <w:rPr>
                <w:rFonts w:cs="Arial"/>
                <w:color w:val="0D0D0D" w:themeColor="text1" w:themeTint="F2"/>
                <w:spacing w:val="-5"/>
              </w:rPr>
              <w:t xml:space="preserve">již druhý rok v řadě </w:t>
            </w:r>
            <w:r w:rsidRPr="00B75E3F">
              <w:rPr>
                <w:rFonts w:cs="Arial"/>
                <w:color w:val="0D0D0D" w:themeColor="text1" w:themeTint="F2"/>
                <w:spacing w:val="-5"/>
              </w:rPr>
              <w:t xml:space="preserve">meziročně </w:t>
            </w:r>
            <w:r>
              <w:rPr>
                <w:rFonts w:cs="Arial"/>
                <w:color w:val="0D0D0D" w:themeColor="text1" w:themeTint="F2"/>
                <w:spacing w:val="-5"/>
              </w:rPr>
              <w:t xml:space="preserve">fakticky </w:t>
            </w:r>
            <w:r w:rsidRPr="00B75E3F">
              <w:rPr>
                <w:rFonts w:cs="Arial"/>
                <w:color w:val="0D0D0D" w:themeColor="text1" w:themeTint="F2"/>
                <w:spacing w:val="-5"/>
              </w:rPr>
              <w:t>stagnovaly objemově významné příspěvky na péči</w:t>
            </w:r>
            <w:r>
              <w:rPr>
                <w:rFonts w:cs="Arial"/>
                <w:color w:val="0D0D0D" w:themeColor="text1" w:themeTint="F2"/>
                <w:spacing w:val="-5"/>
              </w:rPr>
              <w:t xml:space="preserve"> (blízko 19 mld. korun)</w:t>
            </w:r>
            <w:r>
              <w:rPr>
                <w:rStyle w:val="Znakapoznpodarou"/>
                <w:color w:val="0D0D0D" w:themeColor="text1" w:themeTint="F2"/>
                <w:spacing w:val="-5"/>
              </w:rPr>
              <w:footnoteReference w:id="22"/>
            </w:r>
            <w:r>
              <w:rPr>
                <w:rFonts w:cs="Arial"/>
                <w:color w:val="0D0D0D" w:themeColor="text1" w:themeTint="F2"/>
                <w:spacing w:val="-5"/>
              </w:rPr>
              <w:t xml:space="preserve">. </w:t>
            </w:r>
          </w:p>
        </w:tc>
      </w:tr>
      <w:tr w:rsidR="00D42211" w:rsidRPr="007B3A78" w14:paraId="3BB3AB27" w14:textId="77777777" w:rsidTr="00D42211">
        <w:trPr>
          <w:trHeight w:val="170"/>
        </w:trPr>
        <w:tc>
          <w:tcPr>
            <w:tcW w:w="1810" w:type="dxa"/>
            <w:shd w:val="clear" w:color="auto" w:fill="auto"/>
            <w:tcMar>
              <w:left w:w="0" w:type="dxa"/>
            </w:tcMar>
          </w:tcPr>
          <w:p w14:paraId="792BB4A9" w14:textId="77777777" w:rsidR="00D42211" w:rsidRDefault="00D42211" w:rsidP="00D42211">
            <w:pPr>
              <w:pStyle w:val="Marginlie"/>
            </w:pPr>
            <w:r>
              <w:lastRenderedPageBreak/>
              <w:t>Výraznější růst výdajů na běžné nákupy souvisel s posilováním obrany a bezpečnosti. Došlo také k valorizaci výdajů na platby za státní pojištěnce.</w:t>
            </w:r>
          </w:p>
        </w:tc>
        <w:tc>
          <w:tcPr>
            <w:tcW w:w="203" w:type="dxa"/>
            <w:shd w:val="clear" w:color="auto" w:fill="auto"/>
            <w:tcMar>
              <w:left w:w="0" w:type="dxa"/>
            </w:tcMar>
          </w:tcPr>
          <w:p w14:paraId="1CBE9EA6" w14:textId="77777777" w:rsidR="00D42211" w:rsidRDefault="00D42211" w:rsidP="00D42211">
            <w:pPr>
              <w:pStyle w:val="Textpoznpodarou"/>
              <w:jc w:val="both"/>
              <w:rPr>
                <w:spacing w:val="-4"/>
              </w:rPr>
            </w:pPr>
          </w:p>
        </w:tc>
        <w:tc>
          <w:tcPr>
            <w:tcW w:w="7656" w:type="dxa"/>
            <w:shd w:val="clear" w:color="auto" w:fill="auto"/>
            <w:tcMar>
              <w:left w:w="0" w:type="dxa"/>
            </w:tcMar>
          </w:tcPr>
          <w:p w14:paraId="57D90578" w14:textId="77777777" w:rsidR="00D42211" w:rsidRPr="00EF55C3" w:rsidRDefault="00D42211" w:rsidP="00D42211">
            <w:pPr>
              <w:spacing w:after="200"/>
              <w:rPr>
                <w:color w:val="0D0D0D" w:themeColor="text1" w:themeTint="F2"/>
                <w:spacing w:val="-6"/>
              </w:rPr>
            </w:pPr>
            <w:r w:rsidRPr="00EF55C3">
              <w:rPr>
                <w:color w:val="0D0D0D" w:themeColor="text1" w:themeTint="F2"/>
                <w:spacing w:val="-6"/>
              </w:rPr>
              <w:t xml:space="preserve">Vedle sociálních dávek podporovaly růst výdajů SR také neinvestiční nákupy a související výdaje (bez obsluhy dluhu), jež se meziročně zvýšily o šestinu (+5,9 mld. korun). Jejich čerpání v 1. pololetí (40 mld. korun) převýšilo i vysoké výdaje z období pandemie (nákupy zdravotnického materiálu) či éry energetické krize (nákupy plynu). Letošní rozpočtově očekávané navýšení výdajů úzce souvisí s vyšší potřebou veřejných výdajů </w:t>
            </w:r>
            <w:r w:rsidRPr="00EF55C3">
              <w:rPr>
                <w:spacing w:val="-6"/>
              </w:rPr>
              <w:t>na obranu a</w:t>
            </w:r>
            <w:r w:rsidRPr="00EF55C3">
              <w:rPr>
                <w:color w:val="0D0D0D" w:themeColor="text1" w:themeTint="F2"/>
                <w:spacing w:val="-6"/>
              </w:rPr>
              <w:t> </w:t>
            </w:r>
            <w:r w:rsidRPr="00EF55C3">
              <w:rPr>
                <w:spacing w:val="-6"/>
              </w:rPr>
              <w:t>bezpečnost. V souladu se schváleným</w:t>
            </w:r>
            <w:r>
              <w:rPr>
                <w:spacing w:val="-6"/>
              </w:rPr>
              <w:t xml:space="preserve"> SR se zvýšily rovněž</w:t>
            </w:r>
            <w:r w:rsidRPr="00EF55C3">
              <w:rPr>
                <w:spacing w:val="-6"/>
              </w:rPr>
              <w:t xml:space="preserve"> </w:t>
            </w:r>
            <w:r w:rsidRPr="00EF55C3">
              <w:rPr>
                <w:color w:val="0D0D0D" w:themeColor="text1" w:themeTint="F2"/>
                <w:spacing w:val="-6"/>
              </w:rPr>
              <w:t>výdaje na platby veřejného zdravotního pojištění za tzv. státní pojištěnce – vlivem automatické valorizace</w:t>
            </w:r>
            <w:r w:rsidRPr="00EF55C3">
              <w:rPr>
                <w:rStyle w:val="Znakapoznpodarou"/>
                <w:color w:val="0D0D0D" w:themeColor="text1" w:themeTint="F2"/>
                <w:spacing w:val="-6"/>
              </w:rPr>
              <w:footnoteReference w:id="23"/>
            </w:r>
            <w:r w:rsidRPr="00EF55C3">
              <w:rPr>
                <w:color w:val="0D0D0D" w:themeColor="text1" w:themeTint="F2"/>
                <w:spacing w:val="-6"/>
              </w:rPr>
              <w:t xml:space="preserve"> vzrostly v 1. pololetí meziročně o desetinu (+6,7 mld. korun). Váhově významnější výdaje na běžné transfery neziskovým organizacím (</w:t>
            </w:r>
            <w:r>
              <w:rPr>
                <w:color w:val="0D0D0D" w:themeColor="text1" w:themeTint="F2"/>
                <w:spacing w:val="-6"/>
              </w:rPr>
              <w:t>VŠ</w:t>
            </w:r>
            <w:r w:rsidRPr="00EF55C3">
              <w:rPr>
                <w:color w:val="0D0D0D" w:themeColor="text1" w:themeTint="F2"/>
                <w:spacing w:val="-6"/>
              </w:rPr>
              <w:t>, veřejné výzkumné instituce) v souladu s rozpočtovým očekáváním stagnovaly. Obdobné platí i o výdajích na platy v organizačních složkách státu, kde se promítá plošné snížení o 2 % související s realizací konsolidačního balíčku.</w:t>
            </w:r>
          </w:p>
        </w:tc>
      </w:tr>
      <w:tr w:rsidR="00D42211" w:rsidRPr="007B3A78" w14:paraId="03C4D2D4" w14:textId="77777777" w:rsidTr="00D42211">
        <w:trPr>
          <w:trHeight w:val="170"/>
        </w:trPr>
        <w:tc>
          <w:tcPr>
            <w:tcW w:w="1810" w:type="dxa"/>
            <w:shd w:val="clear" w:color="auto" w:fill="auto"/>
            <w:tcMar>
              <w:left w:w="0" w:type="dxa"/>
            </w:tcMar>
          </w:tcPr>
          <w:p w14:paraId="76B9D9D8" w14:textId="77777777" w:rsidR="00D42211" w:rsidRDefault="00D42211" w:rsidP="00D42211">
            <w:pPr>
              <w:pStyle w:val="Marginlie"/>
            </w:pPr>
            <w:r>
              <w:t>Běžné transfery podnikatelům klesly na druhou nejnižší úroveň za poslední pětiletí.</w:t>
            </w:r>
          </w:p>
          <w:p w14:paraId="52E73C23" w14:textId="77777777" w:rsidR="00D42211" w:rsidRDefault="00D42211" w:rsidP="00D42211">
            <w:pPr>
              <w:pStyle w:val="Marginlie"/>
            </w:pPr>
          </w:p>
          <w:p w14:paraId="0BFAF08C" w14:textId="77777777" w:rsidR="00D42211" w:rsidRDefault="00D42211" w:rsidP="00D42211">
            <w:pPr>
              <w:pStyle w:val="Marginlie"/>
            </w:pPr>
          </w:p>
          <w:p w14:paraId="34EAD891" w14:textId="77777777" w:rsidR="00D42211" w:rsidRDefault="00D42211" w:rsidP="00D42211">
            <w:pPr>
              <w:pStyle w:val="Marginlie"/>
            </w:pPr>
          </w:p>
          <w:p w14:paraId="308304E0" w14:textId="77777777" w:rsidR="00D42211" w:rsidRDefault="00D42211" w:rsidP="00D42211">
            <w:pPr>
              <w:pStyle w:val="Marginlie"/>
            </w:pPr>
          </w:p>
          <w:p w14:paraId="2D5EC2D1" w14:textId="77777777" w:rsidR="00D42211" w:rsidRDefault="00D42211" w:rsidP="00D42211">
            <w:pPr>
              <w:pStyle w:val="Marginlie"/>
            </w:pPr>
            <w:r>
              <w:t>Běžné dotace územním rozpočtům celkově poklesly i přes mírný růst výdajů na platy pracovníků v regionálním školství.</w:t>
            </w:r>
          </w:p>
        </w:tc>
        <w:tc>
          <w:tcPr>
            <w:tcW w:w="203" w:type="dxa"/>
            <w:shd w:val="clear" w:color="auto" w:fill="auto"/>
            <w:tcMar>
              <w:left w:w="0" w:type="dxa"/>
            </w:tcMar>
          </w:tcPr>
          <w:p w14:paraId="2764A3AB" w14:textId="77777777" w:rsidR="00D42211" w:rsidRDefault="00D42211" w:rsidP="00D42211">
            <w:pPr>
              <w:pStyle w:val="Textpoznpodarou"/>
              <w:jc w:val="both"/>
              <w:rPr>
                <w:spacing w:val="-4"/>
              </w:rPr>
            </w:pPr>
          </w:p>
        </w:tc>
        <w:tc>
          <w:tcPr>
            <w:tcW w:w="7656" w:type="dxa"/>
            <w:shd w:val="clear" w:color="auto" w:fill="auto"/>
            <w:tcMar>
              <w:left w:w="0" w:type="dxa"/>
            </w:tcMar>
          </w:tcPr>
          <w:p w14:paraId="5AE7A57F" w14:textId="13DA969B" w:rsidR="00D42211" w:rsidRPr="009F460E" w:rsidRDefault="00D42211" w:rsidP="00D42211">
            <w:pPr>
              <w:spacing w:after="190"/>
              <w:rPr>
                <w:color w:val="0D0D0D" w:themeColor="text1" w:themeTint="F2"/>
                <w:spacing w:val="-4"/>
              </w:rPr>
            </w:pPr>
            <w:r>
              <w:rPr>
                <w:color w:val="0D0D0D" w:themeColor="text1" w:themeTint="F2"/>
                <w:spacing w:val="-4"/>
              </w:rPr>
              <w:t xml:space="preserve">V hlubokém poklesu běžných transferů podnikatelům, k němuž došlo v letos v 1. pololetí (meziročně o 48 %, 37 mld. korun), se odráží očekávaný útlum podpory v oblasti energetiky. Jde především o </w:t>
            </w:r>
            <w:r w:rsidRPr="004F3D5E">
              <w:rPr>
                <w:color w:val="0D0D0D" w:themeColor="text1" w:themeTint="F2"/>
                <w:spacing w:val="-4"/>
              </w:rPr>
              <w:t> kompenzace za dodávku elektřiny a plynu</w:t>
            </w:r>
            <w:r>
              <w:rPr>
                <w:color w:val="0D0D0D" w:themeColor="text1" w:themeTint="F2"/>
                <w:spacing w:val="-4"/>
              </w:rPr>
              <w:t xml:space="preserve"> zákazníkům a na ztráty kvůli</w:t>
            </w:r>
            <w:r w:rsidRPr="004F3D5E">
              <w:rPr>
                <w:color w:val="0D0D0D" w:themeColor="text1" w:themeTint="F2"/>
                <w:spacing w:val="-4"/>
              </w:rPr>
              <w:t xml:space="preserve"> zastropování jejich cen</w:t>
            </w:r>
            <w:r>
              <w:rPr>
                <w:color w:val="0D0D0D" w:themeColor="text1" w:themeTint="F2"/>
                <w:spacing w:val="-4"/>
              </w:rPr>
              <w:t xml:space="preserve"> a také o </w:t>
            </w:r>
            <w:r w:rsidRPr="004F3D5E">
              <w:rPr>
                <w:color w:val="0D0D0D" w:themeColor="text1" w:themeTint="F2"/>
                <w:spacing w:val="-4"/>
              </w:rPr>
              <w:t>dotace provozovateli přenosové soustavy</w:t>
            </w:r>
            <w:r>
              <w:rPr>
                <w:color w:val="0D0D0D" w:themeColor="text1" w:themeTint="F2"/>
                <w:spacing w:val="-4"/>
              </w:rPr>
              <w:t>. Navíc p</w:t>
            </w:r>
            <w:r w:rsidRPr="004F3D5E">
              <w:rPr>
                <w:color w:val="0D0D0D" w:themeColor="text1" w:themeTint="F2"/>
                <w:spacing w:val="-4"/>
              </w:rPr>
              <w:t>omoc firmám v energeticky náročných odvětvích byla letos zastavena úplně.</w:t>
            </w:r>
            <w:r>
              <w:rPr>
                <w:color w:val="0D0D0D" w:themeColor="text1" w:themeTint="F2"/>
                <w:spacing w:val="-4"/>
              </w:rPr>
              <w:t xml:space="preserve"> Naopak</w:t>
            </w:r>
            <w:r>
              <w:rPr>
                <w:color w:val="0D0D0D" w:themeColor="text1" w:themeTint="F2"/>
                <w:spacing w:val="-5"/>
              </w:rPr>
              <w:t xml:space="preserve"> u</w:t>
            </w:r>
            <w:r w:rsidRPr="004F3D5E">
              <w:rPr>
                <w:color w:val="0D0D0D" w:themeColor="text1" w:themeTint="F2"/>
                <w:spacing w:val="-4"/>
              </w:rPr>
              <w:t> </w:t>
            </w:r>
            <w:r>
              <w:rPr>
                <w:color w:val="0D0D0D" w:themeColor="text1" w:themeTint="F2"/>
                <w:spacing w:val="-5"/>
              </w:rPr>
              <w:t xml:space="preserve">zálohových dotací na obnovitelné zdroje energií nastal relativně mírný pokles. Celková výše </w:t>
            </w:r>
            <w:r>
              <w:rPr>
                <w:color w:val="0D0D0D" w:themeColor="text1" w:themeTint="F2"/>
                <w:spacing w:val="-4"/>
              </w:rPr>
              <w:t xml:space="preserve">transferů podnikatelům v 1. pololetí 2024 (40,6 mld. korun) byla ve stejném období roku </w:t>
            </w:r>
            <w:r w:rsidRPr="00133DCE">
              <w:rPr>
                <w:color w:val="0D0D0D" w:themeColor="text1" w:themeTint="F2"/>
                <w:spacing w:val="-6"/>
              </w:rPr>
              <w:t xml:space="preserve">druhá nejnižší za posledních pět let. Objemově významné běžné transfery územním </w:t>
            </w:r>
            <w:r w:rsidRPr="00133DCE">
              <w:rPr>
                <w:color w:val="0D0D0D" w:themeColor="text1" w:themeTint="F2"/>
                <w:spacing w:val="-10"/>
              </w:rPr>
              <w:t>rozpočtům ve shodě s rozpočtovým očekáváním za výši z 1.</w:t>
            </w:r>
            <w:r>
              <w:rPr>
                <w:color w:val="0D0D0D" w:themeColor="text1" w:themeTint="F2"/>
                <w:spacing w:val="-10"/>
              </w:rPr>
              <w:t xml:space="preserve"> pololetí 2023 letos zaostaly (</w:t>
            </w:r>
            <w:r>
              <w:rPr>
                <w:spacing w:val="-4"/>
              </w:rPr>
              <w:t>−</w:t>
            </w:r>
            <w:r w:rsidRPr="00133DCE">
              <w:rPr>
                <w:color w:val="0D0D0D" w:themeColor="text1" w:themeTint="F2"/>
                <w:spacing w:val="-10"/>
              </w:rPr>
              <w:t>4,5 %,</w:t>
            </w:r>
            <w:r>
              <w:rPr>
                <w:color w:val="0D0D0D" w:themeColor="text1" w:themeTint="F2"/>
                <w:spacing w:val="-4"/>
              </w:rPr>
              <w:t xml:space="preserve"> </w:t>
            </w:r>
            <w:r>
              <w:rPr>
                <w:spacing w:val="-4"/>
              </w:rPr>
              <w:t>−</w:t>
            </w:r>
            <w:r>
              <w:rPr>
                <w:color w:val="0D0D0D" w:themeColor="text1" w:themeTint="F2"/>
                <w:spacing w:val="-4"/>
              </w:rPr>
              <w:t>8 mld. korun). Nižší výdaje na evropské projekty spolu s poklesem kompenzačního příspěvku</w:t>
            </w:r>
            <w:r w:rsidRPr="0087420B">
              <w:rPr>
                <w:color w:val="0D0D0D" w:themeColor="text1" w:themeTint="F2"/>
                <w:spacing w:val="-4"/>
              </w:rPr>
              <w:t xml:space="preserve"> na nouzové uby</w:t>
            </w:r>
            <w:r>
              <w:rPr>
                <w:color w:val="0D0D0D" w:themeColor="text1" w:themeTint="F2"/>
                <w:spacing w:val="-4"/>
              </w:rPr>
              <w:t>tování uprchlíků</w:t>
            </w:r>
            <w:r w:rsidRPr="0087420B">
              <w:rPr>
                <w:color w:val="0D0D0D" w:themeColor="text1" w:themeTint="F2"/>
                <w:spacing w:val="-4"/>
              </w:rPr>
              <w:t xml:space="preserve"> z</w:t>
            </w:r>
            <w:r>
              <w:rPr>
                <w:color w:val="0D0D0D" w:themeColor="text1" w:themeTint="F2"/>
                <w:spacing w:val="-4"/>
              </w:rPr>
              <w:t> </w:t>
            </w:r>
            <w:r w:rsidRPr="0087420B">
              <w:rPr>
                <w:color w:val="0D0D0D" w:themeColor="text1" w:themeTint="F2"/>
                <w:spacing w:val="-4"/>
              </w:rPr>
              <w:t>Ukrajiny</w:t>
            </w:r>
            <w:r>
              <w:rPr>
                <w:color w:val="0D0D0D" w:themeColor="text1" w:themeTint="F2"/>
                <w:spacing w:val="-4"/>
              </w:rPr>
              <w:t xml:space="preserve"> převážily nad dopadem mírného navýšení dotací regionálnímu školství (+2,6 %) určených primárně na platy jeho pracovníků.</w:t>
            </w:r>
          </w:p>
        </w:tc>
      </w:tr>
      <w:tr w:rsidR="00D42211" w:rsidRPr="007B3A78" w14:paraId="532F425A" w14:textId="77777777" w:rsidTr="00D42211">
        <w:trPr>
          <w:trHeight w:val="170"/>
        </w:trPr>
        <w:tc>
          <w:tcPr>
            <w:tcW w:w="1810" w:type="dxa"/>
            <w:shd w:val="clear" w:color="auto" w:fill="auto"/>
            <w:tcMar>
              <w:left w:w="0" w:type="dxa"/>
            </w:tcMar>
          </w:tcPr>
          <w:p w14:paraId="30D8D2C1" w14:textId="77777777" w:rsidR="00D42211" w:rsidRDefault="00D42211" w:rsidP="00D42211">
            <w:pPr>
              <w:pStyle w:val="Marginlie"/>
            </w:pPr>
            <w:r>
              <w:t>Investiční výdaje SR po svižném růstu v předchozích dvou letech letos mírně poklesly. To souvisí s přechodem na nové programové období EU.</w:t>
            </w:r>
          </w:p>
          <w:p w14:paraId="0919F163" w14:textId="77777777" w:rsidR="00D42211" w:rsidRDefault="00D42211" w:rsidP="00D42211">
            <w:pPr>
              <w:pStyle w:val="Marginlie"/>
            </w:pPr>
            <w:r>
              <w:lastRenderedPageBreak/>
              <w:t>Růst výdajů na investiční nákupy zrychlily díky armádním zakázkám.</w:t>
            </w:r>
          </w:p>
          <w:p w14:paraId="434E0A14" w14:textId="77777777" w:rsidR="00D42211" w:rsidRDefault="00D42211" w:rsidP="00D42211">
            <w:pPr>
              <w:pStyle w:val="Marginlie"/>
            </w:pPr>
          </w:p>
        </w:tc>
        <w:tc>
          <w:tcPr>
            <w:tcW w:w="203" w:type="dxa"/>
            <w:shd w:val="clear" w:color="auto" w:fill="auto"/>
            <w:tcMar>
              <w:left w:w="0" w:type="dxa"/>
            </w:tcMar>
          </w:tcPr>
          <w:p w14:paraId="23E57410" w14:textId="77777777" w:rsidR="00D42211" w:rsidRDefault="00D42211" w:rsidP="00D42211">
            <w:pPr>
              <w:pStyle w:val="Textpoznpodarou"/>
              <w:jc w:val="both"/>
              <w:rPr>
                <w:spacing w:val="-4"/>
              </w:rPr>
            </w:pPr>
          </w:p>
        </w:tc>
        <w:tc>
          <w:tcPr>
            <w:tcW w:w="7656" w:type="dxa"/>
            <w:shd w:val="clear" w:color="auto" w:fill="auto"/>
            <w:tcMar>
              <w:left w:w="0" w:type="dxa"/>
            </w:tcMar>
          </w:tcPr>
          <w:p w14:paraId="34A258A3" w14:textId="77777777" w:rsidR="00D42211" w:rsidRPr="001843D5" w:rsidRDefault="00D42211" w:rsidP="00D42211">
            <w:pPr>
              <w:spacing w:after="220"/>
              <w:rPr>
                <w:color w:val="0D0D0D" w:themeColor="text1" w:themeTint="F2"/>
                <w:spacing w:val="-4"/>
              </w:rPr>
            </w:pPr>
            <w:r w:rsidRPr="00994A17">
              <w:rPr>
                <w:color w:val="0D0D0D" w:themeColor="text1" w:themeTint="F2"/>
                <w:spacing w:val="-4"/>
              </w:rPr>
              <w:t xml:space="preserve">Kapitálové výdaje SR se po dvojciferném růstu, k němuž došlo v 1. pololetí 2022 i 2023, letos meziročně mírně snížily (o 3,3 %, 2,6 mld. korun). Schválený SR přitom s ohledem na tradičně pomalejší náběh investic v novém programovém období EU počítá s více než 10% </w:t>
            </w:r>
            <w:r w:rsidRPr="000E0CA1">
              <w:rPr>
                <w:color w:val="0D0D0D" w:themeColor="text1" w:themeTint="F2"/>
                <w:spacing w:val="-4"/>
              </w:rPr>
              <w:t xml:space="preserve">celoročním poklesem celkových kapitálových výdajů. Mírně nadpoloviční část dosud letos realizovaných investic směřovala na společné projekty ČR a EU (40 mld. korun). Za celkovým poklesem investic stály nižší výdaje státním fondům – zejména na dopravní infrastrukturu, životní prostředí a zemědělství. V kontrastu s tím svižně rostly investiční </w:t>
            </w:r>
            <w:r w:rsidRPr="000E0CA1">
              <w:rPr>
                <w:color w:val="0D0D0D" w:themeColor="text1" w:themeTint="F2"/>
                <w:spacing w:val="-4"/>
              </w:rPr>
              <w:lastRenderedPageBreak/>
              <w:t xml:space="preserve">nákupy (+47 %, +5,6 mld. korun), zejména na obranu ČR. V absolutním vyjádření </w:t>
            </w:r>
            <w:r>
              <w:rPr>
                <w:color w:val="0D0D0D" w:themeColor="text1" w:themeTint="F2"/>
                <w:spacing w:val="-4"/>
              </w:rPr>
              <w:t>se mírněji z</w:t>
            </w:r>
            <w:r w:rsidRPr="000E0CA1">
              <w:rPr>
                <w:color w:val="0D0D0D" w:themeColor="text1" w:themeTint="F2"/>
                <w:spacing w:val="-4"/>
              </w:rPr>
              <w:t>výšily transfery územním rozpočtům, vysokým ško</w:t>
            </w:r>
            <w:r>
              <w:rPr>
                <w:color w:val="0D0D0D" w:themeColor="text1" w:themeTint="F2"/>
                <w:spacing w:val="-4"/>
              </w:rPr>
              <w:t>lám či podnikatelům, alokované</w:t>
            </w:r>
            <w:r w:rsidRPr="000E0CA1">
              <w:rPr>
                <w:color w:val="0D0D0D" w:themeColor="text1" w:themeTint="F2"/>
                <w:spacing w:val="-4"/>
              </w:rPr>
              <w:t xml:space="preserve"> především na program Národního plánu obnovy a na Integrovaný regionální operační program. Celkové investice SR tvořily zatím letos 6,7 </w:t>
            </w:r>
            <w:r>
              <w:rPr>
                <w:color w:val="0D0D0D" w:themeColor="text1" w:themeTint="F2"/>
                <w:spacing w:val="-4"/>
              </w:rPr>
              <w:t>% veškerých rozpočtových výdajů. V</w:t>
            </w:r>
            <w:r w:rsidRPr="000E0CA1">
              <w:rPr>
                <w:color w:val="0D0D0D" w:themeColor="text1" w:themeTint="F2"/>
                <w:spacing w:val="-4"/>
              </w:rPr>
              <w:t> kontextu poslední dekády jde za toto období roku o průměrný podíl (a současně vyšší než v letech 2017 i 2018, kdy docházelo k přechodu na nové programové období EU).</w:t>
            </w:r>
          </w:p>
        </w:tc>
      </w:tr>
      <w:tr w:rsidR="00D42211" w:rsidRPr="007B3A78" w14:paraId="68AA6F5C" w14:textId="77777777" w:rsidTr="00D42211">
        <w:trPr>
          <w:trHeight w:val="170"/>
        </w:trPr>
        <w:tc>
          <w:tcPr>
            <w:tcW w:w="1810" w:type="dxa"/>
            <w:shd w:val="clear" w:color="auto" w:fill="auto"/>
            <w:tcMar>
              <w:left w:w="0" w:type="dxa"/>
            </w:tcMar>
          </w:tcPr>
          <w:p w14:paraId="57114811" w14:textId="77777777" w:rsidR="00D42211" w:rsidRDefault="00D42211" w:rsidP="00D42211">
            <w:pPr>
              <w:pStyle w:val="Marginlie"/>
            </w:pPr>
            <w:r>
              <w:lastRenderedPageBreak/>
              <w:t>Příjmy ČR z rozpočtu EU (bez Nástroje na podporu oživení) se meziročně propadly skoro o polovinu. Čistá pozice ČR vůči EU byla mírně záporná.</w:t>
            </w:r>
          </w:p>
        </w:tc>
        <w:tc>
          <w:tcPr>
            <w:tcW w:w="203" w:type="dxa"/>
            <w:shd w:val="clear" w:color="auto" w:fill="auto"/>
            <w:tcMar>
              <w:left w:w="0" w:type="dxa"/>
            </w:tcMar>
          </w:tcPr>
          <w:p w14:paraId="4D06980E" w14:textId="77777777" w:rsidR="00D42211" w:rsidRDefault="00D42211" w:rsidP="00D42211">
            <w:pPr>
              <w:pStyle w:val="Textpoznpodarou"/>
              <w:jc w:val="both"/>
              <w:rPr>
                <w:spacing w:val="-4"/>
              </w:rPr>
            </w:pPr>
          </w:p>
        </w:tc>
        <w:tc>
          <w:tcPr>
            <w:tcW w:w="7656" w:type="dxa"/>
            <w:shd w:val="clear" w:color="auto" w:fill="auto"/>
            <w:tcMar>
              <w:left w:w="0" w:type="dxa"/>
            </w:tcMar>
          </w:tcPr>
          <w:p w14:paraId="11042FCC" w14:textId="6E29BFCD" w:rsidR="00D42211" w:rsidRPr="00AB296D" w:rsidRDefault="00D42211" w:rsidP="00D42211">
            <w:pPr>
              <w:spacing w:after="180"/>
              <w:rPr>
                <w:color w:val="0D0D0D" w:themeColor="text1" w:themeTint="F2"/>
                <w:spacing w:val="-4"/>
              </w:rPr>
            </w:pPr>
            <w:r w:rsidRPr="00AB296D">
              <w:rPr>
                <w:color w:val="0D0D0D" w:themeColor="text1" w:themeTint="F2"/>
                <w:spacing w:val="-4"/>
              </w:rPr>
              <w:t>Celkové příjmy ČR z rozpočtu EU (bez Nástroje EU na podporu oživení, resp. Národního plánu obnovy – NPO) se letos v 1. pololetí meziročně propadly skoro o polovinu (na 28,5 mld. korun). Nejvíce se utlumily příjmy z Fondu soudržnosti (</w:t>
            </w:r>
            <w:r>
              <w:rPr>
                <w:spacing w:val="-4"/>
              </w:rPr>
              <w:t>−</w:t>
            </w:r>
            <w:r w:rsidRPr="00AB296D">
              <w:rPr>
                <w:color w:val="0D0D0D" w:themeColor="text1" w:themeTint="F2"/>
                <w:spacing w:val="-4"/>
              </w:rPr>
              <w:t xml:space="preserve">94 %) a strukturálních </w:t>
            </w:r>
            <w:r w:rsidRPr="00AB296D">
              <w:rPr>
                <w:color w:val="0D0D0D" w:themeColor="text1" w:themeTint="F2"/>
                <w:spacing w:val="-2"/>
              </w:rPr>
              <w:t>fondů (</w:t>
            </w:r>
            <w:r>
              <w:rPr>
                <w:spacing w:val="-2"/>
              </w:rPr>
              <w:t>−</w:t>
            </w:r>
            <w:r w:rsidRPr="00AB296D">
              <w:rPr>
                <w:color w:val="0D0D0D" w:themeColor="text1" w:themeTint="F2"/>
                <w:spacing w:val="-2"/>
              </w:rPr>
              <w:t>49 %), z objemově méně významných zdroj</w:t>
            </w:r>
            <w:bookmarkStart w:id="0" w:name="_GoBack"/>
            <w:bookmarkEnd w:id="0"/>
            <w:r w:rsidRPr="00AB296D">
              <w:rPr>
                <w:color w:val="0D0D0D" w:themeColor="text1" w:themeTint="F2"/>
                <w:spacing w:val="-2"/>
              </w:rPr>
              <w:t xml:space="preserve">ů pak prostředky na rozvoj venkova </w:t>
            </w:r>
            <w:r w:rsidRPr="00AB296D">
              <w:rPr>
                <w:color w:val="0D0D0D" w:themeColor="text1" w:themeTint="F2"/>
                <w:spacing w:val="-6"/>
              </w:rPr>
              <w:t>(</w:t>
            </w:r>
            <w:r>
              <w:rPr>
                <w:spacing w:val="-6"/>
              </w:rPr>
              <w:t>−</w:t>
            </w:r>
            <w:r w:rsidRPr="00AB296D">
              <w:rPr>
                <w:color w:val="0D0D0D" w:themeColor="text1" w:themeTint="F2"/>
                <w:spacing w:val="-6"/>
              </w:rPr>
              <w:t>64 %). Méně poklesly přímé platby do zemědělství (</w:t>
            </w:r>
            <w:r>
              <w:rPr>
                <w:spacing w:val="-6"/>
              </w:rPr>
              <w:t>−</w:t>
            </w:r>
            <w:r w:rsidRPr="00AB296D">
              <w:rPr>
                <w:color w:val="0D0D0D" w:themeColor="text1" w:themeTint="F2"/>
                <w:spacing w:val="-6"/>
              </w:rPr>
              <w:t>22 %), jež jsou tradičně vcelku stabilní</w:t>
            </w:r>
            <w:r w:rsidRPr="00AB296D">
              <w:rPr>
                <w:color w:val="0D0D0D" w:themeColor="text1" w:themeTint="F2"/>
                <w:spacing w:val="-4"/>
              </w:rPr>
              <w:t>. K mírnému snížení ale došlo i na straně celkových plateb ČR do rozpočtu EU (</w:t>
            </w:r>
            <w:r>
              <w:rPr>
                <w:spacing w:val="-4"/>
              </w:rPr>
              <w:t>−</w:t>
            </w:r>
            <w:r w:rsidRPr="00AB296D">
              <w:rPr>
                <w:color w:val="0D0D0D" w:themeColor="text1" w:themeTint="F2"/>
                <w:spacing w:val="-4"/>
              </w:rPr>
              <w:t xml:space="preserve">12 %). Čistá pozice ČR vůči rozpočtu EU (bez NPO) tak letos činila </w:t>
            </w:r>
            <w:r>
              <w:rPr>
                <w:color w:val="0D0D0D" w:themeColor="text1" w:themeTint="F2"/>
                <w:spacing w:val="-4"/>
              </w:rPr>
              <w:t>−</w:t>
            </w:r>
            <w:r w:rsidRPr="00AB296D">
              <w:rPr>
                <w:color w:val="0D0D0D" w:themeColor="text1" w:themeTint="F2"/>
                <w:spacing w:val="-4"/>
              </w:rPr>
              <w:t>1,2 mld. korun, šlo o první negativní bilanci za 1. pololetí od vstupu ČR do EU. Pokud bychom započetli i prostředky z NPO, jež Česko získává od roku 2021, byla by celková bilance s EU nadále znatelně kladná. ČR z tohoto nástroje letos zatím získala 34,9 mld. korun, meziročně o 41 % více.</w:t>
            </w:r>
          </w:p>
        </w:tc>
      </w:tr>
      <w:tr w:rsidR="00D42211" w:rsidRPr="007B3A78" w14:paraId="69CD9B34" w14:textId="77777777" w:rsidTr="00D42211">
        <w:trPr>
          <w:trHeight w:val="170"/>
        </w:trPr>
        <w:tc>
          <w:tcPr>
            <w:tcW w:w="1810" w:type="dxa"/>
            <w:shd w:val="clear" w:color="auto" w:fill="auto"/>
            <w:tcMar>
              <w:left w:w="0" w:type="dxa"/>
            </w:tcMar>
          </w:tcPr>
          <w:p w14:paraId="6D7F1CD9" w14:textId="77777777" w:rsidR="00D42211" w:rsidRDefault="00D42211" w:rsidP="00D42211">
            <w:pPr>
              <w:pStyle w:val="Marginlie"/>
            </w:pPr>
          </w:p>
        </w:tc>
        <w:tc>
          <w:tcPr>
            <w:tcW w:w="203" w:type="dxa"/>
            <w:shd w:val="clear" w:color="auto" w:fill="auto"/>
            <w:tcMar>
              <w:left w:w="0" w:type="dxa"/>
            </w:tcMar>
          </w:tcPr>
          <w:p w14:paraId="40829769" w14:textId="77777777" w:rsidR="00D42211" w:rsidRDefault="00D42211" w:rsidP="00D42211">
            <w:pPr>
              <w:pStyle w:val="Textpoznpodarou"/>
              <w:jc w:val="both"/>
              <w:rPr>
                <w:spacing w:val="-4"/>
              </w:rPr>
            </w:pPr>
          </w:p>
        </w:tc>
        <w:tc>
          <w:tcPr>
            <w:tcW w:w="7656" w:type="dxa"/>
            <w:shd w:val="clear" w:color="auto" w:fill="auto"/>
            <w:tcMar>
              <w:left w:w="0" w:type="dxa"/>
            </w:tcMar>
          </w:tcPr>
          <w:p w14:paraId="6CF7643E" w14:textId="200C3B40" w:rsidR="00D42211" w:rsidRPr="008526E0" w:rsidRDefault="00625F8F" w:rsidP="00D42211">
            <w:pPr>
              <w:spacing w:after="0"/>
              <w:rPr>
                <w:color w:val="0D0D0D" w:themeColor="text1" w:themeTint="F2"/>
                <w:spacing w:val="-3"/>
              </w:rPr>
            </w:pPr>
            <w:r>
              <w:rPr>
                <w:b/>
              </w:rPr>
              <w:t>Graf č. 18</w:t>
            </w:r>
            <w:r w:rsidR="00D42211" w:rsidRPr="00E63A41">
              <w:rPr>
                <w:b/>
              </w:rPr>
              <w:t xml:space="preserve"> </w:t>
            </w:r>
            <w:r w:rsidR="00D42211" w:rsidRPr="00E63A41">
              <w:rPr>
                <w:rFonts w:cs="Arial"/>
                <w:b/>
                <w:bCs/>
              </w:rPr>
              <w:t xml:space="preserve">Vybrané výdaje státního rozpočtu </w:t>
            </w:r>
            <w:r w:rsidR="00D42211">
              <w:rPr>
                <w:rFonts w:cs="Arial"/>
                <w:b/>
                <w:bCs/>
              </w:rPr>
              <w:t>v rámci 1. pololetí</w:t>
            </w:r>
          </w:p>
        </w:tc>
      </w:tr>
      <w:tr w:rsidR="00D42211" w:rsidRPr="007B3A78" w14:paraId="28C83035" w14:textId="77777777" w:rsidTr="00D42211">
        <w:tblPrEx>
          <w:tblCellMar>
            <w:left w:w="70" w:type="dxa"/>
            <w:right w:w="70" w:type="dxa"/>
          </w:tblCellMar>
        </w:tblPrEx>
        <w:trPr>
          <w:trHeight w:val="170"/>
        </w:trPr>
        <w:tc>
          <w:tcPr>
            <w:tcW w:w="1810" w:type="dxa"/>
            <w:shd w:val="clear" w:color="auto" w:fill="auto"/>
          </w:tcPr>
          <w:p w14:paraId="0FC7FD53" w14:textId="77777777" w:rsidR="00D42211" w:rsidRDefault="00D42211" w:rsidP="00D42211">
            <w:pPr>
              <w:pStyle w:val="Marginlie"/>
            </w:pPr>
          </w:p>
        </w:tc>
        <w:tc>
          <w:tcPr>
            <w:tcW w:w="203" w:type="dxa"/>
            <w:shd w:val="clear" w:color="auto" w:fill="auto"/>
          </w:tcPr>
          <w:p w14:paraId="064E0E0E" w14:textId="77777777" w:rsidR="00D42211" w:rsidRDefault="00D42211" w:rsidP="00D42211">
            <w:pPr>
              <w:pStyle w:val="Textpoznpodarou"/>
              <w:jc w:val="both"/>
              <w:rPr>
                <w:spacing w:val="-4"/>
              </w:rPr>
            </w:pPr>
          </w:p>
        </w:tc>
        <w:tc>
          <w:tcPr>
            <w:tcW w:w="7656" w:type="dxa"/>
            <w:shd w:val="clear" w:color="auto" w:fill="auto"/>
          </w:tcPr>
          <w:p w14:paraId="7B7DEBB3" w14:textId="77777777" w:rsidR="00D42211" w:rsidRPr="008526E0" w:rsidRDefault="00D42211" w:rsidP="00D42211">
            <w:pPr>
              <w:spacing w:after="0"/>
              <w:rPr>
                <w:color w:val="0D0D0D" w:themeColor="text1" w:themeTint="F2"/>
                <w:spacing w:val="-3"/>
              </w:rPr>
            </w:pPr>
            <w:r>
              <w:rPr>
                <w:noProof/>
              </w:rPr>
              <w:drawing>
                <wp:inline distT="0" distB="0" distL="0" distR="0" wp14:anchorId="03DC4A5D" wp14:editId="3CE22E43">
                  <wp:extent cx="4592320" cy="3384000"/>
                  <wp:effectExtent l="0" t="0" r="0" b="6985"/>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D42211" w:rsidRPr="007B3A78" w14:paraId="080AE711" w14:textId="77777777" w:rsidTr="00D42211">
        <w:trPr>
          <w:trHeight w:val="170"/>
        </w:trPr>
        <w:tc>
          <w:tcPr>
            <w:tcW w:w="1810" w:type="dxa"/>
            <w:shd w:val="clear" w:color="auto" w:fill="auto"/>
            <w:tcMar>
              <w:left w:w="0" w:type="dxa"/>
            </w:tcMar>
          </w:tcPr>
          <w:p w14:paraId="22EE3699" w14:textId="77777777" w:rsidR="00D42211" w:rsidRDefault="00D42211" w:rsidP="00D42211">
            <w:pPr>
              <w:pStyle w:val="Marginlie"/>
            </w:pPr>
          </w:p>
        </w:tc>
        <w:tc>
          <w:tcPr>
            <w:tcW w:w="203" w:type="dxa"/>
            <w:shd w:val="clear" w:color="auto" w:fill="auto"/>
            <w:tcMar>
              <w:left w:w="0" w:type="dxa"/>
            </w:tcMar>
          </w:tcPr>
          <w:p w14:paraId="27B16127" w14:textId="77777777" w:rsidR="00D42211" w:rsidRDefault="00D42211" w:rsidP="00D42211">
            <w:pPr>
              <w:pStyle w:val="Textpoznpodarou"/>
              <w:jc w:val="both"/>
              <w:rPr>
                <w:spacing w:val="-4"/>
              </w:rPr>
            </w:pPr>
          </w:p>
        </w:tc>
        <w:tc>
          <w:tcPr>
            <w:tcW w:w="7656" w:type="dxa"/>
            <w:shd w:val="clear" w:color="auto" w:fill="auto"/>
            <w:tcMar>
              <w:left w:w="0" w:type="dxa"/>
            </w:tcMar>
          </w:tcPr>
          <w:p w14:paraId="5AE8D947" w14:textId="77777777" w:rsidR="00D42211" w:rsidRPr="008F2BE2" w:rsidRDefault="00D42211" w:rsidP="00D42211">
            <w:pPr>
              <w:pStyle w:val="Textpoznpodarou"/>
              <w:rPr>
                <w:spacing w:val="-4"/>
                <w:sz w:val="14"/>
                <w:szCs w:val="14"/>
              </w:rPr>
            </w:pPr>
            <w:r w:rsidRPr="008F2BE2">
              <w:rPr>
                <w:spacing w:val="-4"/>
                <w:sz w:val="14"/>
                <w:szCs w:val="14"/>
              </w:rPr>
              <w:t>*</w:t>
            </w:r>
            <w:r>
              <w:rPr>
                <w:spacing w:val="-4"/>
                <w:sz w:val="14"/>
                <w:szCs w:val="14"/>
              </w:rPr>
              <w:t xml:space="preserve"> </w:t>
            </w:r>
            <w:r w:rsidRPr="008F2BE2">
              <w:rPr>
                <w:spacing w:val="-4"/>
                <w:sz w:val="14"/>
                <w:szCs w:val="14"/>
              </w:rPr>
              <w:t>Pokrývají výdaje na platy v organizačních složkách státu. Nezahrnují například mzdové výdaje na regionální školství.</w:t>
            </w:r>
          </w:p>
          <w:p w14:paraId="31E456E7" w14:textId="77777777" w:rsidR="00D42211" w:rsidRDefault="00D42211" w:rsidP="00D42211">
            <w:pPr>
              <w:pStyle w:val="Textpoznpodarou"/>
              <w:rPr>
                <w:spacing w:val="-4"/>
                <w:sz w:val="14"/>
                <w:szCs w:val="14"/>
              </w:rPr>
            </w:pPr>
            <w:r>
              <w:rPr>
                <w:spacing w:val="-4"/>
                <w:sz w:val="14"/>
                <w:szCs w:val="14"/>
              </w:rPr>
              <w:t xml:space="preserve">** Obsahuje také </w:t>
            </w:r>
            <w:r w:rsidRPr="008F2BE2">
              <w:rPr>
                <w:spacing w:val="-4"/>
                <w:sz w:val="14"/>
                <w:szCs w:val="14"/>
              </w:rPr>
              <w:t>dávky pěstounské péče.</w:t>
            </w:r>
          </w:p>
          <w:p w14:paraId="1FE6BB27" w14:textId="77777777" w:rsidR="00D42211" w:rsidRPr="008F2BE2" w:rsidRDefault="00D42211" w:rsidP="00D42211">
            <w:pPr>
              <w:pStyle w:val="Textpoznpodarou"/>
              <w:rPr>
                <w:spacing w:val="-4"/>
                <w:sz w:val="14"/>
                <w:szCs w:val="14"/>
              </w:rPr>
            </w:pPr>
            <w:r>
              <w:rPr>
                <w:spacing w:val="-4"/>
                <w:sz w:val="14"/>
                <w:szCs w:val="14"/>
              </w:rPr>
              <w:t>*** Z</w:t>
            </w:r>
            <w:r w:rsidRPr="008F2BE2">
              <w:rPr>
                <w:spacing w:val="-4"/>
                <w:sz w:val="14"/>
                <w:szCs w:val="14"/>
              </w:rPr>
              <w:t>ahrnují dávky pomoci v hmotné nouzi, dávky osobám se zdravotním postižením, příspěvek na péči dle zákona o soc. službách.</w:t>
            </w:r>
            <w:r>
              <w:rPr>
                <w:spacing w:val="-4"/>
                <w:sz w:val="14"/>
                <w:szCs w:val="14"/>
              </w:rPr>
              <w:t xml:space="preserve"> Jsou zde obsaženy i dávky </w:t>
            </w:r>
            <w:r w:rsidRPr="00FB6649">
              <w:rPr>
                <w:spacing w:val="-4"/>
                <w:sz w:val="14"/>
                <w:szCs w:val="14"/>
              </w:rPr>
              <w:t>humanitární pomoc</w:t>
            </w:r>
            <w:r>
              <w:rPr>
                <w:spacing w:val="-4"/>
                <w:sz w:val="14"/>
                <w:szCs w:val="14"/>
              </w:rPr>
              <w:t>i poskytnuté občanům Ukrajiny.</w:t>
            </w:r>
          </w:p>
          <w:p w14:paraId="71A69BD6" w14:textId="77777777" w:rsidR="00D42211" w:rsidRDefault="00D42211" w:rsidP="00D42211">
            <w:pPr>
              <w:pStyle w:val="Textpoznpodarou"/>
              <w:rPr>
                <w:spacing w:val="-4"/>
                <w:sz w:val="14"/>
                <w:szCs w:val="14"/>
              </w:rPr>
            </w:pPr>
            <w:r>
              <w:rPr>
                <w:spacing w:val="-4"/>
                <w:sz w:val="14"/>
                <w:szCs w:val="14"/>
              </w:rPr>
              <w:t>**** O</w:t>
            </w:r>
            <w:r w:rsidRPr="008F2BE2">
              <w:rPr>
                <w:spacing w:val="-4"/>
                <w:sz w:val="14"/>
                <w:szCs w:val="14"/>
              </w:rPr>
              <w:t>bsahují zejména výdaje na nákup služeb, materiálu, energií či ostatních služeb (například výdaje na opravy a udržování).</w:t>
            </w:r>
          </w:p>
          <w:p w14:paraId="1FB54453" w14:textId="77777777" w:rsidR="00D42211" w:rsidRPr="00257D9C" w:rsidRDefault="00D42211" w:rsidP="00D42211">
            <w:pPr>
              <w:pStyle w:val="Textpoznpodarou"/>
              <w:spacing w:after="180"/>
              <w:rPr>
                <w:spacing w:val="-4"/>
                <w:sz w:val="14"/>
                <w:szCs w:val="14"/>
              </w:rPr>
            </w:pPr>
            <w:r>
              <w:rPr>
                <w:spacing w:val="-4"/>
                <w:sz w:val="14"/>
                <w:szCs w:val="14"/>
              </w:rPr>
              <w:t>*****</w:t>
            </w:r>
            <w:r w:rsidRPr="00257D9C">
              <w:rPr>
                <w:spacing w:val="-4"/>
                <w:sz w:val="14"/>
                <w:szCs w:val="14"/>
              </w:rPr>
              <w:t xml:space="preserve"> Čisté výdaje odpovídají saldu rozpočtové kapitoly Státní dluh (č. 396).</w:t>
            </w:r>
            <w:r>
              <w:rPr>
                <w:spacing w:val="-4"/>
                <w:sz w:val="14"/>
                <w:szCs w:val="14"/>
              </w:rPr>
              <w:t xml:space="preserve">                                                                       Zdroj: MF ČR</w:t>
            </w:r>
          </w:p>
        </w:tc>
      </w:tr>
      <w:tr w:rsidR="00D42211" w14:paraId="175ED527" w14:textId="77777777" w:rsidTr="00D42211">
        <w:trPr>
          <w:trHeight w:val="170"/>
        </w:trPr>
        <w:tc>
          <w:tcPr>
            <w:tcW w:w="1810" w:type="dxa"/>
            <w:shd w:val="clear" w:color="auto" w:fill="auto"/>
            <w:tcMar>
              <w:left w:w="0" w:type="dxa"/>
            </w:tcMar>
          </w:tcPr>
          <w:p w14:paraId="254F3285" w14:textId="77777777" w:rsidR="00D42211" w:rsidRDefault="00D42211" w:rsidP="00D42211">
            <w:pPr>
              <w:pStyle w:val="Marginlie"/>
            </w:pPr>
            <w:r>
              <w:t xml:space="preserve">Meziroční tempo růstu státního dluhu bylo nejnižší od jara 2020. </w:t>
            </w:r>
          </w:p>
          <w:p w14:paraId="6A51ECC2" w14:textId="77777777" w:rsidR="00D42211" w:rsidRDefault="00D42211" w:rsidP="00D42211">
            <w:pPr>
              <w:pStyle w:val="Marginlie"/>
            </w:pPr>
          </w:p>
          <w:p w14:paraId="63F4C383" w14:textId="77777777" w:rsidR="00D42211" w:rsidRDefault="00D42211" w:rsidP="00D42211">
            <w:pPr>
              <w:pStyle w:val="Marginlie"/>
            </w:pPr>
          </w:p>
          <w:p w14:paraId="3FFD6E27" w14:textId="77777777" w:rsidR="00D42211" w:rsidRDefault="00D42211" w:rsidP="00D42211">
            <w:pPr>
              <w:pStyle w:val="Marginlie"/>
            </w:pPr>
            <w:r>
              <w:t>Navýšení dluhu se takřka výhradně týkalo vnitřní zadluženosti.</w:t>
            </w:r>
          </w:p>
          <w:p w14:paraId="7877A7C7" w14:textId="77777777" w:rsidR="00D42211" w:rsidRDefault="00D42211" w:rsidP="00D42211">
            <w:pPr>
              <w:pStyle w:val="Marginlie"/>
            </w:pPr>
          </w:p>
          <w:p w14:paraId="216C86CA" w14:textId="77777777" w:rsidR="00D42211" w:rsidRDefault="00D42211" w:rsidP="00D42211">
            <w:pPr>
              <w:pStyle w:val="Marginlie"/>
            </w:pPr>
          </w:p>
          <w:p w14:paraId="5B7BB2D9" w14:textId="77777777" w:rsidR="00D42211" w:rsidRDefault="00D42211" w:rsidP="00D42211">
            <w:pPr>
              <w:pStyle w:val="Marginlie"/>
            </w:pPr>
          </w:p>
          <w:p w14:paraId="338902E7" w14:textId="77777777" w:rsidR="00D42211" w:rsidRDefault="00D42211" w:rsidP="00D42211">
            <w:pPr>
              <w:pStyle w:val="Marginlie"/>
            </w:pPr>
          </w:p>
          <w:p w14:paraId="2A412A1E" w14:textId="77777777" w:rsidR="00D42211" w:rsidRDefault="00D42211" w:rsidP="00D42211">
            <w:pPr>
              <w:pStyle w:val="Marginlie"/>
            </w:pPr>
          </w:p>
          <w:p w14:paraId="20F97E58" w14:textId="77777777" w:rsidR="00D42211" w:rsidRDefault="00D42211" w:rsidP="00D42211">
            <w:pPr>
              <w:pStyle w:val="Marginlie"/>
            </w:pPr>
          </w:p>
          <w:p w14:paraId="1E70A759" w14:textId="77777777" w:rsidR="00D42211" w:rsidRDefault="00D42211" w:rsidP="00D42211">
            <w:pPr>
              <w:pStyle w:val="Marginlie"/>
            </w:pPr>
            <w:r>
              <w:t>Zvolnění růstu výdajů na státní dluh ovlivnila hlavně vysoká loňská výplata státních protiinflačních dluhopisů.</w:t>
            </w:r>
          </w:p>
        </w:tc>
        <w:tc>
          <w:tcPr>
            <w:tcW w:w="203" w:type="dxa"/>
            <w:shd w:val="clear" w:color="auto" w:fill="auto"/>
            <w:tcMar>
              <w:left w:w="0" w:type="dxa"/>
            </w:tcMar>
          </w:tcPr>
          <w:p w14:paraId="62D0CFB5" w14:textId="77777777" w:rsidR="00D42211" w:rsidRDefault="00D42211" w:rsidP="00D42211">
            <w:pPr>
              <w:pStyle w:val="Textpoznpodarou"/>
              <w:jc w:val="both"/>
              <w:rPr>
                <w:spacing w:val="-4"/>
              </w:rPr>
            </w:pPr>
          </w:p>
        </w:tc>
        <w:tc>
          <w:tcPr>
            <w:tcW w:w="7656" w:type="dxa"/>
            <w:shd w:val="clear" w:color="auto" w:fill="auto"/>
            <w:tcMar>
              <w:left w:w="0" w:type="dxa"/>
            </w:tcMar>
          </w:tcPr>
          <w:p w14:paraId="7FBD2C71" w14:textId="77777777" w:rsidR="00D42211" w:rsidRPr="004143BE" w:rsidRDefault="00D42211" w:rsidP="00D42211">
            <w:pPr>
              <w:spacing w:after="200"/>
              <w:rPr>
                <w:color w:val="0D0D0D" w:themeColor="text1" w:themeTint="F2"/>
                <w:spacing w:val="-5"/>
              </w:rPr>
            </w:pPr>
            <w:r w:rsidRPr="004143BE">
              <w:rPr>
                <w:color w:val="0D0D0D" w:themeColor="text1" w:themeTint="F2"/>
                <w:spacing w:val="-5"/>
              </w:rPr>
              <w:t>Pokračující deficitní hospodaření SR se promítlo do státního dluhu. Ten vystoupal na konci 2. čtvrtletí 2024 na 3 207 mld. korun. Meziročně se zvýšil o 5,3 % a rostl již dvacet k</w:t>
            </w:r>
            <w:r>
              <w:rPr>
                <w:color w:val="0D0D0D" w:themeColor="text1" w:themeTint="F2"/>
                <w:spacing w:val="-5"/>
              </w:rPr>
              <w:t xml:space="preserve">vartálů </w:t>
            </w:r>
            <w:r w:rsidRPr="004143BE">
              <w:rPr>
                <w:color w:val="0D0D0D" w:themeColor="text1" w:themeTint="F2"/>
                <w:spacing w:val="-8"/>
              </w:rPr>
              <w:t>v řadě. Tempo růstu bylo ale nejnižší od počátku propuknutí pandemie</w:t>
            </w:r>
            <w:r>
              <w:rPr>
                <w:color w:val="0D0D0D" w:themeColor="text1" w:themeTint="F2"/>
                <w:spacing w:val="-8"/>
              </w:rPr>
              <w:t xml:space="preserve"> covidu</w:t>
            </w:r>
            <w:r w:rsidRPr="004143BE">
              <w:rPr>
                <w:color w:val="0D0D0D" w:themeColor="text1" w:themeTint="F2"/>
                <w:spacing w:val="-8"/>
              </w:rPr>
              <w:t>-19. Od počátku</w:t>
            </w:r>
            <w:r w:rsidRPr="004143BE">
              <w:rPr>
                <w:color w:val="0D0D0D" w:themeColor="text1" w:themeTint="F2"/>
                <w:spacing w:val="-5"/>
              </w:rPr>
              <w:t xml:space="preserve"> roku 2024 se dluh navýšil o 96 mld. korun. Rostla tradičně zejména vnitřní zadluženost, a to hlavně vlivem emise středně a dlouhodobých státních dluhopisů</w:t>
            </w:r>
            <w:r w:rsidRPr="004143BE">
              <w:rPr>
                <w:rStyle w:val="Znakapoznpodarou"/>
                <w:color w:val="0D0D0D" w:themeColor="text1" w:themeTint="F2"/>
                <w:spacing w:val="-5"/>
              </w:rPr>
              <w:footnoteReference w:id="24"/>
            </w:r>
            <w:r w:rsidRPr="004143BE">
              <w:rPr>
                <w:color w:val="0D0D0D" w:themeColor="text1" w:themeTint="F2"/>
                <w:spacing w:val="-5"/>
              </w:rPr>
              <w:t>, v menší míře i emise státních pokladničních poukázek. Vnější zadluženost se za 1. pololetí nezměnila (meziročně nadále klesala) a na celkovém státním dluhu se letos na k</w:t>
            </w:r>
            <w:r>
              <w:rPr>
                <w:color w:val="0D0D0D" w:themeColor="text1" w:themeTint="F2"/>
                <w:spacing w:val="-5"/>
              </w:rPr>
              <w:t>onci června podílela necelými 5</w:t>
            </w:r>
            <w:r w:rsidRPr="004143BE">
              <w:rPr>
                <w:color w:val="0D0D0D" w:themeColor="text1" w:themeTint="F2"/>
                <w:spacing w:val="-5"/>
              </w:rPr>
              <w:t xml:space="preserve"> %. </w:t>
            </w:r>
            <w:r w:rsidRPr="004143BE">
              <w:rPr>
                <w:color w:val="0D0D0D" w:themeColor="text1" w:themeTint="F2"/>
                <w:spacing w:val="-5"/>
              </w:rPr>
              <w:lastRenderedPageBreak/>
              <w:t>Emisní činnost v 1. pololetí stačila k pokrytí celkových ročních splátek korunového státního dluhu. Mezi držiteli všech domácích dluhopisů v oběhu dominovaly na konci června 2024 finanční instituce (62,1 %, zejména banky, ale i pojišťovny a investiční a penzijní fondy), nerezidenti pak vlastnili 30,8 % dluhopisů a jejich podíl se od počátku roku snížil o necelých 5 p. b. (současně klesla i hodnota jimi držených dluhopisů). Čisté výdaje na obsluhu státního dluhu dosáhly v 1. pololetí 42,9 mld. korun a čtvrtým rokem v řadě pokračovaly ve svižném navyšování (+14 % meziročně). To ovšem oproti rekordnímu tempu ve stejném období loňského roku (+63 %, +14,5 mld.) zvolnilo. Tento vývoj souvisel se stabilizací cenové hladiny v ekonomice, jež se letos promítla do nižší výplaty protiinflačních státních dluhopisů občanům i mírného poklesu úrokové sazby u dalších instrumentů dluhového financování.</w:t>
            </w:r>
          </w:p>
        </w:tc>
      </w:tr>
      <w:tr w:rsidR="00D42211" w14:paraId="62C157FC" w14:textId="77777777" w:rsidTr="00D42211">
        <w:trPr>
          <w:trHeight w:val="170"/>
        </w:trPr>
        <w:tc>
          <w:tcPr>
            <w:tcW w:w="1810" w:type="dxa"/>
            <w:shd w:val="clear" w:color="auto" w:fill="auto"/>
            <w:tcMar>
              <w:left w:w="0" w:type="dxa"/>
            </w:tcMar>
          </w:tcPr>
          <w:p w14:paraId="2C23F470" w14:textId="77777777" w:rsidR="00D42211" w:rsidRPr="00D31D9C" w:rsidRDefault="00D42211" w:rsidP="00D42211">
            <w:pPr>
              <w:pStyle w:val="Marginlie"/>
              <w:rPr>
                <w:color w:val="0D0D0D" w:themeColor="text1" w:themeTint="F2"/>
              </w:rPr>
            </w:pPr>
            <w:r>
              <w:rPr>
                <w:color w:val="0D0D0D" w:themeColor="text1" w:themeTint="F2"/>
              </w:rPr>
              <w:lastRenderedPageBreak/>
              <w:t>Výdaje vládních institucí rostly nejméně za osm kvartálů. Stál za tím útlum dotací, ale i zvolnění růstu mezispotřeby či vyplacených mezd. Příjmy rostly stabilním tempem.</w:t>
            </w:r>
          </w:p>
        </w:tc>
        <w:tc>
          <w:tcPr>
            <w:tcW w:w="203" w:type="dxa"/>
            <w:shd w:val="clear" w:color="auto" w:fill="auto"/>
            <w:tcMar>
              <w:left w:w="0" w:type="dxa"/>
            </w:tcMar>
          </w:tcPr>
          <w:p w14:paraId="7A653A29" w14:textId="77777777" w:rsidR="00D42211" w:rsidRPr="00D31D9C" w:rsidRDefault="00D42211" w:rsidP="00D42211">
            <w:pPr>
              <w:pStyle w:val="Textpoznpodarou"/>
              <w:jc w:val="both"/>
              <w:rPr>
                <w:color w:val="0D0D0D" w:themeColor="text1" w:themeTint="F2"/>
                <w:spacing w:val="-4"/>
              </w:rPr>
            </w:pPr>
          </w:p>
        </w:tc>
        <w:tc>
          <w:tcPr>
            <w:tcW w:w="7656" w:type="dxa"/>
            <w:shd w:val="clear" w:color="auto" w:fill="auto"/>
            <w:tcMar>
              <w:left w:w="0" w:type="dxa"/>
            </w:tcMar>
          </w:tcPr>
          <w:p w14:paraId="1875300E" w14:textId="3FD87A6A" w:rsidR="00D42211" w:rsidRPr="0016194F" w:rsidRDefault="00D42211" w:rsidP="00D42211">
            <w:pPr>
              <w:spacing w:after="200"/>
              <w:rPr>
                <w:color w:val="0D0D0D" w:themeColor="text1" w:themeTint="F2"/>
                <w:spacing w:val="-3"/>
              </w:rPr>
            </w:pPr>
            <w:r w:rsidRPr="00200F58">
              <w:rPr>
                <w:color w:val="0D0D0D" w:themeColor="text1" w:themeTint="F2"/>
                <w:spacing w:val="-3"/>
              </w:rPr>
              <w:t>Sek</w:t>
            </w:r>
            <w:r>
              <w:rPr>
                <w:color w:val="0D0D0D" w:themeColor="text1" w:themeTint="F2"/>
                <w:spacing w:val="-3"/>
              </w:rPr>
              <w:t>tor vládních institucí (VI) v Česku</w:t>
            </w:r>
            <w:r w:rsidRPr="00200F58">
              <w:rPr>
                <w:color w:val="0D0D0D" w:themeColor="text1" w:themeTint="F2"/>
                <w:spacing w:val="-3"/>
              </w:rPr>
              <w:t xml:space="preserve"> </w:t>
            </w:r>
            <w:r>
              <w:rPr>
                <w:color w:val="0D0D0D" w:themeColor="text1" w:themeTint="F2"/>
                <w:spacing w:val="-3"/>
              </w:rPr>
              <w:t>hospodařil v 1. čtvrtletí 2024</w:t>
            </w:r>
            <w:r w:rsidRPr="008526E0">
              <w:rPr>
                <w:rStyle w:val="Znakapoznpodarou"/>
                <w:color w:val="0D0D0D" w:themeColor="text1" w:themeTint="F2"/>
                <w:spacing w:val="-3"/>
              </w:rPr>
              <w:footnoteReference w:id="25"/>
            </w:r>
            <w:r>
              <w:rPr>
                <w:color w:val="0D0D0D" w:themeColor="text1" w:themeTint="F2"/>
                <w:spacing w:val="-3"/>
              </w:rPr>
              <w:t xml:space="preserve"> s deficitem 59</w:t>
            </w:r>
            <w:r w:rsidRPr="008526E0">
              <w:rPr>
                <w:color w:val="0D0D0D" w:themeColor="text1" w:themeTint="F2"/>
                <w:spacing w:val="-3"/>
              </w:rPr>
              <w:t xml:space="preserve"> mld. korun</w:t>
            </w:r>
            <w:r w:rsidRPr="008526E0">
              <w:rPr>
                <w:rStyle w:val="Znakapoznpodarou"/>
                <w:color w:val="0D0D0D" w:themeColor="text1" w:themeTint="F2"/>
                <w:spacing w:val="-3"/>
              </w:rPr>
              <w:footnoteReference w:id="26"/>
            </w:r>
            <w:r w:rsidRPr="008526E0">
              <w:rPr>
                <w:color w:val="0D0D0D" w:themeColor="text1" w:themeTint="F2"/>
                <w:spacing w:val="-3"/>
              </w:rPr>
              <w:t>,</w:t>
            </w:r>
            <w:r>
              <w:rPr>
                <w:color w:val="0D0D0D" w:themeColor="text1" w:themeTint="F2"/>
                <w:spacing w:val="-3"/>
              </w:rPr>
              <w:t xml:space="preserve"> jenž byl meziročně skoro o polovinu nižší. V rámci prvních kvartálů šlo o nejmenší schodek za poslední čtyři roky. Za meziročním zmírněním schodku (</w:t>
            </w:r>
            <w:r>
              <w:rPr>
                <w:spacing w:val="-6"/>
              </w:rPr>
              <w:t>−</w:t>
            </w:r>
            <w:r>
              <w:rPr>
                <w:color w:val="0D0D0D" w:themeColor="text1" w:themeTint="F2"/>
                <w:spacing w:val="-3"/>
              </w:rPr>
              <w:t xml:space="preserve">49 mld. korun) stálo citelné zvonění růstu výdajů (na 1,7 %, nejméně za posledních osm kvartálů) při současném udržení stabilního růstu příjmů (9,2 %). Do růstu příjmů promlouvaly posilující výběr běžných daní z důchodů a jmění (na 20 %) a stabilně rostoucí čisté sociální příspěvky (8,6 %). V dynamice výdajů se odrážely hlavně vyšší sociální dávky (vč. naturálních sociálních transferů), jejich růst ale zvolnil (na 6,3 %, o rok dříve na 13,3 %). Významně zmírnil růst mezispotřeby (na 6,2 %) i vyplacených náhrad zaměstnancům </w:t>
            </w:r>
            <w:r w:rsidRPr="00AB296D">
              <w:rPr>
                <w:color w:val="0D0D0D" w:themeColor="text1" w:themeTint="F2"/>
                <w:spacing w:val="-5"/>
              </w:rPr>
              <w:t>(3,9 %). Nejvýraznější změnou byl očekávaný hluboký útlum dotací (</w:t>
            </w:r>
            <w:r>
              <w:rPr>
                <w:spacing w:val="-5"/>
              </w:rPr>
              <w:t>−</w:t>
            </w:r>
            <w:r w:rsidRPr="00AB296D">
              <w:rPr>
                <w:color w:val="0D0D0D" w:themeColor="text1" w:themeTint="F2"/>
                <w:spacing w:val="-5"/>
              </w:rPr>
              <w:t xml:space="preserve">38 %, </w:t>
            </w:r>
            <w:r>
              <w:rPr>
                <w:spacing w:val="-5"/>
              </w:rPr>
              <w:t>−</w:t>
            </w:r>
            <w:r w:rsidRPr="00AB296D">
              <w:rPr>
                <w:color w:val="0D0D0D" w:themeColor="text1" w:themeTint="F2"/>
                <w:spacing w:val="-5"/>
              </w:rPr>
              <w:t>24 mld. korun),</w:t>
            </w:r>
            <w:r>
              <w:rPr>
                <w:color w:val="0D0D0D" w:themeColor="text1" w:themeTint="F2"/>
                <w:spacing w:val="-3"/>
              </w:rPr>
              <w:t xml:space="preserve"> jejichž nominální úroveň se zhruba vrátila na hladinu z počátku roku 2022. Došlo také k meziročnímu poklesu tvorby fixních investic (</w:t>
            </w:r>
            <w:r>
              <w:rPr>
                <w:spacing w:val="-6"/>
              </w:rPr>
              <w:t>−</w:t>
            </w:r>
            <w:r>
              <w:rPr>
                <w:color w:val="0D0D0D" w:themeColor="text1" w:themeTint="F2"/>
                <w:spacing w:val="-3"/>
              </w:rPr>
              <w:t xml:space="preserve">3,8 %), poprvé od konce roku 2016. </w:t>
            </w:r>
          </w:p>
        </w:tc>
      </w:tr>
      <w:tr w:rsidR="00D42211" w14:paraId="02E3BC58" w14:textId="77777777" w:rsidTr="00D42211">
        <w:trPr>
          <w:trHeight w:val="170"/>
        </w:trPr>
        <w:tc>
          <w:tcPr>
            <w:tcW w:w="1810" w:type="dxa"/>
            <w:shd w:val="clear" w:color="auto" w:fill="auto"/>
            <w:tcMar>
              <w:left w:w="0" w:type="dxa"/>
            </w:tcMar>
          </w:tcPr>
          <w:p w14:paraId="2E5942A7" w14:textId="77777777" w:rsidR="00D42211" w:rsidRDefault="00D42211" w:rsidP="00D42211">
            <w:pPr>
              <w:pStyle w:val="Marginlie"/>
            </w:pPr>
            <w:r>
              <w:t>Schodek hospodaření vládních institucí v EU se v 1. čtvrtletí 2024 zmírnil. V Česku klesl meziročně o polovinu a druhý kvartál v řadě byla jeho úroveň nižší než v EU.</w:t>
            </w:r>
          </w:p>
          <w:p w14:paraId="315ECDEC" w14:textId="77777777" w:rsidR="00D42211" w:rsidRDefault="00D42211" w:rsidP="00D42211">
            <w:pPr>
              <w:pStyle w:val="Marginlie"/>
            </w:pPr>
          </w:p>
          <w:p w14:paraId="1D0E94A1" w14:textId="77777777" w:rsidR="00D42211" w:rsidRDefault="00D42211" w:rsidP="00D42211">
            <w:pPr>
              <w:pStyle w:val="Marginlie"/>
            </w:pPr>
          </w:p>
          <w:p w14:paraId="53689950" w14:textId="77777777" w:rsidR="00D42211" w:rsidRDefault="00D42211" w:rsidP="00D42211">
            <w:pPr>
              <w:pStyle w:val="Marginlie"/>
            </w:pPr>
          </w:p>
          <w:p w14:paraId="6ECE6E12" w14:textId="77777777" w:rsidR="00D42211" w:rsidRDefault="00D42211" w:rsidP="00D42211">
            <w:pPr>
              <w:pStyle w:val="Marginlie"/>
            </w:pPr>
          </w:p>
          <w:p w14:paraId="0061AAD8" w14:textId="77777777" w:rsidR="00D42211" w:rsidRDefault="00D42211" w:rsidP="00D42211">
            <w:pPr>
              <w:pStyle w:val="Marginlie"/>
            </w:pPr>
          </w:p>
          <w:p w14:paraId="3DE3CF26" w14:textId="77777777" w:rsidR="00D42211" w:rsidRDefault="00D42211" w:rsidP="00D42211">
            <w:pPr>
              <w:pStyle w:val="Marginlie"/>
            </w:pPr>
          </w:p>
          <w:p w14:paraId="678EC4DD" w14:textId="77777777" w:rsidR="00D42211" w:rsidRDefault="00D42211" w:rsidP="00D42211">
            <w:pPr>
              <w:pStyle w:val="Marginlie"/>
            </w:pPr>
            <w:r>
              <w:t>Mezikvartální pokles míry zadluženosti v EU se po třech letech zastavil.</w:t>
            </w:r>
          </w:p>
          <w:p w14:paraId="6B233543" w14:textId="77777777" w:rsidR="00D42211" w:rsidRDefault="00D42211" w:rsidP="00D42211">
            <w:pPr>
              <w:pStyle w:val="Marginlie"/>
            </w:pPr>
          </w:p>
          <w:p w14:paraId="40BF4985" w14:textId="77777777" w:rsidR="00D42211" w:rsidRDefault="00D42211" w:rsidP="00D42211">
            <w:pPr>
              <w:pStyle w:val="Marginlie"/>
            </w:pPr>
          </w:p>
          <w:p w14:paraId="057448AA" w14:textId="77777777" w:rsidR="00D42211" w:rsidRDefault="00D42211" w:rsidP="00D42211">
            <w:pPr>
              <w:pStyle w:val="Marginlie"/>
            </w:pPr>
          </w:p>
          <w:p w14:paraId="591450F6" w14:textId="77777777" w:rsidR="00D42211" w:rsidRDefault="00D42211" w:rsidP="00D42211">
            <w:pPr>
              <w:pStyle w:val="Marginlie"/>
            </w:pPr>
          </w:p>
          <w:p w14:paraId="7B72D7D6" w14:textId="77777777" w:rsidR="00D42211" w:rsidRDefault="00D42211" w:rsidP="00D42211">
            <w:pPr>
              <w:pStyle w:val="Marginlie"/>
            </w:pPr>
          </w:p>
          <w:p w14:paraId="7FCF3136" w14:textId="77777777" w:rsidR="00D42211" w:rsidRDefault="00D42211" w:rsidP="00D42211">
            <w:pPr>
              <w:pStyle w:val="Marginlie"/>
            </w:pPr>
          </w:p>
          <w:p w14:paraId="4A9FEA37" w14:textId="77777777" w:rsidR="00D42211" w:rsidRDefault="00D42211" w:rsidP="00D42211">
            <w:pPr>
              <w:pStyle w:val="Marginlie"/>
            </w:pPr>
            <w:r>
              <w:t>Míra zadlužení Česka byla v EU osmá nejnižší, ale oproti svému minimu z let 2015 až 2019 byl její nárůst jeden z nejvyšších v rámci států EU.</w:t>
            </w:r>
          </w:p>
        </w:tc>
        <w:tc>
          <w:tcPr>
            <w:tcW w:w="203" w:type="dxa"/>
            <w:shd w:val="clear" w:color="auto" w:fill="auto"/>
            <w:tcMar>
              <w:left w:w="0" w:type="dxa"/>
            </w:tcMar>
          </w:tcPr>
          <w:p w14:paraId="73E914B9" w14:textId="77777777" w:rsidR="00D42211" w:rsidRDefault="00D42211" w:rsidP="00D42211">
            <w:pPr>
              <w:pStyle w:val="Textpoznpodarou"/>
              <w:jc w:val="both"/>
              <w:rPr>
                <w:spacing w:val="-4"/>
              </w:rPr>
            </w:pPr>
          </w:p>
        </w:tc>
        <w:tc>
          <w:tcPr>
            <w:tcW w:w="7656" w:type="dxa"/>
            <w:shd w:val="clear" w:color="auto" w:fill="auto"/>
            <w:tcMar>
              <w:left w:w="0" w:type="dxa"/>
            </w:tcMar>
          </w:tcPr>
          <w:p w14:paraId="4FCCE7C1" w14:textId="24D94A69" w:rsidR="00D42211" w:rsidRPr="0040616A" w:rsidRDefault="00D42211" w:rsidP="00800216">
            <w:pPr>
              <w:spacing w:after="0"/>
              <w:rPr>
                <w:color w:val="0D0D0D" w:themeColor="text1" w:themeTint="F2"/>
                <w:spacing w:val="-6"/>
              </w:rPr>
            </w:pPr>
            <w:r w:rsidRPr="0040616A">
              <w:rPr>
                <w:color w:val="0D0D0D" w:themeColor="text1" w:themeTint="F2"/>
                <w:spacing w:val="-6"/>
              </w:rPr>
              <w:t xml:space="preserve">Nepříznivý trend </w:t>
            </w:r>
            <w:r>
              <w:rPr>
                <w:color w:val="0D0D0D" w:themeColor="text1" w:themeTint="F2"/>
                <w:spacing w:val="-6"/>
              </w:rPr>
              <w:t>související s pomalejším růstem</w:t>
            </w:r>
            <w:r w:rsidRPr="0040616A">
              <w:rPr>
                <w:color w:val="0D0D0D" w:themeColor="text1" w:themeTint="F2"/>
                <w:spacing w:val="-6"/>
              </w:rPr>
              <w:t xml:space="preserve"> celkových příjmů sektoru VI v EU než </w:t>
            </w:r>
            <w:r>
              <w:rPr>
                <w:color w:val="0D0D0D" w:themeColor="text1" w:themeTint="F2"/>
                <w:spacing w:val="-6"/>
              </w:rPr>
              <w:t xml:space="preserve">jejich </w:t>
            </w:r>
            <w:r w:rsidRPr="0040616A">
              <w:rPr>
                <w:color w:val="0D0D0D" w:themeColor="text1" w:themeTint="F2"/>
                <w:spacing w:val="-6"/>
              </w:rPr>
              <w:t>výdajů (vztažených k HDP)</w:t>
            </w:r>
            <w:r w:rsidRPr="0040616A">
              <w:rPr>
                <w:rStyle w:val="Znakapoznpodarou"/>
                <w:color w:val="0D0D0D" w:themeColor="text1" w:themeTint="F2"/>
                <w:spacing w:val="-6"/>
              </w:rPr>
              <w:footnoteReference w:id="27"/>
            </w:r>
            <w:r w:rsidRPr="0040616A">
              <w:rPr>
                <w:color w:val="0D0D0D" w:themeColor="text1" w:themeTint="F2"/>
                <w:spacing w:val="-6"/>
              </w:rPr>
              <w:t xml:space="preserve">, jenž byl patrný po většinu loňského roku, v 1. čtvrtletí 2024 již nepokračoval. Vlivem slabého růstu </w:t>
            </w:r>
            <w:r>
              <w:rPr>
                <w:color w:val="0D0D0D" w:themeColor="text1" w:themeTint="F2"/>
                <w:spacing w:val="-6"/>
              </w:rPr>
              <w:t xml:space="preserve">ekonomiky </w:t>
            </w:r>
            <w:r w:rsidRPr="0040616A">
              <w:rPr>
                <w:color w:val="0D0D0D" w:themeColor="text1" w:themeTint="F2"/>
                <w:spacing w:val="-6"/>
              </w:rPr>
              <w:t xml:space="preserve">v Unii sice </w:t>
            </w:r>
            <w:r>
              <w:rPr>
                <w:color w:val="0D0D0D" w:themeColor="text1" w:themeTint="F2"/>
                <w:spacing w:val="-6"/>
              </w:rPr>
              <w:t xml:space="preserve">tyto </w:t>
            </w:r>
            <w:r w:rsidRPr="0040616A">
              <w:rPr>
                <w:color w:val="0D0D0D" w:themeColor="text1" w:themeTint="F2"/>
                <w:spacing w:val="-6"/>
              </w:rPr>
              <w:t xml:space="preserve">příjmy mezikvartálně poklesly </w:t>
            </w:r>
            <w:r w:rsidRPr="0016194F">
              <w:rPr>
                <w:color w:val="0D0D0D" w:themeColor="text1" w:themeTint="F2"/>
                <w:spacing w:val="-8"/>
              </w:rPr>
              <w:t xml:space="preserve">(na 45,9 % HDP), redukce výdajů byla ale </w:t>
            </w:r>
            <w:r>
              <w:rPr>
                <w:color w:val="0D0D0D" w:themeColor="text1" w:themeTint="F2"/>
                <w:spacing w:val="-8"/>
              </w:rPr>
              <w:t>razantnější. Saldo</w:t>
            </w:r>
            <w:r w:rsidRPr="0016194F">
              <w:rPr>
                <w:color w:val="0D0D0D" w:themeColor="text1" w:themeTint="F2"/>
                <w:spacing w:val="-8"/>
              </w:rPr>
              <w:t xml:space="preserve"> hospodaření dosáhl</w:t>
            </w:r>
            <w:r>
              <w:rPr>
                <w:color w:val="0D0D0D" w:themeColor="text1" w:themeTint="F2"/>
                <w:spacing w:val="-8"/>
              </w:rPr>
              <w:t>o</w:t>
            </w:r>
            <w:r w:rsidRPr="0040616A">
              <w:rPr>
                <w:color w:val="0D0D0D" w:themeColor="text1" w:themeTint="F2"/>
                <w:spacing w:val="-6"/>
              </w:rPr>
              <w:t xml:space="preserve"> </w:t>
            </w:r>
            <w:r>
              <w:rPr>
                <w:spacing w:val="-6"/>
              </w:rPr>
              <w:t>−</w:t>
            </w:r>
            <w:r w:rsidRPr="0040616A">
              <w:rPr>
                <w:color w:val="0D0D0D" w:themeColor="text1" w:themeTint="F2"/>
                <w:spacing w:val="-6"/>
              </w:rPr>
              <w:t xml:space="preserve">3,0 % HDP (v eurozóně </w:t>
            </w:r>
            <w:r>
              <w:rPr>
                <w:spacing w:val="-6"/>
              </w:rPr>
              <w:t>−</w:t>
            </w:r>
            <w:r w:rsidRPr="0040616A">
              <w:rPr>
                <w:color w:val="0D0D0D" w:themeColor="text1" w:themeTint="F2"/>
                <w:spacing w:val="-6"/>
              </w:rPr>
              <w:t>3,2 %)</w:t>
            </w:r>
            <w:r>
              <w:rPr>
                <w:color w:val="0D0D0D" w:themeColor="text1" w:themeTint="F2"/>
                <w:spacing w:val="-6"/>
              </w:rPr>
              <w:t>, šlo o</w:t>
            </w:r>
            <w:r w:rsidRPr="0040616A">
              <w:rPr>
                <w:color w:val="0D0D0D" w:themeColor="text1" w:themeTint="F2"/>
                <w:spacing w:val="-6"/>
              </w:rPr>
              <w:t xml:space="preserve"> nejnižší </w:t>
            </w:r>
            <w:r>
              <w:rPr>
                <w:color w:val="0D0D0D" w:themeColor="text1" w:themeTint="F2"/>
                <w:spacing w:val="-6"/>
              </w:rPr>
              <w:t xml:space="preserve">schodek </w:t>
            </w:r>
            <w:r w:rsidRPr="0040616A">
              <w:rPr>
                <w:color w:val="0D0D0D" w:themeColor="text1" w:themeTint="F2"/>
                <w:spacing w:val="-6"/>
              </w:rPr>
              <w:t xml:space="preserve">od poloviny roku 2022. </w:t>
            </w:r>
            <w:r>
              <w:rPr>
                <w:color w:val="0D0D0D" w:themeColor="text1" w:themeTint="F2"/>
                <w:spacing w:val="-6"/>
              </w:rPr>
              <w:t>Také</w:t>
            </w:r>
            <w:r w:rsidRPr="0040616A">
              <w:rPr>
                <w:color w:val="0D0D0D" w:themeColor="text1" w:themeTint="F2"/>
                <w:spacing w:val="-6"/>
              </w:rPr>
              <w:t xml:space="preserve"> v Česku se schodek zredukoval (mezikvartálně </w:t>
            </w:r>
            <w:r>
              <w:rPr>
                <w:color w:val="0D0D0D" w:themeColor="text1" w:themeTint="F2"/>
                <w:spacing w:val="-6"/>
              </w:rPr>
              <w:t>o 1,2 p</w:t>
            </w:r>
            <w:r w:rsidRPr="0040616A">
              <w:rPr>
                <w:color w:val="0D0D0D" w:themeColor="text1" w:themeTint="F2"/>
                <w:spacing w:val="-6"/>
              </w:rPr>
              <w:t>.</w:t>
            </w:r>
            <w:r>
              <w:rPr>
                <w:color w:val="0D0D0D" w:themeColor="text1" w:themeTint="F2"/>
                <w:spacing w:val="-6"/>
              </w:rPr>
              <w:t xml:space="preserve"> b., meziročně o 2,1 p</w:t>
            </w:r>
            <w:r w:rsidRPr="0040616A">
              <w:rPr>
                <w:color w:val="0D0D0D" w:themeColor="text1" w:themeTint="F2"/>
                <w:spacing w:val="-6"/>
              </w:rPr>
              <w:t>.</w:t>
            </w:r>
            <w:r>
              <w:rPr>
                <w:color w:val="0D0D0D" w:themeColor="text1" w:themeTint="F2"/>
                <w:spacing w:val="-6"/>
              </w:rPr>
              <w:t xml:space="preserve"> b) na</w:t>
            </w:r>
            <w:r w:rsidRPr="0040616A">
              <w:rPr>
                <w:color w:val="0D0D0D" w:themeColor="text1" w:themeTint="F2"/>
                <w:spacing w:val="-6"/>
              </w:rPr>
              <w:t xml:space="preserve"> </w:t>
            </w:r>
            <w:r>
              <w:rPr>
                <w:spacing w:val="-6"/>
              </w:rPr>
              <w:t>−</w:t>
            </w:r>
            <w:r w:rsidRPr="0040616A">
              <w:rPr>
                <w:color w:val="0D0D0D" w:themeColor="text1" w:themeTint="F2"/>
                <w:spacing w:val="-6"/>
              </w:rPr>
              <w:t xml:space="preserve">2,0 % HDP </w:t>
            </w:r>
            <w:r>
              <w:rPr>
                <w:color w:val="0D0D0D" w:themeColor="text1" w:themeTint="F2"/>
                <w:spacing w:val="-6"/>
              </w:rPr>
              <w:t>(nejlepší výsledek</w:t>
            </w:r>
            <w:r w:rsidRPr="0040616A">
              <w:rPr>
                <w:color w:val="0D0D0D" w:themeColor="text1" w:themeTint="F2"/>
                <w:spacing w:val="-6"/>
              </w:rPr>
              <w:t xml:space="preserve"> od konce roku 2019</w:t>
            </w:r>
            <w:r>
              <w:rPr>
                <w:color w:val="0D0D0D" w:themeColor="text1" w:themeTint="F2"/>
                <w:spacing w:val="-6"/>
              </w:rPr>
              <w:t>)</w:t>
            </w:r>
            <w:r w:rsidRPr="0040616A">
              <w:rPr>
                <w:color w:val="0D0D0D" w:themeColor="text1" w:themeTint="F2"/>
                <w:spacing w:val="-6"/>
              </w:rPr>
              <w:t xml:space="preserve">. </w:t>
            </w:r>
            <w:r>
              <w:rPr>
                <w:color w:val="0D0D0D" w:themeColor="text1" w:themeTint="F2"/>
                <w:spacing w:val="-6"/>
              </w:rPr>
              <w:t>H</w:t>
            </w:r>
            <w:r w:rsidRPr="0040616A">
              <w:rPr>
                <w:color w:val="0D0D0D" w:themeColor="text1" w:themeTint="F2"/>
                <w:spacing w:val="-6"/>
              </w:rPr>
              <w:t xml:space="preserve">luboký schodek aktuálně </w:t>
            </w:r>
            <w:r>
              <w:rPr>
                <w:color w:val="0D0D0D" w:themeColor="text1" w:themeTint="F2"/>
                <w:spacing w:val="-6"/>
              </w:rPr>
              <w:t>sužuje</w:t>
            </w:r>
            <w:r w:rsidRPr="0040616A">
              <w:rPr>
                <w:color w:val="0D0D0D" w:themeColor="text1" w:themeTint="F2"/>
                <w:spacing w:val="-6"/>
              </w:rPr>
              <w:t xml:space="preserve"> Rumunsko (</w:t>
            </w:r>
            <w:r>
              <w:rPr>
                <w:spacing w:val="-6"/>
              </w:rPr>
              <w:t>−</w:t>
            </w:r>
            <w:r w:rsidRPr="0040616A">
              <w:rPr>
                <w:color w:val="0D0D0D" w:themeColor="text1" w:themeTint="F2"/>
                <w:spacing w:val="-6"/>
              </w:rPr>
              <w:t xml:space="preserve">7,0 % HDP), </w:t>
            </w:r>
            <w:r w:rsidRPr="00EF52A6">
              <w:rPr>
                <w:color w:val="0D0D0D" w:themeColor="text1" w:themeTint="F2"/>
                <w:spacing w:val="-7"/>
              </w:rPr>
              <w:t>Maďarsko (</w:t>
            </w:r>
            <w:r>
              <w:rPr>
                <w:spacing w:val="-6"/>
              </w:rPr>
              <w:t>−</w:t>
            </w:r>
            <w:r w:rsidRPr="00EF52A6">
              <w:rPr>
                <w:color w:val="0D0D0D" w:themeColor="text1" w:themeTint="F2"/>
                <w:spacing w:val="-7"/>
              </w:rPr>
              <w:t>6</w:t>
            </w:r>
            <w:r w:rsidRPr="00EF52A6">
              <w:rPr>
                <w:color w:val="0D0D0D" w:themeColor="text1" w:themeTint="F2"/>
                <w:spacing w:val="-6"/>
              </w:rPr>
              <w:t>,0 %), Bulharsko (</w:t>
            </w:r>
            <w:r>
              <w:rPr>
                <w:spacing w:val="-6"/>
              </w:rPr>
              <w:t>−</w:t>
            </w:r>
            <w:r w:rsidRPr="00EF52A6">
              <w:rPr>
                <w:color w:val="0D0D0D" w:themeColor="text1" w:themeTint="F2"/>
                <w:spacing w:val="-6"/>
              </w:rPr>
              <w:t>5,6 %), Slovensko (</w:t>
            </w:r>
            <w:r>
              <w:rPr>
                <w:spacing w:val="-6"/>
              </w:rPr>
              <w:t>−</w:t>
            </w:r>
            <w:r w:rsidRPr="00EF52A6">
              <w:rPr>
                <w:color w:val="0D0D0D" w:themeColor="text1" w:themeTint="F2"/>
                <w:spacing w:val="-6"/>
              </w:rPr>
              <w:t>5,0 %) a též vysoce zadlužené ekonomiky Francie (</w:t>
            </w:r>
            <w:r>
              <w:rPr>
                <w:spacing w:val="-6"/>
              </w:rPr>
              <w:t>−</w:t>
            </w:r>
            <w:r w:rsidRPr="00EF52A6">
              <w:rPr>
                <w:color w:val="0D0D0D" w:themeColor="text1" w:themeTint="F2"/>
                <w:spacing w:val="-8"/>
              </w:rPr>
              <w:t xml:space="preserve">5,6 %) </w:t>
            </w:r>
            <w:r>
              <w:rPr>
                <w:color w:val="0D0D0D" w:themeColor="text1" w:themeTint="F2"/>
                <w:spacing w:val="-8"/>
              </w:rPr>
              <w:t>č</w:t>
            </w:r>
            <w:r w:rsidRPr="00EF52A6">
              <w:rPr>
                <w:color w:val="0D0D0D" w:themeColor="text1" w:themeTint="F2"/>
                <w:spacing w:val="-8"/>
              </w:rPr>
              <w:t>i Belgie (</w:t>
            </w:r>
            <w:r>
              <w:rPr>
                <w:spacing w:val="-6"/>
              </w:rPr>
              <w:t>−</w:t>
            </w:r>
            <w:r w:rsidRPr="00EF52A6">
              <w:rPr>
                <w:color w:val="0D0D0D" w:themeColor="text1" w:themeTint="F2"/>
                <w:spacing w:val="-8"/>
              </w:rPr>
              <w:t xml:space="preserve">4,5 %). </w:t>
            </w:r>
            <w:r>
              <w:rPr>
                <w:color w:val="0D0D0D" w:themeColor="text1" w:themeTint="F2"/>
                <w:spacing w:val="-8"/>
              </w:rPr>
              <w:t>Citeln</w:t>
            </w:r>
            <w:r w:rsidRPr="00EF52A6">
              <w:rPr>
                <w:color w:val="0D0D0D" w:themeColor="text1" w:themeTint="F2"/>
                <w:spacing w:val="-8"/>
              </w:rPr>
              <w:t xml:space="preserve">ě se zmírnil schodek Polska (na </w:t>
            </w:r>
            <w:r>
              <w:rPr>
                <w:spacing w:val="-6"/>
              </w:rPr>
              <w:t>−</w:t>
            </w:r>
            <w:r>
              <w:rPr>
                <w:color w:val="0D0D0D" w:themeColor="text1" w:themeTint="F2"/>
                <w:spacing w:val="-8"/>
              </w:rPr>
              <w:t>1,8 %), k jeho lehk</w:t>
            </w:r>
            <w:r w:rsidRPr="00EF52A6">
              <w:rPr>
                <w:color w:val="0D0D0D" w:themeColor="text1" w:themeTint="F2"/>
                <w:spacing w:val="-8"/>
              </w:rPr>
              <w:t>ému</w:t>
            </w:r>
            <w:r w:rsidRPr="0040616A">
              <w:rPr>
                <w:color w:val="0D0D0D" w:themeColor="text1" w:themeTint="F2"/>
                <w:spacing w:val="-6"/>
              </w:rPr>
              <w:t xml:space="preserve"> </w:t>
            </w:r>
            <w:r w:rsidRPr="00204F38">
              <w:rPr>
                <w:color w:val="0D0D0D" w:themeColor="text1" w:themeTint="F2"/>
                <w:spacing w:val="-7"/>
              </w:rPr>
              <w:t xml:space="preserve">prohloubení došlo ale v Německu (na </w:t>
            </w:r>
            <w:r>
              <w:rPr>
                <w:spacing w:val="-7"/>
              </w:rPr>
              <w:t>−</w:t>
            </w:r>
            <w:r w:rsidRPr="00204F38">
              <w:rPr>
                <w:color w:val="0D0D0D" w:themeColor="text1" w:themeTint="F2"/>
                <w:spacing w:val="-7"/>
              </w:rPr>
              <w:t>2,8 %). Nepatrný přebytek vykázaly Litva i Portugalsko,</w:t>
            </w:r>
            <w:r w:rsidRPr="0040616A">
              <w:rPr>
                <w:color w:val="0D0D0D" w:themeColor="text1" w:themeTint="F2"/>
                <w:spacing w:val="-6"/>
              </w:rPr>
              <w:t xml:space="preserve"> výrazněji kladné saldo přetrvávalo v Irsku (+1,6 %</w:t>
            </w:r>
            <w:r>
              <w:rPr>
                <w:color w:val="0D0D0D" w:themeColor="text1" w:themeTint="F2"/>
                <w:spacing w:val="-6"/>
              </w:rPr>
              <w:t>) i</w:t>
            </w:r>
            <w:r w:rsidRPr="0040616A">
              <w:rPr>
                <w:color w:val="0D0D0D" w:themeColor="text1" w:themeTint="F2"/>
                <w:spacing w:val="-6"/>
              </w:rPr>
              <w:t xml:space="preserve"> Dánsku (</w:t>
            </w:r>
            <w:r>
              <w:rPr>
                <w:color w:val="0D0D0D" w:themeColor="text1" w:themeTint="F2"/>
                <w:spacing w:val="-6"/>
              </w:rPr>
              <w:t>+</w:t>
            </w:r>
            <w:r w:rsidRPr="0040616A">
              <w:rPr>
                <w:color w:val="0D0D0D" w:themeColor="text1" w:themeTint="F2"/>
                <w:spacing w:val="-6"/>
              </w:rPr>
              <w:t xml:space="preserve">3,8 %). </w:t>
            </w:r>
            <w:r>
              <w:rPr>
                <w:color w:val="0D0D0D" w:themeColor="text1" w:themeTint="F2"/>
                <w:spacing w:val="-6"/>
              </w:rPr>
              <w:t>T</w:t>
            </w:r>
            <w:r w:rsidRPr="0040616A">
              <w:rPr>
                <w:color w:val="0D0D0D" w:themeColor="text1" w:themeTint="F2"/>
                <w:spacing w:val="-6"/>
              </w:rPr>
              <w:t xml:space="preserve">rend mezikvartálního poklesu míry zadlužení sektoru VI v EU (i eurozóně), trvající skoro tři roky, se </w:t>
            </w:r>
            <w:r>
              <w:rPr>
                <w:color w:val="0D0D0D" w:themeColor="text1" w:themeTint="F2"/>
                <w:spacing w:val="-6"/>
              </w:rPr>
              <w:t>v 1. čtvrtletí 2024 zastavil. Zadluženost</w:t>
            </w:r>
            <w:r w:rsidRPr="0040616A">
              <w:rPr>
                <w:color w:val="0D0D0D" w:themeColor="text1" w:themeTint="F2"/>
                <w:spacing w:val="-6"/>
              </w:rPr>
              <w:t xml:space="preserve"> </w:t>
            </w:r>
            <w:r>
              <w:rPr>
                <w:color w:val="0D0D0D" w:themeColor="text1" w:themeTint="F2"/>
                <w:spacing w:val="-6"/>
              </w:rPr>
              <w:t>na jeho konci činila 82,0 % HDP</w:t>
            </w:r>
            <w:r w:rsidRPr="0040616A">
              <w:rPr>
                <w:color w:val="0D0D0D" w:themeColor="text1" w:themeTint="F2"/>
                <w:spacing w:val="-6"/>
              </w:rPr>
              <w:t xml:space="preserve"> (resp. 88,7 %</w:t>
            </w:r>
            <w:r>
              <w:rPr>
                <w:color w:val="0D0D0D" w:themeColor="text1" w:themeTint="F2"/>
                <w:spacing w:val="-6"/>
              </w:rPr>
              <w:t>) a</w:t>
            </w:r>
            <w:r w:rsidRPr="0040616A">
              <w:rPr>
                <w:color w:val="0D0D0D" w:themeColor="text1" w:themeTint="F2"/>
                <w:spacing w:val="-6"/>
              </w:rPr>
              <w:t xml:space="preserve"> mezikvartálně o</w:t>
            </w:r>
            <w:r w:rsidR="00800216">
              <w:rPr>
                <w:color w:val="0D0D0D" w:themeColor="text1" w:themeTint="F2"/>
                <w:spacing w:val="-6"/>
              </w:rPr>
              <w:t> </w:t>
            </w:r>
            <w:r w:rsidRPr="0040616A">
              <w:rPr>
                <w:color w:val="0D0D0D" w:themeColor="text1" w:themeTint="F2"/>
                <w:spacing w:val="-6"/>
              </w:rPr>
              <w:t>0,5</w:t>
            </w:r>
            <w:r w:rsidR="00800216">
              <w:rPr>
                <w:color w:val="0D0D0D" w:themeColor="text1" w:themeTint="F2"/>
                <w:spacing w:val="-6"/>
              </w:rPr>
              <w:t> </w:t>
            </w:r>
            <w:r w:rsidRPr="0040616A">
              <w:rPr>
                <w:color w:val="0D0D0D" w:themeColor="text1" w:themeTint="F2"/>
                <w:spacing w:val="-6"/>
              </w:rPr>
              <w:t>p.</w:t>
            </w:r>
            <w:r w:rsidR="00800216">
              <w:rPr>
                <w:color w:val="0D0D0D" w:themeColor="text1" w:themeTint="F2"/>
                <w:spacing w:val="-6"/>
              </w:rPr>
              <w:t> </w:t>
            </w:r>
            <w:r w:rsidRPr="0040616A">
              <w:rPr>
                <w:color w:val="0D0D0D" w:themeColor="text1" w:themeTint="F2"/>
                <w:spacing w:val="-6"/>
              </w:rPr>
              <w:t xml:space="preserve">b. vzrostla. </w:t>
            </w:r>
            <w:r>
              <w:rPr>
                <w:color w:val="0D0D0D" w:themeColor="text1" w:themeTint="F2"/>
                <w:spacing w:val="-6"/>
              </w:rPr>
              <w:t>Meziroční pokles zadluženosti nastal ve 14 zemích</w:t>
            </w:r>
            <w:r w:rsidRPr="0040616A">
              <w:rPr>
                <w:color w:val="0D0D0D" w:themeColor="text1" w:themeTint="F2"/>
                <w:spacing w:val="-6"/>
              </w:rPr>
              <w:t xml:space="preserve"> – nejvyšší v Portugalsku (ze 112 % HDP na 100 %) a </w:t>
            </w:r>
            <w:r>
              <w:rPr>
                <w:color w:val="0D0D0D" w:themeColor="text1" w:themeTint="F2"/>
                <w:spacing w:val="-6"/>
              </w:rPr>
              <w:t xml:space="preserve">též v </w:t>
            </w:r>
            <w:r w:rsidRPr="0040616A">
              <w:rPr>
                <w:color w:val="0D0D0D" w:themeColor="text1" w:themeTint="F2"/>
                <w:spacing w:val="-6"/>
              </w:rPr>
              <w:t>Ře</w:t>
            </w:r>
            <w:r>
              <w:rPr>
                <w:color w:val="0D0D0D" w:themeColor="text1" w:themeTint="F2"/>
                <w:spacing w:val="-6"/>
              </w:rPr>
              <w:t>cku (ze 169 % HDP na 160 %), je</w:t>
            </w:r>
            <w:r w:rsidRPr="0040616A">
              <w:rPr>
                <w:color w:val="0D0D0D" w:themeColor="text1" w:themeTint="F2"/>
                <w:spacing w:val="-6"/>
              </w:rPr>
              <w:t>ž je dlouhodobě nejvíce zadluženým státem Unie. Mír</w:t>
            </w:r>
            <w:r>
              <w:rPr>
                <w:color w:val="0D0D0D" w:themeColor="text1" w:themeTint="F2"/>
                <w:spacing w:val="-6"/>
              </w:rPr>
              <w:t>nější pokles zaznamenala většina</w:t>
            </w:r>
            <w:r w:rsidRPr="0040616A">
              <w:rPr>
                <w:color w:val="0D0D0D" w:themeColor="text1" w:themeTint="F2"/>
                <w:spacing w:val="-6"/>
              </w:rPr>
              <w:t xml:space="preserve"> nadprůměrně zadlužených států (vyjma Belgie). Naopak ve většině zemí s nižší úrovní zadlužení došlo oproti loňsku ke </w:t>
            </w:r>
            <w:r w:rsidRPr="001931D8">
              <w:rPr>
                <w:color w:val="0D0D0D" w:themeColor="text1" w:themeTint="F2"/>
                <w:spacing w:val="-8"/>
              </w:rPr>
              <w:t>zhoršení (vyjma Švédska, Nizozemska i L</w:t>
            </w:r>
            <w:r>
              <w:rPr>
                <w:color w:val="0D0D0D" w:themeColor="text1" w:themeTint="F2"/>
                <w:spacing w:val="-8"/>
              </w:rPr>
              <w:t>ucemburska) –</w:t>
            </w:r>
            <w:r w:rsidRPr="001931D8">
              <w:rPr>
                <w:color w:val="0D0D0D" w:themeColor="text1" w:themeTint="F2"/>
                <w:spacing w:val="-8"/>
              </w:rPr>
              <w:t xml:space="preserve"> hlavně v těch,</w:t>
            </w:r>
            <w:r>
              <w:rPr>
                <w:color w:val="0D0D0D" w:themeColor="text1" w:themeTint="F2"/>
                <w:spacing w:val="-8"/>
              </w:rPr>
              <w:t xml:space="preserve"> jež zasáhla ekonomic</w:t>
            </w:r>
            <w:r w:rsidRPr="001931D8">
              <w:rPr>
                <w:color w:val="0D0D0D" w:themeColor="text1" w:themeTint="F2"/>
                <w:spacing w:val="-8"/>
              </w:rPr>
              <w:t>ká</w:t>
            </w:r>
            <w:r w:rsidRPr="0040616A">
              <w:rPr>
                <w:color w:val="0D0D0D" w:themeColor="text1" w:themeTint="F2"/>
                <w:spacing w:val="-6"/>
              </w:rPr>
              <w:t xml:space="preserve"> recese (Estonsko</w:t>
            </w:r>
            <w:r>
              <w:rPr>
                <w:rStyle w:val="Znakapoznpodarou"/>
                <w:color w:val="0D0D0D" w:themeColor="text1" w:themeTint="F2"/>
                <w:spacing w:val="-6"/>
              </w:rPr>
              <w:footnoteReference w:id="28"/>
            </w:r>
            <w:r w:rsidRPr="0040616A">
              <w:rPr>
                <w:color w:val="0D0D0D" w:themeColor="text1" w:themeTint="F2"/>
                <w:spacing w:val="-6"/>
              </w:rPr>
              <w:t xml:space="preserve"> a</w:t>
            </w:r>
            <w:r>
              <w:rPr>
                <w:color w:val="0D0D0D" w:themeColor="text1" w:themeTint="F2"/>
                <w:spacing w:val="-6"/>
              </w:rPr>
              <w:t xml:space="preserve"> Finsko). Míra zadlužení v ČR</w:t>
            </w:r>
            <w:r w:rsidRPr="0040616A">
              <w:rPr>
                <w:color w:val="0D0D0D" w:themeColor="text1" w:themeTint="F2"/>
                <w:spacing w:val="-6"/>
              </w:rPr>
              <w:t xml:space="preserve"> byla v EU osmá nejnižší</w:t>
            </w:r>
            <w:r>
              <w:rPr>
                <w:color w:val="0D0D0D" w:themeColor="text1" w:themeTint="F2"/>
                <w:spacing w:val="-6"/>
              </w:rPr>
              <w:t xml:space="preserve"> (43,4 % HDP), meziročně vzrostla o 0,5 p. b</w:t>
            </w:r>
            <w:r w:rsidRPr="0040616A">
              <w:rPr>
                <w:color w:val="0D0D0D" w:themeColor="text1" w:themeTint="F2"/>
                <w:spacing w:val="-6"/>
              </w:rPr>
              <w:t>. Proti minimu z konjunkturního obd</w:t>
            </w:r>
            <w:r>
              <w:rPr>
                <w:color w:val="0D0D0D" w:themeColor="text1" w:themeTint="F2"/>
                <w:spacing w:val="-6"/>
              </w:rPr>
              <w:t xml:space="preserve">obí (2015–2019) však posílila </w:t>
            </w:r>
            <w:r w:rsidRPr="0040616A">
              <w:rPr>
                <w:color w:val="0D0D0D" w:themeColor="text1" w:themeTint="F2"/>
                <w:spacing w:val="-6"/>
              </w:rPr>
              <w:t>skoro o polovinu (</w:t>
            </w:r>
            <w:r>
              <w:rPr>
                <w:color w:val="0D0D0D" w:themeColor="text1" w:themeTint="F2"/>
                <w:spacing w:val="-6"/>
              </w:rPr>
              <w:t>resp. 13,8 p. b.), v celé EU „jen“ o 4,2 p. b. Hůře na tom v tomto ohledu byly pouze Rumunsko (+18,1 p. b.), Estonsko (+15,7) a Francie (+13,9). Naopak osm států Unie aktuálně vykazovalo zadlužení pod úrovní výše uvedeného minima (např. Dánsko, Švédsko, Irsko, Nizozemsko či Chorvatsko).</w:t>
            </w:r>
          </w:p>
        </w:tc>
      </w:tr>
    </w:tbl>
    <w:p w14:paraId="2143296F" w14:textId="62C3D685" w:rsidR="00A50D73" w:rsidRDefault="00A50D73" w:rsidP="00DD7545">
      <w:pPr>
        <w:spacing w:after="0"/>
      </w:pPr>
    </w:p>
    <w:sectPr w:rsidR="00A50D73" w:rsidSect="00304F6C">
      <w:headerReference w:type="even" r:id="rId13"/>
      <w:headerReference w:type="default" r:id="rId14"/>
      <w:footerReference w:type="even" r:id="rId15"/>
      <w:footerReference w:type="default" r:id="rId16"/>
      <w:pgSz w:w="11906" w:h="16838" w:code="9"/>
      <w:pgMar w:top="1134" w:right="1134" w:bottom="1418" w:left="1134" w:header="680" w:footer="680"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32984" w14:textId="77777777" w:rsidR="00D42211" w:rsidRDefault="00D42211" w:rsidP="00E71A58">
      <w:r>
        <w:separator/>
      </w:r>
    </w:p>
  </w:endnote>
  <w:endnote w:type="continuationSeparator" w:id="0">
    <w:p w14:paraId="21432985" w14:textId="77777777" w:rsidR="00D42211" w:rsidRDefault="00D4221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8" w14:textId="662DDE0F" w:rsidR="00D42211" w:rsidRPr="00932443" w:rsidRDefault="00D42211" w:rsidP="00A418BC">
    <w:pPr>
      <w:pStyle w:val="Zpat"/>
      <w:rPr>
        <w:szCs w:val="16"/>
      </w:rPr>
    </w:pPr>
    <w:r>
      <w:rPr>
        <w:szCs w:val="16"/>
        <w:lang w:eastAsia="cs-CZ"/>
      </w:rPr>
      <w:drawing>
        <wp:anchor distT="0" distB="0" distL="114300" distR="114300" simplePos="0" relativeHeight="251658240" behindDoc="0" locked="0" layoutInCell="1" allowOverlap="1" wp14:anchorId="2143298A" wp14:editId="2143298B">
          <wp:simplePos x="0" y="0"/>
          <wp:positionH relativeFrom="column">
            <wp:align>right</wp:align>
          </wp:positionH>
          <wp:positionV relativeFrom="paragraph">
            <wp:posOffset>-64770</wp:posOffset>
          </wp:positionV>
          <wp:extent cx="428625" cy="201295"/>
          <wp:effectExtent l="0" t="0" r="3175" b="1905"/>
          <wp:wrapNone/>
          <wp:docPr id="21"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DD7545">
      <w:rPr>
        <w:szCs w:val="16"/>
      </w:rPr>
      <w:t>42</w:t>
    </w:r>
    <w:r w:rsidRPr="00932443">
      <w:rPr>
        <w:szCs w:val="16"/>
      </w:rPr>
      <w:fldChar w:fldCharType="end"/>
    </w:r>
    <w:r w:rsidRPr="00932443">
      <w:rPr>
        <w:szCs w:val="16"/>
      </w:rPr>
      <w:tab/>
    </w:r>
    <w:r>
      <w:rPr>
        <w:szCs w:val="16"/>
      </w:rPr>
      <w:t>1. pololetí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9" w14:textId="7DF129F6" w:rsidR="00D42211" w:rsidRPr="00932443" w:rsidRDefault="00D42211" w:rsidP="00A418BC">
    <w:pPr>
      <w:pStyle w:val="Zpat"/>
      <w:rPr>
        <w:szCs w:val="16"/>
      </w:rPr>
    </w:pPr>
    <w:r>
      <w:rPr>
        <w:szCs w:val="16"/>
        <w:lang w:eastAsia="cs-CZ"/>
      </w:rPr>
      <w:drawing>
        <wp:anchor distT="0" distB="0" distL="114300" distR="114300" simplePos="0" relativeHeight="251657216" behindDoc="0" locked="0" layoutInCell="1" allowOverlap="1" wp14:anchorId="2143298C" wp14:editId="2143298D">
          <wp:simplePos x="0" y="0"/>
          <wp:positionH relativeFrom="column">
            <wp:align>left</wp:align>
          </wp:positionH>
          <wp:positionV relativeFrom="paragraph">
            <wp:posOffset>-122555</wp:posOffset>
          </wp:positionV>
          <wp:extent cx="510540" cy="272415"/>
          <wp:effectExtent l="0" t="0" r="0" b="6985"/>
          <wp:wrapNone/>
          <wp:docPr id="22"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szCs w:val="16"/>
      </w:rPr>
      <w:t>1. pololetí 2024</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DD7545">
      <w:rPr>
        <w:rStyle w:val="ZpatChar"/>
        <w:szCs w:val="16"/>
      </w:rPr>
      <w:t>41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32982" w14:textId="77777777" w:rsidR="00D42211" w:rsidRDefault="00D42211" w:rsidP="00EA4302">
      <w:pPr>
        <w:spacing w:after="0"/>
      </w:pPr>
      <w:r>
        <w:separator/>
      </w:r>
    </w:p>
  </w:footnote>
  <w:footnote w:type="continuationSeparator" w:id="0">
    <w:p w14:paraId="21432983" w14:textId="77777777" w:rsidR="00D42211" w:rsidRDefault="00D42211" w:rsidP="00E71A58">
      <w:r>
        <w:continuationSeparator/>
      </w:r>
    </w:p>
  </w:footnote>
  <w:footnote w:id="1">
    <w:p w14:paraId="49B63FB1" w14:textId="77777777" w:rsidR="00D42211" w:rsidRPr="008332EA" w:rsidRDefault="00D42211" w:rsidP="00D42211">
      <w:pPr>
        <w:pStyle w:val="Textpoznpodarou"/>
        <w:jc w:val="both"/>
        <w:rPr>
          <w:spacing w:val="-2"/>
          <w:sz w:val="16"/>
          <w:szCs w:val="16"/>
        </w:rPr>
      </w:pPr>
      <w:r w:rsidRPr="008332EA">
        <w:rPr>
          <w:rStyle w:val="Znakapoznpodarou"/>
          <w:spacing w:val="-2"/>
          <w:sz w:val="16"/>
          <w:szCs w:val="16"/>
        </w:rPr>
        <w:footnoteRef/>
      </w:r>
      <w:r w:rsidRPr="008332EA">
        <w:rPr>
          <w:spacing w:val="-2"/>
          <w:sz w:val="16"/>
          <w:szCs w:val="16"/>
        </w:rPr>
        <w:t xml:space="preserve"> </w:t>
      </w:r>
      <w:r w:rsidRPr="008332EA">
        <w:rPr>
          <w:color w:val="0D0D0D" w:themeColor="text1" w:themeTint="F2"/>
          <w:spacing w:val="-2"/>
          <w:sz w:val="16"/>
          <w:szCs w:val="16"/>
        </w:rPr>
        <w:t xml:space="preserve">Pokud není uvedeno jinak, vycházejí všechny údaje týkající se státního rozpočtu </w:t>
      </w:r>
      <w:r w:rsidRPr="008332EA">
        <w:rPr>
          <w:rFonts w:cs="Arial"/>
          <w:color w:val="0D0D0D" w:themeColor="text1" w:themeTint="F2"/>
          <w:spacing w:val="-2"/>
          <w:sz w:val="16"/>
          <w:szCs w:val="16"/>
        </w:rPr>
        <w:t xml:space="preserve">z dat Ministerstva financí </w:t>
      </w:r>
      <w:r>
        <w:rPr>
          <w:rFonts w:cs="Arial"/>
          <w:color w:val="0D0D0D" w:themeColor="text1" w:themeTint="F2"/>
          <w:spacing w:val="-2"/>
          <w:sz w:val="16"/>
          <w:szCs w:val="16"/>
        </w:rPr>
        <w:t xml:space="preserve">(MF) </w:t>
      </w:r>
      <w:r w:rsidRPr="008332EA">
        <w:rPr>
          <w:rFonts w:cs="Arial"/>
          <w:color w:val="0D0D0D" w:themeColor="text1" w:themeTint="F2"/>
          <w:spacing w:val="-2"/>
          <w:sz w:val="16"/>
          <w:szCs w:val="16"/>
        </w:rPr>
        <w:t>ČR o pokladním plnění.</w:t>
      </w:r>
    </w:p>
  </w:footnote>
  <w:footnote w:id="2">
    <w:p w14:paraId="6FB64037" w14:textId="77777777" w:rsidR="00D42211" w:rsidRPr="008332EA" w:rsidRDefault="00D42211" w:rsidP="00D42211">
      <w:pPr>
        <w:pStyle w:val="Textpoznpodarou"/>
        <w:rPr>
          <w:spacing w:val="-2"/>
          <w:sz w:val="16"/>
          <w:szCs w:val="16"/>
        </w:rPr>
      </w:pPr>
      <w:r w:rsidRPr="008332EA">
        <w:rPr>
          <w:rStyle w:val="Znakapoznpodarou"/>
          <w:spacing w:val="-2"/>
          <w:sz w:val="16"/>
          <w:szCs w:val="16"/>
        </w:rPr>
        <w:footnoteRef/>
      </w:r>
      <w:r>
        <w:rPr>
          <w:spacing w:val="-2"/>
          <w:sz w:val="16"/>
          <w:szCs w:val="16"/>
        </w:rPr>
        <w:t xml:space="preserve"> To představuje více než 70</w:t>
      </w:r>
      <w:r w:rsidRPr="008332EA">
        <w:rPr>
          <w:spacing w:val="-2"/>
          <w:sz w:val="16"/>
          <w:szCs w:val="16"/>
        </w:rPr>
        <w:t xml:space="preserve"> % plánov</w:t>
      </w:r>
      <w:r>
        <w:rPr>
          <w:spacing w:val="-2"/>
          <w:sz w:val="16"/>
          <w:szCs w:val="16"/>
        </w:rPr>
        <w:t>aného celoročního schodku (dle z</w:t>
      </w:r>
      <w:r w:rsidRPr="008332EA">
        <w:rPr>
          <w:spacing w:val="-2"/>
          <w:sz w:val="16"/>
          <w:szCs w:val="16"/>
        </w:rPr>
        <w:t>ákona o státním rozpočtu na rok 2024, schváleného na konci listopadu 2023). V předchozích letech se ovšem vývoj příjmů i výdajů SR v průběhu roku vyznačoval vě</w:t>
      </w:r>
      <w:r>
        <w:rPr>
          <w:spacing w:val="-2"/>
          <w:sz w:val="16"/>
          <w:szCs w:val="16"/>
        </w:rPr>
        <w:t>tší nerovnoměrností (např. v 1.</w:t>
      </w:r>
      <w:r w:rsidRPr="008332EA">
        <w:rPr>
          <w:spacing w:val="-2"/>
          <w:sz w:val="16"/>
          <w:szCs w:val="16"/>
        </w:rPr>
        <w:t xml:space="preserve"> čtvrtletí 2023 byl plánovaný roční deficit naplněn </w:t>
      </w:r>
      <w:r>
        <w:rPr>
          <w:spacing w:val="-2"/>
          <w:sz w:val="16"/>
          <w:szCs w:val="16"/>
        </w:rPr>
        <w:t xml:space="preserve">dokonce </w:t>
      </w:r>
      <w:r w:rsidRPr="008332EA">
        <w:rPr>
          <w:spacing w:val="-2"/>
          <w:sz w:val="16"/>
          <w:szCs w:val="16"/>
        </w:rPr>
        <w:t>z</w:t>
      </w:r>
      <w:r>
        <w:rPr>
          <w:spacing w:val="-2"/>
          <w:sz w:val="16"/>
          <w:szCs w:val="16"/>
        </w:rPr>
        <w:t xml:space="preserve"> </w:t>
      </w:r>
      <w:r w:rsidRPr="008332EA">
        <w:rPr>
          <w:spacing w:val="-2"/>
          <w:sz w:val="16"/>
          <w:szCs w:val="16"/>
        </w:rPr>
        <w:t>56 %</w:t>
      </w:r>
      <w:r>
        <w:rPr>
          <w:spacing w:val="-2"/>
          <w:sz w:val="16"/>
          <w:szCs w:val="16"/>
        </w:rPr>
        <w:t>,</w:t>
      </w:r>
      <w:r w:rsidRPr="008332EA">
        <w:rPr>
          <w:spacing w:val="-2"/>
          <w:sz w:val="16"/>
          <w:szCs w:val="16"/>
        </w:rPr>
        <w:t xml:space="preserve"> i tak byl </w:t>
      </w:r>
      <w:r>
        <w:rPr>
          <w:spacing w:val="-2"/>
          <w:sz w:val="16"/>
          <w:szCs w:val="16"/>
        </w:rPr>
        <w:t xml:space="preserve">ale </w:t>
      </w:r>
      <w:r w:rsidRPr="008332EA">
        <w:rPr>
          <w:spacing w:val="-2"/>
          <w:sz w:val="16"/>
          <w:szCs w:val="16"/>
        </w:rPr>
        <w:t>na konci roku dodržen).</w:t>
      </w:r>
    </w:p>
  </w:footnote>
  <w:footnote w:id="3">
    <w:p w14:paraId="3DCA72CB" w14:textId="77777777" w:rsidR="00D42211" w:rsidRPr="008332EA" w:rsidRDefault="00D42211" w:rsidP="00D42211">
      <w:pPr>
        <w:autoSpaceDE w:val="0"/>
        <w:autoSpaceDN w:val="0"/>
        <w:adjustRightInd w:val="0"/>
        <w:spacing w:after="0" w:line="240" w:lineRule="auto"/>
        <w:jc w:val="left"/>
        <w:rPr>
          <w:rFonts w:eastAsia="Calibri" w:cs="Arial"/>
          <w:spacing w:val="-2"/>
          <w:sz w:val="16"/>
          <w:szCs w:val="16"/>
          <w:lang w:eastAsia="en-US"/>
        </w:rPr>
      </w:pPr>
      <w:r w:rsidRPr="008332EA">
        <w:rPr>
          <w:rStyle w:val="Znakapoznpodarou"/>
          <w:spacing w:val="-2"/>
          <w:sz w:val="16"/>
          <w:szCs w:val="16"/>
        </w:rPr>
        <w:footnoteRef/>
      </w:r>
      <w:r w:rsidRPr="008332EA">
        <w:rPr>
          <w:spacing w:val="-2"/>
          <w:sz w:val="16"/>
          <w:szCs w:val="16"/>
        </w:rPr>
        <w:t xml:space="preserve"> Meziroční pokles </w:t>
      </w:r>
      <w:r>
        <w:rPr>
          <w:spacing w:val="-2"/>
          <w:sz w:val="16"/>
          <w:szCs w:val="16"/>
        </w:rPr>
        <w:t>deficitu byl ještě více patrný</w:t>
      </w:r>
      <w:r w:rsidRPr="008332EA">
        <w:rPr>
          <w:spacing w:val="-2"/>
          <w:sz w:val="16"/>
          <w:szCs w:val="16"/>
        </w:rPr>
        <w:t xml:space="preserve"> po očištění o</w:t>
      </w:r>
      <w:r>
        <w:rPr>
          <w:spacing w:val="-2"/>
          <w:sz w:val="16"/>
          <w:szCs w:val="16"/>
        </w:rPr>
        <w:t xml:space="preserve"> vliv prostředků z rozpočtu EU, </w:t>
      </w:r>
      <w:r w:rsidRPr="008332EA">
        <w:rPr>
          <w:spacing w:val="-2"/>
          <w:sz w:val="16"/>
          <w:szCs w:val="16"/>
        </w:rPr>
        <w:t>včetně finančních mechanismů</w:t>
      </w:r>
      <w:r>
        <w:rPr>
          <w:spacing w:val="-2"/>
          <w:sz w:val="16"/>
          <w:szCs w:val="16"/>
        </w:rPr>
        <w:t xml:space="preserve"> (FM). Jde o</w:t>
      </w:r>
      <w:r w:rsidRPr="008332EA">
        <w:rPr>
          <w:spacing w:val="-2"/>
          <w:sz w:val="16"/>
          <w:szCs w:val="16"/>
        </w:rPr>
        <w:t> prostředky na programy</w:t>
      </w:r>
      <w:r w:rsidRPr="008332EA">
        <w:rPr>
          <w:rFonts w:cs="Arial"/>
          <w:spacing w:val="-2"/>
          <w:sz w:val="16"/>
          <w:szCs w:val="16"/>
        </w:rPr>
        <w:t xml:space="preserve"> z rozpočtu EU a FM, které byly předfinancovány ze SR a následně postupně proplaceny z</w:t>
      </w:r>
      <w:r w:rsidRPr="008332EA">
        <w:rPr>
          <w:spacing w:val="-2"/>
          <w:sz w:val="16"/>
          <w:szCs w:val="16"/>
        </w:rPr>
        <w:t> </w:t>
      </w:r>
      <w:r w:rsidRPr="008332EA">
        <w:rPr>
          <w:rFonts w:cs="Arial"/>
          <w:spacing w:val="-2"/>
          <w:sz w:val="16"/>
          <w:szCs w:val="16"/>
        </w:rPr>
        <w:t xml:space="preserve">rozpočtu EU a FM. </w:t>
      </w:r>
      <w:r w:rsidRPr="008332EA">
        <w:rPr>
          <w:rFonts w:eastAsia="Calibri" w:cs="Arial"/>
          <w:spacing w:val="-2"/>
          <w:sz w:val="16"/>
          <w:szCs w:val="16"/>
          <w:lang w:eastAsia="en-US"/>
        </w:rPr>
        <w:t xml:space="preserve">Bez těchto prostředků, které jsou ve schváleném SR zahrnuty s neutrálním dopadem, </w:t>
      </w:r>
      <w:r w:rsidRPr="008332EA">
        <w:rPr>
          <w:rFonts w:cs="Arial"/>
          <w:spacing w:val="-2"/>
          <w:sz w:val="16"/>
          <w:szCs w:val="16"/>
          <w:lang w:eastAsia="en-US"/>
        </w:rPr>
        <w:t xml:space="preserve">činil letošní pololetní </w:t>
      </w:r>
      <w:r w:rsidRPr="008332EA">
        <w:rPr>
          <w:rFonts w:eastAsia="Calibri" w:cs="Arial"/>
          <w:spacing w:val="-2"/>
          <w:sz w:val="16"/>
          <w:szCs w:val="16"/>
          <w:lang w:eastAsia="en-US"/>
        </w:rPr>
        <w:t xml:space="preserve">schodek </w:t>
      </w:r>
      <w:r w:rsidRPr="008332EA">
        <w:rPr>
          <w:rFonts w:cs="Arial"/>
          <w:spacing w:val="-2"/>
          <w:sz w:val="16"/>
          <w:szCs w:val="16"/>
          <w:lang w:eastAsia="en-US"/>
        </w:rPr>
        <w:t>190,2</w:t>
      </w:r>
      <w:r>
        <w:rPr>
          <w:rFonts w:eastAsia="Calibri" w:cs="Arial"/>
          <w:spacing w:val="-2"/>
          <w:sz w:val="16"/>
          <w:szCs w:val="16"/>
          <w:lang w:eastAsia="en-US"/>
        </w:rPr>
        <w:t xml:space="preserve"> mld. korun a</w:t>
      </w:r>
      <w:r w:rsidRPr="008332EA">
        <w:rPr>
          <w:spacing w:val="-2"/>
          <w:sz w:val="16"/>
          <w:szCs w:val="16"/>
        </w:rPr>
        <w:t> </w:t>
      </w:r>
      <w:r w:rsidRPr="008332EA">
        <w:rPr>
          <w:rFonts w:eastAsia="Calibri" w:cs="Arial"/>
          <w:spacing w:val="-2"/>
          <w:sz w:val="16"/>
          <w:szCs w:val="16"/>
          <w:lang w:eastAsia="en-US"/>
        </w:rPr>
        <w:t>meziročně byl skoro o čtvrtinu nižší.</w:t>
      </w:r>
    </w:p>
  </w:footnote>
  <w:footnote w:id="4">
    <w:p w14:paraId="1AA2B67B" w14:textId="77777777" w:rsidR="00D42211" w:rsidRPr="008332EA" w:rsidRDefault="00D42211" w:rsidP="00D42211">
      <w:pPr>
        <w:pStyle w:val="Textpoznpodarou"/>
        <w:rPr>
          <w:spacing w:val="-2"/>
          <w:sz w:val="16"/>
          <w:szCs w:val="16"/>
        </w:rPr>
      </w:pPr>
      <w:r w:rsidRPr="008332EA">
        <w:rPr>
          <w:rStyle w:val="Znakapoznpodarou"/>
          <w:spacing w:val="-2"/>
          <w:sz w:val="16"/>
          <w:szCs w:val="16"/>
        </w:rPr>
        <w:footnoteRef/>
      </w:r>
      <w:r w:rsidRPr="008332EA">
        <w:rPr>
          <w:spacing w:val="-2"/>
          <w:sz w:val="16"/>
          <w:szCs w:val="16"/>
        </w:rPr>
        <w:t xml:space="preserve"> Díky této úpravě je letos dle odhadu MF očekáváno celoroční zvýšení inkasa SR u DPH o 5,6 mld. korun, u daně z příjmu fyzických osob o 2,3 mld. </w:t>
      </w:r>
      <w:r>
        <w:rPr>
          <w:spacing w:val="-2"/>
          <w:sz w:val="16"/>
          <w:szCs w:val="16"/>
        </w:rPr>
        <w:t xml:space="preserve">korun </w:t>
      </w:r>
      <w:r w:rsidRPr="008332EA">
        <w:rPr>
          <w:spacing w:val="-2"/>
          <w:sz w:val="16"/>
          <w:szCs w:val="16"/>
        </w:rPr>
        <w:t>a u korporátní daně o 2,9 mld.</w:t>
      </w:r>
      <w:r>
        <w:rPr>
          <w:spacing w:val="-2"/>
          <w:sz w:val="16"/>
          <w:szCs w:val="16"/>
        </w:rPr>
        <w:t xml:space="preserve"> korun.</w:t>
      </w:r>
    </w:p>
  </w:footnote>
  <w:footnote w:id="5">
    <w:p w14:paraId="6F3F5343" w14:textId="77777777" w:rsidR="00D42211" w:rsidRPr="008332EA" w:rsidRDefault="00D42211" w:rsidP="00D42211">
      <w:pPr>
        <w:pStyle w:val="Textpoznpodarou"/>
        <w:rPr>
          <w:spacing w:val="-2"/>
          <w:sz w:val="16"/>
          <w:szCs w:val="16"/>
        </w:rPr>
      </w:pPr>
      <w:r w:rsidRPr="008332EA">
        <w:rPr>
          <w:rStyle w:val="Znakapoznpodarou"/>
          <w:spacing w:val="-2"/>
          <w:sz w:val="16"/>
          <w:szCs w:val="16"/>
        </w:rPr>
        <w:footnoteRef/>
      </w:r>
      <w:r w:rsidRPr="008332EA">
        <w:rPr>
          <w:spacing w:val="-2"/>
          <w:sz w:val="16"/>
          <w:szCs w:val="16"/>
        </w:rPr>
        <w:t xml:space="preserve"> Jde o pojistné na sociální zabezpečení a aktivní politiku zaměstnanosti.</w:t>
      </w:r>
    </w:p>
  </w:footnote>
  <w:footnote w:id="6">
    <w:p w14:paraId="6B6A3596" w14:textId="77777777" w:rsidR="00D42211" w:rsidRPr="00001C8E" w:rsidRDefault="00D42211" w:rsidP="00D42211">
      <w:pPr>
        <w:autoSpaceDE w:val="0"/>
        <w:autoSpaceDN w:val="0"/>
        <w:adjustRightInd w:val="0"/>
        <w:spacing w:after="0" w:line="240" w:lineRule="auto"/>
        <w:jc w:val="left"/>
        <w:rPr>
          <w:rFonts w:ascii="Calibri" w:eastAsia="Calibri" w:hAnsi="Calibri" w:cs="Calibri"/>
          <w:sz w:val="22"/>
          <w:szCs w:val="22"/>
          <w:lang w:eastAsia="en-US"/>
        </w:rPr>
      </w:pPr>
      <w:r w:rsidRPr="00001C8E">
        <w:rPr>
          <w:rStyle w:val="Znakapoznpodarou"/>
          <w:sz w:val="16"/>
          <w:szCs w:val="16"/>
        </w:rPr>
        <w:footnoteRef/>
      </w:r>
      <w:r w:rsidRPr="00001C8E">
        <w:rPr>
          <w:sz w:val="16"/>
          <w:szCs w:val="16"/>
        </w:rPr>
        <w:t xml:space="preserve"> </w:t>
      </w:r>
      <w:r w:rsidRPr="00001C8E">
        <w:rPr>
          <w:rFonts w:eastAsia="Calibri" w:cs="Arial"/>
          <w:spacing w:val="-2"/>
          <w:sz w:val="16"/>
          <w:szCs w:val="16"/>
          <w:lang w:eastAsia="en-US"/>
        </w:rPr>
        <w:t>Výnos této daně zůstává výlučným příjmem obcí.</w:t>
      </w:r>
    </w:p>
  </w:footnote>
  <w:footnote w:id="7">
    <w:p w14:paraId="6496AC42" w14:textId="77777777" w:rsidR="00D42211" w:rsidRPr="008332EA" w:rsidRDefault="00D42211" w:rsidP="00D42211">
      <w:pPr>
        <w:spacing w:after="0" w:line="240" w:lineRule="auto"/>
        <w:rPr>
          <w:spacing w:val="-2"/>
        </w:rPr>
      </w:pPr>
      <w:r w:rsidRPr="008332EA">
        <w:rPr>
          <w:rStyle w:val="Znakapoznpodarou"/>
          <w:spacing w:val="-2"/>
          <w:sz w:val="16"/>
          <w:szCs w:val="16"/>
        </w:rPr>
        <w:footnoteRef/>
      </w:r>
      <w:r w:rsidRPr="008332EA">
        <w:rPr>
          <w:spacing w:val="-2"/>
          <w:sz w:val="16"/>
          <w:szCs w:val="16"/>
        </w:rPr>
        <w:t xml:space="preserve"> </w:t>
      </w:r>
      <w:r w:rsidRPr="008332EA">
        <w:rPr>
          <w:rFonts w:cs="Arial"/>
          <w:spacing w:val="-2"/>
          <w:sz w:val="16"/>
          <w:szCs w:val="16"/>
        </w:rPr>
        <w:t>Jedná se zejména o znovuzavedení placení pojistného z nemocenského pojištění hrazeného zaměstnancem (0,6 % vyměřovacího základu, do roku 2008 činila tato sazba 1,1 %). Rozpočtově méně významné je zvýšení vyměřovacího základu pro osoby samostatně výdělečně činné a stanovení limitů pro vznik účasti na pojištění zaměstnance pracujícího na základě dohody o provedení práce.</w:t>
      </w:r>
      <w:r w:rsidRPr="008332EA">
        <w:rPr>
          <w:rFonts w:cstheme="minorHAnsi"/>
          <w:spacing w:val="-2"/>
        </w:rPr>
        <w:t xml:space="preserve"> </w:t>
      </w:r>
      <w:r w:rsidRPr="008332EA">
        <w:rPr>
          <w:spacing w:val="-2"/>
          <w:sz w:val="16"/>
          <w:szCs w:val="16"/>
        </w:rPr>
        <w:t>Dle odhadu MF je vlivem těchto úprav letos očekáváno celoroční zvýšení inkasa SR o 18 mld. korun.</w:t>
      </w:r>
    </w:p>
  </w:footnote>
  <w:footnote w:id="8">
    <w:p w14:paraId="035B480E" w14:textId="77777777" w:rsidR="00D42211" w:rsidRPr="008332EA" w:rsidRDefault="00D42211" w:rsidP="00D42211">
      <w:pPr>
        <w:pStyle w:val="Textpoznpodarou"/>
        <w:rPr>
          <w:spacing w:val="-2"/>
          <w:sz w:val="16"/>
          <w:szCs w:val="16"/>
        </w:rPr>
      </w:pPr>
      <w:r w:rsidRPr="008332EA">
        <w:rPr>
          <w:rStyle w:val="Znakapoznpodarou"/>
          <w:spacing w:val="-2"/>
          <w:sz w:val="16"/>
          <w:szCs w:val="16"/>
        </w:rPr>
        <w:footnoteRef/>
      </w:r>
      <w:r w:rsidRPr="008332EA">
        <w:rPr>
          <w:spacing w:val="-2"/>
          <w:sz w:val="16"/>
          <w:szCs w:val="16"/>
        </w:rPr>
        <w:t xml:space="preserve"> Reálné výdaje na konečnou spotřebu domácností </w:t>
      </w:r>
      <w:r>
        <w:rPr>
          <w:spacing w:val="-2"/>
          <w:sz w:val="16"/>
          <w:szCs w:val="16"/>
        </w:rPr>
        <w:t xml:space="preserve">se </w:t>
      </w:r>
      <w:r w:rsidRPr="008332EA">
        <w:rPr>
          <w:spacing w:val="-2"/>
          <w:sz w:val="16"/>
          <w:szCs w:val="16"/>
        </w:rPr>
        <w:t xml:space="preserve">v 1. čtvrtletí 2024 po očištění meziročně zvýšily o 1,5 % (vzrostly poprvé po šesti kvartálech). Dle prvního odhadu HDP se tyto výdaje zvyšovaly i ve 2. čtvrtletí. </w:t>
      </w:r>
      <w:r>
        <w:rPr>
          <w:spacing w:val="-2"/>
          <w:sz w:val="16"/>
          <w:szCs w:val="16"/>
        </w:rPr>
        <w:t>Ještě svižněji vzrostly</w:t>
      </w:r>
      <w:r w:rsidRPr="008332EA">
        <w:rPr>
          <w:spacing w:val="-2"/>
          <w:sz w:val="16"/>
          <w:szCs w:val="16"/>
        </w:rPr>
        <w:t xml:space="preserve"> výdaje n</w:t>
      </w:r>
      <w:r>
        <w:rPr>
          <w:spacing w:val="-2"/>
          <w:sz w:val="16"/>
          <w:szCs w:val="16"/>
        </w:rPr>
        <w:t>a spotřebu vládních institucí.</w:t>
      </w:r>
    </w:p>
  </w:footnote>
  <w:footnote w:id="9">
    <w:p w14:paraId="5FE80006" w14:textId="77777777" w:rsidR="00D42211" w:rsidRPr="00BB39DF" w:rsidRDefault="00D42211" w:rsidP="00D42211">
      <w:pPr>
        <w:pStyle w:val="Textpoznpodarou"/>
        <w:rPr>
          <w:sz w:val="16"/>
          <w:szCs w:val="16"/>
        </w:rPr>
      </w:pPr>
      <w:r w:rsidRPr="008332EA">
        <w:rPr>
          <w:rStyle w:val="Znakapoznpodarou"/>
          <w:spacing w:val="-2"/>
          <w:sz w:val="16"/>
          <w:szCs w:val="16"/>
        </w:rPr>
        <w:footnoteRef/>
      </w:r>
      <w:r w:rsidRPr="008332EA">
        <w:rPr>
          <w:spacing w:val="-2"/>
          <w:sz w:val="16"/>
          <w:szCs w:val="16"/>
        </w:rPr>
        <w:t xml:space="preserve"> To se týká sjednocení dvou snížených sazeb (10 % a 15 %) do jedné ve výši 12 %. Řada zboží a služeb tak nově podléhá nižšímu zdanění. Negativní rozpočtový dopad je současně tlumen přesunem některých položek bez prokazatelného sociálního či zdravotního významu do základní sazby daně ve výši 21 %.</w:t>
      </w:r>
    </w:p>
  </w:footnote>
  <w:footnote w:id="10">
    <w:p w14:paraId="6255D632" w14:textId="77777777" w:rsidR="00D42211" w:rsidRDefault="00D42211" w:rsidP="00D42211">
      <w:pPr>
        <w:pStyle w:val="Textpoznpodarou"/>
      </w:pPr>
      <w:r w:rsidRPr="00441D45">
        <w:rPr>
          <w:rStyle w:val="Znakapoznpodarou"/>
          <w:sz w:val="16"/>
          <w:szCs w:val="16"/>
        </w:rPr>
        <w:footnoteRef/>
      </w:r>
      <w:r w:rsidRPr="00441D45">
        <w:rPr>
          <w:sz w:val="16"/>
          <w:szCs w:val="16"/>
        </w:rPr>
        <w:t xml:space="preserve"> K t</w:t>
      </w:r>
      <w:r>
        <w:rPr>
          <w:sz w:val="16"/>
          <w:szCs w:val="16"/>
        </w:rPr>
        <w:t>omuto zvýšení došlo loni od</w:t>
      </w:r>
      <w:r w:rsidRPr="00441D45">
        <w:rPr>
          <w:sz w:val="16"/>
          <w:szCs w:val="16"/>
        </w:rPr>
        <w:t xml:space="preserve"> srpna (o 1,5 korun na litr). Sazba spotřební daně z motorové nafty se tak vrátila na původní výši (9,95 </w:t>
      </w:r>
      <w:r>
        <w:rPr>
          <w:sz w:val="16"/>
          <w:szCs w:val="16"/>
        </w:rPr>
        <w:t>korun/l) platnou do května 2022</w:t>
      </w:r>
      <w:r w:rsidRPr="00C2781C">
        <w:rPr>
          <w:sz w:val="16"/>
          <w:szCs w:val="16"/>
        </w:rPr>
        <w:t>.</w:t>
      </w:r>
    </w:p>
  </w:footnote>
  <w:footnote w:id="11">
    <w:p w14:paraId="12072B36" w14:textId="77777777" w:rsidR="00D42211" w:rsidRPr="008534DA" w:rsidRDefault="00D42211" w:rsidP="00D42211">
      <w:pPr>
        <w:pStyle w:val="Textpoznpodarou"/>
        <w:rPr>
          <w:spacing w:val="-2"/>
          <w:sz w:val="16"/>
          <w:szCs w:val="16"/>
        </w:rPr>
      </w:pPr>
      <w:r w:rsidRPr="008534DA">
        <w:rPr>
          <w:rStyle w:val="Znakapoznpodarou"/>
          <w:spacing w:val="-2"/>
          <w:sz w:val="16"/>
          <w:szCs w:val="16"/>
        </w:rPr>
        <w:footnoteRef/>
      </w:r>
      <w:r w:rsidRPr="008534DA">
        <w:rPr>
          <w:spacing w:val="-2"/>
          <w:sz w:val="16"/>
          <w:szCs w:val="16"/>
        </w:rPr>
        <w:t xml:space="preserve"> Ta se týká energetických, petrochemických a těžebních firem</w:t>
      </w:r>
      <w:r>
        <w:rPr>
          <w:spacing w:val="-2"/>
          <w:sz w:val="16"/>
          <w:szCs w:val="16"/>
        </w:rPr>
        <w:t xml:space="preserve"> (v oblasti fosilních paliv)</w:t>
      </w:r>
      <w:r w:rsidRPr="008534DA">
        <w:rPr>
          <w:spacing w:val="-2"/>
          <w:sz w:val="16"/>
          <w:szCs w:val="16"/>
        </w:rPr>
        <w:t xml:space="preserve"> a zahrnuje rovněž velké banky. Drtivá </w:t>
      </w:r>
      <w:r>
        <w:rPr>
          <w:spacing w:val="-2"/>
          <w:sz w:val="16"/>
          <w:szCs w:val="16"/>
        </w:rPr>
        <w:t xml:space="preserve">většina inkasa této daně ovšem plynula do SR </w:t>
      </w:r>
      <w:r w:rsidRPr="008534DA">
        <w:rPr>
          <w:spacing w:val="-2"/>
          <w:sz w:val="16"/>
          <w:szCs w:val="16"/>
        </w:rPr>
        <w:t xml:space="preserve">z odvětví energetiky. </w:t>
      </w:r>
      <w:r w:rsidRPr="004E6893">
        <w:rPr>
          <w:spacing w:val="-2"/>
          <w:sz w:val="16"/>
          <w:szCs w:val="16"/>
        </w:rPr>
        <w:t>Funguje jako 60% daňová přirážka aplikovaná na nadměrný zisk těchto firem stanovený jako rozdíl mezi základem daně v letech 2023–2025 a průměrem základů daně za roky 2018 až 2021 navýšeným o 20 procent.</w:t>
      </w:r>
    </w:p>
  </w:footnote>
  <w:footnote w:id="12">
    <w:p w14:paraId="38117170" w14:textId="77777777" w:rsidR="00D42211" w:rsidRPr="008B3D4E" w:rsidRDefault="00D42211" w:rsidP="00D42211">
      <w:pPr>
        <w:pStyle w:val="Textpoznpodarou"/>
        <w:rPr>
          <w:sz w:val="16"/>
          <w:szCs w:val="16"/>
        </w:rPr>
      </w:pPr>
      <w:r w:rsidRPr="008534DA">
        <w:rPr>
          <w:rStyle w:val="Znakapoznpodarou"/>
          <w:spacing w:val="-2"/>
          <w:sz w:val="16"/>
          <w:szCs w:val="16"/>
        </w:rPr>
        <w:footnoteRef/>
      </w:r>
      <w:r w:rsidRPr="008534DA">
        <w:rPr>
          <w:spacing w:val="-2"/>
          <w:sz w:val="16"/>
          <w:szCs w:val="16"/>
        </w:rPr>
        <w:t xml:space="preserve"> Tento odvod (zdaněný 90% sazbou) představuje rozdíl mezi skutečným příjmem a stropem tržního příjmu z prodeje elektřiny nad stanovenou hranici (za období od 1. prosince 2022 do konce roku 2023).</w:t>
      </w:r>
    </w:p>
  </w:footnote>
  <w:footnote w:id="13">
    <w:p w14:paraId="10399FB8" w14:textId="77777777" w:rsidR="00D42211" w:rsidRPr="00592FF3" w:rsidRDefault="00D42211" w:rsidP="00D42211">
      <w:pPr>
        <w:pStyle w:val="Textpoznpodarou"/>
        <w:rPr>
          <w:spacing w:val="-2"/>
          <w:sz w:val="16"/>
          <w:szCs w:val="16"/>
        </w:rPr>
      </w:pPr>
      <w:r w:rsidRPr="00592FF3">
        <w:rPr>
          <w:rStyle w:val="Znakapoznpodarou"/>
          <w:spacing w:val="-2"/>
          <w:sz w:val="16"/>
          <w:szCs w:val="16"/>
        </w:rPr>
        <w:footnoteRef/>
      </w:r>
      <w:r>
        <w:rPr>
          <w:spacing w:val="-2"/>
          <w:sz w:val="16"/>
          <w:szCs w:val="16"/>
        </w:rPr>
        <w:t xml:space="preserve"> I tak</w:t>
      </w:r>
      <w:r w:rsidRPr="00592FF3">
        <w:rPr>
          <w:spacing w:val="-2"/>
          <w:sz w:val="16"/>
          <w:szCs w:val="16"/>
        </w:rPr>
        <w:t xml:space="preserve"> se celostátní inkaso DPFO ze závislé činnosti (na úrov</w:t>
      </w:r>
      <w:r>
        <w:rPr>
          <w:spacing w:val="-2"/>
          <w:sz w:val="16"/>
          <w:szCs w:val="16"/>
        </w:rPr>
        <w:t xml:space="preserve">ni všech veřejných rozpočtů) </w:t>
      </w:r>
      <w:r w:rsidRPr="00592FF3">
        <w:rPr>
          <w:spacing w:val="-2"/>
          <w:sz w:val="16"/>
          <w:szCs w:val="16"/>
        </w:rPr>
        <w:t>v 1. po</w:t>
      </w:r>
      <w:r>
        <w:rPr>
          <w:spacing w:val="-2"/>
          <w:sz w:val="16"/>
          <w:szCs w:val="16"/>
        </w:rPr>
        <w:t xml:space="preserve">loletí 2024 stále nacházelo mírně pod úrovní z </w:t>
      </w:r>
      <w:r w:rsidRPr="00592FF3">
        <w:rPr>
          <w:spacing w:val="-2"/>
          <w:sz w:val="16"/>
          <w:szCs w:val="16"/>
        </w:rPr>
        <w:t>r</w:t>
      </w:r>
      <w:r>
        <w:rPr>
          <w:spacing w:val="-2"/>
          <w:sz w:val="16"/>
          <w:szCs w:val="16"/>
        </w:rPr>
        <w:t xml:space="preserve">ekordního roku 2019 (bezmála </w:t>
      </w:r>
      <w:r w:rsidRPr="00592FF3">
        <w:rPr>
          <w:spacing w:val="-2"/>
          <w:sz w:val="16"/>
          <w:szCs w:val="16"/>
        </w:rPr>
        <w:t>o 8 %, resp. 8 mld. korun). Klíčovou r</w:t>
      </w:r>
      <w:r>
        <w:rPr>
          <w:spacing w:val="-2"/>
          <w:sz w:val="16"/>
          <w:szCs w:val="16"/>
        </w:rPr>
        <w:t>oli zde sehrálo zrušení tzv. superhrubé mzdy</w:t>
      </w:r>
      <w:r w:rsidRPr="00592FF3">
        <w:rPr>
          <w:spacing w:val="-2"/>
          <w:sz w:val="16"/>
          <w:szCs w:val="16"/>
        </w:rPr>
        <w:t>.</w:t>
      </w:r>
    </w:p>
  </w:footnote>
  <w:footnote w:id="14">
    <w:p w14:paraId="0DB11B02" w14:textId="77777777" w:rsidR="00D42211" w:rsidRPr="005F5C7C" w:rsidRDefault="00D42211" w:rsidP="00D42211">
      <w:pPr>
        <w:pStyle w:val="Textpoznpodarou"/>
        <w:rPr>
          <w:sz w:val="16"/>
          <w:szCs w:val="16"/>
        </w:rPr>
      </w:pPr>
      <w:r w:rsidRPr="005F5C7C">
        <w:rPr>
          <w:rStyle w:val="Znakapoznpodarou"/>
          <w:sz w:val="16"/>
          <w:szCs w:val="16"/>
        </w:rPr>
        <w:footnoteRef/>
      </w:r>
      <w:r w:rsidRPr="005F5C7C">
        <w:rPr>
          <w:sz w:val="16"/>
          <w:szCs w:val="16"/>
        </w:rPr>
        <w:t xml:space="preserve"> V dlouhodobém p</w:t>
      </w:r>
      <w:r>
        <w:rPr>
          <w:sz w:val="16"/>
          <w:szCs w:val="16"/>
        </w:rPr>
        <w:t>ohledu však patřil letošní podíl</w:t>
      </w:r>
      <w:r w:rsidRPr="005F5C7C">
        <w:rPr>
          <w:sz w:val="16"/>
          <w:szCs w:val="16"/>
        </w:rPr>
        <w:t xml:space="preserve"> sociálních dávek </w:t>
      </w:r>
      <w:r>
        <w:rPr>
          <w:sz w:val="16"/>
          <w:szCs w:val="16"/>
        </w:rPr>
        <w:t xml:space="preserve">na všech výdajích </w:t>
      </w:r>
      <w:r w:rsidRPr="005F5C7C">
        <w:rPr>
          <w:sz w:val="16"/>
          <w:szCs w:val="16"/>
        </w:rPr>
        <w:t>k průměrným.</w:t>
      </w:r>
    </w:p>
  </w:footnote>
  <w:footnote w:id="15">
    <w:p w14:paraId="5E65C1F0" w14:textId="77777777" w:rsidR="00D42211" w:rsidRPr="00592FF3" w:rsidRDefault="00D42211" w:rsidP="00D42211">
      <w:pPr>
        <w:pStyle w:val="Textpoznpodarou"/>
        <w:rPr>
          <w:spacing w:val="-2"/>
          <w:sz w:val="16"/>
          <w:szCs w:val="16"/>
        </w:rPr>
      </w:pPr>
      <w:r w:rsidRPr="00592FF3">
        <w:rPr>
          <w:rStyle w:val="Znakapoznpodarou"/>
          <w:spacing w:val="-2"/>
          <w:sz w:val="16"/>
          <w:szCs w:val="16"/>
        </w:rPr>
        <w:footnoteRef/>
      </w:r>
      <w:r w:rsidRPr="00592FF3">
        <w:rPr>
          <w:spacing w:val="-2"/>
          <w:sz w:val="16"/>
          <w:szCs w:val="16"/>
        </w:rPr>
        <w:t xml:space="preserve"> Jde zejména o to, že při zvýšení důchodu se nově nezohledňuje polovina, ale pouze třetina nárůstu reálné</w:t>
      </w:r>
      <w:r>
        <w:rPr>
          <w:spacing w:val="-2"/>
          <w:sz w:val="16"/>
          <w:szCs w:val="16"/>
        </w:rPr>
        <w:t xml:space="preserve"> mzdy. Od ledna 2024 došlo</w:t>
      </w:r>
      <w:r w:rsidRPr="00592FF3">
        <w:rPr>
          <w:spacing w:val="-2"/>
          <w:sz w:val="16"/>
          <w:szCs w:val="16"/>
        </w:rPr>
        <w:t xml:space="preserve"> k navýšení </w:t>
      </w:r>
      <w:r>
        <w:rPr>
          <w:spacing w:val="-2"/>
          <w:sz w:val="16"/>
          <w:szCs w:val="16"/>
        </w:rPr>
        <w:t xml:space="preserve">pouze </w:t>
      </w:r>
      <w:r w:rsidRPr="00592FF3">
        <w:rPr>
          <w:spacing w:val="-2"/>
          <w:sz w:val="16"/>
          <w:szCs w:val="16"/>
        </w:rPr>
        <w:t>základní výměry všech důchodů (o 360 korun), procentní výměra nevzrostla. Průměrný s</w:t>
      </w:r>
      <w:r>
        <w:rPr>
          <w:spacing w:val="-2"/>
          <w:sz w:val="16"/>
          <w:szCs w:val="16"/>
        </w:rPr>
        <w:t>tarobní důchod vzrostl o</w:t>
      </w:r>
      <w:r w:rsidRPr="00592FF3">
        <w:rPr>
          <w:spacing w:val="-2"/>
          <w:sz w:val="16"/>
          <w:szCs w:val="16"/>
        </w:rPr>
        <w:t> </w:t>
      </w:r>
      <w:r>
        <w:rPr>
          <w:spacing w:val="-2"/>
          <w:sz w:val="16"/>
          <w:szCs w:val="16"/>
        </w:rPr>
        <w:t>2,1</w:t>
      </w:r>
      <w:r w:rsidRPr="00592FF3">
        <w:rPr>
          <w:spacing w:val="-2"/>
          <w:sz w:val="16"/>
          <w:szCs w:val="16"/>
        </w:rPr>
        <w:t> </w:t>
      </w:r>
      <w:r>
        <w:rPr>
          <w:spacing w:val="-2"/>
          <w:sz w:val="16"/>
          <w:szCs w:val="16"/>
        </w:rPr>
        <w:t>% a na konci červ</w:t>
      </w:r>
      <w:r w:rsidRPr="00592FF3">
        <w:rPr>
          <w:spacing w:val="-2"/>
          <w:sz w:val="16"/>
          <w:szCs w:val="16"/>
        </w:rPr>
        <w:t xml:space="preserve">na </w:t>
      </w:r>
      <w:r>
        <w:rPr>
          <w:spacing w:val="-2"/>
          <w:sz w:val="16"/>
          <w:szCs w:val="16"/>
        </w:rPr>
        <w:t xml:space="preserve">2024 </w:t>
      </w:r>
      <w:r w:rsidRPr="00592FF3">
        <w:rPr>
          <w:spacing w:val="-2"/>
          <w:sz w:val="16"/>
          <w:szCs w:val="16"/>
        </w:rPr>
        <w:t>dosáhl (bez souběhu s ostatními důchody) měsíčně u mužů 21,9 tis. korun</w:t>
      </w:r>
      <w:r>
        <w:rPr>
          <w:spacing w:val="-2"/>
          <w:sz w:val="16"/>
          <w:szCs w:val="16"/>
        </w:rPr>
        <w:t>, u žen 19,5</w:t>
      </w:r>
      <w:r w:rsidRPr="00592FF3">
        <w:rPr>
          <w:spacing w:val="-2"/>
          <w:sz w:val="16"/>
          <w:szCs w:val="16"/>
        </w:rPr>
        <w:t xml:space="preserve"> tis. korun.</w:t>
      </w:r>
    </w:p>
  </w:footnote>
  <w:footnote w:id="16">
    <w:p w14:paraId="00CE0675" w14:textId="77777777" w:rsidR="00D42211" w:rsidRPr="004A6934" w:rsidRDefault="00D42211" w:rsidP="00D42211">
      <w:pPr>
        <w:pStyle w:val="Textpoznpodarou"/>
        <w:rPr>
          <w:sz w:val="16"/>
          <w:szCs w:val="16"/>
        </w:rPr>
      </w:pPr>
      <w:r w:rsidRPr="00592FF3">
        <w:rPr>
          <w:rStyle w:val="Znakapoznpodarou"/>
          <w:spacing w:val="-2"/>
          <w:sz w:val="16"/>
          <w:szCs w:val="16"/>
        </w:rPr>
        <w:footnoteRef/>
      </w:r>
      <w:r w:rsidRPr="00592FF3">
        <w:rPr>
          <w:spacing w:val="-2"/>
          <w:sz w:val="16"/>
          <w:szCs w:val="16"/>
        </w:rPr>
        <w:t xml:space="preserve"> Růst počtu všech příjemců trvale krácených starobních důchodů (KSD) během loňského roku zrychloval </w:t>
      </w:r>
      <w:r>
        <w:rPr>
          <w:spacing w:val="-2"/>
          <w:sz w:val="16"/>
          <w:szCs w:val="16"/>
        </w:rPr>
        <w:t>a tento vývoj pokračoval i na počátku roku 2024 (v 1. čtvrtletí na 8,5</w:t>
      </w:r>
      <w:r w:rsidRPr="00592FF3">
        <w:rPr>
          <w:spacing w:val="-2"/>
          <w:sz w:val="16"/>
          <w:szCs w:val="16"/>
        </w:rPr>
        <w:t xml:space="preserve"> % meziročně, nejvíce od roku 2012)</w:t>
      </w:r>
      <w:r>
        <w:rPr>
          <w:spacing w:val="-2"/>
          <w:sz w:val="16"/>
          <w:szCs w:val="16"/>
        </w:rPr>
        <w:t xml:space="preserve">. Ve 2. čtvrtletí nicméně tempo lehce zvolnilo (na 8,3 %). </w:t>
      </w:r>
      <w:r w:rsidRPr="00592FF3">
        <w:rPr>
          <w:spacing w:val="-2"/>
          <w:sz w:val="16"/>
          <w:szCs w:val="16"/>
        </w:rPr>
        <w:t>Do počtu KSD nejsou zahrnuty osoby, které podaly žádost o předčasný důchod, ale zahájení jeho výplaty si odložily.</w:t>
      </w:r>
    </w:p>
  </w:footnote>
  <w:footnote w:id="17">
    <w:p w14:paraId="7ADA6A0D" w14:textId="77777777" w:rsidR="00D42211" w:rsidRPr="00777350" w:rsidRDefault="00D42211" w:rsidP="00D42211">
      <w:pPr>
        <w:pStyle w:val="Textpoznpodarou"/>
        <w:jc w:val="both"/>
        <w:rPr>
          <w:rFonts w:cs="Arial"/>
          <w:color w:val="000000" w:themeColor="text1"/>
          <w:spacing w:val="-4"/>
          <w:sz w:val="16"/>
          <w:szCs w:val="16"/>
        </w:rPr>
      </w:pPr>
      <w:r w:rsidRPr="00777350">
        <w:rPr>
          <w:rStyle w:val="Znakapoznpodarou"/>
          <w:spacing w:val="-4"/>
          <w:sz w:val="16"/>
          <w:szCs w:val="16"/>
        </w:rPr>
        <w:footnoteRef/>
      </w:r>
      <w:r w:rsidRPr="00777350">
        <w:rPr>
          <w:spacing w:val="-4"/>
          <w:sz w:val="16"/>
          <w:szCs w:val="16"/>
        </w:rPr>
        <w:t xml:space="preserve"> To vyjadřuje r</w:t>
      </w:r>
      <w:r w:rsidRPr="00777350">
        <w:rPr>
          <w:rFonts w:cs="Arial"/>
          <w:color w:val="000000" w:themeColor="text1"/>
          <w:spacing w:val="-4"/>
          <w:sz w:val="16"/>
          <w:szCs w:val="16"/>
        </w:rPr>
        <w:t>ozdíl mezi příjmy z pojistného na důchodové pojištění</w:t>
      </w:r>
      <w:r w:rsidRPr="00777350">
        <w:rPr>
          <w:rFonts w:ascii="Segoe UI" w:eastAsia="Times New Roman" w:hAnsi="Segoe UI" w:cs="Segoe UI"/>
          <w:b/>
          <w:bCs/>
          <w:color w:val="000000"/>
          <w:spacing w:val="-4"/>
          <w:sz w:val="16"/>
          <w:szCs w:val="16"/>
        </w:rPr>
        <w:t xml:space="preserve"> </w:t>
      </w:r>
      <w:r w:rsidRPr="00777350">
        <w:rPr>
          <w:rFonts w:cs="Arial"/>
          <w:color w:val="000000" w:themeColor="text1"/>
          <w:spacing w:val="-4"/>
          <w:sz w:val="16"/>
          <w:szCs w:val="16"/>
        </w:rPr>
        <w:t xml:space="preserve">a výdaji na dávky důchodového </w:t>
      </w:r>
      <w:r w:rsidRPr="00777350">
        <w:rPr>
          <w:rFonts w:cs="Arial"/>
          <w:color w:val="0D0D0D" w:themeColor="text1" w:themeTint="F2"/>
          <w:spacing w:val="-4"/>
          <w:sz w:val="16"/>
          <w:szCs w:val="16"/>
        </w:rPr>
        <w:t>pojištění</w:t>
      </w:r>
      <w:r>
        <w:rPr>
          <w:rFonts w:cs="Arial"/>
          <w:color w:val="000000" w:themeColor="text1"/>
          <w:spacing w:val="-4"/>
          <w:sz w:val="16"/>
          <w:szCs w:val="16"/>
        </w:rPr>
        <w:t xml:space="preserve"> dle účetní bilance ČSSZ.</w:t>
      </w:r>
    </w:p>
  </w:footnote>
  <w:footnote w:id="18">
    <w:p w14:paraId="282373BB" w14:textId="77777777" w:rsidR="00D42211" w:rsidRPr="00635BB8" w:rsidRDefault="00D42211" w:rsidP="00D42211">
      <w:pPr>
        <w:pStyle w:val="Textpoznpodarou"/>
        <w:rPr>
          <w:sz w:val="16"/>
          <w:szCs w:val="16"/>
        </w:rPr>
      </w:pPr>
      <w:r w:rsidRPr="00635BB8">
        <w:rPr>
          <w:rStyle w:val="Znakapoznpodarou"/>
          <w:sz w:val="16"/>
          <w:szCs w:val="16"/>
        </w:rPr>
        <w:footnoteRef/>
      </w:r>
      <w:r w:rsidRPr="00635BB8">
        <w:rPr>
          <w:sz w:val="16"/>
          <w:szCs w:val="16"/>
        </w:rPr>
        <w:t xml:space="preserve"> Od ledna 2024 byl základní příspěvek navýšen z 300 tis. na 350 tis. korun. Zároveň se zkrátila maximální doba pobírání příspěvku do 3 let věku dítěte (z dřívějších 4 let).</w:t>
      </w:r>
    </w:p>
  </w:footnote>
  <w:footnote w:id="19">
    <w:p w14:paraId="731B8773" w14:textId="77777777" w:rsidR="00D42211" w:rsidRPr="00777350" w:rsidRDefault="00D42211" w:rsidP="00D42211">
      <w:pPr>
        <w:pStyle w:val="Textpoznpodarou"/>
        <w:rPr>
          <w:spacing w:val="-4"/>
          <w:sz w:val="16"/>
          <w:szCs w:val="16"/>
        </w:rPr>
      </w:pPr>
      <w:r w:rsidRPr="00777350">
        <w:rPr>
          <w:rStyle w:val="Znakapoznpodarou"/>
          <w:spacing w:val="-4"/>
          <w:sz w:val="16"/>
          <w:szCs w:val="16"/>
        </w:rPr>
        <w:footnoteRef/>
      </w:r>
      <w:r w:rsidRPr="00777350">
        <w:rPr>
          <w:spacing w:val="-4"/>
          <w:sz w:val="16"/>
          <w:szCs w:val="16"/>
        </w:rPr>
        <w:t xml:space="preserve"> Od července 2023 jsou při výpočtu výše dávky zohledňovány započitatelné náklady na bydlení (stanovené vládním nařízením), jejichž výše je odvislá od počtu osob a typu bydlení.</w:t>
      </w:r>
      <w:r>
        <w:rPr>
          <w:spacing w:val="-4"/>
          <w:sz w:val="16"/>
          <w:szCs w:val="16"/>
        </w:rPr>
        <w:t xml:space="preserve"> Letos v červnu pobíralo humanitární dávky 49 tis. příjemců, meziročně skoro o 60 % méně. </w:t>
      </w:r>
    </w:p>
  </w:footnote>
  <w:footnote w:id="20">
    <w:p w14:paraId="022841AA" w14:textId="77777777" w:rsidR="00D42211" w:rsidRPr="003D6946" w:rsidRDefault="00D42211" w:rsidP="00D42211">
      <w:pPr>
        <w:pStyle w:val="Textpoznpodarou"/>
        <w:rPr>
          <w:spacing w:val="-2"/>
          <w:sz w:val="16"/>
          <w:szCs w:val="16"/>
        </w:rPr>
      </w:pPr>
      <w:r w:rsidRPr="003D6946">
        <w:rPr>
          <w:rStyle w:val="Znakapoznpodarou"/>
          <w:spacing w:val="-2"/>
          <w:sz w:val="16"/>
          <w:szCs w:val="16"/>
        </w:rPr>
        <w:footnoteRef/>
      </w:r>
      <w:r w:rsidRPr="003D6946">
        <w:rPr>
          <w:spacing w:val="-2"/>
          <w:sz w:val="16"/>
          <w:szCs w:val="16"/>
        </w:rPr>
        <w:t xml:space="preserve"> </w:t>
      </w:r>
      <w:r>
        <w:rPr>
          <w:spacing w:val="-4"/>
          <w:sz w:val="16"/>
          <w:szCs w:val="16"/>
        </w:rPr>
        <w:t>Výdaje se zvýšily třetím rokem v řadě, oproti loňsku však jejich růstové tempo citelně zvolnilo</w:t>
      </w:r>
      <w:r>
        <w:rPr>
          <w:spacing w:val="-2"/>
          <w:sz w:val="16"/>
          <w:szCs w:val="16"/>
        </w:rPr>
        <w:t>. Ve srovnání s 1. polo</w:t>
      </w:r>
      <w:r w:rsidRPr="003D6946">
        <w:rPr>
          <w:spacing w:val="-2"/>
          <w:sz w:val="16"/>
          <w:szCs w:val="16"/>
        </w:rPr>
        <w:t xml:space="preserve">letím 2022 se </w:t>
      </w:r>
      <w:r>
        <w:rPr>
          <w:spacing w:val="-2"/>
          <w:sz w:val="16"/>
          <w:szCs w:val="16"/>
        </w:rPr>
        <w:t xml:space="preserve">letos </w:t>
      </w:r>
      <w:r w:rsidRPr="003D6946">
        <w:rPr>
          <w:spacing w:val="-2"/>
          <w:sz w:val="16"/>
          <w:szCs w:val="16"/>
        </w:rPr>
        <w:t>objem př</w:t>
      </w:r>
      <w:r>
        <w:rPr>
          <w:spacing w:val="-2"/>
          <w:sz w:val="16"/>
          <w:szCs w:val="16"/>
        </w:rPr>
        <w:t>íspěvků téměř ztrojnásobil (na 9,9</w:t>
      </w:r>
      <w:r w:rsidRPr="003D6946">
        <w:rPr>
          <w:spacing w:val="-2"/>
          <w:sz w:val="16"/>
          <w:szCs w:val="16"/>
        </w:rPr>
        <w:t xml:space="preserve"> mld.</w:t>
      </w:r>
      <w:r>
        <w:rPr>
          <w:spacing w:val="-2"/>
          <w:sz w:val="16"/>
          <w:szCs w:val="16"/>
        </w:rPr>
        <w:t xml:space="preserve"> korun</w:t>
      </w:r>
      <w:r w:rsidRPr="003D6946">
        <w:rPr>
          <w:spacing w:val="-2"/>
          <w:sz w:val="16"/>
          <w:szCs w:val="16"/>
        </w:rPr>
        <w:t>) a poč</w:t>
      </w:r>
      <w:r>
        <w:rPr>
          <w:spacing w:val="-2"/>
          <w:sz w:val="16"/>
          <w:szCs w:val="16"/>
        </w:rPr>
        <w:t>et příjemců vzrostl skoro o tři čtvrtiny (v červnu činil 281</w:t>
      </w:r>
      <w:r w:rsidRPr="003D6946">
        <w:rPr>
          <w:spacing w:val="-2"/>
          <w:sz w:val="16"/>
          <w:szCs w:val="16"/>
        </w:rPr>
        <w:t xml:space="preserve"> tis.).</w:t>
      </w:r>
    </w:p>
  </w:footnote>
  <w:footnote w:id="21">
    <w:p w14:paraId="5D6BC609" w14:textId="77777777" w:rsidR="00D42211" w:rsidRPr="00C70FDA" w:rsidRDefault="00D42211" w:rsidP="00D42211">
      <w:pPr>
        <w:pStyle w:val="Textpoznpodarou"/>
        <w:rPr>
          <w:sz w:val="16"/>
          <w:szCs w:val="16"/>
        </w:rPr>
      </w:pPr>
      <w:r w:rsidRPr="00C70FDA">
        <w:rPr>
          <w:rStyle w:val="Znakapoznpodarou"/>
          <w:sz w:val="16"/>
          <w:szCs w:val="16"/>
        </w:rPr>
        <w:footnoteRef/>
      </w:r>
      <w:r w:rsidRPr="00C70FDA">
        <w:rPr>
          <w:sz w:val="16"/>
          <w:szCs w:val="16"/>
        </w:rPr>
        <w:t xml:space="preserve"> </w:t>
      </w:r>
      <w:r w:rsidRPr="00C70FDA">
        <w:rPr>
          <w:spacing w:val="-4"/>
          <w:sz w:val="16"/>
          <w:szCs w:val="16"/>
        </w:rPr>
        <w:t>To vyjadřuje r</w:t>
      </w:r>
      <w:r w:rsidRPr="00C70FDA">
        <w:rPr>
          <w:rFonts w:cs="Arial"/>
          <w:color w:val="000000" w:themeColor="text1"/>
          <w:spacing w:val="-4"/>
          <w:sz w:val="16"/>
          <w:szCs w:val="16"/>
        </w:rPr>
        <w:t>ozdíl mezi příjmy z pojistného na nemocenské pojištění</w:t>
      </w:r>
      <w:r w:rsidRPr="00C70FDA">
        <w:rPr>
          <w:rFonts w:ascii="Segoe UI" w:eastAsia="Times New Roman" w:hAnsi="Segoe UI" w:cs="Segoe UI"/>
          <w:b/>
          <w:bCs/>
          <w:color w:val="000000"/>
          <w:spacing w:val="-4"/>
          <w:sz w:val="16"/>
          <w:szCs w:val="16"/>
        </w:rPr>
        <w:t xml:space="preserve"> </w:t>
      </w:r>
      <w:r w:rsidRPr="00C70FDA">
        <w:rPr>
          <w:rFonts w:cs="Arial"/>
          <w:color w:val="000000" w:themeColor="text1"/>
          <w:spacing w:val="-4"/>
          <w:sz w:val="16"/>
          <w:szCs w:val="16"/>
        </w:rPr>
        <w:t xml:space="preserve">a výdaji na dávky z tohoto </w:t>
      </w:r>
      <w:r w:rsidRPr="00C70FDA">
        <w:rPr>
          <w:rFonts w:cs="Arial"/>
          <w:color w:val="0D0D0D" w:themeColor="text1" w:themeTint="F2"/>
          <w:spacing w:val="-4"/>
          <w:sz w:val="16"/>
          <w:szCs w:val="16"/>
        </w:rPr>
        <w:t>pojištění</w:t>
      </w:r>
      <w:r w:rsidRPr="00C70FDA">
        <w:rPr>
          <w:rFonts w:cs="Arial"/>
          <w:color w:val="000000" w:themeColor="text1"/>
          <w:spacing w:val="-4"/>
          <w:sz w:val="16"/>
          <w:szCs w:val="16"/>
        </w:rPr>
        <w:t xml:space="preserve"> dle účetní bilance ČSSZ.</w:t>
      </w:r>
    </w:p>
  </w:footnote>
  <w:footnote w:id="22">
    <w:p w14:paraId="0A9938B8" w14:textId="77777777" w:rsidR="00D42211" w:rsidRPr="00AE285D" w:rsidRDefault="00D42211" w:rsidP="00D42211">
      <w:pPr>
        <w:pStyle w:val="Textpoznpodarou"/>
        <w:rPr>
          <w:sz w:val="16"/>
          <w:szCs w:val="16"/>
        </w:rPr>
      </w:pPr>
      <w:r w:rsidRPr="00AE285D">
        <w:rPr>
          <w:rStyle w:val="Znakapoznpodarou"/>
          <w:sz w:val="16"/>
          <w:szCs w:val="16"/>
        </w:rPr>
        <w:footnoteRef/>
      </w:r>
      <w:r>
        <w:rPr>
          <w:sz w:val="16"/>
          <w:szCs w:val="16"/>
        </w:rPr>
        <w:t xml:space="preserve"> Proti 1. pololetí</w:t>
      </w:r>
      <w:r w:rsidRPr="00AE285D">
        <w:rPr>
          <w:sz w:val="16"/>
          <w:szCs w:val="16"/>
        </w:rPr>
        <w:t xml:space="preserve"> 2020 </w:t>
      </w:r>
      <w:r>
        <w:rPr>
          <w:sz w:val="16"/>
          <w:szCs w:val="16"/>
        </w:rPr>
        <w:t xml:space="preserve">se </w:t>
      </w:r>
      <w:r w:rsidRPr="00AE285D">
        <w:rPr>
          <w:sz w:val="16"/>
          <w:szCs w:val="16"/>
        </w:rPr>
        <w:t>výdaje na tyto dávky zvýšily o 12,7 % a průměrný měsíční počet jejich příjemců se takřka nezměnil (</w:t>
      </w:r>
      <w:r>
        <w:rPr>
          <w:sz w:val="16"/>
          <w:szCs w:val="16"/>
        </w:rPr>
        <w:t xml:space="preserve">okolo </w:t>
      </w:r>
      <w:r w:rsidRPr="00AB296D">
        <w:rPr>
          <w:spacing w:val="-2"/>
          <w:sz w:val="16"/>
          <w:szCs w:val="16"/>
        </w:rPr>
        <w:t>370 tis. osob). Za období let 2020 až 2023 narostl počet obyvatel ČR ve věku nad 65 let o 5 %, z toho osob 80letých a starších o 11,5 %.</w:t>
      </w:r>
    </w:p>
  </w:footnote>
  <w:footnote w:id="23">
    <w:p w14:paraId="33218F1C" w14:textId="77777777" w:rsidR="00D42211" w:rsidRPr="00C52456" w:rsidRDefault="00D42211" w:rsidP="00D42211">
      <w:pPr>
        <w:pStyle w:val="Textpoznpodarou"/>
        <w:rPr>
          <w:sz w:val="16"/>
          <w:szCs w:val="16"/>
        </w:rPr>
      </w:pPr>
      <w:r w:rsidRPr="00C52456">
        <w:rPr>
          <w:rStyle w:val="Znakapoznpodarou"/>
          <w:sz w:val="16"/>
          <w:szCs w:val="16"/>
        </w:rPr>
        <w:footnoteRef/>
      </w:r>
      <w:r w:rsidRPr="00C52456">
        <w:rPr>
          <w:sz w:val="16"/>
          <w:szCs w:val="16"/>
        </w:rPr>
        <w:t xml:space="preserve"> Od letošního </w:t>
      </w:r>
      <w:r>
        <w:rPr>
          <w:sz w:val="16"/>
          <w:szCs w:val="16"/>
        </w:rPr>
        <w:t xml:space="preserve">ledna </w:t>
      </w:r>
      <w:r w:rsidRPr="00C52456">
        <w:rPr>
          <w:sz w:val="16"/>
          <w:szCs w:val="16"/>
        </w:rPr>
        <w:t>se se zvýšila měsíční platba za osobu z 1 900 korun na 2 085 korun.</w:t>
      </w:r>
    </w:p>
  </w:footnote>
  <w:footnote w:id="24">
    <w:p w14:paraId="297BFBB7" w14:textId="77777777" w:rsidR="00D42211" w:rsidRPr="001649A4" w:rsidRDefault="00D42211" w:rsidP="00D42211">
      <w:pPr>
        <w:pStyle w:val="Textpoznpodarou"/>
        <w:rPr>
          <w:color w:val="0D0D0D" w:themeColor="text1" w:themeTint="F2"/>
          <w:spacing w:val="-2"/>
          <w:sz w:val="16"/>
          <w:szCs w:val="16"/>
        </w:rPr>
      </w:pPr>
      <w:r w:rsidRPr="00BA6711">
        <w:rPr>
          <w:rStyle w:val="Znakapoznpodarou"/>
          <w:spacing w:val="-2"/>
          <w:sz w:val="16"/>
          <w:szCs w:val="16"/>
        </w:rPr>
        <w:footnoteRef/>
      </w:r>
      <w:r>
        <w:rPr>
          <w:spacing w:val="-2"/>
          <w:sz w:val="16"/>
          <w:szCs w:val="16"/>
        </w:rPr>
        <w:t xml:space="preserve"> V 1. pololetí</w:t>
      </w:r>
      <w:r w:rsidRPr="00BA6711">
        <w:rPr>
          <w:spacing w:val="-2"/>
          <w:sz w:val="16"/>
          <w:szCs w:val="16"/>
        </w:rPr>
        <w:t xml:space="preserve"> 2024 byly prodány státní dluhopisy </w:t>
      </w:r>
      <w:r>
        <w:rPr>
          <w:spacing w:val="-2"/>
          <w:sz w:val="16"/>
          <w:szCs w:val="16"/>
        </w:rPr>
        <w:t xml:space="preserve">(se splatností nad 1 rok) </w:t>
      </w:r>
      <w:r w:rsidRPr="00BA6711">
        <w:rPr>
          <w:spacing w:val="-2"/>
          <w:sz w:val="16"/>
          <w:szCs w:val="16"/>
        </w:rPr>
        <w:t>v celkov</w:t>
      </w:r>
      <w:r>
        <w:rPr>
          <w:spacing w:val="-2"/>
          <w:sz w:val="16"/>
          <w:szCs w:val="16"/>
        </w:rPr>
        <w:t>é hodnotě 161,4 mld. korun, z toho fixně úročené dluhopisy za 144 mld. s průměrným ročním výnosem 4,0 %</w:t>
      </w:r>
      <w:r w:rsidRPr="00BA6711">
        <w:rPr>
          <w:spacing w:val="-2"/>
          <w:sz w:val="16"/>
          <w:szCs w:val="16"/>
        </w:rPr>
        <w:t xml:space="preserve"> průměrnou </w:t>
      </w:r>
      <w:r>
        <w:rPr>
          <w:spacing w:val="-2"/>
          <w:sz w:val="16"/>
          <w:szCs w:val="16"/>
        </w:rPr>
        <w:t>zbytkovou dobou do splatnosti 10,1 let</w:t>
      </w:r>
      <w:r w:rsidRPr="00BA6711">
        <w:rPr>
          <w:spacing w:val="-2"/>
          <w:sz w:val="16"/>
          <w:szCs w:val="16"/>
        </w:rPr>
        <w:t>.</w:t>
      </w:r>
      <w:r>
        <w:rPr>
          <w:spacing w:val="-2"/>
          <w:sz w:val="16"/>
          <w:szCs w:val="16"/>
        </w:rPr>
        <w:t xml:space="preserve"> V 1. pololetí 2023 činila celková </w:t>
      </w:r>
      <w:r w:rsidRPr="001649A4">
        <w:rPr>
          <w:color w:val="0D0D0D" w:themeColor="text1" w:themeTint="F2"/>
          <w:spacing w:val="-2"/>
          <w:sz w:val="16"/>
          <w:szCs w:val="16"/>
        </w:rPr>
        <w:t>emise středně a dlouhodobých korunových státních dluhopisů 287 mld. korun, z toh</w:t>
      </w:r>
      <w:r>
        <w:rPr>
          <w:color w:val="0D0D0D" w:themeColor="text1" w:themeTint="F2"/>
          <w:spacing w:val="-2"/>
          <w:sz w:val="16"/>
          <w:szCs w:val="16"/>
        </w:rPr>
        <w:t>o fixně úročených za 253 mld.</w:t>
      </w:r>
    </w:p>
    <w:p w14:paraId="14746D74" w14:textId="77777777" w:rsidR="00D42211" w:rsidRPr="001649A4" w:rsidRDefault="00D42211" w:rsidP="00D42211">
      <w:pPr>
        <w:pStyle w:val="Textpoznpodarou"/>
        <w:rPr>
          <w:color w:val="0D0D0D" w:themeColor="text1" w:themeTint="F2"/>
          <w:spacing w:val="-2"/>
        </w:rPr>
      </w:pPr>
      <w:r w:rsidRPr="001649A4">
        <w:rPr>
          <w:color w:val="0D0D0D" w:themeColor="text1" w:themeTint="F2"/>
          <w:spacing w:val="-2"/>
          <w:sz w:val="16"/>
          <w:szCs w:val="16"/>
        </w:rPr>
        <w:t>s průměrným ročním výnosem 4,6 % a dobou do splatnosti 8,7 let.</w:t>
      </w:r>
    </w:p>
  </w:footnote>
  <w:footnote w:id="25">
    <w:p w14:paraId="5197CA0A" w14:textId="77777777" w:rsidR="00D42211" w:rsidRPr="00E74176" w:rsidRDefault="00D42211" w:rsidP="00D42211">
      <w:pPr>
        <w:pStyle w:val="Textpoznpodarou"/>
        <w:rPr>
          <w:spacing w:val="-4"/>
          <w:sz w:val="16"/>
          <w:szCs w:val="16"/>
        </w:rPr>
      </w:pPr>
      <w:r w:rsidRPr="00E74176">
        <w:rPr>
          <w:rStyle w:val="Znakapoznpodarou"/>
          <w:spacing w:val="-4"/>
          <w:sz w:val="16"/>
          <w:szCs w:val="16"/>
        </w:rPr>
        <w:footnoteRef/>
      </w:r>
      <w:r w:rsidRPr="00E74176">
        <w:rPr>
          <w:spacing w:val="-4"/>
          <w:sz w:val="16"/>
          <w:szCs w:val="16"/>
        </w:rPr>
        <w:t xml:space="preserve"> Údaje o hospodaření</w:t>
      </w:r>
      <w:r>
        <w:rPr>
          <w:spacing w:val="-4"/>
          <w:sz w:val="16"/>
          <w:szCs w:val="16"/>
        </w:rPr>
        <w:t xml:space="preserve"> sektoru vládních institucí v ČR za 2. čtvrtletí 2024 zveřejní ČSÚ 2. října 2024, Eurostat za členské státy Unie následovně 22. října</w:t>
      </w:r>
      <w:r w:rsidRPr="00E74176">
        <w:rPr>
          <w:spacing w:val="-4"/>
          <w:sz w:val="16"/>
          <w:szCs w:val="16"/>
        </w:rPr>
        <w:t>. Detailnější z</w:t>
      </w:r>
      <w:r>
        <w:rPr>
          <w:spacing w:val="-4"/>
          <w:sz w:val="16"/>
          <w:szCs w:val="16"/>
        </w:rPr>
        <w:t>hodnocení tuzemského vývoje za 1. čtvrtletí 2024 nabízí publikace</w:t>
      </w:r>
      <w:r w:rsidRPr="00E74176">
        <w:rPr>
          <w:spacing w:val="-4"/>
          <w:sz w:val="16"/>
          <w:szCs w:val="16"/>
        </w:rPr>
        <w:t xml:space="preserve"> </w:t>
      </w:r>
      <w:hyperlink r:id="rId1" w:history="1">
        <w:r w:rsidRPr="00281EB4">
          <w:rPr>
            <w:rStyle w:val="Hypertextovodkaz"/>
            <w:i/>
            <w:spacing w:val="-4"/>
            <w:sz w:val="16"/>
            <w:szCs w:val="16"/>
          </w:rPr>
          <w:t>Analýza sektorových účtů</w:t>
        </w:r>
      </w:hyperlink>
    </w:p>
  </w:footnote>
  <w:footnote w:id="26">
    <w:p w14:paraId="472EC5BD" w14:textId="77777777" w:rsidR="00D42211" w:rsidRPr="00E74176" w:rsidRDefault="00D42211" w:rsidP="00D42211">
      <w:pPr>
        <w:pStyle w:val="Textpoznpodarou"/>
        <w:rPr>
          <w:spacing w:val="-4"/>
          <w:sz w:val="16"/>
          <w:szCs w:val="16"/>
        </w:rPr>
      </w:pPr>
      <w:r w:rsidRPr="00E74176">
        <w:rPr>
          <w:rStyle w:val="Znakapoznpodarou"/>
          <w:spacing w:val="-4"/>
          <w:sz w:val="16"/>
          <w:szCs w:val="16"/>
        </w:rPr>
        <w:footnoteRef/>
      </w:r>
      <w:r w:rsidRPr="00E74176">
        <w:rPr>
          <w:spacing w:val="-4"/>
          <w:sz w:val="16"/>
          <w:szCs w:val="16"/>
        </w:rPr>
        <w:t xml:space="preserve"> Není-li uvedeno jinak, jsou údaje o hospodaření sektoru VI v ČR vyjádřeny bez sezónního očištění.</w:t>
      </w:r>
    </w:p>
  </w:footnote>
  <w:footnote w:id="27">
    <w:p w14:paraId="6864B0E9" w14:textId="77777777" w:rsidR="00D42211" w:rsidRPr="00F0024E" w:rsidRDefault="00D42211" w:rsidP="00D42211">
      <w:pPr>
        <w:pStyle w:val="Textpoznpodarou"/>
        <w:rPr>
          <w:sz w:val="16"/>
          <w:szCs w:val="16"/>
        </w:rPr>
      </w:pPr>
      <w:r w:rsidRPr="00F0024E">
        <w:rPr>
          <w:rStyle w:val="Znakapoznpodarou"/>
          <w:sz w:val="16"/>
          <w:szCs w:val="16"/>
        </w:rPr>
        <w:footnoteRef/>
      </w:r>
      <w:r w:rsidRPr="00F0024E">
        <w:rPr>
          <w:sz w:val="16"/>
          <w:szCs w:val="16"/>
        </w:rPr>
        <w:t xml:space="preserve"> </w:t>
      </w:r>
      <w:r>
        <w:rPr>
          <w:sz w:val="16"/>
          <w:szCs w:val="16"/>
        </w:rPr>
        <w:t>V</w:t>
      </w:r>
      <w:r w:rsidRPr="00F0024E">
        <w:rPr>
          <w:sz w:val="16"/>
          <w:szCs w:val="16"/>
        </w:rPr>
        <w:t xml:space="preserve">šechny níže uvedené údaje o příjmech, výdajích a saldu </w:t>
      </w:r>
      <w:r>
        <w:rPr>
          <w:sz w:val="16"/>
          <w:szCs w:val="16"/>
        </w:rPr>
        <w:t xml:space="preserve">jsou </w:t>
      </w:r>
      <w:r w:rsidRPr="00F0024E">
        <w:rPr>
          <w:sz w:val="16"/>
          <w:szCs w:val="16"/>
        </w:rPr>
        <w:t xml:space="preserve">vyjádřeny po očištění o sezónnost </w:t>
      </w:r>
      <w:r>
        <w:rPr>
          <w:sz w:val="16"/>
          <w:szCs w:val="16"/>
        </w:rPr>
        <w:t xml:space="preserve">i </w:t>
      </w:r>
      <w:r w:rsidRPr="00F0024E">
        <w:rPr>
          <w:sz w:val="16"/>
          <w:szCs w:val="16"/>
        </w:rPr>
        <w:t>pracovní dny.</w:t>
      </w:r>
    </w:p>
  </w:footnote>
  <w:footnote w:id="28">
    <w:p w14:paraId="79E3BEE5" w14:textId="77777777" w:rsidR="00D42211" w:rsidRPr="004143BE" w:rsidRDefault="00D42211" w:rsidP="00D42211">
      <w:pPr>
        <w:pStyle w:val="Textpoznpodarou"/>
        <w:rPr>
          <w:sz w:val="16"/>
          <w:szCs w:val="16"/>
        </w:rPr>
      </w:pPr>
      <w:r w:rsidRPr="004143BE">
        <w:rPr>
          <w:rStyle w:val="Znakapoznpodarou"/>
          <w:sz w:val="16"/>
          <w:szCs w:val="16"/>
        </w:rPr>
        <w:footnoteRef/>
      </w:r>
      <w:r w:rsidRPr="004143BE">
        <w:rPr>
          <w:sz w:val="16"/>
          <w:szCs w:val="16"/>
        </w:rPr>
        <w:t xml:space="preserve"> V Estonsku se </w:t>
      </w:r>
      <w:r>
        <w:rPr>
          <w:sz w:val="16"/>
          <w:szCs w:val="16"/>
        </w:rPr>
        <w:t>míra zadlužení sektoru VI meziročně zvýšila ze 17 % HDP na 24 % a tato země tak poprvé od svého vstupu do Unie opustila pozici nejméně zadlužené ekonomiky v EU (ve prospěch Bulharska).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FD05C" w14:textId="77777777" w:rsidR="00304F6C" w:rsidRDefault="00304F6C" w:rsidP="00304F6C">
    <w:pPr>
      <w:pStyle w:val="Zhlav"/>
    </w:pPr>
    <w:r>
      <w:t>Vývoj ekonomiky České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2B0C" w14:textId="77777777" w:rsidR="00304F6C" w:rsidRDefault="00304F6C" w:rsidP="00304F6C">
    <w:pPr>
      <w:pStyle w:val="Zhlav"/>
    </w:pPr>
    <w:r>
      <w:t>Vývoj ekonomiky 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B048D2"/>
    <w:multiLevelType w:val="hybridMultilevel"/>
    <w:tmpl w:val="D2A0F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7747AF"/>
    <w:multiLevelType w:val="hybridMultilevel"/>
    <w:tmpl w:val="76204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20"/>
  </w:num>
  <w:num w:numId="14">
    <w:abstractNumId w:val="10"/>
  </w:num>
  <w:num w:numId="15">
    <w:abstractNumId w:val="16"/>
  </w:num>
  <w:num w:numId="16">
    <w:abstractNumId w:val="12"/>
  </w:num>
  <w:num w:numId="17">
    <w:abstractNumId w:val="21"/>
  </w:num>
  <w:num w:numId="18">
    <w:abstractNumId w:val="17"/>
  </w:num>
  <w:num w:numId="19">
    <w:abstractNumId w:val="22"/>
  </w:num>
  <w:num w:numId="20">
    <w:abstractNumId w:val="25"/>
  </w:num>
  <w:num w:numId="21">
    <w:abstractNumId w:val="19"/>
  </w:num>
  <w:num w:numId="22">
    <w:abstractNumId w:val="15"/>
  </w:num>
  <w:num w:numId="23">
    <w:abstractNumId w:val="13"/>
  </w:num>
  <w:num w:numId="24">
    <w:abstractNumId w:val="14"/>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62"/>
    <w:rsid w:val="0000209D"/>
    <w:rsid w:val="00004D5A"/>
    <w:rsid w:val="000056D5"/>
    <w:rsid w:val="00006ABD"/>
    <w:rsid w:val="0000767A"/>
    <w:rsid w:val="00010256"/>
    <w:rsid w:val="00010702"/>
    <w:rsid w:val="00011912"/>
    <w:rsid w:val="0002195D"/>
    <w:rsid w:val="000234D6"/>
    <w:rsid w:val="00023D29"/>
    <w:rsid w:val="00026389"/>
    <w:rsid w:val="00031AE0"/>
    <w:rsid w:val="000322EF"/>
    <w:rsid w:val="00033FCD"/>
    <w:rsid w:val="00040D10"/>
    <w:rsid w:val="00041CEC"/>
    <w:rsid w:val="0004694F"/>
    <w:rsid w:val="000522E4"/>
    <w:rsid w:val="000610E1"/>
    <w:rsid w:val="00062EC5"/>
    <w:rsid w:val="00062F22"/>
    <w:rsid w:val="000712B3"/>
    <w:rsid w:val="0008263E"/>
    <w:rsid w:val="00082C19"/>
    <w:rsid w:val="00085395"/>
    <w:rsid w:val="00087634"/>
    <w:rsid w:val="00087F2B"/>
    <w:rsid w:val="00095135"/>
    <w:rsid w:val="000974D1"/>
    <w:rsid w:val="0009799E"/>
    <w:rsid w:val="000A1183"/>
    <w:rsid w:val="000A256D"/>
    <w:rsid w:val="000A3A2C"/>
    <w:rsid w:val="000A57D4"/>
    <w:rsid w:val="000B7C8D"/>
    <w:rsid w:val="000C3408"/>
    <w:rsid w:val="000C6AFD"/>
    <w:rsid w:val="000D5637"/>
    <w:rsid w:val="000E6FBD"/>
    <w:rsid w:val="00100F5C"/>
    <w:rsid w:val="00101CDA"/>
    <w:rsid w:val="00104C4C"/>
    <w:rsid w:val="00117623"/>
    <w:rsid w:val="0012192F"/>
    <w:rsid w:val="00125D69"/>
    <w:rsid w:val="001405FA"/>
    <w:rsid w:val="001425C3"/>
    <w:rsid w:val="001476BD"/>
    <w:rsid w:val="001612F4"/>
    <w:rsid w:val="0016256B"/>
    <w:rsid w:val="00163793"/>
    <w:rsid w:val="001706D6"/>
    <w:rsid w:val="001714F2"/>
    <w:rsid w:val="00175B9F"/>
    <w:rsid w:val="00181BBC"/>
    <w:rsid w:val="00184B08"/>
    <w:rsid w:val="00185010"/>
    <w:rsid w:val="0019143B"/>
    <w:rsid w:val="001A0487"/>
    <w:rsid w:val="001A552F"/>
    <w:rsid w:val="001B2CA9"/>
    <w:rsid w:val="001B3110"/>
    <w:rsid w:val="001B4729"/>
    <w:rsid w:val="001B6310"/>
    <w:rsid w:val="001B6C09"/>
    <w:rsid w:val="001C05CD"/>
    <w:rsid w:val="001D48D4"/>
    <w:rsid w:val="001D68B2"/>
    <w:rsid w:val="001E504C"/>
    <w:rsid w:val="001E6062"/>
    <w:rsid w:val="001F4597"/>
    <w:rsid w:val="00203DA4"/>
    <w:rsid w:val="002118B9"/>
    <w:rsid w:val="00214CF7"/>
    <w:rsid w:val="00217C5B"/>
    <w:rsid w:val="0022139E"/>
    <w:rsid w:val="00222729"/>
    <w:rsid w:val="002252E0"/>
    <w:rsid w:val="002255F6"/>
    <w:rsid w:val="00227850"/>
    <w:rsid w:val="00227A53"/>
    <w:rsid w:val="00230C6E"/>
    <w:rsid w:val="00236443"/>
    <w:rsid w:val="00241B06"/>
    <w:rsid w:val="002436BA"/>
    <w:rsid w:val="00244A15"/>
    <w:rsid w:val="00247319"/>
    <w:rsid w:val="0024799E"/>
    <w:rsid w:val="00253C0F"/>
    <w:rsid w:val="002558C1"/>
    <w:rsid w:val="00271465"/>
    <w:rsid w:val="00285412"/>
    <w:rsid w:val="00291640"/>
    <w:rsid w:val="002A16D4"/>
    <w:rsid w:val="002A230C"/>
    <w:rsid w:val="002B2299"/>
    <w:rsid w:val="002B4845"/>
    <w:rsid w:val="002C412E"/>
    <w:rsid w:val="002C43BD"/>
    <w:rsid w:val="002D0E59"/>
    <w:rsid w:val="002E02A1"/>
    <w:rsid w:val="002E42AC"/>
    <w:rsid w:val="002E4E4C"/>
    <w:rsid w:val="00302ADD"/>
    <w:rsid w:val="00304771"/>
    <w:rsid w:val="0030495D"/>
    <w:rsid w:val="00304F6C"/>
    <w:rsid w:val="003052D4"/>
    <w:rsid w:val="00306C5B"/>
    <w:rsid w:val="003103E0"/>
    <w:rsid w:val="00314F9F"/>
    <w:rsid w:val="003209D6"/>
    <w:rsid w:val="00321924"/>
    <w:rsid w:val="0032656E"/>
    <w:rsid w:val="00332190"/>
    <w:rsid w:val="0034335E"/>
    <w:rsid w:val="00344668"/>
    <w:rsid w:val="003462D9"/>
    <w:rsid w:val="00360C86"/>
    <w:rsid w:val="00360FBC"/>
    <w:rsid w:val="00362E90"/>
    <w:rsid w:val="00364FA0"/>
    <w:rsid w:val="003657F3"/>
    <w:rsid w:val="003818DC"/>
    <w:rsid w:val="00384327"/>
    <w:rsid w:val="00385D98"/>
    <w:rsid w:val="003A2B4D"/>
    <w:rsid w:val="003A2D12"/>
    <w:rsid w:val="003A478C"/>
    <w:rsid w:val="003A5525"/>
    <w:rsid w:val="003A6B38"/>
    <w:rsid w:val="003B461F"/>
    <w:rsid w:val="003B5A32"/>
    <w:rsid w:val="003C3490"/>
    <w:rsid w:val="003C7E62"/>
    <w:rsid w:val="003D6920"/>
    <w:rsid w:val="003E48F2"/>
    <w:rsid w:val="003E4C91"/>
    <w:rsid w:val="003F313C"/>
    <w:rsid w:val="003F37FC"/>
    <w:rsid w:val="003F4B2C"/>
    <w:rsid w:val="003F551C"/>
    <w:rsid w:val="003F72ED"/>
    <w:rsid w:val="003F7D23"/>
    <w:rsid w:val="00407C13"/>
    <w:rsid w:val="0041041D"/>
    <w:rsid w:val="00410638"/>
    <w:rsid w:val="0041501E"/>
    <w:rsid w:val="004159C3"/>
    <w:rsid w:val="00432A58"/>
    <w:rsid w:val="00434617"/>
    <w:rsid w:val="00440900"/>
    <w:rsid w:val="00441BF6"/>
    <w:rsid w:val="004441A0"/>
    <w:rsid w:val="004455BA"/>
    <w:rsid w:val="0045078A"/>
    <w:rsid w:val="0045086D"/>
    <w:rsid w:val="00451504"/>
    <w:rsid w:val="00460FB3"/>
    <w:rsid w:val="0046627E"/>
    <w:rsid w:val="00476240"/>
    <w:rsid w:val="00476439"/>
    <w:rsid w:val="0047735C"/>
    <w:rsid w:val="004776BC"/>
    <w:rsid w:val="0048139F"/>
    <w:rsid w:val="00481E40"/>
    <w:rsid w:val="00484ECE"/>
    <w:rsid w:val="004915CB"/>
    <w:rsid w:val="004924DC"/>
    <w:rsid w:val="004A14E4"/>
    <w:rsid w:val="004A3212"/>
    <w:rsid w:val="004A5494"/>
    <w:rsid w:val="004A61C5"/>
    <w:rsid w:val="004A77DF"/>
    <w:rsid w:val="004B1417"/>
    <w:rsid w:val="004B55B7"/>
    <w:rsid w:val="004B6468"/>
    <w:rsid w:val="004B7125"/>
    <w:rsid w:val="004C384C"/>
    <w:rsid w:val="004C3867"/>
    <w:rsid w:val="004C4CD0"/>
    <w:rsid w:val="004C70DC"/>
    <w:rsid w:val="004D0211"/>
    <w:rsid w:val="004D0794"/>
    <w:rsid w:val="004F06F5"/>
    <w:rsid w:val="004F33A0"/>
    <w:rsid w:val="0050689D"/>
    <w:rsid w:val="005108C0"/>
    <w:rsid w:val="00511873"/>
    <w:rsid w:val="00512A2F"/>
    <w:rsid w:val="00513B7E"/>
    <w:rsid w:val="00515C74"/>
    <w:rsid w:val="0052007E"/>
    <w:rsid w:val="0052337A"/>
    <w:rsid w:val="00525137"/>
    <w:rsid w:val="005251DD"/>
    <w:rsid w:val="00532CE7"/>
    <w:rsid w:val="0053324C"/>
    <w:rsid w:val="00534A28"/>
    <w:rsid w:val="00541508"/>
    <w:rsid w:val="00543498"/>
    <w:rsid w:val="0055599F"/>
    <w:rsid w:val="00556D68"/>
    <w:rsid w:val="00563EB8"/>
    <w:rsid w:val="005647BF"/>
    <w:rsid w:val="00564AF1"/>
    <w:rsid w:val="0057364B"/>
    <w:rsid w:val="00574773"/>
    <w:rsid w:val="00583FFD"/>
    <w:rsid w:val="005911BE"/>
    <w:rsid w:val="00593152"/>
    <w:rsid w:val="005A10F2"/>
    <w:rsid w:val="005A21E0"/>
    <w:rsid w:val="005A28FF"/>
    <w:rsid w:val="005A3DF8"/>
    <w:rsid w:val="005A5549"/>
    <w:rsid w:val="005A7038"/>
    <w:rsid w:val="005B121D"/>
    <w:rsid w:val="005C06ED"/>
    <w:rsid w:val="005C2609"/>
    <w:rsid w:val="005D5802"/>
    <w:rsid w:val="005D7119"/>
    <w:rsid w:val="005D7890"/>
    <w:rsid w:val="005E7C78"/>
    <w:rsid w:val="005F18C5"/>
    <w:rsid w:val="005F3EB1"/>
    <w:rsid w:val="005F46D8"/>
    <w:rsid w:val="005F5469"/>
    <w:rsid w:val="00604307"/>
    <w:rsid w:val="0060487F"/>
    <w:rsid w:val="00604EAD"/>
    <w:rsid w:val="006104FB"/>
    <w:rsid w:val="00612A2F"/>
    <w:rsid w:val="00616E05"/>
    <w:rsid w:val="00624093"/>
    <w:rsid w:val="00625F8F"/>
    <w:rsid w:val="006350D5"/>
    <w:rsid w:val="006404A7"/>
    <w:rsid w:val="006451E4"/>
    <w:rsid w:val="00645B33"/>
    <w:rsid w:val="006516CB"/>
    <w:rsid w:val="00656FC8"/>
    <w:rsid w:val="00657E87"/>
    <w:rsid w:val="00664803"/>
    <w:rsid w:val="00665BA4"/>
    <w:rsid w:val="00667AF2"/>
    <w:rsid w:val="006710C9"/>
    <w:rsid w:val="006741AC"/>
    <w:rsid w:val="00674D89"/>
    <w:rsid w:val="00675E37"/>
    <w:rsid w:val="0068174E"/>
    <w:rsid w:val="00681DCE"/>
    <w:rsid w:val="0068260E"/>
    <w:rsid w:val="00695BEF"/>
    <w:rsid w:val="006977F6"/>
    <w:rsid w:val="00697A13"/>
    <w:rsid w:val="006A109C"/>
    <w:rsid w:val="006B0F92"/>
    <w:rsid w:val="006B344A"/>
    <w:rsid w:val="006B78D8"/>
    <w:rsid w:val="006C113F"/>
    <w:rsid w:val="006C123E"/>
    <w:rsid w:val="006C1752"/>
    <w:rsid w:val="006C56D4"/>
    <w:rsid w:val="006C6924"/>
    <w:rsid w:val="006C7CA6"/>
    <w:rsid w:val="006D3E8A"/>
    <w:rsid w:val="006D61F6"/>
    <w:rsid w:val="006E279A"/>
    <w:rsid w:val="006E313B"/>
    <w:rsid w:val="006E7227"/>
    <w:rsid w:val="006F438E"/>
    <w:rsid w:val="006F5416"/>
    <w:rsid w:val="006F7076"/>
    <w:rsid w:val="00705242"/>
    <w:rsid w:val="00706AD4"/>
    <w:rsid w:val="00707150"/>
    <w:rsid w:val="007140BE"/>
    <w:rsid w:val="007211F5"/>
    <w:rsid w:val="00723946"/>
    <w:rsid w:val="007240E2"/>
    <w:rsid w:val="00725BB5"/>
    <w:rsid w:val="00730AE8"/>
    <w:rsid w:val="00730F1B"/>
    <w:rsid w:val="00741493"/>
    <w:rsid w:val="00752180"/>
    <w:rsid w:val="00753CAB"/>
    <w:rsid w:val="00755202"/>
    <w:rsid w:val="00755D3A"/>
    <w:rsid w:val="007578D3"/>
    <w:rsid w:val="007609C6"/>
    <w:rsid w:val="00760EA4"/>
    <w:rsid w:val="0076175D"/>
    <w:rsid w:val="00763B85"/>
    <w:rsid w:val="0076521E"/>
    <w:rsid w:val="007661E9"/>
    <w:rsid w:val="00776169"/>
    <w:rsid w:val="00776527"/>
    <w:rsid w:val="00780EF1"/>
    <w:rsid w:val="00790764"/>
    <w:rsid w:val="0079453C"/>
    <w:rsid w:val="00794677"/>
    <w:rsid w:val="00797445"/>
    <w:rsid w:val="007A516D"/>
    <w:rsid w:val="007B6689"/>
    <w:rsid w:val="007C6BBD"/>
    <w:rsid w:val="007D40DF"/>
    <w:rsid w:val="007E29B4"/>
    <w:rsid w:val="007E435A"/>
    <w:rsid w:val="007E7E61"/>
    <w:rsid w:val="007E7FCE"/>
    <w:rsid w:val="007F0845"/>
    <w:rsid w:val="007F708D"/>
    <w:rsid w:val="00800216"/>
    <w:rsid w:val="00801E13"/>
    <w:rsid w:val="00807C82"/>
    <w:rsid w:val="00814B15"/>
    <w:rsid w:val="00816905"/>
    <w:rsid w:val="00821777"/>
    <w:rsid w:val="00821FF6"/>
    <w:rsid w:val="00822574"/>
    <w:rsid w:val="00825C4D"/>
    <w:rsid w:val="0083143E"/>
    <w:rsid w:val="00831CDE"/>
    <w:rsid w:val="00834304"/>
    <w:rsid w:val="00834FAA"/>
    <w:rsid w:val="00836086"/>
    <w:rsid w:val="00846121"/>
    <w:rsid w:val="0084708F"/>
    <w:rsid w:val="008477C8"/>
    <w:rsid w:val="0085114D"/>
    <w:rsid w:val="00852217"/>
    <w:rsid w:val="00855408"/>
    <w:rsid w:val="00856D65"/>
    <w:rsid w:val="00861B41"/>
    <w:rsid w:val="00861BE3"/>
    <w:rsid w:val="00863434"/>
    <w:rsid w:val="00865E4C"/>
    <w:rsid w:val="008701E4"/>
    <w:rsid w:val="00871069"/>
    <w:rsid w:val="00875A32"/>
    <w:rsid w:val="00876086"/>
    <w:rsid w:val="008825B0"/>
    <w:rsid w:val="00884AD6"/>
    <w:rsid w:val="008873D4"/>
    <w:rsid w:val="0089126C"/>
    <w:rsid w:val="0089296D"/>
    <w:rsid w:val="00893E85"/>
    <w:rsid w:val="00894031"/>
    <w:rsid w:val="00895508"/>
    <w:rsid w:val="008A6CB4"/>
    <w:rsid w:val="008B5CF6"/>
    <w:rsid w:val="008B7C02"/>
    <w:rsid w:val="008B7D2B"/>
    <w:rsid w:val="008C0049"/>
    <w:rsid w:val="008C0E88"/>
    <w:rsid w:val="008C53CB"/>
    <w:rsid w:val="008D1E6A"/>
    <w:rsid w:val="008D2A16"/>
    <w:rsid w:val="008E2C57"/>
    <w:rsid w:val="008E31FF"/>
    <w:rsid w:val="008E6F06"/>
    <w:rsid w:val="008E7FC9"/>
    <w:rsid w:val="008F029B"/>
    <w:rsid w:val="008F3FC9"/>
    <w:rsid w:val="008F585B"/>
    <w:rsid w:val="009003A8"/>
    <w:rsid w:val="00902500"/>
    <w:rsid w:val="00902EFF"/>
    <w:rsid w:val="00906401"/>
    <w:rsid w:val="0091155E"/>
    <w:rsid w:val="00912A92"/>
    <w:rsid w:val="0091728D"/>
    <w:rsid w:val="0092180B"/>
    <w:rsid w:val="00921F14"/>
    <w:rsid w:val="009231A3"/>
    <w:rsid w:val="00924AC8"/>
    <w:rsid w:val="0092597A"/>
    <w:rsid w:val="00930FB1"/>
    <w:rsid w:val="0093139F"/>
    <w:rsid w:val="00932443"/>
    <w:rsid w:val="00937AE2"/>
    <w:rsid w:val="0094427A"/>
    <w:rsid w:val="00945245"/>
    <w:rsid w:val="0095759C"/>
    <w:rsid w:val="009721DB"/>
    <w:rsid w:val="00974923"/>
    <w:rsid w:val="00980D3D"/>
    <w:rsid w:val="00987A30"/>
    <w:rsid w:val="00992CF3"/>
    <w:rsid w:val="00994868"/>
    <w:rsid w:val="009968D6"/>
    <w:rsid w:val="009A1CAB"/>
    <w:rsid w:val="009A60D1"/>
    <w:rsid w:val="009B6FD3"/>
    <w:rsid w:val="009C1750"/>
    <w:rsid w:val="009C2E29"/>
    <w:rsid w:val="009C554B"/>
    <w:rsid w:val="009C719E"/>
    <w:rsid w:val="009C7A10"/>
    <w:rsid w:val="009D3ACD"/>
    <w:rsid w:val="009E5273"/>
    <w:rsid w:val="009E5DDB"/>
    <w:rsid w:val="009F4CA7"/>
    <w:rsid w:val="00A10D66"/>
    <w:rsid w:val="00A14114"/>
    <w:rsid w:val="00A16413"/>
    <w:rsid w:val="00A16E1D"/>
    <w:rsid w:val="00A17D5B"/>
    <w:rsid w:val="00A23E43"/>
    <w:rsid w:val="00A25216"/>
    <w:rsid w:val="00A30F65"/>
    <w:rsid w:val="00A33A89"/>
    <w:rsid w:val="00A40EAC"/>
    <w:rsid w:val="00A418BC"/>
    <w:rsid w:val="00A46DE0"/>
    <w:rsid w:val="00A50D73"/>
    <w:rsid w:val="00A52CAD"/>
    <w:rsid w:val="00A53FC7"/>
    <w:rsid w:val="00A62CE1"/>
    <w:rsid w:val="00A668A3"/>
    <w:rsid w:val="00A6741E"/>
    <w:rsid w:val="00A75E40"/>
    <w:rsid w:val="00A77D1D"/>
    <w:rsid w:val="00A84A6A"/>
    <w:rsid w:val="00A857C0"/>
    <w:rsid w:val="00A90FED"/>
    <w:rsid w:val="00AA2996"/>
    <w:rsid w:val="00AA52BF"/>
    <w:rsid w:val="00AA559A"/>
    <w:rsid w:val="00AB2AF1"/>
    <w:rsid w:val="00AC45BD"/>
    <w:rsid w:val="00AD168E"/>
    <w:rsid w:val="00AD306C"/>
    <w:rsid w:val="00AD68C4"/>
    <w:rsid w:val="00AE09B3"/>
    <w:rsid w:val="00AE0ED3"/>
    <w:rsid w:val="00AE1A83"/>
    <w:rsid w:val="00AE31A7"/>
    <w:rsid w:val="00AF6128"/>
    <w:rsid w:val="00B00913"/>
    <w:rsid w:val="00B01593"/>
    <w:rsid w:val="00B023F2"/>
    <w:rsid w:val="00B04705"/>
    <w:rsid w:val="00B10A4D"/>
    <w:rsid w:val="00B14BC1"/>
    <w:rsid w:val="00B17E71"/>
    <w:rsid w:val="00B17FDE"/>
    <w:rsid w:val="00B2379C"/>
    <w:rsid w:val="00B25189"/>
    <w:rsid w:val="00B2687D"/>
    <w:rsid w:val="00B32DDB"/>
    <w:rsid w:val="00B34528"/>
    <w:rsid w:val="00B34CC9"/>
    <w:rsid w:val="00B402FC"/>
    <w:rsid w:val="00B439DA"/>
    <w:rsid w:val="00B46604"/>
    <w:rsid w:val="00B530CD"/>
    <w:rsid w:val="00B55F5E"/>
    <w:rsid w:val="00B5752E"/>
    <w:rsid w:val="00B63A11"/>
    <w:rsid w:val="00B63B6A"/>
    <w:rsid w:val="00B64C24"/>
    <w:rsid w:val="00B6608F"/>
    <w:rsid w:val="00B679FB"/>
    <w:rsid w:val="00B76D1E"/>
    <w:rsid w:val="00B80EC6"/>
    <w:rsid w:val="00B84CF6"/>
    <w:rsid w:val="00B92D1D"/>
    <w:rsid w:val="00B938C5"/>
    <w:rsid w:val="00B95940"/>
    <w:rsid w:val="00BA6C2B"/>
    <w:rsid w:val="00BB46F3"/>
    <w:rsid w:val="00BB4CB1"/>
    <w:rsid w:val="00BB4F98"/>
    <w:rsid w:val="00BC5C12"/>
    <w:rsid w:val="00BC7154"/>
    <w:rsid w:val="00BC731E"/>
    <w:rsid w:val="00BD366B"/>
    <w:rsid w:val="00BD6D50"/>
    <w:rsid w:val="00BE18B9"/>
    <w:rsid w:val="00BE2495"/>
    <w:rsid w:val="00BF1578"/>
    <w:rsid w:val="00C21F94"/>
    <w:rsid w:val="00C27913"/>
    <w:rsid w:val="00C32964"/>
    <w:rsid w:val="00C33B68"/>
    <w:rsid w:val="00C36A79"/>
    <w:rsid w:val="00C401D2"/>
    <w:rsid w:val="00C405D4"/>
    <w:rsid w:val="00C4431F"/>
    <w:rsid w:val="00C4513B"/>
    <w:rsid w:val="00C5390B"/>
    <w:rsid w:val="00C54697"/>
    <w:rsid w:val="00C65535"/>
    <w:rsid w:val="00C71E85"/>
    <w:rsid w:val="00C72884"/>
    <w:rsid w:val="00C73885"/>
    <w:rsid w:val="00C747B1"/>
    <w:rsid w:val="00C82191"/>
    <w:rsid w:val="00C83134"/>
    <w:rsid w:val="00C85545"/>
    <w:rsid w:val="00C90CF4"/>
    <w:rsid w:val="00C92EB6"/>
    <w:rsid w:val="00C93389"/>
    <w:rsid w:val="00CA0914"/>
    <w:rsid w:val="00CA6AB4"/>
    <w:rsid w:val="00CB4930"/>
    <w:rsid w:val="00CC2E7D"/>
    <w:rsid w:val="00CD10A5"/>
    <w:rsid w:val="00CD2076"/>
    <w:rsid w:val="00CD29B5"/>
    <w:rsid w:val="00CD6331"/>
    <w:rsid w:val="00CE670B"/>
    <w:rsid w:val="00CF4908"/>
    <w:rsid w:val="00CF51EC"/>
    <w:rsid w:val="00CF73AE"/>
    <w:rsid w:val="00D040DD"/>
    <w:rsid w:val="00D075BE"/>
    <w:rsid w:val="00D13986"/>
    <w:rsid w:val="00D21D83"/>
    <w:rsid w:val="00D235B7"/>
    <w:rsid w:val="00D23C02"/>
    <w:rsid w:val="00D25F28"/>
    <w:rsid w:val="00D26071"/>
    <w:rsid w:val="00D27973"/>
    <w:rsid w:val="00D35E1A"/>
    <w:rsid w:val="00D42211"/>
    <w:rsid w:val="00D50F46"/>
    <w:rsid w:val="00D57677"/>
    <w:rsid w:val="00D66223"/>
    <w:rsid w:val="00D71625"/>
    <w:rsid w:val="00D8084C"/>
    <w:rsid w:val="00D915EA"/>
    <w:rsid w:val="00DA7C0C"/>
    <w:rsid w:val="00DB08A9"/>
    <w:rsid w:val="00DB2EC8"/>
    <w:rsid w:val="00DC5B3B"/>
    <w:rsid w:val="00DD129F"/>
    <w:rsid w:val="00DD7545"/>
    <w:rsid w:val="00DE02BD"/>
    <w:rsid w:val="00DF42FF"/>
    <w:rsid w:val="00E01C0E"/>
    <w:rsid w:val="00E03F9A"/>
    <w:rsid w:val="00E04694"/>
    <w:rsid w:val="00E063CE"/>
    <w:rsid w:val="00E12B1E"/>
    <w:rsid w:val="00E17262"/>
    <w:rsid w:val="00E253A2"/>
    <w:rsid w:val="00E3309D"/>
    <w:rsid w:val="00E43C1C"/>
    <w:rsid w:val="00E47EBA"/>
    <w:rsid w:val="00E50156"/>
    <w:rsid w:val="00E51643"/>
    <w:rsid w:val="00E53470"/>
    <w:rsid w:val="00E539F6"/>
    <w:rsid w:val="00E6519D"/>
    <w:rsid w:val="00E67696"/>
    <w:rsid w:val="00E71A58"/>
    <w:rsid w:val="00E72A7A"/>
    <w:rsid w:val="00E75C94"/>
    <w:rsid w:val="00E93820"/>
    <w:rsid w:val="00E94A86"/>
    <w:rsid w:val="00E96143"/>
    <w:rsid w:val="00EA0987"/>
    <w:rsid w:val="00EA0C68"/>
    <w:rsid w:val="00EA32BC"/>
    <w:rsid w:val="00EA4302"/>
    <w:rsid w:val="00EB4511"/>
    <w:rsid w:val="00EC03D7"/>
    <w:rsid w:val="00ED62C6"/>
    <w:rsid w:val="00ED64C1"/>
    <w:rsid w:val="00EE3446"/>
    <w:rsid w:val="00EE3E78"/>
    <w:rsid w:val="00EE4B1B"/>
    <w:rsid w:val="00EE7F19"/>
    <w:rsid w:val="00EF150D"/>
    <w:rsid w:val="00EF1F5A"/>
    <w:rsid w:val="00EF47BF"/>
    <w:rsid w:val="00F04811"/>
    <w:rsid w:val="00F0488C"/>
    <w:rsid w:val="00F10F11"/>
    <w:rsid w:val="00F15AAA"/>
    <w:rsid w:val="00F15BEF"/>
    <w:rsid w:val="00F24407"/>
    <w:rsid w:val="00F24931"/>
    <w:rsid w:val="00F24FAA"/>
    <w:rsid w:val="00F3364D"/>
    <w:rsid w:val="00F437CC"/>
    <w:rsid w:val="00F44537"/>
    <w:rsid w:val="00F44B6A"/>
    <w:rsid w:val="00F47067"/>
    <w:rsid w:val="00F50FC3"/>
    <w:rsid w:val="00F525EB"/>
    <w:rsid w:val="00F63DDE"/>
    <w:rsid w:val="00F63FB7"/>
    <w:rsid w:val="00F6421B"/>
    <w:rsid w:val="00F649D2"/>
    <w:rsid w:val="00F6602B"/>
    <w:rsid w:val="00F73A0C"/>
    <w:rsid w:val="00F756DB"/>
    <w:rsid w:val="00F84E7D"/>
    <w:rsid w:val="00F85066"/>
    <w:rsid w:val="00F87A4D"/>
    <w:rsid w:val="00F9785E"/>
    <w:rsid w:val="00FA5D4D"/>
    <w:rsid w:val="00FB0EE2"/>
    <w:rsid w:val="00FB542E"/>
    <w:rsid w:val="00FC0E5F"/>
    <w:rsid w:val="00FC1A95"/>
    <w:rsid w:val="00FC56DE"/>
    <w:rsid w:val="00FC684B"/>
    <w:rsid w:val="00FD3265"/>
    <w:rsid w:val="00FD5F92"/>
    <w:rsid w:val="00FE2F78"/>
    <w:rsid w:val="00FF7B96"/>
    <w:rsid w:val="11D0C0D9"/>
    <w:rsid w:val="7BDB84E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1432897"/>
  <w15:docId w15:val="{3A7C6927-7F52-4209-ABA9-A0ACA865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EA0987"/>
    <w:pPr>
      <w:keepNext/>
      <w:keepLines/>
      <w:spacing w:after="100" w:line="276" w:lineRule="auto"/>
      <w:contextualSpacing/>
      <w:outlineLvl w:val="0"/>
    </w:pPr>
    <w:rPr>
      <w:rFonts w:ascii="Arial" w:eastAsia="MS Gothic" w:hAnsi="Arial"/>
      <w:b/>
      <w:bCs/>
      <w:color w:val="86BF5E"/>
      <w:sz w:val="32"/>
      <w:szCs w:val="28"/>
      <w:lang w:eastAsia="cs-CZ"/>
    </w:rPr>
  </w:style>
  <w:style w:type="paragraph" w:styleId="Nadpis2">
    <w:name w:val="heading 2"/>
    <w:next w:val="Normln"/>
    <w:link w:val="Nadpis2Char"/>
    <w:uiPriority w:val="9"/>
    <w:qFormat/>
    <w:rsid w:val="00EA0987"/>
    <w:pPr>
      <w:keepNext/>
      <w:keepLines/>
      <w:spacing w:line="276" w:lineRule="auto"/>
      <w:outlineLvl w:val="1"/>
    </w:pPr>
    <w:rPr>
      <w:rFonts w:ascii="Arial" w:eastAsia="MS Gothic" w:hAnsi="Arial"/>
      <w:b/>
      <w:bCs/>
      <w:color w:val="86BF5E"/>
      <w:sz w:val="28"/>
      <w:szCs w:val="26"/>
      <w:lang w:eastAsia="cs-CZ"/>
    </w:rPr>
  </w:style>
  <w:style w:type="paragraph" w:styleId="Nadpis3">
    <w:name w:val="heading 3"/>
    <w:next w:val="Normln"/>
    <w:link w:val="Nadpis3Char"/>
    <w:uiPriority w:val="9"/>
    <w:qFormat/>
    <w:rsid w:val="00EA0987"/>
    <w:pPr>
      <w:keepNext/>
      <w:keepLines/>
      <w:spacing w:line="276" w:lineRule="auto"/>
      <w:outlineLvl w:val="2"/>
    </w:pPr>
    <w:rPr>
      <w:rFonts w:ascii="Arial" w:eastAsia="MS Gothic" w:hAnsi="Arial"/>
      <w:b/>
      <w:bCs/>
      <w:color w:val="86BF5E"/>
      <w:sz w:val="24"/>
      <w:szCs w:val="24"/>
      <w:lang w:eastAsia="cs-CZ"/>
    </w:rPr>
  </w:style>
  <w:style w:type="paragraph" w:styleId="Nadpis4">
    <w:name w:val="heading 4"/>
    <w:next w:val="Normln"/>
    <w:link w:val="Nadpis4Char"/>
    <w:uiPriority w:val="9"/>
    <w:qFormat/>
    <w:rsid w:val="0041041D"/>
    <w:pPr>
      <w:keepNext/>
      <w:keepLines/>
      <w:spacing w:line="276" w:lineRule="auto"/>
      <w:outlineLvl w:val="3"/>
    </w:pPr>
    <w:rPr>
      <w:rFonts w:ascii="Arial" w:eastAsia="MS Gothic" w:hAnsi="Arial"/>
      <w:b/>
      <w:bCs/>
      <w:iCs/>
      <w:color w:val="86BF5E"/>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A0987"/>
    <w:rPr>
      <w:rFonts w:ascii="Arial" w:eastAsia="MS Gothic" w:hAnsi="Arial"/>
      <w:b/>
      <w:bCs/>
      <w:color w:val="86BF5E"/>
      <w:sz w:val="32"/>
      <w:szCs w:val="28"/>
      <w:lang w:eastAsia="cs-CZ"/>
    </w:rPr>
  </w:style>
  <w:style w:type="character" w:customStyle="1" w:styleId="Nadpis2Char">
    <w:name w:val="Nadpis 2 Char"/>
    <w:link w:val="Nadpis2"/>
    <w:uiPriority w:val="9"/>
    <w:rsid w:val="00EA0987"/>
    <w:rPr>
      <w:rFonts w:ascii="Arial" w:eastAsia="MS Gothic" w:hAnsi="Arial"/>
      <w:b/>
      <w:bCs/>
      <w:color w:val="86BF5E"/>
      <w:sz w:val="28"/>
      <w:szCs w:val="26"/>
      <w:lang w:eastAsia="cs-CZ"/>
    </w:rPr>
  </w:style>
  <w:style w:type="character" w:customStyle="1" w:styleId="Nadpis3Char">
    <w:name w:val="Nadpis 3 Char"/>
    <w:link w:val="Nadpis3"/>
    <w:uiPriority w:val="9"/>
    <w:rsid w:val="00EA0987"/>
    <w:rPr>
      <w:rFonts w:ascii="Arial" w:eastAsia="MS Gothic" w:hAnsi="Arial"/>
      <w:b/>
      <w:bCs/>
      <w:color w:val="86BF5E"/>
      <w:sz w:val="24"/>
      <w:szCs w:val="24"/>
      <w:lang w:eastAsia="cs-CZ"/>
    </w:rPr>
  </w:style>
  <w:style w:type="character" w:customStyle="1" w:styleId="Nadpis4Char">
    <w:name w:val="Nadpis 4 Char"/>
    <w:link w:val="Nadpis4"/>
    <w:uiPriority w:val="9"/>
    <w:rsid w:val="0041041D"/>
    <w:rPr>
      <w:rFonts w:ascii="Arial" w:eastAsia="MS Gothic" w:hAnsi="Arial"/>
      <w:b/>
      <w:bCs/>
      <w:iCs/>
      <w:color w:val="86BF5E"/>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0A57D4"/>
    <w:pPr>
      <w:spacing w:after="80" w:line="288" w:lineRule="auto"/>
    </w:pPr>
    <w:rPr>
      <w:rFonts w:ascii="Arial" w:eastAsia="Times New Roman" w:hAnsi="Arial"/>
      <w:b/>
      <w:color w:val="86BF5E"/>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EA0987"/>
    <w:pPr>
      <w:shd w:val="clear" w:color="auto" w:fill="F0F6E9"/>
      <w:spacing w:before="240" w:after="240" w:line="276" w:lineRule="auto"/>
      <w:contextualSpacing/>
      <w:jc w:val="both"/>
    </w:pPr>
    <w:rPr>
      <w:rFonts w:ascii="Arial" w:hAnsi="Arial" w:cs="Arial"/>
      <w:lang w:eastAsia="cs-CZ"/>
    </w:rPr>
  </w:style>
  <w:style w:type="paragraph" w:customStyle="1" w:styleId="A-Box2">
    <w:name w:val="A-Box 2"/>
    <w:next w:val="Normln"/>
    <w:qFormat/>
    <w:rsid w:val="00EA0987"/>
    <w:pPr>
      <w:spacing w:before="240" w:after="240" w:line="276" w:lineRule="auto"/>
      <w:contextualSpacing/>
      <w:jc w:val="both"/>
    </w:pPr>
    <w:rPr>
      <w:rFonts w:ascii="Arial" w:hAnsi="Arial" w:cs="Arial"/>
      <w:color w:val="86BF5E"/>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0A57D4"/>
    <w:pPr>
      <w:spacing w:after="40"/>
      <w:contextualSpacing/>
    </w:pPr>
    <w:rPr>
      <w:b/>
      <w:caps/>
      <w:sz w:val="24"/>
    </w:rPr>
  </w:style>
  <w:style w:type="paragraph" w:customStyle="1" w:styleId="TLKontakty">
    <w:name w:val="TL Kontakty"/>
    <w:qFormat/>
    <w:rsid w:val="000A57D4"/>
    <w:pPr>
      <w:spacing w:after="160" w:line="259" w:lineRule="auto"/>
      <w:contextualSpacing/>
    </w:pPr>
    <w:rPr>
      <w:rFonts w:ascii="Arial" w:eastAsia="Times New Roman" w:hAnsi="Arial"/>
      <w:b/>
      <w:color w:val="86BF5E"/>
      <w:lang w:eastAsia="cs-CZ"/>
    </w:rPr>
  </w:style>
  <w:style w:type="paragraph" w:styleId="Nzev">
    <w:name w:val="Title"/>
    <w:link w:val="NzevChar"/>
    <w:uiPriority w:val="10"/>
    <w:qFormat/>
    <w:rsid w:val="001E6062"/>
    <w:pPr>
      <w:spacing w:line="288" w:lineRule="auto"/>
    </w:pPr>
    <w:rPr>
      <w:rFonts w:ascii="Arial" w:eastAsia="Times New Roman" w:hAnsi="Arial"/>
      <w:b/>
      <w:bCs/>
      <w:caps/>
      <w:color w:val="000000" w:themeColor="text1"/>
      <w:kern w:val="28"/>
      <w:sz w:val="56"/>
      <w:szCs w:val="32"/>
      <w:lang w:eastAsia="cs-CZ"/>
    </w:rPr>
  </w:style>
  <w:style w:type="character" w:customStyle="1" w:styleId="NzevChar">
    <w:name w:val="Název Char"/>
    <w:link w:val="Nzev"/>
    <w:uiPriority w:val="10"/>
    <w:rsid w:val="001E6062"/>
    <w:rPr>
      <w:rFonts w:ascii="Arial" w:eastAsia="Times New Roman" w:hAnsi="Arial"/>
      <w:b/>
      <w:bCs/>
      <w:caps/>
      <w:color w:val="000000" w:themeColor="text1"/>
      <w:kern w:val="28"/>
      <w:sz w:val="56"/>
      <w:szCs w:val="32"/>
      <w:lang w:eastAsia="cs-CZ"/>
    </w:rPr>
  </w:style>
  <w:style w:type="paragraph" w:styleId="Podnadpis">
    <w:name w:val="Subtitle"/>
    <w:link w:val="PodnadpisChar"/>
    <w:uiPriority w:val="11"/>
    <w:qFormat/>
    <w:rsid w:val="001E6062"/>
    <w:pPr>
      <w:spacing w:line="288" w:lineRule="auto"/>
    </w:pPr>
    <w:rPr>
      <w:rFonts w:ascii="Arial" w:eastAsia="Times New Roman" w:hAnsi="Arial" w:cs="Arial"/>
      <w:b/>
      <w:color w:val="000000" w:themeColor="text1"/>
      <w:sz w:val="28"/>
      <w:szCs w:val="24"/>
      <w:lang w:eastAsia="cs-CZ"/>
    </w:rPr>
  </w:style>
  <w:style w:type="character" w:customStyle="1" w:styleId="PodnadpisChar">
    <w:name w:val="Podnadpis Char"/>
    <w:link w:val="Podnadpis"/>
    <w:uiPriority w:val="11"/>
    <w:rsid w:val="001E6062"/>
    <w:rPr>
      <w:rFonts w:ascii="Arial" w:eastAsia="Times New Roman" w:hAnsi="Arial" w:cs="Arial"/>
      <w:b/>
      <w:color w:val="000000" w:themeColor="text1"/>
      <w:sz w:val="28"/>
      <w:szCs w:val="24"/>
      <w:lang w:eastAsia="cs-CZ"/>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EA0987"/>
    <w:pPr>
      <w:shd w:val="clear" w:color="auto" w:fill="F0F6E9"/>
      <w:spacing w:before="240" w:after="240" w:line="276" w:lineRule="auto"/>
      <w:ind w:left="709"/>
      <w:contextualSpacing/>
      <w:jc w:val="both"/>
    </w:pPr>
    <w:rPr>
      <w:rFonts w:ascii="Arial" w:hAnsi="Arial" w:cs="Arial"/>
      <w:lang w:eastAsia="cs-CZ"/>
    </w:rPr>
  </w:style>
  <w:style w:type="paragraph" w:customStyle="1" w:styleId="Box2">
    <w:name w:val="Box 2"/>
    <w:next w:val="Normln"/>
    <w:qFormat/>
    <w:rsid w:val="00EA0987"/>
    <w:pPr>
      <w:spacing w:before="240" w:after="240" w:line="276" w:lineRule="auto"/>
      <w:ind w:left="709"/>
      <w:contextualSpacing/>
      <w:jc w:val="both"/>
    </w:pPr>
    <w:rPr>
      <w:rFonts w:ascii="Arial" w:hAnsi="Arial" w:cs="Arial"/>
      <w:b/>
      <w:color w:val="86BF5E"/>
      <w:lang w:eastAsia="cs-CZ"/>
    </w:rPr>
  </w:style>
  <w:style w:type="character" w:styleId="Zdraznnintenzivn">
    <w:name w:val="Intense Emphasis"/>
    <w:basedOn w:val="Standardnpsmoodstavce"/>
    <w:uiPriority w:val="21"/>
    <w:qFormat/>
    <w:rsid w:val="001E6062"/>
    <w:rPr>
      <w:i/>
      <w:iCs/>
      <w:color w:val="000000" w:themeColor="text1"/>
    </w:rPr>
  </w:style>
  <w:style w:type="character" w:styleId="Odkazintenzivn">
    <w:name w:val="Intense Reference"/>
    <w:basedOn w:val="Standardnpsmoodstavce"/>
    <w:uiPriority w:val="32"/>
    <w:qFormat/>
    <w:rsid w:val="001E6062"/>
    <w:rPr>
      <w:b/>
      <w:bCs/>
      <w:smallCaps/>
      <w:color w:val="000000" w:themeColor="text1"/>
      <w:spacing w:val="5"/>
    </w:rPr>
  </w:style>
  <w:style w:type="character" w:styleId="Znakapoznpodarou">
    <w:name w:val="footnote reference"/>
    <w:basedOn w:val="Standardnpsmoodstavce"/>
    <w:rsid w:val="00E063CE"/>
    <w:rPr>
      <w:rFonts w:cs="Times New Roman"/>
      <w:vertAlign w:val="superscript"/>
    </w:rPr>
  </w:style>
  <w:style w:type="paragraph" w:customStyle="1" w:styleId="Nadpis11">
    <w:name w:val="Nadpis 11"/>
    <w:basedOn w:val="Normln"/>
    <w:uiPriority w:val="9"/>
    <w:qFormat/>
    <w:rsid w:val="008A6CB4"/>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8A6CB4"/>
    <w:pPr>
      <w:spacing w:after="0" w:line="240" w:lineRule="auto"/>
      <w:jc w:val="left"/>
    </w:pPr>
    <w:rPr>
      <w:rFonts w:eastAsia="Calibri"/>
      <w:szCs w:val="20"/>
    </w:rPr>
  </w:style>
  <w:style w:type="character" w:styleId="Zdraznn">
    <w:name w:val="Emphasis"/>
    <w:basedOn w:val="Standardnpsmoodstavce"/>
    <w:uiPriority w:val="20"/>
    <w:qFormat/>
    <w:rsid w:val="00C4431F"/>
    <w:rPr>
      <w:i/>
      <w:iCs/>
    </w:rPr>
  </w:style>
  <w:style w:type="character" w:customStyle="1" w:styleId="normaltextrun">
    <w:name w:val="normaltextrun"/>
    <w:basedOn w:val="Standardnpsmoodstavce"/>
    <w:rsid w:val="00C4431F"/>
  </w:style>
  <w:style w:type="paragraph" w:customStyle="1" w:styleId="paragraph">
    <w:name w:val="paragraph"/>
    <w:basedOn w:val="Normln"/>
    <w:rsid w:val="00C4431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C4431F"/>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12676334">
      <w:bodyDiv w:val="1"/>
      <w:marLeft w:val="0"/>
      <w:marRight w:val="0"/>
      <w:marTop w:val="0"/>
      <w:marBottom w:val="0"/>
      <w:divBdr>
        <w:top w:val="none" w:sz="0" w:space="0" w:color="auto"/>
        <w:left w:val="none" w:sz="0" w:space="0" w:color="auto"/>
        <w:bottom w:val="none" w:sz="0" w:space="0" w:color="auto"/>
        <w:right w:val="none" w:sz="0" w:space="0" w:color="auto"/>
      </w:divBdr>
    </w:div>
    <w:div w:id="243729605">
      <w:bodyDiv w:val="1"/>
      <w:marLeft w:val="0"/>
      <w:marRight w:val="0"/>
      <w:marTop w:val="0"/>
      <w:marBottom w:val="0"/>
      <w:divBdr>
        <w:top w:val="none" w:sz="0" w:space="0" w:color="auto"/>
        <w:left w:val="none" w:sz="0" w:space="0" w:color="auto"/>
        <w:bottom w:val="none" w:sz="0" w:space="0" w:color="auto"/>
        <w:right w:val="none" w:sz="0" w:space="0" w:color="auto"/>
      </w:divBdr>
    </w:div>
    <w:div w:id="255015632">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87458773">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83518353">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102453719">
      <w:bodyDiv w:val="1"/>
      <w:marLeft w:val="0"/>
      <w:marRight w:val="0"/>
      <w:marTop w:val="0"/>
      <w:marBottom w:val="0"/>
      <w:divBdr>
        <w:top w:val="none" w:sz="0" w:space="0" w:color="auto"/>
        <w:left w:val="none" w:sz="0" w:space="0" w:color="auto"/>
        <w:bottom w:val="none" w:sz="0" w:space="0" w:color="auto"/>
        <w:right w:val="none" w:sz="0" w:space="0" w:color="auto"/>
      </w:divBdr>
    </w:div>
    <w:div w:id="1158422740">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76136441">
      <w:bodyDiv w:val="1"/>
      <w:marLeft w:val="0"/>
      <w:marRight w:val="0"/>
      <w:marTop w:val="0"/>
      <w:marBottom w:val="0"/>
      <w:divBdr>
        <w:top w:val="none" w:sz="0" w:space="0" w:color="auto"/>
        <w:left w:val="none" w:sz="0" w:space="0" w:color="auto"/>
        <w:bottom w:val="none" w:sz="0" w:space="0" w:color="auto"/>
        <w:right w:val="none" w:sz="0" w:space="0" w:color="auto"/>
      </w:divBdr>
    </w:div>
    <w:div w:id="128300063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5696265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su.gov.cz/rychle-informace/analyza-ctvrtletnich-sektorovych-uctu-1-ctvrtleti-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kamenicky3604\JKAM%20CSU\PUBLIKACE\PUBLIKACE\2024\Qmakro-2024\1.%20pololet&#237;\Grafy-st&#225;tn&#237;%20rozpo&#269;et-1.pol-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menicky3604\JKAM%20CSU\PUBLIKACE\PUBLIKACE\2024\Qmakro-2024\1.%20pololet&#237;\Grafy-st&#225;tn&#237;%20rozpo&#269;et-1q-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547146084085555E-2"/>
          <c:y val="1.7107287133586922E-2"/>
          <c:w val="0.83962774835667442"/>
          <c:h val="0.75194595942833931"/>
        </c:manualLayout>
      </c:layout>
      <c:barChart>
        <c:barDir val="col"/>
        <c:grouping val="stacked"/>
        <c:varyColors val="0"/>
        <c:ser>
          <c:idx val="1"/>
          <c:order val="1"/>
          <c:tx>
            <c:strRef>
              <c:f>'G1-SR-příjmy-příspěvky'!$A$35</c:f>
              <c:strCache>
                <c:ptCount val="1"/>
                <c:pt idx="0">
                  <c:v>Ostatní daně a poplatky</c:v>
                </c:pt>
              </c:strCache>
            </c:strRef>
          </c:tx>
          <c:spPr>
            <a:solidFill>
              <a:schemeClr val="bg1">
                <a:lumMod val="75000"/>
              </a:schemeClr>
            </a:solidFill>
            <a:ln w="12700">
              <a:noFill/>
              <a:prstDash val="solid"/>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'G1-SR-příjmy-příspěvky'!$D$35:$U$35</c:f>
              <c:numCache>
                <c:formatCode>0.0</c:formatCode>
                <c:ptCount val="18"/>
                <c:pt idx="0">
                  <c:v>0.54595928439234809</c:v>
                </c:pt>
                <c:pt idx="1">
                  <c:v>0.46668473188209714</c:v>
                </c:pt>
                <c:pt idx="2">
                  <c:v>-0.46157268379491312</c:v>
                </c:pt>
                <c:pt idx="3">
                  <c:v>0.4953100331238699</c:v>
                </c:pt>
                <c:pt idx="4">
                  <c:v>1.0955064214410226</c:v>
                </c:pt>
                <c:pt idx="5">
                  <c:v>-0.43477551457132574</c:v>
                </c:pt>
                <c:pt idx="6">
                  <c:v>-8.2653412292815462E-2</c:v>
                </c:pt>
                <c:pt idx="7">
                  <c:v>0.17424975798643591</c:v>
                </c:pt>
                <c:pt idx="8">
                  <c:v>0.53125962426854922</c:v>
                </c:pt>
                <c:pt idx="9">
                  <c:v>0.44522675502175107</c:v>
                </c:pt>
                <c:pt idx="10">
                  <c:v>0.3176936390146764</c:v>
                </c:pt>
                <c:pt idx="11">
                  <c:v>0.37441716268588993</c:v>
                </c:pt>
                <c:pt idx="12">
                  <c:v>0.32332107581403785</c:v>
                </c:pt>
                <c:pt idx="13">
                  <c:v>0.37604522895516257</c:v>
                </c:pt>
                <c:pt idx="14">
                  <c:v>-0.57557094156431787</c:v>
                </c:pt>
                <c:pt idx="15">
                  <c:v>0.78502585428938398</c:v>
                </c:pt>
                <c:pt idx="16">
                  <c:v>2.2309684611061136</c:v>
                </c:pt>
                <c:pt idx="17">
                  <c:v>2.3717980800999805</c:v>
                </c:pt>
              </c:numCache>
            </c:numRef>
          </c:val>
          <c:extLst>
            <c:ext xmlns:c16="http://schemas.microsoft.com/office/drawing/2014/chart" uri="{C3380CC4-5D6E-409C-BE32-E72D297353CC}">
              <c16:uniqueId val="{00000000-5D88-4749-8609-FD0638EB3EBA}"/>
            </c:ext>
          </c:extLst>
        </c:ser>
        <c:ser>
          <c:idx val="3"/>
          <c:order val="2"/>
          <c:tx>
            <c:strRef>
              <c:f>'G1-SR-příjmy-příspěvky'!$A$36</c:f>
              <c:strCache>
                <c:ptCount val="1"/>
                <c:pt idx="0">
                  <c:v>Daně z příjmů FO, placená plátci</c:v>
                </c:pt>
              </c:strCache>
            </c:strRef>
          </c:tx>
          <c:spPr>
            <a:solidFill>
              <a:srgbClr val="EA6C75"/>
            </a:solidFill>
            <a:ln w="19050">
              <a:noFill/>
              <a:prstDash val="sysDot"/>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'G1-SR-příjmy-příspěvky'!$D$36:$U$36</c:f>
              <c:numCache>
                <c:formatCode>0.0</c:formatCode>
                <c:ptCount val="18"/>
                <c:pt idx="0">
                  <c:v>1.9432449105490393</c:v>
                </c:pt>
                <c:pt idx="1">
                  <c:v>-0.95444554842983087</c:v>
                </c:pt>
                <c:pt idx="2">
                  <c:v>-0.92314536758981236</c:v>
                </c:pt>
                <c:pt idx="3">
                  <c:v>-1.8574126242143194E-2</c:v>
                </c:pt>
                <c:pt idx="4">
                  <c:v>0.97823288807528341</c:v>
                </c:pt>
                <c:pt idx="5">
                  <c:v>0.3407011122061081</c:v>
                </c:pt>
                <c:pt idx="6">
                  <c:v>0.88755028507352618</c:v>
                </c:pt>
                <c:pt idx="7">
                  <c:v>0.7744433688286545</c:v>
                </c:pt>
                <c:pt idx="8">
                  <c:v>0.16682065496355428</c:v>
                </c:pt>
                <c:pt idx="9">
                  <c:v>1.7317249948229458</c:v>
                </c:pt>
                <c:pt idx="10">
                  <c:v>2.0602669574906938</c:v>
                </c:pt>
                <c:pt idx="11">
                  <c:v>2.5970084543680887</c:v>
                </c:pt>
                <c:pt idx="12">
                  <c:v>2.4294937952328688</c:v>
                </c:pt>
                <c:pt idx="13">
                  <c:v>-3.0239365905169362</c:v>
                </c:pt>
                <c:pt idx="14">
                  <c:v>-6.0198084538983654</c:v>
                </c:pt>
                <c:pt idx="15">
                  <c:v>1.4133532159550959</c:v>
                </c:pt>
                <c:pt idx="16">
                  <c:v>2.7818509745347071</c:v>
                </c:pt>
                <c:pt idx="17">
                  <c:v>2.0000217898978088</c:v>
                </c:pt>
              </c:numCache>
            </c:numRef>
          </c:val>
          <c:extLst>
            <c:ext xmlns:c16="http://schemas.microsoft.com/office/drawing/2014/chart" uri="{C3380CC4-5D6E-409C-BE32-E72D297353CC}">
              <c16:uniqueId val="{00000001-5D88-4749-8609-FD0638EB3EBA}"/>
            </c:ext>
          </c:extLst>
        </c:ser>
        <c:ser>
          <c:idx val="4"/>
          <c:order val="3"/>
          <c:tx>
            <c:strRef>
              <c:f>'G1-SR-příjmy-příspěvky'!$A$37</c:f>
              <c:strCache>
                <c:ptCount val="1"/>
                <c:pt idx="0">
                  <c:v>Daně z příjmů FO, ostatní</c:v>
                </c:pt>
              </c:strCache>
            </c:strRef>
          </c:tx>
          <c:spPr>
            <a:solidFill>
              <a:srgbClr val="FFD757"/>
            </a:solidFill>
            <a:ln w="19050">
              <a:noFill/>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'G1-SR-příjmy-příspěvky'!$D$37:$U$37</c:f>
              <c:numCache>
                <c:formatCode>0.0</c:formatCode>
                <c:ptCount val="18"/>
                <c:pt idx="0">
                  <c:v>-0.63541024059222651</c:v>
                </c:pt>
                <c:pt idx="1">
                  <c:v>0.57808689368620692</c:v>
                </c:pt>
                <c:pt idx="2">
                  <c:v>-1.7239461683906123</c:v>
                </c:pt>
                <c:pt idx="3">
                  <c:v>0.49221434541683318</c:v>
                </c:pt>
                <c:pt idx="4">
                  <c:v>-1.1126684019335842</c:v>
                </c:pt>
                <c:pt idx="5">
                  <c:v>0.42798817401098388</c:v>
                </c:pt>
                <c:pt idx="6">
                  <c:v>-0.30355954375479027</c:v>
                </c:pt>
                <c:pt idx="7">
                  <c:v>0.55870557322638448</c:v>
                </c:pt>
                <c:pt idx="8">
                  <c:v>-0.44399958936453698</c:v>
                </c:pt>
                <c:pt idx="9">
                  <c:v>0.98364050528059654</c:v>
                </c:pt>
                <c:pt idx="10">
                  <c:v>3.5562720785226223E-2</c:v>
                </c:pt>
                <c:pt idx="11">
                  <c:v>4.1187947106004243E-2</c:v>
                </c:pt>
                <c:pt idx="12">
                  <c:v>0.44228200802477585</c:v>
                </c:pt>
                <c:pt idx="13">
                  <c:v>-0.70712939587793489</c:v>
                </c:pt>
                <c:pt idx="14">
                  <c:v>1.1905445188146151</c:v>
                </c:pt>
                <c:pt idx="15">
                  <c:v>1.0848278620336691</c:v>
                </c:pt>
                <c:pt idx="16">
                  <c:v>0.87429381000186324</c:v>
                </c:pt>
                <c:pt idx="17">
                  <c:v>0.5650066065402598</c:v>
                </c:pt>
              </c:numCache>
            </c:numRef>
          </c:val>
          <c:extLst>
            <c:ext xmlns:c16="http://schemas.microsoft.com/office/drawing/2014/chart" uri="{C3380CC4-5D6E-409C-BE32-E72D297353CC}">
              <c16:uniqueId val="{00000002-5D88-4749-8609-FD0638EB3EBA}"/>
            </c:ext>
          </c:extLst>
        </c:ser>
        <c:ser>
          <c:idx val="2"/>
          <c:order val="4"/>
          <c:tx>
            <c:strRef>
              <c:f>'G1-SR-příjmy-příspěvky'!$A$38</c:f>
              <c:strCache>
                <c:ptCount val="1"/>
                <c:pt idx="0">
                  <c:v>Daně z příjmů PO</c:v>
                </c:pt>
              </c:strCache>
            </c:strRef>
          </c:tx>
          <c:spPr>
            <a:solidFill>
              <a:srgbClr val="F9B073"/>
            </a:solidFill>
            <a:ln>
              <a:noFill/>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'G1-SR-příjmy-příspěvky'!$D$38:$U$38</c:f>
              <c:numCache>
                <c:formatCode>0.0</c:formatCode>
                <c:ptCount val="18"/>
                <c:pt idx="0">
                  <c:v>-0.32078963602714067</c:v>
                </c:pt>
                <c:pt idx="1">
                  <c:v>5.9133471833318154</c:v>
                </c:pt>
                <c:pt idx="2">
                  <c:v>-5.8002446891335806</c:v>
                </c:pt>
                <c:pt idx="3">
                  <c:v>2.2877132154908213</c:v>
                </c:pt>
                <c:pt idx="4">
                  <c:v>-3.0948771488229689</c:v>
                </c:pt>
                <c:pt idx="5">
                  <c:v>-0.35196395889060944</c:v>
                </c:pt>
                <c:pt idx="6">
                  <c:v>-0.52038778929392326</c:v>
                </c:pt>
                <c:pt idx="7">
                  <c:v>1.5378232609597551</c:v>
                </c:pt>
                <c:pt idx="8">
                  <c:v>1.5450159121239975</c:v>
                </c:pt>
                <c:pt idx="9">
                  <c:v>2.3012010768275033</c:v>
                </c:pt>
                <c:pt idx="10">
                  <c:v>1.5576471703928481</c:v>
                </c:pt>
                <c:pt idx="11">
                  <c:v>-1.517450682852658E-2</c:v>
                </c:pt>
                <c:pt idx="12">
                  <c:v>1.1964034041960498</c:v>
                </c:pt>
                <c:pt idx="13">
                  <c:v>-4.7390510722411285</c:v>
                </c:pt>
                <c:pt idx="14">
                  <c:v>8.0545419061014698</c:v>
                </c:pt>
                <c:pt idx="15">
                  <c:v>3.4196071209305705</c:v>
                </c:pt>
                <c:pt idx="16">
                  <c:v>5.0089986951406535</c:v>
                </c:pt>
                <c:pt idx="17">
                  <c:v>0.33728578848166746</c:v>
                </c:pt>
              </c:numCache>
            </c:numRef>
          </c:val>
          <c:extLst>
            <c:ext xmlns:c16="http://schemas.microsoft.com/office/drawing/2014/chart" uri="{C3380CC4-5D6E-409C-BE32-E72D297353CC}">
              <c16:uniqueId val="{00000003-5D88-4749-8609-FD0638EB3EBA}"/>
            </c:ext>
          </c:extLst>
        </c:ser>
        <c:ser>
          <c:idx val="5"/>
          <c:order val="5"/>
          <c:tx>
            <c:strRef>
              <c:f>'G1-SR-příjmy-příspěvky'!$A$39</c:f>
              <c:strCache>
                <c:ptCount val="1"/>
                <c:pt idx="0">
                  <c:v>Spotřební daň</c:v>
                </c:pt>
              </c:strCache>
            </c:strRef>
          </c:tx>
          <c:spPr>
            <a:solidFill>
              <a:srgbClr val="00B050"/>
            </a:solidFill>
            <a:ln>
              <a:noFill/>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'G1-SR-příjmy-příspěvky'!$D$39:$U$39</c:f>
              <c:numCache>
                <c:formatCode>0.0</c:formatCode>
                <c:ptCount val="18"/>
                <c:pt idx="0">
                  <c:v>-2.8439235040098643</c:v>
                </c:pt>
                <c:pt idx="1">
                  <c:v>0.5961521091139016</c:v>
                </c:pt>
                <c:pt idx="2">
                  <c:v>-0.78411745078411788</c:v>
                </c:pt>
                <c:pt idx="3">
                  <c:v>2.1855555211590243</c:v>
                </c:pt>
                <c:pt idx="4">
                  <c:v>1.2127799548067861</c:v>
                </c:pt>
                <c:pt idx="5">
                  <c:v>-0.51809094748697793</c:v>
                </c:pt>
                <c:pt idx="6">
                  <c:v>-0.60422804423572385</c:v>
                </c:pt>
                <c:pt idx="7">
                  <c:v>1.9416401604204083</c:v>
                </c:pt>
                <c:pt idx="8">
                  <c:v>-0.71604558053587108</c:v>
                </c:pt>
                <c:pt idx="9">
                  <c:v>1.4107475667840153</c:v>
                </c:pt>
                <c:pt idx="10">
                  <c:v>0.1446217311932477</c:v>
                </c:pt>
                <c:pt idx="11">
                  <c:v>0.1517450682852812</c:v>
                </c:pt>
                <c:pt idx="12">
                  <c:v>0.59514445319462628</c:v>
                </c:pt>
                <c:pt idx="13">
                  <c:v>-1.0191471511484198</c:v>
                </c:pt>
                <c:pt idx="14">
                  <c:v>-1.71432256636205</c:v>
                </c:pt>
                <c:pt idx="15">
                  <c:v>2.2001267292613349</c:v>
                </c:pt>
                <c:pt idx="16">
                  <c:v>-1.0170175871507856</c:v>
                </c:pt>
                <c:pt idx="17">
                  <c:v>1.1174683098590452</c:v>
                </c:pt>
              </c:numCache>
            </c:numRef>
          </c:val>
          <c:extLst>
            <c:ext xmlns:c16="http://schemas.microsoft.com/office/drawing/2014/chart" uri="{C3380CC4-5D6E-409C-BE32-E72D297353CC}">
              <c16:uniqueId val="{00000004-5D88-4749-8609-FD0638EB3EBA}"/>
            </c:ext>
          </c:extLst>
        </c:ser>
        <c:ser>
          <c:idx val="6"/>
          <c:order val="6"/>
          <c:tx>
            <c:strRef>
              <c:f>'G1-SR-příjmy-příspěvky'!$A$40</c:f>
              <c:strCache>
                <c:ptCount val="1"/>
                <c:pt idx="0">
                  <c:v>DPH</c:v>
                </c:pt>
              </c:strCache>
            </c:strRef>
          </c:tx>
          <c:spPr>
            <a:solidFill>
              <a:schemeClr val="accent5">
                <a:lumMod val="60000"/>
                <a:lumOff val="40000"/>
              </a:schemeClr>
            </a:solidFill>
            <a:ln w="19050">
              <a:noFill/>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'G1-SR-příjmy-příspěvky'!$D$40:$U$40</c:f>
              <c:numCache>
                <c:formatCode>0.0</c:formatCode>
                <c:ptCount val="18"/>
                <c:pt idx="0">
                  <c:v>3.7569401603948127</c:v>
                </c:pt>
                <c:pt idx="1">
                  <c:v>1.6830759040134873</c:v>
                </c:pt>
                <c:pt idx="2">
                  <c:v>-0.48659770881993125</c:v>
                </c:pt>
                <c:pt idx="3">
                  <c:v>2.7861189363217034</c:v>
                </c:pt>
                <c:pt idx="4">
                  <c:v>2.5056491519121256</c:v>
                </c:pt>
                <c:pt idx="5">
                  <c:v>-2.0695480782767817</c:v>
                </c:pt>
                <c:pt idx="6">
                  <c:v>5.1489480707359938</c:v>
                </c:pt>
                <c:pt idx="7">
                  <c:v>2.7824643894343764</c:v>
                </c:pt>
                <c:pt idx="8">
                  <c:v>-1.9351195975772322</c:v>
                </c:pt>
                <c:pt idx="9">
                  <c:v>2.3089666597639251</c:v>
                </c:pt>
                <c:pt idx="10">
                  <c:v>5.2514284359515422</c:v>
                </c:pt>
                <c:pt idx="11">
                  <c:v>3.2104920875785794</c:v>
                </c:pt>
                <c:pt idx="12">
                  <c:v>1.1536019195484921</c:v>
                </c:pt>
                <c:pt idx="13">
                  <c:v>-2.336937549422708</c:v>
                </c:pt>
                <c:pt idx="14">
                  <c:v>3.7083912152981675</c:v>
                </c:pt>
                <c:pt idx="15">
                  <c:v>9.7528438385958296</c:v>
                </c:pt>
                <c:pt idx="16">
                  <c:v>2.6897010351263342</c:v>
                </c:pt>
                <c:pt idx="17">
                  <c:v>1.2934709414281154</c:v>
                </c:pt>
              </c:numCache>
            </c:numRef>
          </c:val>
          <c:extLst>
            <c:ext xmlns:c16="http://schemas.microsoft.com/office/drawing/2014/chart" uri="{C3380CC4-5D6E-409C-BE32-E72D297353CC}">
              <c16:uniqueId val="{00000005-5D88-4749-8609-FD0638EB3EBA}"/>
            </c:ext>
          </c:extLst>
        </c:ser>
        <c:dLbls>
          <c:showLegendKey val="0"/>
          <c:showVal val="0"/>
          <c:showCatName val="0"/>
          <c:showSerName val="0"/>
          <c:showPercent val="0"/>
          <c:showBubbleSize val="0"/>
        </c:dLbls>
        <c:gapWidth val="49"/>
        <c:overlap val="100"/>
        <c:axId val="194467712"/>
        <c:axId val="194473984"/>
      </c:barChart>
      <c:lineChart>
        <c:grouping val="standard"/>
        <c:varyColors val="0"/>
        <c:ser>
          <c:idx val="0"/>
          <c:order val="0"/>
          <c:tx>
            <c:strRef>
              <c:f>'G1-SR-příjmy-příspěvky'!$A$34</c:f>
              <c:strCache>
                <c:ptCount val="1"/>
                <c:pt idx="0">
                  <c:v>Celk. daňové příjmy (bez pojistného na SZ)</c:v>
                </c:pt>
              </c:strCache>
            </c:strRef>
          </c:tx>
          <c:spPr>
            <a:ln w="19050">
              <a:noFill/>
            </a:ln>
          </c:spPr>
          <c:marker>
            <c:symbol val="circle"/>
            <c:size val="7"/>
            <c:spPr>
              <a:solidFill>
                <a:schemeClr val="accent4">
                  <a:lumMod val="20000"/>
                  <a:lumOff val="80000"/>
                </a:schemeClr>
              </a:solidFill>
              <a:ln>
                <a:solidFill>
                  <a:schemeClr val="tx1">
                    <a:lumMod val="95000"/>
                    <a:lumOff val="5000"/>
                  </a:schemeClr>
                </a:solidFill>
              </a:ln>
            </c:spPr>
          </c:marker>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'G1-SR-příjmy-příspěvky'!$D$34:$U$34</c:f>
              <c:numCache>
                <c:formatCode>0.0</c:formatCode>
                <c:ptCount val="18"/>
                <c:pt idx="0">
                  <c:v>2.4460209747069683</c:v>
                </c:pt>
                <c:pt idx="1">
                  <c:v>8.2829012735976733</c:v>
                </c:pt>
                <c:pt idx="2">
                  <c:v>-10.179624068512965</c:v>
                </c:pt>
                <c:pt idx="3">
                  <c:v>8.228337925270111</c:v>
                </c:pt>
                <c:pt idx="4">
                  <c:v>1.5846228654786643</c:v>
                </c:pt>
                <c:pt idx="5">
                  <c:v>-2.6056892130086027</c:v>
                </c:pt>
                <c:pt idx="6">
                  <c:v>4.525669566232267</c:v>
                </c:pt>
                <c:pt idx="7">
                  <c:v>7.7693265108560183</c:v>
                </c:pt>
                <c:pt idx="8">
                  <c:v>-0.85206857612153897</c:v>
                </c:pt>
                <c:pt idx="9">
                  <c:v>9.1815075585007406</c:v>
                </c:pt>
                <c:pt idx="10">
                  <c:v>9.3672206548282304</c:v>
                </c:pt>
                <c:pt idx="11">
                  <c:v>6.3596762131953142</c:v>
                </c:pt>
                <c:pt idx="12">
                  <c:v>6.1402466560108451</c:v>
                </c:pt>
                <c:pt idx="13">
                  <c:v>-11.450156530251959</c:v>
                </c:pt>
                <c:pt idx="14">
                  <c:v>4.6437756783895168</c:v>
                </c:pt>
                <c:pt idx="15">
                  <c:v>18.655784621065891</c:v>
                </c:pt>
                <c:pt idx="16">
                  <c:v>12.568795388758886</c:v>
                </c:pt>
                <c:pt idx="17">
                  <c:v>7.6850515163068707</c:v>
                </c:pt>
              </c:numCache>
            </c:numRef>
          </c:val>
          <c:smooth val="0"/>
          <c:extLst>
            <c:ext xmlns:c16="http://schemas.microsoft.com/office/drawing/2014/chart" uri="{C3380CC4-5D6E-409C-BE32-E72D297353CC}">
              <c16:uniqueId val="{00000006-5D88-4749-8609-FD0638EB3EBA}"/>
            </c:ext>
          </c:extLst>
        </c:ser>
        <c:ser>
          <c:idx val="7"/>
          <c:order val="7"/>
          <c:tx>
            <c:strRef>
              <c:f>'G1-SR-příjmy-příspěvky'!$A$41</c:f>
              <c:strCache>
                <c:ptCount val="1"/>
                <c:pt idx="0">
                  <c:v>Příjmy z pojistného na soc. zabezpečení*</c:v>
                </c:pt>
              </c:strCache>
            </c:strRef>
          </c:tx>
          <c:spPr>
            <a:ln w="6350">
              <a:noFill/>
              <a:prstDash val="dash"/>
            </a:ln>
          </c:spPr>
          <c:marker>
            <c:symbol val="triangle"/>
            <c:size val="5"/>
            <c:spPr>
              <a:solidFill>
                <a:schemeClr val="bg1"/>
              </a:solidFill>
              <a:ln>
                <a:solidFill>
                  <a:schemeClr val="tx1">
                    <a:lumMod val="95000"/>
                    <a:lumOff val="5000"/>
                  </a:schemeClr>
                </a:solidFill>
              </a:ln>
            </c:spPr>
          </c:marker>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'G1-SR-příjmy-příspěvky'!$D$41:$U$41</c:f>
              <c:numCache>
                <c:formatCode>0.0</c:formatCode>
                <c:ptCount val="18"/>
                <c:pt idx="0">
                  <c:v>10.327204736678098</c:v>
                </c:pt>
                <c:pt idx="1">
                  <c:v>8.1233758897299708</c:v>
                </c:pt>
                <c:pt idx="2">
                  <c:v>-5.971786833855802</c:v>
                </c:pt>
                <c:pt idx="3">
                  <c:v>-3.2894371284102846</c:v>
                </c:pt>
                <c:pt idx="4">
                  <c:v>3.774777362826768</c:v>
                </c:pt>
                <c:pt idx="5">
                  <c:v>2.746096777765473</c:v>
                </c:pt>
                <c:pt idx="6">
                  <c:v>-0.75439163702985468</c:v>
                </c:pt>
                <c:pt idx="7">
                  <c:v>2.6441524595504546</c:v>
                </c:pt>
                <c:pt idx="8">
                  <c:v>5.4747421317111673</c:v>
                </c:pt>
                <c:pt idx="9">
                  <c:v>5.8826479438314863</c:v>
                </c:pt>
                <c:pt idx="10">
                  <c:v>7.9619191967034624</c:v>
                </c:pt>
                <c:pt idx="11">
                  <c:v>10.511538124067727</c:v>
                </c:pt>
                <c:pt idx="12">
                  <c:v>8.4358872568479342</c:v>
                </c:pt>
                <c:pt idx="13">
                  <c:v>-1.0433827567270555</c:v>
                </c:pt>
                <c:pt idx="14">
                  <c:v>7.8061413244543019</c:v>
                </c:pt>
                <c:pt idx="15">
                  <c:v>6.4077909917776452</c:v>
                </c:pt>
                <c:pt idx="16">
                  <c:v>9.4923807304041503</c:v>
                </c:pt>
                <c:pt idx="17">
                  <c:v>8.9637092838869421</c:v>
                </c:pt>
              </c:numCache>
            </c:numRef>
          </c:val>
          <c:smooth val="0"/>
          <c:extLst>
            <c:ext xmlns:c16="http://schemas.microsoft.com/office/drawing/2014/chart" uri="{C3380CC4-5D6E-409C-BE32-E72D297353CC}">
              <c16:uniqueId val="{00000007-5D88-4749-8609-FD0638EB3EBA}"/>
            </c:ext>
          </c:extLst>
        </c:ser>
        <c:dLbls>
          <c:showLegendKey val="0"/>
          <c:showVal val="0"/>
          <c:showCatName val="0"/>
          <c:showSerName val="0"/>
          <c:showPercent val="0"/>
          <c:showBubbleSize val="0"/>
        </c:dLbls>
        <c:marker val="1"/>
        <c:smooth val="0"/>
        <c:axId val="194467712"/>
        <c:axId val="194473984"/>
      </c:lineChart>
      <c:lineChart>
        <c:grouping val="standard"/>
        <c:varyColors val="0"/>
        <c:ser>
          <c:idx val="8"/>
          <c:order val="8"/>
          <c:tx>
            <c:strRef>
              <c:f>'G1-SR-příjmy-příspěvky'!$A$42</c:f>
              <c:strCache>
                <c:ptCount val="1"/>
                <c:pt idx="0">
                  <c:v>Saldo státního rozpočtu (pravá osa)</c:v>
                </c:pt>
              </c:strCache>
            </c:strRef>
          </c:tx>
          <c:spPr>
            <a:ln w="19050">
              <a:solidFill>
                <a:schemeClr val="bg2">
                  <a:lumMod val="50000"/>
                </a:schemeClr>
              </a:solidFill>
            </a:ln>
          </c:spPr>
          <c:marker>
            <c:symbol val="none"/>
          </c:marker>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'G1-SR-příjmy-příspěvky'!$D$42:$U$42</c:f>
              <c:numCache>
                <c:formatCode>#\ ##0.0</c:formatCode>
                <c:ptCount val="18"/>
                <c:pt idx="0">
                  <c:v>1.2749999999999999</c:v>
                </c:pt>
                <c:pt idx="1">
                  <c:v>-5.6520000000000001</c:v>
                </c:pt>
                <c:pt idx="2">
                  <c:v>-68.259</c:v>
                </c:pt>
                <c:pt idx="3">
                  <c:v>-75.662000000000006</c:v>
                </c:pt>
                <c:pt idx="4">
                  <c:v>-62.856000000000002</c:v>
                </c:pt>
                <c:pt idx="5">
                  <c:v>-71.721999999999994</c:v>
                </c:pt>
                <c:pt idx="6">
                  <c:v>-31.52</c:v>
                </c:pt>
                <c:pt idx="7">
                  <c:v>1.45</c:v>
                </c:pt>
                <c:pt idx="8">
                  <c:v>22.65</c:v>
                </c:pt>
                <c:pt idx="9">
                  <c:v>40.65</c:v>
                </c:pt>
                <c:pt idx="10">
                  <c:v>4.62</c:v>
                </c:pt>
                <c:pt idx="11">
                  <c:v>-5.88</c:v>
                </c:pt>
                <c:pt idx="12">
                  <c:v>-20.68</c:v>
                </c:pt>
                <c:pt idx="13">
                  <c:v>-195.24722774568022</c:v>
                </c:pt>
                <c:pt idx="14">
                  <c:v>-265.05468517270992</c:v>
                </c:pt>
                <c:pt idx="15">
                  <c:v>-182.95611616665974</c:v>
                </c:pt>
                <c:pt idx="16">
                  <c:v>-215.35088808857938</c:v>
                </c:pt>
                <c:pt idx="17">
                  <c:v>-178.61262887817998</c:v>
                </c:pt>
              </c:numCache>
            </c:numRef>
          </c:val>
          <c:smooth val="0"/>
          <c:extLst>
            <c:ext xmlns:c16="http://schemas.microsoft.com/office/drawing/2014/chart" uri="{C3380CC4-5D6E-409C-BE32-E72D297353CC}">
              <c16:uniqueId val="{00000008-5D88-4749-8609-FD0638EB3EBA}"/>
            </c:ext>
          </c:extLst>
        </c:ser>
        <c:ser>
          <c:idx val="9"/>
          <c:order val="9"/>
          <c:tx>
            <c:strRef>
              <c:f>'G1-SR-příjmy-příspěvky'!$A$43</c:f>
              <c:strCache>
                <c:ptCount val="1"/>
                <c:pt idx="0">
                  <c:v>Saldo SR očištěné o vliv EU a FM** (pr. osa)</c:v>
                </c:pt>
              </c:strCache>
            </c:strRef>
          </c:tx>
          <c:spPr>
            <a:ln w="19050">
              <a:solidFill>
                <a:schemeClr val="bg2">
                  <a:lumMod val="50000"/>
                </a:schemeClr>
              </a:solidFill>
              <a:prstDash val="sysDash"/>
            </a:ln>
          </c:spPr>
          <c:marker>
            <c:symbol val="none"/>
          </c:marker>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'G1-SR-příjmy-příspěvky'!$D$43:$U$43</c:f>
              <c:numCache>
                <c:formatCode>General</c:formatCode>
                <c:ptCount val="18"/>
                <c:pt idx="6" formatCode="#\ ##0.0">
                  <c:v>-69.3</c:v>
                </c:pt>
                <c:pt idx="7" formatCode="#\ ##0.0">
                  <c:v>-42.6</c:v>
                </c:pt>
                <c:pt idx="8" formatCode="#\ ##0.0">
                  <c:v>-47.7</c:v>
                </c:pt>
                <c:pt idx="9" formatCode="#\ ##0.0">
                  <c:v>-30.8</c:v>
                </c:pt>
                <c:pt idx="10" formatCode="#\ ##0.0">
                  <c:v>-13.2</c:v>
                </c:pt>
                <c:pt idx="11" formatCode="#\ ##0.0">
                  <c:v>-28.4</c:v>
                </c:pt>
                <c:pt idx="12" formatCode="#\ ##0.0">
                  <c:v>-22.810324545670142</c:v>
                </c:pt>
                <c:pt idx="13" formatCode="#\ ##0.0">
                  <c:v>-195.76510804611019</c:v>
                </c:pt>
                <c:pt idx="14" formatCode="#\ ##0.0">
                  <c:v>-269.57233075196996</c:v>
                </c:pt>
                <c:pt idx="15" formatCode="#\ ##0.0">
                  <c:v>-182.84126075267977</c:v>
                </c:pt>
                <c:pt idx="16" formatCode="#\ ##0.0">
                  <c:v>-250.87933408266929</c:v>
                </c:pt>
                <c:pt idx="17" formatCode="#\ ##0.0">
                  <c:v>-190.20212803307982</c:v>
                </c:pt>
              </c:numCache>
            </c:numRef>
          </c:val>
          <c:smooth val="0"/>
          <c:extLst>
            <c:ext xmlns:c16="http://schemas.microsoft.com/office/drawing/2014/chart" uri="{C3380CC4-5D6E-409C-BE32-E72D297353CC}">
              <c16:uniqueId val="{00000009-5D88-4749-8609-FD0638EB3EBA}"/>
            </c:ext>
          </c:extLst>
        </c:ser>
        <c:dLbls>
          <c:showLegendKey val="0"/>
          <c:showVal val="0"/>
          <c:showCatName val="0"/>
          <c:showSerName val="0"/>
          <c:showPercent val="0"/>
          <c:showBubbleSize val="0"/>
        </c:dLbls>
        <c:marker val="1"/>
        <c:smooth val="0"/>
        <c:axId val="539204576"/>
        <c:axId val="556140592"/>
      </c:lineChart>
      <c:catAx>
        <c:axId val="194467712"/>
        <c:scaling>
          <c:orientation val="minMax"/>
        </c:scaling>
        <c:delete val="0"/>
        <c:axPos val="b"/>
        <c:numFmt formatCode="General" sourceLinked="1"/>
        <c:majorTickMark val="out"/>
        <c:minorTickMark val="none"/>
        <c:tickLblPos val="low"/>
        <c:spPr>
          <a:ln w="6350">
            <a:solidFill>
              <a:schemeClr val="tx1"/>
            </a:solidFill>
          </a:ln>
        </c:spPr>
        <c:txPr>
          <a:bodyPr rot="-2220000"/>
          <a:lstStyle/>
          <a:p>
            <a:pPr>
              <a:defRPr sz="800" b="0" i="0"/>
            </a:pPr>
            <a:endParaRPr lang="cs-CZ"/>
          </a:p>
        </c:txPr>
        <c:crossAx val="194473984"/>
        <c:crosses val="autoZero"/>
        <c:auto val="1"/>
        <c:lblAlgn val="ctr"/>
        <c:lblOffset val="0"/>
        <c:noMultiLvlLbl val="0"/>
      </c:catAx>
      <c:valAx>
        <c:axId val="194473984"/>
        <c:scaling>
          <c:orientation val="minMax"/>
          <c:max val="24"/>
          <c:min val="-24"/>
        </c:scaling>
        <c:delete val="0"/>
        <c:axPos val="l"/>
        <c:majorGridlines>
          <c:spPr>
            <a:ln w="6350">
              <a:solidFill>
                <a:schemeClr val="bg1">
                  <a:lumMod val="75000"/>
                </a:schemeClr>
              </a:solidFill>
            </a:ln>
          </c:spPr>
        </c:majorGridlines>
        <c:title>
          <c:tx>
            <c:rich>
              <a:bodyPr/>
              <a:lstStyle/>
              <a:p>
                <a:pPr>
                  <a:defRPr b="0"/>
                </a:pPr>
                <a:r>
                  <a:rPr lang="cs-CZ" b="0"/>
                  <a:t>Růst příjmů z pojistného, příspěvek k růstu daň. příjmů</a:t>
                </a:r>
              </a:p>
            </c:rich>
          </c:tx>
          <c:layout/>
          <c:overlay val="0"/>
        </c:title>
        <c:numFmt formatCode="0" sourceLinked="0"/>
        <c:majorTickMark val="out"/>
        <c:minorTickMark val="none"/>
        <c:tickLblPos val="nextTo"/>
        <c:spPr>
          <a:ln w="6350">
            <a:solidFill>
              <a:schemeClr val="tx1"/>
            </a:solidFill>
          </a:ln>
        </c:spPr>
        <c:txPr>
          <a:bodyPr/>
          <a:lstStyle/>
          <a:p>
            <a:pPr>
              <a:defRPr sz="800" b="0" i="0"/>
            </a:pPr>
            <a:endParaRPr lang="cs-CZ"/>
          </a:p>
        </c:txPr>
        <c:crossAx val="194467712"/>
        <c:crosses val="autoZero"/>
        <c:crossBetween val="between"/>
        <c:majorUnit val="4"/>
      </c:valAx>
      <c:valAx>
        <c:axId val="556140592"/>
        <c:scaling>
          <c:orientation val="minMax"/>
          <c:max val="300"/>
          <c:min val="-300"/>
        </c:scaling>
        <c:delete val="0"/>
        <c:axPos val="r"/>
        <c:title>
          <c:tx>
            <c:rich>
              <a:bodyPr/>
              <a:lstStyle/>
              <a:p>
                <a:pPr>
                  <a:defRPr b="0"/>
                </a:pPr>
                <a:r>
                  <a:rPr lang="cs-CZ" b="0"/>
                  <a:t>Saldo státního rozpočtu</a:t>
                </a:r>
              </a:p>
            </c:rich>
          </c:tx>
          <c:layout>
            <c:manualLayout>
              <c:xMode val="edge"/>
              <c:yMode val="edge"/>
              <c:x val="0.97036646544776606"/>
              <c:y val="0.20963215506367217"/>
            </c:manualLayout>
          </c:layout>
          <c:overlay val="0"/>
        </c:title>
        <c:numFmt formatCode="#,##0" sourceLinked="0"/>
        <c:majorTickMark val="out"/>
        <c:minorTickMark val="none"/>
        <c:tickLblPos val="nextTo"/>
        <c:txPr>
          <a:bodyPr/>
          <a:lstStyle/>
          <a:p>
            <a:pPr>
              <a:defRPr sz="800" b="0" i="0"/>
            </a:pPr>
            <a:endParaRPr lang="cs-CZ"/>
          </a:p>
        </c:txPr>
        <c:crossAx val="539204576"/>
        <c:crosses val="max"/>
        <c:crossBetween val="between"/>
        <c:majorUnit val="50"/>
      </c:valAx>
      <c:catAx>
        <c:axId val="539204576"/>
        <c:scaling>
          <c:orientation val="minMax"/>
        </c:scaling>
        <c:delete val="1"/>
        <c:axPos val="b"/>
        <c:numFmt formatCode="General" sourceLinked="1"/>
        <c:majorTickMark val="out"/>
        <c:minorTickMark val="none"/>
        <c:tickLblPos val="nextTo"/>
        <c:crossAx val="556140592"/>
        <c:crosses val="autoZero"/>
        <c:auto val="1"/>
        <c:lblAlgn val="ctr"/>
        <c:lblOffset val="100"/>
        <c:noMultiLvlLbl val="0"/>
      </c:catAx>
      <c:spPr>
        <a:ln w="6350">
          <a:solidFill>
            <a:schemeClr val="tx1"/>
          </a:solidFill>
        </a:ln>
      </c:spPr>
    </c:plotArea>
    <c:legend>
      <c:legendPos val="b"/>
      <c:layout>
        <c:manualLayout>
          <c:xMode val="edge"/>
          <c:yMode val="edge"/>
          <c:x val="1.3404713427069706E-2"/>
          <c:y val="0.84262968908968383"/>
          <c:w val="0.97057855178488128"/>
          <c:h val="0.15368252151393277"/>
        </c:manualLayout>
      </c:layout>
      <c:overlay val="0"/>
      <c:spPr>
        <a:ln w="6350">
          <a:solidFill>
            <a:schemeClr val="tx1"/>
          </a:solidFill>
        </a:ln>
      </c:spPr>
      <c:txPr>
        <a:bodyPr/>
        <a:lstStyle/>
        <a:p>
          <a:pPr>
            <a:defRPr sz="750" b="0" i="0"/>
          </a:pPr>
          <a:endParaRPr lang="cs-CZ"/>
        </a:p>
      </c:txPr>
    </c:legend>
    <c:plotVisOnly val="1"/>
    <c:dispBlanksAs val="gap"/>
    <c:showDLblsOverMax val="0"/>
  </c:chart>
  <c:spPr>
    <a:ln>
      <a:noFill/>
    </a:ln>
  </c:spPr>
  <c:txPr>
    <a:bodyPr/>
    <a:lstStyle/>
    <a:p>
      <a:pPr>
        <a:defRPr sz="700" b="1" i="1">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576336352808819E-2"/>
          <c:y val="1.7698902479006788E-2"/>
          <c:w val="0.8350684878939636"/>
          <c:h val="0.71002184388104528"/>
        </c:manualLayout>
      </c:layout>
      <c:barChart>
        <c:barDir val="col"/>
        <c:grouping val="clustered"/>
        <c:varyColors val="0"/>
        <c:ser>
          <c:idx val="0"/>
          <c:order val="0"/>
          <c:tx>
            <c:strRef>
              <c:f>'G2-St.rozpočet-výdaje-2024'!$B$31</c:f>
              <c:strCache>
                <c:ptCount val="1"/>
                <c:pt idx="0">
                  <c:v>Běžné výdaje celkem (pravá osa)</c:v>
                </c:pt>
              </c:strCache>
            </c:strRef>
          </c:tx>
          <c:spPr>
            <a:solidFill>
              <a:srgbClr val="E8E8E8"/>
            </a:solidFill>
            <a:ln w="6350">
              <a:solidFill>
                <a:schemeClr val="bg1">
                  <a:lumMod val="65000"/>
                </a:schemeClr>
              </a:solidFill>
            </a:ln>
          </c:spPr>
          <c:invertIfNegative val="0"/>
          <c:cat>
            <c:numRef>
              <c:f>'G2-St.rozpočet-výdaje-2024'!$A$34:$A$51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'G2-St.rozpočet-výdaje-2024'!$B$34:$B$51</c:f>
              <c:numCache>
                <c:formatCode>0.0</c:formatCode>
                <c:ptCount val="18"/>
                <c:pt idx="0">
                  <c:v>455.274</c:v>
                </c:pt>
                <c:pt idx="1">
                  <c:v>488.71899999999999</c:v>
                </c:pt>
                <c:pt idx="2">
                  <c:v>523.79999999999995</c:v>
                </c:pt>
                <c:pt idx="3">
                  <c:v>527.73400000000004</c:v>
                </c:pt>
                <c:pt idx="4">
                  <c:v>523.22</c:v>
                </c:pt>
                <c:pt idx="5">
                  <c:v>534.42999999999995</c:v>
                </c:pt>
                <c:pt idx="6">
                  <c:v>544.65</c:v>
                </c:pt>
                <c:pt idx="7">
                  <c:v>552.71100000000001</c:v>
                </c:pt>
                <c:pt idx="8">
                  <c:v>564.13</c:v>
                </c:pt>
                <c:pt idx="9">
                  <c:v>575.57000000000005</c:v>
                </c:pt>
                <c:pt idx="10">
                  <c:v>609.53</c:v>
                </c:pt>
                <c:pt idx="11">
                  <c:v>660.76</c:v>
                </c:pt>
                <c:pt idx="12">
                  <c:v>718.74153402592015</c:v>
                </c:pt>
                <c:pt idx="13">
                  <c:v>829.93717826878003</c:v>
                </c:pt>
                <c:pt idx="14">
                  <c:v>918.12541435127969</c:v>
                </c:pt>
                <c:pt idx="15">
                  <c:v>901.965444488</c:v>
                </c:pt>
                <c:pt idx="16">
                  <c:v>1053.4689293659701</c:v>
                </c:pt>
                <c:pt idx="17">
                  <c:v>1058.3205585786502</c:v>
                </c:pt>
              </c:numCache>
            </c:numRef>
          </c:val>
          <c:extLst>
            <c:ext xmlns:c16="http://schemas.microsoft.com/office/drawing/2014/chart" uri="{C3380CC4-5D6E-409C-BE32-E72D297353CC}">
              <c16:uniqueId val="{00000000-7286-455F-B09B-56F9D5663295}"/>
            </c:ext>
          </c:extLst>
        </c:ser>
        <c:ser>
          <c:idx val="1"/>
          <c:order val="1"/>
          <c:tx>
            <c:strRef>
              <c:f>'G2-St.rozpočet-výdaje-2024'!$C$31</c:f>
              <c:strCache>
                <c:ptCount val="1"/>
                <c:pt idx="0">
                  <c:v>z toho výdaje na důchody (pr. osa)</c:v>
                </c:pt>
              </c:strCache>
            </c:strRef>
          </c:tx>
          <c:spPr>
            <a:solidFill>
              <a:schemeClr val="bg1">
                <a:lumMod val="75000"/>
              </a:schemeClr>
            </a:solidFill>
            <a:ln w="6350">
              <a:solidFill>
                <a:schemeClr val="bg1">
                  <a:lumMod val="75000"/>
                </a:schemeClr>
              </a:solidFill>
            </a:ln>
          </c:spPr>
          <c:invertIfNegative val="0"/>
          <c:cat>
            <c:numRef>
              <c:f>'G2-St.rozpočet-výdaje-2024'!$A$34:$A$51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'G2-St.rozpočet-výdaje-2024'!$C$34:$C$51</c:f>
              <c:numCache>
                <c:formatCode>0.0</c:formatCode>
                <c:ptCount val="18"/>
                <c:pt idx="0">
                  <c:v>139.249</c:v>
                </c:pt>
                <c:pt idx="1">
                  <c:v>147.84299999999999</c:v>
                </c:pt>
                <c:pt idx="2">
                  <c:v>165.148</c:v>
                </c:pt>
                <c:pt idx="3">
                  <c:v>169.67400000000001</c:v>
                </c:pt>
                <c:pt idx="4">
                  <c:v>181.59700000000001</c:v>
                </c:pt>
                <c:pt idx="5">
                  <c:v>187.47399999999999</c:v>
                </c:pt>
                <c:pt idx="6">
                  <c:v>184.07900000000001</c:v>
                </c:pt>
                <c:pt idx="7">
                  <c:v>184.58799999999999</c:v>
                </c:pt>
                <c:pt idx="8">
                  <c:v>189.53800000000001</c:v>
                </c:pt>
                <c:pt idx="9">
                  <c:v>197.32599999999999</c:v>
                </c:pt>
                <c:pt idx="10">
                  <c:v>210.6</c:v>
                </c:pt>
                <c:pt idx="11">
                  <c:v>218.4</c:v>
                </c:pt>
                <c:pt idx="12">
                  <c:v>234.8</c:v>
                </c:pt>
                <c:pt idx="13">
                  <c:v>253.4</c:v>
                </c:pt>
                <c:pt idx="14">
                  <c:v>267.63183364664002</c:v>
                </c:pt>
                <c:pt idx="15">
                  <c:v>285.69003688876995</c:v>
                </c:pt>
                <c:pt idx="16">
                  <c:v>342.02983024820003</c:v>
                </c:pt>
                <c:pt idx="17">
                  <c:v>356.69828906272005</c:v>
                </c:pt>
              </c:numCache>
            </c:numRef>
          </c:val>
          <c:extLst>
            <c:ext xmlns:c16="http://schemas.microsoft.com/office/drawing/2014/chart" uri="{C3380CC4-5D6E-409C-BE32-E72D297353CC}">
              <c16:uniqueId val="{00000001-7286-455F-B09B-56F9D5663295}"/>
            </c:ext>
          </c:extLst>
        </c:ser>
        <c:dLbls>
          <c:showLegendKey val="0"/>
          <c:showVal val="0"/>
          <c:showCatName val="0"/>
          <c:showSerName val="0"/>
          <c:showPercent val="0"/>
          <c:showBubbleSize val="0"/>
        </c:dLbls>
        <c:gapWidth val="85"/>
        <c:overlap val="100"/>
        <c:axId val="72836608"/>
        <c:axId val="72835072"/>
      </c:barChart>
      <c:lineChart>
        <c:grouping val="standard"/>
        <c:varyColors val="0"/>
        <c:ser>
          <c:idx val="6"/>
          <c:order val="2"/>
          <c:tx>
            <c:strRef>
              <c:f>'G2-St.rozpočet-výdaje-2024'!$D$31</c:f>
              <c:strCache>
                <c:ptCount val="1"/>
                <c:pt idx="0">
                  <c:v>Platy a související výdaje*</c:v>
                </c:pt>
              </c:strCache>
            </c:strRef>
          </c:tx>
          <c:spPr>
            <a:ln w="15875">
              <a:solidFill>
                <a:srgbClr val="D5D000"/>
              </a:solidFill>
            </a:ln>
          </c:spPr>
          <c:marker>
            <c:symbol val="none"/>
          </c:marker>
          <c:cat>
            <c:numRef>
              <c:f>'G2-St.rozpočet-výdaje-2024'!$A$34:$A$51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'G2-St.rozpočet-výdaje-2024'!$D$34:$D$51</c:f>
              <c:numCache>
                <c:formatCode>0.0</c:formatCode>
                <c:ptCount val="18"/>
                <c:pt idx="0">
                  <c:v>37.92</c:v>
                </c:pt>
                <c:pt idx="1">
                  <c:v>37.729999999999997</c:v>
                </c:pt>
                <c:pt idx="2">
                  <c:v>38.979999999999997</c:v>
                </c:pt>
                <c:pt idx="3">
                  <c:v>39.36</c:v>
                </c:pt>
                <c:pt idx="4">
                  <c:v>35.700000000000003</c:v>
                </c:pt>
                <c:pt idx="5">
                  <c:v>36.299999999999997</c:v>
                </c:pt>
                <c:pt idx="6">
                  <c:v>36.880000000000003</c:v>
                </c:pt>
                <c:pt idx="7">
                  <c:v>38.090000000000003</c:v>
                </c:pt>
                <c:pt idx="8">
                  <c:v>41.88</c:v>
                </c:pt>
                <c:pt idx="9">
                  <c:v>43.22</c:v>
                </c:pt>
                <c:pt idx="10">
                  <c:v>46.52</c:v>
                </c:pt>
                <c:pt idx="11">
                  <c:v>53.13</c:v>
                </c:pt>
                <c:pt idx="12">
                  <c:v>57.572759809109989</c:v>
                </c:pt>
                <c:pt idx="13">
                  <c:v>60.066088983770015</c:v>
                </c:pt>
                <c:pt idx="14">
                  <c:v>60.729182157669975</c:v>
                </c:pt>
                <c:pt idx="15">
                  <c:v>60.899295771150001</c:v>
                </c:pt>
                <c:pt idx="16">
                  <c:v>67.133004954479986</c:v>
                </c:pt>
                <c:pt idx="17">
                  <c:v>67.639216400069998</c:v>
                </c:pt>
              </c:numCache>
            </c:numRef>
          </c:val>
          <c:smooth val="0"/>
          <c:extLst>
            <c:ext xmlns:c16="http://schemas.microsoft.com/office/drawing/2014/chart" uri="{C3380CC4-5D6E-409C-BE32-E72D297353CC}">
              <c16:uniqueId val="{00000002-7286-455F-B09B-56F9D5663295}"/>
            </c:ext>
          </c:extLst>
        </c:ser>
        <c:ser>
          <c:idx val="7"/>
          <c:order val="3"/>
          <c:tx>
            <c:strRef>
              <c:f>'G2-St.rozpočet-výdaje-2024'!$E$31</c:f>
              <c:strCache>
                <c:ptCount val="1"/>
                <c:pt idx="0">
                  <c:v>Podpora v nezaměstnanosti</c:v>
                </c:pt>
              </c:strCache>
            </c:strRef>
          </c:tx>
          <c:spPr>
            <a:ln w="15875">
              <a:solidFill>
                <a:srgbClr val="996633"/>
              </a:solidFill>
            </a:ln>
          </c:spPr>
          <c:marker>
            <c:symbol val="none"/>
          </c:marker>
          <c:cat>
            <c:numRef>
              <c:f>'G2-St.rozpočet-výdaje-2024'!$A$34:$A$51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'G2-St.rozpočet-výdaje-2024'!$E$34:$E$51</c:f>
              <c:numCache>
                <c:formatCode>0.0</c:formatCode>
                <c:ptCount val="18"/>
                <c:pt idx="0">
                  <c:v>3.78</c:v>
                </c:pt>
                <c:pt idx="1">
                  <c:v>3.56</c:v>
                </c:pt>
                <c:pt idx="2">
                  <c:v>7.3049999999999997</c:v>
                </c:pt>
                <c:pt idx="3">
                  <c:v>7.77</c:v>
                </c:pt>
                <c:pt idx="4">
                  <c:v>6.2279999999999998</c:v>
                </c:pt>
                <c:pt idx="5">
                  <c:v>4.8410000000000002</c:v>
                </c:pt>
                <c:pt idx="6">
                  <c:v>5.3579999999999997</c:v>
                </c:pt>
                <c:pt idx="7">
                  <c:v>5.2690000000000001</c:v>
                </c:pt>
                <c:pt idx="8">
                  <c:v>4.6150000000000002</c:v>
                </c:pt>
                <c:pt idx="9">
                  <c:v>4.4829999999999997</c:v>
                </c:pt>
                <c:pt idx="10">
                  <c:v>4.3310000000000004</c:v>
                </c:pt>
                <c:pt idx="11">
                  <c:v>3.98</c:v>
                </c:pt>
                <c:pt idx="12">
                  <c:v>4.2361097359899995</c:v>
                </c:pt>
                <c:pt idx="13">
                  <c:v>5.1359402661699995</c:v>
                </c:pt>
                <c:pt idx="14">
                  <c:v>5.4746733001600001</c:v>
                </c:pt>
                <c:pt idx="15">
                  <c:v>5.0591815394900008</c:v>
                </c:pt>
                <c:pt idx="16">
                  <c:v>5.3895512285600002</c:v>
                </c:pt>
                <c:pt idx="17">
                  <c:v>6.52299844755</c:v>
                </c:pt>
              </c:numCache>
            </c:numRef>
          </c:val>
          <c:smooth val="0"/>
          <c:extLst>
            <c:ext xmlns:c16="http://schemas.microsoft.com/office/drawing/2014/chart" uri="{C3380CC4-5D6E-409C-BE32-E72D297353CC}">
              <c16:uniqueId val="{00000003-7286-455F-B09B-56F9D5663295}"/>
            </c:ext>
          </c:extLst>
        </c:ser>
        <c:ser>
          <c:idx val="2"/>
          <c:order val="4"/>
          <c:tx>
            <c:strRef>
              <c:f>'G2-St.rozpočet-výdaje-2024'!$F$31</c:f>
              <c:strCache>
                <c:ptCount val="1"/>
                <c:pt idx="0">
                  <c:v>Státní sociální podpora**</c:v>
                </c:pt>
              </c:strCache>
            </c:strRef>
          </c:tx>
          <c:spPr>
            <a:ln w="15875">
              <a:solidFill>
                <a:srgbClr val="C00000"/>
              </a:solidFill>
            </a:ln>
          </c:spPr>
          <c:marker>
            <c:symbol val="none"/>
          </c:marker>
          <c:cat>
            <c:numRef>
              <c:f>'G2-St.rozpočet-výdaje-2024'!$A$34:$A$51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'G2-St.rozpočet-výdaje-2024'!$F$34:$F$51</c:f>
              <c:numCache>
                <c:formatCode>0.0</c:formatCode>
                <c:ptCount val="18"/>
                <c:pt idx="0">
                  <c:v>23.83</c:v>
                </c:pt>
                <c:pt idx="1">
                  <c:v>21.52</c:v>
                </c:pt>
                <c:pt idx="2">
                  <c:v>20.594999999999999</c:v>
                </c:pt>
                <c:pt idx="3">
                  <c:v>20.64</c:v>
                </c:pt>
                <c:pt idx="4">
                  <c:v>18.405999999999999</c:v>
                </c:pt>
                <c:pt idx="5">
                  <c:v>17.881</c:v>
                </c:pt>
                <c:pt idx="6">
                  <c:v>18.681999999999999</c:v>
                </c:pt>
                <c:pt idx="7">
                  <c:v>18.91</c:v>
                </c:pt>
                <c:pt idx="8">
                  <c:v>18.873999999999999</c:v>
                </c:pt>
                <c:pt idx="9">
                  <c:v>18.963999999999999</c:v>
                </c:pt>
                <c:pt idx="10">
                  <c:v>18.742000000000001</c:v>
                </c:pt>
                <c:pt idx="11">
                  <c:v>19.53</c:v>
                </c:pt>
                <c:pt idx="12">
                  <c:v>19.01942501061</c:v>
                </c:pt>
                <c:pt idx="13">
                  <c:v>25.639216971080003</c:v>
                </c:pt>
                <c:pt idx="14">
                  <c:v>24.53789922679</c:v>
                </c:pt>
                <c:pt idx="15">
                  <c:v>24.165766431880002</c:v>
                </c:pt>
                <c:pt idx="16">
                  <c:v>29.478257635930003</c:v>
                </c:pt>
                <c:pt idx="17">
                  <c:v>30.01827351651</c:v>
                </c:pt>
              </c:numCache>
            </c:numRef>
          </c:val>
          <c:smooth val="0"/>
          <c:extLst>
            <c:ext xmlns:c16="http://schemas.microsoft.com/office/drawing/2014/chart" uri="{C3380CC4-5D6E-409C-BE32-E72D297353CC}">
              <c16:uniqueId val="{00000004-7286-455F-B09B-56F9D5663295}"/>
            </c:ext>
          </c:extLst>
        </c:ser>
        <c:ser>
          <c:idx val="3"/>
          <c:order val="5"/>
          <c:tx>
            <c:strRef>
              <c:f>'G2-St.rozpočet-výdaje-2024'!$G$31</c:f>
              <c:strCache>
                <c:ptCount val="1"/>
                <c:pt idx="0">
                  <c:v>Dávky nemocenského pojištění</c:v>
                </c:pt>
              </c:strCache>
            </c:strRef>
          </c:tx>
          <c:spPr>
            <a:ln w="15875">
              <a:solidFill>
                <a:srgbClr val="00B0F0"/>
              </a:solidFill>
            </a:ln>
          </c:spPr>
          <c:marker>
            <c:symbol val="none"/>
          </c:marker>
          <c:cat>
            <c:numRef>
              <c:f>'G2-St.rozpočet-výdaje-2024'!$A$34:$A$51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'G2-St.rozpočet-výdaje-2024'!$G$34:$G$51</c:f>
              <c:numCache>
                <c:formatCode>0.00</c:formatCode>
                <c:ptCount val="18"/>
                <c:pt idx="0">
                  <c:v>18.398</c:v>
                </c:pt>
                <c:pt idx="1">
                  <c:v>16.734000000000002</c:v>
                </c:pt>
                <c:pt idx="2">
                  <c:v>14.089</c:v>
                </c:pt>
                <c:pt idx="3">
                  <c:v>11.56</c:v>
                </c:pt>
                <c:pt idx="4">
                  <c:v>11.773</c:v>
                </c:pt>
                <c:pt idx="5">
                  <c:v>10.244</c:v>
                </c:pt>
                <c:pt idx="6">
                  <c:v>10.609</c:v>
                </c:pt>
                <c:pt idx="7">
                  <c:v>11.201000000000001</c:v>
                </c:pt>
                <c:pt idx="8">
                  <c:v>12.429</c:v>
                </c:pt>
                <c:pt idx="9">
                  <c:v>13.566000000000001</c:v>
                </c:pt>
                <c:pt idx="10">
                  <c:v>14.757999999999999</c:v>
                </c:pt>
                <c:pt idx="11">
                  <c:v>17.3</c:v>
                </c:pt>
                <c:pt idx="12">
                  <c:v>19.93</c:v>
                </c:pt>
                <c:pt idx="13">
                  <c:v>30.15</c:v>
                </c:pt>
                <c:pt idx="14">
                  <c:v>28.65</c:v>
                </c:pt>
                <c:pt idx="15">
                  <c:v>25.56</c:v>
                </c:pt>
                <c:pt idx="16">
                  <c:v>24.3</c:v>
                </c:pt>
                <c:pt idx="17">
                  <c:v>24.95</c:v>
                </c:pt>
              </c:numCache>
            </c:numRef>
          </c:val>
          <c:smooth val="0"/>
          <c:extLst>
            <c:ext xmlns:c16="http://schemas.microsoft.com/office/drawing/2014/chart" uri="{C3380CC4-5D6E-409C-BE32-E72D297353CC}">
              <c16:uniqueId val="{00000005-7286-455F-B09B-56F9D5663295}"/>
            </c:ext>
          </c:extLst>
        </c:ser>
        <c:ser>
          <c:idx val="4"/>
          <c:order val="6"/>
          <c:tx>
            <c:strRef>
              <c:f>'G2-St.rozpočet-výdaje-2024'!$H$31</c:f>
              <c:strCache>
                <c:ptCount val="1"/>
                <c:pt idx="0">
                  <c:v>Dávky sociální péče***</c:v>
                </c:pt>
              </c:strCache>
            </c:strRef>
          </c:tx>
          <c:spPr>
            <a:ln w="15875">
              <a:solidFill>
                <a:srgbClr val="00B050"/>
              </a:solidFill>
              <a:prstDash val="solid"/>
            </a:ln>
          </c:spPr>
          <c:marker>
            <c:symbol val="none"/>
          </c:marker>
          <c:cat>
            <c:numRef>
              <c:f>'G2-St.rozpočet-výdaje-2024'!$A$34:$A$51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'G2-St.rozpočet-výdaje-2024'!$H$34:$H$51</c:f>
              <c:numCache>
                <c:formatCode>0.00</c:formatCode>
                <c:ptCount val="18"/>
                <c:pt idx="0">
                  <c:v>11.690999999999999</c:v>
                </c:pt>
                <c:pt idx="1">
                  <c:v>13.247</c:v>
                </c:pt>
                <c:pt idx="2">
                  <c:v>13.003</c:v>
                </c:pt>
                <c:pt idx="3">
                  <c:v>13.486000000000001</c:v>
                </c:pt>
                <c:pt idx="4">
                  <c:v>12.911000000000001</c:v>
                </c:pt>
                <c:pt idx="5">
                  <c:v>13.282</c:v>
                </c:pt>
                <c:pt idx="6">
                  <c:v>15.668000000000001</c:v>
                </c:pt>
                <c:pt idx="7">
                  <c:v>16.734999999999999</c:v>
                </c:pt>
                <c:pt idx="8">
                  <c:v>16.93</c:v>
                </c:pt>
                <c:pt idx="9">
                  <c:v>16.78</c:v>
                </c:pt>
                <c:pt idx="10">
                  <c:v>17.489999999999998</c:v>
                </c:pt>
                <c:pt idx="11">
                  <c:v>17.100000000000001</c:v>
                </c:pt>
                <c:pt idx="12">
                  <c:v>17.32</c:v>
                </c:pt>
                <c:pt idx="13">
                  <c:v>20.09</c:v>
                </c:pt>
                <c:pt idx="14">
                  <c:v>20.37</c:v>
                </c:pt>
                <c:pt idx="15">
                  <c:v>26.55</c:v>
                </c:pt>
                <c:pt idx="16">
                  <c:v>27.539400000000001</c:v>
                </c:pt>
                <c:pt idx="17">
                  <c:v>27.267400000000002</c:v>
                </c:pt>
              </c:numCache>
            </c:numRef>
          </c:val>
          <c:smooth val="0"/>
          <c:extLst>
            <c:ext xmlns:c16="http://schemas.microsoft.com/office/drawing/2014/chart" uri="{C3380CC4-5D6E-409C-BE32-E72D297353CC}">
              <c16:uniqueId val="{00000006-7286-455F-B09B-56F9D5663295}"/>
            </c:ext>
          </c:extLst>
        </c:ser>
        <c:ser>
          <c:idx val="5"/>
          <c:order val="7"/>
          <c:tx>
            <c:strRef>
              <c:f>'G2-St.rozpočet-výdaje-2024'!$I$31</c:f>
              <c:strCache>
                <c:ptCount val="1"/>
                <c:pt idx="0">
                  <c:v>Neinv. nákupy a souvis. výdaje****</c:v>
                </c:pt>
              </c:strCache>
            </c:strRef>
          </c:tx>
          <c:spPr>
            <a:ln w="15875">
              <a:solidFill>
                <a:schemeClr val="accent4">
                  <a:lumMod val="60000"/>
                  <a:lumOff val="40000"/>
                </a:schemeClr>
              </a:solidFill>
              <a:prstDash val="solid"/>
            </a:ln>
          </c:spPr>
          <c:marker>
            <c:symbol val="none"/>
          </c:marker>
          <c:cat>
            <c:numRef>
              <c:f>'G2-St.rozpočet-výdaje-2024'!$A$34:$A$51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'G2-St.rozpočet-výdaje-2024'!$I$34:$I$51</c:f>
              <c:numCache>
                <c:formatCode>0.0</c:formatCode>
                <c:ptCount val="18"/>
                <c:pt idx="0">
                  <c:v>33.647000000000006</c:v>
                </c:pt>
                <c:pt idx="1">
                  <c:v>31.934000000000005</c:v>
                </c:pt>
                <c:pt idx="2">
                  <c:v>32.001999999999995</c:v>
                </c:pt>
                <c:pt idx="3">
                  <c:v>31.84</c:v>
                </c:pt>
                <c:pt idx="4">
                  <c:v>29.076999999999998</c:v>
                </c:pt>
                <c:pt idx="5">
                  <c:v>26.950000000000003</c:v>
                </c:pt>
                <c:pt idx="6">
                  <c:v>23.5</c:v>
                </c:pt>
                <c:pt idx="7">
                  <c:v>22.14</c:v>
                </c:pt>
                <c:pt idx="8">
                  <c:v>25.509999999999998</c:v>
                </c:pt>
                <c:pt idx="9">
                  <c:v>25.499999999999996</c:v>
                </c:pt>
                <c:pt idx="10">
                  <c:v>29.889999999999997</c:v>
                </c:pt>
                <c:pt idx="11">
                  <c:v>30.75</c:v>
                </c:pt>
                <c:pt idx="12">
                  <c:v>27.947201055630007</c:v>
                </c:pt>
                <c:pt idx="13">
                  <c:v>35.631314475349981</c:v>
                </c:pt>
                <c:pt idx="14">
                  <c:v>32.201508781230004</c:v>
                </c:pt>
                <c:pt idx="15">
                  <c:v>39.474180355079994</c:v>
                </c:pt>
                <c:pt idx="16">
                  <c:v>33.87360443313996</c:v>
                </c:pt>
                <c:pt idx="17">
                  <c:v>39.79393643297</c:v>
                </c:pt>
              </c:numCache>
            </c:numRef>
          </c:val>
          <c:smooth val="0"/>
          <c:extLst>
            <c:ext xmlns:c16="http://schemas.microsoft.com/office/drawing/2014/chart" uri="{C3380CC4-5D6E-409C-BE32-E72D297353CC}">
              <c16:uniqueId val="{00000007-7286-455F-B09B-56F9D5663295}"/>
            </c:ext>
          </c:extLst>
        </c:ser>
        <c:ser>
          <c:idx val="9"/>
          <c:order val="8"/>
          <c:tx>
            <c:strRef>
              <c:f>'G2-St.rozpočet-výdaje-2024'!$J$31</c:f>
              <c:strCache>
                <c:ptCount val="1"/>
                <c:pt idx="0">
                  <c:v>Státní dluh (čisté výdaje)*****</c:v>
                </c:pt>
              </c:strCache>
            </c:strRef>
          </c:tx>
          <c:spPr>
            <a:ln w="6350">
              <a:solidFill>
                <a:schemeClr val="accent6">
                  <a:lumMod val="75000"/>
                </a:schemeClr>
              </a:solidFill>
              <a:prstDash val="sysDot"/>
            </a:ln>
          </c:spPr>
          <c:marker>
            <c:symbol val="diamond"/>
            <c:size val="5"/>
            <c:spPr>
              <a:solidFill>
                <a:schemeClr val="accent6">
                  <a:lumMod val="75000"/>
                </a:schemeClr>
              </a:solidFill>
              <a:ln>
                <a:noFill/>
              </a:ln>
            </c:spPr>
          </c:marker>
          <c:cat>
            <c:numRef>
              <c:f>'G2-St.rozpočet-výdaje-2024'!$A$34:$A$51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'G2-St.rozpočet-výdaje-2024'!$J$34:$J$51</c:f>
              <c:numCache>
                <c:formatCode>0.0</c:formatCode>
                <c:ptCount val="18"/>
                <c:pt idx="0">
                  <c:v>17.05</c:v>
                </c:pt>
                <c:pt idx="1">
                  <c:v>16.5</c:v>
                </c:pt>
                <c:pt idx="2">
                  <c:v>25.770000000000003</c:v>
                </c:pt>
                <c:pt idx="3">
                  <c:v>21.27</c:v>
                </c:pt>
                <c:pt idx="4">
                  <c:v>25.81</c:v>
                </c:pt>
                <c:pt idx="5">
                  <c:v>26.419999999999998</c:v>
                </c:pt>
                <c:pt idx="6">
                  <c:v>30.400000000000002</c:v>
                </c:pt>
                <c:pt idx="7">
                  <c:v>26.86</c:v>
                </c:pt>
                <c:pt idx="8">
                  <c:v>23.55</c:v>
                </c:pt>
                <c:pt idx="9">
                  <c:v>23.76</c:v>
                </c:pt>
                <c:pt idx="10">
                  <c:v>18.739999999999998</c:v>
                </c:pt>
                <c:pt idx="11">
                  <c:v>20.11</c:v>
                </c:pt>
                <c:pt idx="12">
                  <c:v>16.91954772339</c:v>
                </c:pt>
                <c:pt idx="13">
                  <c:v>12.518656263610001</c:v>
                </c:pt>
                <c:pt idx="14">
                  <c:v>18.61619246826</c:v>
                </c:pt>
                <c:pt idx="15">
                  <c:v>23.0003230005</c:v>
                </c:pt>
                <c:pt idx="16">
                  <c:v>37.545198524829999</c:v>
                </c:pt>
                <c:pt idx="17">
                  <c:v>42.868734027680006</c:v>
                </c:pt>
              </c:numCache>
            </c:numRef>
          </c:val>
          <c:smooth val="0"/>
          <c:extLst>
            <c:ext xmlns:c16="http://schemas.microsoft.com/office/drawing/2014/chart" uri="{C3380CC4-5D6E-409C-BE32-E72D297353CC}">
              <c16:uniqueId val="{00000008-7286-455F-B09B-56F9D5663295}"/>
            </c:ext>
          </c:extLst>
        </c:ser>
        <c:ser>
          <c:idx val="8"/>
          <c:order val="9"/>
          <c:tx>
            <c:strRef>
              <c:f>'G2-St.rozpočet-výdaje-2024'!$K$31</c:f>
              <c:strCache>
                <c:ptCount val="1"/>
                <c:pt idx="0">
                  <c:v>Neinvestič. transfery podnikatelům</c:v>
                </c:pt>
              </c:strCache>
            </c:strRef>
          </c:tx>
          <c:spPr>
            <a:ln w="15875">
              <a:noFill/>
              <a:prstDash val="dash"/>
            </a:ln>
          </c:spPr>
          <c:marker>
            <c:symbol val="square"/>
            <c:size val="5"/>
            <c:spPr>
              <a:solidFill>
                <a:schemeClr val="bg1"/>
              </a:solidFill>
              <a:ln>
                <a:solidFill>
                  <a:schemeClr val="bg2">
                    <a:lumMod val="25000"/>
                  </a:schemeClr>
                </a:solidFill>
              </a:ln>
            </c:spPr>
          </c:marker>
          <c:cat>
            <c:numRef>
              <c:f>'G2-St.rozpočet-výdaje-2024'!$A$34:$A$51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'G2-St.rozpočet-výdaje-2024'!$K$34:$K$51</c:f>
              <c:numCache>
                <c:formatCode>0.0</c:formatCode>
                <c:ptCount val="18"/>
                <c:pt idx="0">
                  <c:v>11.638999999999999</c:v>
                </c:pt>
                <c:pt idx="1">
                  <c:v>13.86</c:v>
                </c:pt>
                <c:pt idx="2">
                  <c:v>13.8</c:v>
                </c:pt>
                <c:pt idx="3">
                  <c:v>15.068</c:v>
                </c:pt>
                <c:pt idx="4">
                  <c:v>15.095000000000001</c:v>
                </c:pt>
                <c:pt idx="5">
                  <c:v>18.314</c:v>
                </c:pt>
                <c:pt idx="6">
                  <c:v>16.995000000000001</c:v>
                </c:pt>
                <c:pt idx="7">
                  <c:v>19.023</c:v>
                </c:pt>
                <c:pt idx="8">
                  <c:v>18.837</c:v>
                </c:pt>
                <c:pt idx="9">
                  <c:v>18.062000000000001</c:v>
                </c:pt>
                <c:pt idx="10">
                  <c:v>23.908000000000001</c:v>
                </c:pt>
                <c:pt idx="11">
                  <c:v>28.649000000000001</c:v>
                </c:pt>
                <c:pt idx="12">
                  <c:v>28.899000000000001</c:v>
                </c:pt>
                <c:pt idx="13">
                  <c:v>52.881999999999998</c:v>
                </c:pt>
                <c:pt idx="14">
                  <c:v>85.23259722775002</c:v>
                </c:pt>
                <c:pt idx="15">
                  <c:v>34.100329251030004</c:v>
                </c:pt>
                <c:pt idx="16">
                  <c:v>77.813972074269998</c:v>
                </c:pt>
                <c:pt idx="17">
                  <c:v>40.571087040350001</c:v>
                </c:pt>
              </c:numCache>
            </c:numRef>
          </c:val>
          <c:smooth val="0"/>
          <c:extLst>
            <c:ext xmlns:c16="http://schemas.microsoft.com/office/drawing/2014/chart" uri="{C3380CC4-5D6E-409C-BE32-E72D297353CC}">
              <c16:uniqueId val="{00000009-7286-455F-B09B-56F9D5663295}"/>
            </c:ext>
          </c:extLst>
        </c:ser>
        <c:ser>
          <c:idx val="10"/>
          <c:order val="10"/>
          <c:tx>
            <c:strRef>
              <c:f>'G2-St.rozpočet-výdaje-2024'!$L$31</c:f>
              <c:strCache>
                <c:ptCount val="1"/>
                <c:pt idx="0">
                  <c:v>Kapitálové výdaje</c:v>
                </c:pt>
              </c:strCache>
            </c:strRef>
          </c:tx>
          <c:spPr>
            <a:ln w="15875">
              <a:solidFill>
                <a:schemeClr val="tx1">
                  <a:lumMod val="85000"/>
                  <a:lumOff val="15000"/>
                </a:schemeClr>
              </a:solidFill>
              <a:prstDash val="sysDash"/>
            </a:ln>
          </c:spPr>
          <c:marker>
            <c:symbol val="none"/>
          </c:marker>
          <c:cat>
            <c:numRef>
              <c:f>'G2-St.rozpočet-výdaje-2024'!$A$34:$A$51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'G2-St.rozpočet-výdaje-2024'!$L$34:$L$51</c:f>
              <c:numCache>
                <c:formatCode>0.0</c:formatCode>
                <c:ptCount val="18"/>
                <c:pt idx="0">
                  <c:v>26.771000000000001</c:v>
                </c:pt>
                <c:pt idx="1">
                  <c:v>53.505000000000003</c:v>
                </c:pt>
                <c:pt idx="2">
                  <c:v>51.149000000000001</c:v>
                </c:pt>
                <c:pt idx="3">
                  <c:v>55.872999999999998</c:v>
                </c:pt>
                <c:pt idx="4">
                  <c:v>47.277000000000001</c:v>
                </c:pt>
                <c:pt idx="5">
                  <c:v>41.93</c:v>
                </c:pt>
                <c:pt idx="6">
                  <c:v>36.779000000000003</c:v>
                </c:pt>
                <c:pt idx="7">
                  <c:v>34.893999999999998</c:v>
                </c:pt>
                <c:pt idx="8">
                  <c:v>54.02</c:v>
                </c:pt>
                <c:pt idx="9">
                  <c:v>39.090000000000003</c:v>
                </c:pt>
                <c:pt idx="10">
                  <c:v>20.309999999999999</c:v>
                </c:pt>
                <c:pt idx="11">
                  <c:v>33.25</c:v>
                </c:pt>
                <c:pt idx="12">
                  <c:v>45.820505926130004</c:v>
                </c:pt>
                <c:pt idx="13">
                  <c:v>64.976999301739994</c:v>
                </c:pt>
                <c:pt idx="14">
                  <c:v>59.7056835355</c:v>
                </c:pt>
                <c:pt idx="15">
                  <c:v>68.002101568619992</c:v>
                </c:pt>
                <c:pt idx="16">
                  <c:v>79.107734279740029</c:v>
                </c:pt>
                <c:pt idx="17">
                  <c:v>76.466423210390005</c:v>
                </c:pt>
              </c:numCache>
            </c:numRef>
          </c:val>
          <c:smooth val="0"/>
          <c:extLst>
            <c:ext xmlns:c16="http://schemas.microsoft.com/office/drawing/2014/chart" uri="{C3380CC4-5D6E-409C-BE32-E72D297353CC}">
              <c16:uniqueId val="{0000000A-7286-455F-B09B-56F9D5663295}"/>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0"/>
        <c:noMultiLvlLbl val="0"/>
      </c:catAx>
      <c:valAx>
        <c:axId val="72829184"/>
        <c:scaling>
          <c:orientation val="minMax"/>
          <c:max val="88"/>
          <c:min val="0"/>
        </c:scaling>
        <c:delete val="0"/>
        <c:axPos val="l"/>
        <c:majorGridlines>
          <c:spPr>
            <a:ln w="6350">
              <a:solidFill>
                <a:schemeClr val="bg1">
                  <a:lumMod val="75000"/>
                </a:schemeClr>
              </a:solidFill>
            </a:ln>
          </c:spPr>
        </c:majorGridlines>
        <c:title>
          <c:tx>
            <c:rich>
              <a:bodyPr/>
              <a:lstStyle/>
              <a:p>
                <a:pPr>
                  <a:defRPr sz="700" b="0" i="1"/>
                </a:pPr>
                <a:r>
                  <a:rPr lang="cs-CZ" sz="700" b="0" i="1"/>
                  <a:t>Vybrané</a:t>
                </a:r>
                <a:r>
                  <a:rPr lang="cs-CZ" sz="700" b="0" i="1" baseline="0"/>
                  <a:t> </a:t>
                </a:r>
                <a:r>
                  <a:rPr lang="cs-CZ" sz="700" b="0" i="1"/>
                  <a:t>výdaje</a:t>
                </a:r>
              </a:p>
            </c:rich>
          </c:tx>
          <c:layout/>
          <c:overlay val="0"/>
        </c:title>
        <c:numFmt formatCode="0" sourceLinked="0"/>
        <c:majorTickMark val="out"/>
        <c:minorTickMark val="none"/>
        <c:tickLblPos val="nextTo"/>
        <c:spPr>
          <a:ln w="6350">
            <a:solidFill>
              <a:schemeClr val="tx1"/>
            </a:solidFill>
          </a:ln>
        </c:spPr>
        <c:crossAx val="72827648"/>
        <c:crosses val="autoZero"/>
        <c:crossBetween val="between"/>
        <c:majorUnit val="8"/>
      </c:valAx>
      <c:valAx>
        <c:axId val="72835072"/>
        <c:scaling>
          <c:orientation val="minMax"/>
          <c:max val="1100"/>
          <c:min val="0"/>
        </c:scaling>
        <c:delete val="0"/>
        <c:axPos val="r"/>
        <c:title>
          <c:tx>
            <c:rich>
              <a:bodyPr/>
              <a:lstStyle/>
              <a:p>
                <a:pPr>
                  <a:defRPr sz="700" b="0" i="1"/>
                </a:pPr>
                <a:r>
                  <a:rPr lang="cs-CZ" sz="700" b="0" i="1"/>
                  <a:t>Běžné výdaje celkem, důchody</a:t>
                </a:r>
              </a:p>
            </c:rich>
          </c:tx>
          <c:layout>
            <c:manualLayout>
              <c:xMode val="edge"/>
              <c:yMode val="edge"/>
              <c:x val="0.969049136463625"/>
              <c:y val="0.25018610067154745"/>
            </c:manualLayout>
          </c:layout>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72836608"/>
        <c:crosses val="max"/>
        <c:crossBetween val="between"/>
        <c:majorUnit val="100"/>
        <c:minorUnit val="1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7.4146457870380669E-2"/>
          <c:y val="0.8084353764547586"/>
          <c:w val="0.9029498767854568"/>
          <c:h val="0.18080784549591333"/>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1df8c39b067b5d25b5f5e865a8e6deb3">
  <xsd:schema xmlns:xsd="http://www.w3.org/2001/XMLSchema" xmlns:xs="http://www.w3.org/2001/XMLSchema" xmlns:p="http://schemas.microsoft.com/office/2006/metadata/properties" xmlns:ns3="b8c0c86d-151e-4fca-b0d5-747e6692fa1d" targetNamespace="http://schemas.microsoft.com/office/2006/metadata/properties" ma:root="true" ma:fieldsID="0a1e36cc980726b26aea9439dfb6e5b7"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681AD-41B0-431A-9D34-CF6700A12FAC}">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b8c0c86d-151e-4fca-b0d5-747e6692fa1d"/>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FA8A1E1-1E99-4B4F-B9B5-70567730AA3A}">
  <ds:schemaRefs>
    <ds:schemaRef ds:uri="http://schemas.microsoft.com/sharepoint/v3/contenttype/forms"/>
  </ds:schemaRefs>
</ds:datastoreItem>
</file>

<file path=customXml/itemProps3.xml><?xml version="1.0" encoding="utf-8"?>
<ds:datastoreItem xmlns:ds="http://schemas.openxmlformats.org/officeDocument/2006/customXml" ds:itemID="{6E43242F-3FB6-473C-87F1-89DD6C1DF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C1972-370F-4752-8F5E-2E7F0D21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3286</Words>
  <Characters>19393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Kučerová Jana</dc:creator>
  <cp:keywords/>
  <cp:lastModifiedBy>Zábojníková Karolína</cp:lastModifiedBy>
  <cp:revision>6</cp:revision>
  <cp:lastPrinted>2014-07-17T14:07:00Z</cp:lastPrinted>
  <dcterms:created xsi:type="dcterms:W3CDTF">2024-09-13T09:25:00Z</dcterms:created>
  <dcterms:modified xsi:type="dcterms:W3CDTF">2024-09-13T09:49:00Z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y fmtid="{D5CDD505-2E9C-101B-9397-08002B2CF9AE}" pid="3" name="Názevformuláře">
    <vt:lpwstr>Publikace CZ barevné - vícetematické analýzy
</vt:lpwstr>
  </property>
  <property fmtid="{D5CDD505-2E9C-101B-9397-08002B2CF9AE}" pid="4" name="Vazbanaprocesnídoménu">
    <vt:lpwstr>;#4. Komunikace a propagace;#</vt:lpwstr>
  </property>
  <property fmtid="{D5CDD505-2E9C-101B-9397-08002B2CF9AE}" pid="5" name="Vazbanadefiničnípředpis">
    <vt:lpwstr>Manuál ke zveřejňování produktů ČSÚ
</vt:lpwstr>
  </property>
  <property fmtid="{D5CDD505-2E9C-101B-9397-08002B2CF9AE}" pid="6" name="Ustanovení">
    <vt:lpwstr>část první čl. 2, odst. 3b,c; část pátá; příloha 1
</vt:lpwstr>
  </property>
  <property fmtid="{D5CDD505-2E9C-101B-9397-08002B2CF9AE}" pid="7" name="Účinnostod">
    <vt:filetime>2018-04-17T07:00:00Z</vt:filetime>
  </property>
  <property fmtid="{D5CDD505-2E9C-101B-9397-08002B2CF9AE}" pid="8" name="Označení">
    <vt:lpwstr>Form_c444</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