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77A9" w14:textId="77777777" w:rsidR="006B4B37" w:rsidRPr="009E6830" w:rsidRDefault="006B4B37" w:rsidP="006D5EBD">
      <w:pPr>
        <w:pStyle w:val="Nadpis1"/>
        <w:spacing w:after="240"/>
        <w:contextualSpacing w:val="0"/>
        <w:rPr>
          <w:color w:val="auto"/>
        </w:rPr>
      </w:pPr>
      <w:bookmarkStart w:id="0" w:name="_Toc444112495"/>
      <w:r w:rsidRPr="009E6830">
        <w:rPr>
          <w:color w:val="auto"/>
        </w:rPr>
        <w:t>Metodické vysvětlivky</w:t>
      </w:r>
    </w:p>
    <w:bookmarkEnd w:id="0"/>
    <w:p w14:paraId="35514E60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 xml:space="preserve">V publikaci jsou uvedeny výsledky z ročního výběrového šetření o chovu drůbeže, které počínaje referenčním rokem 2010 nahrazuje dřívější šetření čtvrtletní. Se změnou periodicity a po dohodě s Ministerstvem zemědělství České republiky došlo ve zjišťování k metodické změně. Pro účely tohoto šetření se nově slepicí rozumí nosnice druhu </w:t>
      </w:r>
      <w:proofErr w:type="spellStart"/>
      <w:r w:rsidRPr="009E6830">
        <w:rPr>
          <w:rFonts w:eastAsia="Calibri" w:cs="Arial"/>
          <w:szCs w:val="20"/>
          <w:lang w:eastAsia="en-US"/>
        </w:rPr>
        <w:t>Gallus</w:t>
      </w:r>
      <w:proofErr w:type="spellEnd"/>
      <w:r w:rsidRPr="009E6830">
        <w:rPr>
          <w:rFonts w:eastAsia="Calibri" w:cs="Arial"/>
          <w:szCs w:val="20"/>
          <w:lang w:eastAsia="en-US"/>
        </w:rPr>
        <w:t xml:space="preserve"> </w:t>
      </w:r>
      <w:proofErr w:type="spellStart"/>
      <w:r w:rsidRPr="009E6830">
        <w:rPr>
          <w:rFonts w:eastAsia="Calibri" w:cs="Arial"/>
          <w:szCs w:val="20"/>
          <w:lang w:eastAsia="en-US"/>
        </w:rPr>
        <w:t>gallus</w:t>
      </w:r>
      <w:proofErr w:type="spellEnd"/>
      <w:r w:rsidRPr="009E6830">
        <w:rPr>
          <w:rFonts w:eastAsia="Calibri" w:cs="Arial"/>
          <w:szCs w:val="20"/>
          <w:lang w:eastAsia="en-US"/>
        </w:rPr>
        <w:t>, které dosáhly snáškové zralosti a jsou chovány pro produkci vajec nezamýšlených k vylíhnutí.</w:t>
      </w:r>
    </w:p>
    <w:p w14:paraId="0B387712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 xml:space="preserve">Soubor respondentů pro toto statistické šetření vychází z aktualizovaného stavu Zemědělského registru. Dopočet a publikované výsledky za Českou republiku jsou zabezpečeny do úrovně strukturálních údajů </w:t>
      </w:r>
      <w:proofErr w:type="spellStart"/>
      <w:r w:rsidRPr="009E6830">
        <w:rPr>
          <w:rFonts w:eastAsia="Calibri" w:cs="Arial"/>
          <w:szCs w:val="20"/>
          <w:lang w:eastAsia="en-US"/>
        </w:rPr>
        <w:t>Agrocenzu</w:t>
      </w:r>
      <w:proofErr w:type="spellEnd"/>
      <w:r w:rsidRPr="009E6830">
        <w:rPr>
          <w:rFonts w:eastAsia="Calibri" w:cs="Arial"/>
          <w:szCs w:val="20"/>
          <w:lang w:eastAsia="en-US"/>
        </w:rPr>
        <w:t xml:space="preserve"> 2000, tzn. bez odhadů výsledků za domácnosti obyvatelstva („hobby aktivity“ obyvatelstva). </w:t>
      </w:r>
    </w:p>
    <w:p w14:paraId="103C97E0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 xml:space="preserve">Zjišťování o chovu drůbeže se provádí výběrovou a </w:t>
      </w:r>
      <w:proofErr w:type="spellStart"/>
      <w:r w:rsidRPr="009E6830">
        <w:rPr>
          <w:rFonts w:eastAsia="Calibri" w:cs="Arial"/>
          <w:szCs w:val="20"/>
          <w:lang w:eastAsia="en-US"/>
        </w:rPr>
        <w:t>dopočtovou</w:t>
      </w:r>
      <w:proofErr w:type="spellEnd"/>
      <w:r w:rsidRPr="009E6830">
        <w:rPr>
          <w:rFonts w:eastAsia="Calibri" w:cs="Arial"/>
          <w:szCs w:val="20"/>
          <w:lang w:eastAsia="en-US"/>
        </w:rPr>
        <w:t xml:space="preserve"> metodou. Výběrový soubor je generován na základě příslušnosti jednotky k </w:t>
      </w:r>
      <w:proofErr w:type="spellStart"/>
      <w:r w:rsidRPr="009E6830">
        <w:rPr>
          <w:rFonts w:eastAsia="Calibri" w:cs="Arial"/>
          <w:szCs w:val="20"/>
          <w:lang w:eastAsia="en-US"/>
        </w:rPr>
        <w:t>dopočtové</w:t>
      </w:r>
      <w:proofErr w:type="spellEnd"/>
      <w:r w:rsidRPr="009E6830">
        <w:rPr>
          <w:rFonts w:eastAsia="Calibri" w:cs="Arial"/>
          <w:szCs w:val="20"/>
          <w:lang w:eastAsia="en-US"/>
        </w:rPr>
        <w:t xml:space="preserve"> skupině, jež je definována podle počtu chovaných zvířat, příslušnosti k výrobní podoblasti a územní příslušnosti ke kraji sídla zpravodajské jednotky. Procento výběru je stanoveno na základě počtu chovaných zvířat. Ve výběrovém souboru jsou zahrnuty právnické i fyzické osoby.</w:t>
      </w:r>
    </w:p>
    <w:p w14:paraId="7F9B37E6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>Podkladem pro roční výběrové šetření drůbeže jsou údaje zjištěné ze skladové a účetní evidence hospodářských subjektů. Údaje za líhnutí drůbeže jsou převzaty od s. p. Mezinárodní testování drůbeže, který je pověřen sběrem administrativních dat za tuto oblast.</w:t>
      </w:r>
    </w:p>
    <w:p w14:paraId="00BC765C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>Prodej jatečné drůbeže zahrnuje prodej obchodním a zpracovatelským organizacím, prodej přímým spotřebitelům (vč. spotřeby a zpracování na výrobky ve vlastním podniku) a přímý vývoz.</w:t>
      </w:r>
    </w:p>
    <w:p w14:paraId="59154804" w14:textId="77777777" w:rsidR="00A62FE9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>Prodej konzumních vajec v návaznosti na snižování administrativní zátěže respondentů není od referenčního roku 2010 předmětem šetření. Na základě analýzy časových řad provedené Českým statistickým úřadem a ministerstvem zemědělství lze jeho hodnotu odhadovat, a to ve výši 95 % snášky konzumních vajec.</w:t>
      </w:r>
    </w:p>
    <w:p w14:paraId="3D771FD5" w14:textId="20789BD2" w:rsidR="004C0A82" w:rsidRPr="009E6830" w:rsidRDefault="00A62FE9" w:rsidP="00A62FE9">
      <w:pPr>
        <w:rPr>
          <w:rFonts w:eastAsia="Calibri" w:cs="Arial"/>
          <w:szCs w:val="20"/>
          <w:lang w:eastAsia="en-US"/>
        </w:rPr>
      </w:pPr>
      <w:r w:rsidRPr="009E6830">
        <w:rPr>
          <w:rFonts w:eastAsia="Calibri" w:cs="Arial"/>
          <w:szCs w:val="20"/>
          <w:lang w:eastAsia="en-US"/>
        </w:rPr>
        <w:t>Výsledky šetření jsou publikovány za Českou republiku a v územním členění podle krajů.</w:t>
      </w:r>
    </w:p>
    <w:p w14:paraId="26130603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</w:p>
    <w:p w14:paraId="3B9D3458" w14:textId="3833A124" w:rsidR="00A62FE9" w:rsidRPr="009E6830" w:rsidRDefault="00A62FE9" w:rsidP="00A62FE9">
      <w:pPr>
        <w:rPr>
          <w:rFonts w:eastAsia="MS Gothic"/>
          <w:b/>
          <w:bCs/>
          <w:sz w:val="28"/>
          <w:szCs w:val="26"/>
        </w:rPr>
      </w:pPr>
      <w:r w:rsidRPr="009E6830">
        <w:rPr>
          <w:rFonts w:eastAsia="MS Gothic"/>
          <w:b/>
          <w:bCs/>
          <w:sz w:val="28"/>
          <w:szCs w:val="26"/>
        </w:rPr>
        <w:t>Použité značky v tabulkách publikace</w:t>
      </w:r>
    </w:p>
    <w:p w14:paraId="789E28D4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-</w:t>
      </w:r>
      <w:r w:rsidRPr="009E6830">
        <w:rPr>
          <w:rFonts w:ascii="Calibri" w:hAnsi="Calibri" w:cs="Calibri"/>
          <w:sz w:val="22"/>
          <w:szCs w:val="22"/>
        </w:rPr>
        <w:tab/>
        <w:t>ležatá čárka na místě čísla značí, že se jev nevyskytoval</w:t>
      </w:r>
    </w:p>
    <w:p w14:paraId="66914280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.</w:t>
      </w:r>
      <w:r w:rsidRPr="009E6830">
        <w:rPr>
          <w:rFonts w:ascii="Calibri" w:hAnsi="Calibri" w:cs="Calibri"/>
          <w:sz w:val="22"/>
          <w:szCs w:val="22"/>
        </w:rPr>
        <w:tab/>
        <w:t>tečka na místě čísla značí, že údaj není k dispozici nebo je nespolehlivý</w:t>
      </w:r>
    </w:p>
    <w:p w14:paraId="6DB12182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x</w:t>
      </w:r>
      <w:r w:rsidRPr="009E6830">
        <w:rPr>
          <w:rFonts w:ascii="Calibri" w:hAnsi="Calibri" w:cs="Calibri"/>
          <w:sz w:val="22"/>
          <w:szCs w:val="22"/>
        </w:rPr>
        <w:tab/>
        <w:t>ležatý křížek na místě čísla značí, že zápis není možný z logických důvodů</w:t>
      </w:r>
    </w:p>
    <w:p w14:paraId="3F5F5F7A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0</w:t>
      </w:r>
      <w:r w:rsidRPr="009E6830">
        <w:rPr>
          <w:rFonts w:ascii="Calibri" w:hAnsi="Calibri" w:cs="Calibri"/>
          <w:sz w:val="22"/>
          <w:szCs w:val="22"/>
        </w:rPr>
        <w:tab/>
        <w:t>nula se používá pro označení číselných údajů menších než polovina zvolené měřicí jednotky</w:t>
      </w:r>
    </w:p>
    <w:p w14:paraId="18C22046" w14:textId="48DEB0D9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i. d.</w:t>
      </w:r>
      <w:r w:rsidRPr="009E6830">
        <w:rPr>
          <w:rFonts w:ascii="Calibri" w:hAnsi="Calibri" w:cs="Calibri"/>
          <w:sz w:val="22"/>
          <w:szCs w:val="22"/>
        </w:rPr>
        <w:tab/>
        <w:t>individuální data</w:t>
      </w:r>
    </w:p>
    <w:p w14:paraId="220E5896" w14:textId="77777777" w:rsidR="006B4B37" w:rsidRPr="009E6830" w:rsidRDefault="006B4B37" w:rsidP="004C0A82">
      <w:pPr>
        <w:pStyle w:val="Zkladntextodsazen"/>
        <w:spacing w:before="0" w:after="240" w:line="288" w:lineRule="auto"/>
        <w:ind w:firstLine="0"/>
      </w:pPr>
    </w:p>
    <w:sectPr w:rsidR="006B4B37" w:rsidRPr="009E6830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AFF84" w14:textId="77777777" w:rsidR="00D9550B" w:rsidRDefault="00D9550B" w:rsidP="00E71A58">
      <w:r>
        <w:separator/>
      </w:r>
    </w:p>
  </w:endnote>
  <w:endnote w:type="continuationSeparator" w:id="0">
    <w:p w14:paraId="09DB0812" w14:textId="77777777" w:rsidR="00D9550B" w:rsidRDefault="00D955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ED806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826A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D826AC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05B5C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D826AC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826AC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75497" w14:textId="77777777" w:rsidR="00D9550B" w:rsidRDefault="00D9550B" w:rsidP="00E71A58">
      <w:r>
        <w:separator/>
      </w:r>
    </w:p>
  </w:footnote>
  <w:footnote w:type="continuationSeparator" w:id="0">
    <w:p w14:paraId="4C5DCAA8" w14:textId="77777777" w:rsidR="00D9550B" w:rsidRDefault="00D9550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1CC16" w14:textId="414FD76F" w:rsidR="00515C74" w:rsidRPr="006B4B37" w:rsidRDefault="007F0A02" w:rsidP="006B4B37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16830" w14:textId="77777777" w:rsidR="00A62FE9" w:rsidRPr="00F9393D" w:rsidRDefault="00A62FE9" w:rsidP="00A62FE9">
    <w:pPr>
      <w:pStyle w:val="Zhlav"/>
    </w:pPr>
    <w:r w:rsidRPr="00CF5EE1">
      <w:t>CHOV DRŮBEŽE -</w:t>
    </w:r>
    <w:r>
      <w:t xml:space="preserve"> </w:t>
    </w:r>
    <w:r w:rsidRPr="001261C2">
      <w:t>202</w:t>
    </w:r>
    <w:r>
      <w:t xml:space="preserve">5 </w:t>
    </w:r>
    <w:r w:rsidRPr="001261C2">
      <w:rPr>
        <w:i/>
        <w:iCs/>
      </w:rPr>
      <w:t xml:space="preserve">/ </w:t>
    </w:r>
    <w:r w:rsidRPr="00CF5EE1">
      <w:rPr>
        <w:i/>
        <w:iCs/>
      </w:rPr>
      <w:t>POULTRY PRODUCTION</w:t>
    </w:r>
    <w:r>
      <w:rPr>
        <w:i/>
        <w:iCs/>
      </w:rPr>
      <w:t xml:space="preserve"> </w:t>
    </w:r>
    <w:r w:rsidRPr="001261C2">
      <w:rPr>
        <w:i/>
        <w:iCs/>
      </w:rPr>
      <w:t>– 2025</w:t>
    </w:r>
  </w:p>
  <w:p w14:paraId="196E6A32" w14:textId="07E156F3" w:rsidR="00B5752E" w:rsidRPr="00A62FE9" w:rsidRDefault="00B5752E" w:rsidP="00A62F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6734">
    <w:abstractNumId w:val="12"/>
  </w:num>
  <w:num w:numId="2" w16cid:durableId="785467133">
    <w:abstractNumId w:val="8"/>
  </w:num>
  <w:num w:numId="3" w16cid:durableId="1528057077">
    <w:abstractNumId w:val="3"/>
  </w:num>
  <w:num w:numId="4" w16cid:durableId="840048213">
    <w:abstractNumId w:val="2"/>
  </w:num>
  <w:num w:numId="5" w16cid:durableId="94788241">
    <w:abstractNumId w:val="1"/>
  </w:num>
  <w:num w:numId="6" w16cid:durableId="1772970937">
    <w:abstractNumId w:val="0"/>
  </w:num>
  <w:num w:numId="7" w16cid:durableId="384109187">
    <w:abstractNumId w:val="9"/>
  </w:num>
  <w:num w:numId="8" w16cid:durableId="2097634368">
    <w:abstractNumId w:val="7"/>
  </w:num>
  <w:num w:numId="9" w16cid:durableId="270818772">
    <w:abstractNumId w:val="6"/>
  </w:num>
  <w:num w:numId="10" w16cid:durableId="469633632">
    <w:abstractNumId w:val="5"/>
  </w:num>
  <w:num w:numId="11" w16cid:durableId="457066353">
    <w:abstractNumId w:val="4"/>
  </w:num>
  <w:num w:numId="12" w16cid:durableId="1374573512">
    <w:abstractNumId w:val="11"/>
  </w:num>
  <w:num w:numId="13" w16cid:durableId="1971863670">
    <w:abstractNumId w:val="13"/>
  </w:num>
  <w:num w:numId="14" w16cid:durableId="19261110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347B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3EBC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0A82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4B37"/>
    <w:rsid w:val="006B78D8"/>
    <w:rsid w:val="006C113F"/>
    <w:rsid w:val="006C123E"/>
    <w:rsid w:val="006C2CE4"/>
    <w:rsid w:val="006C56D4"/>
    <w:rsid w:val="006C6924"/>
    <w:rsid w:val="006C7CA6"/>
    <w:rsid w:val="006D3E8A"/>
    <w:rsid w:val="006D5EBD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7F0A0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3BB8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E6830"/>
    <w:rsid w:val="009F4CA7"/>
    <w:rsid w:val="009F7A0A"/>
    <w:rsid w:val="00A10D66"/>
    <w:rsid w:val="00A14114"/>
    <w:rsid w:val="00A16413"/>
    <w:rsid w:val="00A23E43"/>
    <w:rsid w:val="00A30F65"/>
    <w:rsid w:val="00A33966"/>
    <w:rsid w:val="00A418BC"/>
    <w:rsid w:val="00A46DE0"/>
    <w:rsid w:val="00A50D73"/>
    <w:rsid w:val="00A52CAD"/>
    <w:rsid w:val="00A53FC7"/>
    <w:rsid w:val="00A62CE1"/>
    <w:rsid w:val="00A62FE9"/>
    <w:rsid w:val="00A6741E"/>
    <w:rsid w:val="00A75E40"/>
    <w:rsid w:val="00A77D1D"/>
    <w:rsid w:val="00A857C0"/>
    <w:rsid w:val="00A93ABB"/>
    <w:rsid w:val="00AA2996"/>
    <w:rsid w:val="00AA52BF"/>
    <w:rsid w:val="00AA559A"/>
    <w:rsid w:val="00AB2AF1"/>
    <w:rsid w:val="00AD306C"/>
    <w:rsid w:val="00AE09B3"/>
    <w:rsid w:val="00AE1A83"/>
    <w:rsid w:val="00AE356A"/>
    <w:rsid w:val="00AF46DC"/>
    <w:rsid w:val="00B00913"/>
    <w:rsid w:val="00B01593"/>
    <w:rsid w:val="00B10A4D"/>
    <w:rsid w:val="00B119F7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0F34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826AC"/>
    <w:rsid w:val="00D9550B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026B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25EA"/>
    <w:rsid w:val="00ED62C6"/>
    <w:rsid w:val="00ED64C1"/>
    <w:rsid w:val="00EE3446"/>
    <w:rsid w:val="00EE3E78"/>
    <w:rsid w:val="00EE4B1B"/>
    <w:rsid w:val="00EF1357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7FA9DB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Zkladntextodsazen">
    <w:name w:val="Body Text Indent"/>
    <w:basedOn w:val="Normln"/>
    <w:link w:val="ZkladntextodsazenChar"/>
    <w:semiHidden/>
    <w:rsid w:val="006B4B37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B4B37"/>
    <w:rPr>
      <w:rFonts w:ascii="Arial" w:eastAsia="Times New Roman" w:hAnsi="Arial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B4B37"/>
    <w:pPr>
      <w:spacing w:before="120" w:after="120" w:line="240" w:lineRule="auto"/>
      <w:ind w:firstLine="284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6B4B37"/>
    <w:pPr>
      <w:spacing w:before="120" w:after="120" w:line="24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4B37"/>
    <w:rPr>
      <w:rFonts w:ascii="Times New Roman" w:eastAsia="Times New Roman" w:hAnsi="Times New Roman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C0A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4C0A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E18D8-9B47-466B-8DC2-29648F9CDF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2387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14</cp:revision>
  <cp:lastPrinted>2014-07-17T14:07:00Z</cp:lastPrinted>
  <dcterms:created xsi:type="dcterms:W3CDTF">2024-09-19T07:54:00Z</dcterms:created>
  <dcterms:modified xsi:type="dcterms:W3CDTF">2026-02-06T14:18:00Z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