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CA" w:rsidRPr="00100AAF" w:rsidRDefault="00BA7787" w:rsidP="00986FD4">
      <w:pPr>
        <w:rPr>
          <w:rFonts w:ascii="Calibri" w:hAnsi="Calibri"/>
          <w:sz w:val="24"/>
          <w:szCs w:val="24"/>
        </w:rPr>
      </w:pPr>
      <w:r w:rsidRPr="00100AAF">
        <w:rPr>
          <w:rFonts w:ascii="Calibri" w:hAnsi="Calibri"/>
          <w:sz w:val="24"/>
          <w:szCs w:val="24"/>
        </w:rPr>
        <w:t>Kultura</w:t>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Pr="00100AAF">
        <w:rPr>
          <w:rFonts w:ascii="Calibri" w:hAnsi="Calibri"/>
          <w:sz w:val="24"/>
          <w:szCs w:val="24"/>
        </w:rPr>
        <w:t>Praha</w:t>
      </w:r>
      <w:r w:rsidR="00A42ED9">
        <w:rPr>
          <w:rFonts w:ascii="Calibri" w:hAnsi="Calibri"/>
          <w:sz w:val="24"/>
          <w:szCs w:val="24"/>
        </w:rPr>
        <w:tab/>
      </w:r>
      <w:r w:rsidRPr="00100AAF">
        <w:rPr>
          <w:rFonts w:ascii="Calibri" w:hAnsi="Calibri"/>
          <w:sz w:val="24"/>
          <w:szCs w:val="24"/>
        </w:rPr>
        <w:t>2015</w:t>
      </w:r>
    </w:p>
    <w:p w:rsidR="00BA7787" w:rsidRPr="00100AAF" w:rsidRDefault="00BA7787" w:rsidP="00986FD4">
      <w:pPr>
        <w:rPr>
          <w:rFonts w:ascii="Calibri" w:hAnsi="Calibri"/>
          <w:sz w:val="24"/>
          <w:szCs w:val="24"/>
        </w:rPr>
      </w:pPr>
      <w:r w:rsidRPr="00100AAF">
        <w:rPr>
          <w:rFonts w:ascii="Calibri" w:hAnsi="Calibri"/>
          <w:sz w:val="24"/>
          <w:szCs w:val="24"/>
        </w:rPr>
        <w:t>Kód publikace:</w:t>
      </w:r>
      <w:r w:rsidR="00535992">
        <w:rPr>
          <w:rFonts w:ascii="Calibri" w:hAnsi="Calibri"/>
          <w:sz w:val="24"/>
          <w:szCs w:val="24"/>
        </w:rPr>
        <w:t xml:space="preserve"> 090009-15</w:t>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r w:rsidR="000C53CD" w:rsidRPr="00100AAF">
        <w:rPr>
          <w:rFonts w:ascii="Calibri" w:hAnsi="Calibri"/>
          <w:sz w:val="24"/>
          <w:szCs w:val="24"/>
        </w:rPr>
        <w:tab/>
      </w:r>
      <w:proofErr w:type="spellStart"/>
      <w:r w:rsidRPr="00100AAF">
        <w:rPr>
          <w:rFonts w:ascii="Calibri" w:hAnsi="Calibri"/>
          <w:sz w:val="24"/>
          <w:szCs w:val="24"/>
        </w:rPr>
        <w:t>Č.j</w:t>
      </w:r>
      <w:proofErr w:type="spellEnd"/>
      <w:r w:rsidRPr="00100AAF">
        <w:rPr>
          <w:rFonts w:ascii="Calibri" w:hAnsi="Calibri"/>
          <w:sz w:val="24"/>
          <w:szCs w:val="24"/>
        </w:rPr>
        <w:t>.:</w:t>
      </w:r>
    </w:p>
    <w:p w:rsidR="001959CA" w:rsidRDefault="001959CA" w:rsidP="00986FD4">
      <w:pPr>
        <w:rPr>
          <w:rFonts w:ascii="Calibri" w:hAnsi="Calibri"/>
        </w:rPr>
      </w:pPr>
    </w:p>
    <w:p w:rsidR="00147432" w:rsidRDefault="00147432" w:rsidP="00986FD4">
      <w:pPr>
        <w:rPr>
          <w:rFonts w:ascii="Calibri" w:hAnsi="Calibri"/>
        </w:rPr>
      </w:pPr>
    </w:p>
    <w:p w:rsidR="00147432" w:rsidRDefault="00147432" w:rsidP="00986FD4">
      <w:pPr>
        <w:rPr>
          <w:rFonts w:ascii="Calibri" w:hAnsi="Calibri"/>
        </w:rPr>
      </w:pPr>
    </w:p>
    <w:p w:rsidR="00147432" w:rsidRPr="009E7A89" w:rsidRDefault="00147432" w:rsidP="00986FD4">
      <w:pPr>
        <w:rPr>
          <w:rFonts w:ascii="Calibri" w:hAnsi="Calibri"/>
        </w:rPr>
      </w:pPr>
    </w:p>
    <w:p w:rsidR="00BA7787" w:rsidRDefault="00BA7787" w:rsidP="00986FD4">
      <w:pPr>
        <w:rPr>
          <w:rFonts w:ascii="Calibri" w:hAnsi="Calibri"/>
        </w:rPr>
      </w:pPr>
    </w:p>
    <w:p w:rsidR="00BA7787" w:rsidRDefault="00BA7787" w:rsidP="00986FD4">
      <w:pPr>
        <w:rPr>
          <w:rFonts w:ascii="Calibri" w:hAnsi="Calibri"/>
        </w:rPr>
      </w:pPr>
    </w:p>
    <w:p w:rsidR="00BA7787" w:rsidRPr="009E7A89" w:rsidRDefault="00BA7787" w:rsidP="00986FD4">
      <w:pPr>
        <w:rPr>
          <w:rFonts w:ascii="Calibri" w:hAnsi="Calibri"/>
        </w:rPr>
      </w:pPr>
    </w:p>
    <w:p w:rsidR="001959CA" w:rsidRPr="009E7A89" w:rsidRDefault="001959CA" w:rsidP="00986FD4">
      <w:pPr>
        <w:rPr>
          <w:rFonts w:ascii="Calibri" w:hAnsi="Calibri"/>
        </w:rPr>
      </w:pPr>
    </w:p>
    <w:p w:rsidR="001959CA" w:rsidRPr="00D734DD" w:rsidRDefault="001959CA" w:rsidP="00986FD4">
      <w:pPr>
        <w:jc w:val="center"/>
        <w:rPr>
          <w:rFonts w:ascii="Calibri" w:hAnsi="Calibri"/>
          <w:b/>
          <w:sz w:val="36"/>
          <w:szCs w:val="36"/>
        </w:rPr>
      </w:pPr>
      <w:r w:rsidRPr="00D734DD">
        <w:rPr>
          <w:rFonts w:ascii="Calibri" w:hAnsi="Calibri"/>
          <w:b/>
          <w:sz w:val="36"/>
          <w:szCs w:val="36"/>
        </w:rPr>
        <w:t xml:space="preserve">Analýza vývoje </w:t>
      </w:r>
      <w:r w:rsidR="00C34CF9" w:rsidRPr="00D734DD">
        <w:rPr>
          <w:rFonts w:ascii="Calibri" w:hAnsi="Calibri"/>
          <w:b/>
          <w:sz w:val="36"/>
          <w:szCs w:val="36"/>
        </w:rPr>
        <w:t>kultury ČR v letech 2000 – 2013</w:t>
      </w:r>
    </w:p>
    <w:p w:rsidR="001959CA" w:rsidRPr="009E7A89" w:rsidRDefault="001959CA" w:rsidP="00986FD4">
      <w:pPr>
        <w:jc w:val="center"/>
        <w:rPr>
          <w:rFonts w:ascii="Calibri" w:hAnsi="Calibri"/>
          <w:sz w:val="32"/>
          <w:szCs w:val="32"/>
        </w:rPr>
      </w:pPr>
    </w:p>
    <w:p w:rsidR="001959CA" w:rsidRDefault="001959CA" w:rsidP="00986FD4">
      <w:pPr>
        <w:jc w:val="center"/>
        <w:rPr>
          <w:rFonts w:ascii="Calibri" w:hAnsi="Calibri"/>
          <w:sz w:val="32"/>
          <w:szCs w:val="32"/>
        </w:rPr>
      </w:pPr>
    </w:p>
    <w:p w:rsidR="00C270A6" w:rsidRPr="009E7A89" w:rsidRDefault="00C270A6" w:rsidP="00986FD4">
      <w:pPr>
        <w:jc w:val="center"/>
        <w:rPr>
          <w:rFonts w:ascii="Calibri" w:hAnsi="Calibri"/>
          <w:sz w:val="32"/>
          <w:szCs w:val="32"/>
        </w:rPr>
      </w:pPr>
    </w:p>
    <w:p w:rsidR="001959CA" w:rsidRPr="009E7A89" w:rsidRDefault="001959CA" w:rsidP="00986FD4">
      <w:pPr>
        <w:jc w:val="center"/>
        <w:rPr>
          <w:rFonts w:ascii="Calibri" w:hAnsi="Calibri"/>
          <w:sz w:val="32"/>
          <w:szCs w:val="32"/>
        </w:rPr>
      </w:pPr>
    </w:p>
    <w:p w:rsidR="00C270A6" w:rsidRPr="009E7A89" w:rsidRDefault="00C270A6" w:rsidP="00986FD4">
      <w:pPr>
        <w:jc w:val="center"/>
        <w:rPr>
          <w:rFonts w:ascii="Calibri" w:hAnsi="Calibri"/>
          <w:sz w:val="32"/>
          <w:szCs w:val="32"/>
        </w:rPr>
      </w:pPr>
    </w:p>
    <w:p w:rsidR="001959CA" w:rsidRPr="00D734DD" w:rsidRDefault="00D734DD" w:rsidP="00DC2CCC">
      <w:pPr>
        <w:spacing w:after="120"/>
        <w:rPr>
          <w:rFonts w:ascii="Calibri" w:hAnsi="Calibri"/>
          <w:sz w:val="24"/>
          <w:szCs w:val="24"/>
        </w:rPr>
      </w:pPr>
      <w:r w:rsidRPr="00D734DD">
        <w:rPr>
          <w:rFonts w:ascii="Calibri" w:hAnsi="Calibri"/>
          <w:sz w:val="24"/>
          <w:szCs w:val="24"/>
        </w:rPr>
        <w:t>Zpracoval</w:t>
      </w:r>
      <w:r w:rsidRPr="00D734DD">
        <w:rPr>
          <w:rFonts w:ascii="Calibri" w:hAnsi="Calibri"/>
          <w:sz w:val="24"/>
          <w:szCs w:val="24"/>
        </w:rPr>
        <w:tab/>
      </w:r>
      <w:r w:rsidRPr="00D734DD">
        <w:rPr>
          <w:rFonts w:ascii="Calibri" w:hAnsi="Calibri"/>
          <w:sz w:val="24"/>
          <w:szCs w:val="24"/>
        </w:rPr>
        <w:tab/>
      </w:r>
      <w:r w:rsidRPr="00D734DD">
        <w:rPr>
          <w:rFonts w:ascii="Calibri" w:hAnsi="Calibri"/>
          <w:sz w:val="24"/>
          <w:szCs w:val="24"/>
        </w:rPr>
        <w:tab/>
      </w:r>
      <w:r w:rsidRPr="00D734DD">
        <w:rPr>
          <w:rFonts w:ascii="Calibri" w:hAnsi="Calibri"/>
          <w:sz w:val="24"/>
          <w:szCs w:val="24"/>
        </w:rPr>
        <w:tab/>
      </w:r>
      <w:r>
        <w:rPr>
          <w:rFonts w:ascii="Calibri" w:hAnsi="Calibri"/>
          <w:sz w:val="24"/>
          <w:szCs w:val="24"/>
        </w:rPr>
        <w:t>O</w:t>
      </w:r>
      <w:r w:rsidR="007352D2" w:rsidRPr="00D734DD">
        <w:rPr>
          <w:rFonts w:ascii="Calibri" w:hAnsi="Calibri"/>
          <w:sz w:val="24"/>
          <w:szCs w:val="24"/>
        </w:rPr>
        <w:t>dbo</w:t>
      </w:r>
      <w:r w:rsidR="0004447A" w:rsidRPr="00D734DD">
        <w:rPr>
          <w:rFonts w:ascii="Calibri" w:hAnsi="Calibri"/>
          <w:sz w:val="24"/>
          <w:szCs w:val="24"/>
        </w:rPr>
        <w:t>r statistik rozvoje společnosti</w:t>
      </w:r>
    </w:p>
    <w:p w:rsidR="007352D2" w:rsidRPr="00D734DD" w:rsidRDefault="00DC2CCC" w:rsidP="00645690">
      <w:pPr>
        <w:spacing w:after="120"/>
        <w:jc w:val="both"/>
        <w:rPr>
          <w:rFonts w:ascii="Calibri" w:hAnsi="Calibri"/>
          <w:sz w:val="24"/>
          <w:szCs w:val="24"/>
        </w:rPr>
      </w:pPr>
      <w:r>
        <w:rPr>
          <w:rFonts w:ascii="Calibri" w:hAnsi="Calibri"/>
          <w:sz w:val="24"/>
          <w:szCs w:val="24"/>
        </w:rPr>
        <w:t>Ředitel odboru</w:t>
      </w:r>
      <w:r w:rsidR="00D734DD" w:rsidRPr="00D734DD">
        <w:rPr>
          <w:rFonts w:ascii="Calibri" w:hAnsi="Calibri"/>
          <w:sz w:val="24"/>
          <w:szCs w:val="24"/>
        </w:rPr>
        <w:tab/>
      </w:r>
      <w:r w:rsidR="00D734DD" w:rsidRPr="00D734DD">
        <w:rPr>
          <w:rFonts w:ascii="Calibri" w:hAnsi="Calibri"/>
          <w:sz w:val="24"/>
          <w:szCs w:val="24"/>
        </w:rPr>
        <w:tab/>
      </w:r>
      <w:r w:rsidR="00D734DD" w:rsidRPr="00D734DD">
        <w:rPr>
          <w:rFonts w:ascii="Calibri" w:hAnsi="Calibri"/>
          <w:sz w:val="24"/>
          <w:szCs w:val="24"/>
        </w:rPr>
        <w:tab/>
      </w:r>
      <w:r w:rsidR="0004447A" w:rsidRPr="00D734DD">
        <w:rPr>
          <w:rFonts w:ascii="Calibri" w:hAnsi="Calibri"/>
          <w:sz w:val="24"/>
          <w:szCs w:val="24"/>
        </w:rPr>
        <w:t>Ing. Martin Mana</w:t>
      </w:r>
    </w:p>
    <w:p w:rsidR="00D734DD" w:rsidRDefault="00D734DD" w:rsidP="007352D2">
      <w:pPr>
        <w:spacing w:after="0"/>
        <w:jc w:val="both"/>
        <w:rPr>
          <w:rFonts w:ascii="Calibri" w:hAnsi="Calibri"/>
          <w:sz w:val="24"/>
          <w:szCs w:val="24"/>
        </w:rPr>
      </w:pPr>
      <w:r w:rsidRPr="00D734DD">
        <w:rPr>
          <w:rFonts w:ascii="Calibri" w:hAnsi="Calibri"/>
          <w:sz w:val="24"/>
          <w:szCs w:val="24"/>
        </w:rPr>
        <w:t>I</w:t>
      </w:r>
      <w:r w:rsidR="00BA7787" w:rsidRPr="00D734DD">
        <w:rPr>
          <w:rFonts w:ascii="Calibri" w:hAnsi="Calibri"/>
          <w:sz w:val="24"/>
          <w:szCs w:val="24"/>
        </w:rPr>
        <w:t>nformační služb</w:t>
      </w:r>
      <w:r w:rsidRPr="00D734DD">
        <w:rPr>
          <w:rFonts w:ascii="Calibri" w:hAnsi="Calibri"/>
          <w:sz w:val="24"/>
          <w:szCs w:val="24"/>
        </w:rPr>
        <w:t>y</w:t>
      </w:r>
      <w:r w:rsidRPr="00D734DD">
        <w:rPr>
          <w:rFonts w:ascii="Calibri" w:hAnsi="Calibri"/>
          <w:sz w:val="24"/>
          <w:szCs w:val="24"/>
        </w:rPr>
        <w:tab/>
      </w:r>
      <w:r w:rsidRPr="00D734DD">
        <w:rPr>
          <w:rFonts w:ascii="Calibri" w:hAnsi="Calibri"/>
          <w:sz w:val="24"/>
          <w:szCs w:val="24"/>
        </w:rPr>
        <w:tab/>
      </w:r>
      <w:r w:rsidRPr="00D734DD">
        <w:rPr>
          <w:rFonts w:ascii="Calibri" w:hAnsi="Calibri"/>
          <w:sz w:val="24"/>
          <w:szCs w:val="24"/>
        </w:rPr>
        <w:tab/>
      </w:r>
      <w:r w:rsidR="00BA7787" w:rsidRPr="00D734DD">
        <w:rPr>
          <w:rFonts w:ascii="Calibri" w:hAnsi="Calibri"/>
          <w:sz w:val="24"/>
          <w:szCs w:val="24"/>
        </w:rPr>
        <w:t>tel.:</w:t>
      </w:r>
      <w:r w:rsidR="003939B1" w:rsidRPr="00D734DD">
        <w:rPr>
          <w:rFonts w:ascii="Calibri" w:hAnsi="Calibri"/>
          <w:sz w:val="24"/>
          <w:szCs w:val="24"/>
        </w:rPr>
        <w:t xml:space="preserve"> </w:t>
      </w:r>
      <w:r w:rsidRPr="00D734DD">
        <w:rPr>
          <w:rFonts w:ascii="Calibri" w:hAnsi="Calibri"/>
          <w:sz w:val="24"/>
          <w:szCs w:val="24"/>
        </w:rPr>
        <w:t xml:space="preserve">+420 </w:t>
      </w:r>
      <w:r>
        <w:rPr>
          <w:rFonts w:ascii="Calibri" w:hAnsi="Calibri"/>
          <w:sz w:val="24"/>
          <w:szCs w:val="24"/>
        </w:rPr>
        <w:t>274 052 304,</w:t>
      </w:r>
    </w:p>
    <w:p w:rsidR="00BA7787" w:rsidRPr="00D734DD" w:rsidRDefault="00BA7787" w:rsidP="00645690">
      <w:pPr>
        <w:spacing w:after="120"/>
        <w:ind w:left="2829" w:firstLine="709"/>
        <w:jc w:val="both"/>
        <w:rPr>
          <w:rFonts w:ascii="Calibri" w:hAnsi="Calibri"/>
          <w:sz w:val="24"/>
          <w:szCs w:val="24"/>
        </w:rPr>
      </w:pPr>
      <w:r w:rsidRPr="00D734DD">
        <w:rPr>
          <w:rFonts w:ascii="Calibri" w:hAnsi="Calibri"/>
          <w:sz w:val="24"/>
          <w:szCs w:val="24"/>
        </w:rPr>
        <w:t xml:space="preserve">e-mail: </w:t>
      </w:r>
      <w:r w:rsidRPr="00C23617">
        <w:rPr>
          <w:rFonts w:ascii="Calibri" w:hAnsi="Calibri"/>
          <w:sz w:val="24"/>
          <w:szCs w:val="24"/>
          <w:u w:val="single"/>
        </w:rPr>
        <w:t>infoservis@czso.cz</w:t>
      </w:r>
    </w:p>
    <w:p w:rsidR="00C270A6" w:rsidRDefault="002F5E0F" w:rsidP="00C270A6">
      <w:pPr>
        <w:pBdr>
          <w:bottom w:val="single" w:sz="6" w:space="6" w:color="auto"/>
        </w:pBdr>
        <w:spacing w:after="0"/>
        <w:jc w:val="both"/>
        <w:rPr>
          <w:sz w:val="24"/>
          <w:szCs w:val="24"/>
        </w:rPr>
      </w:pPr>
      <w:r w:rsidRPr="00D734DD">
        <w:rPr>
          <w:rFonts w:ascii="Calibri" w:hAnsi="Calibri"/>
          <w:sz w:val="24"/>
          <w:szCs w:val="24"/>
        </w:rPr>
        <w:t>Kontaktní zaměstnan</w:t>
      </w:r>
      <w:r w:rsidR="007352D2" w:rsidRPr="00D734DD">
        <w:rPr>
          <w:rFonts w:ascii="Calibri" w:hAnsi="Calibri"/>
          <w:sz w:val="24"/>
          <w:szCs w:val="24"/>
        </w:rPr>
        <w:t>c</w:t>
      </w:r>
      <w:r w:rsidRPr="00D734DD">
        <w:rPr>
          <w:rFonts w:ascii="Calibri" w:hAnsi="Calibri"/>
          <w:sz w:val="24"/>
          <w:szCs w:val="24"/>
        </w:rPr>
        <w:t>i</w:t>
      </w:r>
      <w:r w:rsidR="00D734DD">
        <w:rPr>
          <w:rFonts w:ascii="Calibri" w:hAnsi="Calibri"/>
          <w:sz w:val="24"/>
          <w:szCs w:val="24"/>
        </w:rPr>
        <w:tab/>
      </w:r>
      <w:r w:rsidR="00D734DD">
        <w:rPr>
          <w:rFonts w:ascii="Calibri" w:hAnsi="Calibri"/>
          <w:sz w:val="24"/>
          <w:szCs w:val="24"/>
        </w:rPr>
        <w:tab/>
      </w:r>
      <w:r w:rsidR="00C4514B" w:rsidRPr="00D734DD">
        <w:rPr>
          <w:sz w:val="24"/>
          <w:szCs w:val="24"/>
        </w:rPr>
        <w:t xml:space="preserve">Mgr. Daniel </w:t>
      </w:r>
      <w:proofErr w:type="spellStart"/>
      <w:r w:rsidR="00C4514B" w:rsidRPr="00D734DD">
        <w:rPr>
          <w:sz w:val="24"/>
          <w:szCs w:val="24"/>
        </w:rPr>
        <w:t>Böhm</w:t>
      </w:r>
      <w:proofErr w:type="spellEnd"/>
      <w:r w:rsidR="00150F5D">
        <w:rPr>
          <w:sz w:val="24"/>
          <w:szCs w:val="24"/>
        </w:rPr>
        <w:t>,</w:t>
      </w:r>
      <w:r w:rsidR="00885D84">
        <w:rPr>
          <w:sz w:val="24"/>
          <w:szCs w:val="24"/>
        </w:rPr>
        <w:t xml:space="preserve"> </w:t>
      </w:r>
      <w:r w:rsidR="00DC2CCC">
        <w:rPr>
          <w:sz w:val="24"/>
          <w:szCs w:val="24"/>
        </w:rPr>
        <w:t>tel. +420</w:t>
      </w:r>
      <w:r w:rsidR="006A782C">
        <w:rPr>
          <w:sz w:val="24"/>
          <w:szCs w:val="24"/>
        </w:rPr>
        <w:t> </w:t>
      </w:r>
      <w:r w:rsidR="00DC2CCC">
        <w:rPr>
          <w:sz w:val="24"/>
          <w:szCs w:val="24"/>
        </w:rPr>
        <w:t>274</w:t>
      </w:r>
      <w:r w:rsidR="006A782C">
        <w:rPr>
          <w:sz w:val="24"/>
          <w:szCs w:val="24"/>
        </w:rPr>
        <w:t> 052 874</w:t>
      </w:r>
    </w:p>
    <w:p w:rsidR="00C270A6" w:rsidRDefault="00C270A6" w:rsidP="00C270A6">
      <w:pPr>
        <w:pBdr>
          <w:bottom w:val="single" w:sz="6" w:space="6" w:color="auto"/>
        </w:pBdr>
        <w:spacing w:after="0"/>
        <w:ind w:firstLine="708"/>
        <w:jc w:val="both"/>
        <w:rPr>
          <w:sz w:val="24"/>
          <w:szCs w:val="24"/>
        </w:rPr>
      </w:pPr>
      <w:r>
        <w:rPr>
          <w:sz w:val="24"/>
          <w:szCs w:val="24"/>
        </w:rPr>
        <w:tab/>
      </w:r>
      <w:r>
        <w:rPr>
          <w:sz w:val="24"/>
          <w:szCs w:val="24"/>
        </w:rPr>
        <w:tab/>
      </w:r>
      <w:r>
        <w:rPr>
          <w:sz w:val="24"/>
          <w:szCs w:val="24"/>
        </w:rPr>
        <w:tab/>
      </w:r>
      <w:r>
        <w:rPr>
          <w:sz w:val="24"/>
          <w:szCs w:val="24"/>
        </w:rPr>
        <w:tab/>
      </w:r>
      <w:r w:rsidRPr="00D734DD">
        <w:rPr>
          <w:sz w:val="24"/>
          <w:szCs w:val="24"/>
        </w:rPr>
        <w:t>e-mail:</w:t>
      </w:r>
      <w:r w:rsidRPr="00C23617">
        <w:rPr>
          <w:sz w:val="24"/>
          <w:szCs w:val="24"/>
          <w:u w:val="single"/>
        </w:rPr>
        <w:t xml:space="preserve"> </w:t>
      </w:r>
      <w:hyperlink r:id="rId8" w:history="1">
        <w:r w:rsidRPr="00C23617">
          <w:rPr>
            <w:rStyle w:val="Hypertextovodkaz"/>
            <w:color w:val="000000" w:themeColor="text1"/>
            <w:sz w:val="24"/>
            <w:szCs w:val="24"/>
          </w:rPr>
          <w:t>daniel.bohm@czso.cz</w:t>
        </w:r>
      </w:hyperlink>
    </w:p>
    <w:p w:rsidR="00C270A6" w:rsidRDefault="00C270A6" w:rsidP="00C270A6">
      <w:pPr>
        <w:pBdr>
          <w:bottom w:val="single" w:sz="6" w:space="6" w:color="auto"/>
        </w:pBdr>
        <w:spacing w:after="0"/>
        <w:ind w:firstLine="708"/>
        <w:jc w:val="both"/>
        <w:rPr>
          <w:sz w:val="24"/>
          <w:szCs w:val="24"/>
        </w:rPr>
      </w:pPr>
      <w:r>
        <w:rPr>
          <w:sz w:val="24"/>
          <w:szCs w:val="24"/>
        </w:rPr>
        <w:tab/>
      </w:r>
      <w:r>
        <w:rPr>
          <w:sz w:val="24"/>
          <w:szCs w:val="24"/>
        </w:rPr>
        <w:tab/>
      </w:r>
      <w:r>
        <w:rPr>
          <w:sz w:val="24"/>
          <w:szCs w:val="24"/>
        </w:rPr>
        <w:tab/>
      </w:r>
      <w:r>
        <w:rPr>
          <w:sz w:val="24"/>
          <w:szCs w:val="24"/>
        </w:rPr>
        <w:tab/>
        <w:t>PhDr. Jaroslav Novák, CSc.</w:t>
      </w:r>
      <w:r w:rsidR="00150F5D">
        <w:rPr>
          <w:sz w:val="24"/>
          <w:szCs w:val="24"/>
        </w:rPr>
        <w:t>, tel. +420</w:t>
      </w:r>
      <w:r w:rsidR="00BE0692">
        <w:rPr>
          <w:sz w:val="24"/>
          <w:szCs w:val="24"/>
        </w:rPr>
        <w:t> 274 052 931</w:t>
      </w:r>
    </w:p>
    <w:p w:rsidR="00D734DD" w:rsidRDefault="00C270A6" w:rsidP="00C270A6">
      <w:pPr>
        <w:pBdr>
          <w:bottom w:val="single" w:sz="6" w:space="6" w:color="auto"/>
        </w:pBdr>
        <w:spacing w:after="0"/>
        <w:ind w:firstLine="708"/>
        <w:jc w:val="both"/>
        <w:rPr>
          <w:sz w:val="24"/>
          <w:szCs w:val="24"/>
        </w:rPr>
      </w:pPr>
      <w:r>
        <w:rPr>
          <w:sz w:val="24"/>
          <w:szCs w:val="24"/>
        </w:rPr>
        <w:tab/>
      </w:r>
      <w:r>
        <w:rPr>
          <w:sz w:val="24"/>
          <w:szCs w:val="24"/>
        </w:rPr>
        <w:tab/>
      </w:r>
      <w:r>
        <w:rPr>
          <w:sz w:val="24"/>
          <w:szCs w:val="24"/>
        </w:rPr>
        <w:tab/>
      </w:r>
      <w:r>
        <w:rPr>
          <w:sz w:val="24"/>
          <w:szCs w:val="24"/>
        </w:rPr>
        <w:tab/>
        <w:t>e-mail:</w:t>
      </w:r>
      <w:r w:rsidRPr="00C23617">
        <w:rPr>
          <w:color w:val="000000" w:themeColor="text1"/>
          <w:sz w:val="24"/>
          <w:szCs w:val="24"/>
          <w:u w:val="single"/>
        </w:rPr>
        <w:t xml:space="preserve"> </w:t>
      </w:r>
      <w:hyperlink r:id="rId9" w:history="1">
        <w:r w:rsidRPr="00C23617">
          <w:rPr>
            <w:rStyle w:val="Hypertextovodkaz"/>
            <w:color w:val="000000" w:themeColor="text1"/>
            <w:sz w:val="24"/>
            <w:szCs w:val="24"/>
          </w:rPr>
          <w:t>jaroslav.novak</w:t>
        </w:r>
        <w:r w:rsidRPr="00C23617">
          <w:rPr>
            <w:rStyle w:val="Hypertextovodkaz"/>
            <w:color w:val="000000" w:themeColor="text1"/>
            <w:sz w:val="24"/>
            <w:szCs w:val="24"/>
            <w:lang w:val="en-US"/>
          </w:rPr>
          <w:t>@c</w:t>
        </w:r>
        <w:r w:rsidRPr="00C23617">
          <w:rPr>
            <w:rStyle w:val="Hypertextovodkaz"/>
            <w:color w:val="000000" w:themeColor="text1"/>
            <w:sz w:val="24"/>
            <w:szCs w:val="24"/>
          </w:rPr>
          <w:t>zso.cz</w:t>
        </w:r>
      </w:hyperlink>
    </w:p>
    <w:p w:rsidR="00C270A6" w:rsidRDefault="00C270A6" w:rsidP="00ED7924">
      <w:pPr>
        <w:pBdr>
          <w:bottom w:val="single" w:sz="6" w:space="6" w:color="auto"/>
        </w:pBdr>
        <w:spacing w:after="0"/>
        <w:ind w:firstLine="708"/>
        <w:jc w:val="center"/>
        <w:rPr>
          <w:sz w:val="24"/>
          <w:szCs w:val="24"/>
        </w:rPr>
      </w:pPr>
    </w:p>
    <w:p w:rsidR="00C270A6" w:rsidRDefault="00C270A6" w:rsidP="00ED7924">
      <w:pPr>
        <w:pBdr>
          <w:bottom w:val="single" w:sz="6" w:space="6" w:color="auto"/>
        </w:pBdr>
        <w:spacing w:after="0"/>
        <w:ind w:firstLine="708"/>
        <w:jc w:val="center"/>
        <w:rPr>
          <w:sz w:val="24"/>
          <w:szCs w:val="24"/>
        </w:rPr>
      </w:pPr>
    </w:p>
    <w:p w:rsidR="00C270A6" w:rsidRPr="00C270A6" w:rsidRDefault="00C270A6" w:rsidP="00E04C80">
      <w:pPr>
        <w:spacing w:after="0"/>
        <w:jc w:val="center"/>
        <w:rPr>
          <w:rFonts w:ascii="Calibri" w:hAnsi="Calibri"/>
          <w:sz w:val="24"/>
          <w:szCs w:val="24"/>
        </w:rPr>
      </w:pPr>
    </w:p>
    <w:p w:rsidR="007352D2" w:rsidRPr="00C270A6" w:rsidRDefault="007352D2" w:rsidP="00E04C80">
      <w:pPr>
        <w:spacing w:after="0"/>
        <w:jc w:val="center"/>
        <w:rPr>
          <w:rFonts w:ascii="Calibri" w:hAnsi="Calibri"/>
          <w:sz w:val="28"/>
          <w:szCs w:val="28"/>
        </w:rPr>
      </w:pPr>
      <w:r w:rsidRPr="00C270A6">
        <w:rPr>
          <w:rFonts w:ascii="Calibri" w:hAnsi="Calibri"/>
          <w:sz w:val="28"/>
          <w:szCs w:val="28"/>
        </w:rPr>
        <w:t>Český statistický úřad</w:t>
      </w:r>
    </w:p>
    <w:p w:rsidR="007352D2" w:rsidRPr="00C270A6" w:rsidRDefault="007352D2" w:rsidP="00E04C80">
      <w:pPr>
        <w:jc w:val="center"/>
        <w:rPr>
          <w:rFonts w:ascii="Calibri" w:hAnsi="Calibri"/>
          <w:sz w:val="28"/>
          <w:szCs w:val="28"/>
        </w:rPr>
      </w:pPr>
      <w:r w:rsidRPr="00C270A6">
        <w:rPr>
          <w:rFonts w:ascii="Calibri" w:hAnsi="Calibri"/>
          <w:sz w:val="28"/>
          <w:szCs w:val="28"/>
        </w:rPr>
        <w:t>2015</w:t>
      </w:r>
    </w:p>
    <w:p w:rsidR="00E04C80" w:rsidRDefault="00E04C80" w:rsidP="007352D2">
      <w:pPr>
        <w:jc w:val="both"/>
        <w:rPr>
          <w:rFonts w:ascii="Calibri" w:hAnsi="Calibri"/>
          <w:sz w:val="28"/>
          <w:szCs w:val="28"/>
        </w:rPr>
      </w:pPr>
    </w:p>
    <w:p w:rsidR="001959CA" w:rsidRPr="009E7A89" w:rsidRDefault="001959CA" w:rsidP="00986FD4">
      <w:pPr>
        <w:jc w:val="center"/>
        <w:rPr>
          <w:rFonts w:ascii="Calibri" w:hAnsi="Calibri"/>
          <w:sz w:val="28"/>
          <w:szCs w:val="28"/>
        </w:rPr>
      </w:pPr>
      <w:r w:rsidRPr="009E7A89">
        <w:rPr>
          <w:rFonts w:ascii="Calibri" w:hAnsi="Calibri"/>
          <w:sz w:val="28"/>
          <w:szCs w:val="28"/>
        </w:rPr>
        <w:t>O B S A H</w:t>
      </w:r>
    </w:p>
    <w:p w:rsidR="001959CA" w:rsidRDefault="001959CA" w:rsidP="00986FD4">
      <w:pPr>
        <w:jc w:val="center"/>
        <w:rPr>
          <w:rFonts w:ascii="Calibri" w:hAnsi="Calibri"/>
          <w:sz w:val="28"/>
          <w:szCs w:val="28"/>
        </w:rPr>
      </w:pPr>
    </w:p>
    <w:p w:rsidR="00266076" w:rsidRPr="009E7A89" w:rsidRDefault="00266076" w:rsidP="00986FD4">
      <w:pPr>
        <w:jc w:val="center"/>
        <w:rPr>
          <w:rFonts w:ascii="Calibri" w:hAnsi="Calibri"/>
          <w:sz w:val="28"/>
          <w:szCs w:val="28"/>
        </w:rPr>
      </w:pPr>
    </w:p>
    <w:p w:rsidR="001959CA" w:rsidRPr="00AB6A44" w:rsidRDefault="001959CA" w:rsidP="00AB6A44">
      <w:pPr>
        <w:spacing w:after="120"/>
        <w:jc w:val="both"/>
        <w:rPr>
          <w:rFonts w:ascii="Calibri" w:hAnsi="Calibri"/>
          <w:sz w:val="28"/>
          <w:szCs w:val="28"/>
        </w:rPr>
      </w:pPr>
      <w:r w:rsidRPr="00AB6A44">
        <w:rPr>
          <w:rFonts w:ascii="Calibri" w:hAnsi="Calibri"/>
          <w:sz w:val="28"/>
          <w:szCs w:val="28"/>
        </w:rPr>
        <w:t>1.</w:t>
      </w:r>
      <w:r w:rsidR="00F87513" w:rsidRPr="00AB6A44">
        <w:rPr>
          <w:rFonts w:ascii="Calibri" w:hAnsi="Calibri"/>
          <w:sz w:val="28"/>
          <w:szCs w:val="28"/>
        </w:rPr>
        <w:tab/>
      </w:r>
      <w:r w:rsidRPr="00AB6A44">
        <w:rPr>
          <w:rFonts w:ascii="Calibri" w:hAnsi="Calibri"/>
          <w:sz w:val="28"/>
          <w:szCs w:val="28"/>
        </w:rPr>
        <w:t>Úvod</w:t>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0F26" w:rsidRPr="00AB6A44">
        <w:rPr>
          <w:rFonts w:ascii="Calibri" w:hAnsi="Calibri"/>
          <w:sz w:val="28"/>
          <w:szCs w:val="28"/>
        </w:rPr>
        <w:t>3</w:t>
      </w:r>
    </w:p>
    <w:p w:rsidR="001959CA" w:rsidRPr="00AB6A44" w:rsidRDefault="00F87513" w:rsidP="00AB6A44">
      <w:pPr>
        <w:spacing w:after="120"/>
        <w:jc w:val="both"/>
        <w:rPr>
          <w:rFonts w:ascii="Calibri" w:hAnsi="Calibri"/>
          <w:sz w:val="28"/>
          <w:szCs w:val="28"/>
        </w:rPr>
      </w:pPr>
      <w:r w:rsidRPr="00AB6A44">
        <w:rPr>
          <w:rFonts w:ascii="Calibri" w:hAnsi="Calibri"/>
          <w:sz w:val="28"/>
          <w:szCs w:val="28"/>
        </w:rPr>
        <w:t>2.</w:t>
      </w:r>
      <w:r w:rsidRPr="00AB6A44">
        <w:rPr>
          <w:rFonts w:ascii="Calibri" w:hAnsi="Calibri"/>
          <w:sz w:val="28"/>
          <w:szCs w:val="28"/>
        </w:rPr>
        <w:tab/>
        <w:t>Zdroje dat</w:t>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00F80F26" w:rsidRPr="00AB6A44">
        <w:rPr>
          <w:rFonts w:ascii="Calibri" w:hAnsi="Calibri"/>
          <w:sz w:val="28"/>
          <w:szCs w:val="28"/>
        </w:rPr>
        <w:t>4</w:t>
      </w:r>
    </w:p>
    <w:p w:rsidR="00AC2E51" w:rsidRPr="00AB6A44" w:rsidRDefault="00F87513" w:rsidP="00AB6A44">
      <w:pPr>
        <w:spacing w:after="120"/>
        <w:jc w:val="both"/>
        <w:rPr>
          <w:rFonts w:ascii="Calibri" w:hAnsi="Calibri"/>
          <w:sz w:val="28"/>
          <w:szCs w:val="28"/>
        </w:rPr>
      </w:pPr>
      <w:r w:rsidRPr="00AB6A44">
        <w:rPr>
          <w:rFonts w:ascii="Calibri" w:hAnsi="Calibri"/>
          <w:sz w:val="28"/>
          <w:szCs w:val="28"/>
        </w:rPr>
        <w:t>3.</w:t>
      </w:r>
      <w:r w:rsidRPr="00AB6A44">
        <w:rPr>
          <w:rFonts w:ascii="Calibri" w:hAnsi="Calibri"/>
          <w:sz w:val="28"/>
          <w:szCs w:val="28"/>
        </w:rPr>
        <w:tab/>
      </w:r>
      <w:r w:rsidR="00DA4FAD" w:rsidRPr="00AB6A44">
        <w:rPr>
          <w:rFonts w:ascii="Calibri" w:hAnsi="Calibri"/>
          <w:sz w:val="28"/>
          <w:szCs w:val="28"/>
        </w:rPr>
        <w:t>Vývoj ve vybraných kulturních odvětvích</w:t>
      </w:r>
      <w:r w:rsidR="00AC2E51" w:rsidRPr="00AB6A44">
        <w:rPr>
          <w:rFonts w:ascii="Calibri" w:hAnsi="Calibri"/>
          <w:sz w:val="28"/>
          <w:szCs w:val="28"/>
        </w:rPr>
        <w:t xml:space="preserve"> </w:t>
      </w:r>
      <w:r w:rsidR="00DA4FAD" w:rsidRPr="00AB6A44">
        <w:rPr>
          <w:rFonts w:ascii="Calibri" w:hAnsi="Calibri"/>
          <w:sz w:val="28"/>
          <w:szCs w:val="28"/>
        </w:rPr>
        <w:t>v</w:t>
      </w:r>
      <w:r w:rsidR="00AC2E51" w:rsidRPr="00AB6A44">
        <w:rPr>
          <w:rFonts w:ascii="Calibri" w:hAnsi="Calibri"/>
          <w:sz w:val="28"/>
          <w:szCs w:val="28"/>
        </w:rPr>
        <w:t> </w:t>
      </w:r>
      <w:r w:rsidR="00DA4FAD" w:rsidRPr="00AB6A44">
        <w:rPr>
          <w:rFonts w:ascii="Calibri" w:hAnsi="Calibri"/>
          <w:sz w:val="28"/>
          <w:szCs w:val="28"/>
        </w:rPr>
        <w:t>letech</w:t>
      </w:r>
    </w:p>
    <w:p w:rsidR="001959CA" w:rsidRPr="00AB6A44" w:rsidRDefault="00DA4FAD" w:rsidP="00AB6A44">
      <w:pPr>
        <w:spacing w:after="120"/>
        <w:ind w:firstLine="709"/>
        <w:jc w:val="both"/>
        <w:rPr>
          <w:rFonts w:ascii="Calibri" w:hAnsi="Calibri"/>
          <w:sz w:val="28"/>
          <w:szCs w:val="28"/>
        </w:rPr>
      </w:pPr>
      <w:r w:rsidRPr="00AB6A44">
        <w:rPr>
          <w:rFonts w:ascii="Calibri" w:hAnsi="Calibri"/>
          <w:sz w:val="28"/>
          <w:szCs w:val="28"/>
        </w:rPr>
        <w:t xml:space="preserve"> </w:t>
      </w:r>
      <w:r w:rsidR="001959CA" w:rsidRPr="00AB6A44">
        <w:rPr>
          <w:rFonts w:ascii="Calibri" w:hAnsi="Calibri"/>
          <w:sz w:val="28"/>
          <w:szCs w:val="28"/>
        </w:rPr>
        <w:t>200</w:t>
      </w:r>
      <w:r w:rsidR="00B738F0" w:rsidRPr="00AB6A44">
        <w:rPr>
          <w:rFonts w:ascii="Calibri" w:hAnsi="Calibri"/>
          <w:sz w:val="28"/>
          <w:szCs w:val="28"/>
        </w:rPr>
        <w:t>0</w:t>
      </w:r>
      <w:r w:rsidR="00F87513" w:rsidRPr="00AB6A44">
        <w:rPr>
          <w:rFonts w:ascii="Calibri" w:hAnsi="Calibri"/>
          <w:sz w:val="28"/>
          <w:szCs w:val="28"/>
        </w:rPr>
        <w:t xml:space="preserve"> – 20</w:t>
      </w:r>
      <w:r w:rsidRPr="00AB6A44">
        <w:rPr>
          <w:rFonts w:ascii="Calibri" w:hAnsi="Calibri"/>
          <w:sz w:val="28"/>
          <w:szCs w:val="28"/>
        </w:rPr>
        <w:t>13 v naturálních datech</w:t>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F87513" w:rsidRPr="00AB6A44">
        <w:rPr>
          <w:rFonts w:ascii="Calibri" w:hAnsi="Calibri"/>
          <w:sz w:val="28"/>
          <w:szCs w:val="28"/>
        </w:rPr>
        <w:tab/>
      </w:r>
      <w:r w:rsidR="00AC2E51" w:rsidRPr="00AB6A44">
        <w:rPr>
          <w:rFonts w:ascii="Calibri" w:hAnsi="Calibri"/>
          <w:sz w:val="28"/>
          <w:szCs w:val="28"/>
        </w:rPr>
        <w:tab/>
      </w:r>
      <w:r w:rsidR="0042493A" w:rsidRPr="00AB6A44">
        <w:rPr>
          <w:rFonts w:ascii="Calibri" w:hAnsi="Calibri"/>
          <w:sz w:val="28"/>
          <w:szCs w:val="28"/>
        </w:rPr>
        <w:t>7</w:t>
      </w:r>
    </w:p>
    <w:p w:rsidR="00B56FEE" w:rsidRDefault="00B56FEE" w:rsidP="00986FD4">
      <w:pPr>
        <w:ind w:firstLine="709"/>
        <w:jc w:val="both"/>
        <w:rPr>
          <w:rFonts w:ascii="Calibri" w:hAnsi="Calibri"/>
          <w:sz w:val="24"/>
          <w:szCs w:val="24"/>
        </w:rPr>
      </w:pPr>
      <w:r w:rsidRPr="00B56FEE">
        <w:rPr>
          <w:rFonts w:ascii="Calibri" w:hAnsi="Calibri"/>
          <w:sz w:val="24"/>
          <w:szCs w:val="24"/>
        </w:rPr>
        <w:t>3.1</w:t>
      </w:r>
      <w:r>
        <w:rPr>
          <w:rFonts w:ascii="Calibri" w:hAnsi="Calibri"/>
          <w:sz w:val="24"/>
          <w:szCs w:val="24"/>
        </w:rPr>
        <w:t>.</w:t>
      </w:r>
      <w:r w:rsidRPr="00B56FEE">
        <w:rPr>
          <w:rFonts w:ascii="Calibri" w:hAnsi="Calibri"/>
          <w:sz w:val="24"/>
          <w:szCs w:val="24"/>
        </w:rPr>
        <w:t xml:space="preserve">  Muzea</w:t>
      </w:r>
      <w:r>
        <w:rPr>
          <w:rFonts w:ascii="Calibri" w:hAnsi="Calibri"/>
          <w:sz w:val="24"/>
          <w:szCs w:val="24"/>
        </w:rPr>
        <w:t>, galerie a památkové objekty</w:t>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Pr>
          <w:rFonts w:ascii="Calibri" w:hAnsi="Calibri"/>
          <w:sz w:val="24"/>
          <w:szCs w:val="24"/>
        </w:rPr>
        <w:t>7</w:t>
      </w:r>
    </w:p>
    <w:p w:rsidR="00B56FEE" w:rsidRDefault="00B56FEE" w:rsidP="00986FD4">
      <w:pPr>
        <w:ind w:firstLine="709"/>
        <w:jc w:val="both"/>
        <w:rPr>
          <w:rFonts w:ascii="Calibri" w:hAnsi="Calibri"/>
          <w:sz w:val="24"/>
          <w:szCs w:val="24"/>
        </w:rPr>
      </w:pPr>
      <w:r>
        <w:rPr>
          <w:rFonts w:ascii="Calibri" w:hAnsi="Calibri"/>
          <w:sz w:val="24"/>
          <w:szCs w:val="24"/>
        </w:rPr>
        <w:t>3.2.  Knihovny</w:t>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Pr>
          <w:rFonts w:ascii="Calibri" w:hAnsi="Calibri"/>
          <w:sz w:val="24"/>
          <w:szCs w:val="24"/>
        </w:rPr>
        <w:t>9</w:t>
      </w:r>
    </w:p>
    <w:p w:rsidR="00B56FEE" w:rsidRDefault="00B56FEE" w:rsidP="00986FD4">
      <w:pPr>
        <w:ind w:firstLine="709"/>
        <w:jc w:val="both"/>
        <w:rPr>
          <w:rFonts w:ascii="Calibri" w:hAnsi="Calibri"/>
          <w:sz w:val="24"/>
          <w:szCs w:val="24"/>
        </w:rPr>
      </w:pPr>
      <w:r>
        <w:rPr>
          <w:rFonts w:ascii="Calibri" w:hAnsi="Calibri"/>
          <w:sz w:val="24"/>
          <w:szCs w:val="24"/>
        </w:rPr>
        <w:t>3.3.  Divadla</w:t>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Pr>
          <w:rFonts w:ascii="Calibri" w:hAnsi="Calibri"/>
          <w:sz w:val="24"/>
          <w:szCs w:val="24"/>
        </w:rPr>
        <w:t>12</w:t>
      </w:r>
    </w:p>
    <w:p w:rsidR="00B56FEE" w:rsidRDefault="00B56FEE" w:rsidP="00986FD4">
      <w:pPr>
        <w:ind w:firstLine="709"/>
        <w:jc w:val="both"/>
        <w:rPr>
          <w:rFonts w:ascii="Calibri" w:hAnsi="Calibri"/>
          <w:sz w:val="24"/>
          <w:szCs w:val="24"/>
        </w:rPr>
      </w:pPr>
      <w:r>
        <w:rPr>
          <w:rFonts w:ascii="Calibri" w:hAnsi="Calibri"/>
          <w:sz w:val="24"/>
          <w:szCs w:val="24"/>
        </w:rPr>
        <w:t>3.4.  Tisk</w:t>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Pr>
          <w:rFonts w:ascii="Calibri" w:hAnsi="Calibri"/>
          <w:sz w:val="24"/>
          <w:szCs w:val="24"/>
        </w:rPr>
        <w:t>16</w:t>
      </w:r>
    </w:p>
    <w:p w:rsidR="006820EF" w:rsidRPr="00B56FEE" w:rsidRDefault="006820EF" w:rsidP="00986FD4">
      <w:pPr>
        <w:ind w:firstLine="709"/>
        <w:jc w:val="both"/>
        <w:rPr>
          <w:rFonts w:ascii="Calibri" w:hAnsi="Calibri"/>
          <w:sz w:val="24"/>
          <w:szCs w:val="24"/>
        </w:rPr>
      </w:pPr>
      <w:r>
        <w:rPr>
          <w:rFonts w:ascii="Calibri" w:hAnsi="Calibri"/>
          <w:sz w:val="24"/>
          <w:szCs w:val="24"/>
        </w:rPr>
        <w:t>3.5.  Stručné shrnutí hodnocení vývoje naturálních dat</w:t>
      </w:r>
      <w:r w:rsidR="00533E10">
        <w:rPr>
          <w:rFonts w:ascii="Calibri" w:hAnsi="Calibri"/>
          <w:sz w:val="24"/>
          <w:szCs w:val="24"/>
        </w:rPr>
        <w:tab/>
      </w:r>
      <w:r w:rsidR="00533E10">
        <w:rPr>
          <w:rFonts w:ascii="Calibri" w:hAnsi="Calibri"/>
          <w:sz w:val="24"/>
          <w:szCs w:val="24"/>
        </w:rPr>
        <w:tab/>
      </w:r>
      <w:r w:rsidR="00533E10">
        <w:rPr>
          <w:rFonts w:ascii="Calibri" w:hAnsi="Calibri"/>
          <w:sz w:val="24"/>
          <w:szCs w:val="24"/>
        </w:rPr>
        <w:tab/>
      </w:r>
      <w:r>
        <w:rPr>
          <w:rFonts w:ascii="Calibri" w:hAnsi="Calibri"/>
          <w:sz w:val="24"/>
          <w:szCs w:val="24"/>
        </w:rPr>
        <w:t xml:space="preserve">18 </w:t>
      </w:r>
    </w:p>
    <w:p w:rsidR="00B56FEE" w:rsidRPr="00AB6A44" w:rsidRDefault="00F87513" w:rsidP="00AB6A44">
      <w:pPr>
        <w:spacing w:after="120"/>
        <w:jc w:val="both"/>
        <w:rPr>
          <w:rFonts w:ascii="Calibri" w:hAnsi="Calibri"/>
          <w:sz w:val="28"/>
          <w:szCs w:val="28"/>
        </w:rPr>
      </w:pPr>
      <w:r w:rsidRPr="00AB6A44">
        <w:rPr>
          <w:rFonts w:ascii="Calibri" w:hAnsi="Calibri"/>
          <w:sz w:val="28"/>
          <w:szCs w:val="28"/>
        </w:rPr>
        <w:t>4.</w:t>
      </w:r>
      <w:r w:rsidRPr="00AB6A44">
        <w:rPr>
          <w:rFonts w:ascii="Calibri" w:hAnsi="Calibri"/>
          <w:sz w:val="28"/>
          <w:szCs w:val="28"/>
        </w:rPr>
        <w:tab/>
      </w:r>
      <w:r w:rsidR="0042493A" w:rsidRPr="00AB6A44">
        <w:rPr>
          <w:rFonts w:ascii="Calibri" w:hAnsi="Calibri"/>
          <w:sz w:val="28"/>
          <w:szCs w:val="28"/>
        </w:rPr>
        <w:t>Vývoj kultury z pohledu hodnotových ukazatelů</w:t>
      </w:r>
      <w:r w:rsidR="0042493A" w:rsidRPr="00AB6A44">
        <w:rPr>
          <w:rFonts w:ascii="Calibri" w:hAnsi="Calibri"/>
          <w:sz w:val="28"/>
          <w:szCs w:val="28"/>
        </w:rPr>
        <w:tab/>
      </w:r>
      <w:r w:rsidR="0042493A" w:rsidRPr="00AB6A44">
        <w:rPr>
          <w:rFonts w:ascii="Calibri" w:hAnsi="Calibri"/>
          <w:sz w:val="28"/>
          <w:szCs w:val="28"/>
        </w:rPr>
        <w:tab/>
      </w:r>
      <w:r w:rsidR="00533E10" w:rsidRPr="00AB6A44">
        <w:rPr>
          <w:rFonts w:ascii="Calibri" w:hAnsi="Calibri"/>
          <w:sz w:val="28"/>
          <w:szCs w:val="28"/>
        </w:rPr>
        <w:tab/>
      </w:r>
      <w:r w:rsidR="00B56FEE" w:rsidRPr="00AB6A44">
        <w:rPr>
          <w:rFonts w:ascii="Calibri" w:hAnsi="Calibri"/>
          <w:sz w:val="28"/>
          <w:szCs w:val="28"/>
        </w:rPr>
        <w:t>19</w:t>
      </w:r>
    </w:p>
    <w:p w:rsidR="001959CA" w:rsidRPr="00AB6A44" w:rsidRDefault="00F87513" w:rsidP="00AB6A44">
      <w:pPr>
        <w:spacing w:after="120"/>
        <w:jc w:val="both"/>
        <w:rPr>
          <w:rFonts w:ascii="Calibri" w:hAnsi="Calibri"/>
          <w:sz w:val="28"/>
          <w:szCs w:val="28"/>
        </w:rPr>
      </w:pPr>
      <w:r w:rsidRPr="00AB6A44">
        <w:rPr>
          <w:rFonts w:ascii="Calibri" w:hAnsi="Calibri"/>
          <w:sz w:val="28"/>
          <w:szCs w:val="28"/>
        </w:rPr>
        <w:t>5.</w:t>
      </w:r>
      <w:r w:rsidRPr="00AB6A44">
        <w:rPr>
          <w:rFonts w:ascii="Calibri" w:hAnsi="Calibri"/>
          <w:sz w:val="28"/>
          <w:szCs w:val="28"/>
        </w:rPr>
        <w:tab/>
      </w:r>
      <w:r w:rsidR="00DE2DF9" w:rsidRPr="00AB6A44">
        <w:rPr>
          <w:rFonts w:ascii="Calibri" w:hAnsi="Calibri"/>
          <w:sz w:val="28"/>
          <w:szCs w:val="28"/>
        </w:rPr>
        <w:t xml:space="preserve">Nahlédnutí </w:t>
      </w:r>
      <w:r w:rsidR="001959CA" w:rsidRPr="00AB6A44">
        <w:rPr>
          <w:rFonts w:ascii="Calibri" w:hAnsi="Calibri"/>
          <w:sz w:val="28"/>
          <w:szCs w:val="28"/>
        </w:rPr>
        <w:t>do zahraničí</w:t>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3E10" w:rsidRPr="00AB6A44">
        <w:rPr>
          <w:rFonts w:ascii="Calibri" w:hAnsi="Calibri"/>
          <w:sz w:val="28"/>
          <w:szCs w:val="28"/>
        </w:rPr>
        <w:tab/>
      </w:r>
      <w:r w:rsidR="0053095D" w:rsidRPr="00AB6A44">
        <w:rPr>
          <w:rFonts w:ascii="Calibri" w:hAnsi="Calibri"/>
          <w:sz w:val="28"/>
          <w:szCs w:val="28"/>
        </w:rPr>
        <w:t>2</w:t>
      </w:r>
      <w:r w:rsidR="006D21C7" w:rsidRPr="00AB6A44">
        <w:rPr>
          <w:rFonts w:ascii="Calibri" w:hAnsi="Calibri"/>
          <w:sz w:val="28"/>
          <w:szCs w:val="28"/>
        </w:rPr>
        <w:t>4</w:t>
      </w:r>
    </w:p>
    <w:p w:rsidR="001959CA" w:rsidRPr="00AB6A44" w:rsidRDefault="00F87513" w:rsidP="00AB6A44">
      <w:pPr>
        <w:spacing w:after="120"/>
        <w:jc w:val="both"/>
        <w:rPr>
          <w:rFonts w:ascii="Calibri" w:hAnsi="Calibri"/>
          <w:sz w:val="28"/>
          <w:szCs w:val="28"/>
        </w:rPr>
      </w:pPr>
      <w:r w:rsidRPr="00AB6A44">
        <w:rPr>
          <w:rFonts w:ascii="Calibri" w:hAnsi="Calibri"/>
          <w:sz w:val="28"/>
          <w:szCs w:val="28"/>
        </w:rPr>
        <w:t>6.</w:t>
      </w:r>
      <w:r w:rsidRPr="00AB6A44">
        <w:rPr>
          <w:rFonts w:ascii="Calibri" w:hAnsi="Calibri"/>
          <w:sz w:val="28"/>
          <w:szCs w:val="28"/>
        </w:rPr>
        <w:tab/>
      </w:r>
      <w:r w:rsidR="001959CA" w:rsidRPr="00AB6A44">
        <w:rPr>
          <w:rFonts w:ascii="Calibri" w:hAnsi="Calibri"/>
          <w:sz w:val="28"/>
          <w:szCs w:val="28"/>
        </w:rPr>
        <w:t>Závěry</w:t>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095D" w:rsidRPr="00AB6A44">
        <w:rPr>
          <w:rFonts w:ascii="Calibri" w:hAnsi="Calibri"/>
          <w:sz w:val="28"/>
          <w:szCs w:val="28"/>
        </w:rPr>
        <w:tab/>
      </w:r>
      <w:r w:rsidR="00533E10" w:rsidRPr="00AB6A44">
        <w:rPr>
          <w:rFonts w:ascii="Calibri" w:hAnsi="Calibri"/>
          <w:sz w:val="28"/>
          <w:szCs w:val="28"/>
        </w:rPr>
        <w:tab/>
      </w:r>
      <w:r w:rsidR="0053095D" w:rsidRPr="00AB6A44">
        <w:rPr>
          <w:rFonts w:ascii="Calibri" w:hAnsi="Calibri"/>
          <w:sz w:val="28"/>
          <w:szCs w:val="28"/>
        </w:rPr>
        <w:t>2</w:t>
      </w:r>
      <w:r w:rsidR="006D21C7" w:rsidRPr="00AB6A44">
        <w:rPr>
          <w:rFonts w:ascii="Calibri" w:hAnsi="Calibri"/>
          <w:sz w:val="28"/>
          <w:szCs w:val="28"/>
        </w:rPr>
        <w:t>5</w:t>
      </w:r>
    </w:p>
    <w:p w:rsidR="00F80F26" w:rsidRPr="00AB6A44" w:rsidRDefault="00C71DA4" w:rsidP="00AB6A44">
      <w:pPr>
        <w:spacing w:after="120"/>
        <w:jc w:val="both"/>
        <w:rPr>
          <w:rFonts w:ascii="Calibri" w:hAnsi="Calibri"/>
          <w:sz w:val="28"/>
          <w:szCs w:val="28"/>
        </w:rPr>
      </w:pPr>
      <w:r w:rsidRPr="00AB6A44">
        <w:rPr>
          <w:rFonts w:ascii="Calibri" w:hAnsi="Calibri"/>
          <w:sz w:val="28"/>
          <w:szCs w:val="28"/>
        </w:rPr>
        <w:t>Použité zdroje a literatura</w:t>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Pr="00AB6A44">
        <w:rPr>
          <w:rFonts w:ascii="Calibri" w:hAnsi="Calibri"/>
          <w:sz w:val="28"/>
          <w:szCs w:val="28"/>
        </w:rPr>
        <w:tab/>
      </w:r>
      <w:r w:rsidR="00533E10" w:rsidRPr="00AB6A44">
        <w:rPr>
          <w:rFonts w:ascii="Calibri" w:hAnsi="Calibri"/>
          <w:sz w:val="28"/>
          <w:szCs w:val="28"/>
        </w:rPr>
        <w:tab/>
      </w:r>
      <w:r w:rsidR="00533E10" w:rsidRPr="00AB6A44">
        <w:rPr>
          <w:rFonts w:ascii="Calibri" w:hAnsi="Calibri"/>
          <w:sz w:val="28"/>
          <w:szCs w:val="28"/>
        </w:rPr>
        <w:tab/>
      </w:r>
      <w:r w:rsidRPr="00AB6A44">
        <w:rPr>
          <w:rFonts w:ascii="Calibri" w:hAnsi="Calibri"/>
          <w:sz w:val="28"/>
          <w:szCs w:val="28"/>
        </w:rPr>
        <w:t>2</w:t>
      </w:r>
      <w:r w:rsidR="00C96418">
        <w:rPr>
          <w:rFonts w:ascii="Calibri" w:hAnsi="Calibri"/>
          <w:sz w:val="28"/>
          <w:szCs w:val="28"/>
        </w:rPr>
        <w:t>8</w:t>
      </w:r>
    </w:p>
    <w:p w:rsidR="001959CA" w:rsidRPr="009E7A89" w:rsidRDefault="001959CA" w:rsidP="00986FD4">
      <w:pPr>
        <w:jc w:val="center"/>
        <w:rPr>
          <w:rFonts w:ascii="Calibri" w:hAnsi="Calibri"/>
          <w:sz w:val="32"/>
          <w:szCs w:val="32"/>
        </w:rPr>
      </w:pPr>
    </w:p>
    <w:p w:rsidR="001959CA" w:rsidRPr="009E7A89" w:rsidRDefault="001959CA" w:rsidP="00986FD4">
      <w:pPr>
        <w:jc w:val="center"/>
        <w:rPr>
          <w:rFonts w:ascii="Calibri" w:hAnsi="Calibri"/>
          <w:sz w:val="32"/>
          <w:szCs w:val="32"/>
        </w:rPr>
      </w:pPr>
    </w:p>
    <w:p w:rsidR="001959CA" w:rsidRPr="009E7A89" w:rsidRDefault="001959CA" w:rsidP="00986FD4">
      <w:pPr>
        <w:jc w:val="center"/>
        <w:rPr>
          <w:rFonts w:ascii="Calibri" w:hAnsi="Calibri"/>
          <w:sz w:val="32"/>
          <w:szCs w:val="32"/>
        </w:rPr>
      </w:pPr>
    </w:p>
    <w:p w:rsidR="0074229C" w:rsidRPr="009E7A89" w:rsidRDefault="0074229C" w:rsidP="00986FD4">
      <w:pPr>
        <w:jc w:val="center"/>
        <w:rPr>
          <w:rFonts w:ascii="Calibri" w:hAnsi="Calibri"/>
          <w:sz w:val="32"/>
          <w:szCs w:val="32"/>
        </w:rPr>
      </w:pPr>
    </w:p>
    <w:p w:rsidR="0074229C" w:rsidRPr="009E7A89" w:rsidRDefault="0074229C" w:rsidP="00986FD4">
      <w:pPr>
        <w:jc w:val="center"/>
        <w:rPr>
          <w:rFonts w:ascii="Calibri" w:hAnsi="Calibri"/>
          <w:sz w:val="32"/>
          <w:szCs w:val="32"/>
        </w:rPr>
      </w:pPr>
    </w:p>
    <w:p w:rsidR="0074229C" w:rsidRDefault="0074229C" w:rsidP="00986FD4">
      <w:pPr>
        <w:jc w:val="center"/>
        <w:rPr>
          <w:rFonts w:ascii="Calibri" w:hAnsi="Calibri"/>
          <w:sz w:val="32"/>
          <w:szCs w:val="32"/>
        </w:rPr>
      </w:pPr>
    </w:p>
    <w:p w:rsidR="00393F8A" w:rsidRDefault="00393F8A" w:rsidP="00986FD4">
      <w:pPr>
        <w:jc w:val="center"/>
        <w:rPr>
          <w:rFonts w:ascii="Calibri" w:hAnsi="Calibri"/>
          <w:sz w:val="32"/>
          <w:szCs w:val="32"/>
        </w:rPr>
      </w:pPr>
    </w:p>
    <w:p w:rsidR="0055499D" w:rsidRDefault="0055499D" w:rsidP="00986FD4">
      <w:pPr>
        <w:jc w:val="center"/>
        <w:rPr>
          <w:rFonts w:ascii="Calibri" w:hAnsi="Calibri"/>
          <w:sz w:val="32"/>
          <w:szCs w:val="32"/>
        </w:rPr>
      </w:pPr>
    </w:p>
    <w:p w:rsidR="00264960" w:rsidRPr="00266076" w:rsidRDefault="00264960" w:rsidP="00986FD4">
      <w:pPr>
        <w:jc w:val="both"/>
        <w:rPr>
          <w:rFonts w:ascii="Calibri" w:hAnsi="Calibri"/>
          <w:b/>
          <w:sz w:val="28"/>
          <w:szCs w:val="28"/>
        </w:rPr>
      </w:pPr>
      <w:r w:rsidRPr="00266076">
        <w:rPr>
          <w:rFonts w:ascii="Calibri" w:hAnsi="Calibri"/>
          <w:b/>
          <w:sz w:val="28"/>
          <w:szCs w:val="28"/>
        </w:rPr>
        <w:lastRenderedPageBreak/>
        <w:t>1. Úvod</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Kultura se nesporně řadí mezi nejsložitější oblasti společenského života. Její projevy jsou nejen mnohostranné, ale ve značné míře také nehmotné a proto i stěží „uchopitelné“. Nesnadná je pouhá odpověď na otázku co to je kultura, co do ní patří a kde lze vysledovat její hrance. V souladu s </w:t>
      </w:r>
      <w:r w:rsidRPr="009E7A89">
        <w:rPr>
          <w:rFonts w:ascii="Calibri" w:hAnsi="Calibri"/>
          <w:b/>
          <w:sz w:val="24"/>
          <w:szCs w:val="24"/>
        </w:rPr>
        <w:t>definicí UNESCO</w:t>
      </w:r>
      <w:r w:rsidRPr="009E7A89">
        <w:rPr>
          <w:rFonts w:ascii="Calibri" w:hAnsi="Calibri"/>
          <w:sz w:val="24"/>
          <w:szCs w:val="24"/>
        </w:rPr>
        <w:t xml:space="preserve"> je kultura „souborem distinktivních duchovních a hmotných, intelektuálních a citových rysů, které charakterizují společnost nebo společenskou skupinu; spolu s uměním a písemnictvím zahrnuje také způsoby života a soužití, hodnotové systémy, tradice a přesvědčení.“ </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Postihnout vyčerpávajícím způsobem takto složitou část reality je nad naše možnosti poznání, zobecnění a následného hodnocení.  Máme-li provést souhrnnou charakteristiku společenských jevů a jejich vývoje v čase, uchylujeme se nejvíce ke kvantitativním metodám a soudům.  Ty jsou obvykle založeny na statistických či ekonomických (účetních) přístupech spojených s určitou </w:t>
      </w:r>
      <w:proofErr w:type="spellStart"/>
      <w:r w:rsidRPr="009E7A89">
        <w:rPr>
          <w:rFonts w:ascii="Calibri" w:hAnsi="Calibri"/>
          <w:sz w:val="24"/>
          <w:szCs w:val="24"/>
        </w:rPr>
        <w:t>institucionalizací</w:t>
      </w:r>
      <w:proofErr w:type="spellEnd"/>
      <w:r w:rsidRPr="009E7A89">
        <w:rPr>
          <w:rFonts w:ascii="Calibri" w:hAnsi="Calibri"/>
          <w:sz w:val="24"/>
          <w:szCs w:val="24"/>
        </w:rPr>
        <w:t xml:space="preserve"> předmětu hodnocení. Mohou tak s větší či menší přesností vypovídat o ekonomických veličinách dané kulturní instituce, popř. oboru či celého odvětví, nikoli však o takových jevech</w:t>
      </w:r>
      <w:r w:rsidR="004C20A9">
        <w:rPr>
          <w:rFonts w:ascii="Calibri" w:hAnsi="Calibri"/>
          <w:sz w:val="24"/>
          <w:szCs w:val="24"/>
        </w:rPr>
        <w:t>,</w:t>
      </w:r>
      <w:r w:rsidRPr="009E7A89">
        <w:rPr>
          <w:rFonts w:ascii="Calibri" w:hAnsi="Calibri"/>
          <w:sz w:val="24"/>
          <w:szCs w:val="24"/>
        </w:rPr>
        <w:t xml:space="preserve"> jakými jsou např. způsoby života, zvyky a tradice </w:t>
      </w:r>
      <w:r w:rsidR="00C56C29">
        <w:rPr>
          <w:rFonts w:ascii="Calibri" w:hAnsi="Calibri"/>
          <w:sz w:val="24"/>
          <w:szCs w:val="24"/>
        </w:rPr>
        <w:t xml:space="preserve">nebo projevy </w:t>
      </w:r>
      <w:r w:rsidRPr="009E7A89">
        <w:rPr>
          <w:rFonts w:ascii="Calibri" w:hAnsi="Calibri"/>
          <w:sz w:val="24"/>
          <w:szCs w:val="24"/>
        </w:rPr>
        <w:t xml:space="preserve">kreativní činnosti lidí. Jinými slovy to znamená, že se nám </w:t>
      </w:r>
      <w:r w:rsidRPr="009E7A89">
        <w:rPr>
          <w:rFonts w:ascii="Calibri" w:hAnsi="Calibri"/>
          <w:b/>
          <w:sz w:val="24"/>
          <w:szCs w:val="24"/>
        </w:rPr>
        <w:t>nepodaří postihnout jednotlivé jevové formy kultury</w:t>
      </w:r>
      <w:r w:rsidRPr="009E7A89">
        <w:rPr>
          <w:rFonts w:ascii="Calibri" w:hAnsi="Calibri"/>
          <w:sz w:val="24"/>
          <w:szCs w:val="24"/>
        </w:rPr>
        <w:t xml:space="preserve">, ale </w:t>
      </w:r>
      <w:r w:rsidRPr="009E7A89">
        <w:rPr>
          <w:rFonts w:ascii="Calibri" w:hAnsi="Calibri"/>
          <w:b/>
          <w:sz w:val="24"/>
          <w:szCs w:val="24"/>
        </w:rPr>
        <w:t xml:space="preserve">pouze </w:t>
      </w:r>
      <w:r w:rsidRPr="009E7A89">
        <w:rPr>
          <w:rFonts w:ascii="Calibri" w:hAnsi="Calibri"/>
          <w:sz w:val="24"/>
          <w:szCs w:val="24"/>
        </w:rPr>
        <w:t xml:space="preserve">to, co by se dalo nazvat </w:t>
      </w:r>
      <w:r w:rsidRPr="009E7A89">
        <w:rPr>
          <w:rFonts w:ascii="Calibri" w:hAnsi="Calibri"/>
          <w:b/>
          <w:sz w:val="24"/>
          <w:szCs w:val="24"/>
        </w:rPr>
        <w:t>„ kulturní</w:t>
      </w:r>
      <w:r w:rsidRPr="009E7A89">
        <w:rPr>
          <w:rFonts w:ascii="Calibri" w:hAnsi="Calibri"/>
          <w:sz w:val="24"/>
          <w:szCs w:val="24"/>
        </w:rPr>
        <w:t xml:space="preserve"> </w:t>
      </w:r>
      <w:r w:rsidRPr="009E7A89">
        <w:rPr>
          <w:rFonts w:ascii="Calibri" w:hAnsi="Calibri"/>
          <w:b/>
          <w:sz w:val="24"/>
          <w:szCs w:val="24"/>
        </w:rPr>
        <w:t>infrastrukturou“</w:t>
      </w:r>
      <w:r w:rsidRPr="009E7A89">
        <w:rPr>
          <w:rFonts w:ascii="Calibri" w:hAnsi="Calibri"/>
          <w:sz w:val="24"/>
          <w:szCs w:val="24"/>
        </w:rPr>
        <w:t xml:space="preserve"> (např. počty divadel, muzeí, knihoven, jejich příjmy a výdaje, návštěvnost atd.).</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Avšak i tento skromnější přístup má svá úskalí. Je otázkou, do jaké míry jsou vypovídající hodnotové ukazatele v případě nesnadného či dokonce nemožného ocenění některých uměleckých děl. Podobně tomu je s využitím naturálních ukazatelů návštěvnosti, počtu diváků či odehraných představení ve vztahu k umělecké úrovni odpovídajících kulturních statků a služeb.  Zdá se, že na rozdíl od přímého prožívání kulturních jevů, je jakékoli jejich racionální hodnocení </w:t>
      </w:r>
      <w:r w:rsidR="00DB11D1">
        <w:rPr>
          <w:rFonts w:ascii="Calibri" w:hAnsi="Calibri"/>
          <w:sz w:val="24"/>
          <w:szCs w:val="24"/>
        </w:rPr>
        <w:t>neplnohodnotné a omezené.</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Další významnou okolností - o které je třeba se úvodem do následujícího textu zmínit - je </w:t>
      </w:r>
      <w:r w:rsidRPr="009E7A89">
        <w:rPr>
          <w:rFonts w:ascii="Calibri" w:hAnsi="Calibri"/>
          <w:b/>
          <w:sz w:val="24"/>
          <w:szCs w:val="24"/>
        </w:rPr>
        <w:t>vztah mezi tendencemi či směry vývoje ekonomiky a kultury</w:t>
      </w:r>
      <w:r w:rsidRPr="009E7A89">
        <w:rPr>
          <w:rFonts w:ascii="Calibri" w:hAnsi="Calibri"/>
          <w:sz w:val="24"/>
          <w:szCs w:val="24"/>
        </w:rPr>
        <w:t xml:space="preserve">. Historické zkušenosti naznačují, že se tyto dvě oblasti společenského života často nevyvíjejí souhlasně.  Zdá se, že kultura má těsnější – více či méně zřejmý – vztah  ke společenským a politickým událostem.  Nabízí se proto otázka, jak tomu je v současném </w:t>
      </w:r>
      <w:r w:rsidRPr="009E7A89">
        <w:rPr>
          <w:rFonts w:ascii="Calibri" w:hAnsi="Calibri"/>
          <w:b/>
          <w:sz w:val="24"/>
          <w:szCs w:val="24"/>
        </w:rPr>
        <w:t>období,</w:t>
      </w:r>
      <w:r w:rsidRPr="009E7A89">
        <w:rPr>
          <w:rFonts w:ascii="Calibri" w:hAnsi="Calibri"/>
          <w:sz w:val="24"/>
          <w:szCs w:val="24"/>
        </w:rPr>
        <w:t xml:space="preserve"> které nejen že následuje </w:t>
      </w:r>
      <w:r w:rsidRPr="009E7A89">
        <w:rPr>
          <w:rFonts w:ascii="Calibri" w:hAnsi="Calibri"/>
          <w:b/>
          <w:sz w:val="24"/>
          <w:szCs w:val="24"/>
        </w:rPr>
        <w:t>po zásadních celospolečenských změnách z roku 1989</w:t>
      </w:r>
      <w:r w:rsidRPr="009E7A89">
        <w:rPr>
          <w:rFonts w:ascii="Calibri" w:hAnsi="Calibri"/>
          <w:sz w:val="24"/>
          <w:szCs w:val="24"/>
        </w:rPr>
        <w:t xml:space="preserve">, ale je také poznamenáno </w:t>
      </w:r>
      <w:r w:rsidRPr="009E7A89">
        <w:rPr>
          <w:rFonts w:ascii="Calibri" w:hAnsi="Calibri"/>
          <w:b/>
          <w:sz w:val="24"/>
          <w:szCs w:val="24"/>
        </w:rPr>
        <w:t>finanční a ekonomickou krizí po roce 2007?</w:t>
      </w:r>
      <w:r w:rsidRPr="009E7A89">
        <w:rPr>
          <w:rFonts w:ascii="Calibri" w:hAnsi="Calibri"/>
          <w:sz w:val="24"/>
          <w:szCs w:val="24"/>
        </w:rPr>
        <w:t xml:space="preserve">  Hledání odpovědi není snadné. Nejen z výše uvedených příčin omezení našeho poznání, ale i proto, že hodnocení kvalit</w:t>
      </w:r>
      <w:r w:rsidR="0055499D">
        <w:rPr>
          <w:rFonts w:ascii="Calibri" w:hAnsi="Calibri"/>
          <w:sz w:val="24"/>
          <w:szCs w:val="24"/>
        </w:rPr>
        <w:t xml:space="preserve">ativní stránky kulturních jevů </w:t>
      </w:r>
      <w:r w:rsidRPr="009E7A89">
        <w:rPr>
          <w:rFonts w:ascii="Calibri" w:hAnsi="Calibri"/>
          <w:sz w:val="24"/>
          <w:szCs w:val="24"/>
        </w:rPr>
        <w:t>si obvykle vyžádá mnohem delší časový odstup (někdy i několika desetiletí), než tomu je v případ</w:t>
      </w:r>
      <w:r w:rsidR="00076225">
        <w:rPr>
          <w:rFonts w:ascii="Calibri" w:hAnsi="Calibri"/>
          <w:sz w:val="24"/>
          <w:szCs w:val="24"/>
        </w:rPr>
        <w:t>ě jiných oblastí našeho života.</w:t>
      </w:r>
    </w:p>
    <w:p w:rsidR="00264960" w:rsidRPr="009E7A89" w:rsidRDefault="00264960" w:rsidP="005F3A55">
      <w:pPr>
        <w:spacing w:after="0"/>
        <w:ind w:firstLine="284"/>
        <w:jc w:val="both"/>
        <w:rPr>
          <w:rFonts w:ascii="Calibri" w:hAnsi="Calibri"/>
          <w:sz w:val="24"/>
          <w:szCs w:val="24"/>
        </w:rPr>
      </w:pPr>
      <w:r w:rsidRPr="009E7A89">
        <w:rPr>
          <w:rFonts w:ascii="Calibri" w:hAnsi="Calibri"/>
          <w:sz w:val="24"/>
          <w:szCs w:val="24"/>
        </w:rPr>
        <w:t xml:space="preserve">S  vědomím všech výše uvedených potíží a omezení je třeba přistupovat i k této analýze. </w:t>
      </w:r>
    </w:p>
    <w:p w:rsidR="00264960" w:rsidRPr="009E7A89" w:rsidRDefault="00264960" w:rsidP="00986FD4">
      <w:pPr>
        <w:jc w:val="both"/>
        <w:rPr>
          <w:rFonts w:ascii="Calibri" w:hAnsi="Calibri"/>
          <w:sz w:val="24"/>
          <w:szCs w:val="24"/>
        </w:rPr>
      </w:pPr>
    </w:p>
    <w:p w:rsidR="00264960" w:rsidRPr="009E7A89" w:rsidRDefault="00264960" w:rsidP="00986FD4">
      <w:pPr>
        <w:jc w:val="both"/>
        <w:rPr>
          <w:rFonts w:ascii="Calibri" w:hAnsi="Calibri"/>
          <w:sz w:val="24"/>
          <w:szCs w:val="24"/>
        </w:rPr>
      </w:pPr>
      <w:r w:rsidRPr="009E7A89">
        <w:rPr>
          <w:rFonts w:ascii="Calibri" w:hAnsi="Calibri"/>
          <w:sz w:val="24"/>
          <w:szCs w:val="24"/>
        </w:rPr>
        <w:t xml:space="preserve"> </w:t>
      </w:r>
    </w:p>
    <w:p w:rsidR="00264960" w:rsidRPr="00266076" w:rsidRDefault="00264960" w:rsidP="00986FD4">
      <w:pPr>
        <w:jc w:val="both"/>
        <w:rPr>
          <w:rFonts w:ascii="Calibri" w:hAnsi="Calibri"/>
          <w:b/>
          <w:sz w:val="28"/>
          <w:szCs w:val="28"/>
        </w:rPr>
      </w:pPr>
      <w:r w:rsidRPr="009E7A89">
        <w:rPr>
          <w:rFonts w:ascii="Calibri" w:hAnsi="Calibri"/>
          <w:sz w:val="24"/>
          <w:szCs w:val="24"/>
        </w:rPr>
        <w:lastRenderedPageBreak/>
        <w:t xml:space="preserve"> </w:t>
      </w:r>
      <w:r w:rsidR="00D040CD" w:rsidRPr="00266076">
        <w:rPr>
          <w:rFonts w:ascii="Calibri" w:hAnsi="Calibri"/>
          <w:b/>
          <w:sz w:val="28"/>
          <w:szCs w:val="28"/>
        </w:rPr>
        <w:t>2.  Zdroje dat</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Základním </w:t>
      </w:r>
      <w:r w:rsidRPr="009E7A89">
        <w:rPr>
          <w:rFonts w:ascii="Calibri" w:hAnsi="Calibri"/>
          <w:b/>
          <w:sz w:val="24"/>
          <w:szCs w:val="24"/>
        </w:rPr>
        <w:t>problémem</w:t>
      </w:r>
      <w:r w:rsidRPr="009E7A89">
        <w:rPr>
          <w:rFonts w:ascii="Calibri" w:hAnsi="Calibri"/>
          <w:sz w:val="24"/>
          <w:szCs w:val="24"/>
        </w:rPr>
        <w:t xml:space="preserve"> souvisejícím se statistickými údaji </w:t>
      </w:r>
      <w:r w:rsidRPr="009E7A89">
        <w:rPr>
          <w:rFonts w:ascii="Calibri" w:hAnsi="Calibri"/>
          <w:b/>
          <w:sz w:val="24"/>
          <w:szCs w:val="24"/>
        </w:rPr>
        <w:t>jsou dva protichůdné</w:t>
      </w:r>
      <w:r w:rsidRPr="009E7A89">
        <w:rPr>
          <w:rFonts w:ascii="Calibri" w:hAnsi="Calibri"/>
          <w:sz w:val="24"/>
          <w:szCs w:val="24"/>
        </w:rPr>
        <w:t xml:space="preserve"> požadavky, které </w:t>
      </w:r>
      <w:r w:rsidRPr="009E7A89">
        <w:rPr>
          <w:rFonts w:ascii="Calibri" w:hAnsi="Calibri"/>
          <w:b/>
          <w:sz w:val="24"/>
          <w:szCs w:val="24"/>
        </w:rPr>
        <w:t xml:space="preserve">na rozsah využitelných zdrojů </w:t>
      </w:r>
      <w:r w:rsidRPr="009E7A89">
        <w:rPr>
          <w:rFonts w:ascii="Calibri" w:hAnsi="Calibri"/>
          <w:sz w:val="24"/>
          <w:szCs w:val="24"/>
        </w:rPr>
        <w:t>dat klademe. S ohledem na únosnou míru zátěže respondentů i vlastních zpracovatelských kapacit je nutné spíše omezovat rozsah zjišťování, avšak zároveň na straně druhé průběžně vznikají potřeby nových a podrobnějších dat. Za řešení tohoto rozporu je označováno využití tzv. administrativních údajů, které již byly – obvykle z jiného důvodu – vytvořeny či vyšetřeny. Toto řešení je však pouze částečné a nedokonalé. V porovnání s daty splňujícími zamýšlený účel bývají administrativní data obvykle obecnější, v jiné struktuře a metodice, v rozdílné úrovni věrohodnosti a z pohledu času často dosažitelná v nevho</w:t>
      </w:r>
      <w:r w:rsidR="00770291">
        <w:rPr>
          <w:rFonts w:ascii="Calibri" w:hAnsi="Calibri"/>
          <w:sz w:val="24"/>
          <w:szCs w:val="24"/>
        </w:rPr>
        <w:t>dnou dobu.</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Specifika kultury problémy nedostatku potřebných dat ještě prohlubují. Potíže spojené s jejím „uchopením“ jako objektu poznání a hodnocení ovlivňují i roz</w:t>
      </w:r>
      <w:r w:rsidR="00C56C29">
        <w:rPr>
          <w:rFonts w:ascii="Calibri" w:hAnsi="Calibri"/>
          <w:sz w:val="24"/>
          <w:szCs w:val="24"/>
        </w:rPr>
        <w:t xml:space="preserve">sah a využitelnost zdrojů dat. </w:t>
      </w:r>
      <w:r w:rsidRPr="009E7A89">
        <w:rPr>
          <w:rFonts w:ascii="Calibri" w:hAnsi="Calibri"/>
          <w:sz w:val="24"/>
          <w:szCs w:val="24"/>
        </w:rPr>
        <w:t xml:space="preserve">Důvodů je více. Mimo ty, které jsou uvedeny výše, je tomu tak i proto, že kultura obvykle nebývá v popředí statistických či jiných zjišťování sloužících pro potřeby hodnocení vývoje ekonomiky. Je to zřejmé již v případě mezinárodních klasifikací členících aktivity do odvětví, oborů, produktů či druhů výdajů apod. V případě klasifikace ekonomických činností NACE </w:t>
      </w:r>
      <w:r w:rsidRPr="009E7A89">
        <w:rPr>
          <w:rFonts w:ascii="Calibri" w:hAnsi="Calibri"/>
          <w:b/>
          <w:sz w:val="24"/>
          <w:szCs w:val="24"/>
        </w:rPr>
        <w:t>jsou mnohé kulturní obory a činnosti agregovány s obory ne - kulturními</w:t>
      </w:r>
      <w:r w:rsidRPr="009E7A89">
        <w:rPr>
          <w:rFonts w:ascii="Calibri" w:hAnsi="Calibri"/>
          <w:sz w:val="24"/>
          <w:szCs w:val="24"/>
        </w:rPr>
        <w:t xml:space="preserve"> a hledané údaje je proto nezbytné složitě propočítávat resp. odhadovat. Podobně tomu je s klasifikacemi týkajícími se veřejných výdajů (COFOG) či individuální spotřeby (COICOP), které slučují kulturu do oddílu s rekreačními aktivitami, popř. s církvemi.  </w:t>
      </w:r>
    </w:p>
    <w:p w:rsidR="00264960" w:rsidRPr="009E7A89" w:rsidRDefault="00264960" w:rsidP="00C56C29">
      <w:pPr>
        <w:spacing w:after="0"/>
        <w:ind w:firstLine="284"/>
        <w:jc w:val="both"/>
        <w:rPr>
          <w:rFonts w:ascii="Calibri" w:hAnsi="Calibri"/>
          <w:sz w:val="24"/>
          <w:szCs w:val="24"/>
        </w:rPr>
      </w:pPr>
      <w:r w:rsidRPr="009E7A89">
        <w:rPr>
          <w:rFonts w:ascii="Calibri" w:hAnsi="Calibri"/>
          <w:sz w:val="24"/>
          <w:szCs w:val="24"/>
        </w:rPr>
        <w:t xml:space="preserve">V důsledku požadavku snižování zátěže respondentů a finanční náročnosti jsou statistická šetření </w:t>
      </w:r>
      <w:r w:rsidR="00905DCD">
        <w:rPr>
          <w:rFonts w:ascii="Calibri" w:hAnsi="Calibri"/>
          <w:sz w:val="24"/>
          <w:szCs w:val="24"/>
        </w:rPr>
        <w:t xml:space="preserve">v převážné míře prováděna </w:t>
      </w:r>
      <w:r w:rsidRPr="009E7A89">
        <w:rPr>
          <w:rFonts w:ascii="Calibri" w:hAnsi="Calibri"/>
          <w:sz w:val="24"/>
          <w:szCs w:val="24"/>
        </w:rPr>
        <w:t>na výběrových souborech a následně dopočítávána na soubory základní. Zejména v případě některých klasických resp.</w:t>
      </w:r>
      <w:r w:rsidR="00573624">
        <w:rPr>
          <w:rFonts w:ascii="Calibri" w:hAnsi="Calibri"/>
          <w:sz w:val="24"/>
          <w:szCs w:val="24"/>
        </w:rPr>
        <w:t xml:space="preserve"> </w:t>
      </w:r>
      <w:r w:rsidRPr="009E7A89">
        <w:rPr>
          <w:rFonts w:ascii="Calibri" w:hAnsi="Calibri"/>
          <w:sz w:val="24"/>
          <w:szCs w:val="24"/>
        </w:rPr>
        <w:t>tradičních kulturních oborů jsou výběrové soubory relativně menší, což má za následek zhoršenou dosažitelnost dat v potřebném detailnějším členění a méně přesné výsledky po dopočtu na celý soubor.</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Další nemalá potíž je společná všem statistickým zjišťováním, kulturu nevyjímaje. Spočívá v </w:t>
      </w:r>
      <w:r w:rsidRPr="009E7A89">
        <w:rPr>
          <w:rFonts w:ascii="Calibri" w:hAnsi="Calibri"/>
          <w:b/>
          <w:sz w:val="24"/>
          <w:szCs w:val="24"/>
        </w:rPr>
        <w:t>neochotě respondentů poskytovat data</w:t>
      </w:r>
      <w:r w:rsidRPr="009E7A89">
        <w:rPr>
          <w:rFonts w:ascii="Calibri" w:hAnsi="Calibri"/>
          <w:sz w:val="24"/>
          <w:szCs w:val="24"/>
        </w:rPr>
        <w:t xml:space="preserve">, zejména pak </w:t>
      </w:r>
      <w:r w:rsidRPr="009E7A89">
        <w:rPr>
          <w:rFonts w:ascii="Calibri" w:hAnsi="Calibri"/>
          <w:b/>
          <w:sz w:val="24"/>
          <w:szCs w:val="24"/>
        </w:rPr>
        <w:t>ekonomického charakteru</w:t>
      </w:r>
      <w:r w:rsidRPr="009E7A89">
        <w:rPr>
          <w:rFonts w:ascii="Calibri" w:hAnsi="Calibri"/>
          <w:sz w:val="24"/>
          <w:szCs w:val="24"/>
        </w:rPr>
        <w:t>. Žel na této věci mnoho nemění ani skutečnost, že jsou opětovně ujišťováni o ochraně svých individuálních údajů vyplývající ze zákona o státní statistické službě. T</w:t>
      </w:r>
      <w:r w:rsidR="00573624">
        <w:rPr>
          <w:rFonts w:ascii="Calibri" w:hAnsi="Calibri"/>
          <w:sz w:val="24"/>
          <w:szCs w:val="24"/>
        </w:rPr>
        <w:t xml:space="preserve">yto výpadky návratnosti </w:t>
      </w:r>
      <w:r w:rsidRPr="009E7A89">
        <w:rPr>
          <w:rFonts w:ascii="Calibri" w:hAnsi="Calibri"/>
          <w:sz w:val="24"/>
          <w:szCs w:val="24"/>
        </w:rPr>
        <w:t>dále prohlubuj</w:t>
      </w:r>
      <w:r w:rsidR="00573624">
        <w:rPr>
          <w:rFonts w:ascii="Calibri" w:hAnsi="Calibri"/>
          <w:sz w:val="24"/>
          <w:szCs w:val="24"/>
        </w:rPr>
        <w:t>í</w:t>
      </w:r>
      <w:r w:rsidRPr="009E7A89">
        <w:rPr>
          <w:rFonts w:ascii="Calibri" w:hAnsi="Calibri"/>
          <w:sz w:val="24"/>
          <w:szCs w:val="24"/>
        </w:rPr>
        <w:t xml:space="preserve"> problém malých výběrových souborů a následné nepřesnosti dat dopočtených na základní soubor.  </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Dostupné číselné údaje o kultuře vycházejí z více – žel neúplných a roztříštěných - zdrojů. Patří do nich zdroje statistické i administrativní a zahrnují jak data naturální, tak i hodnotová, ať</w:t>
      </w:r>
      <w:r w:rsidR="00905DCD">
        <w:rPr>
          <w:rFonts w:ascii="Calibri" w:hAnsi="Calibri"/>
          <w:sz w:val="24"/>
          <w:szCs w:val="24"/>
        </w:rPr>
        <w:t xml:space="preserve"> </w:t>
      </w:r>
      <w:r w:rsidRPr="009E7A89">
        <w:rPr>
          <w:rFonts w:ascii="Calibri" w:hAnsi="Calibri"/>
          <w:sz w:val="24"/>
          <w:szCs w:val="24"/>
        </w:rPr>
        <w:t>už v</w:t>
      </w:r>
      <w:r w:rsidR="00905DCD">
        <w:rPr>
          <w:rFonts w:ascii="Calibri" w:hAnsi="Calibri"/>
          <w:sz w:val="24"/>
          <w:szCs w:val="24"/>
        </w:rPr>
        <w:t> </w:t>
      </w:r>
      <w:r w:rsidRPr="009E7A89">
        <w:rPr>
          <w:rFonts w:ascii="Calibri" w:hAnsi="Calibri"/>
          <w:sz w:val="24"/>
          <w:szCs w:val="24"/>
        </w:rPr>
        <w:t>p</w:t>
      </w:r>
      <w:r w:rsidR="00905DCD">
        <w:rPr>
          <w:rFonts w:ascii="Calibri" w:hAnsi="Calibri"/>
          <w:sz w:val="24"/>
          <w:szCs w:val="24"/>
        </w:rPr>
        <w:t xml:space="preserve">ůvodní </w:t>
      </w:r>
      <w:r w:rsidR="00770291">
        <w:rPr>
          <w:rFonts w:ascii="Calibri" w:hAnsi="Calibri"/>
          <w:sz w:val="24"/>
          <w:szCs w:val="24"/>
        </w:rPr>
        <w:t>či zpracované podobě.</w:t>
      </w:r>
    </w:p>
    <w:p w:rsidR="00264960" w:rsidRPr="009E7A89" w:rsidRDefault="00264960" w:rsidP="00770291">
      <w:pPr>
        <w:spacing w:after="120"/>
        <w:ind w:firstLine="284"/>
        <w:jc w:val="both"/>
        <w:rPr>
          <w:rFonts w:ascii="Calibri" w:hAnsi="Calibri"/>
          <w:sz w:val="24"/>
          <w:szCs w:val="24"/>
        </w:rPr>
      </w:pPr>
      <w:r w:rsidRPr="009E7A89">
        <w:rPr>
          <w:rFonts w:ascii="Calibri" w:hAnsi="Calibri"/>
          <w:b/>
          <w:sz w:val="24"/>
          <w:szCs w:val="24"/>
        </w:rPr>
        <w:t>Statistická šetření</w:t>
      </w:r>
      <w:r w:rsidRPr="009E7A89">
        <w:rPr>
          <w:rFonts w:ascii="Calibri" w:hAnsi="Calibri"/>
          <w:sz w:val="24"/>
          <w:szCs w:val="24"/>
        </w:rPr>
        <w:t xml:space="preserve"> představují v prvé řadě šetření KULT prováděná ČSÚ (rozhlasové a</w:t>
      </w:r>
      <w:r w:rsidR="00C56C29">
        <w:rPr>
          <w:rFonts w:ascii="Calibri" w:hAnsi="Calibri"/>
          <w:sz w:val="24"/>
          <w:szCs w:val="24"/>
        </w:rPr>
        <w:t xml:space="preserve"> televizní vysílání) a </w:t>
      </w:r>
      <w:proofErr w:type="spellStart"/>
      <w:r w:rsidRPr="009E7A89">
        <w:rPr>
          <w:rFonts w:ascii="Calibri" w:hAnsi="Calibri"/>
          <w:sz w:val="24"/>
          <w:szCs w:val="24"/>
        </w:rPr>
        <w:t>NIPOSem</w:t>
      </w:r>
      <w:proofErr w:type="spellEnd"/>
      <w:r w:rsidRPr="009E7A89">
        <w:rPr>
          <w:rFonts w:ascii="Calibri" w:hAnsi="Calibri"/>
          <w:sz w:val="24"/>
          <w:szCs w:val="24"/>
        </w:rPr>
        <w:t xml:space="preserve"> (v případě dalších 12 poskytovatelů kulturních služeb). Tato šetření mají tu přednost, že jsou prováděna vyčerpávajícím způsobem tj. v celém zá</w:t>
      </w:r>
      <w:r w:rsidR="00C56C29">
        <w:rPr>
          <w:rFonts w:ascii="Calibri" w:hAnsi="Calibri"/>
          <w:sz w:val="24"/>
          <w:szCs w:val="24"/>
        </w:rPr>
        <w:t xml:space="preserve">kladním souboru respondentů. </w:t>
      </w:r>
      <w:r w:rsidRPr="009E7A89">
        <w:rPr>
          <w:rFonts w:ascii="Calibri" w:hAnsi="Calibri"/>
          <w:sz w:val="24"/>
          <w:szCs w:val="24"/>
        </w:rPr>
        <w:t xml:space="preserve">Dopočty se tak týkají pouze </w:t>
      </w:r>
      <w:r w:rsidR="00DE6559">
        <w:rPr>
          <w:rFonts w:ascii="Calibri" w:hAnsi="Calibri"/>
          <w:sz w:val="24"/>
          <w:szCs w:val="24"/>
        </w:rPr>
        <w:t>výpadků návratnosti</w:t>
      </w:r>
      <w:r w:rsidRPr="009E7A89">
        <w:rPr>
          <w:rFonts w:ascii="Calibri" w:hAnsi="Calibri"/>
          <w:sz w:val="24"/>
          <w:szCs w:val="24"/>
        </w:rPr>
        <w:t>.  Je proto reálné předpokládat poměrně spolehlivá data a to až v detailu  jednotlivých p</w:t>
      </w:r>
      <w:r w:rsidR="00770291">
        <w:rPr>
          <w:rFonts w:ascii="Calibri" w:hAnsi="Calibri"/>
          <w:sz w:val="24"/>
          <w:szCs w:val="24"/>
        </w:rPr>
        <w:t>oskytovatelů kulturních služeb.</w:t>
      </w:r>
    </w:p>
    <w:p w:rsidR="00264960" w:rsidRPr="009E7A89" w:rsidRDefault="00264960" w:rsidP="00C56C29">
      <w:pPr>
        <w:spacing w:after="0"/>
        <w:ind w:firstLine="284"/>
        <w:jc w:val="both"/>
        <w:rPr>
          <w:rFonts w:ascii="Calibri" w:hAnsi="Calibri"/>
          <w:sz w:val="24"/>
          <w:szCs w:val="24"/>
        </w:rPr>
      </w:pPr>
      <w:r w:rsidRPr="009E7A89">
        <w:rPr>
          <w:rFonts w:ascii="Calibri" w:hAnsi="Calibri"/>
          <w:sz w:val="24"/>
          <w:szCs w:val="24"/>
        </w:rPr>
        <w:t xml:space="preserve">Pro potřeby sestavení satelitního účtu kultury se provádějí u některých poskytovatelů tzv. </w:t>
      </w:r>
      <w:r w:rsidRPr="009E7A89">
        <w:rPr>
          <w:rFonts w:ascii="Calibri" w:hAnsi="Calibri"/>
          <w:b/>
          <w:sz w:val="24"/>
          <w:szCs w:val="24"/>
        </w:rPr>
        <w:t>doplňková zjišťování</w:t>
      </w:r>
      <w:r w:rsidRPr="009E7A89">
        <w:rPr>
          <w:rFonts w:ascii="Calibri" w:hAnsi="Calibri"/>
          <w:sz w:val="24"/>
          <w:szCs w:val="24"/>
        </w:rPr>
        <w:t xml:space="preserve"> (archivy, amatérská divadla, cirkusy, umělecká řemesla, design). Jsou to výběrová zjišťování na relativně malých souborech (zejména v případě rozsáhlé oblasti uměleckých řemesel), která přinášejí – v porovnání se šetřeními KULT – méně kvalitní data.</w:t>
      </w:r>
    </w:p>
    <w:p w:rsidR="00264960" w:rsidRPr="009E7A89" w:rsidRDefault="00264960" w:rsidP="00770291">
      <w:pPr>
        <w:spacing w:after="120"/>
        <w:ind w:firstLine="284"/>
        <w:jc w:val="both"/>
        <w:rPr>
          <w:rFonts w:ascii="Calibri" w:hAnsi="Calibri"/>
          <w:sz w:val="24"/>
          <w:szCs w:val="24"/>
        </w:rPr>
      </w:pPr>
      <w:r w:rsidRPr="009E7A89">
        <w:rPr>
          <w:rFonts w:ascii="Calibri" w:hAnsi="Calibri"/>
          <w:b/>
          <w:sz w:val="24"/>
          <w:szCs w:val="24"/>
        </w:rPr>
        <w:t>Základním zdrojem dat</w:t>
      </w:r>
      <w:r w:rsidRPr="009E7A89">
        <w:rPr>
          <w:rFonts w:ascii="Calibri" w:hAnsi="Calibri"/>
          <w:sz w:val="24"/>
          <w:szCs w:val="24"/>
        </w:rPr>
        <w:t xml:space="preserve"> (mimo oblast kulturního dědictví, interpretačního a scénického umění, rozhlasového a televizního vysílání) </w:t>
      </w:r>
      <w:r w:rsidRPr="009E7A89">
        <w:rPr>
          <w:rFonts w:ascii="Calibri" w:hAnsi="Calibri"/>
          <w:b/>
          <w:sz w:val="24"/>
          <w:szCs w:val="24"/>
        </w:rPr>
        <w:t>jsou údaje ČSÚ vycházející z podnikové statistiky</w:t>
      </w:r>
      <w:r w:rsidRPr="009E7A89">
        <w:rPr>
          <w:rFonts w:ascii="Calibri" w:hAnsi="Calibri"/>
          <w:sz w:val="24"/>
          <w:szCs w:val="24"/>
        </w:rPr>
        <w:t xml:space="preserve"> (SBS – </w:t>
      </w:r>
      <w:proofErr w:type="spellStart"/>
      <w:r w:rsidRPr="009E7A89">
        <w:rPr>
          <w:rFonts w:ascii="Calibri" w:hAnsi="Calibri"/>
          <w:sz w:val="24"/>
          <w:szCs w:val="24"/>
        </w:rPr>
        <w:t>Structural</w:t>
      </w:r>
      <w:proofErr w:type="spellEnd"/>
      <w:r w:rsidRPr="009E7A89">
        <w:rPr>
          <w:rFonts w:ascii="Calibri" w:hAnsi="Calibri"/>
          <w:sz w:val="24"/>
          <w:szCs w:val="24"/>
        </w:rPr>
        <w:t xml:space="preserve"> Business </w:t>
      </w:r>
      <w:proofErr w:type="spellStart"/>
      <w:r w:rsidRPr="009E7A89">
        <w:rPr>
          <w:rFonts w:ascii="Calibri" w:hAnsi="Calibri"/>
          <w:sz w:val="24"/>
          <w:szCs w:val="24"/>
        </w:rPr>
        <w:t>Survey</w:t>
      </w:r>
      <w:proofErr w:type="spellEnd"/>
      <w:r w:rsidRPr="009E7A89">
        <w:rPr>
          <w:rFonts w:ascii="Calibri" w:hAnsi="Calibri"/>
          <w:sz w:val="24"/>
          <w:szCs w:val="24"/>
        </w:rPr>
        <w:t>) a statistiky neziskových institucí (NI). Tato zjišťování jsou poznamenána výše popsanými potížemi spojenými s výběrovým šetřením (malé soubory, dopočty, agregace kulturních položek s ne–kulturními, odhady, atd.). Pro údaje o počtu zaměstnanců lze, zejména pro porovnání s jinými daty, využít výsledky Výběrového šetření pracovních sil.</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Údaje </w:t>
      </w:r>
      <w:r w:rsidRPr="009E7A89">
        <w:rPr>
          <w:rFonts w:ascii="Calibri" w:hAnsi="Calibri"/>
          <w:b/>
          <w:sz w:val="24"/>
          <w:szCs w:val="24"/>
        </w:rPr>
        <w:t>o výdajích domácností</w:t>
      </w:r>
      <w:r w:rsidRPr="009E7A89">
        <w:rPr>
          <w:rFonts w:ascii="Calibri" w:hAnsi="Calibri"/>
          <w:sz w:val="24"/>
          <w:szCs w:val="24"/>
        </w:rPr>
        <w:t xml:space="preserve"> na kulturu poskytují šetření v domácnostech v podobě tzv. rodinných účtů, které ročně zpracovává ČSÚ (v pětiletých intervalech v podrobnějším členění). Částečný pohled na participaci na kultuře podává také šetření o vzdělávání dospělých organizované </w:t>
      </w:r>
      <w:proofErr w:type="spellStart"/>
      <w:r w:rsidRPr="009E7A89">
        <w:rPr>
          <w:rFonts w:ascii="Calibri" w:hAnsi="Calibri"/>
          <w:sz w:val="24"/>
          <w:szCs w:val="24"/>
        </w:rPr>
        <w:t>Eurostatem</w:t>
      </w:r>
      <w:proofErr w:type="spellEnd"/>
      <w:r w:rsidRPr="009E7A89">
        <w:rPr>
          <w:rFonts w:ascii="Calibri" w:hAnsi="Calibri"/>
          <w:sz w:val="24"/>
          <w:szCs w:val="24"/>
        </w:rPr>
        <w:t xml:space="preserve"> (</w:t>
      </w:r>
      <w:proofErr w:type="spellStart"/>
      <w:r w:rsidRPr="009E7A89">
        <w:rPr>
          <w:rFonts w:ascii="Calibri" w:hAnsi="Calibri"/>
          <w:sz w:val="24"/>
          <w:szCs w:val="24"/>
        </w:rPr>
        <w:t>Adult</w:t>
      </w:r>
      <w:proofErr w:type="spellEnd"/>
      <w:r w:rsidRPr="009E7A89">
        <w:rPr>
          <w:rFonts w:ascii="Calibri" w:hAnsi="Calibri"/>
          <w:sz w:val="24"/>
          <w:szCs w:val="24"/>
        </w:rPr>
        <w:t xml:space="preserve"> </w:t>
      </w:r>
      <w:proofErr w:type="spellStart"/>
      <w:r w:rsidRPr="009E7A89">
        <w:rPr>
          <w:rFonts w:ascii="Calibri" w:hAnsi="Calibri"/>
          <w:sz w:val="24"/>
          <w:szCs w:val="24"/>
        </w:rPr>
        <w:t>Education</w:t>
      </w:r>
      <w:proofErr w:type="spellEnd"/>
      <w:r w:rsidRPr="009E7A89">
        <w:rPr>
          <w:rFonts w:ascii="Calibri" w:hAnsi="Calibri"/>
          <w:sz w:val="24"/>
          <w:szCs w:val="24"/>
        </w:rPr>
        <w:t xml:space="preserve"> </w:t>
      </w:r>
      <w:proofErr w:type="spellStart"/>
      <w:r w:rsidRPr="009E7A89">
        <w:rPr>
          <w:rFonts w:ascii="Calibri" w:hAnsi="Calibri"/>
          <w:sz w:val="24"/>
          <w:szCs w:val="24"/>
        </w:rPr>
        <w:t>Survey</w:t>
      </w:r>
      <w:proofErr w:type="spellEnd"/>
      <w:r w:rsidRPr="009E7A89">
        <w:rPr>
          <w:rFonts w:ascii="Calibri" w:hAnsi="Calibri"/>
          <w:sz w:val="24"/>
          <w:szCs w:val="24"/>
        </w:rPr>
        <w:t xml:space="preserve">), které se provádí vždy po pěti letech. </w:t>
      </w:r>
    </w:p>
    <w:p w:rsidR="00264960" w:rsidRPr="009E7A89" w:rsidRDefault="00264960" w:rsidP="00770291">
      <w:pPr>
        <w:spacing w:after="120"/>
        <w:ind w:firstLine="284"/>
        <w:jc w:val="both"/>
        <w:rPr>
          <w:rFonts w:ascii="Calibri" w:hAnsi="Calibri"/>
          <w:sz w:val="24"/>
          <w:szCs w:val="24"/>
        </w:rPr>
      </w:pPr>
      <w:r w:rsidRPr="009E7A89">
        <w:rPr>
          <w:rFonts w:ascii="Calibri" w:hAnsi="Calibri"/>
          <w:sz w:val="24"/>
          <w:szCs w:val="24"/>
        </w:rPr>
        <w:t xml:space="preserve">Z využitelných dat ve zpracované podobě (pro potřeby satelitního účtu kultury) lze uvést zejména </w:t>
      </w:r>
      <w:r w:rsidRPr="009E7A89">
        <w:rPr>
          <w:rFonts w:ascii="Calibri" w:hAnsi="Calibri"/>
          <w:b/>
          <w:sz w:val="24"/>
          <w:szCs w:val="24"/>
        </w:rPr>
        <w:t>údaje národního účetnictví</w:t>
      </w:r>
      <w:r w:rsidRPr="009E7A89">
        <w:rPr>
          <w:rFonts w:ascii="Calibri" w:hAnsi="Calibri"/>
          <w:sz w:val="24"/>
          <w:szCs w:val="24"/>
        </w:rPr>
        <w:t xml:space="preserve"> ve formě matice dodávek a užití. </w:t>
      </w:r>
    </w:p>
    <w:p w:rsidR="00264960" w:rsidRPr="009E7A89" w:rsidRDefault="00264960" w:rsidP="00770291">
      <w:pPr>
        <w:spacing w:after="120"/>
        <w:ind w:firstLine="284"/>
        <w:jc w:val="both"/>
        <w:rPr>
          <w:rFonts w:ascii="Calibri" w:hAnsi="Calibri"/>
          <w:sz w:val="24"/>
          <w:szCs w:val="24"/>
        </w:rPr>
      </w:pPr>
      <w:r w:rsidRPr="009E7A89">
        <w:rPr>
          <w:rFonts w:ascii="Calibri" w:hAnsi="Calibri"/>
          <w:b/>
          <w:sz w:val="24"/>
          <w:szCs w:val="24"/>
        </w:rPr>
        <w:t>Administrativní zdroje</w:t>
      </w:r>
      <w:r w:rsidRPr="009E7A89">
        <w:rPr>
          <w:rFonts w:ascii="Calibri" w:hAnsi="Calibri"/>
          <w:sz w:val="24"/>
          <w:szCs w:val="24"/>
        </w:rPr>
        <w:t xml:space="preserve"> dat představují v prvé řadě údaje </w:t>
      </w:r>
      <w:r w:rsidRPr="009E7A89">
        <w:rPr>
          <w:rFonts w:ascii="Calibri" w:hAnsi="Calibri"/>
          <w:b/>
          <w:sz w:val="24"/>
          <w:szCs w:val="24"/>
        </w:rPr>
        <w:t>z veřejných rozpočtů</w:t>
      </w:r>
      <w:r w:rsidRPr="009E7A89">
        <w:rPr>
          <w:rFonts w:ascii="Calibri" w:hAnsi="Calibri"/>
          <w:sz w:val="24"/>
          <w:szCs w:val="24"/>
        </w:rPr>
        <w:t xml:space="preserve"> (státní rozpočet a místní rozpočty), které jsou získávány od Ministerstva financí. Dalším významným zdrojem je </w:t>
      </w:r>
      <w:r w:rsidRPr="009E7A89">
        <w:rPr>
          <w:rFonts w:ascii="Calibri" w:hAnsi="Calibri"/>
          <w:b/>
          <w:sz w:val="24"/>
          <w:szCs w:val="24"/>
        </w:rPr>
        <w:t>registr ekonomických subjektů</w:t>
      </w:r>
      <w:r w:rsidRPr="009E7A89">
        <w:rPr>
          <w:rFonts w:ascii="Calibri" w:hAnsi="Calibri"/>
          <w:sz w:val="24"/>
          <w:szCs w:val="24"/>
        </w:rPr>
        <w:t xml:space="preserve"> vedený ČSÚ. Některé údaje mají další </w:t>
      </w:r>
      <w:r w:rsidRPr="009E7A89">
        <w:rPr>
          <w:rFonts w:ascii="Calibri" w:hAnsi="Calibri"/>
          <w:b/>
          <w:sz w:val="24"/>
          <w:szCs w:val="24"/>
        </w:rPr>
        <w:t>ministerstva (</w:t>
      </w:r>
      <w:r w:rsidRPr="009E7A89">
        <w:rPr>
          <w:rFonts w:ascii="Calibri" w:hAnsi="Calibri"/>
          <w:sz w:val="24"/>
          <w:szCs w:val="24"/>
        </w:rPr>
        <w:t xml:space="preserve">např. MK – seznamy kulturních institucí a MV – informace o státním archivu).  Spíše dílčí </w:t>
      </w:r>
      <w:r w:rsidRPr="009E7A89">
        <w:rPr>
          <w:rFonts w:ascii="Calibri" w:hAnsi="Calibri"/>
          <w:b/>
          <w:sz w:val="24"/>
          <w:szCs w:val="24"/>
        </w:rPr>
        <w:t>data jsou dostupná také na internetu</w:t>
      </w:r>
      <w:r w:rsidRPr="009E7A89">
        <w:rPr>
          <w:rFonts w:ascii="Calibri" w:hAnsi="Calibri"/>
          <w:sz w:val="24"/>
          <w:szCs w:val="24"/>
        </w:rPr>
        <w:t xml:space="preserve"> (např. o kinech – Unie filmových distributorů, různé veřejné výroční zprávy institucí atd.).</w:t>
      </w:r>
    </w:p>
    <w:p w:rsidR="00264960" w:rsidRPr="009E7A89" w:rsidRDefault="00264960" w:rsidP="00770291">
      <w:pPr>
        <w:pStyle w:val="Zkladntextodsazen2"/>
        <w:spacing w:after="120" w:line="276" w:lineRule="auto"/>
        <w:ind w:left="0" w:firstLine="284"/>
        <w:jc w:val="both"/>
        <w:rPr>
          <w:rFonts w:ascii="Calibri" w:hAnsi="Calibri" w:cs="Arial"/>
          <w:lang w:val="cs-CZ"/>
        </w:rPr>
      </w:pPr>
      <w:r w:rsidRPr="009E7A89">
        <w:rPr>
          <w:rFonts w:ascii="Calibri" w:hAnsi="Calibri" w:cs="Arial"/>
          <w:szCs w:val="24"/>
          <w:lang w:val="cs-CZ"/>
        </w:rPr>
        <w:t xml:space="preserve">Jednou věcí je získat data (velmi často ne zcela úplná a „čistá“, popř. v jiném než potřebném členění) a druhou získat je v potřebném či přijatelném </w:t>
      </w:r>
      <w:r w:rsidRPr="009E7A89">
        <w:rPr>
          <w:rFonts w:ascii="Calibri" w:hAnsi="Calibri" w:cs="Arial"/>
          <w:b/>
          <w:bCs/>
          <w:szCs w:val="24"/>
          <w:lang w:val="cs-CZ"/>
        </w:rPr>
        <w:t>časovém termínu.</w:t>
      </w:r>
      <w:r w:rsidRPr="009E7A89">
        <w:rPr>
          <w:rFonts w:ascii="Calibri" w:hAnsi="Calibri" w:cs="Arial"/>
          <w:szCs w:val="24"/>
          <w:lang w:val="cs-CZ"/>
        </w:rPr>
        <w:t xml:space="preserve"> Data o veřejných výdajích jsou k dispozici zhruba pět měsíců, údaje o výdajích domácnosti osm a o podnicích či neziskových institucích až dvanáct měsíců po referenčním období. Podobné to je s dopočtenými údaji sbíranými od kulturních institucí (šetření KULT). Nejpozději jsou dosažitelná data ze systému národního účetnictví (více než rok po referenčním období), která js</w:t>
      </w:r>
      <w:r w:rsidR="00D4068F">
        <w:rPr>
          <w:rFonts w:ascii="Calibri" w:hAnsi="Calibri" w:cs="Arial"/>
          <w:szCs w:val="24"/>
          <w:lang w:val="cs-CZ"/>
        </w:rPr>
        <w:t>ou navíc postupně zpřesňována.</w:t>
      </w:r>
    </w:p>
    <w:p w:rsidR="000406D2" w:rsidRPr="009E7A89" w:rsidRDefault="00264960" w:rsidP="003E2632">
      <w:pPr>
        <w:pStyle w:val="Zkladntextodsazen2"/>
        <w:spacing w:after="120" w:line="276" w:lineRule="auto"/>
        <w:ind w:left="0" w:firstLine="284"/>
        <w:jc w:val="both"/>
        <w:rPr>
          <w:rFonts w:ascii="Calibri" w:hAnsi="Calibri" w:cs="Arial"/>
          <w:lang w:val="cs-CZ"/>
        </w:rPr>
      </w:pPr>
      <w:r w:rsidRPr="009E7A89">
        <w:rPr>
          <w:rFonts w:ascii="Calibri" w:hAnsi="Calibri" w:cs="Arial"/>
          <w:lang w:val="cs-CZ"/>
        </w:rPr>
        <w:t xml:space="preserve">Samozřejmě, nemalé </w:t>
      </w:r>
      <w:r w:rsidRPr="009E7A89">
        <w:rPr>
          <w:rFonts w:ascii="Calibri" w:hAnsi="Calibri" w:cs="Arial"/>
          <w:b/>
          <w:bCs/>
          <w:lang w:val="cs-CZ"/>
        </w:rPr>
        <w:t>rozdíly jsou i v kvalitě informací.</w:t>
      </w:r>
      <w:r w:rsidRPr="009E7A89">
        <w:rPr>
          <w:rFonts w:ascii="Calibri" w:hAnsi="Calibri" w:cs="Arial"/>
          <w:lang w:val="cs-CZ"/>
        </w:rPr>
        <w:t xml:space="preserve"> Vysokou věrohodnost lze předpokládat u dat týkajících se veřejných výdajů na kulturu, která vycházejí z čerpání státního rozpočtu. </w:t>
      </w:r>
      <w:r w:rsidR="00905DCD">
        <w:rPr>
          <w:rFonts w:ascii="Calibri" w:hAnsi="Calibri" w:cs="Arial"/>
          <w:lang w:val="cs-CZ"/>
        </w:rPr>
        <w:t xml:space="preserve">Méně věrohodné jsou </w:t>
      </w:r>
      <w:r w:rsidRPr="009E7A89">
        <w:rPr>
          <w:rFonts w:ascii="Calibri" w:hAnsi="Calibri" w:cs="Arial"/>
          <w:lang w:val="cs-CZ"/>
        </w:rPr>
        <w:t>všechny údaje zjištěné statistickými šetřením</w:t>
      </w:r>
      <w:r w:rsidR="00905DCD">
        <w:rPr>
          <w:rFonts w:ascii="Calibri" w:hAnsi="Calibri" w:cs="Arial"/>
          <w:lang w:val="cs-CZ"/>
        </w:rPr>
        <w:t>i</w:t>
      </w:r>
      <w:r w:rsidRPr="009E7A89">
        <w:rPr>
          <w:rFonts w:ascii="Calibri" w:hAnsi="Calibri" w:cs="Arial"/>
          <w:lang w:val="cs-CZ"/>
        </w:rPr>
        <w:t>, ať už v domácnostech (rodinné účty)</w:t>
      </w:r>
      <w:r w:rsidR="00905DCD">
        <w:rPr>
          <w:rFonts w:ascii="Calibri" w:hAnsi="Calibri" w:cs="Arial"/>
          <w:lang w:val="cs-CZ"/>
        </w:rPr>
        <w:t xml:space="preserve"> či v podnicích (institucích).  Z</w:t>
      </w:r>
      <w:r w:rsidRPr="009E7A89">
        <w:rPr>
          <w:rFonts w:ascii="Calibri" w:hAnsi="Calibri" w:cs="Arial"/>
          <w:lang w:val="cs-CZ"/>
        </w:rPr>
        <w:t xml:space="preserve">ejména </w:t>
      </w:r>
      <w:r w:rsidR="00905DCD">
        <w:rPr>
          <w:rFonts w:ascii="Calibri" w:hAnsi="Calibri" w:cs="Arial"/>
          <w:lang w:val="cs-CZ"/>
        </w:rPr>
        <w:t xml:space="preserve">se to týká šetření doplňkových. </w:t>
      </w:r>
      <w:r w:rsidRPr="009E7A89">
        <w:rPr>
          <w:rFonts w:ascii="Calibri" w:hAnsi="Calibri" w:cs="Arial"/>
          <w:lang w:val="cs-CZ"/>
        </w:rPr>
        <w:t xml:space="preserve">  Kvalita těchto dat je ovlivněna všemi problematickými okolnostmi, počínaje úplností základního souboru respondentů, metodami sestavení výběrového souboru, mírou neodpovědí, úrovní dopočtů apod.</w:t>
      </w:r>
    </w:p>
    <w:p w:rsidR="00264960" w:rsidRPr="009E7A89" w:rsidRDefault="00264960" w:rsidP="00966C87">
      <w:pPr>
        <w:pStyle w:val="Zkladntextodsazen2"/>
        <w:spacing w:line="276" w:lineRule="auto"/>
        <w:ind w:left="0" w:firstLine="284"/>
        <w:jc w:val="both"/>
        <w:rPr>
          <w:rFonts w:ascii="Calibri" w:hAnsi="Calibri" w:cs="Arial"/>
          <w:lang w:val="cs-CZ"/>
        </w:rPr>
      </w:pPr>
      <w:r w:rsidRPr="009E7A89">
        <w:rPr>
          <w:rFonts w:ascii="Calibri" w:hAnsi="Calibri" w:cs="Arial"/>
          <w:lang w:val="cs-CZ"/>
        </w:rPr>
        <w:t>Určitým paradoxem je, že na straně jedné nemalá část dat o kultuře  chybí a zároveň jsou - na straně druhé - některá data dispozici z v</w:t>
      </w:r>
      <w:r w:rsidR="003F48CF">
        <w:rPr>
          <w:rFonts w:ascii="Calibri" w:hAnsi="Calibri" w:cs="Arial"/>
          <w:lang w:val="cs-CZ"/>
        </w:rPr>
        <w:t>í</w:t>
      </w:r>
      <w:r w:rsidRPr="009E7A89">
        <w:rPr>
          <w:rFonts w:ascii="Calibri" w:hAnsi="Calibri" w:cs="Arial"/>
          <w:lang w:val="cs-CZ"/>
        </w:rPr>
        <w:t xml:space="preserve">ce zdrojů ( např. ze šetřeni KULT a šetření SBS či NI). Týká se to zejména hodnotových údajů.  V tomto případě je často nutné rozhodnout, která data – v případě kontradikce – lze považovat za spolehlivější a prvořadá a která za méně významná či odvozená.  Do prvé skupiny by měla patřit bezesporu data o veřejných výdajích na kulturu, vycházející z čerpání státního rozpočtu. Mezi dalšími datovými zdroji by měl také náležet jistý stupeň preference údajům ze systému národního účetnictví, které procházejí řadou bilančních úprav a navíc „zapadají do mozaiky“ makroekonomických ukazatelů sestavovaných dle detailně propracovaných pravidel v souladu s jednotnou  mezinárodní metodikou (např. upravená data ze šetření rodinných účtů).  </w:t>
      </w:r>
      <w:r w:rsidR="00266076">
        <w:rPr>
          <w:rFonts w:ascii="Calibri" w:hAnsi="Calibri" w:cs="Arial"/>
          <w:lang w:val="cs-CZ"/>
        </w:rPr>
        <w:t>Naopak, na posledním místě lze v tomto směru uvést výběrová doplňková zjišťování.</w:t>
      </w:r>
    </w:p>
    <w:p w:rsidR="00770D4F" w:rsidRPr="009E7A89" w:rsidRDefault="00770D4F" w:rsidP="00986FD4">
      <w:pPr>
        <w:spacing w:after="0"/>
        <w:jc w:val="both"/>
        <w:rPr>
          <w:rFonts w:ascii="Calibri" w:hAnsi="Calibri" w:cs="Arial"/>
          <w:sz w:val="24"/>
          <w:szCs w:val="24"/>
        </w:rPr>
      </w:pPr>
    </w:p>
    <w:p w:rsidR="00770D4F" w:rsidRPr="009E7A89" w:rsidRDefault="00770D4F" w:rsidP="00986FD4">
      <w:pPr>
        <w:spacing w:after="0"/>
        <w:jc w:val="both"/>
        <w:rPr>
          <w:rFonts w:ascii="Calibri" w:hAnsi="Calibri" w:cs="Arial"/>
          <w:sz w:val="24"/>
          <w:szCs w:val="24"/>
        </w:rPr>
      </w:pPr>
    </w:p>
    <w:p w:rsidR="00770D4F" w:rsidRPr="009E7A89" w:rsidRDefault="00770D4F"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566684" w:rsidRPr="009E7A89" w:rsidRDefault="00566684" w:rsidP="00986FD4">
      <w:pPr>
        <w:spacing w:after="0"/>
        <w:jc w:val="both"/>
        <w:rPr>
          <w:rFonts w:ascii="Calibri" w:hAnsi="Calibri" w:cs="Arial"/>
          <w:sz w:val="24"/>
          <w:szCs w:val="24"/>
        </w:rPr>
      </w:pPr>
    </w:p>
    <w:p w:rsidR="00770D4F" w:rsidRPr="009E7A89" w:rsidRDefault="00770D4F" w:rsidP="00986FD4">
      <w:pPr>
        <w:spacing w:after="0"/>
        <w:jc w:val="both"/>
        <w:rPr>
          <w:rFonts w:ascii="Calibri" w:hAnsi="Calibri" w:cs="Arial"/>
          <w:sz w:val="24"/>
          <w:szCs w:val="24"/>
        </w:rPr>
      </w:pPr>
    </w:p>
    <w:p w:rsidR="00770D4F" w:rsidRPr="009E7A89" w:rsidRDefault="00770D4F" w:rsidP="00986FD4">
      <w:pPr>
        <w:spacing w:after="0"/>
        <w:jc w:val="both"/>
        <w:rPr>
          <w:rFonts w:ascii="Calibri" w:hAnsi="Calibri" w:cs="Arial"/>
          <w:sz w:val="24"/>
          <w:szCs w:val="24"/>
        </w:rPr>
      </w:pPr>
    </w:p>
    <w:p w:rsidR="00770D4F" w:rsidRPr="009E7A89" w:rsidRDefault="00770D4F" w:rsidP="00986FD4">
      <w:pPr>
        <w:spacing w:after="0"/>
        <w:jc w:val="both"/>
        <w:rPr>
          <w:rFonts w:ascii="Calibri" w:hAnsi="Calibri" w:cs="Arial"/>
          <w:sz w:val="24"/>
          <w:szCs w:val="24"/>
        </w:rPr>
      </w:pPr>
    </w:p>
    <w:p w:rsidR="00770D4F" w:rsidRDefault="00770D4F" w:rsidP="00986FD4">
      <w:pPr>
        <w:spacing w:after="0"/>
        <w:jc w:val="both"/>
        <w:rPr>
          <w:rFonts w:ascii="Calibri" w:hAnsi="Calibri" w:cs="Arial"/>
          <w:sz w:val="24"/>
          <w:szCs w:val="24"/>
        </w:rPr>
      </w:pPr>
    </w:p>
    <w:p w:rsidR="003F48CF" w:rsidRPr="009E7A89" w:rsidRDefault="003F48CF" w:rsidP="00986FD4">
      <w:pPr>
        <w:spacing w:after="0"/>
        <w:jc w:val="both"/>
        <w:rPr>
          <w:rFonts w:ascii="Calibri" w:hAnsi="Calibri" w:cs="Arial"/>
          <w:sz w:val="24"/>
          <w:szCs w:val="24"/>
        </w:rPr>
      </w:pPr>
    </w:p>
    <w:p w:rsidR="00887F7C" w:rsidRPr="009E7A89" w:rsidRDefault="00887F7C" w:rsidP="00986FD4">
      <w:pPr>
        <w:spacing w:after="0"/>
        <w:jc w:val="both"/>
        <w:rPr>
          <w:rFonts w:ascii="Calibri" w:hAnsi="Calibri" w:cs="Arial"/>
          <w:sz w:val="24"/>
          <w:szCs w:val="24"/>
        </w:rPr>
      </w:pPr>
    </w:p>
    <w:p w:rsidR="008B3C57" w:rsidRPr="009E7A89" w:rsidRDefault="00507F59" w:rsidP="00266076">
      <w:pPr>
        <w:ind w:left="851" w:hanging="851"/>
        <w:jc w:val="center"/>
        <w:rPr>
          <w:rFonts w:ascii="Calibri" w:hAnsi="Calibri"/>
          <w:b/>
          <w:sz w:val="28"/>
          <w:szCs w:val="28"/>
        </w:rPr>
      </w:pPr>
      <w:r w:rsidRPr="009E7A89">
        <w:rPr>
          <w:rFonts w:ascii="Calibri" w:hAnsi="Calibri" w:cs="Arial"/>
          <w:b/>
          <w:sz w:val="28"/>
          <w:szCs w:val="28"/>
        </w:rPr>
        <w:t xml:space="preserve">3. </w:t>
      </w:r>
      <w:r w:rsidR="008B3C57" w:rsidRPr="009E7A89">
        <w:rPr>
          <w:rFonts w:ascii="Calibri" w:hAnsi="Calibri"/>
          <w:b/>
          <w:sz w:val="28"/>
          <w:szCs w:val="28"/>
        </w:rPr>
        <w:t xml:space="preserve">Vývoj </w:t>
      </w:r>
      <w:r w:rsidR="00887F7C" w:rsidRPr="009E7A89">
        <w:rPr>
          <w:rFonts w:ascii="Calibri" w:hAnsi="Calibri"/>
          <w:b/>
          <w:sz w:val="28"/>
          <w:szCs w:val="28"/>
        </w:rPr>
        <w:t xml:space="preserve">ve vybraných </w:t>
      </w:r>
      <w:r w:rsidR="008B3C57" w:rsidRPr="009E7A89">
        <w:rPr>
          <w:rFonts w:ascii="Calibri" w:hAnsi="Calibri"/>
          <w:b/>
          <w:sz w:val="28"/>
          <w:szCs w:val="28"/>
        </w:rPr>
        <w:t>kulturních odvětví</w:t>
      </w:r>
      <w:r w:rsidR="00FC3B57" w:rsidRPr="009E7A89">
        <w:rPr>
          <w:rFonts w:ascii="Calibri" w:hAnsi="Calibri"/>
          <w:b/>
          <w:sz w:val="28"/>
          <w:szCs w:val="28"/>
        </w:rPr>
        <w:t>ch</w:t>
      </w:r>
      <w:r w:rsidR="008B3C57" w:rsidRPr="009E7A89">
        <w:rPr>
          <w:rFonts w:ascii="Calibri" w:hAnsi="Calibri"/>
          <w:b/>
          <w:sz w:val="28"/>
          <w:szCs w:val="28"/>
        </w:rPr>
        <w:t xml:space="preserve"> </w:t>
      </w:r>
      <w:r w:rsidR="00332E07" w:rsidRPr="009E7A89">
        <w:rPr>
          <w:rFonts w:ascii="Calibri" w:hAnsi="Calibri"/>
          <w:b/>
          <w:sz w:val="28"/>
          <w:szCs w:val="28"/>
        </w:rPr>
        <w:t xml:space="preserve">v letech </w:t>
      </w:r>
      <w:r w:rsidR="00264960" w:rsidRPr="009E7A89">
        <w:rPr>
          <w:rFonts w:ascii="Calibri" w:hAnsi="Calibri"/>
          <w:b/>
          <w:sz w:val="28"/>
          <w:szCs w:val="28"/>
        </w:rPr>
        <w:t>2000 -</w:t>
      </w:r>
      <w:r w:rsidR="008B3C57" w:rsidRPr="009E7A89">
        <w:rPr>
          <w:rFonts w:ascii="Calibri" w:hAnsi="Calibri"/>
          <w:b/>
          <w:sz w:val="28"/>
          <w:szCs w:val="28"/>
        </w:rPr>
        <w:t xml:space="preserve"> 13</w:t>
      </w:r>
      <w:r w:rsidR="004606F9" w:rsidRPr="009E7A89">
        <w:rPr>
          <w:rFonts w:ascii="Calibri" w:hAnsi="Calibri"/>
          <w:b/>
          <w:sz w:val="28"/>
          <w:szCs w:val="28"/>
        </w:rPr>
        <w:t xml:space="preserve"> v naturálních datech</w:t>
      </w:r>
    </w:p>
    <w:p w:rsidR="001D226C" w:rsidRPr="009E7A89" w:rsidRDefault="001D226C" w:rsidP="00986FD4">
      <w:pPr>
        <w:spacing w:after="0"/>
        <w:jc w:val="both"/>
        <w:rPr>
          <w:rFonts w:ascii="Calibri" w:hAnsi="Calibri" w:cs="Arial"/>
          <w:sz w:val="24"/>
          <w:szCs w:val="24"/>
        </w:rPr>
      </w:pPr>
    </w:p>
    <w:p w:rsidR="00513F0D" w:rsidRDefault="00467745" w:rsidP="004C115C">
      <w:pPr>
        <w:spacing w:after="120"/>
        <w:ind w:firstLine="284"/>
        <w:jc w:val="both"/>
        <w:rPr>
          <w:rFonts w:ascii="Calibri" w:hAnsi="Calibri"/>
          <w:sz w:val="24"/>
          <w:szCs w:val="24"/>
        </w:rPr>
      </w:pPr>
      <w:r w:rsidRPr="008426A0">
        <w:rPr>
          <w:rFonts w:ascii="Calibri" w:hAnsi="Calibri"/>
          <w:sz w:val="24"/>
          <w:szCs w:val="24"/>
        </w:rPr>
        <w:t xml:space="preserve">Předmětem následujícího textu </w:t>
      </w:r>
      <w:r w:rsidRPr="00BE5071">
        <w:rPr>
          <w:rFonts w:ascii="Calibri" w:hAnsi="Calibri"/>
          <w:sz w:val="24"/>
          <w:szCs w:val="24"/>
        </w:rPr>
        <w:t>je</w:t>
      </w:r>
      <w:r w:rsidRPr="00393F8A">
        <w:rPr>
          <w:rFonts w:ascii="Calibri" w:hAnsi="Calibri"/>
          <w:i/>
          <w:sz w:val="24"/>
          <w:szCs w:val="24"/>
        </w:rPr>
        <w:t xml:space="preserve"> </w:t>
      </w:r>
      <w:r w:rsidR="00393F8A" w:rsidRPr="00393F8A">
        <w:rPr>
          <w:rFonts w:ascii="Calibri" w:hAnsi="Calibri"/>
          <w:b/>
          <w:sz w:val="24"/>
          <w:szCs w:val="24"/>
        </w:rPr>
        <w:t xml:space="preserve">hodnocení </w:t>
      </w:r>
      <w:r w:rsidRPr="00393F8A">
        <w:rPr>
          <w:rFonts w:ascii="Calibri" w:hAnsi="Calibri"/>
          <w:b/>
          <w:sz w:val="24"/>
          <w:szCs w:val="24"/>
        </w:rPr>
        <w:t>vývoje</w:t>
      </w:r>
      <w:r w:rsidRPr="00393F8A">
        <w:rPr>
          <w:rFonts w:ascii="Calibri" w:hAnsi="Calibri"/>
          <w:b/>
          <w:i/>
          <w:sz w:val="24"/>
          <w:szCs w:val="24"/>
        </w:rPr>
        <w:t xml:space="preserve"> </w:t>
      </w:r>
      <w:r w:rsidRPr="00393F8A">
        <w:rPr>
          <w:rFonts w:ascii="Calibri" w:hAnsi="Calibri"/>
          <w:b/>
          <w:sz w:val="24"/>
          <w:szCs w:val="24"/>
        </w:rPr>
        <w:t xml:space="preserve">činnosti </w:t>
      </w:r>
      <w:r w:rsidR="00905DCD" w:rsidRPr="00393F8A">
        <w:rPr>
          <w:rFonts w:ascii="Calibri" w:hAnsi="Calibri"/>
          <w:b/>
          <w:sz w:val="24"/>
          <w:szCs w:val="24"/>
        </w:rPr>
        <w:t xml:space="preserve">vybraných </w:t>
      </w:r>
      <w:r w:rsidRPr="00393F8A">
        <w:rPr>
          <w:rFonts w:ascii="Calibri" w:hAnsi="Calibri"/>
          <w:b/>
          <w:sz w:val="24"/>
          <w:szCs w:val="24"/>
        </w:rPr>
        <w:t>kulturních zařízení</w:t>
      </w:r>
      <w:r w:rsidRPr="008426A0">
        <w:rPr>
          <w:rFonts w:ascii="Calibri" w:hAnsi="Calibri"/>
          <w:sz w:val="24"/>
          <w:szCs w:val="24"/>
        </w:rPr>
        <w:t xml:space="preserve"> na území České republiky mezi lety 2000 a 2013 s jistým důrazem na rozlišení období předcházejícího dopadům světové finanční krize od roku 2007 a navazujícího období zotavování. Široké spektrum kulturních činností bylo zúženo na základě disponibilních dat pocházejících převážně ze statistického zjišťování NIPOS. Analýza se </w:t>
      </w:r>
      <w:r w:rsidR="00905DCD">
        <w:rPr>
          <w:rFonts w:ascii="Calibri" w:hAnsi="Calibri"/>
          <w:sz w:val="24"/>
          <w:szCs w:val="24"/>
        </w:rPr>
        <w:t>tak</w:t>
      </w:r>
      <w:r w:rsidRPr="008426A0">
        <w:rPr>
          <w:rFonts w:ascii="Calibri" w:hAnsi="Calibri"/>
          <w:sz w:val="24"/>
          <w:szCs w:val="24"/>
        </w:rPr>
        <w:t xml:space="preserve"> zaměřuje</w:t>
      </w:r>
      <w:r w:rsidR="00406885" w:rsidRPr="008426A0">
        <w:rPr>
          <w:rFonts w:ascii="Calibri" w:hAnsi="Calibri"/>
          <w:sz w:val="24"/>
          <w:szCs w:val="24"/>
        </w:rPr>
        <w:t xml:space="preserve"> </w:t>
      </w:r>
      <w:r w:rsidR="00905DCD">
        <w:rPr>
          <w:rFonts w:ascii="Calibri" w:hAnsi="Calibri"/>
          <w:sz w:val="24"/>
          <w:szCs w:val="24"/>
        </w:rPr>
        <w:t xml:space="preserve">jen </w:t>
      </w:r>
      <w:r w:rsidR="00406885" w:rsidRPr="008426A0">
        <w:rPr>
          <w:rFonts w:ascii="Calibri" w:hAnsi="Calibri"/>
          <w:sz w:val="24"/>
          <w:szCs w:val="24"/>
        </w:rPr>
        <w:t>na oblast</w:t>
      </w:r>
      <w:r w:rsidR="00770E71" w:rsidRPr="008426A0">
        <w:rPr>
          <w:rFonts w:ascii="Calibri" w:hAnsi="Calibri"/>
          <w:sz w:val="24"/>
          <w:szCs w:val="24"/>
        </w:rPr>
        <w:t xml:space="preserve"> </w:t>
      </w:r>
      <w:r w:rsidRPr="008426A0">
        <w:rPr>
          <w:rFonts w:ascii="Calibri" w:hAnsi="Calibri"/>
          <w:sz w:val="24"/>
          <w:szCs w:val="24"/>
        </w:rPr>
        <w:t>muze</w:t>
      </w:r>
      <w:r w:rsidR="00406885" w:rsidRPr="008426A0">
        <w:rPr>
          <w:rFonts w:ascii="Calibri" w:hAnsi="Calibri"/>
          <w:sz w:val="24"/>
          <w:szCs w:val="24"/>
        </w:rPr>
        <w:t>í, galerií</w:t>
      </w:r>
      <w:r w:rsidR="00770E71" w:rsidRPr="008426A0">
        <w:rPr>
          <w:rFonts w:ascii="Calibri" w:hAnsi="Calibri"/>
          <w:sz w:val="24"/>
          <w:szCs w:val="24"/>
        </w:rPr>
        <w:t xml:space="preserve"> a </w:t>
      </w:r>
      <w:r w:rsidR="00E837BA" w:rsidRPr="008426A0">
        <w:rPr>
          <w:rFonts w:ascii="Calibri" w:hAnsi="Calibri"/>
          <w:sz w:val="24"/>
          <w:szCs w:val="24"/>
        </w:rPr>
        <w:t>památkov</w:t>
      </w:r>
      <w:r w:rsidR="00406885" w:rsidRPr="008426A0">
        <w:rPr>
          <w:rFonts w:ascii="Calibri" w:hAnsi="Calibri"/>
          <w:sz w:val="24"/>
          <w:szCs w:val="24"/>
        </w:rPr>
        <w:t>ých</w:t>
      </w:r>
      <w:r w:rsidR="004F25B3">
        <w:rPr>
          <w:rFonts w:ascii="Calibri" w:hAnsi="Calibri"/>
          <w:sz w:val="24"/>
          <w:szCs w:val="24"/>
        </w:rPr>
        <w:t xml:space="preserve"> </w:t>
      </w:r>
      <w:r w:rsidR="00E837BA" w:rsidRPr="008426A0">
        <w:rPr>
          <w:rFonts w:ascii="Calibri" w:hAnsi="Calibri"/>
          <w:sz w:val="24"/>
          <w:szCs w:val="24"/>
        </w:rPr>
        <w:t>objekt</w:t>
      </w:r>
      <w:r w:rsidR="00406885" w:rsidRPr="008426A0">
        <w:rPr>
          <w:rFonts w:ascii="Calibri" w:hAnsi="Calibri"/>
          <w:sz w:val="24"/>
          <w:szCs w:val="24"/>
        </w:rPr>
        <w:t>ů,</w:t>
      </w:r>
      <w:r w:rsidRPr="008426A0">
        <w:rPr>
          <w:rFonts w:ascii="Calibri" w:hAnsi="Calibri"/>
          <w:sz w:val="24"/>
          <w:szCs w:val="24"/>
        </w:rPr>
        <w:t xml:space="preserve"> knihov</w:t>
      </w:r>
      <w:r w:rsidR="00266076">
        <w:rPr>
          <w:rFonts w:ascii="Calibri" w:hAnsi="Calibri"/>
          <w:sz w:val="24"/>
          <w:szCs w:val="24"/>
        </w:rPr>
        <w:t>en</w:t>
      </w:r>
      <w:r w:rsidRPr="008426A0">
        <w:rPr>
          <w:rFonts w:ascii="Calibri" w:hAnsi="Calibri"/>
          <w:sz w:val="24"/>
          <w:szCs w:val="24"/>
        </w:rPr>
        <w:t>,</w:t>
      </w:r>
      <w:r w:rsidR="000C48EF" w:rsidRPr="008426A0">
        <w:rPr>
          <w:rFonts w:ascii="Calibri" w:hAnsi="Calibri"/>
          <w:sz w:val="24"/>
          <w:szCs w:val="24"/>
        </w:rPr>
        <w:t xml:space="preserve"> </w:t>
      </w:r>
      <w:r w:rsidR="000E54BA" w:rsidRPr="008426A0">
        <w:rPr>
          <w:rFonts w:ascii="Calibri" w:hAnsi="Calibri"/>
          <w:sz w:val="24"/>
          <w:szCs w:val="24"/>
        </w:rPr>
        <w:t>divad</w:t>
      </w:r>
      <w:r w:rsidR="00266076">
        <w:rPr>
          <w:rFonts w:ascii="Calibri" w:hAnsi="Calibri"/>
          <w:sz w:val="24"/>
          <w:szCs w:val="24"/>
        </w:rPr>
        <w:t>e</w:t>
      </w:r>
      <w:r w:rsidR="000E54BA" w:rsidRPr="008426A0">
        <w:rPr>
          <w:rFonts w:ascii="Calibri" w:hAnsi="Calibri"/>
          <w:sz w:val="24"/>
          <w:szCs w:val="24"/>
        </w:rPr>
        <w:t>l</w:t>
      </w:r>
      <w:r w:rsidR="00393F8A">
        <w:rPr>
          <w:rFonts w:ascii="Calibri" w:hAnsi="Calibri"/>
          <w:sz w:val="24"/>
          <w:szCs w:val="24"/>
        </w:rPr>
        <w:t>,</w:t>
      </w:r>
      <w:r w:rsidR="000E54BA" w:rsidRPr="008426A0">
        <w:rPr>
          <w:rFonts w:ascii="Calibri" w:hAnsi="Calibri"/>
          <w:sz w:val="24"/>
          <w:szCs w:val="24"/>
        </w:rPr>
        <w:t xml:space="preserve"> periodick</w:t>
      </w:r>
      <w:r w:rsidR="00266076">
        <w:rPr>
          <w:rFonts w:ascii="Calibri" w:hAnsi="Calibri"/>
          <w:sz w:val="24"/>
          <w:szCs w:val="24"/>
        </w:rPr>
        <w:t xml:space="preserve">ého </w:t>
      </w:r>
      <w:r w:rsidR="00905DCD">
        <w:rPr>
          <w:rFonts w:ascii="Calibri" w:hAnsi="Calibri"/>
          <w:sz w:val="24"/>
          <w:szCs w:val="24"/>
        </w:rPr>
        <w:t xml:space="preserve">tisku a </w:t>
      </w:r>
      <w:r w:rsidR="000E54BA" w:rsidRPr="008426A0">
        <w:rPr>
          <w:rFonts w:ascii="Calibri" w:hAnsi="Calibri"/>
          <w:sz w:val="24"/>
          <w:szCs w:val="24"/>
        </w:rPr>
        <w:t>neperiodick</w:t>
      </w:r>
      <w:r w:rsidR="00864B03">
        <w:rPr>
          <w:rFonts w:ascii="Calibri" w:hAnsi="Calibri"/>
          <w:sz w:val="24"/>
          <w:szCs w:val="24"/>
        </w:rPr>
        <w:t>ých publikací.</w:t>
      </w:r>
    </w:p>
    <w:p w:rsidR="0047605B" w:rsidRDefault="0047605B" w:rsidP="00986FD4">
      <w:pPr>
        <w:jc w:val="both"/>
        <w:rPr>
          <w:rFonts w:ascii="Calibri" w:hAnsi="Calibri"/>
          <w:sz w:val="24"/>
          <w:szCs w:val="24"/>
        </w:rPr>
      </w:pPr>
    </w:p>
    <w:p w:rsidR="00513F0D" w:rsidRPr="00905DCD" w:rsidRDefault="00513F0D" w:rsidP="00BD1963">
      <w:pPr>
        <w:pStyle w:val="Odstavecseseznamem"/>
        <w:numPr>
          <w:ilvl w:val="1"/>
          <w:numId w:val="5"/>
        </w:numPr>
        <w:ind w:left="709" w:hanging="709"/>
        <w:rPr>
          <w:rFonts w:ascii="Calibri" w:hAnsi="Calibri"/>
          <w:b/>
          <w:sz w:val="24"/>
          <w:szCs w:val="24"/>
        </w:rPr>
      </w:pPr>
      <w:r w:rsidRPr="00905DCD">
        <w:rPr>
          <w:rFonts w:ascii="Calibri" w:hAnsi="Calibri"/>
          <w:b/>
          <w:sz w:val="24"/>
          <w:szCs w:val="24"/>
        </w:rPr>
        <w:t>Muzea, galerie a památkové objekty</w:t>
      </w:r>
    </w:p>
    <w:p w:rsidR="00513F0D" w:rsidRPr="009E7A89" w:rsidRDefault="00513F0D" w:rsidP="00087E1F">
      <w:pPr>
        <w:spacing w:after="120"/>
        <w:ind w:firstLine="284"/>
        <w:jc w:val="both"/>
        <w:rPr>
          <w:rFonts w:ascii="Calibri" w:hAnsi="Calibri"/>
          <w:sz w:val="24"/>
          <w:szCs w:val="24"/>
        </w:rPr>
      </w:pPr>
      <w:r w:rsidRPr="009E7A89">
        <w:rPr>
          <w:rFonts w:ascii="Calibri" w:hAnsi="Calibri"/>
          <w:sz w:val="24"/>
          <w:szCs w:val="24"/>
        </w:rPr>
        <w:t xml:space="preserve">Muzea, galerie a památkové objekty patří mezi subjekty, jež jsou dlouhodobě předmětem statistického zjišťování. Jejich činnost spadá do </w:t>
      </w:r>
      <w:r w:rsidR="004F25B3">
        <w:rPr>
          <w:rFonts w:ascii="Calibri" w:hAnsi="Calibri"/>
          <w:sz w:val="24"/>
          <w:szCs w:val="24"/>
        </w:rPr>
        <w:t xml:space="preserve">tradičního </w:t>
      </w:r>
      <w:r w:rsidRPr="009E7A89">
        <w:rPr>
          <w:rFonts w:ascii="Calibri" w:hAnsi="Calibri"/>
          <w:sz w:val="24"/>
          <w:szCs w:val="24"/>
        </w:rPr>
        <w:t>umění, tedy neprůmyslového kulturního odvětví, jehož „produkce“ či „spotřeba“ je neoddělitelná od vyhrazených míst či budov. Statisti</w:t>
      </w:r>
      <w:r w:rsidR="00905DCD">
        <w:rPr>
          <w:rFonts w:ascii="Calibri" w:hAnsi="Calibri"/>
          <w:sz w:val="24"/>
          <w:szCs w:val="24"/>
        </w:rPr>
        <w:t xml:space="preserve">cká data </w:t>
      </w:r>
      <w:r w:rsidRPr="009E7A89">
        <w:rPr>
          <w:rFonts w:ascii="Calibri" w:hAnsi="Calibri"/>
          <w:sz w:val="24"/>
          <w:szCs w:val="24"/>
        </w:rPr>
        <w:t xml:space="preserve">týkající se </w:t>
      </w:r>
      <w:r w:rsidR="00905DCD">
        <w:rPr>
          <w:rFonts w:ascii="Calibri" w:hAnsi="Calibri"/>
          <w:sz w:val="24"/>
          <w:szCs w:val="24"/>
        </w:rPr>
        <w:t>s</w:t>
      </w:r>
      <w:r w:rsidRPr="009E7A89">
        <w:rPr>
          <w:rFonts w:ascii="Calibri" w:hAnsi="Calibri"/>
          <w:sz w:val="24"/>
          <w:szCs w:val="24"/>
        </w:rPr>
        <w:t>právy kulturního dědictví jsou zjišťovány prostřednictvím dvou statistických výkazů: Ročního výkazu o muzeu a galerii (zjišťujícího také památníky) – Kult (MK) 14-01 a Ročního výkazu o památkových objektech s kulturním využitím – Kult (MK) 17-01.</w:t>
      </w:r>
    </w:p>
    <w:p w:rsidR="00513F0D" w:rsidRPr="009E7A89" w:rsidRDefault="00513F0D" w:rsidP="00087E1F">
      <w:pPr>
        <w:spacing w:after="120"/>
        <w:ind w:firstLine="284"/>
        <w:jc w:val="both"/>
        <w:rPr>
          <w:rFonts w:ascii="Calibri" w:hAnsi="Calibri"/>
          <w:sz w:val="24"/>
          <w:szCs w:val="24"/>
        </w:rPr>
      </w:pPr>
      <w:r w:rsidRPr="009E7A89">
        <w:rPr>
          <w:rFonts w:ascii="Calibri" w:hAnsi="Calibri"/>
          <w:sz w:val="24"/>
          <w:szCs w:val="24"/>
        </w:rPr>
        <w:t xml:space="preserve">Oblast správy kulturního dědictví reprezentovanou muzei, galeriemi a památkovými objekty lze považovat za kulturní odvětví, pro něž bylo poslední desetiletí spíše obdobím expanze. </w:t>
      </w:r>
      <w:r w:rsidRPr="009E7A89">
        <w:rPr>
          <w:rFonts w:ascii="Calibri" w:hAnsi="Calibri"/>
          <w:b/>
          <w:sz w:val="24"/>
          <w:szCs w:val="24"/>
        </w:rPr>
        <w:t>Počet subjektů</w:t>
      </w:r>
      <w:r w:rsidRPr="009E7A89">
        <w:rPr>
          <w:rFonts w:ascii="Calibri" w:hAnsi="Calibri"/>
          <w:sz w:val="24"/>
          <w:szCs w:val="24"/>
        </w:rPr>
        <w:t>, které v dané kulturní oblasti působí či objektů, které byly předmětem zjišťování, se v obou zjišťovaných skupinách zvýšil. Mezi lety 2000 a 2013 vzrostl počet muzeí, galerií a památníků v ČR o 16,4</w:t>
      </w:r>
      <w:r w:rsidR="00662566">
        <w:rPr>
          <w:rFonts w:ascii="Calibri" w:hAnsi="Calibri"/>
          <w:sz w:val="24"/>
          <w:szCs w:val="24"/>
        </w:rPr>
        <w:t xml:space="preserve"> </w:t>
      </w:r>
      <w:r w:rsidRPr="009E7A89">
        <w:rPr>
          <w:rFonts w:ascii="Calibri" w:hAnsi="Calibri"/>
          <w:sz w:val="24"/>
          <w:szCs w:val="24"/>
        </w:rPr>
        <w:t xml:space="preserve">%. </w:t>
      </w:r>
      <w:r w:rsidR="00905DCD">
        <w:rPr>
          <w:rFonts w:ascii="Calibri" w:hAnsi="Calibri"/>
          <w:sz w:val="24"/>
          <w:szCs w:val="24"/>
        </w:rPr>
        <w:t>Nerostl však</w:t>
      </w:r>
      <w:r w:rsidR="00761A8B">
        <w:rPr>
          <w:rFonts w:ascii="Calibri" w:hAnsi="Calibri"/>
          <w:sz w:val="24"/>
          <w:szCs w:val="24"/>
        </w:rPr>
        <w:t xml:space="preserve"> v</w:t>
      </w:r>
      <w:r w:rsidRPr="009E7A89">
        <w:rPr>
          <w:rFonts w:ascii="Calibri" w:hAnsi="Calibri"/>
          <w:sz w:val="24"/>
          <w:szCs w:val="24"/>
        </w:rPr>
        <w:t xml:space="preserve"> celé</w:t>
      </w:r>
      <w:r w:rsidR="00761A8B">
        <w:rPr>
          <w:rFonts w:ascii="Calibri" w:hAnsi="Calibri"/>
          <w:sz w:val="24"/>
          <w:szCs w:val="24"/>
        </w:rPr>
        <w:t>m</w:t>
      </w:r>
      <w:r w:rsidRPr="009E7A89">
        <w:rPr>
          <w:rFonts w:ascii="Calibri" w:hAnsi="Calibri"/>
          <w:sz w:val="24"/>
          <w:szCs w:val="24"/>
        </w:rPr>
        <w:t xml:space="preserve"> to</w:t>
      </w:r>
      <w:r w:rsidR="00761A8B">
        <w:rPr>
          <w:rFonts w:ascii="Calibri" w:hAnsi="Calibri"/>
          <w:sz w:val="24"/>
          <w:szCs w:val="24"/>
        </w:rPr>
        <w:t>m</w:t>
      </w:r>
      <w:r w:rsidRPr="009E7A89">
        <w:rPr>
          <w:rFonts w:ascii="Calibri" w:hAnsi="Calibri"/>
          <w:sz w:val="24"/>
          <w:szCs w:val="24"/>
        </w:rPr>
        <w:t xml:space="preserve">to období rovnoměrně. Ve čtyřech letech (2002, 2005, 2009 a 2010) dokonce ve srovnání s předcházejícími roky poklesl, přičemž pokles v letech 2009 a 2010 mohl souviset s probíhající ekonomickou krizí. Od roku 2010 se absolutní změny v počtu provozovaných muzeí, galerií a památníků vrací do kladných hodnot, v nichž zůstávají </w:t>
      </w:r>
      <w:r w:rsidR="004F25B3">
        <w:rPr>
          <w:rFonts w:ascii="Calibri" w:hAnsi="Calibri"/>
          <w:sz w:val="24"/>
          <w:szCs w:val="24"/>
        </w:rPr>
        <w:t xml:space="preserve">až </w:t>
      </w:r>
      <w:r w:rsidRPr="009E7A89">
        <w:rPr>
          <w:rFonts w:ascii="Calibri" w:hAnsi="Calibri"/>
          <w:sz w:val="24"/>
          <w:szCs w:val="24"/>
        </w:rPr>
        <w:t xml:space="preserve">do roku 2013. Počty hradů, zámků a ostatních památek </w:t>
      </w:r>
      <w:r w:rsidR="00761A8B">
        <w:rPr>
          <w:rFonts w:ascii="Calibri" w:hAnsi="Calibri"/>
          <w:sz w:val="24"/>
          <w:szCs w:val="24"/>
        </w:rPr>
        <w:t>z</w:t>
      </w:r>
      <w:r w:rsidRPr="009E7A89">
        <w:rPr>
          <w:rFonts w:ascii="Calibri" w:hAnsi="Calibri"/>
          <w:sz w:val="24"/>
          <w:szCs w:val="24"/>
        </w:rPr>
        <w:t>přístupn</w:t>
      </w:r>
      <w:r w:rsidR="00761A8B">
        <w:rPr>
          <w:rFonts w:ascii="Calibri" w:hAnsi="Calibri"/>
          <w:sz w:val="24"/>
          <w:szCs w:val="24"/>
        </w:rPr>
        <w:t xml:space="preserve">ěných </w:t>
      </w:r>
      <w:r w:rsidRPr="009E7A89">
        <w:rPr>
          <w:rFonts w:ascii="Calibri" w:hAnsi="Calibri"/>
          <w:sz w:val="24"/>
          <w:szCs w:val="24"/>
        </w:rPr>
        <w:t xml:space="preserve">za vstupné prošly rovněž spíše vzestupným vývojem. </w:t>
      </w:r>
      <w:r w:rsidR="00761A8B">
        <w:rPr>
          <w:rFonts w:ascii="Calibri" w:hAnsi="Calibri"/>
          <w:sz w:val="24"/>
          <w:szCs w:val="24"/>
        </w:rPr>
        <w:t xml:space="preserve">Zatímco v </w:t>
      </w:r>
      <w:r w:rsidRPr="009E7A89">
        <w:rPr>
          <w:rFonts w:ascii="Calibri" w:hAnsi="Calibri"/>
          <w:sz w:val="24"/>
          <w:szCs w:val="24"/>
        </w:rPr>
        <w:t> roce 2000 bylo na území ČR 197 t</w:t>
      </w:r>
      <w:r w:rsidR="00761A8B">
        <w:rPr>
          <w:rFonts w:ascii="Calibri" w:hAnsi="Calibri"/>
          <w:sz w:val="24"/>
          <w:szCs w:val="24"/>
        </w:rPr>
        <w:t xml:space="preserve">ěchto </w:t>
      </w:r>
      <w:r w:rsidRPr="009E7A89">
        <w:rPr>
          <w:rFonts w:ascii="Calibri" w:hAnsi="Calibri"/>
          <w:sz w:val="24"/>
          <w:szCs w:val="24"/>
        </w:rPr>
        <w:t>objektů</w:t>
      </w:r>
      <w:r w:rsidR="00761A8B">
        <w:rPr>
          <w:rFonts w:ascii="Calibri" w:hAnsi="Calibri"/>
          <w:sz w:val="24"/>
          <w:szCs w:val="24"/>
        </w:rPr>
        <w:t>, tak v</w:t>
      </w:r>
      <w:r w:rsidRPr="009E7A89">
        <w:rPr>
          <w:rFonts w:ascii="Calibri" w:hAnsi="Calibri"/>
          <w:sz w:val="24"/>
          <w:szCs w:val="24"/>
        </w:rPr>
        <w:t xml:space="preserve"> roce 2013 jich bylo o 100 více. Tempo růstu </w:t>
      </w:r>
      <w:r w:rsidR="00761A8B">
        <w:rPr>
          <w:rFonts w:ascii="Calibri" w:hAnsi="Calibri"/>
          <w:sz w:val="24"/>
          <w:szCs w:val="24"/>
        </w:rPr>
        <w:t xml:space="preserve">jejich počtu </w:t>
      </w:r>
      <w:r w:rsidRPr="009E7A89">
        <w:rPr>
          <w:rFonts w:ascii="Calibri" w:hAnsi="Calibri"/>
          <w:sz w:val="24"/>
          <w:szCs w:val="24"/>
        </w:rPr>
        <w:t xml:space="preserve">v průběhu sledovaného období klesalo. Od roku 2011 </w:t>
      </w:r>
      <w:r w:rsidR="00761A8B">
        <w:rPr>
          <w:rFonts w:ascii="Calibri" w:hAnsi="Calibri"/>
          <w:sz w:val="24"/>
          <w:szCs w:val="24"/>
        </w:rPr>
        <w:t xml:space="preserve">zůstalo v zásadě </w:t>
      </w:r>
      <w:r w:rsidRPr="009E7A89">
        <w:rPr>
          <w:rFonts w:ascii="Calibri" w:hAnsi="Calibri"/>
          <w:sz w:val="24"/>
          <w:szCs w:val="24"/>
        </w:rPr>
        <w:t>stabilní.</w:t>
      </w:r>
    </w:p>
    <w:p w:rsidR="00513F0D" w:rsidRDefault="00513F0D" w:rsidP="00513F0D">
      <w:pPr>
        <w:jc w:val="both"/>
        <w:rPr>
          <w:rFonts w:ascii="Calibri" w:hAnsi="Calibri"/>
          <w:sz w:val="24"/>
          <w:szCs w:val="24"/>
        </w:rPr>
      </w:pPr>
    </w:p>
    <w:p w:rsidR="00513F0D" w:rsidRDefault="00513F0D" w:rsidP="00513F0D">
      <w:pPr>
        <w:jc w:val="both"/>
        <w:rPr>
          <w:rFonts w:ascii="Calibri" w:hAnsi="Calibri"/>
          <w:sz w:val="24"/>
          <w:szCs w:val="24"/>
        </w:rPr>
      </w:pPr>
    </w:p>
    <w:p w:rsidR="004F25B3" w:rsidRDefault="004F25B3" w:rsidP="00513F0D">
      <w:pPr>
        <w:jc w:val="both"/>
        <w:rPr>
          <w:rFonts w:ascii="Calibri" w:hAnsi="Calibri"/>
          <w:sz w:val="24"/>
          <w:szCs w:val="24"/>
        </w:rPr>
      </w:pPr>
    </w:p>
    <w:p w:rsidR="0099144D" w:rsidRDefault="0099144D" w:rsidP="00513F0D">
      <w:pPr>
        <w:jc w:val="both"/>
        <w:rPr>
          <w:rFonts w:ascii="Calibri" w:hAnsi="Calibri"/>
          <w:sz w:val="24"/>
          <w:szCs w:val="24"/>
        </w:rPr>
      </w:pPr>
    </w:p>
    <w:p w:rsidR="00513F0D" w:rsidRPr="009E7A89" w:rsidRDefault="00513F0D" w:rsidP="00513F0D">
      <w:pPr>
        <w:jc w:val="center"/>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1</w:t>
      </w:r>
      <w:r w:rsidRPr="009E7A89">
        <w:rPr>
          <w:rFonts w:ascii="Calibri" w:hAnsi="Calibri"/>
          <w:b/>
          <w:sz w:val="24"/>
          <w:szCs w:val="24"/>
        </w:rPr>
        <w:t>. Vývoj počtu muzeí, galerií a památkových objektů v ČR mezi lety 2000 a 2013</w:t>
      </w:r>
    </w:p>
    <w:p w:rsidR="00513F0D" w:rsidRDefault="00513F0D" w:rsidP="00513F0D">
      <w:pPr>
        <w:rPr>
          <w:rFonts w:ascii="Calibri" w:hAnsi="Calibri"/>
          <w:sz w:val="24"/>
          <w:szCs w:val="24"/>
        </w:rPr>
      </w:pPr>
      <w:r w:rsidRPr="009E7A89">
        <w:rPr>
          <w:rFonts w:ascii="Calibri" w:hAnsi="Calibri"/>
          <w:noProof/>
        </w:rPr>
        <w:drawing>
          <wp:inline distT="0" distB="0" distL="0" distR="0">
            <wp:extent cx="5759532" cy="2446317"/>
            <wp:effectExtent l="0" t="0" r="0" b="0"/>
            <wp:docPr id="10"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1A8B" w:rsidRPr="009E7A89" w:rsidRDefault="00761A8B" w:rsidP="00513F0D">
      <w:pPr>
        <w:rPr>
          <w:rFonts w:ascii="Calibri" w:hAnsi="Calibri"/>
          <w:sz w:val="24"/>
          <w:szCs w:val="24"/>
        </w:rPr>
      </w:pPr>
    </w:p>
    <w:p w:rsidR="00513F0D" w:rsidRPr="009E7A89" w:rsidRDefault="00513F0D" w:rsidP="00DD3697">
      <w:pPr>
        <w:spacing w:after="120"/>
        <w:ind w:firstLine="284"/>
        <w:jc w:val="both"/>
        <w:rPr>
          <w:rFonts w:ascii="Calibri" w:hAnsi="Calibri"/>
          <w:sz w:val="24"/>
          <w:szCs w:val="24"/>
        </w:rPr>
      </w:pPr>
      <w:r w:rsidRPr="009E7A89">
        <w:rPr>
          <w:rFonts w:ascii="Calibri" w:hAnsi="Calibri"/>
          <w:sz w:val="24"/>
          <w:szCs w:val="24"/>
        </w:rPr>
        <w:t xml:space="preserve">Sledujeme-li vývoj v oblasti muzeí, galerií (tzn. muzeí výtvarných umění) a památníků z výkonnostní perspektivy měřené </w:t>
      </w:r>
      <w:r w:rsidRPr="00761A8B">
        <w:rPr>
          <w:rFonts w:ascii="Calibri" w:hAnsi="Calibri"/>
          <w:b/>
          <w:sz w:val="24"/>
          <w:szCs w:val="24"/>
        </w:rPr>
        <w:t>počtem realizovaných výstav a expozic</w:t>
      </w:r>
      <w:r w:rsidRPr="009E7A89">
        <w:rPr>
          <w:rFonts w:ascii="Calibri" w:hAnsi="Calibri"/>
          <w:sz w:val="24"/>
          <w:szCs w:val="24"/>
        </w:rPr>
        <w:t xml:space="preserve">, vidíme, že počet </w:t>
      </w:r>
      <w:r w:rsidR="007B7CDE">
        <w:rPr>
          <w:rFonts w:ascii="Calibri" w:hAnsi="Calibri"/>
          <w:sz w:val="24"/>
          <w:szCs w:val="24"/>
        </w:rPr>
        <w:t>provozovaných</w:t>
      </w:r>
      <w:r w:rsidRPr="009E7A89">
        <w:rPr>
          <w:rFonts w:ascii="Calibri" w:hAnsi="Calibri"/>
          <w:sz w:val="24"/>
          <w:szCs w:val="24"/>
        </w:rPr>
        <w:t xml:space="preserve"> expozic a výstav po celé sledované období </w:t>
      </w:r>
      <w:r w:rsidR="004F25B3">
        <w:rPr>
          <w:rFonts w:ascii="Calibri" w:hAnsi="Calibri"/>
          <w:sz w:val="24"/>
          <w:szCs w:val="24"/>
        </w:rPr>
        <w:t>vzrůstal</w:t>
      </w:r>
      <w:r w:rsidRPr="009E7A89">
        <w:rPr>
          <w:rFonts w:ascii="Calibri" w:hAnsi="Calibri"/>
          <w:sz w:val="24"/>
          <w:szCs w:val="24"/>
        </w:rPr>
        <w:t>. Zatímco v roce 2000 bylo na území České republiky realizováno celkem 4 780 výstav a expozic, během roku 2013 jich bylo 6 070. Vývoj provozovaných výstav a expozic odpovídá nárůstu počtu zpravodajských jednotek. Na jednu šetřenou jednotku připadlo po celé sledované období mezi lety 2000 a 2013 mezi 11 a 12 realizovanými expozicemi a výstavami ročně.</w:t>
      </w:r>
    </w:p>
    <w:p w:rsidR="00513F0D" w:rsidRPr="009E7A89" w:rsidRDefault="00513F0D" w:rsidP="00513F0D">
      <w:pPr>
        <w:jc w:val="both"/>
        <w:rPr>
          <w:rFonts w:ascii="Calibri" w:hAnsi="Calibri"/>
          <w:sz w:val="24"/>
          <w:szCs w:val="24"/>
        </w:rPr>
      </w:pPr>
    </w:p>
    <w:p w:rsidR="00513F0D" w:rsidRPr="009E7A89" w:rsidRDefault="00513F0D" w:rsidP="008F4AC0">
      <w:pPr>
        <w:jc w:val="both"/>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2</w:t>
      </w:r>
      <w:r w:rsidRPr="009E7A89">
        <w:rPr>
          <w:rFonts w:ascii="Calibri" w:hAnsi="Calibri"/>
          <w:b/>
          <w:sz w:val="24"/>
          <w:szCs w:val="24"/>
        </w:rPr>
        <w:t>. Vývoj počtu expozic a výstav v ČR mezi lety 2000 a 2013 (v tis.)</w:t>
      </w:r>
    </w:p>
    <w:p w:rsidR="00513F0D" w:rsidRDefault="00513F0D" w:rsidP="00513F0D">
      <w:pPr>
        <w:rPr>
          <w:rFonts w:ascii="Calibri" w:hAnsi="Calibri"/>
          <w:sz w:val="24"/>
          <w:szCs w:val="24"/>
        </w:rPr>
      </w:pPr>
      <w:r w:rsidRPr="009E7A89">
        <w:rPr>
          <w:rFonts w:ascii="Calibri" w:hAnsi="Calibri"/>
          <w:noProof/>
        </w:rPr>
        <w:drawing>
          <wp:inline distT="0" distB="0" distL="0" distR="0">
            <wp:extent cx="5759532" cy="2517569"/>
            <wp:effectExtent l="0" t="0" r="0" b="0"/>
            <wp:docPr id="11"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1A8B" w:rsidRPr="009E7A89" w:rsidRDefault="00761A8B" w:rsidP="00513F0D">
      <w:pPr>
        <w:rPr>
          <w:rFonts w:ascii="Calibri" w:hAnsi="Calibri"/>
          <w:sz w:val="24"/>
          <w:szCs w:val="24"/>
        </w:rPr>
      </w:pPr>
    </w:p>
    <w:p w:rsidR="00513F0D" w:rsidRPr="009E7A89" w:rsidRDefault="00513F0D" w:rsidP="004C115C">
      <w:pPr>
        <w:spacing w:after="120"/>
        <w:ind w:firstLine="284"/>
        <w:jc w:val="both"/>
        <w:rPr>
          <w:rFonts w:ascii="Calibri" w:hAnsi="Calibri"/>
          <w:sz w:val="24"/>
          <w:szCs w:val="24"/>
        </w:rPr>
      </w:pPr>
      <w:r w:rsidRPr="009E7A89">
        <w:rPr>
          <w:rFonts w:ascii="Calibri" w:hAnsi="Calibri"/>
          <w:b/>
          <w:sz w:val="24"/>
          <w:szCs w:val="24"/>
        </w:rPr>
        <w:t>Návštěvnost</w:t>
      </w:r>
      <w:r w:rsidRPr="009E7A89">
        <w:rPr>
          <w:rFonts w:ascii="Calibri" w:hAnsi="Calibri"/>
          <w:sz w:val="24"/>
          <w:szCs w:val="24"/>
        </w:rPr>
        <w:t xml:space="preserve"> objektů kulturní</w:t>
      </w:r>
      <w:r w:rsidR="00761A8B">
        <w:rPr>
          <w:rFonts w:ascii="Calibri" w:hAnsi="Calibri"/>
          <w:sz w:val="24"/>
          <w:szCs w:val="24"/>
        </w:rPr>
        <w:t xml:space="preserve">ho </w:t>
      </w:r>
      <w:r w:rsidRPr="009E7A89">
        <w:rPr>
          <w:rFonts w:ascii="Calibri" w:hAnsi="Calibri"/>
          <w:sz w:val="24"/>
          <w:szCs w:val="24"/>
        </w:rPr>
        <w:t xml:space="preserve">dědictví </w:t>
      </w:r>
      <w:r w:rsidR="00761A8B">
        <w:rPr>
          <w:rFonts w:ascii="Calibri" w:hAnsi="Calibri"/>
          <w:sz w:val="24"/>
          <w:szCs w:val="24"/>
        </w:rPr>
        <w:t xml:space="preserve">ve sledovaném období let </w:t>
      </w:r>
      <w:r w:rsidRPr="009E7A89">
        <w:rPr>
          <w:rFonts w:ascii="Calibri" w:hAnsi="Calibri"/>
          <w:sz w:val="24"/>
          <w:szCs w:val="24"/>
        </w:rPr>
        <w:t xml:space="preserve"> 2000 </w:t>
      </w:r>
      <w:r w:rsidR="00761A8B">
        <w:rPr>
          <w:rFonts w:ascii="Calibri" w:hAnsi="Calibri"/>
          <w:sz w:val="24"/>
          <w:szCs w:val="24"/>
        </w:rPr>
        <w:t>-</w:t>
      </w:r>
      <w:r w:rsidRPr="009E7A89">
        <w:rPr>
          <w:rFonts w:ascii="Calibri" w:hAnsi="Calibri"/>
          <w:sz w:val="24"/>
          <w:szCs w:val="24"/>
        </w:rPr>
        <w:t xml:space="preserve"> 2013 kolísala. Na přelomu tisíciletí mírně převažovala návštěvnost u expozic a výstav muzeí, galerií a památníků. V daném roce jimi prošlo celkem 9,3 mil. návštěvníků na rozdíl od hradů zámků či jiných památek, které ve stejném roce navštívilo celkem 9 mil. osob. Po roce 2001 vývoj návštěvnosti v obou kulturních oblastech diverguje. Počet návštěvníků hradů, zámků a ostatních památek relativně významně narůstá, zatímco návštěvnost muzeí, galerií a památníků spíše stagnuje. V roce 2005 dosahuje rozdíl v návštěvnosti obou skupin zařízení 2 665 </w:t>
      </w:r>
      <w:r w:rsidR="004F25B3">
        <w:rPr>
          <w:rFonts w:ascii="Calibri" w:hAnsi="Calibri"/>
          <w:sz w:val="24"/>
          <w:szCs w:val="24"/>
        </w:rPr>
        <w:t xml:space="preserve">tis. </w:t>
      </w:r>
      <w:r w:rsidRPr="009E7A89">
        <w:rPr>
          <w:rFonts w:ascii="Calibri" w:hAnsi="Calibri"/>
          <w:sz w:val="24"/>
          <w:szCs w:val="24"/>
        </w:rPr>
        <w:t>návštěv. Vysoký rozdíl v návštěvnosti ve prospěch památkových objektů přetrvává do roku 2012. V posledním sledovaném roce (2013) dochází ke sblížení návštěvnosti obou skupin zařízení, která představovala 10,5 mil. u muzeí, galerií a památek a 10,7 mil. v</w:t>
      </w:r>
      <w:r w:rsidR="00534E3F">
        <w:rPr>
          <w:rFonts w:ascii="Calibri" w:hAnsi="Calibri"/>
          <w:sz w:val="24"/>
          <w:szCs w:val="24"/>
        </w:rPr>
        <w:t> </w:t>
      </w:r>
      <w:r w:rsidRPr="009E7A89">
        <w:rPr>
          <w:rFonts w:ascii="Calibri" w:hAnsi="Calibri"/>
          <w:sz w:val="24"/>
          <w:szCs w:val="24"/>
        </w:rPr>
        <w:t>kategorii</w:t>
      </w:r>
      <w:r w:rsidR="00534E3F">
        <w:rPr>
          <w:rFonts w:ascii="Calibri" w:hAnsi="Calibri"/>
          <w:sz w:val="24"/>
          <w:szCs w:val="24"/>
        </w:rPr>
        <w:t xml:space="preserve"> </w:t>
      </w:r>
      <w:r w:rsidRPr="009E7A89">
        <w:rPr>
          <w:rFonts w:ascii="Calibri" w:hAnsi="Calibri"/>
          <w:sz w:val="24"/>
          <w:szCs w:val="24"/>
        </w:rPr>
        <w:t>hradů,</w:t>
      </w:r>
      <w:r w:rsidR="00761A8B">
        <w:rPr>
          <w:rFonts w:ascii="Calibri" w:hAnsi="Calibri"/>
          <w:sz w:val="24"/>
          <w:szCs w:val="24"/>
        </w:rPr>
        <w:t xml:space="preserve"> </w:t>
      </w:r>
      <w:r w:rsidRPr="009E7A89">
        <w:rPr>
          <w:rFonts w:ascii="Calibri" w:hAnsi="Calibri"/>
          <w:sz w:val="24"/>
          <w:szCs w:val="24"/>
        </w:rPr>
        <w:t>zámků a ostatních památek.</w:t>
      </w:r>
    </w:p>
    <w:p w:rsidR="00513F0D" w:rsidRPr="009E7A89" w:rsidRDefault="00513F0D" w:rsidP="00513F0D">
      <w:pPr>
        <w:jc w:val="both"/>
        <w:rPr>
          <w:rFonts w:ascii="Calibri" w:hAnsi="Calibri"/>
          <w:sz w:val="24"/>
          <w:szCs w:val="24"/>
        </w:rPr>
      </w:pPr>
    </w:p>
    <w:p w:rsidR="00513F0D" w:rsidRPr="009E7A89" w:rsidRDefault="00513F0D" w:rsidP="002F28C2">
      <w:pPr>
        <w:ind w:left="567" w:hanging="567"/>
        <w:jc w:val="both"/>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3</w:t>
      </w:r>
      <w:r w:rsidRPr="009E7A89">
        <w:rPr>
          <w:rFonts w:ascii="Calibri" w:hAnsi="Calibri"/>
          <w:b/>
          <w:sz w:val="24"/>
          <w:szCs w:val="24"/>
        </w:rPr>
        <w:t>. Vývoj návštěvnosti muzeí, galerií a památkových objektů v ČR mezi lety 2000 a 2013 (v tis.)</w:t>
      </w:r>
    </w:p>
    <w:p w:rsidR="00513F0D" w:rsidRPr="009E7A89" w:rsidRDefault="00513F0D" w:rsidP="00513F0D">
      <w:pPr>
        <w:jc w:val="center"/>
        <w:rPr>
          <w:rFonts w:ascii="Calibri" w:hAnsi="Calibri"/>
          <w:sz w:val="24"/>
          <w:szCs w:val="24"/>
        </w:rPr>
      </w:pPr>
      <w:r w:rsidRPr="009E7A89">
        <w:rPr>
          <w:rFonts w:ascii="Calibri" w:hAnsi="Calibri"/>
          <w:noProof/>
        </w:rPr>
        <w:drawing>
          <wp:inline distT="0" distB="0" distL="0" distR="0">
            <wp:extent cx="5759532" cy="2576945"/>
            <wp:effectExtent l="0" t="0" r="0" b="0"/>
            <wp:docPr id="1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25B3" w:rsidRPr="009E7A89" w:rsidRDefault="004F25B3" w:rsidP="00513F0D">
      <w:pPr>
        <w:tabs>
          <w:tab w:val="left" w:pos="8505"/>
        </w:tabs>
        <w:ind w:left="708" w:right="567"/>
        <w:jc w:val="both"/>
        <w:rPr>
          <w:rFonts w:ascii="Calibri" w:hAnsi="Calibri"/>
          <w:sz w:val="20"/>
          <w:szCs w:val="20"/>
        </w:rPr>
      </w:pPr>
    </w:p>
    <w:p w:rsidR="00513F0D" w:rsidRPr="00761A8B" w:rsidRDefault="00513F0D" w:rsidP="00BD1963">
      <w:pPr>
        <w:pStyle w:val="Odstavecseseznamem"/>
        <w:numPr>
          <w:ilvl w:val="1"/>
          <w:numId w:val="5"/>
        </w:numPr>
        <w:ind w:left="709" w:hanging="709"/>
        <w:rPr>
          <w:rFonts w:ascii="Calibri" w:hAnsi="Calibri"/>
          <w:b/>
          <w:sz w:val="24"/>
          <w:szCs w:val="24"/>
        </w:rPr>
      </w:pPr>
      <w:r w:rsidRPr="00761A8B">
        <w:rPr>
          <w:rFonts w:ascii="Calibri" w:hAnsi="Calibri"/>
          <w:b/>
          <w:sz w:val="24"/>
          <w:szCs w:val="24"/>
        </w:rPr>
        <w:t>Knihovny</w:t>
      </w:r>
    </w:p>
    <w:p w:rsidR="005D357A" w:rsidRDefault="00761A8B" w:rsidP="004C115C">
      <w:pPr>
        <w:spacing w:after="120"/>
        <w:ind w:firstLine="284"/>
        <w:jc w:val="both"/>
        <w:rPr>
          <w:rFonts w:ascii="Calibri" w:hAnsi="Calibri"/>
          <w:sz w:val="24"/>
          <w:szCs w:val="24"/>
        </w:rPr>
      </w:pPr>
      <w:r>
        <w:rPr>
          <w:rFonts w:ascii="Calibri" w:hAnsi="Calibri"/>
          <w:sz w:val="24"/>
          <w:szCs w:val="24"/>
        </w:rPr>
        <w:t>Systém k</w:t>
      </w:r>
      <w:r w:rsidR="00513F0D" w:rsidRPr="009E7A89">
        <w:rPr>
          <w:rFonts w:ascii="Calibri" w:hAnsi="Calibri"/>
          <w:sz w:val="24"/>
          <w:szCs w:val="24"/>
        </w:rPr>
        <w:t>nihov</w:t>
      </w:r>
      <w:r>
        <w:rPr>
          <w:rFonts w:ascii="Calibri" w:hAnsi="Calibri"/>
          <w:sz w:val="24"/>
          <w:szCs w:val="24"/>
        </w:rPr>
        <w:t xml:space="preserve">en </w:t>
      </w:r>
      <w:r w:rsidR="00513F0D" w:rsidRPr="009E7A89">
        <w:rPr>
          <w:rFonts w:ascii="Calibri" w:hAnsi="Calibri"/>
          <w:sz w:val="24"/>
          <w:szCs w:val="24"/>
        </w:rPr>
        <w:t>tvoří</w:t>
      </w:r>
      <w:r w:rsidR="00534E3F">
        <w:rPr>
          <w:rFonts w:ascii="Calibri" w:hAnsi="Calibri"/>
          <w:sz w:val="24"/>
          <w:szCs w:val="24"/>
        </w:rPr>
        <w:t xml:space="preserve"> </w:t>
      </w:r>
      <w:r w:rsidR="00513F0D" w:rsidRPr="009E7A89">
        <w:rPr>
          <w:rFonts w:ascii="Calibri" w:hAnsi="Calibri"/>
          <w:sz w:val="24"/>
          <w:szCs w:val="24"/>
        </w:rPr>
        <w:t xml:space="preserve">dlouhodobě ústřední složku kulturní infrastruktury. Na jedné straně slouží jako uchovatel kulturního a vědeckého dědictví (archivují vzácné historické knihovní fondy, zajišťují jejich digitalizaci apod.), na druhé straně shromažďuje a zpřístupňuje vybrané produkty kulturního průmyslu. V poslední době veřejné knihovny </w:t>
      </w:r>
      <w:r w:rsidR="005D357A">
        <w:rPr>
          <w:rFonts w:ascii="Calibri" w:hAnsi="Calibri"/>
          <w:sz w:val="24"/>
          <w:szCs w:val="24"/>
        </w:rPr>
        <w:t xml:space="preserve">poskytují </w:t>
      </w:r>
      <w:r w:rsidR="008B4120">
        <w:rPr>
          <w:rFonts w:ascii="Calibri" w:hAnsi="Calibri"/>
          <w:sz w:val="24"/>
          <w:szCs w:val="24"/>
        </w:rPr>
        <w:t xml:space="preserve">i </w:t>
      </w:r>
      <w:r w:rsidR="005D357A">
        <w:rPr>
          <w:rFonts w:ascii="Calibri" w:hAnsi="Calibri"/>
          <w:sz w:val="24"/>
          <w:szCs w:val="24"/>
        </w:rPr>
        <w:t>jiné služby, než klasické knih</w:t>
      </w:r>
      <w:r w:rsidR="008B4120">
        <w:rPr>
          <w:rFonts w:ascii="Calibri" w:hAnsi="Calibri"/>
          <w:sz w:val="24"/>
          <w:szCs w:val="24"/>
        </w:rPr>
        <w:t>ovní výpůjčky</w:t>
      </w:r>
      <w:r w:rsidR="005D357A">
        <w:rPr>
          <w:rFonts w:ascii="Calibri" w:hAnsi="Calibri"/>
          <w:sz w:val="24"/>
          <w:szCs w:val="24"/>
        </w:rPr>
        <w:t xml:space="preserve">. </w:t>
      </w:r>
      <w:r w:rsidR="00AC2924">
        <w:rPr>
          <w:rFonts w:ascii="Calibri" w:hAnsi="Calibri"/>
          <w:sz w:val="24"/>
          <w:szCs w:val="24"/>
        </w:rPr>
        <w:t>P</w:t>
      </w:r>
      <w:r w:rsidR="005D357A">
        <w:rPr>
          <w:rFonts w:ascii="Calibri" w:hAnsi="Calibri"/>
          <w:sz w:val="24"/>
          <w:szCs w:val="24"/>
        </w:rPr>
        <w:t xml:space="preserve">atří </w:t>
      </w:r>
      <w:r w:rsidR="00AC2924">
        <w:rPr>
          <w:rFonts w:ascii="Calibri" w:hAnsi="Calibri"/>
          <w:sz w:val="24"/>
          <w:szCs w:val="24"/>
        </w:rPr>
        <w:t xml:space="preserve">mezi ně </w:t>
      </w:r>
      <w:r w:rsidR="005D357A">
        <w:rPr>
          <w:rFonts w:ascii="Calibri" w:hAnsi="Calibri"/>
          <w:sz w:val="24"/>
          <w:szCs w:val="24"/>
        </w:rPr>
        <w:t xml:space="preserve">poskytování informací, kulturní a vzdělávací pořady, kurzy, výstavy či přístup k internetu. </w:t>
      </w:r>
    </w:p>
    <w:p w:rsidR="00513F0D" w:rsidRPr="009E7A89" w:rsidRDefault="00513F0D" w:rsidP="004C115C">
      <w:pPr>
        <w:spacing w:after="120"/>
        <w:ind w:firstLine="284"/>
        <w:jc w:val="both"/>
        <w:rPr>
          <w:rFonts w:ascii="Calibri" w:hAnsi="Calibri"/>
          <w:sz w:val="24"/>
          <w:szCs w:val="24"/>
        </w:rPr>
      </w:pPr>
      <w:r w:rsidRPr="009E7A89">
        <w:rPr>
          <w:rFonts w:ascii="Calibri" w:hAnsi="Calibri"/>
          <w:sz w:val="24"/>
          <w:szCs w:val="24"/>
        </w:rPr>
        <w:t>Vývojové řady, které jsou předmětem následujících grafických znázornění, byly sestaveny s využitím dat shromážděných prostřednictvím Ročního statistického výkazu o knihovně – Kult (MK) 12-01, který je administrován N</w:t>
      </w:r>
      <w:r w:rsidR="005D357A">
        <w:rPr>
          <w:rFonts w:ascii="Calibri" w:hAnsi="Calibri"/>
          <w:sz w:val="24"/>
          <w:szCs w:val="24"/>
        </w:rPr>
        <w:t xml:space="preserve">IPOS. </w:t>
      </w:r>
    </w:p>
    <w:p w:rsidR="00513F0D" w:rsidRPr="009E7A89" w:rsidRDefault="00513F0D" w:rsidP="004C115C">
      <w:pPr>
        <w:spacing w:after="120"/>
        <w:ind w:firstLine="284"/>
        <w:jc w:val="both"/>
        <w:rPr>
          <w:rFonts w:ascii="Calibri" w:hAnsi="Calibri"/>
          <w:sz w:val="24"/>
          <w:szCs w:val="24"/>
        </w:rPr>
      </w:pPr>
      <w:r w:rsidRPr="009E7A89">
        <w:rPr>
          <w:rFonts w:ascii="Calibri" w:hAnsi="Calibri"/>
          <w:sz w:val="24"/>
          <w:szCs w:val="24"/>
        </w:rPr>
        <w:t xml:space="preserve">Do </w:t>
      </w:r>
      <w:r w:rsidR="005D357A">
        <w:rPr>
          <w:rFonts w:ascii="Calibri" w:hAnsi="Calibri"/>
          <w:sz w:val="24"/>
          <w:szCs w:val="24"/>
        </w:rPr>
        <w:t xml:space="preserve">roku 2005 </w:t>
      </w:r>
      <w:r w:rsidRPr="009E7A89">
        <w:rPr>
          <w:rFonts w:ascii="Calibri" w:hAnsi="Calibri"/>
          <w:sz w:val="24"/>
          <w:szCs w:val="24"/>
        </w:rPr>
        <w:t xml:space="preserve">byl </w:t>
      </w:r>
      <w:r w:rsidRPr="009E7A89">
        <w:rPr>
          <w:rFonts w:ascii="Calibri" w:hAnsi="Calibri"/>
          <w:b/>
          <w:sz w:val="24"/>
          <w:szCs w:val="24"/>
        </w:rPr>
        <w:t>počet knihoven</w:t>
      </w:r>
      <w:r w:rsidRPr="009E7A89">
        <w:rPr>
          <w:rFonts w:ascii="Calibri" w:hAnsi="Calibri"/>
          <w:sz w:val="24"/>
          <w:szCs w:val="24"/>
        </w:rPr>
        <w:t xml:space="preserve"> na území České republiky relativně stabilní a pohyboval se mírně v okolí hladiny 6 tis. knihoven. Po roce 2005 jejich </w:t>
      </w:r>
      <w:r w:rsidR="00534F76">
        <w:rPr>
          <w:rFonts w:ascii="Calibri" w:hAnsi="Calibri"/>
          <w:sz w:val="24"/>
          <w:szCs w:val="24"/>
        </w:rPr>
        <w:t>dosavadní mírný pokles zrychlil nejen</w:t>
      </w:r>
      <w:r w:rsidR="00A44554">
        <w:rPr>
          <w:rFonts w:ascii="Calibri" w:hAnsi="Calibri"/>
          <w:sz w:val="24"/>
          <w:szCs w:val="24"/>
        </w:rPr>
        <w:t xml:space="preserve"> z důvodu</w:t>
      </w:r>
      <w:r w:rsidR="00534F76">
        <w:rPr>
          <w:rFonts w:ascii="Calibri" w:hAnsi="Calibri"/>
          <w:sz w:val="24"/>
          <w:szCs w:val="24"/>
        </w:rPr>
        <w:t xml:space="preserve"> rušení dlouhodobě uzavřených knihoven obcí, ale zejména vlivem jejich slučování.</w:t>
      </w:r>
      <w:r w:rsidR="00821C14">
        <w:rPr>
          <w:rFonts w:ascii="Calibri" w:hAnsi="Calibri"/>
          <w:sz w:val="24"/>
          <w:szCs w:val="24"/>
        </w:rPr>
        <w:t xml:space="preserve"> Počty knihoven také ovlivnila transformace veřejné správy</w:t>
      </w:r>
      <w:r w:rsidR="006B1606">
        <w:rPr>
          <w:rFonts w:ascii="Calibri" w:hAnsi="Calibri"/>
          <w:sz w:val="24"/>
          <w:szCs w:val="24"/>
        </w:rPr>
        <w:t xml:space="preserve"> a změna financování tehdejších územních knihovnických celků.</w:t>
      </w:r>
      <w:r w:rsidR="00534F76">
        <w:rPr>
          <w:rFonts w:ascii="Calibri" w:hAnsi="Calibri"/>
          <w:sz w:val="24"/>
          <w:szCs w:val="24"/>
        </w:rPr>
        <w:t xml:space="preserve"> M</w:t>
      </w:r>
      <w:r w:rsidRPr="009E7A89">
        <w:rPr>
          <w:rFonts w:ascii="Calibri" w:hAnsi="Calibri"/>
          <w:sz w:val="24"/>
          <w:szCs w:val="24"/>
        </w:rPr>
        <w:t>ezi lety 2005 a 2008 klesl počet knihoven o téměř 500 p</w:t>
      </w:r>
      <w:r w:rsidR="005D357A">
        <w:rPr>
          <w:rFonts w:ascii="Calibri" w:hAnsi="Calibri"/>
          <w:sz w:val="24"/>
          <w:szCs w:val="24"/>
        </w:rPr>
        <w:t xml:space="preserve">oboček. Až od roku </w:t>
      </w:r>
      <w:r w:rsidR="0094463F">
        <w:rPr>
          <w:rFonts w:ascii="Calibri" w:hAnsi="Calibri"/>
          <w:sz w:val="24"/>
          <w:szCs w:val="24"/>
        </w:rPr>
        <w:t xml:space="preserve">2010 </w:t>
      </w:r>
      <w:r w:rsidR="005D357A">
        <w:rPr>
          <w:rFonts w:ascii="Calibri" w:hAnsi="Calibri"/>
          <w:sz w:val="24"/>
          <w:szCs w:val="24"/>
        </w:rPr>
        <w:t>došlo ke stabilizaci a v</w:t>
      </w:r>
      <w:r w:rsidRPr="009E7A89">
        <w:rPr>
          <w:rFonts w:ascii="Calibri" w:hAnsi="Calibri"/>
          <w:sz w:val="24"/>
          <w:szCs w:val="24"/>
        </w:rPr>
        <w:t xml:space="preserve"> roce 2013 bylo na</w:t>
      </w:r>
      <w:r w:rsidR="005D357A">
        <w:rPr>
          <w:rFonts w:ascii="Calibri" w:hAnsi="Calibri"/>
          <w:sz w:val="24"/>
          <w:szCs w:val="24"/>
        </w:rPr>
        <w:t xml:space="preserve"> našem </w:t>
      </w:r>
      <w:r w:rsidRPr="009E7A89">
        <w:rPr>
          <w:rFonts w:ascii="Calibri" w:hAnsi="Calibri"/>
          <w:sz w:val="24"/>
          <w:szCs w:val="24"/>
        </w:rPr>
        <w:t xml:space="preserve">území 5 380 knihoven. Sledujeme-li vývoj počtu činných knihoven mezi lety 2000 a 2013 v souvislosti s relativně mírným poklesem registrovaných čtenářů, lze říci, že knihovny, jejichž počet klesl ve sledovaném období o 10 %, administrovaly v roce 2013 čtenářskou </w:t>
      </w:r>
      <w:r w:rsidR="005D357A">
        <w:rPr>
          <w:rFonts w:ascii="Calibri" w:hAnsi="Calibri"/>
          <w:sz w:val="24"/>
          <w:szCs w:val="24"/>
        </w:rPr>
        <w:t>základnu</w:t>
      </w:r>
      <w:r w:rsidRPr="009E7A89">
        <w:rPr>
          <w:rFonts w:ascii="Calibri" w:hAnsi="Calibri"/>
          <w:sz w:val="24"/>
          <w:szCs w:val="24"/>
        </w:rPr>
        <w:t>, jejíž objem se zmenšil o 6 %.</w:t>
      </w:r>
    </w:p>
    <w:p w:rsidR="00513F0D" w:rsidRPr="009E7A89" w:rsidRDefault="00513F0D" w:rsidP="00513F0D">
      <w:pPr>
        <w:rPr>
          <w:rFonts w:ascii="Calibri" w:hAnsi="Calibri"/>
          <w:sz w:val="24"/>
          <w:szCs w:val="24"/>
        </w:rPr>
      </w:pPr>
    </w:p>
    <w:p w:rsidR="00513F0D" w:rsidRPr="009E7A89" w:rsidRDefault="00513F0D" w:rsidP="002F28C2">
      <w:pPr>
        <w:ind w:left="567" w:hanging="567"/>
        <w:jc w:val="both"/>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4</w:t>
      </w:r>
      <w:r w:rsidRPr="009E7A89">
        <w:rPr>
          <w:rFonts w:ascii="Calibri" w:hAnsi="Calibri"/>
          <w:b/>
          <w:sz w:val="24"/>
          <w:szCs w:val="24"/>
        </w:rPr>
        <w:t>. Vývoj počtu knihoven</w:t>
      </w:r>
      <w:r w:rsidR="00F518CD">
        <w:rPr>
          <w:rFonts w:ascii="Calibri" w:hAnsi="Calibri"/>
          <w:b/>
          <w:sz w:val="24"/>
          <w:szCs w:val="24"/>
        </w:rPr>
        <w:t xml:space="preserve"> </w:t>
      </w:r>
      <w:r w:rsidRPr="009E7A89">
        <w:rPr>
          <w:rFonts w:ascii="Calibri" w:hAnsi="Calibri"/>
          <w:b/>
          <w:sz w:val="24"/>
          <w:szCs w:val="24"/>
        </w:rPr>
        <w:t>(v tis.) a registrovaných čtenářů (v mil.) v ČR mezi lety 2000 a 2013</w:t>
      </w:r>
    </w:p>
    <w:p w:rsidR="00513F0D" w:rsidRPr="009E7A89" w:rsidRDefault="00513F0D" w:rsidP="00513F0D">
      <w:pPr>
        <w:rPr>
          <w:rFonts w:ascii="Calibri" w:hAnsi="Calibri"/>
          <w:sz w:val="24"/>
          <w:szCs w:val="24"/>
        </w:rPr>
      </w:pPr>
      <w:r w:rsidRPr="009E7A89">
        <w:rPr>
          <w:rFonts w:ascii="Calibri" w:hAnsi="Calibri"/>
          <w:noProof/>
        </w:rPr>
        <w:drawing>
          <wp:inline distT="0" distB="0" distL="0" distR="0">
            <wp:extent cx="5762445" cy="2838090"/>
            <wp:effectExtent l="0" t="0" r="0" b="0"/>
            <wp:docPr id="1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F0D" w:rsidRDefault="00513F0D" w:rsidP="00C911B7">
      <w:pPr>
        <w:spacing w:after="120"/>
        <w:ind w:firstLine="284"/>
        <w:jc w:val="both"/>
        <w:rPr>
          <w:rFonts w:ascii="Calibri" w:hAnsi="Calibri"/>
          <w:sz w:val="24"/>
          <w:szCs w:val="24"/>
        </w:rPr>
      </w:pPr>
      <w:r w:rsidRPr="009E7A89">
        <w:rPr>
          <w:rFonts w:ascii="Calibri" w:hAnsi="Calibri"/>
          <w:sz w:val="24"/>
          <w:szCs w:val="24"/>
        </w:rPr>
        <w:t xml:space="preserve">Klesající </w:t>
      </w:r>
      <w:r w:rsidRPr="009E7A89">
        <w:rPr>
          <w:rFonts w:ascii="Calibri" w:hAnsi="Calibri"/>
          <w:b/>
          <w:sz w:val="24"/>
          <w:szCs w:val="24"/>
        </w:rPr>
        <w:t>počet registrovaných čtenářů</w:t>
      </w:r>
      <w:r w:rsidRPr="009E7A89">
        <w:rPr>
          <w:rFonts w:ascii="Calibri" w:hAnsi="Calibri"/>
          <w:sz w:val="24"/>
          <w:szCs w:val="24"/>
        </w:rPr>
        <w:t xml:space="preserve"> doprovázel mezi lety 2000 a 2013 celkový pokles knihovních výpůjček. Množství vypůjčených titulů neklesalo v celém období. V první polovině dekády (do roku 2004) dokonce rostlo. Zatímco v roce 2004, kdy bylo půjčeno nejvíce titulů ve sledovaném období, představoval počet výpůjček 73 milionu knihovních jednotek, v roce 2014 bylo zapůjčeno o více než 8,5 milionu knihovních jednotek méně. Rozdíl mezi rokem 2000 a 2013 odpovídal celkovému zmenšení objemu vypůjčených knihovních jednotek o 9 %.</w:t>
      </w:r>
    </w:p>
    <w:p w:rsidR="00513F0D" w:rsidRPr="009E7A89" w:rsidRDefault="00513F0D" w:rsidP="000406D2">
      <w:pPr>
        <w:ind w:firstLine="284"/>
        <w:jc w:val="both"/>
        <w:rPr>
          <w:rFonts w:ascii="Calibri" w:hAnsi="Calibri"/>
          <w:sz w:val="24"/>
          <w:szCs w:val="24"/>
        </w:rPr>
      </w:pPr>
      <w:r w:rsidRPr="009E7A89">
        <w:rPr>
          <w:rFonts w:ascii="Calibri" w:hAnsi="Calibri"/>
          <w:sz w:val="24"/>
          <w:szCs w:val="24"/>
        </w:rPr>
        <w:t xml:space="preserve">Jak je patrné z  grafického znázornění (grafu č. </w:t>
      </w:r>
      <w:r w:rsidR="00F518CD">
        <w:rPr>
          <w:rFonts w:ascii="Calibri" w:hAnsi="Calibri"/>
          <w:sz w:val="24"/>
          <w:szCs w:val="24"/>
        </w:rPr>
        <w:t>4</w:t>
      </w:r>
      <w:r w:rsidRPr="009E7A89">
        <w:rPr>
          <w:rFonts w:ascii="Calibri" w:hAnsi="Calibri"/>
          <w:sz w:val="24"/>
          <w:szCs w:val="24"/>
        </w:rPr>
        <w:t>), klesající počty registrovaných čtenářů</w:t>
      </w:r>
      <w:r w:rsidR="004F25B3">
        <w:rPr>
          <w:rFonts w:ascii="Calibri" w:hAnsi="Calibri"/>
          <w:sz w:val="24"/>
          <w:szCs w:val="24"/>
        </w:rPr>
        <w:t xml:space="preserve"> -</w:t>
      </w:r>
      <w:r w:rsidRPr="009E7A89">
        <w:rPr>
          <w:rFonts w:ascii="Calibri" w:hAnsi="Calibri"/>
          <w:sz w:val="24"/>
          <w:szCs w:val="24"/>
        </w:rPr>
        <w:t xml:space="preserve"> stejně jako snížení počtu půjčovaných titulů </w:t>
      </w:r>
      <w:r w:rsidR="004F25B3">
        <w:rPr>
          <w:rFonts w:ascii="Calibri" w:hAnsi="Calibri"/>
          <w:sz w:val="24"/>
          <w:szCs w:val="24"/>
        </w:rPr>
        <w:t>- ne</w:t>
      </w:r>
      <w:r w:rsidRPr="009E7A89">
        <w:rPr>
          <w:rFonts w:ascii="Calibri" w:hAnsi="Calibri"/>
          <w:sz w:val="24"/>
          <w:szCs w:val="24"/>
        </w:rPr>
        <w:t>znamena</w:t>
      </w:r>
      <w:r w:rsidR="004F25B3">
        <w:rPr>
          <w:rFonts w:ascii="Calibri" w:hAnsi="Calibri"/>
          <w:sz w:val="24"/>
          <w:szCs w:val="24"/>
        </w:rPr>
        <w:t>ly</w:t>
      </w:r>
      <w:r w:rsidRPr="009E7A89">
        <w:rPr>
          <w:rFonts w:ascii="Calibri" w:hAnsi="Calibri"/>
          <w:sz w:val="24"/>
          <w:szCs w:val="24"/>
        </w:rPr>
        <w:t xml:space="preserve"> pokles významu knihovního systému v životě české veřejnosti</w:t>
      </w:r>
      <w:r w:rsidR="004F25B3">
        <w:rPr>
          <w:rFonts w:ascii="Calibri" w:hAnsi="Calibri"/>
          <w:sz w:val="24"/>
          <w:szCs w:val="24"/>
        </w:rPr>
        <w:t>, ale spíše změnu struktu</w:t>
      </w:r>
      <w:r w:rsidR="00F518CD">
        <w:rPr>
          <w:rFonts w:ascii="Calibri" w:hAnsi="Calibri"/>
          <w:sz w:val="24"/>
          <w:szCs w:val="24"/>
        </w:rPr>
        <w:t>ry dosavadní</w:t>
      </w:r>
      <w:r w:rsidR="004F25B3">
        <w:rPr>
          <w:rFonts w:ascii="Calibri" w:hAnsi="Calibri"/>
          <w:sz w:val="24"/>
          <w:szCs w:val="24"/>
        </w:rPr>
        <w:t xml:space="preserve"> činnosti knihoven. </w:t>
      </w:r>
      <w:r w:rsidRPr="009E7A89">
        <w:rPr>
          <w:rFonts w:ascii="Calibri" w:hAnsi="Calibri"/>
          <w:sz w:val="24"/>
          <w:szCs w:val="24"/>
        </w:rPr>
        <w:t xml:space="preserve"> </w:t>
      </w:r>
      <w:r w:rsidR="00F518CD">
        <w:rPr>
          <w:rFonts w:ascii="Calibri" w:hAnsi="Calibri"/>
          <w:sz w:val="24"/>
          <w:szCs w:val="24"/>
        </w:rPr>
        <w:t xml:space="preserve">          </w:t>
      </w:r>
      <w:r w:rsidRPr="009E7A89">
        <w:rPr>
          <w:rFonts w:ascii="Calibri" w:hAnsi="Calibri"/>
          <w:sz w:val="24"/>
          <w:szCs w:val="24"/>
        </w:rPr>
        <w:t xml:space="preserve">Sledujeme-li využívání knihoven </w:t>
      </w:r>
      <w:r w:rsidR="004F25B3">
        <w:rPr>
          <w:rFonts w:ascii="Calibri" w:hAnsi="Calibri"/>
          <w:sz w:val="24"/>
          <w:szCs w:val="24"/>
        </w:rPr>
        <w:t>ukazatelem počtu jejich návštěv</w:t>
      </w:r>
      <w:r w:rsidRPr="009E7A89">
        <w:rPr>
          <w:rFonts w:ascii="Calibri" w:hAnsi="Calibri"/>
          <w:sz w:val="24"/>
          <w:szCs w:val="24"/>
        </w:rPr>
        <w:t xml:space="preserve">, </w:t>
      </w:r>
      <w:r w:rsidR="004F25B3">
        <w:rPr>
          <w:rFonts w:ascii="Calibri" w:hAnsi="Calibri"/>
          <w:sz w:val="24"/>
          <w:szCs w:val="24"/>
        </w:rPr>
        <w:t xml:space="preserve">ukazuje se, </w:t>
      </w:r>
      <w:r w:rsidRPr="009E7A89">
        <w:rPr>
          <w:rFonts w:ascii="Calibri" w:hAnsi="Calibri"/>
          <w:sz w:val="24"/>
          <w:szCs w:val="24"/>
        </w:rPr>
        <w:t xml:space="preserve">že </w:t>
      </w:r>
      <w:r w:rsidRPr="009E7A89">
        <w:rPr>
          <w:rFonts w:ascii="Calibri" w:hAnsi="Calibri"/>
          <w:b/>
          <w:sz w:val="24"/>
          <w:szCs w:val="24"/>
        </w:rPr>
        <w:t>návštěvnost knihoven</w:t>
      </w:r>
      <w:r w:rsidRPr="009E7A89">
        <w:rPr>
          <w:rFonts w:ascii="Calibri" w:hAnsi="Calibri"/>
          <w:sz w:val="24"/>
          <w:szCs w:val="24"/>
        </w:rPr>
        <w:t xml:space="preserve"> v průběhu sledovaného období vzrostla o 32 % z 18,2 mil. návštěv v roce 2000 na 24,1 mil. návštěv v roce 2013. Návštěvnost knihoven </w:t>
      </w:r>
      <w:r w:rsidR="00F518CD">
        <w:rPr>
          <w:rFonts w:ascii="Calibri" w:hAnsi="Calibri"/>
          <w:sz w:val="24"/>
          <w:szCs w:val="24"/>
        </w:rPr>
        <w:t xml:space="preserve">se zvyšovala </w:t>
      </w:r>
      <w:r w:rsidRPr="009E7A89">
        <w:rPr>
          <w:rFonts w:ascii="Calibri" w:hAnsi="Calibri"/>
          <w:sz w:val="24"/>
          <w:szCs w:val="24"/>
        </w:rPr>
        <w:t>zejména mezi lety 2008 a 2013.</w:t>
      </w:r>
    </w:p>
    <w:p w:rsidR="00513F0D" w:rsidRDefault="00513F0D" w:rsidP="00513F0D">
      <w:pPr>
        <w:jc w:val="both"/>
        <w:rPr>
          <w:rFonts w:ascii="Calibri" w:hAnsi="Calibri"/>
          <w:sz w:val="24"/>
          <w:szCs w:val="24"/>
        </w:rPr>
      </w:pPr>
    </w:p>
    <w:p w:rsidR="00513F0D" w:rsidRPr="009E7A89" w:rsidRDefault="00513F0D" w:rsidP="00B75B4E">
      <w:pPr>
        <w:ind w:left="567" w:hanging="567"/>
        <w:jc w:val="both"/>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5</w:t>
      </w:r>
      <w:r w:rsidRPr="009E7A89">
        <w:rPr>
          <w:rFonts w:ascii="Calibri" w:hAnsi="Calibri"/>
          <w:b/>
          <w:sz w:val="24"/>
          <w:szCs w:val="24"/>
        </w:rPr>
        <w:t>. Vývoj v počtu knihovních výpůjček a návštěvníků knihoven v ČR mezi lety 2000 a 2013 (v mil.)</w:t>
      </w:r>
    </w:p>
    <w:p w:rsidR="00513F0D" w:rsidRPr="009E7A89" w:rsidRDefault="00513F0D" w:rsidP="00513F0D">
      <w:pPr>
        <w:rPr>
          <w:rFonts w:ascii="Calibri" w:hAnsi="Calibri"/>
          <w:sz w:val="24"/>
          <w:szCs w:val="24"/>
        </w:rPr>
      </w:pPr>
      <w:r w:rsidRPr="009E7A89">
        <w:rPr>
          <w:rFonts w:ascii="Calibri" w:hAnsi="Calibri"/>
          <w:noProof/>
        </w:rPr>
        <w:drawing>
          <wp:inline distT="0" distB="0" distL="0" distR="0">
            <wp:extent cx="5759355" cy="2661314"/>
            <wp:effectExtent l="0" t="0" r="0" b="0"/>
            <wp:docPr id="14"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3F0D" w:rsidRDefault="00513F0D" w:rsidP="00513F0D">
      <w:pPr>
        <w:jc w:val="both"/>
        <w:rPr>
          <w:rFonts w:ascii="Calibri" w:hAnsi="Calibri"/>
          <w:sz w:val="24"/>
          <w:szCs w:val="24"/>
        </w:rPr>
      </w:pPr>
    </w:p>
    <w:p w:rsidR="00513F0D" w:rsidRPr="009E7A89" w:rsidRDefault="00513F0D" w:rsidP="000406D2">
      <w:pPr>
        <w:ind w:firstLine="284"/>
        <w:jc w:val="both"/>
        <w:rPr>
          <w:rFonts w:ascii="Calibri" w:hAnsi="Calibri"/>
          <w:sz w:val="24"/>
          <w:szCs w:val="24"/>
        </w:rPr>
      </w:pPr>
      <w:r w:rsidRPr="009E7A89">
        <w:rPr>
          <w:rFonts w:ascii="Calibri" w:hAnsi="Calibri"/>
          <w:sz w:val="24"/>
          <w:szCs w:val="24"/>
        </w:rPr>
        <w:t xml:space="preserve">Jak již bylo uvedeno, knihovny představují veřejnou službu, jejímž předmětem je archivace a zpřístupňování hmotných kulturních artefaktů. Současně jsou informačními centry, které se v posledních desetiletích otevírají elektronickým informačním a komunikačním technologiím, jež zpřístupňují všem sociálním skupinám. Následující graf jednoznačně vypovídá o rostoucí úloze knihoven, jakožto institucí, v nichž jsou návštěvníky, ať už při vyhledávání knihovních jednotek či jiných informací, </w:t>
      </w:r>
      <w:r w:rsidRPr="00534E3F">
        <w:rPr>
          <w:rFonts w:ascii="Calibri" w:hAnsi="Calibri"/>
          <w:b/>
          <w:sz w:val="24"/>
          <w:szCs w:val="24"/>
        </w:rPr>
        <w:t>rostoucí měrou využívány</w:t>
      </w:r>
      <w:r w:rsidRPr="009E7A89">
        <w:rPr>
          <w:rFonts w:ascii="Calibri" w:hAnsi="Calibri"/>
          <w:sz w:val="24"/>
          <w:szCs w:val="24"/>
        </w:rPr>
        <w:t xml:space="preserve"> </w:t>
      </w:r>
      <w:r w:rsidRPr="009E7A89">
        <w:rPr>
          <w:rFonts w:ascii="Calibri" w:hAnsi="Calibri"/>
          <w:b/>
          <w:sz w:val="24"/>
          <w:szCs w:val="24"/>
        </w:rPr>
        <w:t>počítače</w:t>
      </w:r>
      <w:r w:rsidRPr="009E7A89">
        <w:rPr>
          <w:rFonts w:ascii="Calibri" w:hAnsi="Calibri"/>
          <w:sz w:val="24"/>
          <w:szCs w:val="24"/>
        </w:rPr>
        <w:t>. Na přelomu tisíciletí bylo v knihovnách v ČR rozmístěno celkem 2 tis. počítačových kompletů určených pro návštěvníky. V následujících sedmi letech se jejich počet více než zpětinásobil na hodnotu 10,3 tis. sestav. Meziroční nárůsty investic do výpočetní techniky po roce 2008 klesají, přičemž počty počítačů určených pro návštěvníky knihoven se od roku 2009 pohybují mezi 11,5 tis. a 12 tis. sestav.</w:t>
      </w:r>
    </w:p>
    <w:p w:rsidR="00513F0D" w:rsidRDefault="00513F0D" w:rsidP="00513F0D">
      <w:pPr>
        <w:rPr>
          <w:rFonts w:ascii="Calibri" w:hAnsi="Calibri"/>
          <w:sz w:val="24"/>
          <w:szCs w:val="24"/>
        </w:rPr>
      </w:pPr>
    </w:p>
    <w:p w:rsidR="00513F0D" w:rsidRDefault="00513F0D" w:rsidP="00513F0D">
      <w:pPr>
        <w:rPr>
          <w:rFonts w:ascii="Calibri" w:hAnsi="Calibri"/>
          <w:sz w:val="24"/>
          <w:szCs w:val="24"/>
        </w:rPr>
      </w:pPr>
    </w:p>
    <w:p w:rsidR="00C911B7" w:rsidRDefault="00C911B7" w:rsidP="00513F0D">
      <w:pPr>
        <w:rPr>
          <w:rFonts w:ascii="Calibri" w:hAnsi="Calibri"/>
          <w:sz w:val="24"/>
          <w:szCs w:val="24"/>
        </w:rPr>
      </w:pPr>
    </w:p>
    <w:p w:rsidR="00C911B7" w:rsidRDefault="00C911B7" w:rsidP="00513F0D">
      <w:pPr>
        <w:rPr>
          <w:rFonts w:ascii="Calibri" w:hAnsi="Calibri"/>
          <w:sz w:val="24"/>
          <w:szCs w:val="24"/>
        </w:rPr>
      </w:pPr>
    </w:p>
    <w:p w:rsidR="00C911B7" w:rsidRDefault="00C911B7" w:rsidP="00513F0D">
      <w:pPr>
        <w:rPr>
          <w:rFonts w:ascii="Calibri" w:hAnsi="Calibri"/>
          <w:sz w:val="24"/>
          <w:szCs w:val="24"/>
        </w:rPr>
      </w:pPr>
    </w:p>
    <w:p w:rsidR="00C911B7" w:rsidRDefault="00C911B7" w:rsidP="00513F0D">
      <w:pPr>
        <w:rPr>
          <w:rFonts w:ascii="Calibri" w:hAnsi="Calibri"/>
          <w:sz w:val="24"/>
          <w:szCs w:val="24"/>
        </w:rPr>
      </w:pPr>
    </w:p>
    <w:p w:rsidR="00C911B7" w:rsidRDefault="00C911B7" w:rsidP="00513F0D">
      <w:pPr>
        <w:rPr>
          <w:rFonts w:ascii="Calibri" w:hAnsi="Calibri"/>
          <w:sz w:val="24"/>
          <w:szCs w:val="24"/>
        </w:rPr>
      </w:pPr>
    </w:p>
    <w:p w:rsidR="00C911B7" w:rsidRDefault="00C911B7" w:rsidP="00513F0D">
      <w:pPr>
        <w:rPr>
          <w:rFonts w:ascii="Calibri" w:hAnsi="Calibri"/>
          <w:sz w:val="24"/>
          <w:szCs w:val="24"/>
        </w:rPr>
      </w:pPr>
    </w:p>
    <w:p w:rsidR="00513F0D" w:rsidRPr="009E7A89" w:rsidRDefault="00513F0D" w:rsidP="00B75B4E">
      <w:pPr>
        <w:ind w:left="567" w:hanging="567"/>
        <w:jc w:val="both"/>
        <w:rPr>
          <w:rFonts w:ascii="Calibri" w:hAnsi="Calibri"/>
          <w:b/>
          <w:sz w:val="24"/>
          <w:szCs w:val="24"/>
        </w:rPr>
      </w:pPr>
      <w:r w:rsidRPr="009E7A89">
        <w:rPr>
          <w:rFonts w:ascii="Calibri" w:hAnsi="Calibri"/>
          <w:b/>
          <w:sz w:val="24"/>
          <w:szCs w:val="24"/>
        </w:rPr>
        <w:t xml:space="preserve">Graf </w:t>
      </w:r>
      <w:r w:rsidR="00CE39D4">
        <w:rPr>
          <w:rFonts w:ascii="Calibri" w:hAnsi="Calibri"/>
          <w:b/>
          <w:sz w:val="24"/>
          <w:szCs w:val="24"/>
        </w:rPr>
        <w:t>6</w:t>
      </w:r>
      <w:r w:rsidRPr="009E7A89">
        <w:rPr>
          <w:rFonts w:ascii="Calibri" w:hAnsi="Calibri"/>
          <w:b/>
          <w:sz w:val="24"/>
          <w:szCs w:val="24"/>
        </w:rPr>
        <w:t>. Vývoj počtu počítačů v knihovnách v ČR mezi lety 2000 a 2013 (v tis.) a počty návštěvníků knihoven využívajících internet (v mil.)</w:t>
      </w:r>
    </w:p>
    <w:p w:rsidR="00513F0D" w:rsidRPr="009E7A89" w:rsidRDefault="00513F0D" w:rsidP="00513F0D">
      <w:pPr>
        <w:jc w:val="center"/>
        <w:rPr>
          <w:rFonts w:ascii="Calibri" w:hAnsi="Calibri"/>
          <w:sz w:val="24"/>
          <w:szCs w:val="24"/>
        </w:rPr>
      </w:pPr>
      <w:r w:rsidRPr="009E7A89">
        <w:rPr>
          <w:rFonts w:ascii="Calibri" w:hAnsi="Calibri"/>
          <w:noProof/>
        </w:rPr>
        <w:drawing>
          <wp:inline distT="0" distB="0" distL="0" distR="0">
            <wp:extent cx="5868063" cy="2854518"/>
            <wp:effectExtent l="0" t="0" r="0" b="0"/>
            <wp:docPr id="16"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F0D" w:rsidRPr="009E7A89" w:rsidRDefault="00513F0D" w:rsidP="00513F0D">
      <w:pPr>
        <w:ind w:left="708"/>
        <w:jc w:val="both"/>
        <w:rPr>
          <w:rFonts w:ascii="Calibri" w:hAnsi="Calibri"/>
          <w:sz w:val="20"/>
          <w:szCs w:val="20"/>
        </w:rPr>
      </w:pPr>
    </w:p>
    <w:p w:rsidR="00513F0D" w:rsidRPr="00F518CD" w:rsidRDefault="00513F0D" w:rsidP="00062C98">
      <w:pPr>
        <w:pStyle w:val="Odstavecseseznamem"/>
        <w:numPr>
          <w:ilvl w:val="1"/>
          <w:numId w:val="5"/>
        </w:numPr>
        <w:ind w:left="709" w:hanging="709"/>
        <w:rPr>
          <w:rFonts w:ascii="Calibri" w:hAnsi="Calibri"/>
          <w:b/>
          <w:sz w:val="24"/>
          <w:szCs w:val="24"/>
        </w:rPr>
      </w:pPr>
      <w:r w:rsidRPr="00F518CD">
        <w:rPr>
          <w:rFonts w:ascii="Calibri" w:hAnsi="Calibri"/>
          <w:b/>
          <w:sz w:val="24"/>
          <w:szCs w:val="24"/>
        </w:rPr>
        <w:t>Divadla</w:t>
      </w:r>
    </w:p>
    <w:p w:rsidR="00513F0D" w:rsidRPr="009E7A89" w:rsidRDefault="00513F0D" w:rsidP="000406D2">
      <w:pPr>
        <w:ind w:firstLine="284"/>
        <w:jc w:val="both"/>
        <w:rPr>
          <w:rFonts w:ascii="Calibri" w:hAnsi="Calibri"/>
          <w:sz w:val="24"/>
          <w:szCs w:val="24"/>
        </w:rPr>
      </w:pPr>
      <w:r w:rsidRPr="009E7A89">
        <w:rPr>
          <w:rFonts w:ascii="Calibri" w:hAnsi="Calibri"/>
          <w:sz w:val="24"/>
          <w:szCs w:val="24"/>
        </w:rPr>
        <w:t xml:space="preserve">Od roku 2000 prošlo české divadelnictví vývojem, kterému z kvantitativního hlediska dominovala pokračující expanze divadel provozovaných nestátními subjekty (podnikateli, občanskými sdruženími, obecně prospěšnými společnostmi či jinými subjekty). </w:t>
      </w:r>
      <w:r w:rsidR="00F518CD">
        <w:rPr>
          <w:rFonts w:ascii="Calibri" w:hAnsi="Calibri"/>
          <w:sz w:val="24"/>
          <w:szCs w:val="24"/>
        </w:rPr>
        <w:t>V n</w:t>
      </w:r>
      <w:r w:rsidRPr="009E7A89">
        <w:rPr>
          <w:rFonts w:ascii="Calibri" w:hAnsi="Calibri"/>
          <w:sz w:val="24"/>
          <w:szCs w:val="24"/>
        </w:rPr>
        <w:t>estátní</w:t>
      </w:r>
      <w:r w:rsidR="00F518CD">
        <w:rPr>
          <w:rFonts w:ascii="Calibri" w:hAnsi="Calibri"/>
          <w:sz w:val="24"/>
          <w:szCs w:val="24"/>
        </w:rPr>
        <w:t>m</w:t>
      </w:r>
      <w:r w:rsidRPr="009E7A89">
        <w:rPr>
          <w:rFonts w:ascii="Calibri" w:hAnsi="Calibri"/>
          <w:sz w:val="24"/>
          <w:szCs w:val="24"/>
        </w:rPr>
        <w:t xml:space="preserve"> sektor</w:t>
      </w:r>
      <w:r w:rsidR="00F518CD">
        <w:rPr>
          <w:rFonts w:ascii="Calibri" w:hAnsi="Calibri"/>
          <w:sz w:val="24"/>
          <w:szCs w:val="24"/>
        </w:rPr>
        <w:t xml:space="preserve">u se </w:t>
      </w:r>
      <w:r w:rsidRPr="009E7A89">
        <w:rPr>
          <w:rFonts w:ascii="Calibri" w:hAnsi="Calibri"/>
          <w:sz w:val="24"/>
          <w:szCs w:val="24"/>
        </w:rPr>
        <w:t xml:space="preserve">mezi lety 2000 a 2013 navýšil </w:t>
      </w:r>
      <w:r w:rsidR="00F518CD">
        <w:rPr>
          <w:rFonts w:ascii="Calibri" w:hAnsi="Calibri"/>
          <w:sz w:val="24"/>
          <w:szCs w:val="24"/>
        </w:rPr>
        <w:t>(</w:t>
      </w:r>
      <w:r w:rsidRPr="009E7A89">
        <w:rPr>
          <w:rFonts w:ascii="Calibri" w:hAnsi="Calibri"/>
          <w:sz w:val="24"/>
          <w:szCs w:val="24"/>
        </w:rPr>
        <w:t>po mírném poklesu</w:t>
      </w:r>
      <w:r w:rsidR="00F518CD">
        <w:rPr>
          <w:rFonts w:ascii="Calibri" w:hAnsi="Calibri"/>
          <w:sz w:val="24"/>
          <w:szCs w:val="24"/>
        </w:rPr>
        <w:t>)</w:t>
      </w:r>
      <w:r w:rsidRPr="009E7A89">
        <w:rPr>
          <w:rFonts w:ascii="Calibri" w:hAnsi="Calibri"/>
          <w:sz w:val="24"/>
          <w:szCs w:val="24"/>
        </w:rPr>
        <w:t xml:space="preserve"> </w:t>
      </w:r>
      <w:r w:rsidRPr="009E7A89">
        <w:rPr>
          <w:rFonts w:ascii="Calibri" w:hAnsi="Calibri"/>
          <w:b/>
          <w:sz w:val="24"/>
          <w:szCs w:val="24"/>
        </w:rPr>
        <w:t>počet divadel</w:t>
      </w:r>
      <w:r w:rsidRPr="009E7A89">
        <w:rPr>
          <w:rFonts w:ascii="Calibri" w:hAnsi="Calibri"/>
          <w:sz w:val="24"/>
          <w:szCs w:val="24"/>
        </w:rPr>
        <w:t xml:space="preserve"> o 74 % </w:t>
      </w:r>
      <w:r w:rsidR="00F518CD">
        <w:rPr>
          <w:rFonts w:ascii="Calibri" w:hAnsi="Calibri"/>
          <w:sz w:val="24"/>
          <w:szCs w:val="24"/>
        </w:rPr>
        <w:t xml:space="preserve">a to </w:t>
      </w:r>
      <w:r w:rsidRPr="009E7A89">
        <w:rPr>
          <w:rFonts w:ascii="Calibri" w:hAnsi="Calibri"/>
          <w:sz w:val="24"/>
          <w:szCs w:val="24"/>
        </w:rPr>
        <w:t>z 66 divadel v roce 2000 na 115 divadel v roce 2013. Státní divadelnictví, do něhož řadíme divadelní subjekty tvořící organizační složky státu, krajů a obcí, prošlo ve stejném období relativně opačným vývojem. Na počátku tisíciletí provozoval stát (včetně krajů a obc</w:t>
      </w:r>
      <w:r w:rsidR="00F518CD">
        <w:rPr>
          <w:rFonts w:ascii="Calibri" w:hAnsi="Calibri"/>
          <w:sz w:val="24"/>
          <w:szCs w:val="24"/>
        </w:rPr>
        <w:t>í</w:t>
      </w:r>
      <w:r w:rsidRPr="009E7A89">
        <w:rPr>
          <w:rFonts w:ascii="Calibri" w:hAnsi="Calibri"/>
          <w:sz w:val="24"/>
          <w:szCs w:val="24"/>
        </w:rPr>
        <w:t>) 52 divadel, v roce 2013 jich bylo o 15 méně, čímž počet státních divadel poklesl o 29 %. Vývojové trendy v obou skupinách divadel (nahlížené jejich počtem) nebyly v zásadě zrychleny ani zpomaleny v důsledku krizového období spojeného s hospodářským poklesem v</w:t>
      </w:r>
      <w:r w:rsidR="00534E3F">
        <w:rPr>
          <w:rFonts w:ascii="Calibri" w:hAnsi="Calibri"/>
          <w:sz w:val="24"/>
          <w:szCs w:val="24"/>
        </w:rPr>
        <w:t> </w:t>
      </w:r>
      <w:r w:rsidRPr="009E7A89">
        <w:rPr>
          <w:rFonts w:ascii="Calibri" w:hAnsi="Calibri"/>
          <w:sz w:val="24"/>
          <w:szCs w:val="24"/>
        </w:rPr>
        <w:t>druhé</w:t>
      </w:r>
      <w:r w:rsidR="00534E3F">
        <w:rPr>
          <w:rFonts w:ascii="Calibri" w:hAnsi="Calibri"/>
          <w:sz w:val="24"/>
          <w:szCs w:val="24"/>
        </w:rPr>
        <w:t xml:space="preserve"> </w:t>
      </w:r>
      <w:r w:rsidRPr="009E7A89">
        <w:rPr>
          <w:rFonts w:ascii="Calibri" w:hAnsi="Calibri"/>
          <w:sz w:val="24"/>
          <w:szCs w:val="24"/>
        </w:rPr>
        <w:t>polovině dekády</w:t>
      </w:r>
      <w:r w:rsidR="00534E3F">
        <w:rPr>
          <w:rFonts w:ascii="Calibri" w:hAnsi="Calibri"/>
          <w:sz w:val="24"/>
          <w:szCs w:val="24"/>
        </w:rPr>
        <w:t>.</w:t>
      </w:r>
    </w:p>
    <w:p w:rsidR="00434CA4" w:rsidRDefault="00434CA4" w:rsidP="00513F0D">
      <w:pPr>
        <w:jc w:val="both"/>
        <w:rPr>
          <w:rFonts w:ascii="Calibri" w:hAnsi="Calibri"/>
          <w:sz w:val="24"/>
          <w:szCs w:val="24"/>
        </w:rPr>
      </w:pPr>
    </w:p>
    <w:p w:rsidR="00434CA4" w:rsidRDefault="00434CA4" w:rsidP="00513F0D">
      <w:pPr>
        <w:jc w:val="both"/>
        <w:rPr>
          <w:rFonts w:ascii="Calibri" w:hAnsi="Calibri"/>
          <w:sz w:val="24"/>
          <w:szCs w:val="24"/>
        </w:rPr>
      </w:pPr>
    </w:p>
    <w:p w:rsidR="00434CA4" w:rsidRDefault="00434CA4" w:rsidP="00513F0D">
      <w:pPr>
        <w:jc w:val="both"/>
        <w:rPr>
          <w:rFonts w:ascii="Calibri" w:hAnsi="Calibri"/>
          <w:sz w:val="24"/>
          <w:szCs w:val="24"/>
        </w:rPr>
      </w:pPr>
    </w:p>
    <w:p w:rsidR="00434CA4" w:rsidRDefault="00434CA4" w:rsidP="00513F0D">
      <w:pPr>
        <w:jc w:val="both"/>
        <w:rPr>
          <w:rFonts w:ascii="Calibri" w:hAnsi="Calibri"/>
          <w:sz w:val="24"/>
          <w:szCs w:val="24"/>
        </w:rPr>
      </w:pPr>
    </w:p>
    <w:p w:rsidR="00434CA4" w:rsidRDefault="00434CA4" w:rsidP="00513F0D">
      <w:pPr>
        <w:jc w:val="both"/>
        <w:rPr>
          <w:rFonts w:ascii="Calibri" w:hAnsi="Calibri"/>
          <w:sz w:val="24"/>
          <w:szCs w:val="24"/>
          <w:vertAlign w:val="superscript"/>
        </w:rPr>
      </w:pPr>
      <w:r>
        <w:rPr>
          <w:rFonts w:ascii="Calibri" w:hAnsi="Calibri"/>
          <w:sz w:val="24"/>
          <w:szCs w:val="24"/>
          <w:vertAlign w:val="superscript"/>
        </w:rPr>
        <w:t>.</w:t>
      </w:r>
    </w:p>
    <w:p w:rsidR="00DE4FC4" w:rsidRDefault="00DE4FC4" w:rsidP="00513F0D">
      <w:pPr>
        <w:jc w:val="both"/>
        <w:rPr>
          <w:rFonts w:ascii="Calibri" w:hAnsi="Calibri"/>
          <w:sz w:val="24"/>
          <w:szCs w:val="24"/>
          <w:vertAlign w:val="superscript"/>
        </w:rPr>
      </w:pPr>
    </w:p>
    <w:p w:rsidR="00494E7C" w:rsidRPr="00434CA4" w:rsidRDefault="00494E7C" w:rsidP="00513F0D">
      <w:pPr>
        <w:jc w:val="both"/>
        <w:rPr>
          <w:rFonts w:ascii="Calibri" w:hAnsi="Calibri"/>
          <w:sz w:val="24"/>
          <w:szCs w:val="24"/>
          <w:vertAlign w:val="superscript"/>
        </w:rPr>
      </w:pPr>
    </w:p>
    <w:p w:rsidR="00513F0D" w:rsidRPr="009E7A89" w:rsidRDefault="00513F0D" w:rsidP="00B75B4E">
      <w:pPr>
        <w:ind w:left="426" w:hanging="426"/>
        <w:jc w:val="both"/>
        <w:rPr>
          <w:rFonts w:ascii="Calibri" w:hAnsi="Calibri"/>
          <w:sz w:val="24"/>
          <w:szCs w:val="24"/>
        </w:rPr>
      </w:pPr>
      <w:r w:rsidRPr="009E7A89">
        <w:rPr>
          <w:rFonts w:ascii="Calibri" w:hAnsi="Calibri"/>
          <w:b/>
          <w:bCs/>
          <w:sz w:val="24"/>
          <w:szCs w:val="24"/>
        </w:rPr>
        <w:t xml:space="preserve">Graf </w:t>
      </w:r>
      <w:r w:rsidR="00CC748C">
        <w:rPr>
          <w:rFonts w:ascii="Calibri" w:hAnsi="Calibri"/>
          <w:b/>
          <w:bCs/>
          <w:sz w:val="24"/>
          <w:szCs w:val="24"/>
        </w:rPr>
        <w:t>7</w:t>
      </w:r>
      <w:r w:rsidRPr="009E7A89">
        <w:rPr>
          <w:rFonts w:ascii="Calibri" w:hAnsi="Calibri"/>
          <w:b/>
          <w:bCs/>
          <w:sz w:val="24"/>
          <w:szCs w:val="24"/>
        </w:rPr>
        <w:t>. Vývoj v počtu divadel dle vlastnictví v ČR mezi lety 2000 a 2013</w:t>
      </w:r>
    </w:p>
    <w:p w:rsidR="00513F0D" w:rsidRPr="009E7A89" w:rsidRDefault="00513F0D" w:rsidP="00513F0D">
      <w:pPr>
        <w:rPr>
          <w:rFonts w:ascii="Calibri" w:hAnsi="Calibri"/>
        </w:rPr>
      </w:pPr>
      <w:r w:rsidRPr="009E7A89">
        <w:rPr>
          <w:rFonts w:ascii="Calibri" w:hAnsi="Calibri"/>
          <w:noProof/>
        </w:rPr>
        <w:drawing>
          <wp:inline distT="0" distB="0" distL="0" distR="0">
            <wp:extent cx="5783283" cy="2683824"/>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3F0D" w:rsidRPr="009E7A89" w:rsidRDefault="00513F0D" w:rsidP="00513F0D">
      <w:pPr>
        <w:ind w:firstLine="426"/>
        <w:jc w:val="both"/>
        <w:rPr>
          <w:rFonts w:ascii="Calibri" w:hAnsi="Calibri"/>
          <w:sz w:val="24"/>
          <w:szCs w:val="24"/>
        </w:rPr>
      </w:pPr>
    </w:p>
    <w:p w:rsidR="00513F0D" w:rsidRPr="009E7A89" w:rsidRDefault="00513F0D" w:rsidP="00C911B7">
      <w:pPr>
        <w:spacing w:after="120"/>
        <w:ind w:firstLine="284"/>
        <w:jc w:val="both"/>
        <w:rPr>
          <w:rFonts w:ascii="Calibri" w:hAnsi="Calibri"/>
          <w:sz w:val="24"/>
          <w:szCs w:val="24"/>
        </w:rPr>
      </w:pPr>
      <w:r w:rsidRPr="009E7A89">
        <w:rPr>
          <w:rFonts w:ascii="Calibri" w:hAnsi="Calibri"/>
          <w:sz w:val="24"/>
          <w:szCs w:val="24"/>
        </w:rPr>
        <w:t>Rozdílné tendence ve vývoji státního a nestátního divadelnictví se s odlišnostmi promítly také do počtu činných stálých scén či sálů a souhrnných divadelních kapacit. Relativně významný nárůst počtu scén (sálů) ve správě divadel provozovaných státem mezi lety 2000 a 2006 přechází po roce 2007 spíše v pozvolný pokles</w:t>
      </w:r>
      <w:r w:rsidR="001375BA">
        <w:rPr>
          <w:rFonts w:ascii="Calibri" w:hAnsi="Calibri"/>
          <w:sz w:val="24"/>
          <w:szCs w:val="24"/>
        </w:rPr>
        <w:t xml:space="preserve">, podobně jako počet jimi nabízených sedadel. </w:t>
      </w:r>
      <w:r w:rsidRPr="009E7A89">
        <w:rPr>
          <w:rFonts w:ascii="Calibri" w:hAnsi="Calibri"/>
          <w:sz w:val="24"/>
          <w:szCs w:val="24"/>
        </w:rPr>
        <w:t>Zatímco v roce 2006 bylo na území České republiky 95 divadelních scén (sálů) provozovaných státem se souhrnnou kapacitou 26,7 tis. míst, v následujícím sedmiletém období se jejich počet snížil na 77, čemuž odpovídá pokles nabízených míst o více než 4 tisíce. Divadelní scény zřizované nestátními organizacemi sice (po mírných výkyvech v první polovině dekády) vykazují od roku 2006 stabilní meziroční nárůst</w:t>
      </w:r>
      <w:r w:rsidR="001375BA">
        <w:rPr>
          <w:rFonts w:ascii="Calibri" w:hAnsi="Calibri"/>
          <w:sz w:val="24"/>
          <w:szCs w:val="24"/>
        </w:rPr>
        <w:t xml:space="preserve">. </w:t>
      </w:r>
      <w:r w:rsidRPr="009E7A89">
        <w:rPr>
          <w:rFonts w:ascii="Calibri" w:hAnsi="Calibri"/>
          <w:sz w:val="24"/>
          <w:szCs w:val="24"/>
        </w:rPr>
        <w:t xml:space="preserve"> </w:t>
      </w:r>
    </w:p>
    <w:p w:rsidR="00513F0D" w:rsidRPr="009E7A89" w:rsidRDefault="00513F0D" w:rsidP="00C911B7">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Default="00513F0D" w:rsidP="00513F0D">
      <w:pPr>
        <w:jc w:val="both"/>
        <w:rPr>
          <w:rFonts w:ascii="Calibri" w:hAnsi="Calibri"/>
          <w:sz w:val="24"/>
          <w:szCs w:val="24"/>
        </w:rPr>
      </w:pPr>
    </w:p>
    <w:p w:rsidR="009F7110" w:rsidRDefault="009F7110" w:rsidP="00513F0D">
      <w:pPr>
        <w:jc w:val="both"/>
        <w:rPr>
          <w:rFonts w:ascii="Calibri" w:hAnsi="Calibri"/>
          <w:sz w:val="24"/>
          <w:szCs w:val="24"/>
        </w:rPr>
      </w:pPr>
    </w:p>
    <w:p w:rsidR="00513F0D" w:rsidRDefault="00513F0D" w:rsidP="00513F0D">
      <w:pPr>
        <w:jc w:val="both"/>
        <w:rPr>
          <w:rFonts w:ascii="Calibri" w:hAnsi="Calibri"/>
          <w:sz w:val="24"/>
          <w:szCs w:val="24"/>
        </w:rPr>
      </w:pPr>
    </w:p>
    <w:p w:rsidR="00434CA4" w:rsidRPr="009E7A89" w:rsidRDefault="00434CA4" w:rsidP="00513F0D">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Pr="009E7A89" w:rsidRDefault="00513F0D" w:rsidP="00B75B4E">
      <w:pPr>
        <w:ind w:left="567" w:hanging="567"/>
        <w:jc w:val="both"/>
        <w:rPr>
          <w:rFonts w:ascii="Calibri" w:hAnsi="Calibri"/>
          <w:b/>
          <w:bCs/>
          <w:sz w:val="24"/>
          <w:szCs w:val="24"/>
        </w:rPr>
      </w:pPr>
      <w:r w:rsidRPr="009E7A89">
        <w:rPr>
          <w:rFonts w:ascii="Calibri" w:hAnsi="Calibri"/>
          <w:b/>
          <w:bCs/>
          <w:sz w:val="24"/>
          <w:szCs w:val="24"/>
        </w:rPr>
        <w:t xml:space="preserve">Graf </w:t>
      </w:r>
      <w:r w:rsidR="00CC748C">
        <w:rPr>
          <w:rFonts w:ascii="Calibri" w:hAnsi="Calibri"/>
          <w:b/>
          <w:bCs/>
          <w:sz w:val="24"/>
          <w:szCs w:val="24"/>
        </w:rPr>
        <w:t>8</w:t>
      </w:r>
      <w:r w:rsidRPr="009E7A89">
        <w:rPr>
          <w:rFonts w:ascii="Calibri" w:hAnsi="Calibri"/>
          <w:b/>
          <w:bCs/>
          <w:sz w:val="24"/>
          <w:szCs w:val="24"/>
        </w:rPr>
        <w:t>. Vývoj počtu státních a nestátních divadelních scén či sálů (nahoře) a jejich projektovaná kapacita v tis. jednotek (dole) mezi lety 2000 a 2013</w:t>
      </w:r>
    </w:p>
    <w:p w:rsidR="00513F0D" w:rsidRPr="009E7A89" w:rsidRDefault="00513F0D" w:rsidP="00513F0D">
      <w:pPr>
        <w:jc w:val="both"/>
        <w:rPr>
          <w:rFonts w:ascii="Calibri" w:hAnsi="Calibri"/>
          <w:sz w:val="24"/>
          <w:szCs w:val="24"/>
        </w:rPr>
      </w:pPr>
    </w:p>
    <w:p w:rsidR="00513F0D" w:rsidRPr="009E7A89" w:rsidRDefault="00513F0D" w:rsidP="00513F0D">
      <w:pPr>
        <w:jc w:val="center"/>
        <w:rPr>
          <w:rFonts w:ascii="Calibri" w:hAnsi="Calibri"/>
          <w:noProof/>
        </w:rPr>
      </w:pPr>
      <w:r w:rsidRPr="009E7A89">
        <w:rPr>
          <w:rFonts w:ascii="Calibri" w:hAnsi="Calibri"/>
          <w:noProof/>
        </w:rPr>
        <w:drawing>
          <wp:inline distT="0" distB="0" distL="0" distR="0">
            <wp:extent cx="5759532" cy="2648197"/>
            <wp:effectExtent l="0" t="0" r="0" b="0"/>
            <wp:docPr id="2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3F0D" w:rsidRPr="009E7A89" w:rsidRDefault="00513F0D" w:rsidP="00513F0D">
      <w:pPr>
        <w:jc w:val="center"/>
        <w:rPr>
          <w:rFonts w:ascii="Calibri" w:hAnsi="Calibri"/>
        </w:rPr>
      </w:pPr>
      <w:r w:rsidRPr="009E7A89">
        <w:rPr>
          <w:rFonts w:ascii="Calibri" w:hAnsi="Calibri"/>
          <w:noProof/>
        </w:rPr>
        <w:drawing>
          <wp:inline distT="0" distB="0" distL="0" distR="0">
            <wp:extent cx="5756745" cy="1669774"/>
            <wp:effectExtent l="0" t="0" r="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3F0D" w:rsidRDefault="00513F0D" w:rsidP="00513F0D">
      <w:pPr>
        <w:jc w:val="both"/>
        <w:rPr>
          <w:rFonts w:ascii="Calibri" w:hAnsi="Calibri"/>
          <w:sz w:val="24"/>
          <w:szCs w:val="24"/>
        </w:rPr>
      </w:pPr>
    </w:p>
    <w:p w:rsidR="00434CA4" w:rsidRPr="009E7A89" w:rsidRDefault="00434CA4" w:rsidP="00513F0D">
      <w:pPr>
        <w:jc w:val="both"/>
        <w:rPr>
          <w:rFonts w:ascii="Calibri" w:hAnsi="Calibri"/>
          <w:sz w:val="24"/>
          <w:szCs w:val="24"/>
        </w:rPr>
      </w:pPr>
    </w:p>
    <w:p w:rsidR="00513F0D" w:rsidRPr="009E7A89" w:rsidRDefault="00513F0D" w:rsidP="00543A57">
      <w:pPr>
        <w:ind w:firstLine="284"/>
        <w:jc w:val="both"/>
        <w:rPr>
          <w:rFonts w:ascii="Calibri" w:hAnsi="Calibri"/>
          <w:sz w:val="24"/>
          <w:szCs w:val="24"/>
        </w:rPr>
      </w:pPr>
      <w:r w:rsidRPr="009E7A89">
        <w:rPr>
          <w:rFonts w:ascii="Calibri" w:hAnsi="Calibri"/>
          <w:sz w:val="24"/>
          <w:szCs w:val="24"/>
        </w:rPr>
        <w:t xml:space="preserve">Následující grafické znázornění (graf č. </w:t>
      </w:r>
      <w:r w:rsidR="001375BA">
        <w:rPr>
          <w:rFonts w:ascii="Calibri" w:hAnsi="Calibri"/>
          <w:sz w:val="24"/>
          <w:szCs w:val="24"/>
        </w:rPr>
        <w:t>9</w:t>
      </w:r>
      <w:r w:rsidRPr="009E7A89">
        <w:rPr>
          <w:rFonts w:ascii="Calibri" w:hAnsi="Calibri"/>
          <w:sz w:val="24"/>
          <w:szCs w:val="24"/>
        </w:rPr>
        <w:t xml:space="preserve">) vypovídá o výkonnosti státních a nestátních divadel s vlastními uměleckými soubory vyjádřené souhrnným </w:t>
      </w:r>
      <w:r w:rsidRPr="00B41397">
        <w:rPr>
          <w:rFonts w:ascii="Calibri" w:hAnsi="Calibri"/>
          <w:b/>
          <w:sz w:val="24"/>
          <w:szCs w:val="24"/>
        </w:rPr>
        <w:t xml:space="preserve">počtem </w:t>
      </w:r>
      <w:r w:rsidRPr="009E7A89">
        <w:rPr>
          <w:rFonts w:ascii="Calibri" w:hAnsi="Calibri"/>
          <w:b/>
          <w:sz w:val="24"/>
          <w:szCs w:val="24"/>
        </w:rPr>
        <w:t>odehraných představení</w:t>
      </w:r>
      <w:r w:rsidRPr="009E7A89">
        <w:rPr>
          <w:rFonts w:ascii="Calibri" w:hAnsi="Calibri"/>
          <w:sz w:val="24"/>
          <w:szCs w:val="24"/>
        </w:rPr>
        <w:t xml:space="preserve"> v průběhu roku. Vývoj odehraných představení mezi lety 2000 a 2013 se vyznačuje mírným růstem, přičemž kolísá v rozmezí 4,6 a 5,8 tis. odehraných představení ročně</w:t>
      </w:r>
      <w:r w:rsidRPr="00CA30A7">
        <w:rPr>
          <w:rFonts w:ascii="Calibri" w:hAnsi="Calibri"/>
          <w:sz w:val="24"/>
          <w:szCs w:val="24"/>
        </w:rPr>
        <w:t xml:space="preserve">. </w:t>
      </w:r>
      <w:r w:rsidRPr="00CA30A7">
        <w:rPr>
          <w:rFonts w:ascii="Calibri" w:hAnsi="Calibri"/>
          <w:b/>
          <w:sz w:val="24"/>
          <w:szCs w:val="24"/>
        </w:rPr>
        <w:t>Souhrnný počet diváků</w:t>
      </w:r>
      <w:r w:rsidRPr="00CA30A7">
        <w:rPr>
          <w:rFonts w:ascii="Calibri" w:hAnsi="Calibri"/>
          <w:sz w:val="24"/>
          <w:szCs w:val="24"/>
        </w:rPr>
        <w:t>, kteří se v jednotlivých letech divadelní produkce účastnili, se po mírném poklesu v období mezi lety 2001 a 200</w:t>
      </w:r>
      <w:r w:rsidR="00AB7342" w:rsidRPr="00CA30A7">
        <w:rPr>
          <w:rFonts w:ascii="Calibri" w:hAnsi="Calibri"/>
          <w:sz w:val="24"/>
          <w:szCs w:val="24"/>
        </w:rPr>
        <w:t>4</w:t>
      </w:r>
      <w:r w:rsidRPr="00CA30A7">
        <w:rPr>
          <w:rFonts w:ascii="Calibri" w:hAnsi="Calibri"/>
          <w:sz w:val="24"/>
          <w:szCs w:val="24"/>
        </w:rPr>
        <w:t xml:space="preserve"> držel nad hranicí </w:t>
      </w:r>
      <w:r w:rsidR="001375BA">
        <w:rPr>
          <w:rFonts w:ascii="Calibri" w:hAnsi="Calibri"/>
          <w:sz w:val="24"/>
          <w:szCs w:val="24"/>
        </w:rPr>
        <w:t>5</w:t>
      </w:r>
      <w:r w:rsidRPr="00CA30A7">
        <w:rPr>
          <w:rFonts w:ascii="Calibri" w:hAnsi="Calibri"/>
          <w:sz w:val="24"/>
          <w:szCs w:val="24"/>
        </w:rPr>
        <w:t xml:space="preserve"> </w:t>
      </w:r>
      <w:r w:rsidR="00D44B3E" w:rsidRPr="00CA30A7">
        <w:rPr>
          <w:rFonts w:ascii="Calibri" w:hAnsi="Calibri"/>
          <w:sz w:val="24"/>
          <w:szCs w:val="24"/>
        </w:rPr>
        <w:t>mil.</w:t>
      </w:r>
      <w:r w:rsidRPr="00CA30A7">
        <w:rPr>
          <w:rFonts w:ascii="Calibri" w:hAnsi="Calibri"/>
          <w:sz w:val="24"/>
          <w:szCs w:val="24"/>
        </w:rPr>
        <w:t xml:space="preserve"> ročně, přičemž počáteční pokles v návštěvnosti </w:t>
      </w:r>
      <w:r w:rsidR="001375BA">
        <w:rPr>
          <w:rFonts w:ascii="Calibri" w:hAnsi="Calibri"/>
          <w:sz w:val="24"/>
          <w:szCs w:val="24"/>
        </w:rPr>
        <w:t xml:space="preserve">v období tzv. „návštěvnické krize“ </w:t>
      </w:r>
      <w:r w:rsidRPr="00CA30A7">
        <w:rPr>
          <w:rFonts w:ascii="Calibri" w:hAnsi="Calibri"/>
          <w:sz w:val="24"/>
          <w:szCs w:val="24"/>
        </w:rPr>
        <w:t>byl dostatečně kompenzován růstem v následujících letech. Po roce 201</w:t>
      </w:r>
      <w:r w:rsidR="001375BA">
        <w:rPr>
          <w:rFonts w:ascii="Calibri" w:hAnsi="Calibri"/>
          <w:sz w:val="24"/>
          <w:szCs w:val="24"/>
        </w:rPr>
        <w:t>0</w:t>
      </w:r>
      <w:r w:rsidRPr="00CA30A7">
        <w:rPr>
          <w:rFonts w:ascii="Calibri" w:hAnsi="Calibri"/>
          <w:sz w:val="24"/>
          <w:szCs w:val="24"/>
        </w:rPr>
        <w:t xml:space="preserve"> návštěvnost divadel</w:t>
      </w:r>
      <w:r w:rsidR="001375BA">
        <w:rPr>
          <w:rFonts w:ascii="Calibri" w:hAnsi="Calibri"/>
          <w:sz w:val="24"/>
          <w:szCs w:val="24"/>
        </w:rPr>
        <w:t xml:space="preserve"> stagnovala. </w:t>
      </w:r>
    </w:p>
    <w:p w:rsidR="00513F0D" w:rsidRPr="009E7A89" w:rsidRDefault="00513F0D" w:rsidP="00513F0D">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Pr="009E7A89" w:rsidRDefault="00513F0D" w:rsidP="00513F0D">
      <w:pPr>
        <w:jc w:val="both"/>
        <w:rPr>
          <w:rFonts w:ascii="Calibri" w:hAnsi="Calibri"/>
          <w:sz w:val="24"/>
          <w:szCs w:val="24"/>
        </w:rPr>
      </w:pPr>
    </w:p>
    <w:p w:rsidR="00513F0D" w:rsidRPr="009E7A89" w:rsidRDefault="00513F0D" w:rsidP="00425BDB">
      <w:pPr>
        <w:ind w:left="426" w:hanging="426"/>
        <w:jc w:val="both"/>
        <w:rPr>
          <w:rFonts w:ascii="Calibri" w:hAnsi="Calibri"/>
          <w:sz w:val="24"/>
          <w:szCs w:val="24"/>
        </w:rPr>
      </w:pPr>
      <w:r w:rsidRPr="009E7A89">
        <w:rPr>
          <w:rFonts w:ascii="Calibri" w:hAnsi="Calibri"/>
          <w:b/>
          <w:bCs/>
          <w:sz w:val="24"/>
          <w:szCs w:val="24"/>
        </w:rPr>
        <w:t xml:space="preserve">Graf </w:t>
      </w:r>
      <w:r w:rsidR="00CC748C">
        <w:rPr>
          <w:rFonts w:ascii="Calibri" w:hAnsi="Calibri"/>
          <w:b/>
          <w:bCs/>
          <w:sz w:val="24"/>
          <w:szCs w:val="24"/>
        </w:rPr>
        <w:t>9</w:t>
      </w:r>
      <w:r w:rsidRPr="009E7A89">
        <w:rPr>
          <w:rFonts w:ascii="Calibri" w:hAnsi="Calibri"/>
          <w:b/>
          <w:bCs/>
          <w:sz w:val="24"/>
          <w:szCs w:val="24"/>
        </w:rPr>
        <w:t xml:space="preserve">. Celkový počet představení </w:t>
      </w:r>
      <w:r w:rsidR="003F1684">
        <w:rPr>
          <w:rFonts w:ascii="Calibri" w:hAnsi="Calibri"/>
          <w:b/>
          <w:bCs/>
          <w:sz w:val="24"/>
          <w:szCs w:val="24"/>
        </w:rPr>
        <w:t>(</w:t>
      </w:r>
      <w:r w:rsidR="000F64EA">
        <w:rPr>
          <w:rFonts w:ascii="Calibri" w:hAnsi="Calibri"/>
          <w:b/>
          <w:bCs/>
          <w:sz w:val="24"/>
          <w:szCs w:val="24"/>
        </w:rPr>
        <w:t>v tis.) a návštěvníků divadel (v mil</w:t>
      </w:r>
      <w:r w:rsidRPr="009E7A89">
        <w:rPr>
          <w:rFonts w:ascii="Calibri" w:hAnsi="Calibri"/>
          <w:b/>
          <w:bCs/>
          <w:sz w:val="24"/>
          <w:szCs w:val="24"/>
        </w:rPr>
        <w:t>.) v letech 2000 až 2013</w:t>
      </w:r>
    </w:p>
    <w:p w:rsidR="00B041CA" w:rsidRDefault="00B041CA" w:rsidP="00513F0D">
      <w:pPr>
        <w:jc w:val="both"/>
        <w:rPr>
          <w:rFonts w:ascii="Calibri" w:hAnsi="Calibri"/>
          <w:sz w:val="24"/>
          <w:szCs w:val="24"/>
        </w:rPr>
      </w:pPr>
      <w:r w:rsidRPr="00B041CA">
        <w:rPr>
          <w:rFonts w:ascii="Calibri" w:hAnsi="Calibri"/>
          <w:noProof/>
          <w:sz w:val="24"/>
          <w:szCs w:val="24"/>
        </w:rPr>
        <w:drawing>
          <wp:inline distT="0" distB="0" distL="0" distR="0">
            <wp:extent cx="5757845" cy="2794958"/>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CA4" w:rsidRDefault="00434CA4" w:rsidP="00513F0D">
      <w:pPr>
        <w:jc w:val="both"/>
        <w:rPr>
          <w:rFonts w:ascii="Calibri" w:hAnsi="Calibri"/>
          <w:sz w:val="24"/>
          <w:szCs w:val="24"/>
        </w:rPr>
      </w:pPr>
    </w:p>
    <w:p w:rsidR="00513F0D" w:rsidRPr="009E7A89" w:rsidRDefault="00513F0D" w:rsidP="00543A57">
      <w:pPr>
        <w:ind w:firstLine="284"/>
        <w:jc w:val="both"/>
        <w:rPr>
          <w:rFonts w:ascii="Calibri" w:hAnsi="Calibri"/>
          <w:sz w:val="24"/>
          <w:szCs w:val="24"/>
        </w:rPr>
      </w:pPr>
      <w:r w:rsidRPr="009E7A89">
        <w:rPr>
          <w:rFonts w:ascii="Calibri" w:hAnsi="Calibri"/>
          <w:b/>
          <w:sz w:val="24"/>
          <w:szCs w:val="24"/>
        </w:rPr>
        <w:t>Počet divadelních inscenací</w:t>
      </w:r>
      <w:r w:rsidRPr="009E7A89">
        <w:rPr>
          <w:rFonts w:ascii="Calibri" w:hAnsi="Calibri"/>
          <w:sz w:val="24"/>
          <w:szCs w:val="24"/>
        </w:rPr>
        <w:t xml:space="preserve"> v repertoáru českých státních i nestátních divadlech od mírného poklesu mezi lety 2001 a 2004 </w:t>
      </w:r>
      <w:r w:rsidR="001375BA">
        <w:rPr>
          <w:rFonts w:ascii="Calibri" w:hAnsi="Calibri"/>
          <w:sz w:val="24"/>
          <w:szCs w:val="24"/>
        </w:rPr>
        <w:t xml:space="preserve">až </w:t>
      </w:r>
      <w:r w:rsidRPr="009E7A89">
        <w:rPr>
          <w:rFonts w:ascii="Calibri" w:hAnsi="Calibri"/>
          <w:sz w:val="24"/>
          <w:szCs w:val="24"/>
        </w:rPr>
        <w:t xml:space="preserve">do roku 2013 </w:t>
      </w:r>
      <w:r w:rsidR="001375BA">
        <w:rPr>
          <w:rFonts w:ascii="Calibri" w:hAnsi="Calibri"/>
          <w:sz w:val="24"/>
          <w:szCs w:val="24"/>
        </w:rPr>
        <w:t xml:space="preserve">v zásadě </w:t>
      </w:r>
      <w:r w:rsidRPr="009E7A89">
        <w:rPr>
          <w:rFonts w:ascii="Calibri" w:hAnsi="Calibri"/>
          <w:sz w:val="24"/>
          <w:szCs w:val="24"/>
        </w:rPr>
        <w:t xml:space="preserve">rostl. Srovnáme-li rok 2003, tzn. rok s nejnižším počtem inscenací v repertoáru ve sledovaném období s hodnotou v roce 2013, došlo v tomto mezidobí </w:t>
      </w:r>
      <w:r w:rsidR="00434CA4">
        <w:rPr>
          <w:rFonts w:ascii="Calibri" w:hAnsi="Calibri"/>
          <w:sz w:val="24"/>
          <w:szCs w:val="24"/>
        </w:rPr>
        <w:t xml:space="preserve">v repertoáru </w:t>
      </w:r>
      <w:r w:rsidRPr="009E7A89">
        <w:rPr>
          <w:rFonts w:ascii="Calibri" w:hAnsi="Calibri"/>
          <w:sz w:val="24"/>
          <w:szCs w:val="24"/>
        </w:rPr>
        <w:t>divadel</w:t>
      </w:r>
      <w:r w:rsidR="00434CA4">
        <w:rPr>
          <w:rFonts w:ascii="Calibri" w:hAnsi="Calibri"/>
          <w:sz w:val="24"/>
          <w:szCs w:val="24"/>
        </w:rPr>
        <w:t xml:space="preserve"> k celkovému zvýšení počtu inscenací </w:t>
      </w:r>
      <w:r w:rsidRPr="009E7A89">
        <w:rPr>
          <w:rFonts w:ascii="Calibri" w:hAnsi="Calibri"/>
          <w:sz w:val="24"/>
          <w:szCs w:val="24"/>
        </w:rPr>
        <w:t>o 69%.</w:t>
      </w:r>
    </w:p>
    <w:p w:rsidR="00513F0D" w:rsidRPr="009E7A89" w:rsidRDefault="00513F0D" w:rsidP="00513F0D">
      <w:pPr>
        <w:jc w:val="both"/>
        <w:rPr>
          <w:rFonts w:ascii="Calibri" w:hAnsi="Calibri"/>
          <w:sz w:val="24"/>
          <w:szCs w:val="24"/>
        </w:rPr>
      </w:pPr>
    </w:p>
    <w:p w:rsidR="00513F0D" w:rsidRPr="009E7A89" w:rsidRDefault="00513F0D" w:rsidP="00E22883">
      <w:pPr>
        <w:jc w:val="both"/>
        <w:rPr>
          <w:rFonts w:ascii="Calibri" w:hAnsi="Calibri"/>
          <w:sz w:val="24"/>
          <w:szCs w:val="24"/>
        </w:rPr>
      </w:pPr>
      <w:r w:rsidRPr="009E7A89">
        <w:rPr>
          <w:rFonts w:ascii="Calibri" w:hAnsi="Calibri"/>
          <w:b/>
          <w:bCs/>
          <w:sz w:val="24"/>
          <w:szCs w:val="24"/>
        </w:rPr>
        <w:t xml:space="preserve">Graf </w:t>
      </w:r>
      <w:r w:rsidR="00CC748C">
        <w:rPr>
          <w:rFonts w:ascii="Calibri" w:hAnsi="Calibri"/>
          <w:b/>
          <w:bCs/>
          <w:sz w:val="24"/>
          <w:szCs w:val="24"/>
        </w:rPr>
        <w:t>10</w:t>
      </w:r>
      <w:r w:rsidRPr="009E7A89">
        <w:rPr>
          <w:rFonts w:ascii="Calibri" w:hAnsi="Calibri"/>
          <w:b/>
          <w:bCs/>
          <w:sz w:val="24"/>
          <w:szCs w:val="24"/>
        </w:rPr>
        <w:t>. Celkový počet inscenací v repertoáru a premiér v letech 2000 až 2013</w:t>
      </w:r>
    </w:p>
    <w:p w:rsidR="00513F0D" w:rsidRPr="009E7A89" w:rsidRDefault="00513F0D" w:rsidP="00513F0D">
      <w:pPr>
        <w:jc w:val="both"/>
        <w:rPr>
          <w:rFonts w:ascii="Calibri" w:hAnsi="Calibri"/>
          <w:sz w:val="24"/>
          <w:szCs w:val="24"/>
        </w:rPr>
      </w:pPr>
      <w:r w:rsidRPr="009E7A89">
        <w:rPr>
          <w:rFonts w:ascii="Calibri" w:hAnsi="Calibri"/>
          <w:noProof/>
          <w:sz w:val="24"/>
          <w:szCs w:val="24"/>
        </w:rPr>
        <w:drawing>
          <wp:inline distT="0" distB="0" distL="0" distR="0">
            <wp:extent cx="5759532" cy="2755075"/>
            <wp:effectExtent l="0" t="0" r="0" b="0"/>
            <wp:docPr id="2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3F0D" w:rsidRDefault="00513F0D" w:rsidP="00543A57">
      <w:pPr>
        <w:ind w:firstLine="284"/>
        <w:jc w:val="both"/>
        <w:rPr>
          <w:rFonts w:ascii="Calibri" w:hAnsi="Calibri"/>
          <w:sz w:val="24"/>
          <w:szCs w:val="24"/>
        </w:rPr>
      </w:pPr>
      <w:r w:rsidRPr="009E7A89">
        <w:rPr>
          <w:rFonts w:ascii="Calibri" w:hAnsi="Calibri"/>
          <w:sz w:val="24"/>
          <w:szCs w:val="24"/>
        </w:rPr>
        <w:t xml:space="preserve">Vedle opakování již zavedených inscenací rozšiřovala divadla svůj repertoár o nově </w:t>
      </w:r>
      <w:r w:rsidR="00434CA4">
        <w:rPr>
          <w:rFonts w:ascii="Calibri" w:hAnsi="Calibri"/>
          <w:sz w:val="24"/>
          <w:szCs w:val="24"/>
        </w:rPr>
        <w:t xml:space="preserve">nastudovaná </w:t>
      </w:r>
      <w:r w:rsidRPr="009E7A89">
        <w:rPr>
          <w:rFonts w:ascii="Calibri" w:hAnsi="Calibri"/>
          <w:sz w:val="24"/>
          <w:szCs w:val="24"/>
        </w:rPr>
        <w:t xml:space="preserve">představení. </w:t>
      </w:r>
      <w:r w:rsidRPr="009E7A89">
        <w:rPr>
          <w:rFonts w:ascii="Calibri" w:hAnsi="Calibri"/>
          <w:b/>
          <w:sz w:val="24"/>
          <w:szCs w:val="24"/>
        </w:rPr>
        <w:t>Počet premiér</w:t>
      </w:r>
      <w:r w:rsidRPr="009E7A89">
        <w:rPr>
          <w:rFonts w:ascii="Calibri" w:hAnsi="Calibri"/>
          <w:sz w:val="24"/>
          <w:szCs w:val="24"/>
        </w:rPr>
        <w:t>, které byly v jednotlivých letech sledovaného období odehrány, se mezi jednotlivými roky lišil, přičemž obecně bylo každým rokem představeno více</w:t>
      </w:r>
      <w:r w:rsidR="00434CA4">
        <w:rPr>
          <w:rFonts w:ascii="Calibri" w:hAnsi="Calibri"/>
          <w:sz w:val="24"/>
          <w:szCs w:val="24"/>
        </w:rPr>
        <w:t xml:space="preserve"> </w:t>
      </w:r>
      <w:r w:rsidRPr="009E7A89">
        <w:rPr>
          <w:rFonts w:ascii="Calibri" w:hAnsi="Calibri"/>
          <w:sz w:val="24"/>
          <w:szCs w:val="24"/>
        </w:rPr>
        <w:t xml:space="preserve">než 500 nových divadelních inscenací. </w:t>
      </w:r>
    </w:p>
    <w:p w:rsidR="006D21C7" w:rsidRPr="009E7A89" w:rsidRDefault="006D21C7" w:rsidP="00513F0D">
      <w:pPr>
        <w:jc w:val="both"/>
        <w:rPr>
          <w:rFonts w:ascii="Calibri" w:hAnsi="Calibri"/>
          <w:sz w:val="24"/>
          <w:szCs w:val="24"/>
        </w:rPr>
      </w:pPr>
    </w:p>
    <w:p w:rsidR="00513F0D" w:rsidRPr="00434CA4" w:rsidRDefault="00513F0D" w:rsidP="00A57299">
      <w:pPr>
        <w:pStyle w:val="Odstavecseseznamem"/>
        <w:numPr>
          <w:ilvl w:val="1"/>
          <w:numId w:val="6"/>
        </w:numPr>
        <w:ind w:left="709" w:hanging="709"/>
        <w:rPr>
          <w:rFonts w:ascii="Calibri" w:hAnsi="Calibri"/>
          <w:b/>
          <w:sz w:val="24"/>
          <w:szCs w:val="24"/>
        </w:rPr>
      </w:pPr>
      <w:r w:rsidRPr="00434CA4">
        <w:rPr>
          <w:rFonts w:ascii="Calibri" w:hAnsi="Calibri"/>
          <w:b/>
          <w:sz w:val="24"/>
          <w:szCs w:val="24"/>
        </w:rPr>
        <w:t>Tisk</w:t>
      </w:r>
    </w:p>
    <w:p w:rsidR="00513F0D" w:rsidRPr="009E7A89" w:rsidRDefault="00513F0D" w:rsidP="00C911B7">
      <w:pPr>
        <w:spacing w:after="120"/>
        <w:ind w:firstLine="284"/>
        <w:jc w:val="both"/>
        <w:rPr>
          <w:rFonts w:ascii="Calibri" w:hAnsi="Calibri"/>
          <w:sz w:val="24"/>
          <w:szCs w:val="24"/>
        </w:rPr>
      </w:pPr>
      <w:r w:rsidRPr="009E7A89">
        <w:rPr>
          <w:rFonts w:ascii="Calibri" w:hAnsi="Calibri"/>
          <w:sz w:val="24"/>
          <w:szCs w:val="24"/>
        </w:rPr>
        <w:t>Produkce tiskovin je jediným kulturním odvětvím reprezentujícím v</w:t>
      </w:r>
      <w:r w:rsidR="00434CA4">
        <w:rPr>
          <w:rFonts w:ascii="Calibri" w:hAnsi="Calibri"/>
          <w:sz w:val="24"/>
          <w:szCs w:val="24"/>
        </w:rPr>
        <w:t> </w:t>
      </w:r>
      <w:r w:rsidRPr="009E7A89">
        <w:rPr>
          <w:rFonts w:ascii="Calibri" w:hAnsi="Calibri"/>
          <w:sz w:val="24"/>
          <w:szCs w:val="24"/>
        </w:rPr>
        <w:t>t</w:t>
      </w:r>
      <w:r w:rsidR="00434CA4">
        <w:rPr>
          <w:rFonts w:ascii="Calibri" w:hAnsi="Calibri"/>
          <w:sz w:val="24"/>
          <w:szCs w:val="24"/>
        </w:rPr>
        <w:t xml:space="preserve">éto analýze </w:t>
      </w:r>
      <w:r w:rsidRPr="009E7A89">
        <w:rPr>
          <w:rFonts w:ascii="Calibri" w:hAnsi="Calibri"/>
          <w:sz w:val="24"/>
          <w:szCs w:val="24"/>
        </w:rPr>
        <w:t>oblast tzv. kulturního průmyslu, tzn. velkoobjemovou produkci a reprodukci kulturních artefaktů určených k masové spotřebě a dalšímu šíření. Sledování produkce tiskovin je dlouhodobě součástí programu statistických zjišťování N</w:t>
      </w:r>
      <w:r w:rsidR="00CC4544">
        <w:rPr>
          <w:rFonts w:ascii="Calibri" w:hAnsi="Calibri"/>
          <w:sz w:val="24"/>
          <w:szCs w:val="24"/>
        </w:rPr>
        <w:t>IPOS</w:t>
      </w:r>
      <w:r w:rsidRPr="009E7A89">
        <w:rPr>
          <w:rFonts w:ascii="Calibri" w:hAnsi="Calibri"/>
          <w:sz w:val="24"/>
          <w:szCs w:val="24"/>
        </w:rPr>
        <w:t>, kde je zastoupeno dvěma ročními statistickými výkazy</w:t>
      </w:r>
      <w:r w:rsidR="00CC4544">
        <w:rPr>
          <w:rFonts w:ascii="Calibri" w:hAnsi="Calibri"/>
          <w:sz w:val="24"/>
          <w:szCs w:val="24"/>
        </w:rPr>
        <w:t xml:space="preserve"> (</w:t>
      </w:r>
      <w:r w:rsidRPr="009E7A89">
        <w:rPr>
          <w:rFonts w:ascii="Calibri" w:hAnsi="Calibri"/>
          <w:sz w:val="24"/>
          <w:szCs w:val="24"/>
        </w:rPr>
        <w:t>Kult (MK) 5-01 a Kult (MK) 15-01</w:t>
      </w:r>
      <w:r w:rsidR="00CC4544">
        <w:rPr>
          <w:rFonts w:ascii="Calibri" w:hAnsi="Calibri"/>
          <w:sz w:val="24"/>
          <w:szCs w:val="24"/>
        </w:rPr>
        <w:t>)</w:t>
      </w:r>
      <w:r w:rsidRPr="009E7A89">
        <w:rPr>
          <w:rFonts w:ascii="Calibri" w:hAnsi="Calibri"/>
          <w:sz w:val="24"/>
          <w:szCs w:val="24"/>
        </w:rPr>
        <w:t>. Za periodický</w:t>
      </w:r>
      <w:r w:rsidR="00070467">
        <w:rPr>
          <w:rFonts w:ascii="Calibri" w:hAnsi="Calibri"/>
          <w:sz w:val="24"/>
          <w:szCs w:val="24"/>
          <w:vertAlign w:val="superscript"/>
        </w:rPr>
        <w:t>4</w:t>
      </w:r>
      <w:r w:rsidRPr="009E7A89">
        <w:rPr>
          <w:rFonts w:ascii="Calibri" w:hAnsi="Calibri"/>
          <w:sz w:val="24"/>
          <w:szCs w:val="24"/>
        </w:rPr>
        <w:t xml:space="preserve"> tisk jsou pro účely šetření považovány všechny tištěné publikace registrované v České republice dle zákona 46/2000 Sb. o právech a povinnostech při vydávání periodického tisku a jsou (za poplatek či zdarma) dostupné veřejnosti</w:t>
      </w:r>
      <w:r w:rsidR="00070467">
        <w:rPr>
          <w:rFonts w:ascii="Calibri" w:hAnsi="Calibri"/>
          <w:sz w:val="24"/>
          <w:szCs w:val="24"/>
          <w:vertAlign w:val="superscript"/>
        </w:rPr>
        <w:t>5</w:t>
      </w:r>
      <w:r w:rsidRPr="009E7A89">
        <w:rPr>
          <w:rFonts w:ascii="Calibri" w:hAnsi="Calibri"/>
          <w:sz w:val="24"/>
          <w:szCs w:val="24"/>
        </w:rPr>
        <w:t>.</w:t>
      </w:r>
    </w:p>
    <w:p w:rsidR="00513F0D" w:rsidRPr="009E7A89" w:rsidRDefault="00513F0D" w:rsidP="00543A57">
      <w:pPr>
        <w:ind w:firstLine="284"/>
        <w:jc w:val="both"/>
        <w:rPr>
          <w:rFonts w:ascii="Calibri" w:hAnsi="Calibri"/>
          <w:sz w:val="24"/>
          <w:szCs w:val="24"/>
        </w:rPr>
      </w:pPr>
      <w:r w:rsidRPr="009E7A89">
        <w:rPr>
          <w:rFonts w:ascii="Calibri" w:hAnsi="Calibri"/>
          <w:sz w:val="24"/>
          <w:szCs w:val="24"/>
        </w:rPr>
        <w:t>V roce 2013 vycházelo na území ČR celkem 5 017</w:t>
      </w:r>
      <w:r w:rsidRPr="009E7A89">
        <w:rPr>
          <w:rFonts w:ascii="Calibri" w:hAnsi="Calibri"/>
          <w:b/>
          <w:sz w:val="24"/>
          <w:szCs w:val="24"/>
        </w:rPr>
        <w:t xml:space="preserve"> periodik</w:t>
      </w:r>
      <w:r w:rsidRPr="009E7A89">
        <w:rPr>
          <w:rFonts w:ascii="Calibri" w:hAnsi="Calibri"/>
          <w:sz w:val="24"/>
          <w:szCs w:val="24"/>
        </w:rPr>
        <w:t xml:space="preserve">. Srovnáme-li tuto hodnotu s počtem 3 295 titulů vydávaných v roce 2000, vzrostl jejich počet ve sledovaném období o více než polovinu. Vývoj vydávaných titulů nicméně zaznamenal mezi lety 2000 a 2013 několik významných poklesů. K prvnímu došlo (po mírném růstu) v roce 2003, kdy se celkový počet vydávaných titulů meziročně snížil o 7,3%. Po navazujícím růstu v letech 2004 – 2008 se přírůstky vydávaných periodik opět propadají do záporných čísel, v nichž zůstávají do roku 2013. Srovnáme-li rok 2008, v němž vyšlo vůbec nejvíce titulů ve sledovaném období s rokem 2013, </w:t>
      </w:r>
      <w:r w:rsidR="00070467">
        <w:rPr>
          <w:rFonts w:ascii="Calibri" w:hAnsi="Calibri"/>
          <w:sz w:val="24"/>
          <w:szCs w:val="24"/>
        </w:rPr>
        <w:t xml:space="preserve">je zřejmý další </w:t>
      </w:r>
      <w:r w:rsidRPr="009E7A89">
        <w:rPr>
          <w:rFonts w:ascii="Calibri" w:hAnsi="Calibri"/>
          <w:sz w:val="24"/>
          <w:szCs w:val="24"/>
        </w:rPr>
        <w:t>pokles o 11,8%. Načasování tohoto vývoje v kontextu širšího hospodářského vývoje po</w:t>
      </w:r>
      <w:r w:rsidR="00070467">
        <w:rPr>
          <w:rFonts w:ascii="Calibri" w:hAnsi="Calibri"/>
          <w:sz w:val="24"/>
          <w:szCs w:val="24"/>
        </w:rPr>
        <w:t xml:space="preserve">dporuje </w:t>
      </w:r>
      <w:r w:rsidRPr="009E7A89">
        <w:rPr>
          <w:rFonts w:ascii="Calibri" w:hAnsi="Calibri"/>
          <w:sz w:val="24"/>
          <w:szCs w:val="24"/>
        </w:rPr>
        <w:t>hypotézu o negativním dopadu ekonomické krize či nových informačních technologií (zejména internetu) na sledované odvětví.</w:t>
      </w:r>
    </w:p>
    <w:p w:rsidR="00070467" w:rsidRDefault="00070467" w:rsidP="00513F0D">
      <w:pPr>
        <w:jc w:val="both"/>
        <w:rPr>
          <w:rFonts w:ascii="Calibri" w:hAnsi="Calibri"/>
          <w:sz w:val="24"/>
          <w:szCs w:val="24"/>
        </w:rPr>
      </w:pPr>
    </w:p>
    <w:p w:rsidR="00070467" w:rsidRDefault="00070467" w:rsidP="00513F0D">
      <w:pPr>
        <w:jc w:val="both"/>
        <w:rPr>
          <w:rFonts w:ascii="Calibri" w:hAnsi="Calibri"/>
          <w:sz w:val="24"/>
          <w:szCs w:val="24"/>
        </w:rPr>
      </w:pPr>
    </w:p>
    <w:p w:rsidR="00C911B7" w:rsidRDefault="00C911B7" w:rsidP="00513F0D">
      <w:pPr>
        <w:jc w:val="both"/>
        <w:rPr>
          <w:rFonts w:ascii="Calibri" w:hAnsi="Calibri"/>
          <w:sz w:val="24"/>
          <w:szCs w:val="24"/>
        </w:rPr>
      </w:pPr>
    </w:p>
    <w:p w:rsidR="00070467" w:rsidRDefault="00070467" w:rsidP="00513F0D">
      <w:pPr>
        <w:jc w:val="both"/>
        <w:rPr>
          <w:rFonts w:ascii="Calibri" w:hAnsi="Calibri"/>
          <w:sz w:val="24"/>
          <w:szCs w:val="24"/>
        </w:rPr>
      </w:pPr>
    </w:p>
    <w:p w:rsidR="00070467" w:rsidRDefault="00070467" w:rsidP="00513F0D">
      <w:pPr>
        <w:jc w:val="both"/>
        <w:rPr>
          <w:rFonts w:ascii="Calibri" w:hAnsi="Calibri"/>
          <w:sz w:val="24"/>
          <w:szCs w:val="24"/>
        </w:rPr>
      </w:pPr>
    </w:p>
    <w:p w:rsidR="00070467" w:rsidRDefault="00070467" w:rsidP="00513F0D">
      <w:pPr>
        <w:jc w:val="both"/>
        <w:rPr>
          <w:rFonts w:ascii="Calibri" w:hAnsi="Calibri"/>
          <w:sz w:val="24"/>
          <w:szCs w:val="24"/>
        </w:rPr>
      </w:pPr>
    </w:p>
    <w:p w:rsidR="00070467" w:rsidRDefault="00070467" w:rsidP="00513F0D">
      <w:pPr>
        <w:jc w:val="both"/>
        <w:rPr>
          <w:rFonts w:ascii="Calibri" w:hAnsi="Calibri"/>
          <w:sz w:val="24"/>
          <w:szCs w:val="24"/>
        </w:rPr>
      </w:pPr>
    </w:p>
    <w:p w:rsidR="00070467" w:rsidRDefault="00070467" w:rsidP="00513F0D">
      <w:pPr>
        <w:jc w:val="both"/>
        <w:rPr>
          <w:rFonts w:ascii="Calibri" w:hAnsi="Calibri"/>
          <w:sz w:val="24"/>
          <w:szCs w:val="24"/>
          <w:vertAlign w:val="superscript"/>
        </w:rPr>
      </w:pPr>
    </w:p>
    <w:p w:rsidR="00070467" w:rsidRDefault="00070467" w:rsidP="00513F0D">
      <w:pPr>
        <w:jc w:val="both"/>
        <w:rPr>
          <w:rFonts w:ascii="Calibri" w:hAnsi="Calibri"/>
          <w:sz w:val="24"/>
          <w:szCs w:val="24"/>
        </w:rPr>
      </w:pPr>
    </w:p>
    <w:p w:rsidR="00DE4FC4" w:rsidRDefault="00DE4FC4" w:rsidP="00513F0D">
      <w:pPr>
        <w:jc w:val="both"/>
        <w:rPr>
          <w:rFonts w:ascii="Calibri" w:hAnsi="Calibri"/>
          <w:sz w:val="24"/>
          <w:szCs w:val="24"/>
        </w:rPr>
      </w:pPr>
    </w:p>
    <w:p w:rsidR="00513F0D" w:rsidRPr="009E7A89" w:rsidRDefault="00070467" w:rsidP="00513F0D">
      <w:pPr>
        <w:spacing w:after="0"/>
        <w:rPr>
          <w:rFonts w:ascii="Calibri" w:eastAsia="Times New Roman" w:hAnsi="Calibri" w:cs="Times New Roman"/>
          <w:b/>
          <w:bCs/>
          <w:color w:val="000000"/>
        </w:rPr>
      </w:pPr>
      <w:r>
        <w:rPr>
          <w:rFonts w:ascii="Calibri" w:eastAsia="Times New Roman" w:hAnsi="Calibri" w:cs="Times New Roman"/>
          <w:b/>
          <w:bCs/>
          <w:color w:val="000000"/>
        </w:rPr>
        <w:t>G</w:t>
      </w:r>
      <w:r w:rsidR="00513F0D" w:rsidRPr="009E7A89">
        <w:rPr>
          <w:rFonts w:ascii="Calibri" w:eastAsia="Times New Roman" w:hAnsi="Calibri" w:cs="Times New Roman"/>
          <w:b/>
          <w:bCs/>
          <w:color w:val="000000"/>
        </w:rPr>
        <w:t>raf 11. Vývoj počtu tištěných periodických titulů v ČR mezi lety 2000 a 2013</w:t>
      </w:r>
    </w:p>
    <w:p w:rsidR="00513F0D" w:rsidRPr="009E7A89" w:rsidRDefault="00513F0D" w:rsidP="00513F0D">
      <w:pPr>
        <w:rPr>
          <w:rFonts w:ascii="Calibri" w:hAnsi="Calibri"/>
          <w:sz w:val="24"/>
          <w:szCs w:val="24"/>
        </w:rPr>
      </w:pPr>
      <w:r w:rsidRPr="009E7A89">
        <w:rPr>
          <w:rFonts w:ascii="Calibri" w:hAnsi="Calibri"/>
          <w:noProof/>
        </w:rPr>
        <w:drawing>
          <wp:inline distT="0" distB="0" distL="0" distR="0">
            <wp:extent cx="5759355" cy="3193576"/>
            <wp:effectExtent l="0" t="0" r="0" b="0"/>
            <wp:docPr id="2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3F0D" w:rsidRDefault="00513F0D" w:rsidP="00513F0D">
      <w:pPr>
        <w:rPr>
          <w:rFonts w:ascii="Calibri" w:hAnsi="Calibri"/>
          <w:sz w:val="24"/>
          <w:szCs w:val="24"/>
        </w:rPr>
      </w:pPr>
    </w:p>
    <w:p w:rsidR="00070467" w:rsidRPr="009E7A89" w:rsidRDefault="00070467" w:rsidP="00513F0D">
      <w:pPr>
        <w:rPr>
          <w:rFonts w:ascii="Calibri" w:hAnsi="Calibri"/>
          <w:sz w:val="24"/>
          <w:szCs w:val="24"/>
        </w:rPr>
      </w:pPr>
    </w:p>
    <w:p w:rsidR="00513F0D" w:rsidRPr="009E7A89" w:rsidRDefault="00513F0D" w:rsidP="00543A57">
      <w:pPr>
        <w:ind w:firstLine="284"/>
        <w:jc w:val="both"/>
        <w:rPr>
          <w:rFonts w:ascii="Calibri" w:hAnsi="Calibri"/>
          <w:sz w:val="24"/>
          <w:szCs w:val="24"/>
        </w:rPr>
      </w:pPr>
      <w:r w:rsidRPr="009E7A89">
        <w:rPr>
          <w:rFonts w:ascii="Calibri" w:hAnsi="Calibri"/>
          <w:sz w:val="24"/>
          <w:szCs w:val="24"/>
        </w:rPr>
        <w:t xml:space="preserve">Podobně jako </w:t>
      </w:r>
      <w:r w:rsidR="00070467">
        <w:rPr>
          <w:rFonts w:ascii="Calibri" w:hAnsi="Calibri"/>
          <w:sz w:val="24"/>
          <w:szCs w:val="24"/>
        </w:rPr>
        <w:t xml:space="preserve">v případě </w:t>
      </w:r>
      <w:r w:rsidRPr="009E7A89">
        <w:rPr>
          <w:rFonts w:ascii="Calibri" w:hAnsi="Calibri"/>
          <w:sz w:val="24"/>
          <w:szCs w:val="24"/>
        </w:rPr>
        <w:t xml:space="preserve">periodických publikací </w:t>
      </w:r>
      <w:r w:rsidR="00070467">
        <w:rPr>
          <w:rFonts w:ascii="Calibri" w:hAnsi="Calibri"/>
          <w:sz w:val="24"/>
          <w:szCs w:val="24"/>
        </w:rPr>
        <w:t xml:space="preserve">i </w:t>
      </w:r>
      <w:r w:rsidRPr="009E7A89">
        <w:rPr>
          <w:rFonts w:ascii="Calibri" w:hAnsi="Calibri"/>
          <w:sz w:val="24"/>
          <w:szCs w:val="24"/>
        </w:rPr>
        <w:t xml:space="preserve">počty vydávaných tištěných </w:t>
      </w:r>
      <w:r w:rsidRPr="009E7A89">
        <w:rPr>
          <w:rFonts w:ascii="Calibri" w:hAnsi="Calibri"/>
          <w:b/>
          <w:sz w:val="24"/>
          <w:szCs w:val="24"/>
        </w:rPr>
        <w:t>neperiodických publikací</w:t>
      </w:r>
      <w:r w:rsidRPr="009E7A89">
        <w:rPr>
          <w:rFonts w:ascii="Calibri" w:hAnsi="Calibri"/>
          <w:sz w:val="24"/>
          <w:szCs w:val="24"/>
        </w:rPr>
        <w:t xml:space="preserve"> od roku 2000 výrazně vzrostly. Z celkového pohledu se do roku 2013 zvýšil počet tištěných neperiodických titulů o polovinu, přičemž počet beletristických titulů vzrostl o téměř 60 %. Souhrnná aktivita vydavatelů neperiodických publikací</w:t>
      </w:r>
      <w:r w:rsidR="00070467">
        <w:rPr>
          <w:rFonts w:ascii="Calibri" w:hAnsi="Calibri"/>
          <w:sz w:val="24"/>
          <w:szCs w:val="24"/>
        </w:rPr>
        <w:t xml:space="preserve"> se </w:t>
      </w:r>
      <w:r w:rsidRPr="009E7A89">
        <w:rPr>
          <w:rFonts w:ascii="Calibri" w:hAnsi="Calibri"/>
          <w:sz w:val="24"/>
          <w:szCs w:val="24"/>
        </w:rPr>
        <w:t>v celém období</w:t>
      </w:r>
      <w:r w:rsidR="00070467">
        <w:rPr>
          <w:rFonts w:ascii="Calibri" w:hAnsi="Calibri"/>
          <w:sz w:val="24"/>
          <w:szCs w:val="24"/>
        </w:rPr>
        <w:t xml:space="preserve"> nezvyšovala</w:t>
      </w:r>
      <w:r w:rsidRPr="009E7A89">
        <w:rPr>
          <w:rFonts w:ascii="Calibri" w:hAnsi="Calibri"/>
          <w:sz w:val="24"/>
          <w:szCs w:val="24"/>
        </w:rPr>
        <w:t xml:space="preserve"> srovnatelným tempem. V letech 2004 - 2005, podobně jako v letech 2009 – 2010 dokonce </w:t>
      </w:r>
      <w:r w:rsidR="00070467">
        <w:rPr>
          <w:rFonts w:ascii="Calibri" w:hAnsi="Calibri"/>
          <w:sz w:val="24"/>
          <w:szCs w:val="24"/>
        </w:rPr>
        <w:t>po</w:t>
      </w:r>
      <w:r w:rsidRPr="009E7A89">
        <w:rPr>
          <w:rFonts w:ascii="Calibri" w:hAnsi="Calibri"/>
          <w:sz w:val="24"/>
          <w:szCs w:val="24"/>
        </w:rPr>
        <w:t>klesala. Nejvyšší meziroční nárůst titulů zaznamenal trh s neperiodickými publikacemi v roce 2011, v</w:t>
      </w:r>
      <w:r w:rsidR="00070467">
        <w:rPr>
          <w:rFonts w:ascii="Calibri" w:hAnsi="Calibri"/>
          <w:sz w:val="24"/>
          <w:szCs w:val="24"/>
        </w:rPr>
        <w:t> </w:t>
      </w:r>
      <w:r w:rsidRPr="009E7A89">
        <w:rPr>
          <w:rFonts w:ascii="Calibri" w:hAnsi="Calibri"/>
          <w:sz w:val="24"/>
          <w:szCs w:val="24"/>
        </w:rPr>
        <w:t>němž</w:t>
      </w:r>
      <w:r w:rsidR="00070467">
        <w:rPr>
          <w:rFonts w:ascii="Calibri" w:hAnsi="Calibri"/>
          <w:sz w:val="24"/>
          <w:szCs w:val="24"/>
        </w:rPr>
        <w:t xml:space="preserve"> se</w:t>
      </w:r>
      <w:r w:rsidRPr="009E7A89">
        <w:rPr>
          <w:rFonts w:ascii="Calibri" w:hAnsi="Calibri"/>
          <w:sz w:val="24"/>
          <w:szCs w:val="24"/>
        </w:rPr>
        <w:t xml:space="preserve"> počet tištěných titulů ve srovnání s předcházejícím rokem mimořádně z</w:t>
      </w:r>
      <w:r w:rsidR="00070467">
        <w:rPr>
          <w:rFonts w:ascii="Calibri" w:hAnsi="Calibri"/>
          <w:sz w:val="24"/>
          <w:szCs w:val="24"/>
        </w:rPr>
        <w:t>výšil (</w:t>
      </w:r>
      <w:r w:rsidRPr="009E7A89">
        <w:rPr>
          <w:rFonts w:ascii="Calibri" w:hAnsi="Calibri"/>
          <w:sz w:val="24"/>
          <w:szCs w:val="24"/>
        </w:rPr>
        <w:t>o 11,3%</w:t>
      </w:r>
      <w:r w:rsidR="00070467">
        <w:rPr>
          <w:rFonts w:ascii="Calibri" w:hAnsi="Calibri"/>
          <w:sz w:val="24"/>
          <w:szCs w:val="24"/>
        </w:rPr>
        <w:t>)</w:t>
      </w:r>
      <w:r w:rsidRPr="009E7A89">
        <w:rPr>
          <w:rFonts w:ascii="Calibri" w:hAnsi="Calibri"/>
          <w:sz w:val="24"/>
          <w:szCs w:val="24"/>
        </w:rPr>
        <w:t xml:space="preserve">. V následujícím roce se počet vydávaných titulů propadl o 9,2%. Sledujeme-li vývoj z hlediska vybraných </w:t>
      </w:r>
      <w:proofErr w:type="spellStart"/>
      <w:r w:rsidRPr="009E7A89">
        <w:rPr>
          <w:rFonts w:ascii="Calibri" w:hAnsi="Calibri"/>
          <w:sz w:val="24"/>
          <w:szCs w:val="24"/>
        </w:rPr>
        <w:t>subkategorií</w:t>
      </w:r>
      <w:proofErr w:type="spellEnd"/>
      <w:r w:rsidRPr="009E7A89">
        <w:rPr>
          <w:rFonts w:ascii="Calibri" w:hAnsi="Calibri"/>
          <w:sz w:val="24"/>
          <w:szCs w:val="24"/>
        </w:rPr>
        <w:t xml:space="preserve">, je vhodné zmínit rok 2006, v němž bylo vydáno o téměř polovinu více titulů neperiodických publikací určených pro děti než v roce předcházejícím. </w:t>
      </w:r>
      <w:r w:rsidR="00DE6D15">
        <w:rPr>
          <w:rFonts w:ascii="Calibri" w:hAnsi="Calibri"/>
          <w:sz w:val="24"/>
          <w:szCs w:val="24"/>
        </w:rPr>
        <w:t>Počet titulů b</w:t>
      </w:r>
      <w:r w:rsidRPr="009E7A89">
        <w:rPr>
          <w:rFonts w:ascii="Calibri" w:hAnsi="Calibri"/>
          <w:sz w:val="24"/>
          <w:szCs w:val="24"/>
        </w:rPr>
        <w:t>eletristick</w:t>
      </w:r>
      <w:r w:rsidR="00DE6D15">
        <w:rPr>
          <w:rFonts w:ascii="Calibri" w:hAnsi="Calibri"/>
          <w:sz w:val="24"/>
          <w:szCs w:val="24"/>
        </w:rPr>
        <w:t>é</w:t>
      </w:r>
      <w:r w:rsidRPr="009E7A89">
        <w:rPr>
          <w:rFonts w:ascii="Calibri" w:hAnsi="Calibri"/>
          <w:sz w:val="24"/>
          <w:szCs w:val="24"/>
        </w:rPr>
        <w:t xml:space="preserve"> literatur</w:t>
      </w:r>
      <w:r w:rsidR="00DE6D15">
        <w:rPr>
          <w:rFonts w:ascii="Calibri" w:hAnsi="Calibri"/>
          <w:sz w:val="24"/>
          <w:szCs w:val="24"/>
        </w:rPr>
        <w:t>y</w:t>
      </w:r>
      <w:r w:rsidRPr="009E7A89">
        <w:rPr>
          <w:rFonts w:ascii="Calibri" w:hAnsi="Calibri"/>
          <w:sz w:val="24"/>
          <w:szCs w:val="24"/>
        </w:rPr>
        <w:t xml:space="preserve"> </w:t>
      </w:r>
      <w:r w:rsidR="00DE6D15">
        <w:rPr>
          <w:rFonts w:ascii="Calibri" w:hAnsi="Calibri"/>
          <w:sz w:val="24"/>
          <w:szCs w:val="24"/>
        </w:rPr>
        <w:t xml:space="preserve">se výrazně zvyšoval v letech </w:t>
      </w:r>
      <w:r w:rsidRPr="009E7A89">
        <w:rPr>
          <w:rFonts w:ascii="Calibri" w:hAnsi="Calibri"/>
          <w:sz w:val="24"/>
          <w:szCs w:val="24"/>
        </w:rPr>
        <w:t>2006</w:t>
      </w:r>
      <w:r w:rsidR="00DE6D15">
        <w:rPr>
          <w:rFonts w:ascii="Calibri" w:hAnsi="Calibri"/>
          <w:sz w:val="24"/>
          <w:szCs w:val="24"/>
        </w:rPr>
        <w:t xml:space="preserve"> (</w:t>
      </w:r>
      <w:r w:rsidRPr="009E7A89">
        <w:rPr>
          <w:rFonts w:ascii="Calibri" w:hAnsi="Calibri"/>
          <w:sz w:val="24"/>
          <w:szCs w:val="24"/>
        </w:rPr>
        <w:t>o 12,2%</w:t>
      </w:r>
      <w:r w:rsidR="00DE6D15">
        <w:rPr>
          <w:rFonts w:ascii="Calibri" w:hAnsi="Calibri"/>
          <w:sz w:val="24"/>
          <w:szCs w:val="24"/>
        </w:rPr>
        <w:t>),</w:t>
      </w:r>
      <w:r w:rsidRPr="009E7A89">
        <w:rPr>
          <w:rFonts w:ascii="Calibri" w:hAnsi="Calibri"/>
          <w:sz w:val="24"/>
          <w:szCs w:val="24"/>
        </w:rPr>
        <w:t xml:space="preserve"> 2011 (</w:t>
      </w:r>
      <w:r w:rsidR="00DE6D15">
        <w:rPr>
          <w:rFonts w:ascii="Calibri" w:hAnsi="Calibri"/>
          <w:sz w:val="24"/>
          <w:szCs w:val="24"/>
        </w:rPr>
        <w:t xml:space="preserve">o </w:t>
      </w:r>
      <w:r w:rsidRPr="009E7A89">
        <w:rPr>
          <w:rFonts w:ascii="Calibri" w:hAnsi="Calibri"/>
          <w:sz w:val="24"/>
          <w:szCs w:val="24"/>
        </w:rPr>
        <w:t>15,6%) a</w:t>
      </w:r>
      <w:r w:rsidR="00DE6D15">
        <w:rPr>
          <w:rFonts w:ascii="Calibri" w:hAnsi="Calibri"/>
          <w:sz w:val="24"/>
          <w:szCs w:val="24"/>
        </w:rPr>
        <w:t xml:space="preserve"> </w:t>
      </w:r>
      <w:r w:rsidRPr="009E7A89">
        <w:rPr>
          <w:rFonts w:ascii="Calibri" w:hAnsi="Calibri"/>
          <w:sz w:val="24"/>
          <w:szCs w:val="24"/>
        </w:rPr>
        <w:t>2013 (o 10,8%).</w:t>
      </w:r>
    </w:p>
    <w:p w:rsidR="00513F0D" w:rsidRDefault="00513F0D" w:rsidP="00513F0D">
      <w:pPr>
        <w:rPr>
          <w:rFonts w:ascii="Calibri" w:hAnsi="Calibri"/>
          <w:sz w:val="24"/>
          <w:szCs w:val="24"/>
        </w:rPr>
      </w:pPr>
    </w:p>
    <w:p w:rsidR="00513F0D" w:rsidRDefault="00513F0D" w:rsidP="00513F0D">
      <w:pPr>
        <w:rPr>
          <w:rFonts w:ascii="Calibri" w:hAnsi="Calibri"/>
          <w:sz w:val="24"/>
          <w:szCs w:val="24"/>
        </w:rPr>
      </w:pPr>
    </w:p>
    <w:p w:rsidR="00513F0D" w:rsidRDefault="00513F0D" w:rsidP="00513F0D">
      <w:pPr>
        <w:rPr>
          <w:rFonts w:ascii="Calibri" w:hAnsi="Calibri"/>
          <w:sz w:val="24"/>
          <w:szCs w:val="24"/>
        </w:rPr>
      </w:pPr>
    </w:p>
    <w:p w:rsidR="00A31EC7" w:rsidRDefault="00A31EC7" w:rsidP="00513F0D">
      <w:pPr>
        <w:rPr>
          <w:rFonts w:ascii="Calibri" w:hAnsi="Calibri"/>
          <w:sz w:val="24"/>
          <w:szCs w:val="24"/>
        </w:rPr>
      </w:pPr>
    </w:p>
    <w:p w:rsidR="00513F0D" w:rsidRDefault="00513F0D" w:rsidP="00513F0D">
      <w:pPr>
        <w:rPr>
          <w:rFonts w:ascii="Calibri" w:hAnsi="Calibri"/>
          <w:sz w:val="24"/>
          <w:szCs w:val="24"/>
        </w:rPr>
      </w:pPr>
    </w:p>
    <w:p w:rsidR="00513F0D" w:rsidRPr="009E7A89" w:rsidRDefault="00513F0D" w:rsidP="00513F0D">
      <w:pPr>
        <w:rPr>
          <w:rFonts w:ascii="Calibri" w:hAnsi="Calibri"/>
          <w:sz w:val="24"/>
          <w:szCs w:val="24"/>
        </w:rPr>
      </w:pPr>
    </w:p>
    <w:p w:rsidR="00513F0D" w:rsidRPr="009E7A89" w:rsidRDefault="00513F0D" w:rsidP="00513F0D">
      <w:pPr>
        <w:spacing w:after="0"/>
        <w:rPr>
          <w:rFonts w:ascii="Calibri" w:eastAsia="Times New Roman" w:hAnsi="Calibri" w:cs="Times New Roman"/>
          <w:b/>
          <w:bCs/>
          <w:color w:val="000000"/>
        </w:rPr>
      </w:pPr>
      <w:r w:rsidRPr="009E7A89">
        <w:rPr>
          <w:rFonts w:ascii="Calibri" w:eastAsia="Times New Roman" w:hAnsi="Calibri" w:cs="Times New Roman"/>
          <w:b/>
          <w:bCs/>
          <w:color w:val="000000"/>
        </w:rPr>
        <w:t>Graf 12. Vývoj počtu tištěných neperiodických publikací v ČR mezi lety 2000 a 2013 (v tis.)</w:t>
      </w:r>
    </w:p>
    <w:p w:rsidR="00513F0D" w:rsidRPr="009E7A89" w:rsidRDefault="00513F0D" w:rsidP="00513F0D">
      <w:pPr>
        <w:rPr>
          <w:rFonts w:ascii="Calibri" w:hAnsi="Calibri"/>
          <w:sz w:val="24"/>
          <w:szCs w:val="24"/>
        </w:rPr>
      </w:pPr>
      <w:r w:rsidRPr="009E7A89">
        <w:rPr>
          <w:rFonts w:ascii="Calibri" w:hAnsi="Calibri"/>
          <w:noProof/>
        </w:rPr>
        <w:drawing>
          <wp:inline distT="0" distB="0" distL="0" distR="0">
            <wp:extent cx="5762625" cy="3105150"/>
            <wp:effectExtent l="0" t="0" r="0" b="0"/>
            <wp:docPr id="27"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3F0D" w:rsidRDefault="00513F0D" w:rsidP="00513F0D">
      <w:pPr>
        <w:spacing w:after="0"/>
        <w:jc w:val="both"/>
        <w:rPr>
          <w:rFonts w:ascii="Calibri" w:hAnsi="Calibri"/>
          <w:sz w:val="24"/>
          <w:szCs w:val="24"/>
        </w:rPr>
      </w:pPr>
    </w:p>
    <w:p w:rsidR="001424B0" w:rsidRPr="001424B0" w:rsidRDefault="00543A57" w:rsidP="0074485E">
      <w:pPr>
        <w:spacing w:after="0"/>
        <w:jc w:val="both"/>
        <w:rPr>
          <w:rFonts w:ascii="Calibri" w:hAnsi="Calibri"/>
          <w:b/>
          <w:sz w:val="24"/>
          <w:szCs w:val="24"/>
        </w:rPr>
      </w:pPr>
      <w:r>
        <w:rPr>
          <w:rFonts w:ascii="Calibri" w:hAnsi="Calibri"/>
          <w:b/>
          <w:sz w:val="24"/>
          <w:szCs w:val="24"/>
        </w:rPr>
        <w:t>3.5.</w:t>
      </w:r>
      <w:r w:rsidR="0074485E">
        <w:rPr>
          <w:rFonts w:ascii="Calibri" w:hAnsi="Calibri"/>
          <w:b/>
          <w:sz w:val="24"/>
          <w:szCs w:val="24"/>
        </w:rPr>
        <w:tab/>
      </w:r>
      <w:r w:rsidR="001424B0" w:rsidRPr="001424B0">
        <w:rPr>
          <w:rFonts w:ascii="Calibri" w:hAnsi="Calibri"/>
          <w:b/>
          <w:sz w:val="24"/>
          <w:szCs w:val="24"/>
        </w:rPr>
        <w:t xml:space="preserve"> Stručné shrnutí hodnocení </w:t>
      </w:r>
      <w:r w:rsidR="00534E3F">
        <w:rPr>
          <w:rFonts w:ascii="Calibri" w:hAnsi="Calibri"/>
          <w:b/>
          <w:sz w:val="24"/>
          <w:szCs w:val="24"/>
        </w:rPr>
        <w:t xml:space="preserve">vývoje </w:t>
      </w:r>
      <w:r w:rsidR="001424B0" w:rsidRPr="001424B0">
        <w:rPr>
          <w:rFonts w:ascii="Calibri" w:hAnsi="Calibri"/>
          <w:b/>
          <w:sz w:val="24"/>
          <w:szCs w:val="24"/>
        </w:rPr>
        <w:t xml:space="preserve">naturálních dat </w:t>
      </w:r>
    </w:p>
    <w:p w:rsidR="0047605B" w:rsidRDefault="0047605B" w:rsidP="00513F0D">
      <w:pPr>
        <w:spacing w:after="0"/>
        <w:jc w:val="both"/>
        <w:rPr>
          <w:rFonts w:ascii="Calibri" w:hAnsi="Calibri"/>
          <w:sz w:val="24"/>
          <w:szCs w:val="24"/>
        </w:rPr>
      </w:pPr>
    </w:p>
    <w:p w:rsidR="00DE6D15" w:rsidRDefault="00DE6D15" w:rsidP="00C911B7">
      <w:pPr>
        <w:spacing w:after="120"/>
        <w:ind w:firstLine="284"/>
        <w:jc w:val="both"/>
        <w:rPr>
          <w:rFonts w:ascii="Calibri" w:hAnsi="Calibri"/>
          <w:sz w:val="24"/>
          <w:szCs w:val="24"/>
        </w:rPr>
      </w:pPr>
      <w:r w:rsidRPr="001424B0">
        <w:rPr>
          <w:rFonts w:ascii="Calibri" w:hAnsi="Calibri"/>
          <w:sz w:val="24"/>
          <w:szCs w:val="24"/>
        </w:rPr>
        <w:t>Závěrem lze k</w:t>
      </w:r>
      <w:r w:rsidR="00B63462" w:rsidRPr="001424B0">
        <w:rPr>
          <w:rFonts w:ascii="Calibri" w:hAnsi="Calibri"/>
          <w:sz w:val="24"/>
          <w:szCs w:val="24"/>
        </w:rPr>
        <w:t xml:space="preserve"> předcházejícímu </w:t>
      </w:r>
      <w:r w:rsidRPr="001424B0">
        <w:rPr>
          <w:rFonts w:ascii="Calibri" w:hAnsi="Calibri"/>
          <w:sz w:val="24"/>
          <w:szCs w:val="24"/>
        </w:rPr>
        <w:t>hodnocení vývoje naturálních ukazatelů</w:t>
      </w:r>
      <w:r>
        <w:rPr>
          <w:rFonts w:ascii="Calibri" w:hAnsi="Calibri"/>
          <w:sz w:val="24"/>
          <w:szCs w:val="24"/>
        </w:rPr>
        <w:t xml:space="preserve"> vybraných oblastí kultury uvést, že jejich časové řady naznačují některé významné změny popř. vývojové tendence. </w:t>
      </w:r>
    </w:p>
    <w:p w:rsidR="00DE6D15" w:rsidRDefault="00DE6D15" w:rsidP="00543A57">
      <w:pPr>
        <w:spacing w:after="0"/>
        <w:ind w:firstLine="284"/>
        <w:jc w:val="both"/>
        <w:rPr>
          <w:rFonts w:ascii="Calibri" w:hAnsi="Calibri"/>
          <w:sz w:val="24"/>
          <w:szCs w:val="24"/>
        </w:rPr>
      </w:pPr>
      <w:r>
        <w:rPr>
          <w:rFonts w:ascii="Calibri" w:hAnsi="Calibri"/>
          <w:sz w:val="24"/>
          <w:szCs w:val="24"/>
        </w:rPr>
        <w:t>V</w:t>
      </w:r>
      <w:r w:rsidR="005E61E7">
        <w:rPr>
          <w:rFonts w:ascii="Calibri" w:hAnsi="Calibri"/>
          <w:sz w:val="24"/>
          <w:szCs w:val="24"/>
        </w:rPr>
        <w:t xml:space="preserve"> </w:t>
      </w:r>
      <w:r>
        <w:rPr>
          <w:rFonts w:ascii="Calibri" w:hAnsi="Calibri"/>
          <w:sz w:val="24"/>
          <w:szCs w:val="24"/>
        </w:rPr>
        <w:t xml:space="preserve"> případě </w:t>
      </w:r>
      <w:r w:rsidR="005E61E7">
        <w:rPr>
          <w:rFonts w:ascii="Calibri" w:hAnsi="Calibri"/>
          <w:sz w:val="24"/>
          <w:szCs w:val="24"/>
        </w:rPr>
        <w:t>objektů kulturního dědictví jako jsou muzea, galerie a zpřístupněné památky, stabilně rostla nabídka služeb (počty objektů, výstav a expozic</w:t>
      </w:r>
      <w:r w:rsidR="00B63462">
        <w:rPr>
          <w:rFonts w:ascii="Calibri" w:hAnsi="Calibri"/>
          <w:sz w:val="24"/>
          <w:szCs w:val="24"/>
        </w:rPr>
        <w:t xml:space="preserve"> – viz.</w:t>
      </w:r>
      <w:r w:rsidR="00117A41">
        <w:rPr>
          <w:rFonts w:ascii="Calibri" w:hAnsi="Calibri"/>
          <w:sz w:val="24"/>
          <w:szCs w:val="24"/>
        </w:rPr>
        <w:t xml:space="preserve"> </w:t>
      </w:r>
      <w:r w:rsidR="00B63462">
        <w:rPr>
          <w:rFonts w:ascii="Calibri" w:hAnsi="Calibri"/>
          <w:sz w:val="24"/>
          <w:szCs w:val="24"/>
        </w:rPr>
        <w:t>tab.č.1</w:t>
      </w:r>
      <w:r w:rsidR="005E61E7">
        <w:rPr>
          <w:rFonts w:ascii="Calibri" w:hAnsi="Calibri"/>
          <w:sz w:val="24"/>
          <w:szCs w:val="24"/>
        </w:rPr>
        <w:t>).  Na straně poptávky – počet návštěv</w:t>
      </w:r>
      <w:r w:rsidR="00393F8A">
        <w:rPr>
          <w:rFonts w:ascii="Calibri" w:hAnsi="Calibri"/>
          <w:sz w:val="24"/>
          <w:szCs w:val="24"/>
        </w:rPr>
        <w:t xml:space="preserve"> -</w:t>
      </w:r>
      <w:r w:rsidR="005E61E7">
        <w:rPr>
          <w:rFonts w:ascii="Calibri" w:hAnsi="Calibri"/>
          <w:sz w:val="24"/>
          <w:szCs w:val="24"/>
        </w:rPr>
        <w:t xml:space="preserve"> se po počátečním vzestupu </w:t>
      </w:r>
      <w:r w:rsidR="00117A41">
        <w:rPr>
          <w:rFonts w:ascii="Calibri" w:hAnsi="Calibri"/>
          <w:sz w:val="24"/>
          <w:szCs w:val="24"/>
        </w:rPr>
        <w:t>prosazují tendence ke stagnaci.</w:t>
      </w:r>
    </w:p>
    <w:p w:rsidR="005E61E7" w:rsidRDefault="005E61E7" w:rsidP="00C911B7">
      <w:pPr>
        <w:spacing w:after="120"/>
        <w:ind w:firstLine="284"/>
        <w:jc w:val="both"/>
        <w:rPr>
          <w:rFonts w:ascii="Calibri" w:hAnsi="Calibri"/>
          <w:sz w:val="24"/>
          <w:szCs w:val="24"/>
        </w:rPr>
      </w:pPr>
      <w:r>
        <w:rPr>
          <w:rFonts w:ascii="Calibri" w:hAnsi="Calibri"/>
          <w:sz w:val="24"/>
          <w:szCs w:val="24"/>
        </w:rPr>
        <w:t>Nové technologie ovlivňují změnu ve struktuře činnosti knihoven. V posledním desetiletí klesá počet jejich čtenářů i výpůjček knih, roste však počet návštěv knihoven, které se stávají stále více místy vyhledávání informací na internetu a pořádání vzdělávacích a kulturních pořadů, výstav a</w:t>
      </w:r>
      <w:r w:rsidR="00117A41">
        <w:rPr>
          <w:rFonts w:ascii="Calibri" w:hAnsi="Calibri"/>
          <w:sz w:val="24"/>
          <w:szCs w:val="24"/>
        </w:rPr>
        <w:t>pod.</w:t>
      </w:r>
    </w:p>
    <w:p w:rsidR="001424B0" w:rsidRPr="009E7A89" w:rsidRDefault="005E61E7" w:rsidP="00C911B7">
      <w:pPr>
        <w:spacing w:after="120"/>
        <w:ind w:firstLine="284"/>
        <w:jc w:val="both"/>
        <w:rPr>
          <w:rFonts w:ascii="Calibri" w:hAnsi="Calibri"/>
          <w:sz w:val="24"/>
          <w:szCs w:val="24"/>
        </w:rPr>
      </w:pPr>
      <w:r>
        <w:rPr>
          <w:rFonts w:ascii="Calibri" w:hAnsi="Calibri"/>
          <w:sz w:val="24"/>
          <w:szCs w:val="24"/>
        </w:rPr>
        <w:t xml:space="preserve">V interpretačním umění zastoupeném divadelnictvím lze pozorovat vysokou dynamiku </w:t>
      </w:r>
      <w:r w:rsidR="007D7297">
        <w:rPr>
          <w:rFonts w:ascii="Calibri" w:hAnsi="Calibri"/>
          <w:sz w:val="24"/>
          <w:szCs w:val="24"/>
        </w:rPr>
        <w:t>na straně nabídky (růst počtu divadel a jejich představení). Zpočátku měla vzestupnou tendenci i poptávka (počet diváků), v posledních dvou letech však začala stagnovat. Současně v divadelnictví dochází ke změnám vlastnické struktury – klesá počet</w:t>
      </w:r>
      <w:r w:rsidR="001424B0">
        <w:rPr>
          <w:rFonts w:ascii="Calibri" w:hAnsi="Calibri"/>
          <w:sz w:val="24"/>
          <w:szCs w:val="24"/>
        </w:rPr>
        <w:t xml:space="preserve"> státních </w:t>
      </w:r>
      <w:r w:rsidR="007D7297">
        <w:rPr>
          <w:rFonts w:ascii="Calibri" w:hAnsi="Calibri"/>
          <w:sz w:val="24"/>
          <w:szCs w:val="24"/>
        </w:rPr>
        <w:t>scén a</w:t>
      </w:r>
      <w:r w:rsidR="001424B0">
        <w:rPr>
          <w:rFonts w:ascii="Calibri" w:hAnsi="Calibri"/>
          <w:sz w:val="24"/>
          <w:szCs w:val="24"/>
        </w:rPr>
        <w:t xml:space="preserve"> </w:t>
      </w:r>
      <w:r w:rsidR="007D7297">
        <w:rPr>
          <w:rFonts w:ascii="Calibri" w:hAnsi="Calibri"/>
          <w:sz w:val="24"/>
          <w:szCs w:val="24"/>
        </w:rPr>
        <w:t>naopak se</w:t>
      </w:r>
      <w:r w:rsidR="001424B0">
        <w:rPr>
          <w:rFonts w:ascii="Calibri" w:hAnsi="Calibri"/>
          <w:sz w:val="24"/>
          <w:szCs w:val="24"/>
        </w:rPr>
        <w:t xml:space="preserve"> </w:t>
      </w:r>
      <w:r w:rsidR="00543A57">
        <w:rPr>
          <w:rFonts w:ascii="Calibri" w:hAnsi="Calibri"/>
          <w:sz w:val="24"/>
          <w:szCs w:val="24"/>
        </w:rPr>
        <w:t>zvyšuje počet ostatních.</w:t>
      </w:r>
    </w:p>
    <w:p w:rsidR="00513F0D" w:rsidRPr="007D7297" w:rsidRDefault="007D7297" w:rsidP="00C911B7">
      <w:pPr>
        <w:spacing w:after="120"/>
        <w:ind w:firstLine="284"/>
        <w:jc w:val="both"/>
        <w:rPr>
          <w:sz w:val="24"/>
          <w:szCs w:val="24"/>
        </w:rPr>
      </w:pPr>
      <w:r w:rsidRPr="007D7297">
        <w:rPr>
          <w:sz w:val="24"/>
          <w:szCs w:val="24"/>
        </w:rPr>
        <w:t xml:space="preserve">V oblasti zastupující kulturní průmysly </w:t>
      </w:r>
      <w:r>
        <w:rPr>
          <w:sz w:val="24"/>
          <w:szCs w:val="24"/>
        </w:rPr>
        <w:t>– periodický tisk a neperiodické publikace – došlo v  krizovém období k poklesu vydávaných titulů periodik a ke stagnaci počtu ti</w:t>
      </w:r>
      <w:r w:rsidR="00543A57">
        <w:rPr>
          <w:sz w:val="24"/>
          <w:szCs w:val="24"/>
        </w:rPr>
        <w:t>tulů neperiodických publikací.</w:t>
      </w:r>
    </w:p>
    <w:p w:rsidR="00B11D7D" w:rsidRPr="009E7A89" w:rsidRDefault="00B11D7D" w:rsidP="00986FD4">
      <w:pPr>
        <w:spacing w:after="0"/>
        <w:jc w:val="both"/>
        <w:rPr>
          <w:rFonts w:ascii="Calibri" w:hAnsi="Calibri"/>
          <w:sz w:val="24"/>
          <w:szCs w:val="24"/>
        </w:rPr>
      </w:pPr>
    </w:p>
    <w:p w:rsidR="00B11D7D" w:rsidRDefault="00B11D7D" w:rsidP="00986FD4">
      <w:pPr>
        <w:spacing w:after="0"/>
        <w:jc w:val="both"/>
        <w:rPr>
          <w:rFonts w:ascii="Calibri" w:hAnsi="Calibri"/>
          <w:sz w:val="24"/>
          <w:szCs w:val="24"/>
        </w:rPr>
      </w:pPr>
    </w:p>
    <w:p w:rsidR="00DE4FC4" w:rsidRDefault="00DE4FC4" w:rsidP="00986FD4">
      <w:pPr>
        <w:spacing w:after="0"/>
        <w:jc w:val="both"/>
        <w:rPr>
          <w:rFonts w:ascii="Calibri" w:hAnsi="Calibri"/>
          <w:sz w:val="24"/>
          <w:szCs w:val="24"/>
        </w:rPr>
      </w:pPr>
    </w:p>
    <w:p w:rsidR="00B63462" w:rsidRPr="009E7A89" w:rsidRDefault="00B63462" w:rsidP="00B63462">
      <w:pPr>
        <w:jc w:val="both"/>
        <w:rPr>
          <w:rFonts w:ascii="Calibri" w:hAnsi="Calibri"/>
          <w:b/>
          <w:sz w:val="24"/>
          <w:szCs w:val="24"/>
        </w:rPr>
      </w:pPr>
      <w:r w:rsidRPr="009E7A89">
        <w:rPr>
          <w:rFonts w:ascii="Calibri" w:hAnsi="Calibri"/>
          <w:b/>
          <w:sz w:val="24"/>
          <w:szCs w:val="24"/>
        </w:rPr>
        <w:t>Tab. č.</w:t>
      </w:r>
      <w:r>
        <w:rPr>
          <w:rFonts w:ascii="Calibri" w:hAnsi="Calibri"/>
          <w:b/>
          <w:sz w:val="24"/>
          <w:szCs w:val="24"/>
        </w:rPr>
        <w:t xml:space="preserve"> 1</w:t>
      </w:r>
      <w:r w:rsidR="00494E7C">
        <w:rPr>
          <w:rFonts w:ascii="Calibri" w:hAnsi="Calibri"/>
          <w:b/>
          <w:sz w:val="24"/>
          <w:szCs w:val="24"/>
        </w:rPr>
        <w:t>.</w:t>
      </w:r>
      <w:r w:rsidR="00543A57">
        <w:rPr>
          <w:rFonts w:ascii="Calibri" w:hAnsi="Calibri"/>
          <w:b/>
          <w:sz w:val="24"/>
          <w:szCs w:val="24"/>
        </w:rPr>
        <w:t xml:space="preserve"> </w:t>
      </w:r>
      <w:r w:rsidRPr="009E7A89">
        <w:rPr>
          <w:rFonts w:ascii="Calibri" w:hAnsi="Calibri"/>
          <w:b/>
          <w:sz w:val="24"/>
          <w:szCs w:val="24"/>
        </w:rPr>
        <w:t xml:space="preserve">Vývoj </w:t>
      </w:r>
      <w:r>
        <w:rPr>
          <w:rFonts w:ascii="Calibri" w:hAnsi="Calibri"/>
          <w:b/>
          <w:sz w:val="24"/>
          <w:szCs w:val="24"/>
        </w:rPr>
        <w:t xml:space="preserve">vybraných </w:t>
      </w:r>
      <w:r w:rsidRPr="009E7A89">
        <w:rPr>
          <w:rFonts w:ascii="Calibri" w:hAnsi="Calibri"/>
          <w:b/>
          <w:sz w:val="24"/>
          <w:szCs w:val="24"/>
        </w:rPr>
        <w:t xml:space="preserve"> nabídkových ukazatelů </w:t>
      </w:r>
      <w:r>
        <w:rPr>
          <w:rFonts w:ascii="Calibri" w:hAnsi="Calibri"/>
          <w:b/>
          <w:sz w:val="24"/>
          <w:szCs w:val="24"/>
        </w:rPr>
        <w:t>tradiční kultury</w:t>
      </w:r>
    </w:p>
    <w:tbl>
      <w:tblPr>
        <w:tblW w:w="0" w:type="auto"/>
        <w:jc w:val="center"/>
        <w:tblInd w:w="51" w:type="dxa"/>
        <w:tblCellMar>
          <w:left w:w="70" w:type="dxa"/>
          <w:right w:w="70" w:type="dxa"/>
        </w:tblCellMar>
        <w:tblLook w:val="04A0"/>
      </w:tblPr>
      <w:tblGrid>
        <w:gridCol w:w="2880"/>
        <w:gridCol w:w="993"/>
        <w:gridCol w:w="850"/>
        <w:gridCol w:w="992"/>
        <w:gridCol w:w="1134"/>
        <w:gridCol w:w="1134"/>
        <w:gridCol w:w="1178"/>
      </w:tblGrid>
      <w:tr w:rsidR="00B63462" w:rsidRPr="003C7F9A" w:rsidTr="00572E12">
        <w:trPr>
          <w:trHeight w:val="1032"/>
          <w:jc w:val="center"/>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UKAZATEL</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w:t>
            </w:r>
            <w:r>
              <w:rPr>
                <w:rFonts w:ascii="Calibri" w:eastAsia="Times New Roman" w:hAnsi="Calibri" w:cs="Arial"/>
                <w:b/>
                <w:color w:val="000000"/>
                <w:sz w:val="20"/>
                <w:szCs w:val="20"/>
              </w:rPr>
              <w:t>0</w:t>
            </w:r>
            <w:r w:rsidRPr="003C7F9A">
              <w:rPr>
                <w:rFonts w:ascii="Calibri" w:eastAsia="Times New Roman" w:hAnsi="Calibri" w:cs="Arial"/>
                <w:b/>
                <w:color w:val="000000"/>
                <w:sz w:val="20"/>
                <w:szCs w:val="20"/>
              </w:rPr>
              <w:t>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w:t>
            </w:r>
            <w:r>
              <w:rPr>
                <w:rFonts w:ascii="Calibri" w:eastAsia="Times New Roman" w:hAnsi="Calibri" w:cs="Arial"/>
                <w:b/>
                <w:color w:val="000000"/>
                <w:sz w:val="20"/>
                <w:szCs w:val="20"/>
              </w:rPr>
              <w:t>07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201</w:t>
            </w:r>
            <w:r>
              <w:rPr>
                <w:rFonts w:ascii="Calibri" w:eastAsia="Times New Roman" w:hAnsi="Calibri" w:cs="Arial"/>
                <w:b/>
                <w:color w:val="000000"/>
                <w:sz w:val="20"/>
                <w:szCs w:val="20"/>
              </w:rPr>
              <w:t>3</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Index 20</w:t>
            </w:r>
            <w:r>
              <w:rPr>
                <w:rFonts w:ascii="Calibri" w:eastAsia="Times New Roman" w:hAnsi="Calibri" w:cs="Arial"/>
                <w:b/>
                <w:color w:val="000000"/>
                <w:sz w:val="20"/>
                <w:szCs w:val="20"/>
              </w:rPr>
              <w:t>07</w:t>
            </w:r>
            <w:r w:rsidRPr="003C7F9A">
              <w:rPr>
                <w:rFonts w:ascii="Calibri" w:eastAsia="Times New Roman" w:hAnsi="Calibri" w:cs="Arial"/>
                <w:b/>
                <w:color w:val="000000"/>
                <w:sz w:val="20"/>
                <w:szCs w:val="20"/>
              </w:rPr>
              <w:t>/</w:t>
            </w:r>
            <w:r>
              <w:rPr>
                <w:rFonts w:ascii="Calibri" w:eastAsia="Times New Roman" w:hAnsi="Calibri" w:cs="Arial"/>
                <w:b/>
                <w:color w:val="000000"/>
                <w:sz w:val="20"/>
                <w:szCs w:val="20"/>
              </w:rPr>
              <w:t>200</w:t>
            </w:r>
            <w:r w:rsidRPr="003C7F9A">
              <w:rPr>
                <w:rFonts w:ascii="Calibri" w:eastAsia="Times New Roman" w:hAnsi="Calibri" w:cs="Arial"/>
                <w:b/>
                <w:color w:val="000000"/>
                <w:sz w:val="20"/>
                <w:szCs w:val="20"/>
              </w:rPr>
              <w:t>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 xml:space="preserve">   Index 20</w:t>
            </w:r>
            <w:r>
              <w:rPr>
                <w:rFonts w:ascii="Calibri" w:eastAsia="Times New Roman" w:hAnsi="Calibri" w:cs="Arial"/>
                <w:b/>
                <w:color w:val="000000"/>
                <w:sz w:val="20"/>
                <w:szCs w:val="20"/>
              </w:rPr>
              <w:t>13</w:t>
            </w:r>
            <w:r w:rsidRPr="003C7F9A">
              <w:rPr>
                <w:rFonts w:ascii="Calibri" w:eastAsia="Times New Roman" w:hAnsi="Calibri" w:cs="Arial"/>
                <w:b/>
                <w:color w:val="000000"/>
                <w:sz w:val="20"/>
                <w:szCs w:val="20"/>
              </w:rPr>
              <w:t>/</w:t>
            </w:r>
            <w:r>
              <w:rPr>
                <w:rFonts w:ascii="Calibri" w:eastAsia="Times New Roman" w:hAnsi="Calibri" w:cs="Arial"/>
                <w:b/>
                <w:color w:val="000000"/>
                <w:sz w:val="20"/>
                <w:szCs w:val="20"/>
              </w:rPr>
              <w:t>2007</w:t>
            </w:r>
          </w:p>
        </w:tc>
        <w:tc>
          <w:tcPr>
            <w:tcW w:w="1178" w:type="dxa"/>
            <w:tcBorders>
              <w:top w:val="single" w:sz="8" w:space="0" w:color="auto"/>
              <w:left w:val="nil"/>
              <w:bottom w:val="single" w:sz="8" w:space="0" w:color="auto"/>
              <w:right w:val="single" w:sz="8" w:space="0" w:color="auto"/>
            </w:tcBorders>
            <w:shd w:val="clear" w:color="auto" w:fill="auto"/>
            <w:vAlign w:val="center"/>
            <w:hideMark/>
          </w:tcPr>
          <w:p w:rsidR="00B63462" w:rsidRPr="003C7F9A" w:rsidRDefault="00B63462"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 xml:space="preserve">  Index 201</w:t>
            </w:r>
            <w:r>
              <w:rPr>
                <w:rFonts w:ascii="Calibri" w:eastAsia="Times New Roman" w:hAnsi="Calibri" w:cs="Arial"/>
                <w:b/>
                <w:color w:val="000000"/>
                <w:sz w:val="20"/>
                <w:szCs w:val="20"/>
              </w:rPr>
              <w:t>3</w:t>
            </w:r>
            <w:r w:rsidRPr="003C7F9A">
              <w:rPr>
                <w:rFonts w:ascii="Calibri" w:eastAsia="Times New Roman" w:hAnsi="Calibri" w:cs="Arial"/>
                <w:b/>
                <w:color w:val="000000"/>
                <w:sz w:val="20"/>
                <w:szCs w:val="20"/>
              </w:rPr>
              <w:t>/</w:t>
            </w:r>
            <w:r>
              <w:rPr>
                <w:rFonts w:ascii="Calibri" w:eastAsia="Times New Roman" w:hAnsi="Calibri" w:cs="Arial"/>
                <w:b/>
                <w:color w:val="000000"/>
                <w:sz w:val="20"/>
                <w:szCs w:val="20"/>
              </w:rPr>
              <w:t>2000</w:t>
            </w:r>
          </w:p>
        </w:tc>
      </w:tr>
      <w:tr w:rsidR="00B63462" w:rsidRPr="003C7F9A" w:rsidTr="00572E12">
        <w:trPr>
          <w:trHeight w:val="540"/>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muzeí, galerií a památníků</w:t>
            </w:r>
            <w:r w:rsidRPr="003C7F9A">
              <w:rPr>
                <w:rFonts w:ascii="Calibri" w:eastAsia="Times New Roman" w:hAnsi="Calibri" w:cs="Arial"/>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440</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487</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512</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05</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16</w:t>
            </w:r>
          </w:p>
        </w:tc>
      </w:tr>
      <w:tr w:rsidR="00B63462" w:rsidRPr="003C7F9A" w:rsidTr="00572E12">
        <w:trPr>
          <w:trHeight w:val="578"/>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expozic a výstav</w:t>
            </w:r>
            <w:r w:rsidRPr="003C7F9A">
              <w:rPr>
                <w:rFonts w:ascii="Calibri" w:eastAsia="Times New Roman" w:hAnsi="Calibri" w:cs="Arial"/>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4 777</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5 640</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6 056</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w:t>
            </w:r>
            <w:r>
              <w:rPr>
                <w:rFonts w:ascii="Calibri" w:eastAsia="Times New Roman" w:hAnsi="Calibri" w:cs="Arial"/>
                <w:color w:val="000000"/>
                <w:sz w:val="20"/>
                <w:szCs w:val="20"/>
              </w:rPr>
              <w:t>7</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27</w:t>
            </w:r>
          </w:p>
        </w:tc>
      </w:tr>
      <w:tr w:rsidR="00B63462" w:rsidRPr="003C7F9A" w:rsidTr="00572E12">
        <w:trPr>
          <w:trHeight w:val="552"/>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knihoven</w:t>
            </w:r>
            <w:r w:rsidRPr="003C7F9A">
              <w:rPr>
                <w:rFonts w:ascii="Calibri" w:eastAsia="Times New Roman" w:hAnsi="Calibri" w:cs="Arial"/>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6 019</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5 533</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5 381</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w:t>
            </w:r>
            <w:r>
              <w:rPr>
                <w:rFonts w:ascii="Calibri" w:eastAsia="Times New Roman" w:hAnsi="Calibri" w:cs="Arial"/>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0</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97</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w:t>
            </w:r>
            <w:r>
              <w:rPr>
                <w:rFonts w:ascii="Calibri" w:eastAsia="Times New Roman" w:hAnsi="Calibri" w:cs="Arial"/>
                <w:color w:val="000000"/>
                <w:sz w:val="20"/>
                <w:szCs w:val="20"/>
              </w:rPr>
              <w:t>89</w:t>
            </w:r>
          </w:p>
        </w:tc>
      </w:tr>
      <w:tr w:rsidR="00B63462" w:rsidRPr="003C7F9A" w:rsidTr="00572E12">
        <w:trPr>
          <w:trHeight w:val="578"/>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PC pro návštěvníky</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1 977</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10 319</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11 806</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1,14</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w:t>
            </w:r>
            <w:r w:rsidRPr="003C7F9A">
              <w:rPr>
                <w:rFonts w:ascii="Calibri" w:eastAsia="Times New Roman" w:hAnsi="Calibri" w:cs="Arial"/>
                <w:color w:val="000000"/>
                <w:sz w:val="20"/>
                <w:szCs w:val="20"/>
              </w:rPr>
              <w:t>,97</w:t>
            </w:r>
          </w:p>
        </w:tc>
      </w:tr>
      <w:tr w:rsidR="00B63462" w:rsidRPr="003C7F9A" w:rsidTr="00572E12">
        <w:trPr>
          <w:trHeight w:val="563"/>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PC napojených na internet</w:t>
            </w:r>
            <w:r w:rsidRPr="003C7F9A">
              <w:rPr>
                <w:rFonts w:ascii="Calibri" w:eastAsia="Times New Roman" w:hAnsi="Calibri" w:cs="Arial"/>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1 111</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9 160</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10 776</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8</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2</w:t>
            </w:r>
            <w:r w:rsidRPr="003C7F9A">
              <w:rPr>
                <w:rFonts w:ascii="Calibri" w:eastAsia="Times New Roman" w:hAnsi="Calibri" w:cs="Arial"/>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18</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9</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70</w:t>
            </w:r>
          </w:p>
        </w:tc>
      </w:tr>
      <w:tr w:rsidR="00B63462" w:rsidRPr="003C7F9A" w:rsidTr="00572E12">
        <w:trPr>
          <w:trHeight w:val="600"/>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divadel (bez stagion)</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118</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130</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152</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w:t>
            </w:r>
            <w:r>
              <w:rPr>
                <w:rFonts w:ascii="Calibri" w:eastAsia="Times New Roman" w:hAnsi="Calibri"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w:t>
            </w:r>
            <w:r>
              <w:rPr>
                <w:rFonts w:ascii="Calibri" w:eastAsia="Times New Roman" w:hAnsi="Calibri" w:cs="Arial"/>
                <w:color w:val="000000"/>
                <w:sz w:val="20"/>
                <w:szCs w:val="20"/>
              </w:rPr>
              <w:t>17</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1,2</w:t>
            </w:r>
            <w:r>
              <w:rPr>
                <w:rFonts w:ascii="Calibri" w:eastAsia="Times New Roman" w:hAnsi="Calibri" w:cs="Arial"/>
                <w:color w:val="000000"/>
                <w:sz w:val="20"/>
                <w:szCs w:val="20"/>
              </w:rPr>
              <w:t>9</w:t>
            </w:r>
          </w:p>
        </w:tc>
      </w:tr>
      <w:tr w:rsidR="00B63462" w:rsidRPr="003C7F9A" w:rsidTr="00572E12">
        <w:trPr>
          <w:trHeight w:val="552"/>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stálých scén</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121</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144</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174</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21</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44</w:t>
            </w:r>
          </w:p>
        </w:tc>
      </w:tr>
      <w:tr w:rsidR="00B63462" w:rsidRPr="003C7F9A" w:rsidTr="00572E12">
        <w:trPr>
          <w:trHeight w:val="563"/>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sedadel stálých scén</w:t>
            </w:r>
            <w:r w:rsidRPr="003C7F9A">
              <w:rPr>
                <w:rFonts w:ascii="Calibri" w:eastAsia="Times New Roman" w:hAnsi="Calibri" w:cs="Arial"/>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30 233</w:t>
            </w:r>
          </w:p>
        </w:tc>
        <w:tc>
          <w:tcPr>
            <w:tcW w:w="850"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35 796</w:t>
            </w:r>
          </w:p>
        </w:tc>
        <w:tc>
          <w:tcPr>
            <w:tcW w:w="992"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39 616</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1,18</w:t>
            </w:r>
          </w:p>
        </w:tc>
        <w:tc>
          <w:tcPr>
            <w:tcW w:w="1134" w:type="dxa"/>
            <w:tcBorders>
              <w:top w:val="nil"/>
              <w:left w:val="nil"/>
              <w:bottom w:val="single" w:sz="4"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w:t>
            </w:r>
            <w:r>
              <w:rPr>
                <w:rFonts w:ascii="Calibri" w:eastAsia="Times New Roman" w:hAnsi="Calibri" w:cs="Arial"/>
                <w:color w:val="000000"/>
                <w:sz w:val="20"/>
                <w:szCs w:val="20"/>
              </w:rPr>
              <w:t>11</w:t>
            </w:r>
          </w:p>
        </w:tc>
        <w:tc>
          <w:tcPr>
            <w:tcW w:w="1178" w:type="dxa"/>
            <w:tcBorders>
              <w:top w:val="nil"/>
              <w:left w:val="nil"/>
              <w:bottom w:val="single" w:sz="4"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1,31</w:t>
            </w:r>
          </w:p>
        </w:tc>
      </w:tr>
      <w:tr w:rsidR="00B63462" w:rsidRPr="003C7F9A" w:rsidTr="00572E12">
        <w:trPr>
          <w:trHeight w:val="589"/>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rsidR="00B63462" w:rsidRPr="003C7F9A" w:rsidRDefault="00B63462" w:rsidP="00572E12">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Počet představení divadel v ČR</w:t>
            </w:r>
            <w:r w:rsidRPr="003C7F9A">
              <w:rPr>
                <w:rFonts w:ascii="Calibri" w:eastAsia="Times New Roman" w:hAnsi="Calibri" w:cs="Arial"/>
                <w:color w:val="000000"/>
                <w:sz w:val="20"/>
                <w:szCs w:val="20"/>
              </w:rPr>
              <w:t xml:space="preserve"> </w:t>
            </w:r>
          </w:p>
        </w:tc>
        <w:tc>
          <w:tcPr>
            <w:tcW w:w="993" w:type="dxa"/>
            <w:tcBorders>
              <w:top w:val="nil"/>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21 997</w:t>
            </w:r>
          </w:p>
        </w:tc>
        <w:tc>
          <w:tcPr>
            <w:tcW w:w="850" w:type="dxa"/>
            <w:tcBorders>
              <w:top w:val="nil"/>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25 785</w:t>
            </w:r>
          </w:p>
        </w:tc>
        <w:tc>
          <w:tcPr>
            <w:tcW w:w="992" w:type="dxa"/>
            <w:tcBorders>
              <w:top w:val="nil"/>
              <w:left w:val="nil"/>
              <w:bottom w:val="single" w:sz="8"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27 500</w:t>
            </w:r>
          </w:p>
        </w:tc>
        <w:tc>
          <w:tcPr>
            <w:tcW w:w="1134" w:type="dxa"/>
            <w:tcBorders>
              <w:top w:val="nil"/>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1,17</w:t>
            </w:r>
          </w:p>
        </w:tc>
        <w:tc>
          <w:tcPr>
            <w:tcW w:w="1134" w:type="dxa"/>
            <w:tcBorders>
              <w:top w:val="nil"/>
              <w:left w:val="nil"/>
              <w:bottom w:val="single" w:sz="8" w:space="0" w:color="auto"/>
              <w:right w:val="single" w:sz="4"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w:t>
            </w:r>
            <w:r>
              <w:rPr>
                <w:rFonts w:ascii="Calibri" w:eastAsia="Times New Roman" w:hAnsi="Calibri" w:cs="Arial"/>
                <w:color w:val="000000"/>
                <w:sz w:val="20"/>
                <w:szCs w:val="20"/>
              </w:rPr>
              <w:t>7</w:t>
            </w:r>
          </w:p>
        </w:tc>
        <w:tc>
          <w:tcPr>
            <w:tcW w:w="1178" w:type="dxa"/>
            <w:tcBorders>
              <w:top w:val="nil"/>
              <w:left w:val="nil"/>
              <w:bottom w:val="single" w:sz="8" w:space="0" w:color="auto"/>
              <w:right w:val="single" w:sz="8" w:space="0" w:color="auto"/>
            </w:tcBorders>
            <w:shd w:val="clear" w:color="auto" w:fill="auto"/>
            <w:noWrap/>
            <w:vAlign w:val="center"/>
            <w:hideMark/>
          </w:tcPr>
          <w:p w:rsidR="00B63462" w:rsidRPr="003C7F9A" w:rsidRDefault="00B63462" w:rsidP="00572E12">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Pr="003C7F9A">
              <w:rPr>
                <w:rFonts w:ascii="Calibri" w:eastAsia="Times New Roman" w:hAnsi="Calibri" w:cs="Arial"/>
                <w:color w:val="000000"/>
                <w:sz w:val="20"/>
                <w:szCs w:val="20"/>
              </w:rPr>
              <w:t>,</w:t>
            </w:r>
            <w:r>
              <w:rPr>
                <w:rFonts w:ascii="Calibri" w:eastAsia="Times New Roman" w:hAnsi="Calibri" w:cs="Arial"/>
                <w:color w:val="000000"/>
                <w:sz w:val="20"/>
                <w:szCs w:val="20"/>
              </w:rPr>
              <w:t>25</w:t>
            </w:r>
          </w:p>
        </w:tc>
      </w:tr>
    </w:tbl>
    <w:p w:rsidR="00B63462" w:rsidRDefault="00B63462" w:rsidP="00986FD4">
      <w:pPr>
        <w:spacing w:after="0"/>
        <w:jc w:val="both"/>
        <w:rPr>
          <w:rFonts w:ascii="Calibri" w:hAnsi="Calibri"/>
          <w:sz w:val="24"/>
          <w:szCs w:val="24"/>
        </w:rPr>
      </w:pPr>
    </w:p>
    <w:p w:rsidR="00B63462" w:rsidRDefault="00B63462" w:rsidP="00986FD4">
      <w:pPr>
        <w:spacing w:after="0"/>
        <w:jc w:val="both"/>
        <w:rPr>
          <w:rFonts w:ascii="Calibri" w:hAnsi="Calibri"/>
          <w:sz w:val="24"/>
          <w:szCs w:val="24"/>
        </w:rPr>
      </w:pPr>
    </w:p>
    <w:p w:rsidR="00B63462" w:rsidRPr="009E7A89" w:rsidRDefault="00B63462" w:rsidP="00986FD4">
      <w:pPr>
        <w:spacing w:after="0"/>
        <w:jc w:val="both"/>
        <w:rPr>
          <w:rFonts w:ascii="Calibri" w:hAnsi="Calibri"/>
          <w:sz w:val="24"/>
          <w:szCs w:val="24"/>
        </w:rPr>
      </w:pPr>
    </w:p>
    <w:p w:rsidR="00AD4CCF" w:rsidRPr="003A4310" w:rsidRDefault="00E529C5" w:rsidP="00543A57">
      <w:pPr>
        <w:spacing w:after="0"/>
        <w:ind w:firstLine="284"/>
        <w:jc w:val="both"/>
        <w:rPr>
          <w:rFonts w:ascii="Calibri" w:hAnsi="Calibri"/>
          <w:b/>
          <w:sz w:val="28"/>
          <w:szCs w:val="28"/>
        </w:rPr>
      </w:pPr>
      <w:r w:rsidRPr="003A4310">
        <w:rPr>
          <w:rFonts w:ascii="Calibri" w:hAnsi="Calibri"/>
          <w:b/>
          <w:sz w:val="28"/>
          <w:szCs w:val="28"/>
        </w:rPr>
        <w:t>4</w:t>
      </w:r>
      <w:r w:rsidR="00AD4CCF" w:rsidRPr="003A4310">
        <w:rPr>
          <w:rFonts w:ascii="Calibri" w:hAnsi="Calibri"/>
          <w:b/>
          <w:sz w:val="28"/>
          <w:szCs w:val="28"/>
        </w:rPr>
        <w:t>.  Vývoj kultury z pohledu hodnotových údajů</w:t>
      </w:r>
    </w:p>
    <w:p w:rsidR="00AD4CCF" w:rsidRPr="009E7A89" w:rsidRDefault="00AD4CCF" w:rsidP="00986FD4">
      <w:pPr>
        <w:spacing w:after="0"/>
        <w:jc w:val="both"/>
        <w:rPr>
          <w:rFonts w:ascii="Calibri" w:hAnsi="Calibri"/>
          <w:b/>
          <w:sz w:val="24"/>
          <w:szCs w:val="24"/>
        </w:rPr>
      </w:pPr>
      <w:r w:rsidRPr="009E7A89">
        <w:rPr>
          <w:rFonts w:ascii="Calibri" w:hAnsi="Calibri"/>
          <w:b/>
          <w:sz w:val="24"/>
          <w:szCs w:val="24"/>
        </w:rPr>
        <w:t xml:space="preserve"> </w:t>
      </w:r>
    </w:p>
    <w:p w:rsidR="00AD4CCF" w:rsidRPr="009E7A89" w:rsidRDefault="00AD4CCF" w:rsidP="00C911B7">
      <w:pPr>
        <w:spacing w:after="120"/>
        <w:ind w:firstLine="284"/>
        <w:jc w:val="both"/>
        <w:rPr>
          <w:rFonts w:ascii="Calibri" w:hAnsi="Calibri"/>
          <w:sz w:val="24"/>
          <w:szCs w:val="24"/>
        </w:rPr>
      </w:pPr>
      <w:r w:rsidRPr="009E7A89">
        <w:rPr>
          <w:rFonts w:ascii="Calibri" w:hAnsi="Calibri"/>
          <w:sz w:val="24"/>
          <w:szCs w:val="24"/>
        </w:rPr>
        <w:t>Ekonomický přístup k  </w:t>
      </w:r>
      <w:r w:rsidRPr="00B63462">
        <w:rPr>
          <w:rFonts w:ascii="Calibri" w:hAnsi="Calibri"/>
          <w:b/>
          <w:sz w:val="24"/>
          <w:szCs w:val="24"/>
        </w:rPr>
        <w:t>hodnocení kultury jako celku</w:t>
      </w:r>
      <w:r w:rsidRPr="009E7A89">
        <w:rPr>
          <w:rFonts w:ascii="Calibri" w:hAnsi="Calibri"/>
          <w:sz w:val="24"/>
          <w:szCs w:val="24"/>
        </w:rPr>
        <w:t xml:space="preserve"> je poměrně nový. V souladu s</w:t>
      </w:r>
      <w:r w:rsidR="00F6663D">
        <w:rPr>
          <w:rFonts w:ascii="Calibri" w:hAnsi="Calibri"/>
          <w:sz w:val="24"/>
          <w:szCs w:val="24"/>
        </w:rPr>
        <w:t> </w:t>
      </w:r>
      <w:r w:rsidRPr="009E7A89">
        <w:rPr>
          <w:rFonts w:ascii="Calibri" w:hAnsi="Calibri"/>
          <w:sz w:val="24"/>
          <w:szCs w:val="24"/>
        </w:rPr>
        <w:t>úkolem</w:t>
      </w:r>
      <w:r w:rsidR="00F6663D">
        <w:rPr>
          <w:rFonts w:ascii="Calibri" w:hAnsi="Calibri"/>
          <w:sz w:val="24"/>
          <w:szCs w:val="24"/>
        </w:rPr>
        <w:t xml:space="preserve"> </w:t>
      </w:r>
      <w:r w:rsidRPr="009E7A89">
        <w:rPr>
          <w:rFonts w:ascii="Calibri" w:hAnsi="Calibri"/>
          <w:sz w:val="24"/>
          <w:szCs w:val="24"/>
        </w:rPr>
        <w:t>vyplývajícím z usnesení vlády ČR č.</w:t>
      </w:r>
      <w:r w:rsidR="00EC2E53">
        <w:rPr>
          <w:rFonts w:ascii="Calibri" w:hAnsi="Calibri"/>
          <w:sz w:val="24"/>
          <w:szCs w:val="24"/>
        </w:rPr>
        <w:t xml:space="preserve"> </w:t>
      </w:r>
      <w:r w:rsidRPr="009E7A89">
        <w:rPr>
          <w:rFonts w:ascii="Calibri" w:hAnsi="Calibri"/>
          <w:sz w:val="24"/>
          <w:szCs w:val="24"/>
        </w:rPr>
        <w:t>1452 z r. 2008 o Státní kulturní politice na léta 2009 – 2014 se poprv</w:t>
      </w:r>
      <w:r w:rsidR="00D21D3B">
        <w:rPr>
          <w:rFonts w:ascii="Calibri" w:hAnsi="Calibri"/>
          <w:sz w:val="24"/>
          <w:szCs w:val="24"/>
        </w:rPr>
        <w:t>é</w:t>
      </w:r>
      <w:r w:rsidRPr="009E7A89">
        <w:rPr>
          <w:rFonts w:ascii="Calibri" w:hAnsi="Calibri"/>
          <w:sz w:val="24"/>
          <w:szCs w:val="24"/>
        </w:rPr>
        <w:t xml:space="preserve"> začal (za referenční rok 2009) zpracovávat tzv. satelitní účet kultur</w:t>
      </w:r>
      <w:r w:rsidR="00117A41">
        <w:rPr>
          <w:rFonts w:ascii="Calibri" w:hAnsi="Calibri"/>
          <w:sz w:val="24"/>
          <w:szCs w:val="24"/>
        </w:rPr>
        <w:t xml:space="preserve">y.  V  této </w:t>
      </w:r>
      <w:r w:rsidRPr="009E7A89">
        <w:rPr>
          <w:rFonts w:ascii="Calibri" w:hAnsi="Calibri"/>
          <w:sz w:val="24"/>
          <w:szCs w:val="24"/>
        </w:rPr>
        <w:t>souvislosti byla šetření KUL</w:t>
      </w:r>
      <w:r w:rsidR="00543A57">
        <w:rPr>
          <w:rFonts w:ascii="Calibri" w:hAnsi="Calibri"/>
          <w:sz w:val="24"/>
          <w:szCs w:val="24"/>
        </w:rPr>
        <w:t xml:space="preserve">T (NIPOS i ČSÚ) obohacena </w:t>
      </w:r>
      <w:r w:rsidRPr="009E7A89">
        <w:rPr>
          <w:rFonts w:ascii="Calibri" w:hAnsi="Calibri"/>
          <w:sz w:val="24"/>
          <w:szCs w:val="24"/>
        </w:rPr>
        <w:t xml:space="preserve">o potřebné ekonomické ukazatele.  Od počátku se ukazovalo problematickým jasné vymezení sektoru kultury. Prvý pokus vztahující se k referenčnímu roku 2009 byl dalším roce  - v návaznosti na výsledky projektu </w:t>
      </w:r>
      <w:proofErr w:type="spellStart"/>
      <w:r w:rsidRPr="009E7A89">
        <w:rPr>
          <w:rFonts w:ascii="Calibri" w:hAnsi="Calibri"/>
          <w:sz w:val="24"/>
          <w:szCs w:val="24"/>
        </w:rPr>
        <w:t>Eurostatu</w:t>
      </w:r>
      <w:proofErr w:type="spellEnd"/>
      <w:r w:rsidRPr="009E7A89">
        <w:rPr>
          <w:rFonts w:ascii="Calibri" w:hAnsi="Calibri"/>
          <w:sz w:val="24"/>
          <w:szCs w:val="24"/>
        </w:rPr>
        <w:t xml:space="preserve"> zvaného </w:t>
      </w:r>
      <w:proofErr w:type="spellStart"/>
      <w:r w:rsidRPr="009E7A89">
        <w:rPr>
          <w:rFonts w:ascii="Calibri" w:hAnsi="Calibri"/>
          <w:sz w:val="24"/>
          <w:szCs w:val="24"/>
        </w:rPr>
        <w:t>ESSnet</w:t>
      </w:r>
      <w:proofErr w:type="spellEnd"/>
      <w:r w:rsidRPr="009E7A89">
        <w:rPr>
          <w:rFonts w:ascii="Calibri" w:hAnsi="Calibri"/>
          <w:sz w:val="24"/>
          <w:szCs w:val="24"/>
        </w:rPr>
        <w:t xml:space="preserve"> </w:t>
      </w:r>
      <w:proofErr w:type="spellStart"/>
      <w:r w:rsidRPr="009E7A89">
        <w:rPr>
          <w:rFonts w:ascii="Calibri" w:hAnsi="Calibri"/>
          <w:sz w:val="24"/>
          <w:szCs w:val="24"/>
        </w:rPr>
        <w:t>Culture</w:t>
      </w:r>
      <w:proofErr w:type="spellEnd"/>
      <w:r w:rsidRPr="009E7A89">
        <w:rPr>
          <w:rFonts w:ascii="Calibri" w:hAnsi="Calibri"/>
          <w:sz w:val="24"/>
          <w:szCs w:val="24"/>
        </w:rPr>
        <w:t xml:space="preserve"> – opuštěn a do kultury bylo zařazeno několik dalších aktivit (některé maloobchodní činnosti – klasifikace NACE 47.63, 78 a 79; překladatelské a tlumočnické služby – NACE 74.30; pronájem videokazet a disků – NACE 77.22 a umělecké vzdělávání – NACE 85.52). Došlo tak – alespoň pro účely zpracování satelitního účtu kultury –</w:t>
      </w:r>
      <w:r w:rsidR="00401B1A">
        <w:rPr>
          <w:rFonts w:ascii="Calibri" w:hAnsi="Calibri"/>
          <w:sz w:val="24"/>
          <w:szCs w:val="24"/>
        </w:rPr>
        <w:t xml:space="preserve"> </w:t>
      </w:r>
      <w:r w:rsidRPr="009E7A89">
        <w:rPr>
          <w:rFonts w:ascii="Calibri" w:hAnsi="Calibri"/>
          <w:sz w:val="24"/>
          <w:szCs w:val="24"/>
        </w:rPr>
        <w:t xml:space="preserve">k přijetí jednotné „evropské definice kultury“, což je pro budoucí mezinárodní </w:t>
      </w:r>
      <w:r w:rsidR="00117A41">
        <w:rPr>
          <w:rFonts w:ascii="Calibri" w:hAnsi="Calibri"/>
          <w:sz w:val="24"/>
          <w:szCs w:val="24"/>
        </w:rPr>
        <w:t xml:space="preserve">srovnatelnost </w:t>
      </w:r>
      <w:r w:rsidRPr="009E7A89">
        <w:rPr>
          <w:rFonts w:ascii="Calibri" w:hAnsi="Calibri"/>
          <w:sz w:val="24"/>
          <w:szCs w:val="24"/>
        </w:rPr>
        <w:t>dat nespornou výhodou. Na druhé straně nejsou z tohoto důvodu výsledky účtu za rok 2009 plně srovnatelné s výsledky za pozdější období.  Další příčinou zkrácení disponibilní časové řady dat je i ta skutečnost, že údaje potřebné k sestavení satelitního účtu kultury – ze</w:t>
      </w:r>
      <w:r w:rsidR="007E4DFB">
        <w:rPr>
          <w:rFonts w:ascii="Calibri" w:hAnsi="Calibri"/>
          <w:sz w:val="24"/>
          <w:szCs w:val="24"/>
        </w:rPr>
        <w:t xml:space="preserve">jména z národního účetnictví – </w:t>
      </w:r>
      <w:r w:rsidRPr="009E7A89">
        <w:rPr>
          <w:rFonts w:ascii="Calibri" w:hAnsi="Calibri"/>
          <w:sz w:val="24"/>
          <w:szCs w:val="24"/>
        </w:rPr>
        <w:t>jsou k dispozici poměrně pozdě a tak není účet za referenční rok 2013 doposud, tj. v době zpracování této analýzy, sestaven. K  hodnocení nám proto</w:t>
      </w:r>
      <w:r w:rsidR="003A4310">
        <w:rPr>
          <w:rFonts w:ascii="Calibri" w:hAnsi="Calibri"/>
          <w:sz w:val="24"/>
          <w:szCs w:val="24"/>
        </w:rPr>
        <w:t xml:space="preserve"> </w:t>
      </w:r>
      <w:r w:rsidRPr="009E7A89">
        <w:rPr>
          <w:rFonts w:ascii="Calibri" w:hAnsi="Calibri"/>
          <w:sz w:val="24"/>
          <w:szCs w:val="24"/>
        </w:rPr>
        <w:t xml:space="preserve">zůstává </w:t>
      </w:r>
      <w:r w:rsidRPr="003A4310">
        <w:rPr>
          <w:rFonts w:ascii="Calibri" w:hAnsi="Calibri"/>
          <w:b/>
          <w:sz w:val="24"/>
          <w:szCs w:val="24"/>
        </w:rPr>
        <w:t>pouze</w:t>
      </w:r>
      <w:r w:rsidR="003A4310" w:rsidRPr="003A4310">
        <w:rPr>
          <w:rFonts w:ascii="Calibri" w:hAnsi="Calibri"/>
          <w:b/>
          <w:sz w:val="24"/>
          <w:szCs w:val="24"/>
        </w:rPr>
        <w:t xml:space="preserve"> </w:t>
      </w:r>
      <w:r w:rsidRPr="003A4310">
        <w:rPr>
          <w:rFonts w:ascii="Calibri" w:hAnsi="Calibri"/>
          <w:b/>
          <w:sz w:val="24"/>
          <w:szCs w:val="24"/>
        </w:rPr>
        <w:t>tříleté období let 2010 – 2012.</w:t>
      </w:r>
    </w:p>
    <w:p w:rsidR="00AD4CCF" w:rsidRPr="009E7A89" w:rsidRDefault="00AD4CCF" w:rsidP="00C911B7">
      <w:pPr>
        <w:spacing w:after="120"/>
        <w:ind w:firstLine="284"/>
        <w:jc w:val="both"/>
        <w:rPr>
          <w:rFonts w:ascii="Calibri" w:hAnsi="Calibri"/>
          <w:sz w:val="24"/>
          <w:szCs w:val="24"/>
        </w:rPr>
      </w:pPr>
      <w:r w:rsidRPr="009E7A89">
        <w:rPr>
          <w:rFonts w:ascii="Calibri" w:hAnsi="Calibri"/>
          <w:sz w:val="24"/>
          <w:szCs w:val="24"/>
        </w:rPr>
        <w:t xml:space="preserve">Významným předpokladem rozvoje kultury jsou </w:t>
      </w:r>
      <w:r w:rsidRPr="009E7A89">
        <w:rPr>
          <w:rFonts w:ascii="Calibri" w:hAnsi="Calibri"/>
          <w:b/>
          <w:sz w:val="24"/>
          <w:szCs w:val="24"/>
        </w:rPr>
        <w:t>finanční zdroje</w:t>
      </w:r>
      <w:r w:rsidRPr="009E7A89">
        <w:rPr>
          <w:rFonts w:ascii="Calibri" w:hAnsi="Calibri"/>
          <w:sz w:val="24"/>
          <w:szCs w:val="24"/>
        </w:rPr>
        <w:t xml:space="preserve">, které do ní vstupují.  Rozsah společenské podpory kultury vyjadřují vynakládané veřejné výdaje, které bývají z velké části cíleně zaměřeny na vybrané kulturní oblasti. </w:t>
      </w:r>
    </w:p>
    <w:p w:rsidR="00AD4CCF" w:rsidRPr="009E7A89" w:rsidRDefault="00AD4CCF" w:rsidP="00C911B7">
      <w:pPr>
        <w:spacing w:after="120"/>
        <w:jc w:val="both"/>
        <w:rPr>
          <w:rFonts w:ascii="Calibri" w:hAnsi="Calibri"/>
          <w:sz w:val="24"/>
          <w:szCs w:val="24"/>
        </w:rPr>
      </w:pPr>
      <w:r w:rsidRPr="009E7A89">
        <w:rPr>
          <w:rFonts w:ascii="Calibri" w:hAnsi="Calibri"/>
          <w:sz w:val="24"/>
          <w:szCs w:val="24"/>
        </w:rPr>
        <w:t xml:space="preserve">  V průběhu uvedených let </w:t>
      </w:r>
      <w:r w:rsidRPr="009E7A89">
        <w:rPr>
          <w:rFonts w:ascii="Calibri" w:hAnsi="Calibri"/>
          <w:b/>
          <w:sz w:val="24"/>
          <w:szCs w:val="24"/>
        </w:rPr>
        <w:t>veřejné výdaje</w:t>
      </w:r>
      <w:r w:rsidRPr="009E7A89">
        <w:rPr>
          <w:rFonts w:ascii="Calibri" w:hAnsi="Calibri"/>
          <w:sz w:val="24"/>
          <w:szCs w:val="24"/>
        </w:rPr>
        <w:t xml:space="preserve"> vstupující do kultury klesaly (průměrně ročně o 2,8</w:t>
      </w:r>
      <w:r w:rsidR="00E80232">
        <w:rPr>
          <w:rFonts w:ascii="Calibri" w:hAnsi="Calibri"/>
          <w:sz w:val="24"/>
          <w:szCs w:val="24"/>
        </w:rPr>
        <w:t> </w:t>
      </w:r>
      <w:r w:rsidRPr="009E7A89">
        <w:rPr>
          <w:rFonts w:ascii="Calibri" w:hAnsi="Calibri"/>
          <w:sz w:val="24"/>
          <w:szCs w:val="24"/>
        </w:rPr>
        <w:t>%). Snížily se mnohem výrazněji (o 5,5</w:t>
      </w:r>
      <w:r w:rsidR="003F53AF">
        <w:rPr>
          <w:rFonts w:ascii="Calibri" w:hAnsi="Calibri"/>
          <w:sz w:val="24"/>
          <w:szCs w:val="24"/>
        </w:rPr>
        <w:t xml:space="preserve"> </w:t>
      </w:r>
      <w:r w:rsidRPr="009E7A89">
        <w:rPr>
          <w:rFonts w:ascii="Calibri" w:hAnsi="Calibri"/>
          <w:sz w:val="24"/>
          <w:szCs w:val="24"/>
        </w:rPr>
        <w:t>%) než celkové výdaje veřejných rozpočtů (pokles o 0,7 %) a tak podíl výdajů na kultur</w:t>
      </w:r>
      <w:r w:rsidR="00B63462">
        <w:rPr>
          <w:rFonts w:ascii="Calibri" w:hAnsi="Calibri"/>
          <w:sz w:val="24"/>
          <w:szCs w:val="24"/>
        </w:rPr>
        <w:t>u</w:t>
      </w:r>
      <w:r w:rsidRPr="009E7A89">
        <w:rPr>
          <w:rFonts w:ascii="Calibri" w:hAnsi="Calibri"/>
          <w:sz w:val="24"/>
          <w:szCs w:val="24"/>
        </w:rPr>
        <w:t xml:space="preserve"> </w:t>
      </w:r>
      <w:r w:rsidR="00B63462">
        <w:rPr>
          <w:rFonts w:ascii="Calibri" w:hAnsi="Calibri"/>
          <w:sz w:val="24"/>
          <w:szCs w:val="24"/>
        </w:rPr>
        <w:t>v</w:t>
      </w:r>
      <w:r w:rsidRPr="009E7A89">
        <w:rPr>
          <w:rFonts w:ascii="Calibri" w:hAnsi="Calibri"/>
          <w:sz w:val="24"/>
          <w:szCs w:val="24"/>
        </w:rPr>
        <w:t xml:space="preserve"> celkových výdajích konsolidovaných veřejných rozpočtů poklesl z 1,88 % v roce 2010 na 1,72 % o dva roky později. </w:t>
      </w:r>
    </w:p>
    <w:p w:rsidR="00AD4CCF" w:rsidRPr="009E7A89" w:rsidRDefault="00AD4CCF" w:rsidP="00180EFB">
      <w:pPr>
        <w:spacing w:after="120"/>
        <w:ind w:firstLine="284"/>
        <w:jc w:val="both"/>
        <w:rPr>
          <w:rFonts w:ascii="Calibri" w:hAnsi="Calibri"/>
          <w:sz w:val="24"/>
          <w:szCs w:val="24"/>
        </w:rPr>
      </w:pPr>
      <w:r w:rsidRPr="009E7A89">
        <w:rPr>
          <w:rFonts w:ascii="Calibri" w:hAnsi="Calibri"/>
          <w:sz w:val="24"/>
          <w:szCs w:val="24"/>
        </w:rPr>
        <w:t>Jiným směrem se vyvíjely</w:t>
      </w:r>
      <w:r w:rsidRPr="009E7A89">
        <w:rPr>
          <w:rFonts w:ascii="Calibri" w:hAnsi="Calibri"/>
          <w:b/>
          <w:sz w:val="24"/>
          <w:szCs w:val="24"/>
        </w:rPr>
        <w:t xml:space="preserve"> finanční zdroje</w:t>
      </w:r>
      <w:r w:rsidRPr="009E7A89">
        <w:rPr>
          <w:rFonts w:ascii="Calibri" w:hAnsi="Calibri"/>
          <w:sz w:val="24"/>
          <w:szCs w:val="24"/>
        </w:rPr>
        <w:t xml:space="preserve"> přicházející do sektoru kultury </w:t>
      </w:r>
      <w:r w:rsidRPr="009E7A89">
        <w:rPr>
          <w:rFonts w:ascii="Calibri" w:hAnsi="Calibri"/>
          <w:b/>
          <w:sz w:val="24"/>
          <w:szCs w:val="24"/>
        </w:rPr>
        <w:t>z domácností.</w:t>
      </w:r>
      <w:r w:rsidRPr="009E7A89">
        <w:rPr>
          <w:rFonts w:ascii="Calibri" w:hAnsi="Calibri"/>
          <w:sz w:val="24"/>
          <w:szCs w:val="24"/>
        </w:rPr>
        <w:t xml:space="preserve"> V uvedeném období se zvýšily o necelé 1</w:t>
      </w:r>
      <w:r w:rsidR="00EE0AA4">
        <w:rPr>
          <w:rFonts w:ascii="Calibri" w:hAnsi="Calibri"/>
          <w:sz w:val="24"/>
          <w:szCs w:val="24"/>
        </w:rPr>
        <w:t xml:space="preserve"> </w:t>
      </w:r>
      <w:r w:rsidRPr="009E7A89">
        <w:rPr>
          <w:rFonts w:ascii="Calibri" w:hAnsi="Calibri"/>
          <w:sz w:val="24"/>
          <w:szCs w:val="24"/>
        </w:rPr>
        <w:t>%, avšak s ohledem na pokles celkových finančních výdajů</w:t>
      </w:r>
      <w:r w:rsidR="00401B1A">
        <w:rPr>
          <w:rFonts w:ascii="Calibri" w:hAnsi="Calibri"/>
          <w:sz w:val="24"/>
          <w:szCs w:val="24"/>
        </w:rPr>
        <w:t xml:space="preserve"> </w:t>
      </w:r>
      <w:r w:rsidRPr="009E7A89">
        <w:rPr>
          <w:rFonts w:ascii="Calibri" w:hAnsi="Calibri"/>
          <w:sz w:val="24"/>
          <w:szCs w:val="24"/>
        </w:rPr>
        <w:t>domácností, vzrostl podíl výdajů na kulturu v celkových výdajích z  2,62 % na 2,95</w:t>
      </w:r>
      <w:r w:rsidR="00C911B7">
        <w:rPr>
          <w:rFonts w:ascii="Calibri" w:hAnsi="Calibri"/>
          <w:sz w:val="24"/>
          <w:szCs w:val="24"/>
        </w:rPr>
        <w:t> </w:t>
      </w:r>
      <w:r w:rsidRPr="009E7A89">
        <w:rPr>
          <w:rFonts w:ascii="Calibri" w:hAnsi="Calibri"/>
          <w:sz w:val="24"/>
          <w:szCs w:val="24"/>
        </w:rPr>
        <w:t xml:space="preserve">%. </w:t>
      </w:r>
    </w:p>
    <w:p w:rsidR="00AD4CCF" w:rsidRPr="009E7A89" w:rsidRDefault="00AD4CCF" w:rsidP="002116F8">
      <w:pPr>
        <w:spacing w:after="0"/>
        <w:ind w:firstLine="284"/>
        <w:jc w:val="both"/>
        <w:rPr>
          <w:rFonts w:ascii="Calibri" w:hAnsi="Calibri"/>
          <w:sz w:val="24"/>
          <w:szCs w:val="24"/>
        </w:rPr>
      </w:pPr>
      <w:r w:rsidRPr="009E7A89">
        <w:rPr>
          <w:rFonts w:ascii="Calibri" w:hAnsi="Calibri"/>
          <w:sz w:val="24"/>
          <w:szCs w:val="24"/>
        </w:rPr>
        <w:t xml:space="preserve">Finanční </w:t>
      </w:r>
      <w:r w:rsidRPr="009E7A89">
        <w:rPr>
          <w:rFonts w:ascii="Calibri" w:hAnsi="Calibri"/>
          <w:b/>
          <w:sz w:val="24"/>
          <w:szCs w:val="24"/>
        </w:rPr>
        <w:t>zdroje ze zahraničí</w:t>
      </w:r>
      <w:r w:rsidRPr="009E7A89">
        <w:rPr>
          <w:rFonts w:ascii="Calibri" w:hAnsi="Calibri"/>
          <w:sz w:val="24"/>
          <w:szCs w:val="24"/>
        </w:rPr>
        <w:t xml:space="preserve"> směřovaly (vyjma rozhlasového vysílání) zejména do tradičního umění, dosahovaly však méně než 1% z celkových zdrojů.  </w:t>
      </w:r>
    </w:p>
    <w:p w:rsidR="00AD4CCF" w:rsidRPr="009E7A89" w:rsidRDefault="00AD4CCF" w:rsidP="00C911B7">
      <w:pPr>
        <w:spacing w:after="120"/>
        <w:ind w:firstLine="284"/>
        <w:jc w:val="both"/>
        <w:rPr>
          <w:rFonts w:ascii="Calibri" w:hAnsi="Calibri"/>
          <w:sz w:val="24"/>
          <w:szCs w:val="24"/>
        </w:rPr>
      </w:pPr>
      <w:r w:rsidRPr="009E7A89">
        <w:rPr>
          <w:rFonts w:ascii="Calibri" w:hAnsi="Calibri"/>
          <w:sz w:val="24"/>
          <w:szCs w:val="24"/>
        </w:rPr>
        <w:t xml:space="preserve">S ohledem na pokles příjmů kulturního sektoru od podniků a neziskových institucí </w:t>
      </w:r>
      <w:r w:rsidR="000E1D15">
        <w:rPr>
          <w:rFonts w:ascii="Calibri" w:hAnsi="Calibri"/>
          <w:sz w:val="24"/>
          <w:szCs w:val="24"/>
        </w:rPr>
        <w:t xml:space="preserve">poklesly </w:t>
      </w:r>
      <w:r w:rsidRPr="009E7A89">
        <w:rPr>
          <w:rFonts w:ascii="Calibri" w:hAnsi="Calibri"/>
          <w:sz w:val="24"/>
          <w:szCs w:val="24"/>
        </w:rPr>
        <w:t xml:space="preserve">i </w:t>
      </w:r>
      <w:r w:rsidRPr="009E7A89">
        <w:rPr>
          <w:rFonts w:ascii="Calibri" w:hAnsi="Calibri"/>
          <w:b/>
          <w:sz w:val="24"/>
          <w:szCs w:val="24"/>
        </w:rPr>
        <w:t>celkové finanční zdroje</w:t>
      </w:r>
      <w:r w:rsidRPr="009E7A89">
        <w:rPr>
          <w:rFonts w:ascii="Calibri" w:hAnsi="Calibri"/>
          <w:sz w:val="24"/>
          <w:szCs w:val="24"/>
        </w:rPr>
        <w:t xml:space="preserve"> vstupující do sektoru kultury a to o 33,2 mld. Kč (tj. o více než</w:t>
      </w:r>
      <w:r w:rsidR="00B63462">
        <w:rPr>
          <w:rFonts w:ascii="Calibri" w:hAnsi="Calibri"/>
          <w:sz w:val="24"/>
          <w:szCs w:val="24"/>
        </w:rPr>
        <w:t xml:space="preserve"> </w:t>
      </w:r>
      <w:r w:rsidRPr="009E7A89">
        <w:rPr>
          <w:rFonts w:ascii="Calibri" w:hAnsi="Calibri"/>
          <w:sz w:val="24"/>
          <w:szCs w:val="24"/>
        </w:rPr>
        <w:t>12</w:t>
      </w:r>
      <w:r w:rsidR="00117A41">
        <w:rPr>
          <w:rFonts w:ascii="Calibri" w:hAnsi="Calibri"/>
          <w:sz w:val="24"/>
          <w:szCs w:val="24"/>
        </w:rPr>
        <w:t> </w:t>
      </w:r>
      <w:r w:rsidR="00180EFB">
        <w:rPr>
          <w:rFonts w:ascii="Calibri" w:hAnsi="Calibri"/>
          <w:sz w:val="24"/>
          <w:szCs w:val="24"/>
        </w:rPr>
        <w:t>%).</w:t>
      </w:r>
    </w:p>
    <w:p w:rsidR="00AD4CCF" w:rsidRPr="009E7A89" w:rsidRDefault="00AD4CCF" w:rsidP="00180EFB">
      <w:pPr>
        <w:spacing w:after="120"/>
        <w:ind w:firstLine="284"/>
        <w:jc w:val="both"/>
        <w:rPr>
          <w:rFonts w:ascii="Calibri" w:hAnsi="Calibri"/>
          <w:sz w:val="24"/>
          <w:szCs w:val="24"/>
        </w:rPr>
      </w:pPr>
      <w:r w:rsidRPr="009E7A89">
        <w:rPr>
          <w:rFonts w:ascii="Calibri" w:hAnsi="Calibri"/>
          <w:sz w:val="24"/>
          <w:szCs w:val="24"/>
        </w:rPr>
        <w:t xml:space="preserve">Tato významná skutečnost se nemohla neprojevit </w:t>
      </w:r>
      <w:r w:rsidRPr="009E7A89">
        <w:rPr>
          <w:rFonts w:ascii="Calibri" w:hAnsi="Calibri"/>
          <w:b/>
          <w:sz w:val="24"/>
          <w:szCs w:val="24"/>
        </w:rPr>
        <w:t>v  hospodaření kulturních organizací</w:t>
      </w:r>
      <w:r w:rsidRPr="009E7A89">
        <w:rPr>
          <w:rFonts w:ascii="Calibri" w:hAnsi="Calibri"/>
          <w:sz w:val="24"/>
          <w:szCs w:val="24"/>
        </w:rPr>
        <w:t xml:space="preserve">.  Jak je zřejmé časových řad základních ukazatelů sektoru kultury (viz </w:t>
      </w:r>
      <w:r w:rsidR="00B63462">
        <w:rPr>
          <w:rFonts w:ascii="Calibri" w:hAnsi="Calibri"/>
          <w:sz w:val="24"/>
          <w:szCs w:val="24"/>
        </w:rPr>
        <w:t xml:space="preserve">níže </w:t>
      </w:r>
      <w:r w:rsidR="00401B1A">
        <w:rPr>
          <w:rFonts w:ascii="Calibri" w:hAnsi="Calibri"/>
          <w:sz w:val="24"/>
          <w:szCs w:val="24"/>
        </w:rPr>
        <w:t xml:space="preserve">připojená </w:t>
      </w:r>
      <w:r w:rsidRPr="009E7A89">
        <w:rPr>
          <w:rFonts w:ascii="Calibri" w:hAnsi="Calibri"/>
          <w:sz w:val="24"/>
          <w:szCs w:val="24"/>
        </w:rPr>
        <w:t>tabulka č.</w:t>
      </w:r>
      <w:r w:rsidR="0051709D">
        <w:rPr>
          <w:rFonts w:ascii="Calibri" w:hAnsi="Calibri"/>
          <w:sz w:val="24"/>
          <w:szCs w:val="24"/>
        </w:rPr>
        <w:t> </w:t>
      </w:r>
      <w:r w:rsidR="00B63462">
        <w:rPr>
          <w:rFonts w:ascii="Calibri" w:hAnsi="Calibri"/>
          <w:sz w:val="24"/>
          <w:szCs w:val="24"/>
        </w:rPr>
        <w:t>2</w:t>
      </w:r>
      <w:r w:rsidRPr="009E7A89">
        <w:rPr>
          <w:rFonts w:ascii="Calibri" w:hAnsi="Calibri"/>
          <w:sz w:val="24"/>
          <w:szCs w:val="24"/>
        </w:rPr>
        <w:t>)</w:t>
      </w:r>
      <w:r w:rsidR="0051709D">
        <w:rPr>
          <w:rFonts w:ascii="Calibri" w:hAnsi="Calibri"/>
          <w:sz w:val="24"/>
          <w:szCs w:val="24"/>
        </w:rPr>
        <w:t>,</w:t>
      </w:r>
      <w:r w:rsidRPr="009E7A89">
        <w:rPr>
          <w:rFonts w:ascii="Calibri" w:hAnsi="Calibri"/>
          <w:sz w:val="24"/>
          <w:szCs w:val="24"/>
        </w:rPr>
        <w:t xml:space="preserve"> v uvedeném období jejich úroveň klesá, popř. stagnuje. Jedinou nevýraznou výjimkou je výše průměrné měsíční hrubé mzdy, která vzrostla o 2,36 % (index spotřebitelských cen však ve stejném období vzrostl téměř o 5,7 %).  Naopak nejrychleji klesal objem investičních výdajů, jehož vývoj naznačuje nemalé problémy spojené s podfi</w:t>
      </w:r>
      <w:r w:rsidR="00180EFB">
        <w:rPr>
          <w:rFonts w:ascii="Calibri" w:hAnsi="Calibri"/>
          <w:sz w:val="24"/>
          <w:szCs w:val="24"/>
        </w:rPr>
        <w:t>nancováním kulturního sektoru.</w:t>
      </w:r>
    </w:p>
    <w:p w:rsidR="00AD4CCF" w:rsidRPr="009E7A89" w:rsidRDefault="00AD4CCF" w:rsidP="00180EFB">
      <w:pPr>
        <w:spacing w:after="120"/>
        <w:ind w:firstLine="284"/>
        <w:jc w:val="both"/>
        <w:rPr>
          <w:rFonts w:ascii="Calibri" w:hAnsi="Calibri"/>
          <w:sz w:val="24"/>
          <w:szCs w:val="24"/>
        </w:rPr>
      </w:pPr>
      <w:r w:rsidRPr="009E7A89">
        <w:rPr>
          <w:rFonts w:ascii="Calibri" w:hAnsi="Calibri"/>
          <w:sz w:val="24"/>
          <w:szCs w:val="24"/>
        </w:rPr>
        <w:t xml:space="preserve">Při klesajícím trendu výnosů i nákladů se náklady snižovaly mírně rychleji a </w:t>
      </w:r>
      <w:r w:rsidR="00154AE4">
        <w:rPr>
          <w:rFonts w:ascii="Calibri" w:hAnsi="Calibri"/>
          <w:sz w:val="24"/>
          <w:szCs w:val="24"/>
        </w:rPr>
        <w:t>proto</w:t>
      </w:r>
      <w:r w:rsidRPr="009E7A89">
        <w:rPr>
          <w:rFonts w:ascii="Calibri" w:hAnsi="Calibri"/>
          <w:sz w:val="24"/>
          <w:szCs w:val="24"/>
        </w:rPr>
        <w:t xml:space="preserve"> celkový hospodářský výsledek kulturních institucí vzrostl z</w:t>
      </w:r>
      <w:r w:rsidR="00401B1A">
        <w:rPr>
          <w:rFonts w:ascii="Calibri" w:hAnsi="Calibri"/>
          <w:sz w:val="24"/>
          <w:szCs w:val="24"/>
        </w:rPr>
        <w:t xml:space="preserve"> </w:t>
      </w:r>
      <w:r w:rsidRPr="009E7A89">
        <w:rPr>
          <w:rFonts w:ascii="Calibri" w:hAnsi="Calibri"/>
          <w:sz w:val="24"/>
          <w:szCs w:val="24"/>
        </w:rPr>
        <w:t>9,3 mld. Kč v roce 2010 na 12,1 mld. Kč v roce 2012 (průměrně o 14,2 % ročně). Díky tomu stagnoval (výrazně neklesal) ukazatel stupně soběstačnosti, který vyjadřuje relaci mezi tržbami za vlas</w:t>
      </w:r>
      <w:r w:rsidR="00180EFB">
        <w:rPr>
          <w:rFonts w:ascii="Calibri" w:hAnsi="Calibri"/>
          <w:sz w:val="24"/>
          <w:szCs w:val="24"/>
        </w:rPr>
        <w:t>tní výkony a celkovými výdaji.</w:t>
      </w:r>
    </w:p>
    <w:p w:rsidR="00AD4CCF" w:rsidRDefault="00AD4CCF" w:rsidP="00180EFB">
      <w:pPr>
        <w:spacing w:after="120"/>
        <w:ind w:firstLine="142"/>
        <w:jc w:val="both"/>
        <w:rPr>
          <w:rFonts w:ascii="Calibri" w:hAnsi="Calibri"/>
          <w:sz w:val="24"/>
          <w:szCs w:val="24"/>
        </w:rPr>
      </w:pPr>
      <w:r w:rsidRPr="009E7A89">
        <w:rPr>
          <w:rFonts w:ascii="Calibri" w:hAnsi="Calibri"/>
          <w:sz w:val="24"/>
          <w:szCs w:val="24"/>
        </w:rPr>
        <w:t xml:space="preserve">S nepříznivým ekonomickým vývojem sektoru kultury zřejmě souvisí pokles přepočteného </w:t>
      </w:r>
      <w:r w:rsidRPr="009E7A89">
        <w:rPr>
          <w:rFonts w:ascii="Calibri" w:hAnsi="Calibri"/>
          <w:b/>
          <w:sz w:val="24"/>
          <w:szCs w:val="24"/>
        </w:rPr>
        <w:t>počtu zaměstnanců</w:t>
      </w:r>
      <w:r w:rsidRPr="009E7A89">
        <w:rPr>
          <w:rFonts w:ascii="Calibri" w:hAnsi="Calibri"/>
          <w:sz w:val="24"/>
          <w:szCs w:val="24"/>
        </w:rPr>
        <w:t xml:space="preserve"> (průměrně o více než 4 % ročně).  Údaj o necelých 80 tis. zaměstnancích však</w:t>
      </w:r>
      <w:r w:rsidR="00401B1A">
        <w:rPr>
          <w:rFonts w:ascii="Calibri" w:hAnsi="Calibri"/>
          <w:sz w:val="24"/>
          <w:szCs w:val="24"/>
        </w:rPr>
        <w:t xml:space="preserve"> </w:t>
      </w:r>
      <w:r w:rsidRPr="009E7A89">
        <w:rPr>
          <w:rFonts w:ascii="Calibri" w:hAnsi="Calibri"/>
          <w:sz w:val="24"/>
          <w:szCs w:val="24"/>
        </w:rPr>
        <w:t>plně nevyjadřuje spotřebu živé práce v  sektoru kultury. Pracuje v něm také více než 10 tis. dobrovolníků bez nároku na odměnu.  Nad tento počet lze zřejmě předpokládat dalších několik tisíc osob pracujících v  resortu na základě dohod o pracovní činnosti či v postavení osoby samostatně výdělečně činné.  Pokud bychom přepočetli výši vykázaných ostatních osobních výdajů v kultuře pomocí průměrných mezd, dojdeme k počtu dalších cca 15,5 tis. pracovníků zapojených na základě dohod (přepočtených na plnou pracovní dobu). Z výsledku různých statistických zjišťování lze odhadovat, že v kultuře dále působí cca 45 tis. OSVČ (majitelů). Celkem by tedy bylo možné odhadnout počet osob pracujících v kultuře zhruba na 150 tis. (zaměstnanců, dobrovolníků, pracovníků na dohody a OSVČ). Tento počet samozřejmě nezahrnuje pracovníky zabývající se kulturními aktivitami v  ne - kulturních organizacích (na druhé straně zahrnuje pracovníky s ne - kulturními aktivitami v </w:t>
      </w:r>
      <w:r w:rsidR="00401B1A">
        <w:rPr>
          <w:rFonts w:ascii="Calibri" w:hAnsi="Calibri"/>
          <w:sz w:val="24"/>
          <w:szCs w:val="24"/>
        </w:rPr>
        <w:t xml:space="preserve"> </w:t>
      </w:r>
      <w:r w:rsidR="00494E7C">
        <w:rPr>
          <w:rFonts w:ascii="Calibri" w:hAnsi="Calibri"/>
          <w:sz w:val="24"/>
          <w:szCs w:val="24"/>
        </w:rPr>
        <w:t xml:space="preserve">institucích  kulturních). </w:t>
      </w:r>
    </w:p>
    <w:p w:rsidR="00C801AC" w:rsidRDefault="00C801AC" w:rsidP="00986FD4">
      <w:pPr>
        <w:spacing w:after="0"/>
        <w:jc w:val="both"/>
        <w:rPr>
          <w:rFonts w:ascii="Calibri" w:hAnsi="Calibri"/>
          <w:sz w:val="24"/>
          <w:szCs w:val="24"/>
        </w:rPr>
      </w:pPr>
    </w:p>
    <w:p w:rsidR="00C801AC" w:rsidRDefault="00C801AC" w:rsidP="00986FD4">
      <w:pPr>
        <w:spacing w:after="0"/>
        <w:jc w:val="both"/>
        <w:rPr>
          <w:rFonts w:ascii="Calibri" w:hAnsi="Calibri"/>
          <w:sz w:val="24"/>
          <w:szCs w:val="24"/>
        </w:rPr>
      </w:pPr>
    </w:p>
    <w:p w:rsidR="00C801AC" w:rsidRPr="009E7A89" w:rsidRDefault="00C801AC" w:rsidP="00C801AC">
      <w:pPr>
        <w:ind w:left="142"/>
        <w:jc w:val="center"/>
        <w:rPr>
          <w:rFonts w:ascii="Calibri" w:hAnsi="Calibri"/>
          <w:b/>
          <w:sz w:val="24"/>
          <w:szCs w:val="24"/>
        </w:rPr>
      </w:pPr>
      <w:r w:rsidRPr="009E7A89">
        <w:rPr>
          <w:rFonts w:ascii="Calibri" w:hAnsi="Calibri"/>
          <w:b/>
          <w:sz w:val="24"/>
          <w:szCs w:val="24"/>
        </w:rPr>
        <w:t xml:space="preserve">Tab. č. </w:t>
      </w:r>
      <w:r>
        <w:rPr>
          <w:rFonts w:ascii="Calibri" w:hAnsi="Calibri"/>
          <w:b/>
          <w:sz w:val="24"/>
          <w:szCs w:val="24"/>
        </w:rPr>
        <w:t>2</w:t>
      </w:r>
      <w:r w:rsidR="00610C31">
        <w:rPr>
          <w:rFonts w:ascii="Calibri" w:hAnsi="Calibri"/>
          <w:b/>
          <w:sz w:val="24"/>
          <w:szCs w:val="24"/>
        </w:rPr>
        <w:t>.</w:t>
      </w:r>
      <w:r w:rsidRPr="009E7A89">
        <w:rPr>
          <w:rFonts w:ascii="Calibri" w:hAnsi="Calibri"/>
          <w:b/>
          <w:sz w:val="24"/>
          <w:szCs w:val="24"/>
        </w:rPr>
        <w:t xml:space="preserve">  Časové  řady vybraných</w:t>
      </w:r>
      <w:r>
        <w:rPr>
          <w:rFonts w:ascii="Calibri" w:hAnsi="Calibri"/>
          <w:b/>
          <w:sz w:val="24"/>
          <w:szCs w:val="24"/>
        </w:rPr>
        <w:t xml:space="preserve"> ekonomických</w:t>
      </w:r>
      <w:r w:rsidRPr="009E7A89">
        <w:rPr>
          <w:rFonts w:ascii="Calibri" w:hAnsi="Calibri"/>
          <w:b/>
          <w:sz w:val="24"/>
          <w:szCs w:val="24"/>
        </w:rPr>
        <w:t xml:space="preserve"> ukazatelů sektoru kultury</w:t>
      </w:r>
      <w:r>
        <w:rPr>
          <w:rFonts w:ascii="Calibri" w:hAnsi="Calibri"/>
          <w:b/>
          <w:sz w:val="24"/>
          <w:szCs w:val="24"/>
        </w:rPr>
        <w:t xml:space="preserve"> za léta 2010 – 2012</w:t>
      </w:r>
    </w:p>
    <w:tbl>
      <w:tblPr>
        <w:tblW w:w="0" w:type="auto"/>
        <w:jc w:val="center"/>
        <w:tblInd w:w="51" w:type="dxa"/>
        <w:tblCellMar>
          <w:left w:w="70" w:type="dxa"/>
          <w:right w:w="70" w:type="dxa"/>
        </w:tblCellMar>
        <w:tblLook w:val="04A0"/>
      </w:tblPr>
      <w:tblGrid>
        <w:gridCol w:w="2763"/>
        <w:gridCol w:w="794"/>
        <w:gridCol w:w="794"/>
        <w:gridCol w:w="794"/>
        <w:gridCol w:w="1273"/>
        <w:gridCol w:w="1391"/>
        <w:gridCol w:w="1352"/>
      </w:tblGrid>
      <w:tr w:rsidR="00C801AC" w:rsidRPr="003C7F9A" w:rsidTr="00572E12">
        <w:trPr>
          <w:trHeight w:val="1032"/>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UKAZATEL</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2010</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2012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Index 2011/10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 xml:space="preserve">   Index 2012/11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C801AC" w:rsidRPr="003C7F9A" w:rsidRDefault="00C801AC" w:rsidP="00572E12">
            <w:pPr>
              <w:spacing w:after="0" w:line="240" w:lineRule="auto"/>
              <w:jc w:val="center"/>
              <w:rPr>
                <w:rFonts w:ascii="Calibri" w:eastAsia="Times New Roman" w:hAnsi="Calibri" w:cs="Arial"/>
                <w:b/>
                <w:color w:val="000000"/>
                <w:sz w:val="20"/>
                <w:szCs w:val="20"/>
              </w:rPr>
            </w:pPr>
            <w:r w:rsidRPr="003C7F9A">
              <w:rPr>
                <w:rFonts w:ascii="Calibri" w:eastAsia="Times New Roman" w:hAnsi="Calibri" w:cs="Arial"/>
                <w:b/>
                <w:color w:val="000000"/>
                <w:sz w:val="20"/>
                <w:szCs w:val="20"/>
              </w:rPr>
              <w:t xml:space="preserve">  Index 2012/10</w:t>
            </w:r>
          </w:p>
        </w:tc>
      </w:tr>
      <w:tr w:rsidR="00C801AC" w:rsidRPr="003C7F9A" w:rsidTr="00572E12">
        <w:trPr>
          <w:trHeight w:val="54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Veřejné zdroje celkem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36 283</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34 739</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34 322</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0,96</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0,99</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0,95</w:t>
            </w:r>
          </w:p>
        </w:tc>
      </w:tr>
      <w:tr w:rsidR="00C801AC" w:rsidRPr="003C7F9A" w:rsidTr="00572E12">
        <w:trPr>
          <w:trHeight w:val="578"/>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Náklady celkem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219 816</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204 341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205 850</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0,93</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0,94</w:t>
            </w:r>
          </w:p>
        </w:tc>
      </w:tr>
      <w:tr w:rsidR="00C801AC" w:rsidRPr="003C7F9A" w:rsidTr="00572E12">
        <w:trPr>
          <w:trHeight w:val="552"/>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Výnosy celkem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229 110</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216 212</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217 971</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0,94</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0,95</w:t>
            </w:r>
          </w:p>
        </w:tc>
      </w:tr>
      <w:tr w:rsidR="00C801AC" w:rsidRPr="003C7F9A" w:rsidTr="00572E12">
        <w:trPr>
          <w:trHeight w:val="578"/>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Stupeň soběstačnosti v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87,1</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89,1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84,9</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0,95</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0,97</w:t>
            </w:r>
          </w:p>
        </w:tc>
      </w:tr>
      <w:tr w:rsidR="00C801AC" w:rsidRPr="003C7F9A" w:rsidTr="00572E12">
        <w:trPr>
          <w:trHeight w:val="563"/>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Počet zaměstnanců v os.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87 018</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81 521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79 785</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0,94</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0,98</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0,92</w:t>
            </w:r>
          </w:p>
        </w:tc>
      </w:tr>
      <w:tr w:rsidR="00C801AC" w:rsidRPr="003C7F9A" w:rsidTr="00572E12">
        <w:trPr>
          <w:trHeight w:val="60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Průměrná hrubá </w:t>
            </w:r>
            <w:proofErr w:type="spellStart"/>
            <w:r w:rsidRPr="003C7F9A">
              <w:rPr>
                <w:rFonts w:ascii="Calibri" w:eastAsia="Times New Roman" w:hAnsi="Calibri" w:cs="Arial"/>
                <w:color w:val="000000"/>
                <w:sz w:val="20"/>
                <w:szCs w:val="20"/>
              </w:rPr>
              <w:t>měs</w:t>
            </w:r>
            <w:proofErr w:type="spellEnd"/>
            <w:r w:rsidRPr="003C7F9A">
              <w:rPr>
                <w:rFonts w:ascii="Calibri" w:eastAsia="Times New Roman" w:hAnsi="Calibri" w:cs="Arial"/>
                <w:color w:val="000000"/>
                <w:sz w:val="20"/>
                <w:szCs w:val="20"/>
              </w:rPr>
              <w:t>.</w:t>
            </w:r>
            <w:r w:rsidR="0076403F">
              <w:rPr>
                <w:rFonts w:ascii="Calibri" w:eastAsia="Times New Roman" w:hAnsi="Calibri" w:cs="Arial"/>
                <w:color w:val="000000"/>
                <w:sz w:val="20"/>
                <w:szCs w:val="20"/>
              </w:rPr>
              <w:t xml:space="preserve"> </w:t>
            </w:r>
            <w:r w:rsidRPr="003C7F9A">
              <w:rPr>
                <w:rFonts w:ascii="Calibri" w:eastAsia="Times New Roman" w:hAnsi="Calibri" w:cs="Arial"/>
                <w:color w:val="000000"/>
                <w:sz w:val="20"/>
                <w:szCs w:val="20"/>
              </w:rPr>
              <w:t>mzda v Kč</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24 406</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24 704</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24 982</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1,02</w:t>
            </w:r>
          </w:p>
        </w:tc>
      </w:tr>
      <w:tr w:rsidR="00C801AC" w:rsidRPr="003C7F9A" w:rsidTr="00572E12">
        <w:trPr>
          <w:trHeight w:val="552"/>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Investice v mil. Kč</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13 748</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11 416</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10 369</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0,83</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0,91</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0,75</w:t>
            </w:r>
          </w:p>
        </w:tc>
      </w:tr>
      <w:tr w:rsidR="00C801AC" w:rsidRPr="003C7F9A" w:rsidTr="00572E12">
        <w:trPr>
          <w:trHeight w:val="563"/>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Hrubá </w:t>
            </w:r>
            <w:proofErr w:type="spellStart"/>
            <w:r w:rsidRPr="003C7F9A">
              <w:rPr>
                <w:rFonts w:ascii="Calibri" w:eastAsia="Times New Roman" w:hAnsi="Calibri" w:cs="Arial"/>
                <w:color w:val="000000"/>
                <w:sz w:val="20"/>
                <w:szCs w:val="20"/>
              </w:rPr>
              <w:t>přid</w:t>
            </w:r>
            <w:proofErr w:type="spellEnd"/>
            <w:r w:rsidRPr="003C7F9A">
              <w:rPr>
                <w:rFonts w:ascii="Calibri" w:eastAsia="Times New Roman" w:hAnsi="Calibri" w:cs="Arial"/>
                <w:color w:val="000000"/>
                <w:sz w:val="20"/>
                <w:szCs w:val="20"/>
              </w:rPr>
              <w:t>.</w:t>
            </w:r>
            <w:r w:rsidR="0076403F">
              <w:rPr>
                <w:rFonts w:ascii="Calibri" w:eastAsia="Times New Roman" w:hAnsi="Calibri" w:cs="Arial"/>
                <w:color w:val="000000"/>
                <w:sz w:val="20"/>
                <w:szCs w:val="20"/>
              </w:rPr>
              <w:t xml:space="preserve"> </w:t>
            </w:r>
            <w:r w:rsidRPr="003C7F9A">
              <w:rPr>
                <w:rFonts w:ascii="Calibri" w:eastAsia="Times New Roman" w:hAnsi="Calibri" w:cs="Arial"/>
                <w:color w:val="000000"/>
                <w:sz w:val="20"/>
                <w:szCs w:val="20"/>
              </w:rPr>
              <w:t xml:space="preserve">hodnota v mld. Kč </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86.1</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80,4</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84,4</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0,93</w:t>
            </w:r>
          </w:p>
        </w:tc>
        <w:tc>
          <w:tcPr>
            <w:tcW w:w="0" w:type="auto"/>
            <w:tcBorders>
              <w:top w:val="nil"/>
              <w:left w:val="nil"/>
              <w:bottom w:val="single" w:sz="4"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1,05</w:t>
            </w:r>
          </w:p>
        </w:tc>
        <w:tc>
          <w:tcPr>
            <w:tcW w:w="0" w:type="auto"/>
            <w:tcBorders>
              <w:top w:val="nil"/>
              <w:left w:val="nil"/>
              <w:bottom w:val="single" w:sz="4"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0,98</w:t>
            </w:r>
          </w:p>
        </w:tc>
      </w:tr>
      <w:tr w:rsidR="00C801AC" w:rsidRPr="003C7F9A" w:rsidTr="00572E12">
        <w:trPr>
          <w:trHeight w:val="589"/>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801AC" w:rsidRPr="003C7F9A" w:rsidRDefault="00C801AC" w:rsidP="00572E12">
            <w:pPr>
              <w:spacing w:after="0" w:line="240" w:lineRule="auto"/>
              <w:rPr>
                <w:rFonts w:ascii="Calibri" w:eastAsia="Times New Roman" w:hAnsi="Calibri" w:cs="Arial"/>
                <w:color w:val="000000"/>
                <w:sz w:val="20"/>
                <w:szCs w:val="20"/>
              </w:rPr>
            </w:pPr>
            <w:r w:rsidRPr="003C7F9A">
              <w:rPr>
                <w:rFonts w:ascii="Calibri" w:eastAsia="Times New Roman" w:hAnsi="Calibri" w:cs="Arial"/>
                <w:color w:val="000000"/>
                <w:sz w:val="20"/>
                <w:szCs w:val="20"/>
              </w:rPr>
              <w:t xml:space="preserve">Hrubý dom. produkt v mld. Kč </w:t>
            </w:r>
          </w:p>
        </w:tc>
        <w:tc>
          <w:tcPr>
            <w:tcW w:w="0" w:type="auto"/>
            <w:tcBorders>
              <w:top w:val="nil"/>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59,5</w:t>
            </w:r>
          </w:p>
        </w:tc>
        <w:tc>
          <w:tcPr>
            <w:tcW w:w="0" w:type="auto"/>
            <w:tcBorders>
              <w:top w:val="nil"/>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53,1</w:t>
            </w:r>
          </w:p>
        </w:tc>
        <w:tc>
          <w:tcPr>
            <w:tcW w:w="0" w:type="auto"/>
            <w:tcBorders>
              <w:top w:val="nil"/>
              <w:left w:val="nil"/>
              <w:bottom w:val="single" w:sz="8"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57,3</w:t>
            </w:r>
          </w:p>
        </w:tc>
        <w:tc>
          <w:tcPr>
            <w:tcW w:w="0" w:type="auto"/>
            <w:tcBorders>
              <w:top w:val="nil"/>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0,89</w:t>
            </w:r>
          </w:p>
        </w:tc>
        <w:tc>
          <w:tcPr>
            <w:tcW w:w="0" w:type="auto"/>
            <w:tcBorders>
              <w:top w:val="nil"/>
              <w:left w:val="nil"/>
              <w:bottom w:val="single" w:sz="8" w:space="0" w:color="auto"/>
              <w:right w:val="single" w:sz="4"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1,08</w:t>
            </w:r>
          </w:p>
        </w:tc>
        <w:tc>
          <w:tcPr>
            <w:tcW w:w="0" w:type="auto"/>
            <w:tcBorders>
              <w:top w:val="nil"/>
              <w:left w:val="nil"/>
              <w:bottom w:val="single" w:sz="8" w:space="0" w:color="auto"/>
              <w:right w:val="single" w:sz="8" w:space="0" w:color="auto"/>
            </w:tcBorders>
            <w:shd w:val="clear" w:color="auto" w:fill="auto"/>
            <w:noWrap/>
            <w:vAlign w:val="center"/>
            <w:hideMark/>
          </w:tcPr>
          <w:p w:rsidR="00C801AC" w:rsidRPr="003C7F9A" w:rsidRDefault="00C801AC" w:rsidP="00572E12">
            <w:pPr>
              <w:spacing w:after="0" w:line="240" w:lineRule="auto"/>
              <w:jc w:val="center"/>
              <w:rPr>
                <w:rFonts w:ascii="Calibri" w:eastAsia="Times New Roman" w:hAnsi="Calibri" w:cs="Arial"/>
                <w:color w:val="000000"/>
                <w:sz w:val="20"/>
                <w:szCs w:val="20"/>
              </w:rPr>
            </w:pPr>
            <w:r w:rsidRPr="003C7F9A">
              <w:rPr>
                <w:rFonts w:ascii="Calibri" w:eastAsia="Times New Roman" w:hAnsi="Calibri" w:cs="Arial"/>
                <w:color w:val="000000"/>
                <w:sz w:val="20"/>
                <w:szCs w:val="20"/>
              </w:rPr>
              <w:t>0,96</w:t>
            </w:r>
          </w:p>
        </w:tc>
      </w:tr>
    </w:tbl>
    <w:p w:rsidR="00C801AC" w:rsidRDefault="00C801AC" w:rsidP="00986FD4">
      <w:pPr>
        <w:spacing w:after="0"/>
        <w:jc w:val="both"/>
        <w:rPr>
          <w:rFonts w:ascii="Calibri" w:hAnsi="Calibri"/>
          <w:sz w:val="24"/>
          <w:szCs w:val="24"/>
        </w:rPr>
      </w:pPr>
    </w:p>
    <w:p w:rsidR="00C801AC" w:rsidRDefault="00C801AC" w:rsidP="00986FD4">
      <w:pPr>
        <w:spacing w:after="0"/>
        <w:jc w:val="both"/>
        <w:rPr>
          <w:rFonts w:ascii="Calibri" w:hAnsi="Calibri"/>
          <w:sz w:val="24"/>
          <w:szCs w:val="24"/>
        </w:rPr>
      </w:pPr>
    </w:p>
    <w:p w:rsidR="00AD4CCF" w:rsidRPr="009E7A89" w:rsidRDefault="00AD4CCF" w:rsidP="00502CA8">
      <w:pPr>
        <w:spacing w:after="120"/>
        <w:ind w:firstLine="284"/>
        <w:jc w:val="both"/>
        <w:rPr>
          <w:rFonts w:ascii="Calibri" w:hAnsi="Calibri"/>
          <w:sz w:val="24"/>
          <w:szCs w:val="24"/>
        </w:rPr>
      </w:pPr>
      <w:r w:rsidRPr="009E7A89">
        <w:rPr>
          <w:rFonts w:ascii="Calibri" w:hAnsi="Calibri"/>
          <w:sz w:val="24"/>
          <w:szCs w:val="24"/>
        </w:rPr>
        <w:t>Nepříznivý vývoj ukazatelů (</w:t>
      </w:r>
      <w:proofErr w:type="spellStart"/>
      <w:r w:rsidRPr="009E7A89">
        <w:rPr>
          <w:rFonts w:ascii="Calibri" w:hAnsi="Calibri"/>
          <w:sz w:val="24"/>
          <w:szCs w:val="24"/>
        </w:rPr>
        <w:t>mikro</w:t>
      </w:r>
      <w:proofErr w:type="spellEnd"/>
      <w:r w:rsidRPr="009E7A89">
        <w:rPr>
          <w:rFonts w:ascii="Calibri" w:hAnsi="Calibri"/>
          <w:sz w:val="24"/>
          <w:szCs w:val="24"/>
        </w:rPr>
        <w:t xml:space="preserve">)ekonomického charakteru dokládá i pohled na </w:t>
      </w:r>
      <w:r w:rsidRPr="009E7A89">
        <w:rPr>
          <w:rFonts w:ascii="Calibri" w:hAnsi="Calibri"/>
          <w:b/>
          <w:sz w:val="24"/>
          <w:szCs w:val="24"/>
        </w:rPr>
        <w:t>makroekonomické veličiny.</w:t>
      </w:r>
      <w:r w:rsidRPr="009E7A89">
        <w:rPr>
          <w:rFonts w:ascii="Calibri" w:hAnsi="Calibri"/>
          <w:sz w:val="24"/>
          <w:szCs w:val="24"/>
        </w:rPr>
        <w:t xml:space="preserve"> V hodnoceném období došlo k poklesu hrubé přidané hodnoty (HPH) i HDP v kultuře, zatímco v ekonomice jako celku tyto veličiny v nominálním vyjádření vzrostly (o 12,4% a 1,5%). </w:t>
      </w:r>
      <w:r w:rsidRPr="009E7A89">
        <w:rPr>
          <w:rFonts w:ascii="Calibri" w:hAnsi="Calibri"/>
          <w:b/>
          <w:sz w:val="24"/>
          <w:szCs w:val="24"/>
        </w:rPr>
        <w:t>Váha sektoru kultury</w:t>
      </w:r>
      <w:r w:rsidRPr="009E7A89">
        <w:rPr>
          <w:rFonts w:ascii="Calibri" w:hAnsi="Calibri"/>
          <w:sz w:val="24"/>
          <w:szCs w:val="24"/>
        </w:rPr>
        <w:t xml:space="preserve"> v celkovém objemu HPH</w:t>
      </w:r>
      <w:r w:rsidR="00401B1A">
        <w:rPr>
          <w:rFonts w:ascii="Calibri" w:hAnsi="Calibri"/>
          <w:sz w:val="24"/>
          <w:szCs w:val="24"/>
        </w:rPr>
        <w:t xml:space="preserve"> </w:t>
      </w:r>
      <w:r w:rsidR="00401B1A" w:rsidRPr="00401B1A">
        <w:rPr>
          <w:rFonts w:ascii="Calibri" w:hAnsi="Calibri"/>
          <w:b/>
          <w:sz w:val="24"/>
          <w:szCs w:val="24"/>
        </w:rPr>
        <w:t>se</w:t>
      </w:r>
      <w:r w:rsidR="00401B1A">
        <w:rPr>
          <w:rFonts w:ascii="Calibri" w:hAnsi="Calibri"/>
          <w:sz w:val="24"/>
          <w:szCs w:val="24"/>
        </w:rPr>
        <w:t xml:space="preserve"> </w:t>
      </w:r>
      <w:r w:rsidRPr="009E7A89">
        <w:rPr>
          <w:rFonts w:ascii="Calibri" w:hAnsi="Calibri"/>
          <w:sz w:val="24"/>
          <w:szCs w:val="24"/>
        </w:rPr>
        <w:t xml:space="preserve">tak </w:t>
      </w:r>
      <w:r w:rsidR="00401B1A" w:rsidRPr="00401B1A">
        <w:rPr>
          <w:rFonts w:ascii="Calibri" w:hAnsi="Calibri"/>
          <w:b/>
          <w:sz w:val="24"/>
          <w:szCs w:val="24"/>
        </w:rPr>
        <w:t xml:space="preserve">snížila </w:t>
      </w:r>
      <w:r w:rsidRPr="009E7A89">
        <w:rPr>
          <w:rFonts w:ascii="Calibri" w:hAnsi="Calibri"/>
          <w:sz w:val="24"/>
          <w:szCs w:val="24"/>
        </w:rPr>
        <w:t xml:space="preserve">z 2,66 % v roce 2010 na 2,32 % v roce 2012. </w:t>
      </w:r>
      <w:r w:rsidR="00E36BE1">
        <w:rPr>
          <w:rFonts w:ascii="Calibri" w:hAnsi="Calibri"/>
          <w:sz w:val="24"/>
          <w:szCs w:val="24"/>
        </w:rPr>
        <w:t xml:space="preserve">Poklesl také </w:t>
      </w:r>
      <w:r w:rsidRPr="009E7A89">
        <w:rPr>
          <w:rFonts w:ascii="Calibri" w:hAnsi="Calibri"/>
          <w:sz w:val="24"/>
          <w:szCs w:val="24"/>
        </w:rPr>
        <w:t>podíl kultury na celkovém HDP a to z 1,57 % na 1,49 %.</w:t>
      </w:r>
    </w:p>
    <w:p w:rsidR="00AD4CCF" w:rsidRPr="009E7A89" w:rsidRDefault="00AD4CCF" w:rsidP="00502CA8">
      <w:pPr>
        <w:spacing w:after="120"/>
        <w:ind w:firstLine="284"/>
        <w:jc w:val="both"/>
        <w:rPr>
          <w:rFonts w:ascii="Calibri" w:hAnsi="Calibri"/>
          <w:sz w:val="24"/>
          <w:szCs w:val="24"/>
        </w:rPr>
      </w:pPr>
      <w:r w:rsidRPr="009E7A89">
        <w:rPr>
          <w:rFonts w:ascii="Calibri" w:hAnsi="Calibri"/>
          <w:sz w:val="24"/>
          <w:szCs w:val="24"/>
        </w:rPr>
        <w:t>Jak ukázaly už výsledky ověřovacího zpracování satelitního účtu kultury za rok 2009</w:t>
      </w:r>
      <w:r w:rsidRPr="009E7A89">
        <w:rPr>
          <w:rFonts w:ascii="Calibri" w:hAnsi="Calibri"/>
          <w:b/>
          <w:sz w:val="24"/>
          <w:szCs w:val="24"/>
        </w:rPr>
        <w:t>, může být celkový</w:t>
      </w:r>
      <w:r w:rsidRPr="009E7A89">
        <w:rPr>
          <w:rFonts w:ascii="Calibri" w:hAnsi="Calibri"/>
          <w:sz w:val="24"/>
          <w:szCs w:val="24"/>
        </w:rPr>
        <w:t>, „zprůměrovaný“</w:t>
      </w:r>
      <w:r w:rsidRPr="009E7A89">
        <w:rPr>
          <w:rFonts w:ascii="Calibri" w:hAnsi="Calibri"/>
          <w:b/>
          <w:sz w:val="24"/>
          <w:szCs w:val="24"/>
        </w:rPr>
        <w:t xml:space="preserve"> pohled na ekonomiku kultury zavádějící</w:t>
      </w:r>
      <w:r w:rsidRPr="009E7A89">
        <w:rPr>
          <w:rFonts w:ascii="Calibri" w:hAnsi="Calibri"/>
          <w:sz w:val="24"/>
          <w:szCs w:val="24"/>
        </w:rPr>
        <w:t xml:space="preserve">. Co do úrovně hospodaření, </w:t>
      </w:r>
      <w:r w:rsidR="00E36BE1">
        <w:rPr>
          <w:rFonts w:ascii="Calibri" w:hAnsi="Calibri"/>
          <w:sz w:val="24"/>
          <w:szCs w:val="24"/>
        </w:rPr>
        <w:t xml:space="preserve">se </w:t>
      </w:r>
      <w:r w:rsidRPr="009E7A89">
        <w:rPr>
          <w:rFonts w:ascii="Calibri" w:hAnsi="Calibri"/>
          <w:sz w:val="24"/>
          <w:szCs w:val="24"/>
        </w:rPr>
        <w:t>kulturní sektor výrazně člení do dvou zcela odlišných částí. Prvou představují</w:t>
      </w:r>
      <w:r w:rsidR="00E36BE1">
        <w:rPr>
          <w:rFonts w:ascii="Calibri" w:hAnsi="Calibri"/>
          <w:sz w:val="24"/>
          <w:szCs w:val="24"/>
        </w:rPr>
        <w:t xml:space="preserve"> </w:t>
      </w:r>
      <w:r w:rsidRPr="009E7A89">
        <w:rPr>
          <w:rFonts w:ascii="Calibri" w:hAnsi="Calibri"/>
          <w:sz w:val="24"/>
          <w:szCs w:val="24"/>
        </w:rPr>
        <w:t xml:space="preserve">oblasti zahrnující kulturní dědictví a živou originální uměleckou tvorbu (péče o kulturní dědictví, interpretační a výtvarné umění), které můžeme nazvat </w:t>
      </w:r>
      <w:r w:rsidRPr="009E7A89">
        <w:rPr>
          <w:rFonts w:ascii="Calibri" w:hAnsi="Calibri"/>
          <w:b/>
          <w:sz w:val="24"/>
          <w:szCs w:val="24"/>
        </w:rPr>
        <w:t>tradičním uměním</w:t>
      </w:r>
      <w:r w:rsidRPr="009E7A89">
        <w:rPr>
          <w:rFonts w:ascii="Calibri" w:hAnsi="Calibri"/>
          <w:sz w:val="24"/>
          <w:szCs w:val="24"/>
        </w:rPr>
        <w:t xml:space="preserve"> a druhou tzv. </w:t>
      </w:r>
      <w:r w:rsidRPr="009E7A89">
        <w:rPr>
          <w:rFonts w:ascii="Calibri" w:hAnsi="Calibri"/>
          <w:b/>
          <w:sz w:val="24"/>
          <w:szCs w:val="24"/>
        </w:rPr>
        <w:t>kulturní průmysly</w:t>
      </w:r>
      <w:r w:rsidRPr="009E7A89">
        <w:rPr>
          <w:rFonts w:ascii="Calibri" w:hAnsi="Calibri"/>
          <w:sz w:val="24"/>
          <w:szCs w:val="24"/>
        </w:rPr>
        <w:t xml:space="preserve"> (tisk, media, </w:t>
      </w:r>
      <w:proofErr w:type="spellStart"/>
      <w:r w:rsidRPr="009E7A89">
        <w:rPr>
          <w:rFonts w:ascii="Calibri" w:hAnsi="Calibri"/>
          <w:sz w:val="24"/>
          <w:szCs w:val="24"/>
        </w:rPr>
        <w:t>audiovideo</w:t>
      </w:r>
      <w:proofErr w:type="spellEnd"/>
      <w:r w:rsidRPr="009E7A89">
        <w:rPr>
          <w:rFonts w:ascii="Calibri" w:hAnsi="Calibri"/>
          <w:b/>
          <w:sz w:val="24"/>
          <w:szCs w:val="24"/>
        </w:rPr>
        <w:t>) spolu s kreativními průmysly</w:t>
      </w:r>
      <w:r w:rsidRPr="009E7A89">
        <w:rPr>
          <w:rFonts w:ascii="Calibri" w:hAnsi="Calibri"/>
          <w:sz w:val="24"/>
          <w:szCs w:val="24"/>
        </w:rPr>
        <w:t xml:space="preserve"> (architektura, reklama, design). Zatímco prvá skupina kulturních odvětví je závislá na veřejných zdrojích, druhá mívá nadprůměrné hospodářské výsledky a to i v porovnání s velkou částí ne – kulturních odvětví ekonomiky.</w:t>
      </w:r>
    </w:p>
    <w:p w:rsidR="00AD4CCF" w:rsidRPr="009E7A89" w:rsidRDefault="00AD4CCF" w:rsidP="00502CA8">
      <w:pPr>
        <w:spacing w:after="120"/>
        <w:ind w:firstLine="284"/>
        <w:jc w:val="both"/>
        <w:rPr>
          <w:rFonts w:ascii="Calibri" w:hAnsi="Calibri"/>
          <w:sz w:val="24"/>
          <w:szCs w:val="24"/>
        </w:rPr>
      </w:pPr>
      <w:r w:rsidRPr="009E7A89">
        <w:rPr>
          <w:rFonts w:ascii="Calibri" w:hAnsi="Calibri"/>
          <w:sz w:val="24"/>
          <w:szCs w:val="24"/>
        </w:rPr>
        <w:t xml:space="preserve">Z pohledu zdrojů financování je skutečností, že </w:t>
      </w:r>
      <w:r w:rsidRPr="009E7A89">
        <w:rPr>
          <w:rFonts w:ascii="Calibri" w:hAnsi="Calibri"/>
          <w:b/>
          <w:sz w:val="24"/>
          <w:szCs w:val="24"/>
        </w:rPr>
        <w:t>veřejné výdaje na kulturu</w:t>
      </w:r>
      <w:r w:rsidRPr="009E7A89">
        <w:rPr>
          <w:rFonts w:ascii="Calibri" w:hAnsi="Calibri"/>
          <w:sz w:val="24"/>
          <w:szCs w:val="24"/>
        </w:rPr>
        <w:t xml:space="preserve"> směřují v prvé řadě do oblastí </w:t>
      </w:r>
      <w:r w:rsidRPr="009E7A89">
        <w:rPr>
          <w:rFonts w:ascii="Calibri" w:hAnsi="Calibri"/>
          <w:b/>
          <w:sz w:val="24"/>
          <w:szCs w:val="24"/>
        </w:rPr>
        <w:t>tradičního umění</w:t>
      </w:r>
      <w:r w:rsidRPr="009E7A89">
        <w:rPr>
          <w:rFonts w:ascii="Calibri" w:hAnsi="Calibri"/>
          <w:sz w:val="24"/>
          <w:szCs w:val="24"/>
        </w:rPr>
        <w:t xml:space="preserve"> (zhruba z 95 %), přesto však se jejich výše ve sledovaných letech snížila (o 7,5</w:t>
      </w:r>
      <w:r w:rsidR="00131B80">
        <w:rPr>
          <w:rFonts w:ascii="Calibri" w:hAnsi="Calibri"/>
          <w:sz w:val="24"/>
          <w:szCs w:val="24"/>
        </w:rPr>
        <w:t xml:space="preserve"> </w:t>
      </w:r>
      <w:r w:rsidRPr="009E7A89">
        <w:rPr>
          <w:rFonts w:ascii="Calibri" w:hAnsi="Calibri"/>
          <w:sz w:val="24"/>
          <w:szCs w:val="24"/>
        </w:rPr>
        <w:t>%) a jejich podíl na celkových výdajích veřejných rozpočtů poklesl (z 1,76</w:t>
      </w:r>
      <w:r w:rsidR="00441610">
        <w:rPr>
          <w:rFonts w:ascii="Calibri" w:hAnsi="Calibri"/>
          <w:sz w:val="24"/>
          <w:szCs w:val="24"/>
        </w:rPr>
        <w:t> </w:t>
      </w:r>
      <w:r w:rsidRPr="009E7A89">
        <w:rPr>
          <w:rFonts w:ascii="Calibri" w:hAnsi="Calibri"/>
          <w:sz w:val="24"/>
          <w:szCs w:val="24"/>
        </w:rPr>
        <w:t xml:space="preserve">% na 1,72 %). Jak už je výše uvedeno, podíl </w:t>
      </w:r>
      <w:r w:rsidRPr="009E7A89">
        <w:rPr>
          <w:rFonts w:ascii="Calibri" w:hAnsi="Calibri"/>
          <w:b/>
          <w:sz w:val="24"/>
          <w:szCs w:val="24"/>
        </w:rPr>
        <w:t>výdajů domácností</w:t>
      </w:r>
      <w:r w:rsidRPr="009E7A89">
        <w:rPr>
          <w:rFonts w:ascii="Calibri" w:hAnsi="Calibri"/>
          <w:sz w:val="24"/>
          <w:szCs w:val="24"/>
        </w:rPr>
        <w:t xml:space="preserve"> na kulturu se vyvíjel příznivěji, avšak zejména z toho důvodu, že při stagnaci výdajů určených na kulturní služby, celkové výdaje domácností klesaly. Z  toho lze usuzovat, že - navzdory  určitému omezení spotřeby v období finanční krize - si </w:t>
      </w:r>
      <w:r w:rsidRPr="00154AE4">
        <w:rPr>
          <w:rFonts w:ascii="Calibri" w:hAnsi="Calibri"/>
          <w:b/>
          <w:sz w:val="24"/>
          <w:szCs w:val="24"/>
        </w:rPr>
        <w:t>domácnosti přístup k tradičnímu umění zachovaly v nezmenšené míře.</w:t>
      </w:r>
      <w:r w:rsidRPr="009E7A89">
        <w:rPr>
          <w:rFonts w:ascii="Calibri" w:hAnsi="Calibri"/>
          <w:sz w:val="24"/>
          <w:szCs w:val="24"/>
        </w:rPr>
        <w:t xml:space="preserve">  Výdaje domácností do oblasti kulturních a kreativních průmyslů – na rozdíl od tradičního umění – však poklesly a to bezmála o 6 %. </w:t>
      </w:r>
    </w:p>
    <w:p w:rsidR="00AD4CCF" w:rsidRPr="009E7A89" w:rsidRDefault="00AD4CCF" w:rsidP="00502CA8">
      <w:pPr>
        <w:spacing w:after="120"/>
        <w:ind w:firstLine="284"/>
        <w:jc w:val="both"/>
        <w:rPr>
          <w:rFonts w:ascii="Calibri" w:hAnsi="Calibri"/>
          <w:sz w:val="24"/>
          <w:szCs w:val="24"/>
        </w:rPr>
      </w:pPr>
      <w:r w:rsidRPr="009E7A89">
        <w:rPr>
          <w:rFonts w:ascii="Calibri" w:hAnsi="Calibri"/>
          <w:sz w:val="24"/>
          <w:szCs w:val="24"/>
        </w:rPr>
        <w:t xml:space="preserve">Ukazuje se, že na rozdíl od - v zásadě stálé úrovně - spotřeby kulturních služeb orientovaných na publikum, se spotřeba kulturních statků a služeb orientovaných spíše na trh (ze strany domácností) </w:t>
      </w:r>
      <w:r w:rsidR="00B8605B">
        <w:rPr>
          <w:rFonts w:ascii="Calibri" w:hAnsi="Calibri"/>
          <w:sz w:val="24"/>
          <w:szCs w:val="24"/>
        </w:rPr>
        <w:t>snižovala.</w:t>
      </w:r>
    </w:p>
    <w:p w:rsidR="00AD4CCF" w:rsidRPr="009E7A89" w:rsidRDefault="00AD4CCF" w:rsidP="00502CA8">
      <w:pPr>
        <w:spacing w:after="120"/>
        <w:ind w:firstLine="284"/>
        <w:jc w:val="both"/>
        <w:rPr>
          <w:rFonts w:ascii="Calibri" w:hAnsi="Calibri"/>
          <w:sz w:val="24"/>
          <w:szCs w:val="24"/>
        </w:rPr>
      </w:pPr>
      <w:r w:rsidRPr="009E7A89">
        <w:rPr>
          <w:rFonts w:ascii="Calibri" w:hAnsi="Calibri"/>
          <w:sz w:val="24"/>
          <w:szCs w:val="24"/>
        </w:rPr>
        <w:t xml:space="preserve">Také </w:t>
      </w:r>
      <w:r w:rsidRPr="009E7A89">
        <w:rPr>
          <w:rFonts w:ascii="Calibri" w:hAnsi="Calibri"/>
          <w:b/>
          <w:sz w:val="24"/>
          <w:szCs w:val="24"/>
        </w:rPr>
        <w:t>příjmy pocházející z</w:t>
      </w:r>
      <w:r w:rsidRPr="009E7A89">
        <w:rPr>
          <w:rFonts w:ascii="Calibri" w:hAnsi="Calibri"/>
          <w:sz w:val="24"/>
          <w:szCs w:val="24"/>
        </w:rPr>
        <w:t> nejvýznamnějšího finanční</w:t>
      </w:r>
      <w:r w:rsidR="000F4E7B">
        <w:rPr>
          <w:rFonts w:ascii="Calibri" w:hAnsi="Calibri"/>
          <w:sz w:val="24"/>
          <w:szCs w:val="24"/>
        </w:rPr>
        <w:t>ho</w:t>
      </w:r>
      <w:r w:rsidRPr="009E7A89">
        <w:rPr>
          <w:rFonts w:ascii="Calibri" w:hAnsi="Calibri"/>
          <w:sz w:val="24"/>
          <w:szCs w:val="24"/>
        </w:rPr>
        <w:t xml:space="preserve"> zdroje – </w:t>
      </w:r>
      <w:r w:rsidRPr="009E7A89">
        <w:rPr>
          <w:rFonts w:ascii="Calibri" w:hAnsi="Calibri"/>
          <w:b/>
          <w:sz w:val="24"/>
          <w:szCs w:val="24"/>
        </w:rPr>
        <w:t>podniků a neziskových</w:t>
      </w:r>
      <w:r w:rsidRPr="009E7A89">
        <w:rPr>
          <w:rFonts w:ascii="Calibri" w:hAnsi="Calibri"/>
          <w:sz w:val="24"/>
          <w:szCs w:val="24"/>
        </w:rPr>
        <w:t xml:space="preserve"> </w:t>
      </w:r>
      <w:r w:rsidRPr="009E7A89">
        <w:rPr>
          <w:rFonts w:ascii="Calibri" w:hAnsi="Calibri"/>
          <w:b/>
          <w:sz w:val="24"/>
          <w:szCs w:val="24"/>
        </w:rPr>
        <w:t xml:space="preserve">institucí </w:t>
      </w:r>
      <w:r w:rsidRPr="009E7A89">
        <w:rPr>
          <w:rFonts w:ascii="Calibri" w:hAnsi="Calibri"/>
          <w:sz w:val="24"/>
          <w:szCs w:val="24"/>
        </w:rPr>
        <w:t>– se vyvíjely v případě tradičního umění příznivěji než v oblasti kulturních a kreativních průmyslů.  Ve výsledku se proto celkové finanční zdroje vstupující do tradičního umění snížily v menší míře (o zhruba 10 %), než tomu bylo v případě kulturních průmyslů (o 14 %) a kreativních průmyslů (o 18</w:t>
      </w:r>
      <w:r w:rsidR="00142614">
        <w:rPr>
          <w:rFonts w:ascii="Calibri" w:hAnsi="Calibri"/>
          <w:sz w:val="24"/>
          <w:szCs w:val="24"/>
        </w:rPr>
        <w:t xml:space="preserve"> </w:t>
      </w:r>
      <w:r w:rsidR="00107037">
        <w:rPr>
          <w:rFonts w:ascii="Calibri" w:hAnsi="Calibri"/>
          <w:sz w:val="24"/>
          <w:szCs w:val="24"/>
        </w:rPr>
        <w:t>%).</w:t>
      </w:r>
    </w:p>
    <w:p w:rsidR="00AD4CCF" w:rsidRPr="009E7A89" w:rsidRDefault="00AD4CCF" w:rsidP="006C16C6">
      <w:pPr>
        <w:spacing w:after="120"/>
        <w:ind w:firstLine="284"/>
        <w:jc w:val="both"/>
        <w:rPr>
          <w:rFonts w:ascii="Calibri" w:hAnsi="Calibri"/>
          <w:sz w:val="24"/>
          <w:szCs w:val="24"/>
        </w:rPr>
      </w:pPr>
      <w:r w:rsidRPr="009E7A89">
        <w:rPr>
          <w:rFonts w:ascii="Calibri" w:hAnsi="Calibri"/>
          <w:sz w:val="24"/>
          <w:szCs w:val="24"/>
        </w:rPr>
        <w:t>V návaznosti na stabilní či mírně rostoucí rozsah služeb</w:t>
      </w:r>
      <w:r w:rsidRPr="009E7A89">
        <w:rPr>
          <w:rFonts w:ascii="Calibri" w:hAnsi="Calibri"/>
          <w:b/>
          <w:sz w:val="24"/>
          <w:szCs w:val="24"/>
        </w:rPr>
        <w:t xml:space="preserve"> </w:t>
      </w:r>
      <w:r w:rsidRPr="009E7A89">
        <w:rPr>
          <w:rFonts w:ascii="Calibri" w:hAnsi="Calibri"/>
          <w:sz w:val="24"/>
          <w:szCs w:val="24"/>
        </w:rPr>
        <w:t xml:space="preserve">institucí </w:t>
      </w:r>
      <w:r w:rsidRPr="009E7A89">
        <w:rPr>
          <w:rFonts w:ascii="Calibri" w:hAnsi="Calibri"/>
          <w:b/>
          <w:sz w:val="24"/>
          <w:szCs w:val="24"/>
        </w:rPr>
        <w:t>tradičního umění</w:t>
      </w:r>
      <w:r w:rsidRPr="009E7A89">
        <w:rPr>
          <w:rFonts w:ascii="Calibri" w:hAnsi="Calibri"/>
          <w:sz w:val="24"/>
          <w:szCs w:val="24"/>
        </w:rPr>
        <w:t xml:space="preserve"> (celkový počet návštěv se zvýšil o 0,4</w:t>
      </w:r>
      <w:r w:rsidR="007C285B">
        <w:rPr>
          <w:rFonts w:ascii="Calibri" w:hAnsi="Calibri"/>
          <w:sz w:val="24"/>
          <w:szCs w:val="24"/>
        </w:rPr>
        <w:t xml:space="preserve"> </w:t>
      </w:r>
      <w:r w:rsidRPr="009E7A89">
        <w:rPr>
          <w:rFonts w:ascii="Calibri" w:hAnsi="Calibri"/>
          <w:sz w:val="24"/>
          <w:szCs w:val="24"/>
        </w:rPr>
        <w:t>%) vzrostla však také úroveň některých ukazatelů charakterizujících extenzivní stránku jejich hospodaření. Celkové náklady organizací působících v tradičním umění vzrostly o téměř 17</w:t>
      </w:r>
      <w:r w:rsidR="007C285B">
        <w:rPr>
          <w:rFonts w:ascii="Calibri" w:hAnsi="Calibri"/>
          <w:sz w:val="24"/>
          <w:szCs w:val="24"/>
        </w:rPr>
        <w:t xml:space="preserve"> </w:t>
      </w:r>
      <w:r w:rsidRPr="009E7A89">
        <w:rPr>
          <w:rFonts w:ascii="Calibri" w:hAnsi="Calibri"/>
          <w:sz w:val="24"/>
          <w:szCs w:val="24"/>
        </w:rPr>
        <w:t>%, zatímco výnosy za nimi o 1 procentní bod zaostaly. Kladný hospodářský výsledek poklesl o 6</w:t>
      </w:r>
      <w:r w:rsidR="007C285B">
        <w:rPr>
          <w:rFonts w:ascii="Calibri" w:hAnsi="Calibri"/>
          <w:sz w:val="24"/>
          <w:szCs w:val="24"/>
        </w:rPr>
        <w:t xml:space="preserve"> </w:t>
      </w:r>
      <w:r w:rsidRPr="009E7A89">
        <w:rPr>
          <w:rFonts w:ascii="Calibri" w:hAnsi="Calibri"/>
          <w:sz w:val="24"/>
          <w:szCs w:val="24"/>
        </w:rPr>
        <w:t>% a dosáhl v přepočtu na jednoho zaměstnance částky jen o málo vyšší než 21 tis. Kč.  Spolu s ním se snížila i míra soběstačnosti (z 56,3% na 54,9%) a zisková marže odrážející vztah mezi ziskem po zdanění a tržbami (z 2,7 % na 1,1%).  Vzrostl také počet zaměstnanců (přepočtený stav) o 3,2 % (na 33 186 osob) a průměrná měsíční mzda (o 3,6 % na 18 541 Kč).  Nedostatek finančních zdrojů se projevil zejména v oblasti investic. Investiční výdaje v tradičním umění poklesly z téměř 3,5 mld</w:t>
      </w:r>
      <w:r w:rsidR="006B06B5">
        <w:rPr>
          <w:rFonts w:ascii="Calibri" w:hAnsi="Calibri"/>
          <w:sz w:val="24"/>
          <w:szCs w:val="24"/>
        </w:rPr>
        <w:t>.</w:t>
      </w:r>
      <w:r w:rsidRPr="009E7A89">
        <w:rPr>
          <w:rFonts w:ascii="Calibri" w:hAnsi="Calibri"/>
          <w:sz w:val="24"/>
          <w:szCs w:val="24"/>
        </w:rPr>
        <w:t xml:space="preserve"> Kč na necelých 2,4 mld. Kč (o více než 31 %) a v přepočtu na 1 zaměstnance</w:t>
      </w:r>
      <w:r w:rsidR="006B06B5">
        <w:rPr>
          <w:rFonts w:ascii="Calibri" w:hAnsi="Calibri"/>
          <w:sz w:val="24"/>
          <w:szCs w:val="24"/>
        </w:rPr>
        <w:t xml:space="preserve"> </w:t>
      </w:r>
      <w:r w:rsidRPr="009E7A89">
        <w:rPr>
          <w:rFonts w:ascii="Calibri" w:hAnsi="Calibri"/>
          <w:sz w:val="24"/>
          <w:szCs w:val="24"/>
        </w:rPr>
        <w:t>činily</w:t>
      </w:r>
      <w:r w:rsidR="00E36BE1">
        <w:rPr>
          <w:rFonts w:ascii="Calibri" w:hAnsi="Calibri"/>
          <w:sz w:val="24"/>
          <w:szCs w:val="24"/>
        </w:rPr>
        <w:t xml:space="preserve"> </w:t>
      </w:r>
      <w:r w:rsidRPr="009E7A89">
        <w:rPr>
          <w:rFonts w:ascii="Calibri" w:hAnsi="Calibri"/>
          <w:sz w:val="24"/>
          <w:szCs w:val="24"/>
        </w:rPr>
        <w:t>v</w:t>
      </w:r>
      <w:r w:rsidR="00E36BE1">
        <w:rPr>
          <w:rFonts w:ascii="Calibri" w:hAnsi="Calibri"/>
          <w:sz w:val="24"/>
          <w:szCs w:val="24"/>
        </w:rPr>
        <w:t xml:space="preserve"> </w:t>
      </w:r>
      <w:r w:rsidR="006C16C6">
        <w:rPr>
          <w:rFonts w:ascii="Calibri" w:hAnsi="Calibri"/>
          <w:sz w:val="24"/>
          <w:szCs w:val="24"/>
        </w:rPr>
        <w:t> roce 2012 jen 70,8 tis. Kč.</w:t>
      </w:r>
    </w:p>
    <w:p w:rsidR="00AD4CCF" w:rsidRPr="009E7A89" w:rsidRDefault="00AD4CCF" w:rsidP="006C16C6">
      <w:pPr>
        <w:spacing w:after="120"/>
        <w:ind w:firstLine="284"/>
        <w:jc w:val="both"/>
        <w:rPr>
          <w:rFonts w:ascii="Calibri" w:hAnsi="Calibri"/>
          <w:sz w:val="24"/>
          <w:szCs w:val="24"/>
        </w:rPr>
      </w:pPr>
      <w:r w:rsidRPr="009E7A89">
        <w:rPr>
          <w:rFonts w:ascii="Calibri" w:hAnsi="Calibri"/>
          <w:sz w:val="24"/>
          <w:szCs w:val="24"/>
        </w:rPr>
        <w:t xml:space="preserve">Celkově příznivějších výsledků však dosáhly organizace v oblasti </w:t>
      </w:r>
      <w:r w:rsidRPr="009E7A89">
        <w:rPr>
          <w:rFonts w:ascii="Calibri" w:hAnsi="Calibri"/>
          <w:b/>
          <w:sz w:val="24"/>
          <w:szCs w:val="24"/>
        </w:rPr>
        <w:t>kulturních a kreativních průmyslů</w:t>
      </w:r>
      <w:r w:rsidRPr="009E7A89">
        <w:rPr>
          <w:rFonts w:ascii="Calibri" w:hAnsi="Calibri"/>
          <w:sz w:val="24"/>
          <w:szCs w:val="24"/>
        </w:rPr>
        <w:t>. Při poklesu celkových výnosů i nákladů se mírně snížil kladný hospodářský výsledek, který – v přepočtu na jednoho zaměstnance - dosáhl částky dvanáctinásobně vyšší (259</w:t>
      </w:r>
      <w:r w:rsidR="006B06B5">
        <w:rPr>
          <w:rFonts w:ascii="Calibri" w:hAnsi="Calibri"/>
          <w:sz w:val="24"/>
          <w:szCs w:val="24"/>
        </w:rPr>
        <w:t xml:space="preserve"> </w:t>
      </w:r>
      <w:r w:rsidRPr="009E7A89">
        <w:rPr>
          <w:rFonts w:ascii="Calibri" w:hAnsi="Calibri"/>
          <w:sz w:val="24"/>
          <w:szCs w:val="24"/>
        </w:rPr>
        <w:t>tis.</w:t>
      </w:r>
      <w:r w:rsidR="001D4AF6">
        <w:rPr>
          <w:rFonts w:ascii="Calibri" w:hAnsi="Calibri"/>
          <w:sz w:val="24"/>
          <w:szCs w:val="24"/>
        </w:rPr>
        <w:t xml:space="preserve"> </w:t>
      </w:r>
      <w:r w:rsidRPr="009E7A89">
        <w:rPr>
          <w:rFonts w:ascii="Calibri" w:hAnsi="Calibri"/>
          <w:sz w:val="24"/>
          <w:szCs w:val="24"/>
        </w:rPr>
        <w:t>Kč) než tomu bylo v  tradičním umění. Také míra soběstačnosti a zisková marže zůstaly na nesrovnatelně vyšší úrovni (93,3 % a 5,8</w:t>
      </w:r>
      <w:r w:rsidR="00020733">
        <w:rPr>
          <w:rFonts w:ascii="Calibri" w:hAnsi="Calibri"/>
          <w:sz w:val="24"/>
          <w:szCs w:val="24"/>
        </w:rPr>
        <w:t xml:space="preserve"> </w:t>
      </w:r>
      <w:r w:rsidRPr="009E7A89">
        <w:rPr>
          <w:rFonts w:ascii="Calibri" w:hAnsi="Calibri"/>
          <w:sz w:val="24"/>
          <w:szCs w:val="24"/>
        </w:rPr>
        <w:t>%). Při poklesu počtu zaměstnanců o 12 % (na 43 586 osob) se zvýšila průměrná měsíční mzda na 28 952 Kč (o 1,1</w:t>
      </w:r>
      <w:r w:rsidR="00020733">
        <w:rPr>
          <w:rFonts w:ascii="Calibri" w:hAnsi="Calibri"/>
          <w:sz w:val="24"/>
          <w:szCs w:val="24"/>
        </w:rPr>
        <w:t xml:space="preserve"> </w:t>
      </w:r>
      <w:r w:rsidRPr="009E7A89">
        <w:rPr>
          <w:rFonts w:ascii="Calibri" w:hAnsi="Calibri"/>
          <w:sz w:val="24"/>
          <w:szCs w:val="24"/>
        </w:rPr>
        <w:t>%). Na značně vyšší úrovni – i přes téměř desetiprocentní pokles investičních výdajů - zůstala také intenzita</w:t>
      </w:r>
      <w:r w:rsidR="00E36BE1">
        <w:rPr>
          <w:rFonts w:ascii="Calibri" w:hAnsi="Calibri"/>
          <w:sz w:val="24"/>
          <w:szCs w:val="24"/>
        </w:rPr>
        <w:t xml:space="preserve"> </w:t>
      </w:r>
      <w:r w:rsidRPr="009E7A89">
        <w:rPr>
          <w:rFonts w:ascii="Calibri" w:hAnsi="Calibri"/>
          <w:sz w:val="24"/>
          <w:szCs w:val="24"/>
        </w:rPr>
        <w:t>investic (176,1 tis Kč na zaměstnance).</w:t>
      </w:r>
    </w:p>
    <w:p w:rsidR="00AD4CCF" w:rsidRPr="009E7A89" w:rsidRDefault="00AD4CCF" w:rsidP="006C16C6">
      <w:pPr>
        <w:spacing w:after="120"/>
        <w:ind w:firstLine="284"/>
        <w:jc w:val="both"/>
        <w:rPr>
          <w:rFonts w:ascii="Calibri" w:hAnsi="Calibri"/>
          <w:sz w:val="24"/>
          <w:szCs w:val="24"/>
        </w:rPr>
      </w:pPr>
      <w:r w:rsidRPr="009E7A89">
        <w:rPr>
          <w:rFonts w:ascii="Calibri" w:hAnsi="Calibri"/>
          <w:sz w:val="24"/>
          <w:szCs w:val="24"/>
        </w:rPr>
        <w:t>Rozdíly v úrovni vybraných ekonomických ukazatelů obou hospodářsky odlišných oblastí kultury ukazuje graf. č. 13</w:t>
      </w:r>
      <w:r w:rsidR="005C6685" w:rsidRPr="009E7A89">
        <w:rPr>
          <w:rFonts w:ascii="Calibri" w:hAnsi="Calibri"/>
          <w:sz w:val="24"/>
          <w:szCs w:val="24"/>
        </w:rPr>
        <w:t>.</w:t>
      </w:r>
    </w:p>
    <w:p w:rsidR="00C801AC" w:rsidRPr="009E7A89" w:rsidRDefault="00C801AC" w:rsidP="00986FD4">
      <w:pPr>
        <w:spacing w:after="0"/>
        <w:jc w:val="both"/>
        <w:rPr>
          <w:rFonts w:ascii="Calibri" w:hAnsi="Calibri"/>
          <w:sz w:val="24"/>
          <w:szCs w:val="24"/>
        </w:rPr>
      </w:pPr>
    </w:p>
    <w:p w:rsidR="009437FE" w:rsidRPr="009E7A89" w:rsidRDefault="009437FE" w:rsidP="00986FD4">
      <w:pPr>
        <w:spacing w:after="0"/>
        <w:jc w:val="both"/>
        <w:rPr>
          <w:rFonts w:ascii="Calibri" w:hAnsi="Calibri"/>
          <w:sz w:val="24"/>
          <w:szCs w:val="24"/>
        </w:rPr>
      </w:pPr>
    </w:p>
    <w:p w:rsidR="009437FE" w:rsidRPr="009E7A89" w:rsidRDefault="009437FE" w:rsidP="00C801AC">
      <w:pPr>
        <w:jc w:val="center"/>
        <w:rPr>
          <w:rFonts w:ascii="Calibri" w:hAnsi="Calibri"/>
          <w:b/>
          <w:sz w:val="24"/>
          <w:szCs w:val="24"/>
        </w:rPr>
      </w:pPr>
      <w:r w:rsidRPr="009E7A89">
        <w:rPr>
          <w:rFonts w:ascii="Calibri" w:hAnsi="Calibri"/>
          <w:b/>
          <w:sz w:val="24"/>
          <w:szCs w:val="24"/>
        </w:rPr>
        <w:t>Graf 13. Vzájemná relace vybraných ekonomických ukazatelů v sektoru kultury v r. 2012 (v</w:t>
      </w:r>
      <w:r w:rsidR="00151784">
        <w:rPr>
          <w:rFonts w:ascii="Calibri" w:hAnsi="Calibri"/>
          <w:b/>
          <w:sz w:val="24"/>
          <w:szCs w:val="24"/>
        </w:rPr>
        <w:t> </w:t>
      </w:r>
      <w:r w:rsidRPr="009E7A89">
        <w:rPr>
          <w:rFonts w:ascii="Calibri" w:hAnsi="Calibri"/>
          <w:b/>
          <w:sz w:val="24"/>
          <w:szCs w:val="24"/>
        </w:rPr>
        <w:t>%)</w:t>
      </w:r>
    </w:p>
    <w:p w:rsidR="005C6685" w:rsidRPr="009E7A89" w:rsidRDefault="005C6685" w:rsidP="00986FD4">
      <w:pPr>
        <w:spacing w:after="0"/>
        <w:jc w:val="both"/>
        <w:rPr>
          <w:rFonts w:ascii="Calibri" w:hAnsi="Calibri"/>
          <w:sz w:val="24"/>
          <w:szCs w:val="24"/>
        </w:rPr>
      </w:pPr>
      <w:r w:rsidRPr="009E7A89">
        <w:rPr>
          <w:rFonts w:ascii="Calibri" w:hAnsi="Calibri"/>
          <w:noProof/>
          <w:sz w:val="24"/>
          <w:szCs w:val="24"/>
        </w:rPr>
        <w:drawing>
          <wp:inline distT="0" distB="0" distL="0" distR="0">
            <wp:extent cx="5675663" cy="3479470"/>
            <wp:effectExtent l="0" t="0" r="1270" b="6985"/>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4CCF" w:rsidRPr="009E7A89" w:rsidRDefault="00AD4CCF" w:rsidP="00986FD4">
      <w:pPr>
        <w:spacing w:after="0"/>
        <w:jc w:val="both"/>
        <w:rPr>
          <w:rFonts w:ascii="Calibri" w:hAnsi="Calibri"/>
          <w:sz w:val="24"/>
          <w:szCs w:val="24"/>
        </w:rPr>
      </w:pPr>
    </w:p>
    <w:p w:rsidR="00AD4CCF" w:rsidRPr="009E7A89" w:rsidRDefault="00AD4CCF" w:rsidP="00584B13">
      <w:pPr>
        <w:spacing w:after="120"/>
        <w:ind w:firstLine="284"/>
        <w:jc w:val="both"/>
        <w:rPr>
          <w:rFonts w:ascii="Calibri" w:hAnsi="Calibri"/>
          <w:sz w:val="24"/>
          <w:szCs w:val="24"/>
        </w:rPr>
      </w:pPr>
      <w:r w:rsidRPr="009E7A89">
        <w:rPr>
          <w:rFonts w:ascii="Calibri" w:hAnsi="Calibri"/>
          <w:sz w:val="24"/>
          <w:szCs w:val="24"/>
        </w:rPr>
        <w:t xml:space="preserve">Pokud bychom hodnotili rozdíly v ekonomickém vývoji obou odlišných oblastí kulturního sektoru ve vztahu k omezením vyplývajícím z finanční krize, lze říci, že </w:t>
      </w:r>
      <w:r w:rsidRPr="009E7A89">
        <w:rPr>
          <w:rFonts w:ascii="Calibri" w:hAnsi="Calibri"/>
          <w:b/>
          <w:sz w:val="24"/>
          <w:szCs w:val="24"/>
        </w:rPr>
        <w:t>na zhoršené podmínky reagovaly citlivěji kulturní a kreativní průmysly</w:t>
      </w:r>
      <w:r w:rsidRPr="009E7A89">
        <w:rPr>
          <w:rFonts w:ascii="Calibri" w:hAnsi="Calibri"/>
          <w:sz w:val="24"/>
          <w:szCs w:val="24"/>
        </w:rPr>
        <w:t xml:space="preserve"> než tradiční umění. Bylo tomu tak zejména v důsledku silné a relativně stabilní vazby mezi nabídkou služeb tradičního umění a odpovídající poptávkou ze strany publika (návštěvníků, diváků, čtenářů </w:t>
      </w:r>
      <w:r w:rsidR="008B6DE5">
        <w:rPr>
          <w:rFonts w:ascii="Calibri" w:hAnsi="Calibri"/>
          <w:sz w:val="24"/>
          <w:szCs w:val="24"/>
        </w:rPr>
        <w:t>apod.).</w:t>
      </w:r>
    </w:p>
    <w:p w:rsidR="00AD4CCF" w:rsidRPr="009E7A89" w:rsidRDefault="00AD4CCF" w:rsidP="00584B13">
      <w:pPr>
        <w:spacing w:after="120"/>
        <w:ind w:firstLine="284"/>
        <w:jc w:val="both"/>
        <w:rPr>
          <w:rFonts w:ascii="Calibri" w:hAnsi="Calibri"/>
          <w:sz w:val="24"/>
          <w:szCs w:val="24"/>
        </w:rPr>
      </w:pPr>
      <w:r w:rsidRPr="009E7A89">
        <w:rPr>
          <w:rFonts w:ascii="Calibri" w:hAnsi="Calibri"/>
          <w:sz w:val="24"/>
          <w:szCs w:val="24"/>
        </w:rPr>
        <w:t xml:space="preserve">Kulturní a kreativní průmysly jsou naopak značně závislé na celkových tržních podmínkách a s nimi spojených cyklických výkyvech. Hospodaří však s mnohem vyšší produktivitou práce než tomu je v případě tradičního umění (kde je problematické i její pouhé měření) a měly proto před finanční krizí neporovnatelně lepší výchozí podmínky. Naopak jen v zanedbatelné míře využívají mimotržní finanční zdroje (veřejné výdaje na kulturu popř. granty, dotace, dary apod. z tuzemska i ze zahraničí), které se v obdobích </w:t>
      </w:r>
      <w:r w:rsidR="000A43D6">
        <w:rPr>
          <w:rFonts w:ascii="Calibri" w:hAnsi="Calibri"/>
          <w:sz w:val="24"/>
          <w:szCs w:val="24"/>
        </w:rPr>
        <w:t>krize obvykle snižují.</w:t>
      </w:r>
    </w:p>
    <w:p w:rsidR="00AD4CCF" w:rsidRDefault="00AD4CCF" w:rsidP="00986FD4">
      <w:pPr>
        <w:spacing w:after="0"/>
        <w:jc w:val="both"/>
        <w:rPr>
          <w:rFonts w:ascii="Calibri" w:hAnsi="Calibri"/>
          <w:sz w:val="24"/>
          <w:szCs w:val="24"/>
        </w:rPr>
      </w:pPr>
    </w:p>
    <w:p w:rsidR="0047605B" w:rsidRDefault="0047605B" w:rsidP="00986FD4">
      <w:pPr>
        <w:spacing w:after="0"/>
        <w:jc w:val="both"/>
        <w:rPr>
          <w:rFonts w:ascii="Calibri" w:hAnsi="Calibri"/>
          <w:sz w:val="24"/>
          <w:szCs w:val="24"/>
        </w:rPr>
      </w:pPr>
    </w:p>
    <w:p w:rsidR="0047605B" w:rsidRDefault="0047605B" w:rsidP="00986FD4">
      <w:pPr>
        <w:spacing w:after="0"/>
        <w:jc w:val="both"/>
        <w:rPr>
          <w:rFonts w:ascii="Calibri" w:hAnsi="Calibri"/>
          <w:sz w:val="24"/>
          <w:szCs w:val="24"/>
        </w:rPr>
      </w:pPr>
    </w:p>
    <w:p w:rsidR="00850561" w:rsidRDefault="00850561" w:rsidP="00986FD4">
      <w:pPr>
        <w:spacing w:after="0"/>
        <w:jc w:val="both"/>
        <w:rPr>
          <w:rFonts w:ascii="Calibri" w:hAnsi="Calibri"/>
          <w:sz w:val="24"/>
          <w:szCs w:val="24"/>
        </w:rPr>
      </w:pPr>
    </w:p>
    <w:p w:rsidR="00850561" w:rsidRDefault="00850561" w:rsidP="00986FD4">
      <w:pPr>
        <w:spacing w:after="0"/>
        <w:jc w:val="both"/>
        <w:rPr>
          <w:rFonts w:ascii="Calibri" w:hAnsi="Calibri"/>
          <w:sz w:val="24"/>
          <w:szCs w:val="24"/>
        </w:rPr>
      </w:pPr>
    </w:p>
    <w:p w:rsidR="00850561" w:rsidRDefault="00850561" w:rsidP="00986FD4">
      <w:pPr>
        <w:spacing w:after="0"/>
        <w:jc w:val="both"/>
        <w:rPr>
          <w:rFonts w:ascii="Calibri" w:hAnsi="Calibri"/>
          <w:sz w:val="24"/>
          <w:szCs w:val="24"/>
        </w:rPr>
      </w:pPr>
    </w:p>
    <w:p w:rsidR="00AD4CCF" w:rsidRPr="009E7A89" w:rsidRDefault="00AD4CCF" w:rsidP="00986FD4">
      <w:pPr>
        <w:jc w:val="both"/>
        <w:rPr>
          <w:rFonts w:ascii="Calibri" w:hAnsi="Calibri"/>
          <w:b/>
          <w:sz w:val="24"/>
          <w:szCs w:val="24"/>
        </w:rPr>
      </w:pPr>
      <w:r w:rsidRPr="009E7A89">
        <w:rPr>
          <w:rFonts w:ascii="Calibri" w:hAnsi="Calibri"/>
          <w:b/>
          <w:sz w:val="24"/>
          <w:szCs w:val="24"/>
        </w:rPr>
        <w:t>5. Nahlédnutí do zahraničí</w:t>
      </w:r>
    </w:p>
    <w:p w:rsidR="00AD4CCF" w:rsidRPr="009E7A89" w:rsidRDefault="00AD4CCF" w:rsidP="007E12AF">
      <w:pPr>
        <w:spacing w:after="120"/>
        <w:ind w:firstLine="284"/>
        <w:jc w:val="both"/>
        <w:rPr>
          <w:rFonts w:ascii="Calibri" w:hAnsi="Calibri"/>
          <w:sz w:val="24"/>
          <w:szCs w:val="24"/>
        </w:rPr>
      </w:pPr>
      <w:r w:rsidRPr="009E7A89">
        <w:rPr>
          <w:rFonts w:ascii="Calibri" w:hAnsi="Calibri"/>
          <w:sz w:val="24"/>
          <w:szCs w:val="24"/>
        </w:rPr>
        <w:t xml:space="preserve">Jsou-li nemalé problémy se získáním dat za náš kulturní sektor, ještě větší potíže čekají každého, kdo by měl zájem porovnávat data v mezinárodním měřítku. S ohledem na zanedbatelný počet disponibilních ukazatelů a značné mezery v jejich časových řadách, je mezinárodní srovnání vývoje kulturních sektorů většího souboru zemí v čase provázeno nepřekonatelnými problémy. Možná jsou proto spíše dílčí srovnání v některých ukazatelích, za něž předložilo – za stejná či blízká referenční období - data více zemí. </w:t>
      </w:r>
    </w:p>
    <w:p w:rsidR="00AD4CCF" w:rsidRPr="009E7A89" w:rsidRDefault="00AD4CCF" w:rsidP="009E145D">
      <w:pPr>
        <w:spacing w:after="0"/>
        <w:ind w:firstLine="284"/>
        <w:jc w:val="both"/>
        <w:rPr>
          <w:rFonts w:ascii="Calibri" w:hAnsi="Calibri"/>
          <w:sz w:val="24"/>
          <w:szCs w:val="24"/>
        </w:rPr>
      </w:pPr>
      <w:r w:rsidRPr="009E7A89">
        <w:rPr>
          <w:rFonts w:ascii="Calibri" w:hAnsi="Calibri"/>
          <w:sz w:val="24"/>
          <w:szCs w:val="24"/>
        </w:rPr>
        <w:t xml:space="preserve">S využitím dat shromažďovaných </w:t>
      </w:r>
      <w:proofErr w:type="spellStart"/>
      <w:r w:rsidRPr="009E7A89">
        <w:rPr>
          <w:rFonts w:ascii="Calibri" w:hAnsi="Calibri"/>
          <w:sz w:val="24"/>
          <w:szCs w:val="24"/>
        </w:rPr>
        <w:t>Eurostatem</w:t>
      </w:r>
      <w:proofErr w:type="spellEnd"/>
      <w:r w:rsidR="00C801AC">
        <w:rPr>
          <w:rFonts w:ascii="Calibri" w:hAnsi="Calibri"/>
          <w:sz w:val="24"/>
          <w:szCs w:val="24"/>
        </w:rPr>
        <w:t xml:space="preserve"> </w:t>
      </w:r>
      <w:r w:rsidRPr="009E7A89">
        <w:rPr>
          <w:rFonts w:ascii="Calibri" w:hAnsi="Calibri"/>
          <w:sz w:val="24"/>
          <w:szCs w:val="24"/>
        </w:rPr>
        <w:t xml:space="preserve">je v tab. č. </w:t>
      </w:r>
      <w:r w:rsidR="00C801AC">
        <w:rPr>
          <w:rFonts w:ascii="Calibri" w:hAnsi="Calibri"/>
          <w:sz w:val="24"/>
          <w:szCs w:val="24"/>
        </w:rPr>
        <w:t>3</w:t>
      </w:r>
      <w:r w:rsidRPr="009E7A89">
        <w:rPr>
          <w:rFonts w:ascii="Calibri" w:hAnsi="Calibri"/>
          <w:sz w:val="24"/>
          <w:szCs w:val="24"/>
        </w:rPr>
        <w:t xml:space="preserve"> uvedeno porovnání některých ukazatelů kulturního sektoru ČR se zeměmi s přibližně stejným počtem obyvatel a také se Slovenskou republikou. Do tabulky byla vybrána dostupná data vztahující se nabídkovým ukazatelům (úroveň zaměstnanosti v kultuře) i k ukazatelům poptávkovým či participačním (návštěvnost muzeí, živých představení, četba knih). Ačkoli data nejsou k dispozici za všechny země ke stejnému referenčnímu roku (prvý a druhý sloupec tabulky se vztahuje k roku 2009, třetí k letům 2007 – 9, čtvrtý k r. 2006 a poslední k  r. 2007), podávají informaci k hrubému porovnání. Z něj vyplývá, že zaměstnanost v naší kultuře je mírně nad průměrem srovnatelných zemí (a ještě více naše čtenářská aktivita), zatímco návštěvnost muzeí a živých představení interpretačního umění tohoto průměru nedosahuje.</w:t>
      </w:r>
    </w:p>
    <w:p w:rsidR="001424B0" w:rsidRPr="009E7A89" w:rsidRDefault="001424B0" w:rsidP="00C801AC">
      <w:pPr>
        <w:jc w:val="both"/>
        <w:rPr>
          <w:rFonts w:ascii="Calibri" w:hAnsi="Calibri"/>
          <w:sz w:val="24"/>
          <w:szCs w:val="24"/>
        </w:rPr>
      </w:pPr>
    </w:p>
    <w:p w:rsidR="00C801AC" w:rsidRDefault="00C801AC" w:rsidP="00C801AC">
      <w:pPr>
        <w:jc w:val="both"/>
        <w:rPr>
          <w:rFonts w:ascii="Calibri" w:hAnsi="Calibri"/>
          <w:b/>
          <w:sz w:val="24"/>
          <w:szCs w:val="24"/>
        </w:rPr>
      </w:pPr>
      <w:r w:rsidRPr="009E7A89">
        <w:rPr>
          <w:rFonts w:ascii="Calibri" w:hAnsi="Calibri"/>
          <w:b/>
          <w:sz w:val="24"/>
          <w:szCs w:val="24"/>
        </w:rPr>
        <w:t xml:space="preserve">Tab. č. </w:t>
      </w:r>
      <w:r>
        <w:rPr>
          <w:rFonts w:ascii="Calibri" w:hAnsi="Calibri"/>
          <w:b/>
          <w:sz w:val="24"/>
          <w:szCs w:val="24"/>
        </w:rPr>
        <w:t>3</w:t>
      </w:r>
      <w:r w:rsidR="00722BBB">
        <w:rPr>
          <w:rFonts w:ascii="Calibri" w:hAnsi="Calibri"/>
          <w:b/>
          <w:sz w:val="24"/>
          <w:szCs w:val="24"/>
        </w:rPr>
        <w:t>.</w:t>
      </w:r>
      <w:r w:rsidRPr="009E7A89">
        <w:rPr>
          <w:rFonts w:ascii="Calibri" w:hAnsi="Calibri"/>
          <w:b/>
          <w:sz w:val="24"/>
          <w:szCs w:val="24"/>
        </w:rPr>
        <w:t xml:space="preserve"> Vybrané údaje z oblasti kultury v mezinárodním srovnání některých zemí</w:t>
      </w:r>
    </w:p>
    <w:tbl>
      <w:tblPr>
        <w:tblW w:w="5000" w:type="pct"/>
        <w:jc w:val="center"/>
        <w:tblCellMar>
          <w:left w:w="70" w:type="dxa"/>
          <w:right w:w="70" w:type="dxa"/>
        </w:tblCellMar>
        <w:tblLook w:val="04A0"/>
      </w:tblPr>
      <w:tblGrid>
        <w:gridCol w:w="1817"/>
        <w:gridCol w:w="1243"/>
        <w:gridCol w:w="1634"/>
        <w:gridCol w:w="1490"/>
        <w:gridCol w:w="1525"/>
        <w:gridCol w:w="1503"/>
      </w:tblGrid>
      <w:tr w:rsidR="00C801AC" w:rsidRPr="00E47904" w:rsidTr="00651FB4">
        <w:trPr>
          <w:trHeight w:val="300"/>
          <w:jc w:val="center"/>
        </w:trPr>
        <w:tc>
          <w:tcPr>
            <w:tcW w:w="789" w:type="pct"/>
            <w:tcBorders>
              <w:top w:val="single" w:sz="8" w:space="0" w:color="auto"/>
              <w:left w:val="single" w:sz="8" w:space="0" w:color="auto"/>
              <w:bottom w:val="nil"/>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Země</w:t>
            </w:r>
          </w:p>
        </w:tc>
        <w:tc>
          <w:tcPr>
            <w:tcW w:w="714" w:type="pct"/>
            <w:tcBorders>
              <w:top w:val="single" w:sz="8" w:space="0" w:color="auto"/>
              <w:left w:val="nil"/>
              <w:bottom w:val="nil"/>
              <w:right w:val="nil"/>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 xml:space="preserve">Počet </w:t>
            </w:r>
            <w:proofErr w:type="spellStart"/>
            <w:r w:rsidRPr="00E47904">
              <w:rPr>
                <w:rFonts w:ascii="Calibri" w:eastAsia="Times New Roman" w:hAnsi="Calibri" w:cs="Times New Roman"/>
                <w:b/>
                <w:bCs/>
                <w:color w:val="000000"/>
              </w:rPr>
              <w:t>obyv</w:t>
            </w:r>
            <w:proofErr w:type="spellEnd"/>
            <w:r w:rsidRPr="00E47904">
              <w:rPr>
                <w:rFonts w:ascii="Calibri" w:eastAsia="Times New Roman" w:hAnsi="Calibri" w:cs="Times New Roman"/>
                <w:b/>
                <w:bCs/>
                <w:color w:val="000000"/>
              </w:rPr>
              <w:t>.</w:t>
            </w:r>
          </w:p>
        </w:tc>
        <w:tc>
          <w:tcPr>
            <w:tcW w:w="926" w:type="pct"/>
            <w:tcBorders>
              <w:top w:val="single" w:sz="8" w:space="0" w:color="auto"/>
              <w:left w:val="single" w:sz="8" w:space="0" w:color="auto"/>
              <w:bottom w:val="nil"/>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Návštěvy 5 TOP</w:t>
            </w:r>
          </w:p>
        </w:tc>
        <w:tc>
          <w:tcPr>
            <w:tcW w:w="848" w:type="pct"/>
            <w:tcBorders>
              <w:top w:val="single" w:sz="8" w:space="0" w:color="auto"/>
              <w:left w:val="nil"/>
              <w:bottom w:val="nil"/>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Zaměstnanost</w:t>
            </w:r>
          </w:p>
        </w:tc>
        <w:tc>
          <w:tcPr>
            <w:tcW w:w="867" w:type="pct"/>
            <w:tcBorders>
              <w:top w:val="single" w:sz="8" w:space="0" w:color="auto"/>
              <w:left w:val="nil"/>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Návštěva živ.</w:t>
            </w:r>
          </w:p>
        </w:tc>
        <w:tc>
          <w:tcPr>
            <w:tcW w:w="855" w:type="pct"/>
            <w:tcBorders>
              <w:top w:val="single" w:sz="8" w:space="0" w:color="auto"/>
              <w:left w:val="single" w:sz="4" w:space="0" w:color="auto"/>
              <w:bottom w:val="nil"/>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Přečtení knihy</w:t>
            </w:r>
          </w:p>
        </w:tc>
      </w:tr>
      <w:tr w:rsidR="00C801AC" w:rsidRPr="00E47904" w:rsidTr="00651FB4">
        <w:trPr>
          <w:trHeight w:val="315"/>
          <w:jc w:val="center"/>
        </w:trPr>
        <w:tc>
          <w:tcPr>
            <w:tcW w:w="789" w:type="pct"/>
            <w:tcBorders>
              <w:top w:val="nil"/>
              <w:left w:val="single" w:sz="8"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p>
        </w:tc>
        <w:tc>
          <w:tcPr>
            <w:tcW w:w="714" w:type="pct"/>
            <w:tcBorders>
              <w:top w:val="nil"/>
              <w:left w:val="nil"/>
              <w:bottom w:val="single" w:sz="8" w:space="0" w:color="auto"/>
              <w:right w:val="nil"/>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v tis.</w:t>
            </w:r>
          </w:p>
        </w:tc>
        <w:tc>
          <w:tcPr>
            <w:tcW w:w="926" w:type="pct"/>
            <w:tcBorders>
              <w:top w:val="nil"/>
              <w:left w:val="single" w:sz="8"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muzeí v tis.</w:t>
            </w:r>
          </w:p>
        </w:tc>
        <w:tc>
          <w:tcPr>
            <w:tcW w:w="848" w:type="pct"/>
            <w:tcBorders>
              <w:top w:val="nil"/>
              <w:left w:val="nil"/>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v kultuře v %</w:t>
            </w:r>
          </w:p>
        </w:tc>
        <w:tc>
          <w:tcPr>
            <w:tcW w:w="867" w:type="pct"/>
            <w:tcBorders>
              <w:top w:val="nil"/>
              <w:left w:val="nil"/>
              <w:bottom w:val="single" w:sz="8"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proofErr w:type="spellStart"/>
            <w:r w:rsidRPr="00E47904">
              <w:rPr>
                <w:rFonts w:ascii="Calibri" w:eastAsia="Times New Roman" w:hAnsi="Calibri" w:cs="Times New Roman"/>
                <w:b/>
                <w:bCs/>
                <w:color w:val="000000"/>
              </w:rPr>
              <w:t>předst</w:t>
            </w:r>
            <w:proofErr w:type="spellEnd"/>
            <w:r w:rsidRPr="00E47904">
              <w:rPr>
                <w:rFonts w:ascii="Calibri" w:eastAsia="Times New Roman" w:hAnsi="Calibri" w:cs="Times New Roman"/>
                <w:b/>
                <w:bCs/>
                <w:color w:val="000000"/>
              </w:rPr>
              <w:t>. v % os.</w:t>
            </w:r>
          </w:p>
        </w:tc>
        <w:tc>
          <w:tcPr>
            <w:tcW w:w="855" w:type="pct"/>
            <w:tcBorders>
              <w:top w:val="nil"/>
              <w:left w:val="single" w:sz="4"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v % os.</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Belgie</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10 667</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1 829</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1,4</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48</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68</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Maďarsko</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10 031</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1,8</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34</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62</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Portugalsko</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10 627</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2 348</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0,9</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47</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43</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Rakousko</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8 355</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3 144</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1,6</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57</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75</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Řecko</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11 260</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2 572</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1,2</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34</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51</w:t>
            </w:r>
          </w:p>
        </w:tc>
      </w:tr>
      <w:tr w:rsidR="00C801AC" w:rsidRPr="00E47904" w:rsidTr="00651FB4">
        <w:trPr>
          <w:trHeight w:val="601"/>
          <w:jc w:val="center"/>
        </w:trPr>
        <w:tc>
          <w:tcPr>
            <w:tcW w:w="789" w:type="pct"/>
            <w:tcBorders>
              <w:top w:val="nil"/>
              <w:left w:val="single" w:sz="8" w:space="0" w:color="auto"/>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Slovensko</w:t>
            </w:r>
          </w:p>
        </w:tc>
        <w:tc>
          <w:tcPr>
            <w:tcW w:w="714"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5 412</w:t>
            </w:r>
          </w:p>
        </w:tc>
        <w:tc>
          <w:tcPr>
            <w:tcW w:w="926"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w:t>
            </w:r>
          </w:p>
        </w:tc>
        <w:tc>
          <w:tcPr>
            <w:tcW w:w="848"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1,1</w:t>
            </w:r>
          </w:p>
        </w:tc>
        <w:tc>
          <w:tcPr>
            <w:tcW w:w="867" w:type="pct"/>
            <w:tcBorders>
              <w:top w:val="nil"/>
              <w:left w:val="nil"/>
              <w:bottom w:val="single" w:sz="4"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52</w:t>
            </w:r>
          </w:p>
        </w:tc>
        <w:tc>
          <w:tcPr>
            <w:tcW w:w="855" w:type="pct"/>
            <w:tcBorders>
              <w:top w:val="nil"/>
              <w:left w:val="nil"/>
              <w:bottom w:val="single" w:sz="4"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74</w:t>
            </w:r>
          </w:p>
        </w:tc>
      </w:tr>
      <w:tr w:rsidR="00C801AC" w:rsidRPr="00E47904" w:rsidTr="00651FB4">
        <w:trPr>
          <w:trHeight w:val="601"/>
          <w:jc w:val="center"/>
        </w:trPr>
        <w:tc>
          <w:tcPr>
            <w:tcW w:w="789" w:type="pct"/>
            <w:tcBorders>
              <w:top w:val="nil"/>
              <w:left w:val="single" w:sz="8" w:space="0" w:color="auto"/>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Švédsko</w:t>
            </w:r>
          </w:p>
        </w:tc>
        <w:tc>
          <w:tcPr>
            <w:tcW w:w="714" w:type="pct"/>
            <w:tcBorders>
              <w:top w:val="nil"/>
              <w:left w:val="nil"/>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9 256</w:t>
            </w:r>
          </w:p>
        </w:tc>
        <w:tc>
          <w:tcPr>
            <w:tcW w:w="926" w:type="pct"/>
            <w:tcBorders>
              <w:top w:val="nil"/>
              <w:left w:val="nil"/>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3 855</w:t>
            </w:r>
          </w:p>
        </w:tc>
        <w:tc>
          <w:tcPr>
            <w:tcW w:w="848" w:type="pct"/>
            <w:tcBorders>
              <w:top w:val="nil"/>
              <w:left w:val="nil"/>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2,3</w:t>
            </w:r>
          </w:p>
        </w:tc>
        <w:tc>
          <w:tcPr>
            <w:tcW w:w="867" w:type="pct"/>
            <w:tcBorders>
              <w:top w:val="nil"/>
              <w:left w:val="nil"/>
              <w:bottom w:val="nil"/>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62</w:t>
            </w:r>
          </w:p>
        </w:tc>
        <w:tc>
          <w:tcPr>
            <w:tcW w:w="855" w:type="pct"/>
            <w:tcBorders>
              <w:top w:val="nil"/>
              <w:left w:val="nil"/>
              <w:bottom w:val="nil"/>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color w:val="000000"/>
              </w:rPr>
            </w:pPr>
            <w:r w:rsidRPr="00E47904">
              <w:rPr>
                <w:rFonts w:ascii="Calibri" w:eastAsia="Times New Roman" w:hAnsi="Calibri" w:cs="Times New Roman"/>
                <w:color w:val="000000"/>
              </w:rPr>
              <w:t>83</w:t>
            </w:r>
          </w:p>
        </w:tc>
      </w:tr>
      <w:tr w:rsidR="000B5128" w:rsidRPr="00E47904" w:rsidTr="00651FB4">
        <w:trPr>
          <w:trHeight w:val="601"/>
          <w:jc w:val="center"/>
        </w:trPr>
        <w:tc>
          <w:tcPr>
            <w:tcW w:w="789" w:type="pct"/>
            <w:tcBorders>
              <w:top w:val="single" w:sz="8" w:space="0" w:color="auto"/>
              <w:left w:val="single" w:sz="8" w:space="0" w:color="auto"/>
              <w:bottom w:val="nil"/>
              <w:right w:val="single" w:sz="8"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Průměr vybr</w:t>
            </w:r>
            <w:r w:rsidR="006A6EF2">
              <w:rPr>
                <w:rFonts w:ascii="Calibri" w:eastAsia="Times New Roman" w:hAnsi="Calibri" w:cs="Times New Roman"/>
                <w:b/>
                <w:bCs/>
                <w:color w:val="000000"/>
              </w:rPr>
              <w:t>aných</w:t>
            </w:r>
          </w:p>
        </w:tc>
        <w:tc>
          <w:tcPr>
            <w:tcW w:w="714" w:type="pct"/>
            <w:vMerge w:val="restart"/>
            <w:tcBorders>
              <w:top w:val="single" w:sz="8" w:space="0" w:color="auto"/>
              <w:left w:val="nil"/>
              <w:right w:val="nil"/>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9 372,6</w:t>
            </w:r>
          </w:p>
        </w:tc>
        <w:tc>
          <w:tcPr>
            <w:tcW w:w="926" w:type="pct"/>
            <w:vMerge w:val="restart"/>
            <w:tcBorders>
              <w:top w:val="single" w:sz="8" w:space="0" w:color="auto"/>
              <w:left w:val="single" w:sz="8" w:space="0" w:color="auto"/>
              <w:right w:val="single" w:sz="8"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2</w:t>
            </w:r>
            <w:r>
              <w:rPr>
                <w:rFonts w:ascii="Calibri" w:eastAsia="Times New Roman" w:hAnsi="Calibri" w:cs="Times New Roman"/>
                <w:b/>
                <w:bCs/>
                <w:color w:val="000000"/>
              </w:rPr>
              <w:t xml:space="preserve"> </w:t>
            </w:r>
            <w:r w:rsidRPr="00E47904">
              <w:rPr>
                <w:rFonts w:ascii="Calibri" w:eastAsia="Times New Roman" w:hAnsi="Calibri" w:cs="Times New Roman"/>
                <w:b/>
                <w:bCs/>
                <w:color w:val="000000"/>
              </w:rPr>
              <w:t>749,6</w:t>
            </w:r>
          </w:p>
        </w:tc>
        <w:tc>
          <w:tcPr>
            <w:tcW w:w="848" w:type="pct"/>
            <w:vMerge w:val="restart"/>
            <w:tcBorders>
              <w:top w:val="single" w:sz="8" w:space="0" w:color="auto"/>
              <w:left w:val="nil"/>
              <w:right w:val="single" w:sz="8"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1,5</w:t>
            </w:r>
          </w:p>
        </w:tc>
        <w:tc>
          <w:tcPr>
            <w:tcW w:w="867" w:type="pct"/>
            <w:vMerge w:val="restart"/>
            <w:tcBorders>
              <w:top w:val="single" w:sz="8" w:space="0" w:color="auto"/>
              <w:left w:val="nil"/>
              <w:right w:val="single" w:sz="4"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47,7</w:t>
            </w:r>
          </w:p>
        </w:tc>
        <w:tc>
          <w:tcPr>
            <w:tcW w:w="855" w:type="pct"/>
            <w:vMerge w:val="restart"/>
            <w:tcBorders>
              <w:top w:val="single" w:sz="8" w:space="0" w:color="auto"/>
              <w:left w:val="single" w:sz="4" w:space="0" w:color="auto"/>
              <w:right w:val="single" w:sz="8"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65,1</w:t>
            </w:r>
          </w:p>
        </w:tc>
      </w:tr>
      <w:tr w:rsidR="000B5128" w:rsidRPr="00E47904" w:rsidTr="007E12AF">
        <w:trPr>
          <w:trHeight w:val="323"/>
          <w:jc w:val="center"/>
        </w:trPr>
        <w:tc>
          <w:tcPr>
            <w:tcW w:w="789" w:type="pct"/>
            <w:tcBorders>
              <w:top w:val="nil"/>
              <w:left w:val="single" w:sz="8" w:space="0" w:color="auto"/>
              <w:bottom w:val="single" w:sz="8" w:space="0" w:color="auto"/>
              <w:right w:val="single" w:sz="8" w:space="0" w:color="auto"/>
            </w:tcBorders>
            <w:shd w:val="clear" w:color="auto" w:fill="auto"/>
            <w:noWrap/>
            <w:vAlign w:val="center"/>
            <w:hideMark/>
          </w:tcPr>
          <w:p w:rsidR="000B5128" w:rsidRPr="00E47904" w:rsidRDefault="000B5128" w:rsidP="009C0C4D">
            <w:pPr>
              <w:spacing w:after="0" w:line="240" w:lineRule="auto"/>
              <w:contextualSpacing/>
              <w:jc w:val="center"/>
              <w:rPr>
                <w:rFonts w:ascii="Calibri" w:eastAsia="Times New Roman" w:hAnsi="Calibri" w:cs="Times New Roman"/>
                <w:b/>
                <w:bCs/>
                <w:color w:val="000000"/>
              </w:rPr>
            </w:pPr>
            <w:r w:rsidRPr="00E47904">
              <w:rPr>
                <w:rFonts w:ascii="Calibri" w:eastAsia="Times New Roman" w:hAnsi="Calibri" w:cs="Times New Roman"/>
                <w:b/>
                <w:bCs/>
                <w:color w:val="000000"/>
              </w:rPr>
              <w:t>zemí</w:t>
            </w:r>
          </w:p>
        </w:tc>
        <w:tc>
          <w:tcPr>
            <w:tcW w:w="714" w:type="pct"/>
            <w:vMerge/>
            <w:tcBorders>
              <w:left w:val="nil"/>
              <w:bottom w:val="single" w:sz="8" w:space="0" w:color="auto"/>
              <w:right w:val="nil"/>
            </w:tcBorders>
            <w:shd w:val="clear" w:color="auto" w:fill="auto"/>
            <w:noWrap/>
            <w:vAlign w:val="center"/>
            <w:hideMark/>
          </w:tcPr>
          <w:p w:rsidR="000B5128" w:rsidRPr="00E47904" w:rsidRDefault="000B5128" w:rsidP="006A6EF2">
            <w:pPr>
              <w:spacing w:after="0" w:line="240" w:lineRule="auto"/>
              <w:jc w:val="center"/>
              <w:rPr>
                <w:rFonts w:ascii="Calibri" w:eastAsia="Times New Roman" w:hAnsi="Calibri" w:cs="Times New Roman"/>
                <w:b/>
                <w:bCs/>
                <w:color w:val="000000"/>
              </w:rPr>
            </w:pPr>
          </w:p>
        </w:tc>
        <w:tc>
          <w:tcPr>
            <w:tcW w:w="926" w:type="pct"/>
            <w:vMerge/>
            <w:tcBorders>
              <w:left w:val="single" w:sz="8" w:space="0" w:color="auto"/>
              <w:bottom w:val="single" w:sz="8" w:space="0" w:color="auto"/>
              <w:right w:val="single" w:sz="8" w:space="0" w:color="auto"/>
            </w:tcBorders>
            <w:shd w:val="clear" w:color="auto" w:fill="auto"/>
            <w:noWrap/>
            <w:vAlign w:val="center"/>
            <w:hideMark/>
          </w:tcPr>
          <w:p w:rsidR="000B5128" w:rsidRPr="00E47904" w:rsidRDefault="000B5128" w:rsidP="006A6EF2">
            <w:pPr>
              <w:spacing w:after="0" w:line="240" w:lineRule="auto"/>
              <w:jc w:val="center"/>
              <w:rPr>
                <w:rFonts w:ascii="Calibri" w:eastAsia="Times New Roman" w:hAnsi="Calibri" w:cs="Times New Roman"/>
                <w:b/>
                <w:bCs/>
                <w:color w:val="000000"/>
              </w:rPr>
            </w:pPr>
          </w:p>
        </w:tc>
        <w:tc>
          <w:tcPr>
            <w:tcW w:w="848" w:type="pct"/>
            <w:vMerge/>
            <w:tcBorders>
              <w:left w:val="nil"/>
              <w:bottom w:val="single" w:sz="8" w:space="0" w:color="auto"/>
              <w:right w:val="single" w:sz="8" w:space="0" w:color="auto"/>
            </w:tcBorders>
            <w:shd w:val="clear" w:color="auto" w:fill="auto"/>
            <w:noWrap/>
            <w:vAlign w:val="center"/>
            <w:hideMark/>
          </w:tcPr>
          <w:p w:rsidR="000B5128" w:rsidRPr="00E47904" w:rsidRDefault="000B5128" w:rsidP="006A6EF2">
            <w:pPr>
              <w:spacing w:after="0" w:line="240" w:lineRule="auto"/>
              <w:jc w:val="center"/>
              <w:rPr>
                <w:rFonts w:ascii="Calibri" w:eastAsia="Times New Roman" w:hAnsi="Calibri" w:cs="Times New Roman"/>
                <w:b/>
                <w:bCs/>
                <w:color w:val="000000"/>
              </w:rPr>
            </w:pPr>
          </w:p>
        </w:tc>
        <w:tc>
          <w:tcPr>
            <w:tcW w:w="867" w:type="pct"/>
            <w:vMerge/>
            <w:tcBorders>
              <w:left w:val="nil"/>
              <w:bottom w:val="single" w:sz="8" w:space="0" w:color="auto"/>
              <w:right w:val="single" w:sz="4" w:space="0" w:color="auto"/>
            </w:tcBorders>
            <w:shd w:val="clear" w:color="auto" w:fill="auto"/>
            <w:noWrap/>
            <w:vAlign w:val="center"/>
            <w:hideMark/>
          </w:tcPr>
          <w:p w:rsidR="000B5128" w:rsidRPr="00E47904" w:rsidRDefault="000B5128" w:rsidP="006A6EF2">
            <w:pPr>
              <w:spacing w:after="0" w:line="240" w:lineRule="auto"/>
              <w:jc w:val="center"/>
              <w:rPr>
                <w:rFonts w:ascii="Calibri" w:eastAsia="Times New Roman" w:hAnsi="Calibri" w:cs="Times New Roman"/>
                <w:b/>
                <w:bCs/>
                <w:color w:val="000000"/>
              </w:rPr>
            </w:pPr>
          </w:p>
        </w:tc>
        <w:tc>
          <w:tcPr>
            <w:tcW w:w="855" w:type="pct"/>
            <w:vMerge/>
            <w:tcBorders>
              <w:left w:val="single" w:sz="4" w:space="0" w:color="auto"/>
              <w:bottom w:val="single" w:sz="8" w:space="0" w:color="auto"/>
              <w:right w:val="single" w:sz="8" w:space="0" w:color="auto"/>
            </w:tcBorders>
            <w:shd w:val="clear" w:color="auto" w:fill="auto"/>
            <w:noWrap/>
            <w:vAlign w:val="center"/>
            <w:hideMark/>
          </w:tcPr>
          <w:p w:rsidR="000B5128" w:rsidRPr="00E47904" w:rsidRDefault="000B5128" w:rsidP="006A6EF2">
            <w:pPr>
              <w:spacing w:after="0" w:line="240" w:lineRule="auto"/>
              <w:jc w:val="center"/>
              <w:rPr>
                <w:rFonts w:ascii="Calibri" w:eastAsia="Times New Roman" w:hAnsi="Calibri" w:cs="Times New Roman"/>
                <w:b/>
                <w:bCs/>
                <w:color w:val="000000"/>
              </w:rPr>
            </w:pPr>
          </w:p>
        </w:tc>
      </w:tr>
      <w:tr w:rsidR="00C801AC" w:rsidRPr="00E47904" w:rsidTr="00651FB4">
        <w:trPr>
          <w:trHeight w:val="601"/>
          <w:jc w:val="center"/>
        </w:trPr>
        <w:tc>
          <w:tcPr>
            <w:tcW w:w="789" w:type="pct"/>
            <w:tcBorders>
              <w:top w:val="nil"/>
              <w:left w:val="single" w:sz="8"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ČR</w:t>
            </w:r>
          </w:p>
        </w:tc>
        <w:tc>
          <w:tcPr>
            <w:tcW w:w="714" w:type="pct"/>
            <w:tcBorders>
              <w:top w:val="nil"/>
              <w:left w:val="nil"/>
              <w:bottom w:val="single" w:sz="8" w:space="0" w:color="auto"/>
              <w:right w:val="nil"/>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10 468</w:t>
            </w:r>
          </w:p>
        </w:tc>
        <w:tc>
          <w:tcPr>
            <w:tcW w:w="926" w:type="pct"/>
            <w:tcBorders>
              <w:top w:val="nil"/>
              <w:left w:val="single" w:sz="8"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2 160</w:t>
            </w:r>
          </w:p>
        </w:tc>
        <w:tc>
          <w:tcPr>
            <w:tcW w:w="848" w:type="pct"/>
            <w:tcBorders>
              <w:top w:val="nil"/>
              <w:left w:val="nil"/>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1,7</w:t>
            </w:r>
          </w:p>
        </w:tc>
        <w:tc>
          <w:tcPr>
            <w:tcW w:w="867" w:type="pct"/>
            <w:tcBorders>
              <w:top w:val="nil"/>
              <w:left w:val="nil"/>
              <w:bottom w:val="single" w:sz="8" w:space="0" w:color="auto"/>
              <w:right w:val="single" w:sz="4"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37</w:t>
            </w:r>
          </w:p>
        </w:tc>
        <w:tc>
          <w:tcPr>
            <w:tcW w:w="855" w:type="pct"/>
            <w:tcBorders>
              <w:top w:val="nil"/>
              <w:left w:val="single" w:sz="4" w:space="0" w:color="auto"/>
              <w:bottom w:val="single" w:sz="8" w:space="0" w:color="auto"/>
              <w:right w:val="single" w:sz="8" w:space="0" w:color="auto"/>
            </w:tcBorders>
            <w:shd w:val="clear" w:color="auto" w:fill="auto"/>
            <w:noWrap/>
            <w:vAlign w:val="center"/>
            <w:hideMark/>
          </w:tcPr>
          <w:p w:rsidR="00C801AC" w:rsidRPr="00E47904" w:rsidRDefault="00C801AC" w:rsidP="006A6EF2">
            <w:pPr>
              <w:spacing w:after="0" w:line="240" w:lineRule="auto"/>
              <w:jc w:val="center"/>
              <w:rPr>
                <w:rFonts w:ascii="Calibri" w:eastAsia="Times New Roman" w:hAnsi="Calibri" w:cs="Times New Roman"/>
                <w:b/>
                <w:bCs/>
                <w:color w:val="000000"/>
              </w:rPr>
            </w:pPr>
            <w:r w:rsidRPr="00E47904">
              <w:rPr>
                <w:rFonts w:ascii="Calibri" w:eastAsia="Times New Roman" w:hAnsi="Calibri" w:cs="Times New Roman"/>
                <w:b/>
                <w:bCs/>
                <w:color w:val="000000"/>
              </w:rPr>
              <w:t>79</w:t>
            </w:r>
          </w:p>
        </w:tc>
      </w:tr>
    </w:tbl>
    <w:p w:rsidR="007E3749" w:rsidRDefault="007E3749" w:rsidP="00986FD4">
      <w:pPr>
        <w:jc w:val="both"/>
        <w:rPr>
          <w:rFonts w:ascii="Calibri" w:hAnsi="Calibri"/>
          <w:b/>
          <w:sz w:val="28"/>
          <w:szCs w:val="28"/>
        </w:rPr>
      </w:pPr>
    </w:p>
    <w:p w:rsidR="00AD4CCF" w:rsidRPr="009E7A89" w:rsidRDefault="00AB006D" w:rsidP="00986FD4">
      <w:pPr>
        <w:jc w:val="both"/>
        <w:rPr>
          <w:rFonts w:ascii="Calibri" w:hAnsi="Calibri"/>
          <w:b/>
          <w:sz w:val="28"/>
          <w:szCs w:val="28"/>
        </w:rPr>
      </w:pPr>
      <w:r>
        <w:rPr>
          <w:rFonts w:ascii="Calibri" w:hAnsi="Calibri"/>
          <w:b/>
          <w:sz w:val="28"/>
          <w:szCs w:val="28"/>
        </w:rPr>
        <w:t>6.</w:t>
      </w:r>
      <w:r w:rsidR="007E3749">
        <w:rPr>
          <w:rFonts w:ascii="Calibri" w:hAnsi="Calibri"/>
          <w:b/>
          <w:sz w:val="28"/>
          <w:szCs w:val="28"/>
        </w:rPr>
        <w:tab/>
      </w:r>
      <w:r w:rsidR="00AD4CCF" w:rsidRPr="009E7A89">
        <w:rPr>
          <w:rFonts w:ascii="Calibri" w:hAnsi="Calibri"/>
          <w:b/>
          <w:sz w:val="28"/>
          <w:szCs w:val="28"/>
        </w:rPr>
        <w:t xml:space="preserve">Závěry </w:t>
      </w:r>
    </w:p>
    <w:p w:rsidR="00AD4CCF" w:rsidRPr="009E7A89" w:rsidRDefault="00AD4CCF" w:rsidP="006A6EF2">
      <w:pPr>
        <w:spacing w:after="120"/>
        <w:ind w:firstLine="284"/>
        <w:jc w:val="both"/>
        <w:rPr>
          <w:rFonts w:ascii="Calibri" w:hAnsi="Calibri"/>
          <w:sz w:val="24"/>
          <w:szCs w:val="24"/>
        </w:rPr>
      </w:pPr>
      <w:r w:rsidRPr="009E7A89">
        <w:rPr>
          <w:rFonts w:ascii="Calibri" w:hAnsi="Calibri"/>
          <w:sz w:val="24"/>
          <w:szCs w:val="24"/>
        </w:rPr>
        <w:t>V Úvodu této práce byla položena otázka vztahující se k hospodářskému vývoji v obl</w:t>
      </w:r>
      <w:r w:rsidR="00E05A84">
        <w:rPr>
          <w:rFonts w:ascii="Calibri" w:hAnsi="Calibri"/>
          <w:sz w:val="24"/>
          <w:szCs w:val="24"/>
        </w:rPr>
        <w:t xml:space="preserve">asti </w:t>
      </w:r>
      <w:r w:rsidRPr="009E7A89">
        <w:rPr>
          <w:rFonts w:ascii="Calibri" w:hAnsi="Calibri"/>
          <w:sz w:val="24"/>
          <w:szCs w:val="24"/>
        </w:rPr>
        <w:t>kultury v období po skončení tzv. návštěvnické krize 90. let a nastávající (snad už doznívající) finanční krize. Zajímaly nás také možné odlišnosti ve vztahu k vývoji ekonomiky jako celku. Při hledání odpovědí jsme se nevyhnuli potížím spojeným se složitostí objektu hodnocení a s tím souvisejícími problémy s  vhodnými ukazateli naturálními a s krátkým dosahem čas</w:t>
      </w:r>
      <w:r w:rsidR="004A1E22">
        <w:rPr>
          <w:rFonts w:ascii="Calibri" w:hAnsi="Calibri"/>
          <w:sz w:val="24"/>
          <w:szCs w:val="24"/>
        </w:rPr>
        <w:t>ové řady ukazatelů hodnotových.</w:t>
      </w:r>
      <w:r w:rsidRPr="009E7A89">
        <w:rPr>
          <w:rFonts w:ascii="Calibri" w:hAnsi="Calibri"/>
          <w:sz w:val="24"/>
          <w:szCs w:val="24"/>
        </w:rPr>
        <w:t xml:space="preserve"> Nicméně, </w:t>
      </w:r>
      <w:r w:rsidRPr="009E7A89">
        <w:rPr>
          <w:rFonts w:ascii="Calibri" w:hAnsi="Calibri"/>
          <w:b/>
          <w:sz w:val="24"/>
          <w:szCs w:val="24"/>
        </w:rPr>
        <w:t>základní poznatky</w:t>
      </w:r>
      <w:r w:rsidRPr="009E7A89">
        <w:rPr>
          <w:rFonts w:ascii="Calibri" w:hAnsi="Calibri"/>
          <w:sz w:val="24"/>
          <w:szCs w:val="24"/>
        </w:rPr>
        <w:t xml:space="preserve"> získané analýzou disponibilních dat </w:t>
      </w:r>
      <w:r w:rsidRPr="009E7A89">
        <w:rPr>
          <w:rFonts w:ascii="Calibri" w:hAnsi="Calibri"/>
          <w:b/>
          <w:sz w:val="24"/>
          <w:szCs w:val="24"/>
        </w:rPr>
        <w:t>lze označit</w:t>
      </w:r>
      <w:r w:rsidRPr="009E7A89">
        <w:rPr>
          <w:rFonts w:ascii="Calibri" w:hAnsi="Calibri"/>
          <w:sz w:val="24"/>
          <w:szCs w:val="24"/>
        </w:rPr>
        <w:t xml:space="preserve"> – i přes uvedené obtíže – </w:t>
      </w:r>
      <w:r w:rsidRPr="009E7A89">
        <w:rPr>
          <w:rFonts w:ascii="Calibri" w:hAnsi="Calibri"/>
          <w:b/>
          <w:sz w:val="24"/>
          <w:szCs w:val="24"/>
        </w:rPr>
        <w:t>za dostatečně věrohodné</w:t>
      </w:r>
      <w:r w:rsidR="005A3261">
        <w:rPr>
          <w:rFonts w:ascii="Calibri" w:hAnsi="Calibri"/>
          <w:sz w:val="24"/>
          <w:szCs w:val="24"/>
        </w:rPr>
        <w:t>.</w:t>
      </w:r>
    </w:p>
    <w:p w:rsidR="00AD4CCF" w:rsidRPr="009E7A89" w:rsidRDefault="00AD4CCF" w:rsidP="006A6EF2">
      <w:pPr>
        <w:spacing w:after="120"/>
        <w:ind w:firstLine="284"/>
        <w:jc w:val="both"/>
        <w:rPr>
          <w:rFonts w:ascii="Calibri" w:eastAsia="Calibri" w:hAnsi="Calibri" w:cs="Arial"/>
          <w:b/>
          <w:bCs/>
          <w:sz w:val="24"/>
          <w:szCs w:val="24"/>
        </w:rPr>
      </w:pPr>
      <w:r w:rsidRPr="009E7A89">
        <w:rPr>
          <w:rFonts w:ascii="Calibri" w:hAnsi="Calibri"/>
          <w:sz w:val="24"/>
          <w:szCs w:val="24"/>
        </w:rPr>
        <w:t>Ja</w:t>
      </w:r>
      <w:r w:rsidRPr="009E7A89">
        <w:rPr>
          <w:rFonts w:ascii="Calibri" w:eastAsia="Calibri" w:hAnsi="Calibri" w:cs="Arial"/>
          <w:sz w:val="24"/>
          <w:szCs w:val="24"/>
        </w:rPr>
        <w:t>k je</w:t>
      </w:r>
      <w:r w:rsidRPr="009E7A89">
        <w:rPr>
          <w:rFonts w:ascii="Calibri" w:hAnsi="Calibri" w:cs="Arial"/>
          <w:sz w:val="24"/>
          <w:szCs w:val="24"/>
        </w:rPr>
        <w:t xml:space="preserve"> již výše uvedeno</w:t>
      </w:r>
      <w:r w:rsidRPr="009E7A89">
        <w:rPr>
          <w:rFonts w:ascii="Calibri" w:eastAsia="Calibri" w:hAnsi="Calibri" w:cs="Arial"/>
          <w:sz w:val="24"/>
          <w:szCs w:val="24"/>
        </w:rPr>
        <w:t>, v sektoru kultury se můžeme setkat s potížemi spojenými s odpovídajícím oceněním některých - zejména originálních - kulturních statků či služeb. Netýká se to jen samotného stanovení ceny, ale i jejího vývoje v čase. Také hospodaření některých kulturních institucí se primárně neřídí finančními kritérii a neprobíhá plně na komerční bázi. Lze proto</w:t>
      </w:r>
      <w:r w:rsidRPr="009E7A89">
        <w:rPr>
          <w:rFonts w:ascii="Calibri" w:hAnsi="Calibri" w:cs="Arial"/>
          <w:sz w:val="24"/>
          <w:szCs w:val="24"/>
        </w:rPr>
        <w:t xml:space="preserve"> </w:t>
      </w:r>
      <w:r w:rsidRPr="009E7A89">
        <w:rPr>
          <w:rFonts w:ascii="Calibri" w:eastAsia="Calibri" w:hAnsi="Calibri" w:cs="Arial"/>
          <w:sz w:val="24"/>
          <w:szCs w:val="24"/>
        </w:rPr>
        <w:t xml:space="preserve">říci, že </w:t>
      </w:r>
      <w:r w:rsidRPr="009E7A89">
        <w:rPr>
          <w:rFonts w:ascii="Calibri" w:eastAsia="Calibri" w:hAnsi="Calibri" w:cs="Arial"/>
          <w:b/>
          <w:bCs/>
          <w:sz w:val="24"/>
          <w:szCs w:val="24"/>
        </w:rPr>
        <w:t>působení ekonomických vztahů v </w:t>
      </w:r>
      <w:r w:rsidRPr="009E7A89">
        <w:rPr>
          <w:rFonts w:ascii="Calibri" w:hAnsi="Calibri" w:cs="Arial"/>
          <w:b/>
          <w:bCs/>
          <w:szCs w:val="24"/>
        </w:rPr>
        <w:t xml:space="preserve"> </w:t>
      </w:r>
      <w:r w:rsidRPr="009E7A89">
        <w:rPr>
          <w:rFonts w:ascii="Calibri" w:eastAsia="Calibri" w:hAnsi="Calibri" w:cs="Arial"/>
          <w:b/>
          <w:bCs/>
          <w:sz w:val="24"/>
          <w:szCs w:val="24"/>
        </w:rPr>
        <w:t>kultuře</w:t>
      </w:r>
      <w:r w:rsidRPr="009E7A89">
        <w:rPr>
          <w:rFonts w:ascii="Calibri" w:hAnsi="Calibri" w:cs="Arial"/>
          <w:b/>
          <w:bCs/>
          <w:sz w:val="24"/>
          <w:szCs w:val="24"/>
        </w:rPr>
        <w:t xml:space="preserve"> </w:t>
      </w:r>
      <w:r w:rsidRPr="009E7A89">
        <w:rPr>
          <w:rFonts w:ascii="Calibri" w:hAnsi="Calibri" w:cs="Arial"/>
          <w:bCs/>
          <w:sz w:val="24"/>
          <w:szCs w:val="24"/>
        </w:rPr>
        <w:t>(zejména v tradičním umění)</w:t>
      </w:r>
      <w:r w:rsidRPr="009E7A89">
        <w:rPr>
          <w:rFonts w:ascii="Calibri" w:hAnsi="Calibri" w:cs="Arial"/>
          <w:b/>
          <w:bCs/>
          <w:sz w:val="24"/>
          <w:szCs w:val="24"/>
        </w:rPr>
        <w:t xml:space="preserve"> </w:t>
      </w:r>
      <w:r w:rsidRPr="009E7A89">
        <w:rPr>
          <w:rFonts w:ascii="Calibri" w:eastAsia="Calibri" w:hAnsi="Calibri" w:cs="Arial"/>
          <w:b/>
          <w:bCs/>
          <w:sz w:val="24"/>
          <w:szCs w:val="24"/>
        </w:rPr>
        <w:t xml:space="preserve">je modifikované, ne-li </w:t>
      </w:r>
      <w:r w:rsidR="005A3261">
        <w:rPr>
          <w:rFonts w:ascii="Calibri" w:eastAsia="Calibri" w:hAnsi="Calibri" w:cs="Arial"/>
          <w:b/>
          <w:bCs/>
          <w:sz w:val="24"/>
          <w:szCs w:val="24"/>
        </w:rPr>
        <w:t>částečně limitované.</w:t>
      </w:r>
    </w:p>
    <w:p w:rsidR="00AD4CCF" w:rsidRDefault="00AD4CCF" w:rsidP="006A6EF2">
      <w:pPr>
        <w:spacing w:after="120"/>
        <w:ind w:firstLine="284"/>
        <w:jc w:val="both"/>
        <w:rPr>
          <w:rFonts w:ascii="Calibri" w:hAnsi="Calibri" w:cs="Arial"/>
          <w:sz w:val="24"/>
          <w:szCs w:val="24"/>
        </w:rPr>
      </w:pPr>
      <w:r w:rsidRPr="009E7A89">
        <w:rPr>
          <w:rFonts w:ascii="Calibri" w:eastAsia="Calibri" w:hAnsi="Calibri" w:cs="Arial"/>
          <w:sz w:val="24"/>
          <w:szCs w:val="24"/>
        </w:rPr>
        <w:t xml:space="preserve">Z omezených možností finančního postižení rozsahu kulturního dění vyplývá, </w:t>
      </w:r>
      <w:r w:rsidRPr="009E7A89">
        <w:rPr>
          <w:rFonts w:ascii="Calibri" w:hAnsi="Calibri" w:cs="Arial"/>
          <w:sz w:val="24"/>
          <w:szCs w:val="24"/>
        </w:rPr>
        <w:t>že v rámci</w:t>
      </w:r>
      <w:r w:rsidRPr="009E7A89">
        <w:rPr>
          <w:rFonts w:ascii="Calibri" w:eastAsia="Calibri" w:hAnsi="Calibri" w:cs="Arial"/>
          <w:sz w:val="24"/>
          <w:szCs w:val="24"/>
        </w:rPr>
        <w:t xml:space="preserve"> </w:t>
      </w:r>
      <w:r w:rsidRPr="009E7A89">
        <w:rPr>
          <w:rFonts w:ascii="Calibri" w:hAnsi="Calibri" w:cs="Arial"/>
          <w:sz w:val="24"/>
          <w:szCs w:val="24"/>
        </w:rPr>
        <w:t>hodnocení vývoje v kultuře je třeba doplnit hodnotové ukazatele o</w:t>
      </w:r>
      <w:r w:rsidRPr="009E7A89">
        <w:rPr>
          <w:rFonts w:ascii="Calibri" w:eastAsia="Calibri" w:hAnsi="Calibri" w:cs="Arial"/>
          <w:bCs/>
          <w:sz w:val="24"/>
          <w:szCs w:val="24"/>
        </w:rPr>
        <w:t xml:space="preserve"> naturální</w:t>
      </w:r>
      <w:r w:rsidR="00AB006D">
        <w:rPr>
          <w:rFonts w:ascii="Calibri" w:hAnsi="Calibri" w:cs="Arial"/>
          <w:bCs/>
          <w:sz w:val="24"/>
          <w:szCs w:val="24"/>
        </w:rPr>
        <w:t>.</w:t>
      </w:r>
      <w:r w:rsidRPr="009E7A89">
        <w:rPr>
          <w:rFonts w:ascii="Calibri" w:eastAsia="Calibri" w:hAnsi="Calibri" w:cs="Arial"/>
          <w:bCs/>
          <w:sz w:val="24"/>
          <w:szCs w:val="24"/>
        </w:rPr>
        <w:t xml:space="preserve"> </w:t>
      </w:r>
      <w:r w:rsidRPr="009E7A89">
        <w:rPr>
          <w:rFonts w:ascii="Calibri" w:hAnsi="Calibri" w:cs="Arial"/>
          <w:bCs/>
          <w:sz w:val="24"/>
          <w:szCs w:val="24"/>
        </w:rPr>
        <w:t>Ty</w:t>
      </w:r>
      <w:r w:rsidRPr="009E7A89">
        <w:rPr>
          <w:rFonts w:ascii="Calibri" w:eastAsia="Calibri" w:hAnsi="Calibri" w:cs="Arial"/>
          <w:sz w:val="24"/>
          <w:szCs w:val="24"/>
        </w:rPr>
        <w:t xml:space="preserve"> jsou v zásadě dvojího druhu. Jako </w:t>
      </w:r>
      <w:r w:rsidRPr="009E7A89">
        <w:rPr>
          <w:rFonts w:ascii="Calibri" w:eastAsia="Calibri" w:hAnsi="Calibri" w:cs="Arial"/>
          <w:b/>
          <w:bCs/>
          <w:sz w:val="24"/>
          <w:szCs w:val="24"/>
        </w:rPr>
        <w:t>kapacitní ukazatele</w:t>
      </w:r>
      <w:r w:rsidRPr="009E7A89">
        <w:rPr>
          <w:rFonts w:ascii="Calibri" w:eastAsia="Calibri" w:hAnsi="Calibri" w:cs="Arial"/>
          <w:sz w:val="24"/>
          <w:szCs w:val="24"/>
        </w:rPr>
        <w:t xml:space="preserve"> odrážejí stranu nabídky a jako </w:t>
      </w:r>
      <w:r w:rsidRPr="009E7A89">
        <w:rPr>
          <w:rFonts w:ascii="Calibri" w:eastAsia="Calibri" w:hAnsi="Calibri" w:cs="Arial"/>
          <w:b/>
          <w:bCs/>
          <w:sz w:val="24"/>
          <w:szCs w:val="24"/>
        </w:rPr>
        <w:t>ukazatele participace</w:t>
      </w:r>
      <w:r w:rsidRPr="009E7A89">
        <w:rPr>
          <w:rFonts w:ascii="Calibri" w:eastAsia="Calibri" w:hAnsi="Calibri" w:cs="Arial"/>
          <w:sz w:val="24"/>
          <w:szCs w:val="24"/>
        </w:rPr>
        <w:t xml:space="preserve"> na kultuře postihuj rozsah poptávky. Mezi dříve uvedené lze zařadit např. počet sedadel a představení v divadlech či v kinech, počet sbírkových předmětů, expozic a výstav v muzeích nebo rozsah knihovního fondu v knihovnách. Objem poptávky vyjadřují ukazatele počtu diváků, návštěvníků, čtenářů nebo počtu knižních výpůjček</w:t>
      </w:r>
      <w:r w:rsidR="000B549C">
        <w:rPr>
          <w:rFonts w:ascii="Calibri" w:hAnsi="Calibri" w:cs="Arial"/>
          <w:sz w:val="24"/>
          <w:szCs w:val="24"/>
        </w:rPr>
        <w:t>.</w:t>
      </w:r>
    </w:p>
    <w:p w:rsidR="00154AE4" w:rsidRPr="009E7A89" w:rsidRDefault="00154AE4" w:rsidP="006A6EF2">
      <w:pPr>
        <w:spacing w:after="120"/>
        <w:ind w:firstLine="284"/>
        <w:jc w:val="both"/>
        <w:rPr>
          <w:rFonts w:ascii="Calibri" w:hAnsi="Calibri" w:cs="Arial"/>
          <w:sz w:val="24"/>
          <w:szCs w:val="24"/>
        </w:rPr>
      </w:pPr>
      <w:r>
        <w:rPr>
          <w:rFonts w:ascii="Calibri" w:hAnsi="Calibri" w:cs="Arial"/>
          <w:sz w:val="24"/>
          <w:szCs w:val="24"/>
        </w:rPr>
        <w:t>V období od roku 2000 až do roku 2007 (který lze označit za předkrizový) se nabídkové ukazatele základních poskytovatelů tradiční kultury (památky, muzea, knihovny, divadla) zvyšovaly (viz tab.</w:t>
      </w:r>
      <w:r w:rsidR="005B66AD">
        <w:rPr>
          <w:rFonts w:ascii="Calibri" w:hAnsi="Calibri" w:cs="Arial"/>
          <w:sz w:val="24"/>
          <w:szCs w:val="24"/>
        </w:rPr>
        <w:t xml:space="preserve"> </w:t>
      </w:r>
      <w:r>
        <w:rPr>
          <w:rFonts w:ascii="Calibri" w:hAnsi="Calibri" w:cs="Arial"/>
          <w:sz w:val="24"/>
          <w:szCs w:val="24"/>
        </w:rPr>
        <w:t>č.</w:t>
      </w:r>
      <w:r w:rsidR="005B66AD">
        <w:rPr>
          <w:rFonts w:ascii="Calibri" w:hAnsi="Calibri" w:cs="Arial"/>
          <w:sz w:val="24"/>
          <w:szCs w:val="24"/>
        </w:rPr>
        <w:t xml:space="preserve"> </w:t>
      </w:r>
      <w:r w:rsidR="00136715">
        <w:rPr>
          <w:rFonts w:ascii="Calibri" w:hAnsi="Calibri" w:cs="Arial"/>
          <w:sz w:val="24"/>
          <w:szCs w:val="24"/>
        </w:rPr>
        <w:t>1</w:t>
      </w:r>
      <w:r>
        <w:rPr>
          <w:rFonts w:ascii="Calibri" w:hAnsi="Calibri" w:cs="Arial"/>
          <w:sz w:val="24"/>
          <w:szCs w:val="24"/>
        </w:rPr>
        <w:t>). Jedinou výjimkou je pokles počtu knihoven, ten však souvisí s optimalizací jejich sítě v obcích, nikoli s poklesem nabízených služeb, jejichž rozsah naopak nebývale vzrostl (viz ukazatel počtu</w:t>
      </w:r>
      <w:r w:rsidR="000B3AAC">
        <w:rPr>
          <w:rFonts w:ascii="Calibri" w:hAnsi="Calibri" w:cs="Arial"/>
          <w:sz w:val="24"/>
          <w:szCs w:val="24"/>
        </w:rPr>
        <w:t xml:space="preserve"> přístupných PC s internetem).</w:t>
      </w:r>
    </w:p>
    <w:p w:rsidR="00AD4CCF" w:rsidRPr="009E7A89" w:rsidRDefault="00F31454" w:rsidP="006A6EF2">
      <w:pPr>
        <w:pStyle w:val="Zkladntextodsazen2"/>
        <w:spacing w:after="120" w:line="276" w:lineRule="auto"/>
        <w:ind w:left="0" w:firstLine="284"/>
        <w:jc w:val="both"/>
        <w:rPr>
          <w:rFonts w:ascii="Calibri" w:hAnsi="Calibri" w:cs="Arial"/>
          <w:szCs w:val="24"/>
          <w:lang w:val="cs-CZ"/>
        </w:rPr>
      </w:pPr>
      <w:r>
        <w:rPr>
          <w:rFonts w:ascii="Calibri" w:hAnsi="Calibri" w:cs="Arial"/>
          <w:szCs w:val="24"/>
          <w:lang w:val="cs-CZ"/>
        </w:rPr>
        <w:t>Ve zmíněném období</w:t>
      </w:r>
      <w:r w:rsidR="00AD4CCF" w:rsidRPr="009E7A89">
        <w:rPr>
          <w:rFonts w:ascii="Calibri" w:hAnsi="Calibri" w:cs="Arial"/>
          <w:szCs w:val="24"/>
          <w:lang w:val="cs-CZ"/>
        </w:rPr>
        <w:t xml:space="preserve"> rostl i základní poptávkový ukazatel počtu návštěv. K mírně složitějšímu vývoji došlo opět v knihovnách (pokles počtu výpůjček a čtenářů) a to v důsledku změny struktury nabízených služeb. Knihovny tvoří nejhustější síť </w:t>
      </w:r>
      <w:r w:rsidR="003D0F31">
        <w:rPr>
          <w:rFonts w:ascii="Calibri" w:hAnsi="Calibri" w:cs="Arial"/>
          <w:szCs w:val="24"/>
          <w:lang w:val="cs-CZ"/>
        </w:rPr>
        <w:t xml:space="preserve">kulturních </w:t>
      </w:r>
      <w:r w:rsidR="003E250E">
        <w:rPr>
          <w:rFonts w:ascii="Calibri" w:hAnsi="Calibri" w:cs="Arial"/>
          <w:szCs w:val="24"/>
          <w:lang w:val="cs-CZ"/>
        </w:rPr>
        <w:t>zařízení v</w:t>
      </w:r>
      <w:r w:rsidR="00AD4CCF" w:rsidRPr="009E7A89">
        <w:rPr>
          <w:rFonts w:ascii="Calibri" w:hAnsi="Calibri" w:cs="Arial"/>
          <w:szCs w:val="24"/>
          <w:lang w:val="cs-CZ"/>
        </w:rPr>
        <w:t xml:space="preserve"> naší zemi a mimo jiné i z tohoto důvodu dnes mají mnohem širší poslání</w:t>
      </w:r>
      <w:r w:rsidR="00242E73">
        <w:rPr>
          <w:rFonts w:ascii="Calibri" w:hAnsi="Calibri" w:cs="Arial"/>
          <w:szCs w:val="24"/>
          <w:lang w:val="cs-CZ"/>
        </w:rPr>
        <w:t>,</w:t>
      </w:r>
      <w:r w:rsidR="00AD4CCF" w:rsidRPr="009E7A89">
        <w:rPr>
          <w:rFonts w:ascii="Calibri" w:hAnsi="Calibri" w:cs="Arial"/>
          <w:szCs w:val="24"/>
          <w:lang w:val="cs-CZ"/>
        </w:rPr>
        <w:t xml:space="preserve"> než tomu bylo v minulosti. Vedle tradičních knihovnických služeb poskytují také služby informační popř. i vzdělávací. Mnoho občanů tak navštěvuje knihovny z řady jiných důvodů než je vypůjčení knih, dokumentů či jiných nosičů informací. Přicházejí často proto, aby využili přístup k internetu, shlédli výstavu, zúčastnili se vzdělávací akce či kulturního pořadu. Zvyšuje se tak</w:t>
      </w:r>
      <w:r w:rsidR="0052555C">
        <w:rPr>
          <w:rFonts w:ascii="Calibri" w:hAnsi="Calibri" w:cs="Arial"/>
          <w:szCs w:val="24"/>
          <w:lang w:val="cs-CZ"/>
        </w:rPr>
        <w:t>é</w:t>
      </w:r>
      <w:r w:rsidR="00AD4CCF" w:rsidRPr="009E7A89">
        <w:rPr>
          <w:rFonts w:ascii="Calibri" w:hAnsi="Calibri" w:cs="Arial"/>
          <w:szCs w:val="24"/>
          <w:lang w:val="cs-CZ"/>
        </w:rPr>
        <w:t xml:space="preserve"> význam vzdáleného využívání služeb knihoven (současně i muzeí). Počet virtuálních návštěv se tak v případě knihoven již vyrovnal počtu návštěv reálných.</w:t>
      </w:r>
    </w:p>
    <w:p w:rsidR="00AD4CCF" w:rsidRDefault="00AD4CCF" w:rsidP="007B5D3A">
      <w:pPr>
        <w:pStyle w:val="Zkladntextodsazen2"/>
        <w:spacing w:line="276" w:lineRule="auto"/>
        <w:ind w:left="0" w:firstLine="284"/>
        <w:jc w:val="both"/>
        <w:rPr>
          <w:rFonts w:ascii="Calibri" w:hAnsi="Calibri" w:cs="Arial"/>
          <w:szCs w:val="24"/>
          <w:lang w:val="cs-CZ"/>
        </w:rPr>
      </w:pPr>
      <w:r w:rsidRPr="009E7A89">
        <w:rPr>
          <w:rFonts w:ascii="Calibri" w:hAnsi="Calibri" w:cs="Arial"/>
          <w:szCs w:val="24"/>
          <w:lang w:val="cs-CZ"/>
        </w:rPr>
        <w:t>Vývoj naturálních ukazatelů v oblasti tradičního umění v období finanční krize (2008 – 2013) byl v zásadě podobný. Lze proto říci, že i v tomto s</w:t>
      </w:r>
      <w:r w:rsidR="007A40C2">
        <w:rPr>
          <w:rFonts w:ascii="Calibri" w:hAnsi="Calibri" w:cs="Arial"/>
          <w:szCs w:val="24"/>
          <w:lang w:val="cs-CZ"/>
        </w:rPr>
        <w:t xml:space="preserve">ložitějším období se zvyšovaly </w:t>
      </w:r>
      <w:r w:rsidRPr="009E7A89">
        <w:rPr>
          <w:rFonts w:ascii="Calibri" w:hAnsi="Calibri" w:cs="Arial"/>
          <w:szCs w:val="24"/>
          <w:lang w:val="cs-CZ"/>
        </w:rPr>
        <w:t xml:space="preserve">ukazatele na obou stranách nabídko-poptávkového vztahu (jedinou výjimkou </w:t>
      </w:r>
      <w:r w:rsidR="00702C99">
        <w:rPr>
          <w:rFonts w:ascii="Calibri" w:hAnsi="Calibri" w:cs="Arial"/>
          <w:szCs w:val="24"/>
          <w:lang w:val="cs-CZ"/>
        </w:rPr>
        <w:t xml:space="preserve">byl z důvodu organizační změny počet </w:t>
      </w:r>
      <w:r w:rsidRPr="009E7A89">
        <w:rPr>
          <w:rFonts w:ascii="Calibri" w:hAnsi="Calibri" w:cs="Arial"/>
          <w:szCs w:val="24"/>
          <w:lang w:val="cs-CZ"/>
        </w:rPr>
        <w:t xml:space="preserve">návštěv u památkových objektů).  Je tedy  zřejmé, že  </w:t>
      </w:r>
      <w:r w:rsidRPr="009E7A89">
        <w:rPr>
          <w:rFonts w:ascii="Calibri" w:hAnsi="Calibri" w:cs="Arial"/>
          <w:b/>
          <w:szCs w:val="24"/>
          <w:lang w:val="cs-CZ"/>
        </w:rPr>
        <w:t>ani v období finanční krize se zájem veřejnosti  o kulturní služby  tradičního umění  nesnížil</w:t>
      </w:r>
      <w:r w:rsidR="00136715">
        <w:rPr>
          <w:rFonts w:ascii="Calibri" w:hAnsi="Calibri" w:cs="Arial"/>
          <w:b/>
          <w:szCs w:val="24"/>
          <w:lang w:val="cs-CZ"/>
        </w:rPr>
        <w:t xml:space="preserve"> </w:t>
      </w:r>
      <w:r w:rsidRPr="009E7A89">
        <w:rPr>
          <w:rFonts w:ascii="Calibri" w:hAnsi="Calibri" w:cs="Arial"/>
          <w:b/>
          <w:szCs w:val="24"/>
          <w:lang w:val="cs-CZ"/>
        </w:rPr>
        <w:t xml:space="preserve"> </w:t>
      </w:r>
      <w:r w:rsidRPr="009E7A89">
        <w:rPr>
          <w:rFonts w:ascii="Calibri" w:hAnsi="Calibri" w:cs="Arial"/>
          <w:szCs w:val="24"/>
          <w:lang w:val="cs-CZ"/>
        </w:rPr>
        <w:t>(viz</w:t>
      </w:r>
      <w:r w:rsidR="00136715">
        <w:rPr>
          <w:rFonts w:ascii="Calibri" w:hAnsi="Calibri" w:cs="Arial"/>
          <w:szCs w:val="24"/>
          <w:lang w:val="cs-CZ"/>
        </w:rPr>
        <w:t xml:space="preserve"> níže uvedená </w:t>
      </w:r>
      <w:r w:rsidRPr="009E7A89">
        <w:rPr>
          <w:rFonts w:ascii="Calibri" w:hAnsi="Calibri" w:cs="Arial"/>
          <w:szCs w:val="24"/>
          <w:lang w:val="cs-CZ"/>
        </w:rPr>
        <w:t>tab. č. 4</w:t>
      </w:r>
      <w:r w:rsidR="00136715">
        <w:rPr>
          <w:rFonts w:ascii="Calibri" w:hAnsi="Calibri" w:cs="Arial"/>
          <w:szCs w:val="24"/>
          <w:lang w:val="cs-CZ"/>
        </w:rPr>
        <w:t>).</w:t>
      </w:r>
    </w:p>
    <w:p w:rsidR="00136715" w:rsidRDefault="00136715" w:rsidP="00CC7C96">
      <w:pPr>
        <w:pStyle w:val="Zkladntextodsazen2"/>
        <w:spacing w:line="276" w:lineRule="auto"/>
        <w:ind w:left="0" w:firstLine="0"/>
        <w:jc w:val="both"/>
        <w:rPr>
          <w:rFonts w:ascii="Calibri" w:hAnsi="Calibri" w:cs="Arial"/>
          <w:szCs w:val="24"/>
          <w:lang w:val="cs-CZ"/>
        </w:rPr>
      </w:pPr>
    </w:p>
    <w:p w:rsidR="00136715" w:rsidRPr="009E7A89" w:rsidRDefault="00136715" w:rsidP="00136715">
      <w:pPr>
        <w:jc w:val="both"/>
        <w:rPr>
          <w:rFonts w:ascii="Calibri" w:hAnsi="Calibri"/>
          <w:b/>
          <w:sz w:val="24"/>
          <w:szCs w:val="24"/>
        </w:rPr>
      </w:pPr>
      <w:r w:rsidRPr="009E7A89">
        <w:rPr>
          <w:rFonts w:ascii="Calibri" w:hAnsi="Calibri"/>
          <w:b/>
          <w:sz w:val="24"/>
          <w:szCs w:val="24"/>
        </w:rPr>
        <w:t>Tab. č.</w:t>
      </w:r>
      <w:r>
        <w:rPr>
          <w:rFonts w:ascii="Calibri" w:hAnsi="Calibri"/>
          <w:b/>
          <w:sz w:val="24"/>
          <w:szCs w:val="24"/>
        </w:rPr>
        <w:t xml:space="preserve"> </w:t>
      </w:r>
      <w:r w:rsidRPr="009E7A89">
        <w:rPr>
          <w:rFonts w:ascii="Calibri" w:hAnsi="Calibri"/>
          <w:b/>
          <w:sz w:val="24"/>
          <w:szCs w:val="24"/>
        </w:rPr>
        <w:t>4</w:t>
      </w:r>
      <w:r w:rsidR="00410851">
        <w:rPr>
          <w:rFonts w:ascii="Calibri" w:hAnsi="Calibri"/>
          <w:b/>
          <w:sz w:val="24"/>
          <w:szCs w:val="24"/>
        </w:rPr>
        <w:t>.</w:t>
      </w:r>
      <w:r w:rsidRPr="009E7A89">
        <w:rPr>
          <w:rFonts w:ascii="Calibri" w:hAnsi="Calibri"/>
          <w:b/>
          <w:sz w:val="24"/>
          <w:szCs w:val="24"/>
        </w:rPr>
        <w:t xml:space="preserve"> Počet návštěv vybraných poskytovatelů služeb na 10 tis. ob. v letech 2010 -</w:t>
      </w:r>
      <w:r>
        <w:rPr>
          <w:rFonts w:ascii="Calibri" w:hAnsi="Calibri"/>
          <w:b/>
          <w:sz w:val="24"/>
          <w:szCs w:val="24"/>
        </w:rPr>
        <w:t xml:space="preserve"> </w:t>
      </w:r>
      <w:r w:rsidRPr="009E7A89">
        <w:rPr>
          <w:rFonts w:ascii="Calibri" w:hAnsi="Calibri"/>
          <w:b/>
          <w:sz w:val="24"/>
          <w:szCs w:val="24"/>
        </w:rPr>
        <w:t>12</w:t>
      </w:r>
    </w:p>
    <w:tbl>
      <w:tblPr>
        <w:tblW w:w="5000" w:type="pct"/>
        <w:jc w:val="center"/>
        <w:tblCellMar>
          <w:left w:w="70" w:type="dxa"/>
          <w:right w:w="70" w:type="dxa"/>
        </w:tblCellMar>
        <w:tblLook w:val="04A0"/>
      </w:tblPr>
      <w:tblGrid>
        <w:gridCol w:w="4040"/>
        <w:gridCol w:w="888"/>
        <w:gridCol w:w="888"/>
        <w:gridCol w:w="888"/>
        <w:gridCol w:w="2508"/>
      </w:tblGrid>
      <w:tr w:rsidR="00136715" w:rsidRPr="004D70BB" w:rsidTr="0038695F">
        <w:trPr>
          <w:trHeight w:val="1005"/>
          <w:jc w:val="center"/>
        </w:trPr>
        <w:tc>
          <w:tcPr>
            <w:tcW w:w="219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b/>
                <w:sz w:val="20"/>
                <w:szCs w:val="20"/>
              </w:rPr>
            </w:pPr>
            <w:r w:rsidRPr="004D70BB">
              <w:rPr>
                <w:rFonts w:ascii="Calibri" w:eastAsia="Times New Roman" w:hAnsi="Calibri" w:cs="Arial CE"/>
                <w:b/>
                <w:sz w:val="20"/>
                <w:szCs w:val="20"/>
              </w:rPr>
              <w:t>POSKYTOVATEL</w:t>
            </w:r>
          </w:p>
        </w:tc>
        <w:tc>
          <w:tcPr>
            <w:tcW w:w="482" w:type="pct"/>
            <w:tcBorders>
              <w:top w:val="single" w:sz="8" w:space="0" w:color="auto"/>
              <w:left w:val="nil"/>
              <w:bottom w:val="single" w:sz="8" w:space="0" w:color="auto"/>
              <w:right w:val="single" w:sz="4" w:space="0" w:color="auto"/>
            </w:tcBorders>
            <w:shd w:val="clear" w:color="auto" w:fill="auto"/>
            <w:vAlign w:val="center"/>
            <w:hideMark/>
          </w:tcPr>
          <w:p w:rsidR="00136715" w:rsidRPr="004D70BB" w:rsidRDefault="00136715" w:rsidP="00572E12">
            <w:pPr>
              <w:spacing w:after="0" w:line="240" w:lineRule="auto"/>
              <w:jc w:val="center"/>
              <w:rPr>
                <w:rFonts w:ascii="Calibri" w:eastAsia="Times New Roman" w:hAnsi="Calibri" w:cs="Arial CE"/>
                <w:b/>
                <w:sz w:val="20"/>
                <w:szCs w:val="20"/>
              </w:rPr>
            </w:pPr>
            <w:r w:rsidRPr="004D70BB">
              <w:rPr>
                <w:rFonts w:ascii="Calibri" w:eastAsia="Times New Roman" w:hAnsi="Calibri" w:cs="Arial CE"/>
                <w:b/>
                <w:sz w:val="20"/>
                <w:szCs w:val="20"/>
              </w:rPr>
              <w:t>2010</w:t>
            </w:r>
          </w:p>
        </w:tc>
        <w:tc>
          <w:tcPr>
            <w:tcW w:w="482" w:type="pct"/>
            <w:tcBorders>
              <w:top w:val="single" w:sz="8" w:space="0" w:color="auto"/>
              <w:left w:val="nil"/>
              <w:bottom w:val="single" w:sz="8" w:space="0" w:color="auto"/>
              <w:right w:val="single" w:sz="4" w:space="0" w:color="auto"/>
            </w:tcBorders>
            <w:shd w:val="clear" w:color="auto" w:fill="auto"/>
            <w:vAlign w:val="center"/>
            <w:hideMark/>
          </w:tcPr>
          <w:p w:rsidR="00136715" w:rsidRPr="004D70BB" w:rsidRDefault="00136715" w:rsidP="00572E12">
            <w:pPr>
              <w:spacing w:after="0" w:line="240" w:lineRule="auto"/>
              <w:jc w:val="center"/>
              <w:rPr>
                <w:rFonts w:ascii="Calibri" w:eastAsia="Times New Roman" w:hAnsi="Calibri" w:cs="Arial CE"/>
                <w:b/>
                <w:sz w:val="20"/>
                <w:szCs w:val="20"/>
              </w:rPr>
            </w:pPr>
            <w:r w:rsidRPr="004D70BB">
              <w:rPr>
                <w:rFonts w:ascii="Calibri" w:eastAsia="Times New Roman" w:hAnsi="Calibri" w:cs="Arial CE"/>
                <w:b/>
                <w:sz w:val="20"/>
                <w:szCs w:val="20"/>
              </w:rPr>
              <w:t>2011</w:t>
            </w:r>
          </w:p>
        </w:tc>
        <w:tc>
          <w:tcPr>
            <w:tcW w:w="482" w:type="pct"/>
            <w:tcBorders>
              <w:top w:val="single" w:sz="8" w:space="0" w:color="auto"/>
              <w:left w:val="nil"/>
              <w:bottom w:val="single" w:sz="8" w:space="0" w:color="auto"/>
              <w:right w:val="nil"/>
            </w:tcBorders>
            <w:shd w:val="clear" w:color="auto" w:fill="auto"/>
            <w:vAlign w:val="center"/>
            <w:hideMark/>
          </w:tcPr>
          <w:p w:rsidR="00136715" w:rsidRPr="004D70BB" w:rsidRDefault="00136715" w:rsidP="00572E12">
            <w:pPr>
              <w:spacing w:after="0" w:line="240" w:lineRule="auto"/>
              <w:jc w:val="center"/>
              <w:rPr>
                <w:rFonts w:ascii="Calibri" w:eastAsia="Times New Roman" w:hAnsi="Calibri" w:cs="Arial CE"/>
                <w:b/>
                <w:sz w:val="20"/>
                <w:szCs w:val="20"/>
              </w:rPr>
            </w:pPr>
            <w:r w:rsidRPr="004D70BB">
              <w:rPr>
                <w:rFonts w:ascii="Calibri" w:eastAsia="Times New Roman" w:hAnsi="Calibri" w:cs="Arial CE"/>
                <w:b/>
                <w:sz w:val="20"/>
                <w:szCs w:val="20"/>
              </w:rPr>
              <w:t>2012</w:t>
            </w:r>
          </w:p>
        </w:tc>
        <w:tc>
          <w:tcPr>
            <w:tcW w:w="1361"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136715" w:rsidRPr="004D70BB" w:rsidRDefault="00136715" w:rsidP="00572E12">
            <w:pPr>
              <w:spacing w:after="0" w:line="240" w:lineRule="auto"/>
              <w:jc w:val="center"/>
              <w:rPr>
                <w:rFonts w:ascii="Calibri" w:eastAsia="Times New Roman" w:hAnsi="Calibri" w:cs="Arial CE"/>
                <w:b/>
                <w:sz w:val="20"/>
                <w:szCs w:val="20"/>
              </w:rPr>
            </w:pPr>
            <w:r w:rsidRPr="004D70BB">
              <w:rPr>
                <w:rFonts w:ascii="Calibri" w:eastAsia="Times New Roman" w:hAnsi="Calibri" w:cs="Arial CE"/>
                <w:b/>
                <w:sz w:val="20"/>
                <w:szCs w:val="20"/>
              </w:rPr>
              <w:t>Index 2012/2010 v %</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Historické památky</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10 973</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11 595</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11 063</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100,8</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Muzea a galerie</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8 863</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9 544</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9 113</w:t>
            </w:r>
          </w:p>
        </w:tc>
        <w:tc>
          <w:tcPr>
            <w:tcW w:w="136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102,8</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Výstavní sály</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2 210</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2 200</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1 904</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86,2</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Knihovny</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21 067</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22 891</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23 120</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109,7</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Kina</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12 871</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10 279</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10 640</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82,7</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Divadla</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6 829</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7 152</w:t>
            </w:r>
          </w:p>
        </w:tc>
        <w:tc>
          <w:tcPr>
            <w:tcW w:w="482" w:type="pct"/>
            <w:tcBorders>
              <w:top w:val="nil"/>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6 945</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101,7</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Koncertní sály (soubory a festivaly)</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2 093</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2 300</w:t>
            </w:r>
          </w:p>
        </w:tc>
        <w:tc>
          <w:tcPr>
            <w:tcW w:w="482" w:type="pct"/>
            <w:tcBorders>
              <w:top w:val="nil"/>
              <w:left w:val="nil"/>
              <w:bottom w:val="nil"/>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2 227</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106,4</w:t>
            </w:r>
          </w:p>
        </w:tc>
      </w:tr>
      <w:tr w:rsidR="00136715" w:rsidRPr="004D70BB" w:rsidTr="0038695F">
        <w:trPr>
          <w:trHeight w:val="525"/>
          <w:jc w:val="center"/>
        </w:trPr>
        <w:tc>
          <w:tcPr>
            <w:tcW w:w="2192" w:type="pct"/>
            <w:tcBorders>
              <w:top w:val="nil"/>
              <w:left w:val="single" w:sz="8" w:space="0" w:color="auto"/>
              <w:bottom w:val="single" w:sz="4"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 xml:space="preserve">Kulturní domy </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7 910</w:t>
            </w:r>
          </w:p>
        </w:tc>
        <w:tc>
          <w:tcPr>
            <w:tcW w:w="482" w:type="pct"/>
            <w:tcBorders>
              <w:top w:val="nil"/>
              <w:left w:val="nil"/>
              <w:bottom w:val="single" w:sz="4"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7 700</w:t>
            </w:r>
          </w:p>
        </w:tc>
        <w:tc>
          <w:tcPr>
            <w:tcW w:w="482" w:type="pct"/>
            <w:tcBorders>
              <w:top w:val="single" w:sz="4" w:space="0" w:color="auto"/>
              <w:left w:val="nil"/>
              <w:bottom w:val="single" w:sz="4"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8 082</w:t>
            </w:r>
          </w:p>
        </w:tc>
        <w:tc>
          <w:tcPr>
            <w:tcW w:w="1361" w:type="pct"/>
            <w:tcBorders>
              <w:top w:val="nil"/>
              <w:left w:val="single" w:sz="4" w:space="0" w:color="auto"/>
              <w:bottom w:val="single" w:sz="4"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sz w:val="20"/>
                <w:szCs w:val="20"/>
              </w:rPr>
            </w:pPr>
            <w:r w:rsidRPr="004D70BB">
              <w:rPr>
                <w:rFonts w:ascii="Calibri" w:eastAsia="Times New Roman" w:hAnsi="Calibri" w:cs="Arial CE"/>
                <w:sz w:val="20"/>
                <w:szCs w:val="20"/>
              </w:rPr>
              <w:t>102,2</w:t>
            </w:r>
          </w:p>
        </w:tc>
      </w:tr>
      <w:tr w:rsidR="00136715" w:rsidRPr="004D70BB" w:rsidTr="0038695F">
        <w:trPr>
          <w:trHeight w:val="525"/>
          <w:jc w:val="center"/>
        </w:trPr>
        <w:tc>
          <w:tcPr>
            <w:tcW w:w="2192" w:type="pct"/>
            <w:tcBorders>
              <w:top w:val="nil"/>
              <w:left w:val="single" w:sz="8" w:space="0" w:color="auto"/>
              <w:bottom w:val="single" w:sz="8" w:space="0" w:color="auto"/>
              <w:right w:val="single" w:sz="8" w:space="0" w:color="auto"/>
            </w:tcBorders>
            <w:shd w:val="clear" w:color="auto" w:fill="auto"/>
            <w:vAlign w:val="center"/>
            <w:hideMark/>
          </w:tcPr>
          <w:p w:rsidR="00136715" w:rsidRPr="004D70BB" w:rsidRDefault="00136715" w:rsidP="00572E12">
            <w:pPr>
              <w:spacing w:after="0" w:line="240" w:lineRule="auto"/>
              <w:rPr>
                <w:rFonts w:ascii="Calibri" w:eastAsia="Times New Roman" w:hAnsi="Calibri" w:cs="Arial CE"/>
                <w:sz w:val="20"/>
                <w:szCs w:val="20"/>
              </w:rPr>
            </w:pPr>
            <w:r w:rsidRPr="004D70BB">
              <w:rPr>
                <w:rFonts w:ascii="Calibri" w:eastAsia="Times New Roman" w:hAnsi="Calibri" w:cs="Arial CE"/>
                <w:sz w:val="20"/>
                <w:szCs w:val="20"/>
              </w:rPr>
              <w:t xml:space="preserve">        </w:t>
            </w:r>
            <w:r w:rsidRPr="009E7A89">
              <w:rPr>
                <w:rFonts w:ascii="Calibri" w:eastAsia="Times New Roman" w:hAnsi="Calibri" w:cs="Arial CE"/>
                <w:b/>
                <w:bCs/>
                <w:sz w:val="20"/>
                <w:szCs w:val="20"/>
              </w:rPr>
              <w:t>C E L K E M</w:t>
            </w:r>
          </w:p>
        </w:tc>
        <w:tc>
          <w:tcPr>
            <w:tcW w:w="482" w:type="pct"/>
            <w:tcBorders>
              <w:top w:val="nil"/>
              <w:left w:val="nil"/>
              <w:bottom w:val="single" w:sz="8"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b/>
                <w:bCs/>
                <w:sz w:val="20"/>
                <w:szCs w:val="20"/>
              </w:rPr>
            </w:pPr>
            <w:r w:rsidRPr="004D70BB">
              <w:rPr>
                <w:rFonts w:ascii="Calibri" w:eastAsia="Times New Roman" w:hAnsi="Calibri" w:cs="Arial CE"/>
                <w:b/>
                <w:bCs/>
                <w:sz w:val="20"/>
                <w:szCs w:val="20"/>
              </w:rPr>
              <w:t>72 816</w:t>
            </w:r>
          </w:p>
        </w:tc>
        <w:tc>
          <w:tcPr>
            <w:tcW w:w="482" w:type="pct"/>
            <w:tcBorders>
              <w:top w:val="nil"/>
              <w:left w:val="nil"/>
              <w:bottom w:val="single" w:sz="8" w:space="0" w:color="auto"/>
              <w:right w:val="single" w:sz="4"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b/>
                <w:bCs/>
                <w:sz w:val="20"/>
                <w:szCs w:val="20"/>
              </w:rPr>
            </w:pPr>
            <w:r w:rsidRPr="004D70BB">
              <w:rPr>
                <w:rFonts w:ascii="Calibri" w:eastAsia="Times New Roman" w:hAnsi="Calibri" w:cs="Arial CE"/>
                <w:b/>
                <w:bCs/>
                <w:sz w:val="20"/>
                <w:szCs w:val="20"/>
              </w:rPr>
              <w:t>73 661</w:t>
            </w:r>
          </w:p>
        </w:tc>
        <w:tc>
          <w:tcPr>
            <w:tcW w:w="482" w:type="pct"/>
            <w:tcBorders>
              <w:top w:val="nil"/>
              <w:left w:val="nil"/>
              <w:bottom w:val="single" w:sz="8" w:space="0" w:color="auto"/>
              <w:right w:val="nil"/>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b/>
                <w:bCs/>
                <w:sz w:val="20"/>
                <w:szCs w:val="20"/>
              </w:rPr>
            </w:pPr>
            <w:r w:rsidRPr="004D70BB">
              <w:rPr>
                <w:rFonts w:ascii="Calibri" w:eastAsia="Times New Roman" w:hAnsi="Calibri" w:cs="Arial CE"/>
                <w:b/>
                <w:bCs/>
                <w:sz w:val="20"/>
                <w:szCs w:val="20"/>
              </w:rPr>
              <w:t>73 094</w:t>
            </w:r>
          </w:p>
        </w:tc>
        <w:tc>
          <w:tcPr>
            <w:tcW w:w="1361"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36715" w:rsidRPr="004D70BB" w:rsidRDefault="00136715" w:rsidP="00572E12">
            <w:pPr>
              <w:spacing w:after="0" w:line="240" w:lineRule="auto"/>
              <w:jc w:val="center"/>
              <w:rPr>
                <w:rFonts w:ascii="Calibri" w:eastAsia="Times New Roman" w:hAnsi="Calibri" w:cs="Arial CE"/>
                <w:b/>
                <w:bCs/>
                <w:sz w:val="20"/>
                <w:szCs w:val="20"/>
              </w:rPr>
            </w:pPr>
            <w:r w:rsidRPr="004D70BB">
              <w:rPr>
                <w:rFonts w:ascii="Calibri" w:eastAsia="Times New Roman" w:hAnsi="Calibri" w:cs="Arial CE"/>
                <w:b/>
                <w:bCs/>
                <w:sz w:val="20"/>
                <w:szCs w:val="20"/>
              </w:rPr>
              <w:t>100,4</w:t>
            </w:r>
          </w:p>
        </w:tc>
      </w:tr>
    </w:tbl>
    <w:p w:rsidR="00136715" w:rsidRDefault="00136715" w:rsidP="00CB6418">
      <w:pPr>
        <w:pStyle w:val="Zkladntextodsazen2"/>
        <w:spacing w:line="276" w:lineRule="auto"/>
        <w:ind w:left="0" w:firstLine="0"/>
        <w:jc w:val="both"/>
        <w:rPr>
          <w:rFonts w:ascii="Calibri" w:hAnsi="Calibri" w:cs="Arial"/>
          <w:szCs w:val="24"/>
          <w:lang w:val="cs-CZ"/>
        </w:rPr>
      </w:pPr>
    </w:p>
    <w:p w:rsidR="00136715" w:rsidRPr="009E7A89" w:rsidRDefault="00136715" w:rsidP="0022200C">
      <w:pPr>
        <w:pStyle w:val="Zkladntextodsazen2"/>
        <w:spacing w:line="276" w:lineRule="auto"/>
        <w:ind w:left="0" w:firstLine="426"/>
        <w:jc w:val="both"/>
        <w:rPr>
          <w:rFonts w:ascii="Calibri" w:hAnsi="Calibri" w:cs="Arial"/>
          <w:szCs w:val="24"/>
          <w:lang w:val="cs-CZ"/>
        </w:rPr>
      </w:pPr>
    </w:p>
    <w:p w:rsidR="00AD4CCF" w:rsidRPr="009E7A89" w:rsidRDefault="00C25CB8" w:rsidP="0038695F">
      <w:pPr>
        <w:spacing w:after="120"/>
        <w:ind w:firstLine="284"/>
        <w:jc w:val="both"/>
        <w:rPr>
          <w:rFonts w:ascii="Calibri" w:hAnsi="Calibri"/>
          <w:sz w:val="24"/>
          <w:szCs w:val="24"/>
        </w:rPr>
      </w:pPr>
      <w:r>
        <w:rPr>
          <w:rFonts w:ascii="Calibri" w:hAnsi="Calibri"/>
          <w:b/>
          <w:sz w:val="24"/>
          <w:szCs w:val="24"/>
        </w:rPr>
        <w:t>Hodnocení</w:t>
      </w:r>
      <w:r w:rsidR="00AD4CCF" w:rsidRPr="009E7A89">
        <w:rPr>
          <w:rFonts w:ascii="Calibri" w:hAnsi="Calibri"/>
          <w:b/>
          <w:sz w:val="24"/>
          <w:szCs w:val="24"/>
        </w:rPr>
        <w:t xml:space="preserve"> </w:t>
      </w:r>
      <w:r w:rsidR="00AD4CCF" w:rsidRPr="009E7A89">
        <w:rPr>
          <w:rFonts w:ascii="Calibri" w:hAnsi="Calibri"/>
          <w:sz w:val="24"/>
          <w:szCs w:val="24"/>
        </w:rPr>
        <w:t>vývoje kultury</w:t>
      </w:r>
      <w:r w:rsidR="005C32D2">
        <w:rPr>
          <w:rFonts w:ascii="Calibri" w:hAnsi="Calibri"/>
          <w:b/>
          <w:sz w:val="24"/>
          <w:szCs w:val="24"/>
        </w:rPr>
        <w:t xml:space="preserve"> s využitím</w:t>
      </w:r>
      <w:r w:rsidR="00AD4CCF" w:rsidRPr="009E7A89">
        <w:rPr>
          <w:rFonts w:ascii="Calibri" w:hAnsi="Calibri"/>
          <w:b/>
          <w:sz w:val="24"/>
          <w:szCs w:val="24"/>
        </w:rPr>
        <w:t xml:space="preserve"> hodnotových ukazatelů</w:t>
      </w:r>
      <w:r w:rsidR="00136715">
        <w:rPr>
          <w:rFonts w:ascii="Calibri" w:hAnsi="Calibri"/>
          <w:b/>
          <w:sz w:val="24"/>
          <w:szCs w:val="24"/>
        </w:rPr>
        <w:t xml:space="preserve"> zahrnuje celý kulturní sektor a</w:t>
      </w:r>
      <w:r w:rsidR="0022200C">
        <w:rPr>
          <w:rFonts w:ascii="Calibri" w:hAnsi="Calibri"/>
          <w:sz w:val="24"/>
          <w:szCs w:val="24"/>
        </w:rPr>
        <w:t xml:space="preserve"> má </w:t>
      </w:r>
      <w:r w:rsidR="00136715">
        <w:rPr>
          <w:rFonts w:ascii="Calibri" w:hAnsi="Calibri"/>
          <w:sz w:val="24"/>
          <w:szCs w:val="24"/>
        </w:rPr>
        <w:t>tak mnohem</w:t>
      </w:r>
      <w:r w:rsidR="0022200C">
        <w:rPr>
          <w:rFonts w:ascii="Calibri" w:hAnsi="Calibri"/>
          <w:sz w:val="24"/>
          <w:szCs w:val="24"/>
        </w:rPr>
        <w:t xml:space="preserve"> širší, ač</w:t>
      </w:r>
      <w:r w:rsidR="00AD4CCF" w:rsidRPr="009E7A89">
        <w:rPr>
          <w:rFonts w:ascii="Calibri" w:hAnsi="Calibri"/>
          <w:sz w:val="24"/>
          <w:szCs w:val="24"/>
        </w:rPr>
        <w:t xml:space="preserve"> - z pohledu času - </w:t>
      </w:r>
      <w:r w:rsidR="00136715">
        <w:rPr>
          <w:rFonts w:ascii="Calibri" w:hAnsi="Calibri"/>
          <w:sz w:val="24"/>
          <w:szCs w:val="24"/>
        </w:rPr>
        <w:t xml:space="preserve"> naopak</w:t>
      </w:r>
      <w:r w:rsidR="00AD4CCF" w:rsidRPr="009E7A89">
        <w:rPr>
          <w:rFonts w:ascii="Calibri" w:hAnsi="Calibri"/>
          <w:sz w:val="24"/>
          <w:szCs w:val="24"/>
        </w:rPr>
        <w:t xml:space="preserve"> mnohem kratší záběr. Mezi základní zj</w:t>
      </w:r>
      <w:r w:rsidR="006407A6">
        <w:rPr>
          <w:rFonts w:ascii="Calibri" w:hAnsi="Calibri"/>
          <w:sz w:val="24"/>
          <w:szCs w:val="24"/>
        </w:rPr>
        <w:t>i</w:t>
      </w:r>
      <w:r w:rsidR="005C32D2">
        <w:rPr>
          <w:rFonts w:ascii="Calibri" w:hAnsi="Calibri"/>
          <w:sz w:val="24"/>
          <w:szCs w:val="24"/>
        </w:rPr>
        <w:t>štění patří</w:t>
      </w:r>
      <w:r w:rsidR="00AD4CCF" w:rsidRPr="009E7A89">
        <w:rPr>
          <w:rFonts w:ascii="Calibri" w:hAnsi="Calibri"/>
          <w:sz w:val="24"/>
          <w:szCs w:val="24"/>
        </w:rPr>
        <w:t xml:space="preserve"> skutečnost, že </w:t>
      </w:r>
      <w:r w:rsidR="005C32D2">
        <w:rPr>
          <w:rFonts w:ascii="Calibri" w:hAnsi="Calibri"/>
          <w:b/>
          <w:sz w:val="24"/>
          <w:szCs w:val="24"/>
        </w:rPr>
        <w:t>širokou oblast</w:t>
      </w:r>
      <w:r w:rsidR="00AD4CCF" w:rsidRPr="009E7A89">
        <w:rPr>
          <w:rFonts w:ascii="Calibri" w:hAnsi="Calibri"/>
          <w:b/>
          <w:sz w:val="24"/>
          <w:szCs w:val="24"/>
        </w:rPr>
        <w:t xml:space="preserve"> kultury</w:t>
      </w:r>
      <w:r w:rsidR="00AD4CCF" w:rsidRPr="009E7A89">
        <w:rPr>
          <w:rFonts w:ascii="Calibri" w:hAnsi="Calibri"/>
          <w:sz w:val="24"/>
          <w:szCs w:val="24"/>
        </w:rPr>
        <w:t xml:space="preserve"> </w:t>
      </w:r>
      <w:r w:rsidR="00AD4CCF" w:rsidRPr="009E7A89">
        <w:rPr>
          <w:rFonts w:ascii="Calibri" w:hAnsi="Calibri"/>
          <w:b/>
          <w:sz w:val="24"/>
          <w:szCs w:val="24"/>
        </w:rPr>
        <w:t xml:space="preserve">nelze </w:t>
      </w:r>
      <w:r w:rsidR="005C32D2">
        <w:rPr>
          <w:rFonts w:ascii="Calibri" w:hAnsi="Calibri"/>
          <w:sz w:val="24"/>
          <w:szCs w:val="24"/>
        </w:rPr>
        <w:t>– ani z  ekonomického pohledu –</w:t>
      </w:r>
      <w:r w:rsidR="00AD4CCF" w:rsidRPr="009E7A89">
        <w:rPr>
          <w:rFonts w:ascii="Calibri" w:hAnsi="Calibri"/>
          <w:sz w:val="24"/>
          <w:szCs w:val="24"/>
        </w:rPr>
        <w:t xml:space="preserve"> </w:t>
      </w:r>
      <w:r w:rsidR="00AD4CCF" w:rsidRPr="009E7A89">
        <w:rPr>
          <w:rFonts w:ascii="Calibri" w:hAnsi="Calibri"/>
          <w:b/>
          <w:sz w:val="24"/>
          <w:szCs w:val="24"/>
        </w:rPr>
        <w:t>hodnotit jako jeden celek.</w:t>
      </w:r>
      <w:r w:rsidR="002C71FA">
        <w:rPr>
          <w:rFonts w:ascii="Calibri" w:hAnsi="Calibri"/>
          <w:sz w:val="24"/>
          <w:szCs w:val="24"/>
        </w:rPr>
        <w:t xml:space="preserve"> Člení se</w:t>
      </w:r>
      <w:r w:rsidR="003566E0">
        <w:rPr>
          <w:rFonts w:ascii="Calibri" w:hAnsi="Calibri"/>
          <w:sz w:val="24"/>
          <w:szCs w:val="24"/>
        </w:rPr>
        <w:t xml:space="preserve"> zhruba</w:t>
      </w:r>
      <w:r w:rsidR="005C32D2">
        <w:rPr>
          <w:rFonts w:ascii="Calibri" w:hAnsi="Calibri"/>
          <w:sz w:val="24"/>
          <w:szCs w:val="24"/>
        </w:rPr>
        <w:t xml:space="preserve"> do dvou</w:t>
      </w:r>
      <w:r w:rsidR="00AD4CCF" w:rsidRPr="009E7A89">
        <w:rPr>
          <w:rFonts w:ascii="Calibri" w:hAnsi="Calibri"/>
          <w:sz w:val="24"/>
          <w:szCs w:val="24"/>
        </w:rPr>
        <w:t xml:space="preserve"> zcela odlišných částí a ukazuje se, že každá z nich se vyrovná</w:t>
      </w:r>
      <w:r w:rsidR="005C32D2">
        <w:rPr>
          <w:rFonts w:ascii="Calibri" w:hAnsi="Calibri"/>
          <w:sz w:val="24"/>
          <w:szCs w:val="24"/>
        </w:rPr>
        <w:t xml:space="preserve">vala </w:t>
      </w:r>
      <w:r w:rsidR="003566E0">
        <w:rPr>
          <w:rFonts w:ascii="Calibri" w:hAnsi="Calibri"/>
          <w:sz w:val="24"/>
          <w:szCs w:val="24"/>
        </w:rPr>
        <w:t>s</w:t>
      </w:r>
      <w:r w:rsidR="005C32D2">
        <w:rPr>
          <w:rFonts w:ascii="Calibri" w:hAnsi="Calibri"/>
          <w:sz w:val="24"/>
          <w:szCs w:val="24"/>
        </w:rPr>
        <w:t>e zhoršenými</w:t>
      </w:r>
      <w:r w:rsidR="003566E0">
        <w:rPr>
          <w:rFonts w:ascii="Calibri" w:hAnsi="Calibri"/>
          <w:sz w:val="24"/>
          <w:szCs w:val="24"/>
        </w:rPr>
        <w:t xml:space="preserve"> </w:t>
      </w:r>
      <w:r w:rsidR="005C32D2">
        <w:rPr>
          <w:rFonts w:ascii="Calibri" w:hAnsi="Calibri"/>
          <w:sz w:val="24"/>
          <w:szCs w:val="24"/>
        </w:rPr>
        <w:t>podmínkami</w:t>
      </w:r>
      <w:r w:rsidR="00AD4CCF" w:rsidRPr="009E7A89">
        <w:rPr>
          <w:rFonts w:ascii="Calibri" w:hAnsi="Calibri"/>
          <w:sz w:val="24"/>
          <w:szCs w:val="24"/>
        </w:rPr>
        <w:t xml:space="preserve"> hospodaření jiným způsobem.</w:t>
      </w:r>
    </w:p>
    <w:p w:rsidR="00AD4CCF" w:rsidRPr="009E7A89" w:rsidRDefault="00AD4CCF" w:rsidP="0038695F">
      <w:pPr>
        <w:spacing w:after="120"/>
        <w:ind w:firstLine="284"/>
        <w:jc w:val="both"/>
        <w:rPr>
          <w:rFonts w:ascii="Calibri" w:hAnsi="Calibri"/>
          <w:sz w:val="24"/>
          <w:szCs w:val="24"/>
        </w:rPr>
      </w:pPr>
      <w:r w:rsidRPr="009E7A89">
        <w:rPr>
          <w:rFonts w:ascii="Calibri" w:hAnsi="Calibri"/>
          <w:b/>
          <w:sz w:val="24"/>
          <w:szCs w:val="24"/>
        </w:rPr>
        <w:t>Tradiční umění</w:t>
      </w:r>
      <w:r w:rsidRPr="009E7A89">
        <w:rPr>
          <w:rFonts w:ascii="Calibri" w:hAnsi="Calibri"/>
          <w:sz w:val="24"/>
          <w:szCs w:val="24"/>
        </w:rPr>
        <w:t xml:space="preserve"> je - z pohledu vlastnických forem - v převažující míře zast</w:t>
      </w:r>
      <w:r w:rsidR="005C32D2">
        <w:rPr>
          <w:rFonts w:ascii="Calibri" w:hAnsi="Calibri"/>
          <w:sz w:val="24"/>
          <w:szCs w:val="24"/>
        </w:rPr>
        <w:t>oupeno</w:t>
      </w:r>
      <w:r w:rsidR="003566E0">
        <w:rPr>
          <w:rFonts w:ascii="Calibri" w:hAnsi="Calibri"/>
          <w:sz w:val="24"/>
          <w:szCs w:val="24"/>
        </w:rPr>
        <w:t xml:space="preserve"> institucemi,</w:t>
      </w:r>
      <w:r w:rsidRPr="009E7A89">
        <w:rPr>
          <w:rFonts w:ascii="Calibri" w:hAnsi="Calibri"/>
          <w:sz w:val="24"/>
          <w:szCs w:val="24"/>
        </w:rPr>
        <w:t xml:space="preserve"> jejichž zakladatelem jsou státní orgán</w:t>
      </w:r>
      <w:r w:rsidR="002C71FA">
        <w:rPr>
          <w:rFonts w:ascii="Calibri" w:hAnsi="Calibri"/>
          <w:sz w:val="24"/>
          <w:szCs w:val="24"/>
        </w:rPr>
        <w:t>y. V období finanční krize bylo nejvíce dotčeno snížením veřejných</w:t>
      </w:r>
      <w:r w:rsidRPr="009E7A89">
        <w:rPr>
          <w:rFonts w:ascii="Calibri" w:hAnsi="Calibri"/>
          <w:sz w:val="24"/>
          <w:szCs w:val="24"/>
        </w:rPr>
        <w:t xml:space="preserve"> v</w:t>
      </w:r>
      <w:r w:rsidR="002C71FA">
        <w:rPr>
          <w:rFonts w:ascii="Calibri" w:hAnsi="Calibri"/>
          <w:sz w:val="24"/>
          <w:szCs w:val="24"/>
        </w:rPr>
        <w:t>ýdajů na kulturu a v menší míře</w:t>
      </w:r>
      <w:r w:rsidRPr="009E7A89">
        <w:rPr>
          <w:rFonts w:ascii="Calibri" w:hAnsi="Calibri"/>
          <w:sz w:val="24"/>
          <w:szCs w:val="24"/>
        </w:rPr>
        <w:t xml:space="preserve"> také poklesem finančních zdrojů ze zahraničí, které mají podobné zaměření jako tuzemské veř</w:t>
      </w:r>
      <w:r w:rsidR="002C71FA">
        <w:rPr>
          <w:rFonts w:ascii="Calibri" w:hAnsi="Calibri"/>
          <w:sz w:val="24"/>
          <w:szCs w:val="24"/>
        </w:rPr>
        <w:t>ejné zdroje. Naopak</w:t>
      </w:r>
      <w:r w:rsidR="00905BF3">
        <w:rPr>
          <w:rFonts w:ascii="Calibri" w:hAnsi="Calibri"/>
          <w:sz w:val="24"/>
          <w:szCs w:val="24"/>
        </w:rPr>
        <w:t xml:space="preserve"> </w:t>
      </w:r>
      <w:r w:rsidR="00905BF3" w:rsidRPr="00702C99">
        <w:rPr>
          <w:rFonts w:ascii="Calibri" w:hAnsi="Calibri"/>
          <w:b/>
          <w:sz w:val="24"/>
          <w:szCs w:val="24"/>
        </w:rPr>
        <w:t>stabilizační</w:t>
      </w:r>
      <w:r w:rsidRPr="00702C99">
        <w:rPr>
          <w:rFonts w:ascii="Calibri" w:hAnsi="Calibri"/>
          <w:b/>
          <w:sz w:val="24"/>
          <w:szCs w:val="24"/>
        </w:rPr>
        <w:t xml:space="preserve"> r</w:t>
      </w:r>
      <w:r w:rsidR="005C6155" w:rsidRPr="00702C99">
        <w:rPr>
          <w:rFonts w:ascii="Calibri" w:hAnsi="Calibri"/>
          <w:b/>
          <w:sz w:val="24"/>
          <w:szCs w:val="24"/>
        </w:rPr>
        <w:t>oli plnily</w:t>
      </w:r>
      <w:r w:rsidR="002C71FA" w:rsidRPr="00702C99">
        <w:rPr>
          <w:rFonts w:ascii="Calibri" w:hAnsi="Calibri"/>
          <w:b/>
          <w:sz w:val="24"/>
          <w:szCs w:val="24"/>
        </w:rPr>
        <w:t xml:space="preserve"> výdaje domácností</w:t>
      </w:r>
      <w:r w:rsidR="002C71FA">
        <w:rPr>
          <w:rFonts w:ascii="Calibri" w:hAnsi="Calibri"/>
          <w:sz w:val="24"/>
          <w:szCs w:val="24"/>
        </w:rPr>
        <w:t>,</w:t>
      </w:r>
      <w:r w:rsidRPr="009E7A89">
        <w:rPr>
          <w:rFonts w:ascii="Calibri" w:hAnsi="Calibri"/>
          <w:sz w:val="24"/>
          <w:szCs w:val="24"/>
        </w:rPr>
        <w:t xml:space="preserve"> které svou participaci na klasických kulturních oborech – na rozdíl od jiných oblastí spotřeby - nesnižovaly. To potvrzuje výše uvedený závěr vycházejí</w:t>
      </w:r>
      <w:r w:rsidR="002C71FA">
        <w:rPr>
          <w:rFonts w:ascii="Calibri" w:hAnsi="Calibri"/>
          <w:sz w:val="24"/>
          <w:szCs w:val="24"/>
        </w:rPr>
        <w:t>cí z dat naturálních ukazatelů.</w:t>
      </w:r>
      <w:r w:rsidR="00572E12">
        <w:rPr>
          <w:rFonts w:ascii="Calibri" w:hAnsi="Calibri"/>
          <w:sz w:val="24"/>
          <w:szCs w:val="24"/>
        </w:rPr>
        <w:t xml:space="preserve"> </w:t>
      </w:r>
      <w:r w:rsidR="009B15A0">
        <w:rPr>
          <w:rFonts w:ascii="Calibri" w:hAnsi="Calibri"/>
          <w:sz w:val="24"/>
          <w:szCs w:val="24"/>
        </w:rPr>
        <w:t xml:space="preserve">V této souvislosti lze odvodit další poznatek týkající se tradičního umění. Ukazuje se, že (snad s  výjimkou návštěvnické krize 90. let následujících po </w:t>
      </w:r>
      <w:r w:rsidR="001424B0">
        <w:rPr>
          <w:rFonts w:ascii="Calibri" w:hAnsi="Calibri"/>
          <w:sz w:val="24"/>
          <w:szCs w:val="24"/>
        </w:rPr>
        <w:t xml:space="preserve">zásadních </w:t>
      </w:r>
      <w:r w:rsidR="009B15A0">
        <w:rPr>
          <w:rFonts w:ascii="Calibri" w:hAnsi="Calibri"/>
          <w:sz w:val="24"/>
          <w:szCs w:val="24"/>
        </w:rPr>
        <w:t xml:space="preserve">celospolečenských změnách) </w:t>
      </w:r>
      <w:r w:rsidR="009B15A0" w:rsidRPr="009B15A0">
        <w:rPr>
          <w:rFonts w:ascii="Calibri" w:hAnsi="Calibri"/>
          <w:b/>
          <w:sz w:val="24"/>
          <w:szCs w:val="24"/>
        </w:rPr>
        <w:t>poptávka po</w:t>
      </w:r>
      <w:r w:rsidR="001424B0">
        <w:rPr>
          <w:rFonts w:ascii="Calibri" w:hAnsi="Calibri"/>
          <w:b/>
          <w:sz w:val="24"/>
          <w:szCs w:val="24"/>
        </w:rPr>
        <w:t xml:space="preserve"> </w:t>
      </w:r>
      <w:r w:rsidR="009B15A0" w:rsidRPr="009B15A0">
        <w:rPr>
          <w:rFonts w:ascii="Calibri" w:hAnsi="Calibri"/>
          <w:b/>
          <w:sz w:val="24"/>
          <w:szCs w:val="24"/>
        </w:rPr>
        <w:t>statcích a službách</w:t>
      </w:r>
      <w:r w:rsidR="001424B0">
        <w:rPr>
          <w:rFonts w:ascii="Calibri" w:hAnsi="Calibri"/>
          <w:b/>
          <w:sz w:val="24"/>
          <w:szCs w:val="24"/>
        </w:rPr>
        <w:t xml:space="preserve"> tradičního umění </w:t>
      </w:r>
      <w:r w:rsidR="009B15A0" w:rsidRPr="009B15A0">
        <w:rPr>
          <w:rFonts w:ascii="Calibri" w:hAnsi="Calibri"/>
          <w:b/>
          <w:sz w:val="24"/>
          <w:szCs w:val="24"/>
        </w:rPr>
        <w:t>je</w:t>
      </w:r>
      <w:r w:rsidR="009B15A0">
        <w:rPr>
          <w:rFonts w:ascii="Calibri" w:hAnsi="Calibri"/>
          <w:sz w:val="24"/>
          <w:szCs w:val="24"/>
        </w:rPr>
        <w:t xml:space="preserve"> </w:t>
      </w:r>
      <w:r w:rsidR="009B15A0" w:rsidRPr="009B15A0">
        <w:rPr>
          <w:rFonts w:ascii="Calibri" w:hAnsi="Calibri"/>
          <w:b/>
          <w:sz w:val="24"/>
          <w:szCs w:val="24"/>
        </w:rPr>
        <w:t>i v letech krize</w:t>
      </w:r>
      <w:r w:rsidR="009B15A0">
        <w:rPr>
          <w:rFonts w:ascii="Calibri" w:hAnsi="Calibri"/>
          <w:sz w:val="24"/>
          <w:szCs w:val="24"/>
        </w:rPr>
        <w:t xml:space="preserve"> </w:t>
      </w:r>
      <w:r w:rsidR="009B15A0" w:rsidRPr="009B15A0">
        <w:rPr>
          <w:rFonts w:ascii="Calibri" w:hAnsi="Calibri"/>
          <w:b/>
          <w:sz w:val="24"/>
          <w:szCs w:val="24"/>
        </w:rPr>
        <w:t>nepružná, zejména směrem dolů</w:t>
      </w:r>
      <w:r w:rsidR="009B15A0">
        <w:rPr>
          <w:rFonts w:ascii="Calibri" w:hAnsi="Calibri"/>
          <w:sz w:val="24"/>
          <w:szCs w:val="24"/>
        </w:rPr>
        <w:t>. Bylo proto žádoucí i v těchto těžkých dobách ze strany veřejných výdajů na kulturu podpořit nabídku tak</w:t>
      </w:r>
      <w:r w:rsidR="008F5BC8">
        <w:rPr>
          <w:rFonts w:ascii="Calibri" w:hAnsi="Calibri"/>
          <w:sz w:val="24"/>
          <w:szCs w:val="24"/>
        </w:rPr>
        <w:t>,</w:t>
      </w:r>
      <w:r w:rsidR="009B15A0">
        <w:rPr>
          <w:rFonts w:ascii="Calibri" w:hAnsi="Calibri"/>
          <w:sz w:val="24"/>
          <w:szCs w:val="24"/>
        </w:rPr>
        <w:t xml:space="preserve"> aby</w:t>
      </w:r>
      <w:r w:rsidR="00CA52D7">
        <w:rPr>
          <w:rFonts w:ascii="Calibri" w:hAnsi="Calibri"/>
          <w:sz w:val="24"/>
          <w:szCs w:val="24"/>
        </w:rPr>
        <w:t xml:space="preserve"> mohla </w:t>
      </w:r>
      <w:r w:rsidR="008F5BC8">
        <w:rPr>
          <w:rFonts w:ascii="Calibri" w:hAnsi="Calibri"/>
          <w:sz w:val="24"/>
          <w:szCs w:val="24"/>
        </w:rPr>
        <w:t xml:space="preserve">víceméně stabilní poptávku </w:t>
      </w:r>
      <w:r w:rsidR="009B15A0">
        <w:rPr>
          <w:rFonts w:ascii="Calibri" w:hAnsi="Calibri"/>
          <w:sz w:val="24"/>
          <w:szCs w:val="24"/>
        </w:rPr>
        <w:t xml:space="preserve">uspokojit. </w:t>
      </w:r>
      <w:r w:rsidRPr="009E7A89">
        <w:rPr>
          <w:rFonts w:ascii="Calibri" w:hAnsi="Calibri"/>
          <w:sz w:val="24"/>
          <w:szCs w:val="24"/>
        </w:rPr>
        <w:t>Ho</w:t>
      </w:r>
      <w:r w:rsidR="002C71FA">
        <w:rPr>
          <w:rFonts w:ascii="Calibri" w:hAnsi="Calibri"/>
          <w:sz w:val="24"/>
          <w:szCs w:val="24"/>
        </w:rPr>
        <w:t>spodaření</w:t>
      </w:r>
      <w:r w:rsidR="00905BF3">
        <w:rPr>
          <w:rFonts w:ascii="Calibri" w:hAnsi="Calibri"/>
          <w:sz w:val="24"/>
          <w:szCs w:val="24"/>
        </w:rPr>
        <w:t xml:space="preserve"> institucí tradičního umění</w:t>
      </w:r>
      <w:r w:rsidR="008F5BC8">
        <w:rPr>
          <w:rFonts w:ascii="Calibri" w:hAnsi="Calibri"/>
          <w:sz w:val="24"/>
          <w:szCs w:val="24"/>
        </w:rPr>
        <w:t xml:space="preserve"> běžně </w:t>
      </w:r>
      <w:r w:rsidRPr="009E7A89">
        <w:rPr>
          <w:rFonts w:ascii="Calibri" w:hAnsi="Calibri"/>
          <w:sz w:val="24"/>
          <w:szCs w:val="24"/>
        </w:rPr>
        <w:t>využívá poměrně omez</w:t>
      </w:r>
      <w:r w:rsidR="005C6155">
        <w:rPr>
          <w:rFonts w:ascii="Calibri" w:hAnsi="Calibri"/>
          <w:sz w:val="24"/>
          <w:szCs w:val="24"/>
        </w:rPr>
        <w:t xml:space="preserve">eného rozsahu zdrojů a  proto </w:t>
      </w:r>
      <w:r w:rsidR="008F5BC8">
        <w:rPr>
          <w:rFonts w:ascii="Calibri" w:hAnsi="Calibri"/>
          <w:sz w:val="24"/>
          <w:szCs w:val="24"/>
        </w:rPr>
        <w:t xml:space="preserve">bylo v krizovém období zvláště </w:t>
      </w:r>
      <w:r w:rsidRPr="009E7A89">
        <w:rPr>
          <w:rFonts w:ascii="Calibri" w:hAnsi="Calibri"/>
          <w:sz w:val="24"/>
          <w:szCs w:val="24"/>
        </w:rPr>
        <w:t xml:space="preserve">zranitelné (rychlejší růst nákladů před výnosy, značný pokles ziskové marže a investičních výdajů). S ohledem na svoji organizační skladbu </w:t>
      </w:r>
      <w:r w:rsidR="004A12F5">
        <w:rPr>
          <w:rFonts w:ascii="Calibri" w:hAnsi="Calibri"/>
          <w:sz w:val="24"/>
          <w:szCs w:val="24"/>
        </w:rPr>
        <w:t xml:space="preserve">i obsahovou náplň svých aktivit </w:t>
      </w:r>
      <w:r w:rsidRPr="009E7A89">
        <w:rPr>
          <w:rFonts w:ascii="Calibri" w:hAnsi="Calibri"/>
          <w:sz w:val="24"/>
          <w:szCs w:val="24"/>
        </w:rPr>
        <w:t xml:space="preserve">je v reakci </w:t>
      </w:r>
      <w:r w:rsidR="00905BF3">
        <w:rPr>
          <w:rFonts w:ascii="Calibri" w:hAnsi="Calibri"/>
          <w:sz w:val="24"/>
          <w:szCs w:val="24"/>
        </w:rPr>
        <w:t>na změněné podmínky</w:t>
      </w:r>
      <w:r w:rsidR="001424B0">
        <w:rPr>
          <w:rFonts w:ascii="Calibri" w:hAnsi="Calibri"/>
          <w:sz w:val="24"/>
          <w:szCs w:val="24"/>
        </w:rPr>
        <w:t xml:space="preserve"> </w:t>
      </w:r>
      <w:r w:rsidR="00905BF3">
        <w:rPr>
          <w:rFonts w:ascii="Calibri" w:hAnsi="Calibri"/>
          <w:sz w:val="24"/>
          <w:szCs w:val="24"/>
        </w:rPr>
        <w:t>hospodaření</w:t>
      </w:r>
      <w:r w:rsidR="001424B0">
        <w:rPr>
          <w:rFonts w:ascii="Calibri" w:hAnsi="Calibri"/>
          <w:sz w:val="24"/>
          <w:szCs w:val="24"/>
        </w:rPr>
        <w:t xml:space="preserve"> </w:t>
      </w:r>
      <w:r w:rsidR="008F5BC8">
        <w:rPr>
          <w:rFonts w:ascii="Calibri" w:hAnsi="Calibri"/>
          <w:sz w:val="24"/>
          <w:szCs w:val="24"/>
        </w:rPr>
        <w:t>mnohem</w:t>
      </w:r>
      <w:r w:rsidR="001424B0">
        <w:rPr>
          <w:rFonts w:ascii="Calibri" w:hAnsi="Calibri"/>
          <w:sz w:val="24"/>
          <w:szCs w:val="24"/>
        </w:rPr>
        <w:t xml:space="preserve"> </w:t>
      </w:r>
      <w:r w:rsidRPr="009E7A89">
        <w:rPr>
          <w:rFonts w:ascii="Calibri" w:hAnsi="Calibri"/>
          <w:sz w:val="24"/>
          <w:szCs w:val="24"/>
        </w:rPr>
        <w:t xml:space="preserve">méně pružné (přizpůsobivé). </w:t>
      </w:r>
    </w:p>
    <w:p w:rsidR="00AD4CCF" w:rsidRPr="009E7A89" w:rsidRDefault="00AD4CCF" w:rsidP="0038695F">
      <w:pPr>
        <w:spacing w:after="120"/>
        <w:ind w:firstLine="284"/>
        <w:jc w:val="both"/>
        <w:rPr>
          <w:rFonts w:ascii="Calibri" w:hAnsi="Calibri"/>
          <w:sz w:val="24"/>
          <w:szCs w:val="24"/>
        </w:rPr>
      </w:pPr>
      <w:r w:rsidRPr="009E7A89">
        <w:rPr>
          <w:rFonts w:ascii="Calibri" w:hAnsi="Calibri"/>
          <w:b/>
          <w:sz w:val="24"/>
          <w:szCs w:val="24"/>
        </w:rPr>
        <w:t xml:space="preserve">Kulturní a kreativní průmysly </w:t>
      </w:r>
      <w:r w:rsidRPr="009E7A89">
        <w:rPr>
          <w:rFonts w:ascii="Calibri" w:hAnsi="Calibri"/>
          <w:sz w:val="24"/>
          <w:szCs w:val="24"/>
        </w:rPr>
        <w:t>představují tržně orientovanou část odvětví kultury zastoupenou zejména p</w:t>
      </w:r>
      <w:r w:rsidR="00BB1AC6">
        <w:rPr>
          <w:rFonts w:ascii="Calibri" w:hAnsi="Calibri"/>
          <w:sz w:val="24"/>
          <w:szCs w:val="24"/>
        </w:rPr>
        <w:t>odniky v soukromém vlastnictví.</w:t>
      </w:r>
      <w:r w:rsidRPr="009E7A89">
        <w:rPr>
          <w:rFonts w:ascii="Calibri" w:hAnsi="Calibri"/>
          <w:sz w:val="24"/>
          <w:szCs w:val="24"/>
        </w:rPr>
        <w:t xml:space="preserve"> V důsledku užšího sepětí s trhem jsou v porovnání </w:t>
      </w:r>
      <w:r w:rsidR="00905BF3">
        <w:rPr>
          <w:rFonts w:ascii="Calibri" w:hAnsi="Calibri"/>
          <w:sz w:val="24"/>
          <w:szCs w:val="24"/>
        </w:rPr>
        <w:t xml:space="preserve">s tradičním uměním mnohem více vystaveny cyklickým výkyvům trhu. Bylo </w:t>
      </w:r>
      <w:r w:rsidRPr="009E7A89">
        <w:rPr>
          <w:rFonts w:ascii="Calibri" w:hAnsi="Calibri"/>
          <w:sz w:val="24"/>
          <w:szCs w:val="24"/>
        </w:rPr>
        <w:t>tomu tak</w:t>
      </w:r>
      <w:r w:rsidR="00905BF3">
        <w:rPr>
          <w:rFonts w:ascii="Calibri" w:hAnsi="Calibri"/>
          <w:sz w:val="24"/>
          <w:szCs w:val="24"/>
        </w:rPr>
        <w:t xml:space="preserve"> i v období finanční krize, kdy se snížily zejména</w:t>
      </w:r>
      <w:r w:rsidRPr="009E7A89">
        <w:rPr>
          <w:rFonts w:ascii="Calibri" w:hAnsi="Calibri"/>
          <w:sz w:val="24"/>
          <w:szCs w:val="24"/>
        </w:rPr>
        <w:t xml:space="preserve"> příjmy </w:t>
      </w:r>
      <w:r w:rsidR="00905BF3">
        <w:rPr>
          <w:rFonts w:ascii="Calibri" w:hAnsi="Calibri"/>
          <w:sz w:val="24"/>
          <w:szCs w:val="24"/>
        </w:rPr>
        <w:t>z podnikové sféry. Ty poklesly více v</w:t>
      </w:r>
      <w:r w:rsidRPr="009E7A89">
        <w:rPr>
          <w:rFonts w:ascii="Calibri" w:hAnsi="Calibri"/>
          <w:sz w:val="24"/>
          <w:szCs w:val="24"/>
        </w:rPr>
        <w:t> kreativních průmyslech, zejména pak v architektuře v návaznosti na útlum ve stavebnictví. Sní</w:t>
      </w:r>
      <w:r w:rsidR="00905BF3">
        <w:rPr>
          <w:rFonts w:ascii="Calibri" w:hAnsi="Calibri"/>
          <w:sz w:val="24"/>
          <w:szCs w:val="24"/>
        </w:rPr>
        <w:t>žily se také příjmy pocházející</w:t>
      </w:r>
      <w:r w:rsidRPr="009E7A89">
        <w:rPr>
          <w:rFonts w:ascii="Calibri" w:hAnsi="Calibri"/>
          <w:sz w:val="24"/>
          <w:szCs w:val="24"/>
        </w:rPr>
        <w:t xml:space="preserve"> od domácností. Tato odvětví kultury však prokázala (v porovnání s tradičním uměním)</w:t>
      </w:r>
      <w:r w:rsidR="001A5B33">
        <w:rPr>
          <w:rFonts w:ascii="Calibri" w:hAnsi="Calibri"/>
          <w:sz w:val="24"/>
          <w:szCs w:val="24"/>
        </w:rPr>
        <w:t xml:space="preserve"> vyšší stupeň přizpůsobivosti. </w:t>
      </w:r>
      <w:r w:rsidR="00905BF3">
        <w:rPr>
          <w:rFonts w:ascii="Calibri" w:hAnsi="Calibri"/>
          <w:sz w:val="24"/>
          <w:szCs w:val="24"/>
        </w:rPr>
        <w:t>Při poklesu výnosů se snižovaly</w:t>
      </w:r>
      <w:r w:rsidRPr="009E7A89">
        <w:rPr>
          <w:rFonts w:ascii="Calibri" w:hAnsi="Calibri"/>
          <w:sz w:val="24"/>
          <w:szCs w:val="24"/>
        </w:rPr>
        <w:t xml:space="preserve"> také náklady a zisková marže tak zůstala na nezměněné úrovni. Nedošlo </w:t>
      </w:r>
      <w:r w:rsidR="00905BF3">
        <w:rPr>
          <w:rFonts w:ascii="Calibri" w:hAnsi="Calibri"/>
          <w:sz w:val="24"/>
          <w:szCs w:val="24"/>
        </w:rPr>
        <w:t>k hlubokému  propadu</w:t>
      </w:r>
      <w:r w:rsidRPr="009E7A89">
        <w:rPr>
          <w:rFonts w:ascii="Calibri" w:hAnsi="Calibri"/>
          <w:sz w:val="24"/>
          <w:szCs w:val="24"/>
        </w:rPr>
        <w:t xml:space="preserve"> vynakládaných investic, naopa</w:t>
      </w:r>
      <w:r w:rsidR="00905BF3">
        <w:rPr>
          <w:rFonts w:ascii="Calibri" w:hAnsi="Calibri"/>
          <w:sz w:val="24"/>
          <w:szCs w:val="24"/>
        </w:rPr>
        <w:t xml:space="preserve">k se snižoval počet zaměstnanců a </w:t>
      </w:r>
      <w:r w:rsidRPr="009E7A89">
        <w:rPr>
          <w:rFonts w:ascii="Calibri" w:hAnsi="Calibri"/>
          <w:sz w:val="24"/>
          <w:szCs w:val="24"/>
        </w:rPr>
        <w:t>průměrná mzda zbývajících vzrostla jen nepatrně.</w:t>
      </w:r>
    </w:p>
    <w:p w:rsidR="004A12F5" w:rsidRPr="009E7A89" w:rsidRDefault="00AD4CCF" w:rsidP="0038695F">
      <w:pPr>
        <w:spacing w:after="120"/>
        <w:ind w:firstLine="284"/>
        <w:jc w:val="both"/>
        <w:rPr>
          <w:rFonts w:ascii="Calibri" w:hAnsi="Calibri"/>
          <w:sz w:val="24"/>
          <w:szCs w:val="24"/>
        </w:rPr>
      </w:pPr>
      <w:r w:rsidRPr="009E7A89">
        <w:rPr>
          <w:rFonts w:ascii="Calibri" w:hAnsi="Calibri"/>
          <w:sz w:val="24"/>
          <w:szCs w:val="24"/>
        </w:rPr>
        <w:t xml:space="preserve">S přihlédnutím ke všem „pro a proti“ lze říci, že se </w:t>
      </w:r>
      <w:r w:rsidR="00905BF3">
        <w:rPr>
          <w:rFonts w:ascii="Calibri" w:hAnsi="Calibri"/>
          <w:b/>
          <w:sz w:val="24"/>
          <w:szCs w:val="24"/>
        </w:rPr>
        <w:t xml:space="preserve">kulturní a kreativní průmysly </w:t>
      </w:r>
      <w:r w:rsidRPr="009E7A89">
        <w:rPr>
          <w:rFonts w:ascii="Calibri" w:hAnsi="Calibri"/>
          <w:b/>
          <w:sz w:val="24"/>
          <w:szCs w:val="24"/>
        </w:rPr>
        <w:t>s dopady finanční krize vypořádaly lépe</w:t>
      </w:r>
      <w:r w:rsidRPr="009E7A89">
        <w:rPr>
          <w:rFonts w:ascii="Calibri" w:hAnsi="Calibri"/>
          <w:sz w:val="24"/>
          <w:szCs w:val="24"/>
        </w:rPr>
        <w:t>.</w:t>
      </w:r>
      <w:r w:rsidR="000C105F">
        <w:rPr>
          <w:rFonts w:ascii="Calibri" w:hAnsi="Calibri"/>
          <w:sz w:val="24"/>
          <w:szCs w:val="24"/>
        </w:rPr>
        <w:t xml:space="preserve"> </w:t>
      </w:r>
      <w:r w:rsidRPr="009E7A89">
        <w:rPr>
          <w:rFonts w:ascii="Calibri" w:hAnsi="Calibri"/>
          <w:sz w:val="24"/>
          <w:szCs w:val="24"/>
        </w:rPr>
        <w:t>Důvody zřejmě spočívají</w:t>
      </w:r>
      <w:r w:rsidR="005C00FF">
        <w:rPr>
          <w:rFonts w:ascii="Calibri" w:hAnsi="Calibri"/>
          <w:sz w:val="24"/>
          <w:szCs w:val="24"/>
        </w:rPr>
        <w:t xml:space="preserve"> v jejich </w:t>
      </w:r>
      <w:r w:rsidR="005C00FF" w:rsidRPr="00702C99">
        <w:rPr>
          <w:rFonts w:ascii="Calibri" w:hAnsi="Calibri"/>
          <w:b/>
          <w:sz w:val="24"/>
          <w:szCs w:val="24"/>
        </w:rPr>
        <w:t>schopnosti  pružnější</w:t>
      </w:r>
      <w:r w:rsidRPr="00702C99">
        <w:rPr>
          <w:rFonts w:ascii="Calibri" w:hAnsi="Calibri"/>
          <w:b/>
          <w:sz w:val="24"/>
          <w:szCs w:val="24"/>
        </w:rPr>
        <w:t xml:space="preserve"> reakce na nepříznivou změnu podmínek</w:t>
      </w:r>
      <w:r w:rsidRPr="009E7A89">
        <w:rPr>
          <w:rFonts w:ascii="Calibri" w:hAnsi="Calibri"/>
          <w:sz w:val="24"/>
          <w:szCs w:val="24"/>
        </w:rPr>
        <w:t xml:space="preserve"> hospodaření. Naproti tomu tradiční umění p</w:t>
      </w:r>
      <w:r w:rsidR="00F946B1">
        <w:rPr>
          <w:rFonts w:ascii="Calibri" w:hAnsi="Calibri"/>
          <w:sz w:val="24"/>
          <w:szCs w:val="24"/>
        </w:rPr>
        <w:t>ři výpadku nemalé části zdrojů</w:t>
      </w:r>
      <w:r w:rsidR="00136715">
        <w:rPr>
          <w:rFonts w:ascii="Calibri" w:hAnsi="Calibri"/>
          <w:sz w:val="24"/>
          <w:szCs w:val="24"/>
        </w:rPr>
        <w:t xml:space="preserve"> svoji </w:t>
      </w:r>
      <w:r w:rsidRPr="009E7A89">
        <w:rPr>
          <w:rFonts w:ascii="Calibri" w:hAnsi="Calibri"/>
          <w:sz w:val="24"/>
          <w:szCs w:val="24"/>
        </w:rPr>
        <w:t xml:space="preserve">nabídku služeb - s ohledem na přetrvávající poptávku ze strany obyvatelstva – nesnížilo. Chybějící zdroje (veřejné výdaje a příjmy ze zahraničí) však nemohlo nijak nahradit. </w:t>
      </w:r>
      <w:r w:rsidR="00E80A44">
        <w:rPr>
          <w:rFonts w:ascii="Calibri" w:hAnsi="Calibri"/>
          <w:sz w:val="24"/>
          <w:szCs w:val="24"/>
        </w:rPr>
        <w:t>Další p</w:t>
      </w:r>
      <w:r w:rsidRPr="009E7A89">
        <w:rPr>
          <w:rFonts w:ascii="Calibri" w:hAnsi="Calibri"/>
          <w:sz w:val="24"/>
          <w:szCs w:val="24"/>
        </w:rPr>
        <w:t>řípadné zvýšení vstupného by mohlo mít za</w:t>
      </w:r>
      <w:r w:rsidR="001424B0">
        <w:rPr>
          <w:rFonts w:ascii="Calibri" w:hAnsi="Calibri"/>
          <w:sz w:val="24"/>
          <w:szCs w:val="24"/>
        </w:rPr>
        <w:t xml:space="preserve"> </w:t>
      </w:r>
      <w:r w:rsidRPr="009E7A89">
        <w:rPr>
          <w:rFonts w:ascii="Calibri" w:hAnsi="Calibri"/>
          <w:sz w:val="24"/>
          <w:szCs w:val="24"/>
        </w:rPr>
        <w:t>následek snížení návštěvnosti a ve výsledku i celkových příjmů</w:t>
      </w:r>
      <w:r w:rsidR="00E80A44">
        <w:rPr>
          <w:rFonts w:ascii="Calibri" w:hAnsi="Calibri"/>
          <w:sz w:val="24"/>
          <w:szCs w:val="24"/>
        </w:rPr>
        <w:t>. P</w:t>
      </w:r>
      <w:r w:rsidR="00136715">
        <w:rPr>
          <w:rFonts w:ascii="Calibri" w:hAnsi="Calibri"/>
          <w:sz w:val="24"/>
          <w:szCs w:val="24"/>
        </w:rPr>
        <w:t>růměrné zaplacené vstupné v</w:t>
      </w:r>
      <w:r w:rsidR="0047605B">
        <w:rPr>
          <w:rFonts w:ascii="Calibri" w:hAnsi="Calibri"/>
          <w:sz w:val="24"/>
          <w:szCs w:val="24"/>
        </w:rPr>
        <w:t xml:space="preserve"> </w:t>
      </w:r>
      <w:r w:rsidR="00136715">
        <w:rPr>
          <w:rFonts w:ascii="Calibri" w:hAnsi="Calibri"/>
          <w:sz w:val="24"/>
          <w:szCs w:val="24"/>
        </w:rPr>
        <w:t xml:space="preserve">památkách, muzeích a divadlech </w:t>
      </w:r>
      <w:r w:rsidR="00704919">
        <w:rPr>
          <w:rFonts w:ascii="Calibri" w:hAnsi="Calibri"/>
          <w:sz w:val="24"/>
          <w:szCs w:val="24"/>
        </w:rPr>
        <w:t>se</w:t>
      </w:r>
      <w:r w:rsidR="00136715">
        <w:rPr>
          <w:rFonts w:ascii="Calibri" w:hAnsi="Calibri"/>
          <w:sz w:val="24"/>
          <w:szCs w:val="24"/>
        </w:rPr>
        <w:t xml:space="preserve"> mezi léty</w:t>
      </w:r>
      <w:r w:rsidR="00E80A44">
        <w:rPr>
          <w:rFonts w:ascii="Calibri" w:hAnsi="Calibri"/>
          <w:sz w:val="24"/>
          <w:szCs w:val="24"/>
        </w:rPr>
        <w:t xml:space="preserve"> </w:t>
      </w:r>
      <w:r w:rsidR="00136715">
        <w:rPr>
          <w:rFonts w:ascii="Calibri" w:hAnsi="Calibri"/>
          <w:sz w:val="24"/>
          <w:szCs w:val="24"/>
        </w:rPr>
        <w:t>2007 a 2012</w:t>
      </w:r>
      <w:r w:rsidR="004A12F5">
        <w:rPr>
          <w:rFonts w:ascii="Calibri" w:hAnsi="Calibri"/>
          <w:sz w:val="24"/>
          <w:szCs w:val="24"/>
        </w:rPr>
        <w:t xml:space="preserve"> </w:t>
      </w:r>
      <w:r w:rsidR="00E80A44">
        <w:rPr>
          <w:rFonts w:ascii="Calibri" w:hAnsi="Calibri"/>
          <w:sz w:val="24"/>
          <w:szCs w:val="24"/>
        </w:rPr>
        <w:t xml:space="preserve">zvýšilo o 50%, zatímco </w:t>
      </w:r>
      <w:r w:rsidR="00136715">
        <w:rPr>
          <w:rFonts w:ascii="Calibri" w:hAnsi="Calibri"/>
          <w:sz w:val="24"/>
          <w:szCs w:val="24"/>
        </w:rPr>
        <w:t>index spotřebitelských cen</w:t>
      </w:r>
      <w:r w:rsidR="00E80A44">
        <w:rPr>
          <w:rFonts w:ascii="Calibri" w:hAnsi="Calibri"/>
          <w:sz w:val="24"/>
          <w:szCs w:val="24"/>
        </w:rPr>
        <w:t xml:space="preserve"> vzrostl jen </w:t>
      </w:r>
      <w:r w:rsidR="00136715">
        <w:rPr>
          <w:rFonts w:ascii="Calibri" w:hAnsi="Calibri"/>
          <w:sz w:val="24"/>
          <w:szCs w:val="24"/>
        </w:rPr>
        <w:t>o</w:t>
      </w:r>
      <w:r w:rsidR="0047605B">
        <w:rPr>
          <w:rFonts w:ascii="Calibri" w:hAnsi="Calibri"/>
          <w:sz w:val="24"/>
          <w:szCs w:val="24"/>
        </w:rPr>
        <w:t xml:space="preserve"> 14,8%</w:t>
      </w:r>
      <w:r w:rsidR="00E80A44">
        <w:rPr>
          <w:rFonts w:ascii="Calibri" w:hAnsi="Calibri"/>
          <w:sz w:val="24"/>
          <w:szCs w:val="24"/>
        </w:rPr>
        <w:t xml:space="preserve"> (nejvíce vzrostlo</w:t>
      </w:r>
      <w:r w:rsidR="008F5BC8">
        <w:rPr>
          <w:rFonts w:ascii="Calibri" w:hAnsi="Calibri"/>
          <w:sz w:val="24"/>
          <w:szCs w:val="24"/>
        </w:rPr>
        <w:t xml:space="preserve"> vstupné </w:t>
      </w:r>
      <w:r w:rsidR="00E80A44">
        <w:rPr>
          <w:rFonts w:ascii="Calibri" w:hAnsi="Calibri"/>
          <w:sz w:val="24"/>
          <w:szCs w:val="24"/>
        </w:rPr>
        <w:t>v případě památek, jejichž</w:t>
      </w:r>
      <w:r w:rsidR="008F5BC8">
        <w:rPr>
          <w:rFonts w:ascii="Calibri" w:hAnsi="Calibri"/>
          <w:sz w:val="24"/>
          <w:szCs w:val="24"/>
        </w:rPr>
        <w:t xml:space="preserve"> </w:t>
      </w:r>
      <w:r w:rsidR="00E80A44">
        <w:rPr>
          <w:rFonts w:ascii="Calibri" w:hAnsi="Calibri"/>
          <w:sz w:val="24"/>
          <w:szCs w:val="24"/>
        </w:rPr>
        <w:t>návštěvnost v  daném období o 3 % poklesla).</w:t>
      </w:r>
    </w:p>
    <w:p w:rsidR="00C801AC" w:rsidRDefault="00AD4CCF" w:rsidP="007B5D3A">
      <w:pPr>
        <w:spacing w:after="0"/>
        <w:ind w:firstLine="284"/>
        <w:jc w:val="both"/>
        <w:rPr>
          <w:rFonts w:ascii="Calibri" w:hAnsi="Calibri"/>
          <w:sz w:val="24"/>
          <w:szCs w:val="24"/>
        </w:rPr>
      </w:pPr>
      <w:r w:rsidRPr="009E7A89">
        <w:rPr>
          <w:rFonts w:ascii="Calibri" w:hAnsi="Calibri"/>
          <w:sz w:val="24"/>
          <w:szCs w:val="24"/>
        </w:rPr>
        <w:t xml:space="preserve">Vrátíme-li se </w:t>
      </w:r>
      <w:r w:rsidRPr="00136715">
        <w:rPr>
          <w:rFonts w:ascii="Calibri" w:hAnsi="Calibri"/>
          <w:b/>
          <w:sz w:val="24"/>
          <w:szCs w:val="24"/>
        </w:rPr>
        <w:t xml:space="preserve">k celkovému pohledu na </w:t>
      </w:r>
      <w:r w:rsidRPr="009E7A89">
        <w:rPr>
          <w:rFonts w:ascii="Calibri" w:hAnsi="Calibri"/>
          <w:b/>
          <w:sz w:val="24"/>
          <w:szCs w:val="24"/>
        </w:rPr>
        <w:t>kulturu,</w:t>
      </w:r>
      <w:r w:rsidRPr="009E7A89">
        <w:rPr>
          <w:rFonts w:ascii="Calibri" w:hAnsi="Calibri"/>
          <w:sz w:val="24"/>
          <w:szCs w:val="24"/>
        </w:rPr>
        <w:t xml:space="preserve"> lze říci, že </w:t>
      </w:r>
      <w:r w:rsidR="00B5061C">
        <w:rPr>
          <w:rFonts w:ascii="Calibri" w:hAnsi="Calibri"/>
          <w:sz w:val="24"/>
          <w:szCs w:val="24"/>
        </w:rPr>
        <w:t>v porovnání s celou ekonomikou,</w:t>
      </w:r>
      <w:r w:rsidRPr="009E7A89">
        <w:rPr>
          <w:rFonts w:ascii="Calibri" w:hAnsi="Calibri"/>
          <w:sz w:val="24"/>
          <w:szCs w:val="24"/>
        </w:rPr>
        <w:t xml:space="preserve"> </w:t>
      </w:r>
      <w:r w:rsidRPr="009E7A89">
        <w:rPr>
          <w:rFonts w:ascii="Calibri" w:hAnsi="Calibri"/>
          <w:b/>
          <w:sz w:val="24"/>
          <w:szCs w:val="24"/>
        </w:rPr>
        <w:t>byla dopady finanční krize zasažena více</w:t>
      </w:r>
      <w:r w:rsidRPr="009E7A89">
        <w:rPr>
          <w:rFonts w:ascii="Calibri" w:hAnsi="Calibri"/>
          <w:sz w:val="24"/>
          <w:szCs w:val="24"/>
        </w:rPr>
        <w:t>. Hlavní příčinu lze zřejmě spatřovat v závislosti č</w:t>
      </w:r>
      <w:r w:rsidR="00B5061C">
        <w:rPr>
          <w:rFonts w:ascii="Calibri" w:hAnsi="Calibri"/>
          <w:sz w:val="24"/>
          <w:szCs w:val="24"/>
        </w:rPr>
        <w:t>ásti kultury na neekvivalentním</w:t>
      </w:r>
      <w:r w:rsidRPr="009E7A89">
        <w:rPr>
          <w:rFonts w:ascii="Calibri" w:hAnsi="Calibri"/>
          <w:sz w:val="24"/>
          <w:szCs w:val="24"/>
        </w:rPr>
        <w:t xml:space="preserve"> transferu zdrojů (z veřejných rozpočtů a ze zahraničí) a jejich částečnému a zároveň nenahraditelnému výpadku v období zh</w:t>
      </w:r>
      <w:r w:rsidR="002A0AB5">
        <w:rPr>
          <w:rFonts w:ascii="Calibri" w:hAnsi="Calibri"/>
          <w:sz w:val="24"/>
          <w:szCs w:val="24"/>
        </w:rPr>
        <w:t xml:space="preserve">oršených podmínek hospodaření. </w:t>
      </w:r>
      <w:r w:rsidR="00B5061C">
        <w:rPr>
          <w:rFonts w:ascii="Calibri" w:hAnsi="Calibri"/>
          <w:b/>
          <w:sz w:val="24"/>
          <w:szCs w:val="24"/>
        </w:rPr>
        <w:t>Důsledkem této skutečnosti je</w:t>
      </w:r>
      <w:r w:rsidRPr="009E7A89">
        <w:rPr>
          <w:rFonts w:ascii="Calibri" w:hAnsi="Calibri"/>
          <w:b/>
          <w:sz w:val="24"/>
          <w:szCs w:val="24"/>
        </w:rPr>
        <w:t xml:space="preserve"> pokles váhy kultury v ekonomice</w:t>
      </w:r>
      <w:r w:rsidRPr="009E7A89">
        <w:rPr>
          <w:rFonts w:ascii="Calibri" w:hAnsi="Calibri"/>
          <w:sz w:val="24"/>
          <w:szCs w:val="24"/>
        </w:rPr>
        <w:t xml:space="preserve"> provázený - výše uvedeným </w:t>
      </w:r>
      <w:r w:rsidR="002A0AB5">
        <w:rPr>
          <w:rFonts w:ascii="Calibri" w:hAnsi="Calibri"/>
          <w:sz w:val="24"/>
          <w:szCs w:val="24"/>
        </w:rPr>
        <w:t xml:space="preserve">- snížením </w:t>
      </w:r>
      <w:r w:rsidR="00B5061C">
        <w:rPr>
          <w:rFonts w:ascii="Calibri" w:hAnsi="Calibri"/>
          <w:sz w:val="24"/>
          <w:szCs w:val="24"/>
        </w:rPr>
        <w:t>podílu kultury na</w:t>
      </w:r>
      <w:r w:rsidRPr="009E7A89">
        <w:rPr>
          <w:rFonts w:ascii="Calibri" w:hAnsi="Calibri"/>
          <w:sz w:val="24"/>
          <w:szCs w:val="24"/>
        </w:rPr>
        <w:t xml:space="preserve"> makroekonom</w:t>
      </w:r>
      <w:r w:rsidR="002A0AB5">
        <w:rPr>
          <w:rFonts w:ascii="Calibri" w:hAnsi="Calibri"/>
          <w:sz w:val="24"/>
          <w:szCs w:val="24"/>
        </w:rPr>
        <w:t xml:space="preserve">ických ukazatelích. </w:t>
      </w:r>
    </w:p>
    <w:p w:rsidR="004001D0" w:rsidRDefault="00AD4CCF" w:rsidP="00D22090">
      <w:pPr>
        <w:spacing w:after="120"/>
        <w:ind w:firstLine="284"/>
        <w:jc w:val="both"/>
        <w:rPr>
          <w:rFonts w:ascii="Calibri" w:hAnsi="Calibri"/>
          <w:sz w:val="24"/>
          <w:szCs w:val="24"/>
        </w:rPr>
      </w:pPr>
      <w:r w:rsidRPr="009E7A89">
        <w:rPr>
          <w:rFonts w:ascii="Calibri" w:hAnsi="Calibri"/>
          <w:sz w:val="24"/>
          <w:szCs w:val="24"/>
        </w:rPr>
        <w:t xml:space="preserve">Týká se to jak hrubé přidané hodnoty, tak i hrubého </w:t>
      </w:r>
      <w:r w:rsidR="00B5061C">
        <w:rPr>
          <w:rFonts w:ascii="Calibri" w:hAnsi="Calibri"/>
          <w:sz w:val="24"/>
          <w:szCs w:val="24"/>
        </w:rPr>
        <w:t>domácího produktu (zahrnujícího i daňovou</w:t>
      </w:r>
      <w:r w:rsidRPr="009E7A89">
        <w:rPr>
          <w:rFonts w:ascii="Calibri" w:hAnsi="Calibri"/>
          <w:sz w:val="24"/>
          <w:szCs w:val="24"/>
        </w:rPr>
        <w:t xml:space="preserve"> a dotační složku)</w:t>
      </w:r>
      <w:r w:rsidR="00437BBC" w:rsidRPr="009E7A89">
        <w:rPr>
          <w:rFonts w:ascii="Calibri" w:hAnsi="Calibri"/>
          <w:sz w:val="24"/>
          <w:szCs w:val="24"/>
        </w:rPr>
        <w:t>.</w:t>
      </w:r>
    </w:p>
    <w:p w:rsidR="008F5BC8" w:rsidRDefault="008F5BC8" w:rsidP="0038695F">
      <w:pPr>
        <w:spacing w:after="120"/>
        <w:jc w:val="both"/>
        <w:rPr>
          <w:rFonts w:ascii="Calibri" w:hAnsi="Calibri"/>
          <w:sz w:val="24"/>
          <w:szCs w:val="24"/>
        </w:rPr>
      </w:pPr>
    </w:p>
    <w:p w:rsidR="00C65435" w:rsidRDefault="00C65435" w:rsidP="0038695F">
      <w:pPr>
        <w:spacing w:after="120"/>
        <w:jc w:val="both"/>
        <w:rPr>
          <w:rFonts w:ascii="Calibri" w:hAnsi="Calibri"/>
          <w:sz w:val="24"/>
          <w:szCs w:val="24"/>
        </w:rPr>
      </w:pPr>
    </w:p>
    <w:p w:rsidR="00C65435" w:rsidRDefault="00C65435" w:rsidP="0038695F">
      <w:pPr>
        <w:spacing w:after="120"/>
        <w:jc w:val="both"/>
        <w:rPr>
          <w:rFonts w:ascii="Calibri" w:hAnsi="Calibri"/>
          <w:sz w:val="24"/>
          <w:szCs w:val="24"/>
        </w:rPr>
      </w:pPr>
    </w:p>
    <w:p w:rsidR="00003D8B" w:rsidRDefault="00003D8B" w:rsidP="0038695F">
      <w:pPr>
        <w:spacing w:after="120"/>
        <w:jc w:val="both"/>
        <w:rPr>
          <w:rFonts w:ascii="Calibri" w:hAnsi="Calibri"/>
          <w:sz w:val="24"/>
          <w:szCs w:val="24"/>
        </w:rPr>
      </w:pPr>
    </w:p>
    <w:p w:rsidR="00C65435" w:rsidRDefault="00C65435" w:rsidP="0038695F">
      <w:pPr>
        <w:spacing w:after="120"/>
        <w:jc w:val="both"/>
        <w:rPr>
          <w:rFonts w:ascii="Calibri" w:hAnsi="Calibri"/>
          <w:sz w:val="24"/>
          <w:szCs w:val="24"/>
        </w:rPr>
      </w:pPr>
    </w:p>
    <w:p w:rsidR="008F5BC8" w:rsidRDefault="00D6141E" w:rsidP="00986FD4">
      <w:pPr>
        <w:jc w:val="both"/>
        <w:rPr>
          <w:rFonts w:ascii="Calibri" w:hAnsi="Calibri"/>
          <w:b/>
          <w:sz w:val="28"/>
          <w:szCs w:val="28"/>
        </w:rPr>
      </w:pPr>
      <w:r w:rsidRPr="009E7A89">
        <w:rPr>
          <w:rFonts w:ascii="Calibri" w:hAnsi="Calibri"/>
          <w:b/>
          <w:sz w:val="28"/>
          <w:szCs w:val="28"/>
        </w:rPr>
        <w:t xml:space="preserve">Použité zdroje a literatura: </w:t>
      </w:r>
    </w:p>
    <w:p w:rsidR="00D6141E" w:rsidRPr="008F5BC8" w:rsidRDefault="008F5BC8" w:rsidP="00F94EE3">
      <w:pPr>
        <w:spacing w:after="160" w:line="240" w:lineRule="auto"/>
        <w:jc w:val="both"/>
        <w:rPr>
          <w:rFonts w:ascii="Calibri" w:hAnsi="Calibri"/>
          <w:sz w:val="24"/>
          <w:szCs w:val="24"/>
        </w:rPr>
      </w:pPr>
      <w:r w:rsidRPr="008F5BC8">
        <w:rPr>
          <w:rFonts w:ascii="Calibri" w:hAnsi="Calibri"/>
          <w:sz w:val="24"/>
          <w:szCs w:val="24"/>
        </w:rPr>
        <w:t>Základní statistické údaje o kultuře v České republice</w:t>
      </w:r>
      <w:r>
        <w:rPr>
          <w:rFonts w:ascii="Calibri" w:hAnsi="Calibri"/>
          <w:sz w:val="24"/>
          <w:szCs w:val="24"/>
        </w:rPr>
        <w:t>, 4. Sv. NIPOS</w:t>
      </w:r>
    </w:p>
    <w:p w:rsidR="00702C99" w:rsidRPr="009E7A89" w:rsidRDefault="00702C99" w:rsidP="00F94EE3">
      <w:pPr>
        <w:spacing w:after="160" w:line="240" w:lineRule="auto"/>
        <w:jc w:val="both"/>
        <w:rPr>
          <w:rFonts w:ascii="Calibri" w:hAnsi="Calibri"/>
          <w:sz w:val="24"/>
          <w:szCs w:val="24"/>
        </w:rPr>
      </w:pPr>
      <w:r>
        <w:rPr>
          <w:rFonts w:ascii="Calibri" w:hAnsi="Calibri"/>
          <w:sz w:val="24"/>
          <w:szCs w:val="24"/>
        </w:rPr>
        <w:t>Statistické úlohy řady KULT prováděné  NIPOS</w:t>
      </w:r>
    </w:p>
    <w:p w:rsidR="00D6141E" w:rsidRPr="009E7A89" w:rsidRDefault="00D6141E" w:rsidP="00F94EE3">
      <w:pPr>
        <w:spacing w:after="160" w:line="240" w:lineRule="auto"/>
        <w:jc w:val="both"/>
        <w:rPr>
          <w:rFonts w:ascii="Calibri" w:hAnsi="Calibri"/>
          <w:sz w:val="24"/>
          <w:szCs w:val="24"/>
        </w:rPr>
      </w:pPr>
      <w:r w:rsidRPr="009E7A89">
        <w:rPr>
          <w:rFonts w:ascii="Calibri" w:hAnsi="Calibri"/>
          <w:sz w:val="24"/>
          <w:szCs w:val="24"/>
        </w:rPr>
        <w:t>Systém ú</w:t>
      </w:r>
      <w:r w:rsidR="00B712C4">
        <w:rPr>
          <w:rFonts w:ascii="Calibri" w:hAnsi="Calibri"/>
          <w:sz w:val="24"/>
          <w:szCs w:val="24"/>
        </w:rPr>
        <w:t>čtů kultury, Praha, NIPOS  2014.</w:t>
      </w:r>
    </w:p>
    <w:p w:rsidR="00D6141E" w:rsidRPr="009E7A89" w:rsidRDefault="00D6141E" w:rsidP="00F94EE3">
      <w:pPr>
        <w:spacing w:after="160" w:line="240" w:lineRule="auto"/>
        <w:jc w:val="both"/>
        <w:rPr>
          <w:rFonts w:ascii="Calibri" w:hAnsi="Calibri"/>
          <w:sz w:val="24"/>
          <w:szCs w:val="24"/>
        </w:rPr>
      </w:pPr>
      <w:r w:rsidRPr="009E7A89">
        <w:rPr>
          <w:rFonts w:ascii="Calibri" w:hAnsi="Calibri"/>
          <w:sz w:val="24"/>
          <w:szCs w:val="24"/>
        </w:rPr>
        <w:t xml:space="preserve">Výsledky účtu </w:t>
      </w:r>
      <w:r w:rsidR="008F5BC8">
        <w:rPr>
          <w:rFonts w:ascii="Calibri" w:hAnsi="Calibri"/>
          <w:sz w:val="24"/>
          <w:szCs w:val="24"/>
        </w:rPr>
        <w:t>k</w:t>
      </w:r>
      <w:r w:rsidRPr="009E7A89">
        <w:rPr>
          <w:rFonts w:ascii="Calibri" w:hAnsi="Calibri"/>
          <w:sz w:val="24"/>
          <w:szCs w:val="24"/>
        </w:rPr>
        <w:t>ultury za léta 2010 -</w:t>
      </w:r>
      <w:r w:rsidR="00702C99">
        <w:rPr>
          <w:rFonts w:ascii="Calibri" w:hAnsi="Calibri"/>
          <w:sz w:val="24"/>
          <w:szCs w:val="24"/>
        </w:rPr>
        <w:t xml:space="preserve"> </w:t>
      </w:r>
      <w:r w:rsidRPr="009E7A89">
        <w:rPr>
          <w:rFonts w:ascii="Calibri" w:hAnsi="Calibri"/>
          <w:sz w:val="24"/>
          <w:szCs w:val="24"/>
        </w:rPr>
        <w:t>2012, Praha, NIPOS a ČSÚ</w:t>
      </w:r>
      <w:r w:rsidR="00B712C4">
        <w:rPr>
          <w:rFonts w:ascii="Calibri" w:hAnsi="Calibri"/>
          <w:sz w:val="24"/>
          <w:szCs w:val="24"/>
        </w:rPr>
        <w:t>.</w:t>
      </w:r>
    </w:p>
    <w:p w:rsidR="004D70BB" w:rsidRDefault="00D6141E" w:rsidP="00F94EE3">
      <w:pPr>
        <w:spacing w:after="160" w:line="240" w:lineRule="auto"/>
        <w:jc w:val="both"/>
        <w:rPr>
          <w:rFonts w:ascii="Calibri" w:hAnsi="Calibri"/>
          <w:sz w:val="24"/>
          <w:szCs w:val="24"/>
        </w:rPr>
      </w:pPr>
      <w:proofErr w:type="spellStart"/>
      <w:r w:rsidRPr="009E7A89">
        <w:rPr>
          <w:rFonts w:ascii="Calibri" w:hAnsi="Calibri"/>
          <w:sz w:val="24"/>
          <w:szCs w:val="24"/>
        </w:rPr>
        <w:t>Cultural</w:t>
      </w:r>
      <w:proofErr w:type="spellEnd"/>
      <w:r w:rsidRPr="009E7A89">
        <w:rPr>
          <w:rFonts w:ascii="Calibri" w:hAnsi="Calibri"/>
          <w:sz w:val="24"/>
          <w:szCs w:val="24"/>
        </w:rPr>
        <w:t xml:space="preserve"> </w:t>
      </w:r>
      <w:proofErr w:type="spellStart"/>
      <w:r w:rsidR="005E7F36">
        <w:rPr>
          <w:rFonts w:ascii="Calibri" w:hAnsi="Calibri"/>
          <w:sz w:val="24"/>
          <w:szCs w:val="24"/>
        </w:rPr>
        <w:t>S</w:t>
      </w:r>
      <w:r w:rsidRPr="009E7A89">
        <w:rPr>
          <w:rFonts w:ascii="Calibri" w:hAnsi="Calibri"/>
          <w:sz w:val="24"/>
          <w:szCs w:val="24"/>
        </w:rPr>
        <w:t>tatistics</w:t>
      </w:r>
      <w:proofErr w:type="spellEnd"/>
      <w:r w:rsidRPr="009E7A89">
        <w:rPr>
          <w:rFonts w:ascii="Calibri" w:hAnsi="Calibri"/>
          <w:sz w:val="24"/>
          <w:szCs w:val="24"/>
        </w:rPr>
        <w:t xml:space="preserve">, </w:t>
      </w:r>
      <w:proofErr w:type="spellStart"/>
      <w:r w:rsidRPr="009E7A89">
        <w:rPr>
          <w:rFonts w:ascii="Calibri" w:hAnsi="Calibri"/>
          <w:sz w:val="24"/>
          <w:szCs w:val="24"/>
        </w:rPr>
        <w:t>Eurostat</w:t>
      </w:r>
      <w:proofErr w:type="spellEnd"/>
      <w:r w:rsidRPr="009E7A89">
        <w:rPr>
          <w:rFonts w:ascii="Calibri" w:hAnsi="Calibri"/>
          <w:sz w:val="24"/>
          <w:szCs w:val="24"/>
        </w:rPr>
        <w:t>, 2011</w:t>
      </w:r>
      <w:r w:rsidR="00B712C4">
        <w:rPr>
          <w:rFonts w:ascii="Calibri" w:hAnsi="Calibri"/>
          <w:sz w:val="24"/>
          <w:szCs w:val="24"/>
        </w:rPr>
        <w:t>.</w:t>
      </w:r>
      <w:bookmarkStart w:id="0" w:name="_GoBack"/>
      <w:bookmarkEnd w:id="0"/>
    </w:p>
    <w:sectPr w:rsidR="004D70BB" w:rsidSect="00154AE4">
      <w:headerReference w:type="default" r:id="rId24"/>
      <w:footerReference w:type="default" r:id="rId25"/>
      <w:pgSz w:w="11906" w:h="16838"/>
      <w:pgMar w:top="1276"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D9" w:rsidRDefault="002006D9" w:rsidP="00467745">
      <w:pPr>
        <w:spacing w:after="0" w:line="240" w:lineRule="auto"/>
      </w:pPr>
      <w:r>
        <w:separator/>
      </w:r>
    </w:p>
  </w:endnote>
  <w:endnote w:type="continuationSeparator" w:id="0">
    <w:p w:rsidR="002006D9" w:rsidRDefault="002006D9" w:rsidP="00467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367063"/>
      <w:docPartObj>
        <w:docPartGallery w:val="Page Numbers (Bottom of Page)"/>
        <w:docPartUnique/>
      </w:docPartObj>
    </w:sdtPr>
    <w:sdtContent>
      <w:p w:rsidR="00651FB4" w:rsidRDefault="00F2495B">
        <w:pPr>
          <w:pStyle w:val="Zpat"/>
          <w:jc w:val="right"/>
        </w:pPr>
        <w:fldSimple w:instr=" PAGE   \* MERGEFORMAT ">
          <w:r w:rsidR="00645690">
            <w:rPr>
              <w:noProof/>
            </w:rPr>
            <w:t>1</w:t>
          </w:r>
        </w:fldSimple>
      </w:p>
    </w:sdtContent>
  </w:sdt>
  <w:p w:rsidR="00651FB4" w:rsidRDefault="00651F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D9" w:rsidRDefault="002006D9" w:rsidP="00467745">
      <w:pPr>
        <w:spacing w:after="0" w:line="240" w:lineRule="auto"/>
      </w:pPr>
      <w:r>
        <w:separator/>
      </w:r>
    </w:p>
  </w:footnote>
  <w:footnote w:type="continuationSeparator" w:id="0">
    <w:p w:rsidR="002006D9" w:rsidRDefault="002006D9" w:rsidP="004677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B4" w:rsidRDefault="00651FB4">
    <w:pPr>
      <w:pStyle w:val="Zhlav"/>
    </w:pPr>
  </w:p>
  <w:p w:rsidR="00651FB4" w:rsidRDefault="00651FB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D14"/>
    <w:multiLevelType w:val="multilevel"/>
    <w:tmpl w:val="44A016AE"/>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0F167214"/>
    <w:multiLevelType w:val="hybridMultilevel"/>
    <w:tmpl w:val="6D805636"/>
    <w:lvl w:ilvl="0" w:tplc="591602A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6A021DB"/>
    <w:multiLevelType w:val="multilevel"/>
    <w:tmpl w:val="190657CE"/>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3">
    <w:nsid w:val="1F484102"/>
    <w:multiLevelType w:val="hybridMultilevel"/>
    <w:tmpl w:val="A5E00FFA"/>
    <w:lvl w:ilvl="0" w:tplc="CF069E5C">
      <w:start w:val="3"/>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3B4F72E2"/>
    <w:multiLevelType w:val="multilevel"/>
    <w:tmpl w:val="0BB0CD2C"/>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EE217E2"/>
    <w:multiLevelType w:val="hybridMultilevel"/>
    <w:tmpl w:val="AE2A17AC"/>
    <w:lvl w:ilvl="0" w:tplc="B55C3856">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9634"/>
  </w:hdrShapeDefaults>
  <w:footnotePr>
    <w:footnote w:id="-1"/>
    <w:footnote w:id="0"/>
  </w:footnotePr>
  <w:endnotePr>
    <w:endnote w:id="-1"/>
    <w:endnote w:id="0"/>
  </w:endnotePr>
  <w:compat>
    <w:useFELayout/>
  </w:compat>
  <w:rsids>
    <w:rsidRoot w:val="001959CA"/>
    <w:rsid w:val="00001597"/>
    <w:rsid w:val="000020B6"/>
    <w:rsid w:val="00003D8B"/>
    <w:rsid w:val="00004AC1"/>
    <w:rsid w:val="00004EB8"/>
    <w:rsid w:val="00005498"/>
    <w:rsid w:val="00007E2F"/>
    <w:rsid w:val="000119E0"/>
    <w:rsid w:val="00012FF4"/>
    <w:rsid w:val="00013840"/>
    <w:rsid w:val="0001452B"/>
    <w:rsid w:val="00015725"/>
    <w:rsid w:val="000160E6"/>
    <w:rsid w:val="00017AC8"/>
    <w:rsid w:val="00017BD6"/>
    <w:rsid w:val="00020120"/>
    <w:rsid w:val="00020733"/>
    <w:rsid w:val="00020EB1"/>
    <w:rsid w:val="00020FBD"/>
    <w:rsid w:val="00021025"/>
    <w:rsid w:val="000210DC"/>
    <w:rsid w:val="0002140F"/>
    <w:rsid w:val="00021785"/>
    <w:rsid w:val="00025C95"/>
    <w:rsid w:val="00025CBF"/>
    <w:rsid w:val="0002729E"/>
    <w:rsid w:val="0002736D"/>
    <w:rsid w:val="00027ADE"/>
    <w:rsid w:val="000301D6"/>
    <w:rsid w:val="000303B4"/>
    <w:rsid w:val="0003040F"/>
    <w:rsid w:val="000363E3"/>
    <w:rsid w:val="00037AEC"/>
    <w:rsid w:val="000406D2"/>
    <w:rsid w:val="00040D07"/>
    <w:rsid w:val="000428E6"/>
    <w:rsid w:val="000431B5"/>
    <w:rsid w:val="00043EAE"/>
    <w:rsid w:val="0004447A"/>
    <w:rsid w:val="0004648B"/>
    <w:rsid w:val="000521E3"/>
    <w:rsid w:val="000532D3"/>
    <w:rsid w:val="000564E1"/>
    <w:rsid w:val="000613C3"/>
    <w:rsid w:val="00062C98"/>
    <w:rsid w:val="0006539E"/>
    <w:rsid w:val="0006590E"/>
    <w:rsid w:val="00070467"/>
    <w:rsid w:val="00071483"/>
    <w:rsid w:val="00071925"/>
    <w:rsid w:val="00072200"/>
    <w:rsid w:val="00072523"/>
    <w:rsid w:val="000730C0"/>
    <w:rsid w:val="00074E2A"/>
    <w:rsid w:val="0007580D"/>
    <w:rsid w:val="00076225"/>
    <w:rsid w:val="0007702F"/>
    <w:rsid w:val="0008267B"/>
    <w:rsid w:val="00082E96"/>
    <w:rsid w:val="00083FAE"/>
    <w:rsid w:val="00086D17"/>
    <w:rsid w:val="00087E1F"/>
    <w:rsid w:val="000901FC"/>
    <w:rsid w:val="00093922"/>
    <w:rsid w:val="000948DB"/>
    <w:rsid w:val="00094A3F"/>
    <w:rsid w:val="00094C78"/>
    <w:rsid w:val="00094CDF"/>
    <w:rsid w:val="000A0A63"/>
    <w:rsid w:val="000A0D96"/>
    <w:rsid w:val="000A15EA"/>
    <w:rsid w:val="000A192E"/>
    <w:rsid w:val="000A3A6F"/>
    <w:rsid w:val="000A43D6"/>
    <w:rsid w:val="000A756B"/>
    <w:rsid w:val="000B0BC8"/>
    <w:rsid w:val="000B1277"/>
    <w:rsid w:val="000B12D2"/>
    <w:rsid w:val="000B338C"/>
    <w:rsid w:val="000B3AAC"/>
    <w:rsid w:val="000B5128"/>
    <w:rsid w:val="000B549C"/>
    <w:rsid w:val="000B670E"/>
    <w:rsid w:val="000B707A"/>
    <w:rsid w:val="000C0903"/>
    <w:rsid w:val="000C105F"/>
    <w:rsid w:val="000C1EA3"/>
    <w:rsid w:val="000C2A40"/>
    <w:rsid w:val="000C2A64"/>
    <w:rsid w:val="000C3ADD"/>
    <w:rsid w:val="000C420B"/>
    <w:rsid w:val="000C48EF"/>
    <w:rsid w:val="000C53CD"/>
    <w:rsid w:val="000D0276"/>
    <w:rsid w:val="000D07AC"/>
    <w:rsid w:val="000D1D59"/>
    <w:rsid w:val="000D2454"/>
    <w:rsid w:val="000D533F"/>
    <w:rsid w:val="000D71DF"/>
    <w:rsid w:val="000E0D98"/>
    <w:rsid w:val="000E1D15"/>
    <w:rsid w:val="000E2666"/>
    <w:rsid w:val="000E2695"/>
    <w:rsid w:val="000E374F"/>
    <w:rsid w:val="000E54BA"/>
    <w:rsid w:val="000F029A"/>
    <w:rsid w:val="000F0CC5"/>
    <w:rsid w:val="000F3A77"/>
    <w:rsid w:val="000F3ABD"/>
    <w:rsid w:val="000F4E7B"/>
    <w:rsid w:val="000F64EA"/>
    <w:rsid w:val="000F6930"/>
    <w:rsid w:val="00100AAF"/>
    <w:rsid w:val="00102BC6"/>
    <w:rsid w:val="001036D4"/>
    <w:rsid w:val="00105453"/>
    <w:rsid w:val="001056F5"/>
    <w:rsid w:val="00107037"/>
    <w:rsid w:val="00107CA0"/>
    <w:rsid w:val="00117321"/>
    <w:rsid w:val="00117A41"/>
    <w:rsid w:val="00117DC8"/>
    <w:rsid w:val="00121A4F"/>
    <w:rsid w:val="00125350"/>
    <w:rsid w:val="001253D1"/>
    <w:rsid w:val="00126C69"/>
    <w:rsid w:val="0012753B"/>
    <w:rsid w:val="00130CDF"/>
    <w:rsid w:val="001316A5"/>
    <w:rsid w:val="00131B80"/>
    <w:rsid w:val="00135976"/>
    <w:rsid w:val="00136715"/>
    <w:rsid w:val="001375BA"/>
    <w:rsid w:val="00137874"/>
    <w:rsid w:val="00142107"/>
    <w:rsid w:val="001424B0"/>
    <w:rsid w:val="00142614"/>
    <w:rsid w:val="00142D9A"/>
    <w:rsid w:val="00143235"/>
    <w:rsid w:val="00143558"/>
    <w:rsid w:val="00145C2C"/>
    <w:rsid w:val="00146782"/>
    <w:rsid w:val="001467AA"/>
    <w:rsid w:val="001469E0"/>
    <w:rsid w:val="0014709D"/>
    <w:rsid w:val="00147432"/>
    <w:rsid w:val="00150DD2"/>
    <w:rsid w:val="00150F5D"/>
    <w:rsid w:val="00151784"/>
    <w:rsid w:val="00151A2B"/>
    <w:rsid w:val="00154920"/>
    <w:rsid w:val="00154AE4"/>
    <w:rsid w:val="00155217"/>
    <w:rsid w:val="00155271"/>
    <w:rsid w:val="001553E1"/>
    <w:rsid w:val="001554B3"/>
    <w:rsid w:val="00155E79"/>
    <w:rsid w:val="00156287"/>
    <w:rsid w:val="00157BD2"/>
    <w:rsid w:val="00157EAE"/>
    <w:rsid w:val="00162333"/>
    <w:rsid w:val="00162427"/>
    <w:rsid w:val="00164333"/>
    <w:rsid w:val="00164505"/>
    <w:rsid w:val="00164EC4"/>
    <w:rsid w:val="00166631"/>
    <w:rsid w:val="00174311"/>
    <w:rsid w:val="001744DB"/>
    <w:rsid w:val="00174703"/>
    <w:rsid w:val="0018009C"/>
    <w:rsid w:val="00180EFB"/>
    <w:rsid w:val="00183031"/>
    <w:rsid w:val="00183C2C"/>
    <w:rsid w:val="00183F2C"/>
    <w:rsid w:val="001851E1"/>
    <w:rsid w:val="0018624C"/>
    <w:rsid w:val="00186FE5"/>
    <w:rsid w:val="00190926"/>
    <w:rsid w:val="001917D4"/>
    <w:rsid w:val="001920E9"/>
    <w:rsid w:val="001925E7"/>
    <w:rsid w:val="00195080"/>
    <w:rsid w:val="001959CA"/>
    <w:rsid w:val="00195DD2"/>
    <w:rsid w:val="001966E2"/>
    <w:rsid w:val="001970D0"/>
    <w:rsid w:val="00197823"/>
    <w:rsid w:val="001A00C8"/>
    <w:rsid w:val="001A0800"/>
    <w:rsid w:val="001A0808"/>
    <w:rsid w:val="001A32A2"/>
    <w:rsid w:val="001A3C80"/>
    <w:rsid w:val="001A527E"/>
    <w:rsid w:val="001A5B33"/>
    <w:rsid w:val="001A7E7C"/>
    <w:rsid w:val="001B2128"/>
    <w:rsid w:val="001B2E11"/>
    <w:rsid w:val="001B3915"/>
    <w:rsid w:val="001B3938"/>
    <w:rsid w:val="001B43CA"/>
    <w:rsid w:val="001B6646"/>
    <w:rsid w:val="001B6996"/>
    <w:rsid w:val="001B78A6"/>
    <w:rsid w:val="001B7FE9"/>
    <w:rsid w:val="001C07C4"/>
    <w:rsid w:val="001C0DF6"/>
    <w:rsid w:val="001C258E"/>
    <w:rsid w:val="001C3130"/>
    <w:rsid w:val="001C3B4F"/>
    <w:rsid w:val="001C6ACA"/>
    <w:rsid w:val="001C7850"/>
    <w:rsid w:val="001C7B6E"/>
    <w:rsid w:val="001D226C"/>
    <w:rsid w:val="001D2384"/>
    <w:rsid w:val="001D463F"/>
    <w:rsid w:val="001D4AF6"/>
    <w:rsid w:val="001D5C6A"/>
    <w:rsid w:val="001D63FB"/>
    <w:rsid w:val="001D7017"/>
    <w:rsid w:val="001D704A"/>
    <w:rsid w:val="001E0235"/>
    <w:rsid w:val="001E0924"/>
    <w:rsid w:val="001E1BC3"/>
    <w:rsid w:val="001E355F"/>
    <w:rsid w:val="001E436A"/>
    <w:rsid w:val="001E43B9"/>
    <w:rsid w:val="001E49E5"/>
    <w:rsid w:val="001E5B15"/>
    <w:rsid w:val="001E5F58"/>
    <w:rsid w:val="001E7085"/>
    <w:rsid w:val="001E724F"/>
    <w:rsid w:val="001E7FD4"/>
    <w:rsid w:val="001F0E7D"/>
    <w:rsid w:val="001F3C55"/>
    <w:rsid w:val="001F4977"/>
    <w:rsid w:val="001F67C5"/>
    <w:rsid w:val="001F6EA6"/>
    <w:rsid w:val="002006D9"/>
    <w:rsid w:val="00200ED4"/>
    <w:rsid w:val="0020149A"/>
    <w:rsid w:val="0020268E"/>
    <w:rsid w:val="0020427B"/>
    <w:rsid w:val="00205A40"/>
    <w:rsid w:val="00207491"/>
    <w:rsid w:val="002116F8"/>
    <w:rsid w:val="002152C4"/>
    <w:rsid w:val="002154F5"/>
    <w:rsid w:val="0021681A"/>
    <w:rsid w:val="0021710B"/>
    <w:rsid w:val="00217FC6"/>
    <w:rsid w:val="00221077"/>
    <w:rsid w:val="002211FC"/>
    <w:rsid w:val="00221345"/>
    <w:rsid w:val="00221D9D"/>
    <w:rsid w:val="0022200C"/>
    <w:rsid w:val="002228E5"/>
    <w:rsid w:val="0022410E"/>
    <w:rsid w:val="002244D6"/>
    <w:rsid w:val="00224970"/>
    <w:rsid w:val="00225B60"/>
    <w:rsid w:val="00226722"/>
    <w:rsid w:val="00226EC2"/>
    <w:rsid w:val="00227AA7"/>
    <w:rsid w:val="00232E88"/>
    <w:rsid w:val="002331EA"/>
    <w:rsid w:val="00235A48"/>
    <w:rsid w:val="00235F11"/>
    <w:rsid w:val="00237C5A"/>
    <w:rsid w:val="002421BC"/>
    <w:rsid w:val="0024292D"/>
    <w:rsid w:val="00242E73"/>
    <w:rsid w:val="002439EF"/>
    <w:rsid w:val="0024584C"/>
    <w:rsid w:val="0024693C"/>
    <w:rsid w:val="0024703A"/>
    <w:rsid w:val="00250642"/>
    <w:rsid w:val="00250C72"/>
    <w:rsid w:val="002525E7"/>
    <w:rsid w:val="00253152"/>
    <w:rsid w:val="002534A0"/>
    <w:rsid w:val="00255069"/>
    <w:rsid w:val="00257425"/>
    <w:rsid w:val="00257C3E"/>
    <w:rsid w:val="00257CE6"/>
    <w:rsid w:val="0026236A"/>
    <w:rsid w:val="00262659"/>
    <w:rsid w:val="00264960"/>
    <w:rsid w:val="0026538D"/>
    <w:rsid w:val="0026541C"/>
    <w:rsid w:val="00266076"/>
    <w:rsid w:val="00266FD5"/>
    <w:rsid w:val="00267F63"/>
    <w:rsid w:val="002710B4"/>
    <w:rsid w:val="002714EA"/>
    <w:rsid w:val="00271508"/>
    <w:rsid w:val="00272045"/>
    <w:rsid w:val="00272C14"/>
    <w:rsid w:val="00272C27"/>
    <w:rsid w:val="00273A0D"/>
    <w:rsid w:val="00273D71"/>
    <w:rsid w:val="00273FB3"/>
    <w:rsid w:val="00274821"/>
    <w:rsid w:val="00274B87"/>
    <w:rsid w:val="00274E2B"/>
    <w:rsid w:val="0027520E"/>
    <w:rsid w:val="00276209"/>
    <w:rsid w:val="0027643D"/>
    <w:rsid w:val="00277AED"/>
    <w:rsid w:val="00280D46"/>
    <w:rsid w:val="002817E8"/>
    <w:rsid w:val="00282490"/>
    <w:rsid w:val="002864BC"/>
    <w:rsid w:val="00287105"/>
    <w:rsid w:val="00293B9B"/>
    <w:rsid w:val="00294249"/>
    <w:rsid w:val="00294F6D"/>
    <w:rsid w:val="002950F4"/>
    <w:rsid w:val="00295F7F"/>
    <w:rsid w:val="0029754F"/>
    <w:rsid w:val="0029788A"/>
    <w:rsid w:val="00297C6E"/>
    <w:rsid w:val="002A02D0"/>
    <w:rsid w:val="002A0AB5"/>
    <w:rsid w:val="002A0F8B"/>
    <w:rsid w:val="002A5368"/>
    <w:rsid w:val="002A5471"/>
    <w:rsid w:val="002A54F0"/>
    <w:rsid w:val="002A6050"/>
    <w:rsid w:val="002A61AA"/>
    <w:rsid w:val="002A625D"/>
    <w:rsid w:val="002A685E"/>
    <w:rsid w:val="002B0099"/>
    <w:rsid w:val="002B43D4"/>
    <w:rsid w:val="002B4F1D"/>
    <w:rsid w:val="002B652B"/>
    <w:rsid w:val="002B7279"/>
    <w:rsid w:val="002C14F6"/>
    <w:rsid w:val="002C4A0E"/>
    <w:rsid w:val="002C50C6"/>
    <w:rsid w:val="002C6339"/>
    <w:rsid w:val="002C71FA"/>
    <w:rsid w:val="002D0B14"/>
    <w:rsid w:val="002D1174"/>
    <w:rsid w:val="002D1C4F"/>
    <w:rsid w:val="002D3548"/>
    <w:rsid w:val="002D6647"/>
    <w:rsid w:val="002D7A22"/>
    <w:rsid w:val="002E008E"/>
    <w:rsid w:val="002E0AB4"/>
    <w:rsid w:val="002E12C2"/>
    <w:rsid w:val="002E13D3"/>
    <w:rsid w:val="002E204F"/>
    <w:rsid w:val="002E5AB0"/>
    <w:rsid w:val="002E5E8C"/>
    <w:rsid w:val="002E68E4"/>
    <w:rsid w:val="002E762B"/>
    <w:rsid w:val="002E7CC0"/>
    <w:rsid w:val="002F0D5C"/>
    <w:rsid w:val="002F28C2"/>
    <w:rsid w:val="002F29D2"/>
    <w:rsid w:val="002F2E24"/>
    <w:rsid w:val="002F5E0F"/>
    <w:rsid w:val="002F5FF7"/>
    <w:rsid w:val="002F68EC"/>
    <w:rsid w:val="00303BB6"/>
    <w:rsid w:val="003041A8"/>
    <w:rsid w:val="00305C86"/>
    <w:rsid w:val="00306E0F"/>
    <w:rsid w:val="003078DE"/>
    <w:rsid w:val="003134EC"/>
    <w:rsid w:val="003142ED"/>
    <w:rsid w:val="00315113"/>
    <w:rsid w:val="00315A5A"/>
    <w:rsid w:val="00315AD5"/>
    <w:rsid w:val="00316296"/>
    <w:rsid w:val="0031673F"/>
    <w:rsid w:val="00316C60"/>
    <w:rsid w:val="00317DF1"/>
    <w:rsid w:val="0032187D"/>
    <w:rsid w:val="003238EA"/>
    <w:rsid w:val="00324622"/>
    <w:rsid w:val="00324DF0"/>
    <w:rsid w:val="003252B6"/>
    <w:rsid w:val="003255B0"/>
    <w:rsid w:val="0032597F"/>
    <w:rsid w:val="00326639"/>
    <w:rsid w:val="00330ACC"/>
    <w:rsid w:val="0033128D"/>
    <w:rsid w:val="003314AC"/>
    <w:rsid w:val="00331CCF"/>
    <w:rsid w:val="00332BCA"/>
    <w:rsid w:val="00332E07"/>
    <w:rsid w:val="00333547"/>
    <w:rsid w:val="00333D18"/>
    <w:rsid w:val="003345C7"/>
    <w:rsid w:val="00340043"/>
    <w:rsid w:val="003409ED"/>
    <w:rsid w:val="00343A69"/>
    <w:rsid w:val="00345009"/>
    <w:rsid w:val="003465AA"/>
    <w:rsid w:val="00347BDA"/>
    <w:rsid w:val="003507CE"/>
    <w:rsid w:val="00350A44"/>
    <w:rsid w:val="00351926"/>
    <w:rsid w:val="003542E9"/>
    <w:rsid w:val="00355478"/>
    <w:rsid w:val="003566E0"/>
    <w:rsid w:val="003571B6"/>
    <w:rsid w:val="003573E3"/>
    <w:rsid w:val="00362C38"/>
    <w:rsid w:val="00363672"/>
    <w:rsid w:val="00365A8A"/>
    <w:rsid w:val="00367729"/>
    <w:rsid w:val="00371103"/>
    <w:rsid w:val="003722D7"/>
    <w:rsid w:val="003733D9"/>
    <w:rsid w:val="00374016"/>
    <w:rsid w:val="0037484B"/>
    <w:rsid w:val="003763E6"/>
    <w:rsid w:val="00376BAF"/>
    <w:rsid w:val="00376FB6"/>
    <w:rsid w:val="00377F21"/>
    <w:rsid w:val="003831A5"/>
    <w:rsid w:val="0038344A"/>
    <w:rsid w:val="003834E8"/>
    <w:rsid w:val="00385E86"/>
    <w:rsid w:val="0038695F"/>
    <w:rsid w:val="00387B53"/>
    <w:rsid w:val="00390600"/>
    <w:rsid w:val="00390D18"/>
    <w:rsid w:val="00393951"/>
    <w:rsid w:val="003939B1"/>
    <w:rsid w:val="00393F8A"/>
    <w:rsid w:val="0039451C"/>
    <w:rsid w:val="003945F7"/>
    <w:rsid w:val="00394B24"/>
    <w:rsid w:val="003A2054"/>
    <w:rsid w:val="003A3264"/>
    <w:rsid w:val="003A4310"/>
    <w:rsid w:val="003B33E6"/>
    <w:rsid w:val="003B672B"/>
    <w:rsid w:val="003B7343"/>
    <w:rsid w:val="003B7D4A"/>
    <w:rsid w:val="003C1132"/>
    <w:rsid w:val="003C11DF"/>
    <w:rsid w:val="003C1587"/>
    <w:rsid w:val="003C1920"/>
    <w:rsid w:val="003C3317"/>
    <w:rsid w:val="003C3592"/>
    <w:rsid w:val="003C39B6"/>
    <w:rsid w:val="003C5A92"/>
    <w:rsid w:val="003C62A4"/>
    <w:rsid w:val="003C7A2A"/>
    <w:rsid w:val="003C7F9A"/>
    <w:rsid w:val="003D065E"/>
    <w:rsid w:val="003D0F31"/>
    <w:rsid w:val="003D2A46"/>
    <w:rsid w:val="003D2D5E"/>
    <w:rsid w:val="003D30BD"/>
    <w:rsid w:val="003E0B84"/>
    <w:rsid w:val="003E250E"/>
    <w:rsid w:val="003E2632"/>
    <w:rsid w:val="003E362A"/>
    <w:rsid w:val="003F06F3"/>
    <w:rsid w:val="003F1684"/>
    <w:rsid w:val="003F1AAD"/>
    <w:rsid w:val="003F2527"/>
    <w:rsid w:val="003F29EA"/>
    <w:rsid w:val="003F48CF"/>
    <w:rsid w:val="003F53AF"/>
    <w:rsid w:val="003F7429"/>
    <w:rsid w:val="003F7733"/>
    <w:rsid w:val="003F7CC5"/>
    <w:rsid w:val="004001D0"/>
    <w:rsid w:val="0040104F"/>
    <w:rsid w:val="004012E6"/>
    <w:rsid w:val="00401B1A"/>
    <w:rsid w:val="00401C7A"/>
    <w:rsid w:val="00402019"/>
    <w:rsid w:val="00404042"/>
    <w:rsid w:val="004056A2"/>
    <w:rsid w:val="00405E81"/>
    <w:rsid w:val="00406885"/>
    <w:rsid w:val="00406D8C"/>
    <w:rsid w:val="004070CB"/>
    <w:rsid w:val="00407D40"/>
    <w:rsid w:val="00410216"/>
    <w:rsid w:val="00410851"/>
    <w:rsid w:val="00410ED4"/>
    <w:rsid w:val="00414F99"/>
    <w:rsid w:val="00415486"/>
    <w:rsid w:val="00415BD6"/>
    <w:rsid w:val="00417494"/>
    <w:rsid w:val="004177AE"/>
    <w:rsid w:val="004203ED"/>
    <w:rsid w:val="00421517"/>
    <w:rsid w:val="00424827"/>
    <w:rsid w:val="0042493A"/>
    <w:rsid w:val="0042543B"/>
    <w:rsid w:val="00425BDB"/>
    <w:rsid w:val="00425C8B"/>
    <w:rsid w:val="00431988"/>
    <w:rsid w:val="004322DD"/>
    <w:rsid w:val="00432A2D"/>
    <w:rsid w:val="00433946"/>
    <w:rsid w:val="00433B8D"/>
    <w:rsid w:val="0043461F"/>
    <w:rsid w:val="00434CA4"/>
    <w:rsid w:val="0043739B"/>
    <w:rsid w:val="004378EF"/>
    <w:rsid w:val="00437BBC"/>
    <w:rsid w:val="00440573"/>
    <w:rsid w:val="004408CE"/>
    <w:rsid w:val="00440B70"/>
    <w:rsid w:val="00441610"/>
    <w:rsid w:val="00441EE3"/>
    <w:rsid w:val="0044269C"/>
    <w:rsid w:val="004437CF"/>
    <w:rsid w:val="0044418E"/>
    <w:rsid w:val="004445C9"/>
    <w:rsid w:val="004465C5"/>
    <w:rsid w:val="00450FD9"/>
    <w:rsid w:val="00454631"/>
    <w:rsid w:val="004547BE"/>
    <w:rsid w:val="00455AC3"/>
    <w:rsid w:val="0045662F"/>
    <w:rsid w:val="004606F9"/>
    <w:rsid w:val="00461943"/>
    <w:rsid w:val="004619D9"/>
    <w:rsid w:val="0046300D"/>
    <w:rsid w:val="004636AA"/>
    <w:rsid w:val="0046374F"/>
    <w:rsid w:val="004641D4"/>
    <w:rsid w:val="0046755F"/>
    <w:rsid w:val="00467745"/>
    <w:rsid w:val="00470193"/>
    <w:rsid w:val="0047605B"/>
    <w:rsid w:val="004762E6"/>
    <w:rsid w:val="00477CBD"/>
    <w:rsid w:val="00480FE0"/>
    <w:rsid w:val="004828E0"/>
    <w:rsid w:val="00483FA0"/>
    <w:rsid w:val="004842DB"/>
    <w:rsid w:val="004854BF"/>
    <w:rsid w:val="00490E90"/>
    <w:rsid w:val="0049319D"/>
    <w:rsid w:val="00494E7C"/>
    <w:rsid w:val="00495D1A"/>
    <w:rsid w:val="00495EA6"/>
    <w:rsid w:val="0049601B"/>
    <w:rsid w:val="00496C90"/>
    <w:rsid w:val="00497C7D"/>
    <w:rsid w:val="004A0171"/>
    <w:rsid w:val="004A019D"/>
    <w:rsid w:val="004A12F5"/>
    <w:rsid w:val="004A1E22"/>
    <w:rsid w:val="004A2FE7"/>
    <w:rsid w:val="004A47B2"/>
    <w:rsid w:val="004A6F78"/>
    <w:rsid w:val="004A768B"/>
    <w:rsid w:val="004A79BE"/>
    <w:rsid w:val="004A7BFB"/>
    <w:rsid w:val="004B05CA"/>
    <w:rsid w:val="004B268D"/>
    <w:rsid w:val="004B2ABD"/>
    <w:rsid w:val="004B3455"/>
    <w:rsid w:val="004B60BF"/>
    <w:rsid w:val="004B7521"/>
    <w:rsid w:val="004C0142"/>
    <w:rsid w:val="004C034F"/>
    <w:rsid w:val="004C06C3"/>
    <w:rsid w:val="004C0C6E"/>
    <w:rsid w:val="004C115C"/>
    <w:rsid w:val="004C11D9"/>
    <w:rsid w:val="004C183B"/>
    <w:rsid w:val="004C20A9"/>
    <w:rsid w:val="004C22C7"/>
    <w:rsid w:val="004C2BAA"/>
    <w:rsid w:val="004C3BB0"/>
    <w:rsid w:val="004C76EF"/>
    <w:rsid w:val="004C7CC9"/>
    <w:rsid w:val="004D18FA"/>
    <w:rsid w:val="004D1981"/>
    <w:rsid w:val="004D3D2B"/>
    <w:rsid w:val="004D4590"/>
    <w:rsid w:val="004D492C"/>
    <w:rsid w:val="004D4D52"/>
    <w:rsid w:val="004D57B1"/>
    <w:rsid w:val="004D70BB"/>
    <w:rsid w:val="004D786D"/>
    <w:rsid w:val="004D7A44"/>
    <w:rsid w:val="004E58AD"/>
    <w:rsid w:val="004E60D6"/>
    <w:rsid w:val="004E7B92"/>
    <w:rsid w:val="004F184A"/>
    <w:rsid w:val="004F18D2"/>
    <w:rsid w:val="004F1B1F"/>
    <w:rsid w:val="004F25B3"/>
    <w:rsid w:val="004F3277"/>
    <w:rsid w:val="004F42AF"/>
    <w:rsid w:val="004F6FF1"/>
    <w:rsid w:val="004F71ED"/>
    <w:rsid w:val="004F797C"/>
    <w:rsid w:val="00502CA8"/>
    <w:rsid w:val="00504868"/>
    <w:rsid w:val="00504B71"/>
    <w:rsid w:val="0050561A"/>
    <w:rsid w:val="00505722"/>
    <w:rsid w:val="00507F59"/>
    <w:rsid w:val="00512AF0"/>
    <w:rsid w:val="005130DE"/>
    <w:rsid w:val="00513F0D"/>
    <w:rsid w:val="00515DF3"/>
    <w:rsid w:val="005166A8"/>
    <w:rsid w:val="00516CBE"/>
    <w:rsid w:val="0051709D"/>
    <w:rsid w:val="00517D5A"/>
    <w:rsid w:val="00521B71"/>
    <w:rsid w:val="00522BF7"/>
    <w:rsid w:val="0052555C"/>
    <w:rsid w:val="00526678"/>
    <w:rsid w:val="00530516"/>
    <w:rsid w:val="00530639"/>
    <w:rsid w:val="0053095D"/>
    <w:rsid w:val="005311E3"/>
    <w:rsid w:val="005315BE"/>
    <w:rsid w:val="00532971"/>
    <w:rsid w:val="00533E10"/>
    <w:rsid w:val="00534677"/>
    <w:rsid w:val="005349DF"/>
    <w:rsid w:val="00534E3F"/>
    <w:rsid w:val="00534F76"/>
    <w:rsid w:val="00535992"/>
    <w:rsid w:val="00535C93"/>
    <w:rsid w:val="00535CB4"/>
    <w:rsid w:val="005366FB"/>
    <w:rsid w:val="0053736A"/>
    <w:rsid w:val="00541B03"/>
    <w:rsid w:val="0054240E"/>
    <w:rsid w:val="00543A57"/>
    <w:rsid w:val="005470C7"/>
    <w:rsid w:val="00553CAB"/>
    <w:rsid w:val="0055499D"/>
    <w:rsid w:val="005559B5"/>
    <w:rsid w:val="00556461"/>
    <w:rsid w:val="00563DC5"/>
    <w:rsid w:val="00563E5C"/>
    <w:rsid w:val="005640EE"/>
    <w:rsid w:val="005641D4"/>
    <w:rsid w:val="00564642"/>
    <w:rsid w:val="00565CBC"/>
    <w:rsid w:val="00566684"/>
    <w:rsid w:val="005720D2"/>
    <w:rsid w:val="00572E12"/>
    <w:rsid w:val="00573624"/>
    <w:rsid w:val="00575223"/>
    <w:rsid w:val="005769B1"/>
    <w:rsid w:val="005815A0"/>
    <w:rsid w:val="00582291"/>
    <w:rsid w:val="00583609"/>
    <w:rsid w:val="00584AAB"/>
    <w:rsid w:val="00584B13"/>
    <w:rsid w:val="00584F62"/>
    <w:rsid w:val="00586013"/>
    <w:rsid w:val="00586085"/>
    <w:rsid w:val="00590919"/>
    <w:rsid w:val="00592D9F"/>
    <w:rsid w:val="0059367D"/>
    <w:rsid w:val="00593E39"/>
    <w:rsid w:val="00595292"/>
    <w:rsid w:val="005A0230"/>
    <w:rsid w:val="005A0F26"/>
    <w:rsid w:val="005A3261"/>
    <w:rsid w:val="005A5174"/>
    <w:rsid w:val="005A5396"/>
    <w:rsid w:val="005A6117"/>
    <w:rsid w:val="005B101B"/>
    <w:rsid w:val="005B10E5"/>
    <w:rsid w:val="005B1685"/>
    <w:rsid w:val="005B19D4"/>
    <w:rsid w:val="005B2162"/>
    <w:rsid w:val="005B327B"/>
    <w:rsid w:val="005B40DF"/>
    <w:rsid w:val="005B66AD"/>
    <w:rsid w:val="005C000F"/>
    <w:rsid w:val="005C00FF"/>
    <w:rsid w:val="005C0691"/>
    <w:rsid w:val="005C095D"/>
    <w:rsid w:val="005C32D2"/>
    <w:rsid w:val="005C34AE"/>
    <w:rsid w:val="005C4917"/>
    <w:rsid w:val="005C56A1"/>
    <w:rsid w:val="005C6155"/>
    <w:rsid w:val="005C6685"/>
    <w:rsid w:val="005C7459"/>
    <w:rsid w:val="005D27D3"/>
    <w:rsid w:val="005D29FC"/>
    <w:rsid w:val="005D357A"/>
    <w:rsid w:val="005D3DFB"/>
    <w:rsid w:val="005D6034"/>
    <w:rsid w:val="005D666C"/>
    <w:rsid w:val="005E040C"/>
    <w:rsid w:val="005E051D"/>
    <w:rsid w:val="005E1789"/>
    <w:rsid w:val="005E5CC2"/>
    <w:rsid w:val="005E60A4"/>
    <w:rsid w:val="005E61E7"/>
    <w:rsid w:val="005E6CFA"/>
    <w:rsid w:val="005E7F36"/>
    <w:rsid w:val="005F01B2"/>
    <w:rsid w:val="005F17FE"/>
    <w:rsid w:val="005F227B"/>
    <w:rsid w:val="005F37B5"/>
    <w:rsid w:val="005F3A55"/>
    <w:rsid w:val="005F60A0"/>
    <w:rsid w:val="005F63E8"/>
    <w:rsid w:val="00600E58"/>
    <w:rsid w:val="00601A37"/>
    <w:rsid w:val="00604523"/>
    <w:rsid w:val="006046B7"/>
    <w:rsid w:val="00605849"/>
    <w:rsid w:val="006070C3"/>
    <w:rsid w:val="00610C31"/>
    <w:rsid w:val="006112B6"/>
    <w:rsid w:val="006155BE"/>
    <w:rsid w:val="00615C5B"/>
    <w:rsid w:val="00615ED4"/>
    <w:rsid w:val="0061611D"/>
    <w:rsid w:val="006170EA"/>
    <w:rsid w:val="00621087"/>
    <w:rsid w:val="0062152B"/>
    <w:rsid w:val="006236C3"/>
    <w:rsid w:val="006239B8"/>
    <w:rsid w:val="00624560"/>
    <w:rsid w:val="0062500D"/>
    <w:rsid w:val="00626021"/>
    <w:rsid w:val="006266B7"/>
    <w:rsid w:val="00626CAD"/>
    <w:rsid w:val="00626D8E"/>
    <w:rsid w:val="006278AA"/>
    <w:rsid w:val="00631ED6"/>
    <w:rsid w:val="006329F5"/>
    <w:rsid w:val="00634EC9"/>
    <w:rsid w:val="006354F6"/>
    <w:rsid w:val="00636091"/>
    <w:rsid w:val="006407A6"/>
    <w:rsid w:val="006410A1"/>
    <w:rsid w:val="0064132F"/>
    <w:rsid w:val="00641826"/>
    <w:rsid w:val="00641A8E"/>
    <w:rsid w:val="006421F9"/>
    <w:rsid w:val="00642351"/>
    <w:rsid w:val="00642A54"/>
    <w:rsid w:val="006434ED"/>
    <w:rsid w:val="00645690"/>
    <w:rsid w:val="00645F0C"/>
    <w:rsid w:val="00650842"/>
    <w:rsid w:val="00651D0F"/>
    <w:rsid w:val="00651DC4"/>
    <w:rsid w:val="00651FB4"/>
    <w:rsid w:val="006528D1"/>
    <w:rsid w:val="00654640"/>
    <w:rsid w:val="006558CD"/>
    <w:rsid w:val="006561AD"/>
    <w:rsid w:val="00657709"/>
    <w:rsid w:val="00660405"/>
    <w:rsid w:val="0066124D"/>
    <w:rsid w:val="00661468"/>
    <w:rsid w:val="00662566"/>
    <w:rsid w:val="00664428"/>
    <w:rsid w:val="00665231"/>
    <w:rsid w:val="00667194"/>
    <w:rsid w:val="006672F2"/>
    <w:rsid w:val="00667FEC"/>
    <w:rsid w:val="0067251C"/>
    <w:rsid w:val="00672989"/>
    <w:rsid w:val="00673E97"/>
    <w:rsid w:val="00675011"/>
    <w:rsid w:val="0067678D"/>
    <w:rsid w:val="006802A7"/>
    <w:rsid w:val="00680B10"/>
    <w:rsid w:val="00680C4C"/>
    <w:rsid w:val="006812D1"/>
    <w:rsid w:val="00681F0E"/>
    <w:rsid w:val="006820EF"/>
    <w:rsid w:val="006833FB"/>
    <w:rsid w:val="00684897"/>
    <w:rsid w:val="00686FD4"/>
    <w:rsid w:val="00690A9E"/>
    <w:rsid w:val="0069210A"/>
    <w:rsid w:val="00696114"/>
    <w:rsid w:val="00696C80"/>
    <w:rsid w:val="00697278"/>
    <w:rsid w:val="006979B8"/>
    <w:rsid w:val="006A0020"/>
    <w:rsid w:val="006A0DEB"/>
    <w:rsid w:val="006A33D0"/>
    <w:rsid w:val="006A6DB1"/>
    <w:rsid w:val="006A6EF2"/>
    <w:rsid w:val="006A71CE"/>
    <w:rsid w:val="006A782C"/>
    <w:rsid w:val="006B0588"/>
    <w:rsid w:val="006B06B5"/>
    <w:rsid w:val="006B1606"/>
    <w:rsid w:val="006B2D53"/>
    <w:rsid w:val="006B2F0F"/>
    <w:rsid w:val="006B3DAF"/>
    <w:rsid w:val="006C069F"/>
    <w:rsid w:val="006C112A"/>
    <w:rsid w:val="006C16C6"/>
    <w:rsid w:val="006C299B"/>
    <w:rsid w:val="006C2B8E"/>
    <w:rsid w:val="006C3BC8"/>
    <w:rsid w:val="006C3E56"/>
    <w:rsid w:val="006C4916"/>
    <w:rsid w:val="006C6BEA"/>
    <w:rsid w:val="006C6C8D"/>
    <w:rsid w:val="006C7685"/>
    <w:rsid w:val="006C7D52"/>
    <w:rsid w:val="006D185C"/>
    <w:rsid w:val="006D21C7"/>
    <w:rsid w:val="006D39C1"/>
    <w:rsid w:val="006D6B21"/>
    <w:rsid w:val="006D73DF"/>
    <w:rsid w:val="006E1946"/>
    <w:rsid w:val="006E4796"/>
    <w:rsid w:val="006E596A"/>
    <w:rsid w:val="006E5FE1"/>
    <w:rsid w:val="006E6243"/>
    <w:rsid w:val="006E65BE"/>
    <w:rsid w:val="006E7572"/>
    <w:rsid w:val="006E777C"/>
    <w:rsid w:val="006E7C59"/>
    <w:rsid w:val="006F01E3"/>
    <w:rsid w:val="006F078A"/>
    <w:rsid w:val="006F3274"/>
    <w:rsid w:val="006F3687"/>
    <w:rsid w:val="006F51BF"/>
    <w:rsid w:val="006F684F"/>
    <w:rsid w:val="006F6C3C"/>
    <w:rsid w:val="006F7091"/>
    <w:rsid w:val="00700C93"/>
    <w:rsid w:val="00702C99"/>
    <w:rsid w:val="00703104"/>
    <w:rsid w:val="00704919"/>
    <w:rsid w:val="00705628"/>
    <w:rsid w:val="0071062D"/>
    <w:rsid w:val="007110CD"/>
    <w:rsid w:val="00711298"/>
    <w:rsid w:val="007137D3"/>
    <w:rsid w:val="00715E44"/>
    <w:rsid w:val="00716D6B"/>
    <w:rsid w:val="00716E65"/>
    <w:rsid w:val="00720D36"/>
    <w:rsid w:val="007214CE"/>
    <w:rsid w:val="00722BBB"/>
    <w:rsid w:val="00724F9F"/>
    <w:rsid w:val="007252ED"/>
    <w:rsid w:val="007254C8"/>
    <w:rsid w:val="00726FCB"/>
    <w:rsid w:val="00731932"/>
    <w:rsid w:val="0073497A"/>
    <w:rsid w:val="00734DA0"/>
    <w:rsid w:val="007352D2"/>
    <w:rsid w:val="0073592B"/>
    <w:rsid w:val="00735E32"/>
    <w:rsid w:val="00741A4D"/>
    <w:rsid w:val="00741C61"/>
    <w:rsid w:val="00742266"/>
    <w:rsid w:val="0074229C"/>
    <w:rsid w:val="00742796"/>
    <w:rsid w:val="00743A7F"/>
    <w:rsid w:val="0074485E"/>
    <w:rsid w:val="00744A5B"/>
    <w:rsid w:val="00744EC0"/>
    <w:rsid w:val="007456BA"/>
    <w:rsid w:val="00745ACA"/>
    <w:rsid w:val="007503FA"/>
    <w:rsid w:val="0075080F"/>
    <w:rsid w:val="007509A3"/>
    <w:rsid w:val="00750F1E"/>
    <w:rsid w:val="007522B6"/>
    <w:rsid w:val="00752428"/>
    <w:rsid w:val="0075447C"/>
    <w:rsid w:val="00754AFC"/>
    <w:rsid w:val="007557E3"/>
    <w:rsid w:val="00755E4D"/>
    <w:rsid w:val="007564CC"/>
    <w:rsid w:val="00757006"/>
    <w:rsid w:val="007576EB"/>
    <w:rsid w:val="00761A8B"/>
    <w:rsid w:val="00762CF1"/>
    <w:rsid w:val="00762EA3"/>
    <w:rsid w:val="0076403F"/>
    <w:rsid w:val="00766070"/>
    <w:rsid w:val="00767128"/>
    <w:rsid w:val="00770291"/>
    <w:rsid w:val="00770D2E"/>
    <w:rsid w:val="00770D4F"/>
    <w:rsid w:val="00770E71"/>
    <w:rsid w:val="00770F7E"/>
    <w:rsid w:val="007721B4"/>
    <w:rsid w:val="00774C29"/>
    <w:rsid w:val="007773BD"/>
    <w:rsid w:val="00780375"/>
    <w:rsid w:val="00780E02"/>
    <w:rsid w:val="007851F3"/>
    <w:rsid w:val="0078546A"/>
    <w:rsid w:val="00787E6E"/>
    <w:rsid w:val="00790E0A"/>
    <w:rsid w:val="007963F3"/>
    <w:rsid w:val="00797369"/>
    <w:rsid w:val="00797C55"/>
    <w:rsid w:val="007A0E48"/>
    <w:rsid w:val="007A112B"/>
    <w:rsid w:val="007A14C4"/>
    <w:rsid w:val="007A1BED"/>
    <w:rsid w:val="007A2531"/>
    <w:rsid w:val="007A40C2"/>
    <w:rsid w:val="007A4331"/>
    <w:rsid w:val="007A4E6A"/>
    <w:rsid w:val="007A725E"/>
    <w:rsid w:val="007A72C8"/>
    <w:rsid w:val="007B09D0"/>
    <w:rsid w:val="007B1B70"/>
    <w:rsid w:val="007B3BD5"/>
    <w:rsid w:val="007B4F3B"/>
    <w:rsid w:val="007B5D3A"/>
    <w:rsid w:val="007B6356"/>
    <w:rsid w:val="007B7CDE"/>
    <w:rsid w:val="007C0596"/>
    <w:rsid w:val="007C0995"/>
    <w:rsid w:val="007C0C14"/>
    <w:rsid w:val="007C285B"/>
    <w:rsid w:val="007C34EA"/>
    <w:rsid w:val="007C3807"/>
    <w:rsid w:val="007C4588"/>
    <w:rsid w:val="007C79EA"/>
    <w:rsid w:val="007D114C"/>
    <w:rsid w:val="007D45D2"/>
    <w:rsid w:val="007D7297"/>
    <w:rsid w:val="007D7568"/>
    <w:rsid w:val="007D7755"/>
    <w:rsid w:val="007E091D"/>
    <w:rsid w:val="007E12AF"/>
    <w:rsid w:val="007E2AB3"/>
    <w:rsid w:val="007E3749"/>
    <w:rsid w:val="007E3B0E"/>
    <w:rsid w:val="007E3EEB"/>
    <w:rsid w:val="007E4DFB"/>
    <w:rsid w:val="007E6B76"/>
    <w:rsid w:val="007F3190"/>
    <w:rsid w:val="007F7693"/>
    <w:rsid w:val="00800936"/>
    <w:rsid w:val="00800D70"/>
    <w:rsid w:val="00801771"/>
    <w:rsid w:val="008026A3"/>
    <w:rsid w:val="00803482"/>
    <w:rsid w:val="008037BE"/>
    <w:rsid w:val="008055CE"/>
    <w:rsid w:val="008058CB"/>
    <w:rsid w:val="00811C87"/>
    <w:rsid w:val="00811D8A"/>
    <w:rsid w:val="0081294E"/>
    <w:rsid w:val="00815015"/>
    <w:rsid w:val="00820FB3"/>
    <w:rsid w:val="00821362"/>
    <w:rsid w:val="00821C14"/>
    <w:rsid w:val="00823646"/>
    <w:rsid w:val="00823837"/>
    <w:rsid w:val="0082633D"/>
    <w:rsid w:val="008277FA"/>
    <w:rsid w:val="00827920"/>
    <w:rsid w:val="00831FE5"/>
    <w:rsid w:val="00833EDD"/>
    <w:rsid w:val="00834036"/>
    <w:rsid w:val="0083434F"/>
    <w:rsid w:val="008350F9"/>
    <w:rsid w:val="008355A5"/>
    <w:rsid w:val="008375D2"/>
    <w:rsid w:val="0084083A"/>
    <w:rsid w:val="008426A0"/>
    <w:rsid w:val="00843F9A"/>
    <w:rsid w:val="008465F3"/>
    <w:rsid w:val="00847403"/>
    <w:rsid w:val="00847722"/>
    <w:rsid w:val="0085014E"/>
    <w:rsid w:val="00850561"/>
    <w:rsid w:val="00850F57"/>
    <w:rsid w:val="00854A19"/>
    <w:rsid w:val="0085615E"/>
    <w:rsid w:val="00857A92"/>
    <w:rsid w:val="008617B1"/>
    <w:rsid w:val="008623E3"/>
    <w:rsid w:val="00862D11"/>
    <w:rsid w:val="00863B40"/>
    <w:rsid w:val="008645ED"/>
    <w:rsid w:val="00864B03"/>
    <w:rsid w:val="00865887"/>
    <w:rsid w:val="00865AEB"/>
    <w:rsid w:val="008664E9"/>
    <w:rsid w:val="00866A83"/>
    <w:rsid w:val="008713CD"/>
    <w:rsid w:val="008719F8"/>
    <w:rsid w:val="00877E8F"/>
    <w:rsid w:val="00880035"/>
    <w:rsid w:val="008812DC"/>
    <w:rsid w:val="00883774"/>
    <w:rsid w:val="00884303"/>
    <w:rsid w:val="00885122"/>
    <w:rsid w:val="00885D84"/>
    <w:rsid w:val="00885E87"/>
    <w:rsid w:val="00886002"/>
    <w:rsid w:val="00886781"/>
    <w:rsid w:val="00886D1B"/>
    <w:rsid w:val="00887F7C"/>
    <w:rsid w:val="008904E0"/>
    <w:rsid w:val="00891F50"/>
    <w:rsid w:val="008933D1"/>
    <w:rsid w:val="008953E9"/>
    <w:rsid w:val="0089785C"/>
    <w:rsid w:val="008A020D"/>
    <w:rsid w:val="008A046E"/>
    <w:rsid w:val="008A05DA"/>
    <w:rsid w:val="008A0E02"/>
    <w:rsid w:val="008A0EF2"/>
    <w:rsid w:val="008A13FC"/>
    <w:rsid w:val="008A1D1A"/>
    <w:rsid w:val="008A23DF"/>
    <w:rsid w:val="008A2F14"/>
    <w:rsid w:val="008A305A"/>
    <w:rsid w:val="008A48B8"/>
    <w:rsid w:val="008A5118"/>
    <w:rsid w:val="008A7428"/>
    <w:rsid w:val="008A7FB3"/>
    <w:rsid w:val="008B156D"/>
    <w:rsid w:val="008B3C57"/>
    <w:rsid w:val="008B4120"/>
    <w:rsid w:val="008B478B"/>
    <w:rsid w:val="008B4B74"/>
    <w:rsid w:val="008B52FF"/>
    <w:rsid w:val="008B58D2"/>
    <w:rsid w:val="008B624A"/>
    <w:rsid w:val="008B667F"/>
    <w:rsid w:val="008B6DE5"/>
    <w:rsid w:val="008B6EDC"/>
    <w:rsid w:val="008B706D"/>
    <w:rsid w:val="008B7F60"/>
    <w:rsid w:val="008C35C8"/>
    <w:rsid w:val="008C4163"/>
    <w:rsid w:val="008C44A2"/>
    <w:rsid w:val="008C4F0B"/>
    <w:rsid w:val="008C5BA1"/>
    <w:rsid w:val="008D0CFE"/>
    <w:rsid w:val="008D0E99"/>
    <w:rsid w:val="008D0F10"/>
    <w:rsid w:val="008D4274"/>
    <w:rsid w:val="008D4E44"/>
    <w:rsid w:val="008D4EED"/>
    <w:rsid w:val="008E0214"/>
    <w:rsid w:val="008E07F4"/>
    <w:rsid w:val="008E1E02"/>
    <w:rsid w:val="008E1FC4"/>
    <w:rsid w:val="008E2F8D"/>
    <w:rsid w:val="008E3D5D"/>
    <w:rsid w:val="008E6604"/>
    <w:rsid w:val="008F002B"/>
    <w:rsid w:val="008F0C7B"/>
    <w:rsid w:val="008F12B6"/>
    <w:rsid w:val="008F24D5"/>
    <w:rsid w:val="008F4AC0"/>
    <w:rsid w:val="008F4F5A"/>
    <w:rsid w:val="008F5BC8"/>
    <w:rsid w:val="008F6569"/>
    <w:rsid w:val="008F7D52"/>
    <w:rsid w:val="0090000D"/>
    <w:rsid w:val="00902149"/>
    <w:rsid w:val="0090297B"/>
    <w:rsid w:val="00903257"/>
    <w:rsid w:val="0090383C"/>
    <w:rsid w:val="0090465D"/>
    <w:rsid w:val="0090530A"/>
    <w:rsid w:val="00905BF3"/>
    <w:rsid w:val="00905DCD"/>
    <w:rsid w:val="00910CD0"/>
    <w:rsid w:val="00911CA2"/>
    <w:rsid w:val="00912AEB"/>
    <w:rsid w:val="009154C0"/>
    <w:rsid w:val="00916F90"/>
    <w:rsid w:val="009202AE"/>
    <w:rsid w:val="00921623"/>
    <w:rsid w:val="00922FBD"/>
    <w:rsid w:val="009306B9"/>
    <w:rsid w:val="00931041"/>
    <w:rsid w:val="00934287"/>
    <w:rsid w:val="00936BF1"/>
    <w:rsid w:val="00940413"/>
    <w:rsid w:val="009415F7"/>
    <w:rsid w:val="0094179A"/>
    <w:rsid w:val="00941F5B"/>
    <w:rsid w:val="00942C4C"/>
    <w:rsid w:val="00943409"/>
    <w:rsid w:val="009437FE"/>
    <w:rsid w:val="00943962"/>
    <w:rsid w:val="00943A06"/>
    <w:rsid w:val="0094463F"/>
    <w:rsid w:val="00944F8E"/>
    <w:rsid w:val="00947B29"/>
    <w:rsid w:val="00954FC8"/>
    <w:rsid w:val="009570D2"/>
    <w:rsid w:val="00960558"/>
    <w:rsid w:val="00960F2D"/>
    <w:rsid w:val="00962E0E"/>
    <w:rsid w:val="00963E7C"/>
    <w:rsid w:val="00964DD6"/>
    <w:rsid w:val="00964DE5"/>
    <w:rsid w:val="009668A8"/>
    <w:rsid w:val="00966C87"/>
    <w:rsid w:val="00967B6E"/>
    <w:rsid w:val="00970B2F"/>
    <w:rsid w:val="00972716"/>
    <w:rsid w:val="00973785"/>
    <w:rsid w:val="009749AD"/>
    <w:rsid w:val="009773DB"/>
    <w:rsid w:val="0098138E"/>
    <w:rsid w:val="00981D44"/>
    <w:rsid w:val="00981EBA"/>
    <w:rsid w:val="00982B16"/>
    <w:rsid w:val="00983CD5"/>
    <w:rsid w:val="00985527"/>
    <w:rsid w:val="00986AE9"/>
    <w:rsid w:val="00986FD4"/>
    <w:rsid w:val="009909A5"/>
    <w:rsid w:val="0099144D"/>
    <w:rsid w:val="0099174B"/>
    <w:rsid w:val="00993BFB"/>
    <w:rsid w:val="00994C10"/>
    <w:rsid w:val="0099576C"/>
    <w:rsid w:val="00997D89"/>
    <w:rsid w:val="009A4F4B"/>
    <w:rsid w:val="009A50E8"/>
    <w:rsid w:val="009A6BC8"/>
    <w:rsid w:val="009B15A0"/>
    <w:rsid w:val="009B215D"/>
    <w:rsid w:val="009B2D41"/>
    <w:rsid w:val="009B5173"/>
    <w:rsid w:val="009B65C5"/>
    <w:rsid w:val="009B7AFF"/>
    <w:rsid w:val="009C0161"/>
    <w:rsid w:val="009C027F"/>
    <w:rsid w:val="009C0C4D"/>
    <w:rsid w:val="009C19B9"/>
    <w:rsid w:val="009C20F0"/>
    <w:rsid w:val="009D0D80"/>
    <w:rsid w:val="009D1C43"/>
    <w:rsid w:val="009D6F18"/>
    <w:rsid w:val="009D72E0"/>
    <w:rsid w:val="009E0C2A"/>
    <w:rsid w:val="009E11BF"/>
    <w:rsid w:val="009E145D"/>
    <w:rsid w:val="009E17CB"/>
    <w:rsid w:val="009E1ED6"/>
    <w:rsid w:val="009E2E62"/>
    <w:rsid w:val="009E5DEF"/>
    <w:rsid w:val="009E67AD"/>
    <w:rsid w:val="009E767D"/>
    <w:rsid w:val="009E7A89"/>
    <w:rsid w:val="009F295D"/>
    <w:rsid w:val="009F29D5"/>
    <w:rsid w:val="009F3C31"/>
    <w:rsid w:val="009F579C"/>
    <w:rsid w:val="009F596C"/>
    <w:rsid w:val="009F627A"/>
    <w:rsid w:val="009F6468"/>
    <w:rsid w:val="009F7110"/>
    <w:rsid w:val="009F756B"/>
    <w:rsid w:val="009F7BFA"/>
    <w:rsid w:val="00A015D1"/>
    <w:rsid w:val="00A0211C"/>
    <w:rsid w:val="00A02AE4"/>
    <w:rsid w:val="00A0399C"/>
    <w:rsid w:val="00A04F51"/>
    <w:rsid w:val="00A057C7"/>
    <w:rsid w:val="00A06B48"/>
    <w:rsid w:val="00A100E3"/>
    <w:rsid w:val="00A14A09"/>
    <w:rsid w:val="00A15B06"/>
    <w:rsid w:val="00A16056"/>
    <w:rsid w:val="00A16B2F"/>
    <w:rsid w:val="00A20EDD"/>
    <w:rsid w:val="00A218D1"/>
    <w:rsid w:val="00A22943"/>
    <w:rsid w:val="00A22B49"/>
    <w:rsid w:val="00A22C88"/>
    <w:rsid w:val="00A2453E"/>
    <w:rsid w:val="00A2511C"/>
    <w:rsid w:val="00A2581D"/>
    <w:rsid w:val="00A25EC6"/>
    <w:rsid w:val="00A26ACD"/>
    <w:rsid w:val="00A304B1"/>
    <w:rsid w:val="00A31EC7"/>
    <w:rsid w:val="00A33313"/>
    <w:rsid w:val="00A351AE"/>
    <w:rsid w:val="00A3559E"/>
    <w:rsid w:val="00A40200"/>
    <w:rsid w:val="00A42615"/>
    <w:rsid w:val="00A42ED9"/>
    <w:rsid w:val="00A44554"/>
    <w:rsid w:val="00A45724"/>
    <w:rsid w:val="00A46EEB"/>
    <w:rsid w:val="00A5157B"/>
    <w:rsid w:val="00A5205E"/>
    <w:rsid w:val="00A526DC"/>
    <w:rsid w:val="00A5550D"/>
    <w:rsid w:val="00A55731"/>
    <w:rsid w:val="00A55AC0"/>
    <w:rsid w:val="00A57299"/>
    <w:rsid w:val="00A60244"/>
    <w:rsid w:val="00A65AA0"/>
    <w:rsid w:val="00A71AE8"/>
    <w:rsid w:val="00A7266C"/>
    <w:rsid w:val="00A74F61"/>
    <w:rsid w:val="00A778D5"/>
    <w:rsid w:val="00A77C32"/>
    <w:rsid w:val="00A81370"/>
    <w:rsid w:val="00A820B8"/>
    <w:rsid w:val="00A83FD3"/>
    <w:rsid w:val="00A8453C"/>
    <w:rsid w:val="00A84CB8"/>
    <w:rsid w:val="00A901C5"/>
    <w:rsid w:val="00A9066E"/>
    <w:rsid w:val="00A9245E"/>
    <w:rsid w:val="00A925C5"/>
    <w:rsid w:val="00A92F94"/>
    <w:rsid w:val="00A94518"/>
    <w:rsid w:val="00A9690B"/>
    <w:rsid w:val="00A97382"/>
    <w:rsid w:val="00A978F6"/>
    <w:rsid w:val="00AA18E4"/>
    <w:rsid w:val="00AA304D"/>
    <w:rsid w:val="00AA79D7"/>
    <w:rsid w:val="00AB006D"/>
    <w:rsid w:val="00AB2353"/>
    <w:rsid w:val="00AB2D62"/>
    <w:rsid w:val="00AB30CB"/>
    <w:rsid w:val="00AB40F5"/>
    <w:rsid w:val="00AB551F"/>
    <w:rsid w:val="00AB6A44"/>
    <w:rsid w:val="00AB6B6F"/>
    <w:rsid w:val="00AB7116"/>
    <w:rsid w:val="00AB7342"/>
    <w:rsid w:val="00AC069A"/>
    <w:rsid w:val="00AC1095"/>
    <w:rsid w:val="00AC2924"/>
    <w:rsid w:val="00AC2E51"/>
    <w:rsid w:val="00AC4DF5"/>
    <w:rsid w:val="00AD121B"/>
    <w:rsid w:val="00AD259D"/>
    <w:rsid w:val="00AD3421"/>
    <w:rsid w:val="00AD4CCF"/>
    <w:rsid w:val="00AD6B7B"/>
    <w:rsid w:val="00AD6E2E"/>
    <w:rsid w:val="00AE1EE1"/>
    <w:rsid w:val="00AE2A28"/>
    <w:rsid w:val="00AE2CCB"/>
    <w:rsid w:val="00AE70D9"/>
    <w:rsid w:val="00AE7C0D"/>
    <w:rsid w:val="00AE7D3E"/>
    <w:rsid w:val="00AF01EB"/>
    <w:rsid w:val="00AF0E9C"/>
    <w:rsid w:val="00AF3197"/>
    <w:rsid w:val="00AF3992"/>
    <w:rsid w:val="00AF3BE8"/>
    <w:rsid w:val="00AF4C32"/>
    <w:rsid w:val="00AF5985"/>
    <w:rsid w:val="00AF6F15"/>
    <w:rsid w:val="00B00706"/>
    <w:rsid w:val="00B02C4E"/>
    <w:rsid w:val="00B0314E"/>
    <w:rsid w:val="00B041CA"/>
    <w:rsid w:val="00B0519A"/>
    <w:rsid w:val="00B06BA0"/>
    <w:rsid w:val="00B11AA0"/>
    <w:rsid w:val="00B11D7D"/>
    <w:rsid w:val="00B13480"/>
    <w:rsid w:val="00B2278D"/>
    <w:rsid w:val="00B22973"/>
    <w:rsid w:val="00B2341D"/>
    <w:rsid w:val="00B30890"/>
    <w:rsid w:val="00B30CB1"/>
    <w:rsid w:val="00B368AA"/>
    <w:rsid w:val="00B4003D"/>
    <w:rsid w:val="00B41397"/>
    <w:rsid w:val="00B417EE"/>
    <w:rsid w:val="00B419DF"/>
    <w:rsid w:val="00B41FCC"/>
    <w:rsid w:val="00B4324C"/>
    <w:rsid w:val="00B43C88"/>
    <w:rsid w:val="00B43F09"/>
    <w:rsid w:val="00B44932"/>
    <w:rsid w:val="00B46D91"/>
    <w:rsid w:val="00B4746B"/>
    <w:rsid w:val="00B47982"/>
    <w:rsid w:val="00B5061C"/>
    <w:rsid w:val="00B5271D"/>
    <w:rsid w:val="00B53887"/>
    <w:rsid w:val="00B539D4"/>
    <w:rsid w:val="00B53EC7"/>
    <w:rsid w:val="00B547B4"/>
    <w:rsid w:val="00B5489D"/>
    <w:rsid w:val="00B560D3"/>
    <w:rsid w:val="00B56FEE"/>
    <w:rsid w:val="00B60F33"/>
    <w:rsid w:val="00B621DE"/>
    <w:rsid w:val="00B63462"/>
    <w:rsid w:val="00B63872"/>
    <w:rsid w:val="00B64232"/>
    <w:rsid w:val="00B652F9"/>
    <w:rsid w:val="00B65DAD"/>
    <w:rsid w:val="00B70BE5"/>
    <w:rsid w:val="00B712C4"/>
    <w:rsid w:val="00B738F0"/>
    <w:rsid w:val="00B73B44"/>
    <w:rsid w:val="00B75B4E"/>
    <w:rsid w:val="00B76513"/>
    <w:rsid w:val="00B8156D"/>
    <w:rsid w:val="00B824AB"/>
    <w:rsid w:val="00B82B15"/>
    <w:rsid w:val="00B83E28"/>
    <w:rsid w:val="00B848A7"/>
    <w:rsid w:val="00B84DC5"/>
    <w:rsid w:val="00B85D06"/>
    <w:rsid w:val="00B8605B"/>
    <w:rsid w:val="00B86EC9"/>
    <w:rsid w:val="00B933FC"/>
    <w:rsid w:val="00B95F23"/>
    <w:rsid w:val="00BA20F7"/>
    <w:rsid w:val="00BA35FB"/>
    <w:rsid w:val="00BA4D44"/>
    <w:rsid w:val="00BA5D0F"/>
    <w:rsid w:val="00BA5D12"/>
    <w:rsid w:val="00BA6E39"/>
    <w:rsid w:val="00BA7787"/>
    <w:rsid w:val="00BB0461"/>
    <w:rsid w:val="00BB1AC6"/>
    <w:rsid w:val="00BB25C4"/>
    <w:rsid w:val="00BB63F3"/>
    <w:rsid w:val="00BC04B1"/>
    <w:rsid w:val="00BC18BE"/>
    <w:rsid w:val="00BC444D"/>
    <w:rsid w:val="00BC4B02"/>
    <w:rsid w:val="00BC6278"/>
    <w:rsid w:val="00BD1963"/>
    <w:rsid w:val="00BD2AAA"/>
    <w:rsid w:val="00BD7581"/>
    <w:rsid w:val="00BE00C7"/>
    <w:rsid w:val="00BE0692"/>
    <w:rsid w:val="00BE2090"/>
    <w:rsid w:val="00BE235F"/>
    <w:rsid w:val="00BE3955"/>
    <w:rsid w:val="00BE4097"/>
    <w:rsid w:val="00BE5071"/>
    <w:rsid w:val="00BE60F4"/>
    <w:rsid w:val="00BE72B1"/>
    <w:rsid w:val="00BF04E5"/>
    <w:rsid w:val="00BF14E2"/>
    <w:rsid w:val="00BF1B9D"/>
    <w:rsid w:val="00BF1E7F"/>
    <w:rsid w:val="00BF2F8B"/>
    <w:rsid w:val="00BF3412"/>
    <w:rsid w:val="00BF5B39"/>
    <w:rsid w:val="00BF61D5"/>
    <w:rsid w:val="00BF75F9"/>
    <w:rsid w:val="00BF79A4"/>
    <w:rsid w:val="00C0171E"/>
    <w:rsid w:val="00C01963"/>
    <w:rsid w:val="00C01FE1"/>
    <w:rsid w:val="00C02317"/>
    <w:rsid w:val="00C04F17"/>
    <w:rsid w:val="00C06AE7"/>
    <w:rsid w:val="00C07211"/>
    <w:rsid w:val="00C0782E"/>
    <w:rsid w:val="00C10981"/>
    <w:rsid w:val="00C11207"/>
    <w:rsid w:val="00C12213"/>
    <w:rsid w:val="00C1262A"/>
    <w:rsid w:val="00C12836"/>
    <w:rsid w:val="00C128B2"/>
    <w:rsid w:val="00C12B81"/>
    <w:rsid w:val="00C14F01"/>
    <w:rsid w:val="00C15DD0"/>
    <w:rsid w:val="00C215E5"/>
    <w:rsid w:val="00C21CB6"/>
    <w:rsid w:val="00C23617"/>
    <w:rsid w:val="00C25CB8"/>
    <w:rsid w:val="00C264F7"/>
    <w:rsid w:val="00C270A6"/>
    <w:rsid w:val="00C30968"/>
    <w:rsid w:val="00C31B00"/>
    <w:rsid w:val="00C32FFD"/>
    <w:rsid w:val="00C34416"/>
    <w:rsid w:val="00C34CF9"/>
    <w:rsid w:val="00C351DF"/>
    <w:rsid w:val="00C3525C"/>
    <w:rsid w:val="00C36852"/>
    <w:rsid w:val="00C3715E"/>
    <w:rsid w:val="00C37610"/>
    <w:rsid w:val="00C425CF"/>
    <w:rsid w:val="00C4264A"/>
    <w:rsid w:val="00C426C6"/>
    <w:rsid w:val="00C42863"/>
    <w:rsid w:val="00C43B58"/>
    <w:rsid w:val="00C441EC"/>
    <w:rsid w:val="00C4514B"/>
    <w:rsid w:val="00C5137A"/>
    <w:rsid w:val="00C52ECD"/>
    <w:rsid w:val="00C53971"/>
    <w:rsid w:val="00C54888"/>
    <w:rsid w:val="00C56C29"/>
    <w:rsid w:val="00C57753"/>
    <w:rsid w:val="00C57852"/>
    <w:rsid w:val="00C57929"/>
    <w:rsid w:val="00C57ED3"/>
    <w:rsid w:val="00C60AC9"/>
    <w:rsid w:val="00C62053"/>
    <w:rsid w:val="00C6243F"/>
    <w:rsid w:val="00C65435"/>
    <w:rsid w:val="00C66430"/>
    <w:rsid w:val="00C71DA4"/>
    <w:rsid w:val="00C72C07"/>
    <w:rsid w:val="00C73223"/>
    <w:rsid w:val="00C73CA1"/>
    <w:rsid w:val="00C73FE4"/>
    <w:rsid w:val="00C74E22"/>
    <w:rsid w:val="00C755AA"/>
    <w:rsid w:val="00C761DA"/>
    <w:rsid w:val="00C77633"/>
    <w:rsid w:val="00C801AC"/>
    <w:rsid w:val="00C80728"/>
    <w:rsid w:val="00C816E6"/>
    <w:rsid w:val="00C8268F"/>
    <w:rsid w:val="00C83E89"/>
    <w:rsid w:val="00C84986"/>
    <w:rsid w:val="00C8618A"/>
    <w:rsid w:val="00C911B7"/>
    <w:rsid w:val="00C921C2"/>
    <w:rsid w:val="00C92A3A"/>
    <w:rsid w:val="00C9508A"/>
    <w:rsid w:val="00C96418"/>
    <w:rsid w:val="00CA0641"/>
    <w:rsid w:val="00CA139D"/>
    <w:rsid w:val="00CA30A7"/>
    <w:rsid w:val="00CA51BF"/>
    <w:rsid w:val="00CA52D7"/>
    <w:rsid w:val="00CA53C8"/>
    <w:rsid w:val="00CB2949"/>
    <w:rsid w:val="00CB3982"/>
    <w:rsid w:val="00CB3F50"/>
    <w:rsid w:val="00CB4ABA"/>
    <w:rsid w:val="00CB5880"/>
    <w:rsid w:val="00CB5C58"/>
    <w:rsid w:val="00CB5EC6"/>
    <w:rsid w:val="00CB6418"/>
    <w:rsid w:val="00CB771C"/>
    <w:rsid w:val="00CB7960"/>
    <w:rsid w:val="00CC065F"/>
    <w:rsid w:val="00CC0B56"/>
    <w:rsid w:val="00CC135B"/>
    <w:rsid w:val="00CC225C"/>
    <w:rsid w:val="00CC29ED"/>
    <w:rsid w:val="00CC34EB"/>
    <w:rsid w:val="00CC428C"/>
    <w:rsid w:val="00CC4544"/>
    <w:rsid w:val="00CC748C"/>
    <w:rsid w:val="00CC7B03"/>
    <w:rsid w:val="00CC7C96"/>
    <w:rsid w:val="00CC7D3B"/>
    <w:rsid w:val="00CD109F"/>
    <w:rsid w:val="00CD1914"/>
    <w:rsid w:val="00CD1BA8"/>
    <w:rsid w:val="00CD1E2F"/>
    <w:rsid w:val="00CD1EEC"/>
    <w:rsid w:val="00CD28CE"/>
    <w:rsid w:val="00CD583F"/>
    <w:rsid w:val="00CD5907"/>
    <w:rsid w:val="00CD59B0"/>
    <w:rsid w:val="00CE0CB0"/>
    <w:rsid w:val="00CE1B67"/>
    <w:rsid w:val="00CE39D4"/>
    <w:rsid w:val="00CE3D1F"/>
    <w:rsid w:val="00CE4573"/>
    <w:rsid w:val="00CE482B"/>
    <w:rsid w:val="00CE4C11"/>
    <w:rsid w:val="00CE60B1"/>
    <w:rsid w:val="00CE7BEE"/>
    <w:rsid w:val="00CF0840"/>
    <w:rsid w:val="00CF1B92"/>
    <w:rsid w:val="00CF1DD4"/>
    <w:rsid w:val="00CF20A2"/>
    <w:rsid w:val="00CF5403"/>
    <w:rsid w:val="00CF7382"/>
    <w:rsid w:val="00CF7E69"/>
    <w:rsid w:val="00D01714"/>
    <w:rsid w:val="00D0367A"/>
    <w:rsid w:val="00D0370A"/>
    <w:rsid w:val="00D03B43"/>
    <w:rsid w:val="00D040CD"/>
    <w:rsid w:val="00D05BED"/>
    <w:rsid w:val="00D07CE9"/>
    <w:rsid w:val="00D07DAD"/>
    <w:rsid w:val="00D114D3"/>
    <w:rsid w:val="00D124FB"/>
    <w:rsid w:val="00D13886"/>
    <w:rsid w:val="00D139F6"/>
    <w:rsid w:val="00D14019"/>
    <w:rsid w:val="00D156CB"/>
    <w:rsid w:val="00D20C28"/>
    <w:rsid w:val="00D21607"/>
    <w:rsid w:val="00D21D3B"/>
    <w:rsid w:val="00D21D5D"/>
    <w:rsid w:val="00D22090"/>
    <w:rsid w:val="00D233FE"/>
    <w:rsid w:val="00D262C1"/>
    <w:rsid w:val="00D277D2"/>
    <w:rsid w:val="00D306D8"/>
    <w:rsid w:val="00D316F5"/>
    <w:rsid w:val="00D33306"/>
    <w:rsid w:val="00D33973"/>
    <w:rsid w:val="00D33AC3"/>
    <w:rsid w:val="00D34B8D"/>
    <w:rsid w:val="00D34C1F"/>
    <w:rsid w:val="00D362AA"/>
    <w:rsid w:val="00D37CC6"/>
    <w:rsid w:val="00D405B1"/>
    <w:rsid w:val="00D4068F"/>
    <w:rsid w:val="00D406D7"/>
    <w:rsid w:val="00D41A27"/>
    <w:rsid w:val="00D44B3E"/>
    <w:rsid w:val="00D46A7B"/>
    <w:rsid w:val="00D46B43"/>
    <w:rsid w:val="00D47B8B"/>
    <w:rsid w:val="00D50B2A"/>
    <w:rsid w:val="00D5126A"/>
    <w:rsid w:val="00D52216"/>
    <w:rsid w:val="00D5227F"/>
    <w:rsid w:val="00D52AD2"/>
    <w:rsid w:val="00D53A3C"/>
    <w:rsid w:val="00D5594F"/>
    <w:rsid w:val="00D559B0"/>
    <w:rsid w:val="00D57E96"/>
    <w:rsid w:val="00D601F2"/>
    <w:rsid w:val="00D60CE7"/>
    <w:rsid w:val="00D6141E"/>
    <w:rsid w:val="00D62315"/>
    <w:rsid w:val="00D62FAA"/>
    <w:rsid w:val="00D6322A"/>
    <w:rsid w:val="00D6415B"/>
    <w:rsid w:val="00D64BBD"/>
    <w:rsid w:val="00D72052"/>
    <w:rsid w:val="00D734DD"/>
    <w:rsid w:val="00D74B6F"/>
    <w:rsid w:val="00D7526D"/>
    <w:rsid w:val="00D75764"/>
    <w:rsid w:val="00D80010"/>
    <w:rsid w:val="00D80FBC"/>
    <w:rsid w:val="00D8247C"/>
    <w:rsid w:val="00D836D9"/>
    <w:rsid w:val="00D8588D"/>
    <w:rsid w:val="00D8707F"/>
    <w:rsid w:val="00D87BCE"/>
    <w:rsid w:val="00D907D9"/>
    <w:rsid w:val="00D916E0"/>
    <w:rsid w:val="00D93069"/>
    <w:rsid w:val="00D94381"/>
    <w:rsid w:val="00DA02B0"/>
    <w:rsid w:val="00DA1AF9"/>
    <w:rsid w:val="00DA1D77"/>
    <w:rsid w:val="00DA4A05"/>
    <w:rsid w:val="00DA4FAD"/>
    <w:rsid w:val="00DA739F"/>
    <w:rsid w:val="00DB11D1"/>
    <w:rsid w:val="00DB15C8"/>
    <w:rsid w:val="00DB273D"/>
    <w:rsid w:val="00DB31E8"/>
    <w:rsid w:val="00DB38FE"/>
    <w:rsid w:val="00DB401C"/>
    <w:rsid w:val="00DB5E07"/>
    <w:rsid w:val="00DB615F"/>
    <w:rsid w:val="00DC2CCC"/>
    <w:rsid w:val="00DC2F62"/>
    <w:rsid w:val="00DC3C6C"/>
    <w:rsid w:val="00DC4631"/>
    <w:rsid w:val="00DC71D6"/>
    <w:rsid w:val="00DC7AE0"/>
    <w:rsid w:val="00DC7F1F"/>
    <w:rsid w:val="00DD12BF"/>
    <w:rsid w:val="00DD1B6E"/>
    <w:rsid w:val="00DD2F72"/>
    <w:rsid w:val="00DD3697"/>
    <w:rsid w:val="00DD4768"/>
    <w:rsid w:val="00DD5B27"/>
    <w:rsid w:val="00DD60A3"/>
    <w:rsid w:val="00DE0635"/>
    <w:rsid w:val="00DE09A9"/>
    <w:rsid w:val="00DE0B9B"/>
    <w:rsid w:val="00DE249B"/>
    <w:rsid w:val="00DE25E9"/>
    <w:rsid w:val="00DE2DF9"/>
    <w:rsid w:val="00DE3737"/>
    <w:rsid w:val="00DE3B7C"/>
    <w:rsid w:val="00DE4FC4"/>
    <w:rsid w:val="00DE519D"/>
    <w:rsid w:val="00DE6559"/>
    <w:rsid w:val="00DE6D15"/>
    <w:rsid w:val="00DE7777"/>
    <w:rsid w:val="00DE7B48"/>
    <w:rsid w:val="00DF001B"/>
    <w:rsid w:val="00DF2FED"/>
    <w:rsid w:val="00DF36A2"/>
    <w:rsid w:val="00DF46D3"/>
    <w:rsid w:val="00DF5115"/>
    <w:rsid w:val="00DF5B2B"/>
    <w:rsid w:val="00DF70FF"/>
    <w:rsid w:val="00DF79A3"/>
    <w:rsid w:val="00E00791"/>
    <w:rsid w:val="00E020F1"/>
    <w:rsid w:val="00E02897"/>
    <w:rsid w:val="00E028C4"/>
    <w:rsid w:val="00E02D50"/>
    <w:rsid w:val="00E031D5"/>
    <w:rsid w:val="00E04C80"/>
    <w:rsid w:val="00E05A84"/>
    <w:rsid w:val="00E07A64"/>
    <w:rsid w:val="00E12E25"/>
    <w:rsid w:val="00E2014F"/>
    <w:rsid w:val="00E20DE4"/>
    <w:rsid w:val="00E222F3"/>
    <w:rsid w:val="00E22883"/>
    <w:rsid w:val="00E2381D"/>
    <w:rsid w:val="00E24E72"/>
    <w:rsid w:val="00E25142"/>
    <w:rsid w:val="00E2596B"/>
    <w:rsid w:val="00E27215"/>
    <w:rsid w:val="00E27664"/>
    <w:rsid w:val="00E3010F"/>
    <w:rsid w:val="00E349C9"/>
    <w:rsid w:val="00E34B62"/>
    <w:rsid w:val="00E36A29"/>
    <w:rsid w:val="00E36BE1"/>
    <w:rsid w:val="00E40A5B"/>
    <w:rsid w:val="00E41D2E"/>
    <w:rsid w:val="00E433D9"/>
    <w:rsid w:val="00E45CDB"/>
    <w:rsid w:val="00E4634C"/>
    <w:rsid w:val="00E47904"/>
    <w:rsid w:val="00E529C5"/>
    <w:rsid w:val="00E56784"/>
    <w:rsid w:val="00E637A9"/>
    <w:rsid w:val="00E6380A"/>
    <w:rsid w:val="00E63A10"/>
    <w:rsid w:val="00E64750"/>
    <w:rsid w:val="00E65A18"/>
    <w:rsid w:val="00E679F8"/>
    <w:rsid w:val="00E67B98"/>
    <w:rsid w:val="00E716F9"/>
    <w:rsid w:val="00E74E69"/>
    <w:rsid w:val="00E75C30"/>
    <w:rsid w:val="00E7613D"/>
    <w:rsid w:val="00E76EF3"/>
    <w:rsid w:val="00E77DCE"/>
    <w:rsid w:val="00E80232"/>
    <w:rsid w:val="00E80469"/>
    <w:rsid w:val="00E80604"/>
    <w:rsid w:val="00E80A44"/>
    <w:rsid w:val="00E81A0D"/>
    <w:rsid w:val="00E837BA"/>
    <w:rsid w:val="00E86143"/>
    <w:rsid w:val="00E87277"/>
    <w:rsid w:val="00E90FC6"/>
    <w:rsid w:val="00E91B84"/>
    <w:rsid w:val="00E93CDF"/>
    <w:rsid w:val="00E94549"/>
    <w:rsid w:val="00E94758"/>
    <w:rsid w:val="00E94EB5"/>
    <w:rsid w:val="00E95618"/>
    <w:rsid w:val="00EA13C4"/>
    <w:rsid w:val="00EA428B"/>
    <w:rsid w:val="00EA50E7"/>
    <w:rsid w:val="00EA5E95"/>
    <w:rsid w:val="00EB2168"/>
    <w:rsid w:val="00EB4184"/>
    <w:rsid w:val="00EB4E42"/>
    <w:rsid w:val="00EB7524"/>
    <w:rsid w:val="00EC04C4"/>
    <w:rsid w:val="00EC1931"/>
    <w:rsid w:val="00EC2E53"/>
    <w:rsid w:val="00EC3499"/>
    <w:rsid w:val="00EC4914"/>
    <w:rsid w:val="00EC520D"/>
    <w:rsid w:val="00EC678B"/>
    <w:rsid w:val="00ED0B3D"/>
    <w:rsid w:val="00ED0E8B"/>
    <w:rsid w:val="00ED3009"/>
    <w:rsid w:val="00ED35B6"/>
    <w:rsid w:val="00ED3AC5"/>
    <w:rsid w:val="00ED4504"/>
    <w:rsid w:val="00ED4842"/>
    <w:rsid w:val="00ED55A4"/>
    <w:rsid w:val="00ED5C72"/>
    <w:rsid w:val="00ED671E"/>
    <w:rsid w:val="00ED7924"/>
    <w:rsid w:val="00ED7E9D"/>
    <w:rsid w:val="00EE0554"/>
    <w:rsid w:val="00EE05E6"/>
    <w:rsid w:val="00EE068B"/>
    <w:rsid w:val="00EE0AA4"/>
    <w:rsid w:val="00EE142D"/>
    <w:rsid w:val="00EE35AB"/>
    <w:rsid w:val="00EE5FFE"/>
    <w:rsid w:val="00EE713E"/>
    <w:rsid w:val="00EF0854"/>
    <w:rsid w:val="00EF1916"/>
    <w:rsid w:val="00EF228F"/>
    <w:rsid w:val="00EF3391"/>
    <w:rsid w:val="00EF35DF"/>
    <w:rsid w:val="00EF3D5D"/>
    <w:rsid w:val="00EF61C8"/>
    <w:rsid w:val="00EF6FCF"/>
    <w:rsid w:val="00F00B4C"/>
    <w:rsid w:val="00F00EEE"/>
    <w:rsid w:val="00F02878"/>
    <w:rsid w:val="00F03BC3"/>
    <w:rsid w:val="00F04D9C"/>
    <w:rsid w:val="00F074D8"/>
    <w:rsid w:val="00F07558"/>
    <w:rsid w:val="00F10650"/>
    <w:rsid w:val="00F10DFF"/>
    <w:rsid w:val="00F12451"/>
    <w:rsid w:val="00F14B75"/>
    <w:rsid w:val="00F167E7"/>
    <w:rsid w:val="00F17555"/>
    <w:rsid w:val="00F20973"/>
    <w:rsid w:val="00F2307F"/>
    <w:rsid w:val="00F2495B"/>
    <w:rsid w:val="00F24BAD"/>
    <w:rsid w:val="00F24BF3"/>
    <w:rsid w:val="00F24D91"/>
    <w:rsid w:val="00F25EB1"/>
    <w:rsid w:val="00F2709A"/>
    <w:rsid w:val="00F27846"/>
    <w:rsid w:val="00F31454"/>
    <w:rsid w:val="00F31DF4"/>
    <w:rsid w:val="00F33CEB"/>
    <w:rsid w:val="00F3408C"/>
    <w:rsid w:val="00F348F6"/>
    <w:rsid w:val="00F35A3B"/>
    <w:rsid w:val="00F4087C"/>
    <w:rsid w:val="00F42E31"/>
    <w:rsid w:val="00F44284"/>
    <w:rsid w:val="00F454CF"/>
    <w:rsid w:val="00F46E5F"/>
    <w:rsid w:val="00F5105F"/>
    <w:rsid w:val="00F518CD"/>
    <w:rsid w:val="00F53DC4"/>
    <w:rsid w:val="00F545ED"/>
    <w:rsid w:val="00F54787"/>
    <w:rsid w:val="00F55925"/>
    <w:rsid w:val="00F56245"/>
    <w:rsid w:val="00F56EFA"/>
    <w:rsid w:val="00F57160"/>
    <w:rsid w:val="00F60E51"/>
    <w:rsid w:val="00F611BD"/>
    <w:rsid w:val="00F61E76"/>
    <w:rsid w:val="00F61EBD"/>
    <w:rsid w:val="00F63ECA"/>
    <w:rsid w:val="00F64CB6"/>
    <w:rsid w:val="00F65E81"/>
    <w:rsid w:val="00F6663D"/>
    <w:rsid w:val="00F66F19"/>
    <w:rsid w:val="00F678B5"/>
    <w:rsid w:val="00F72BC4"/>
    <w:rsid w:val="00F73CC9"/>
    <w:rsid w:val="00F762D8"/>
    <w:rsid w:val="00F76CDE"/>
    <w:rsid w:val="00F7761D"/>
    <w:rsid w:val="00F77C72"/>
    <w:rsid w:val="00F80F26"/>
    <w:rsid w:val="00F834B2"/>
    <w:rsid w:val="00F83AFB"/>
    <w:rsid w:val="00F87513"/>
    <w:rsid w:val="00F87930"/>
    <w:rsid w:val="00F9007D"/>
    <w:rsid w:val="00F946B1"/>
    <w:rsid w:val="00F94CCE"/>
    <w:rsid w:val="00F94EE3"/>
    <w:rsid w:val="00F97429"/>
    <w:rsid w:val="00FA4209"/>
    <w:rsid w:val="00FA4FFF"/>
    <w:rsid w:val="00FA5D36"/>
    <w:rsid w:val="00FB0E99"/>
    <w:rsid w:val="00FB1BC0"/>
    <w:rsid w:val="00FB431F"/>
    <w:rsid w:val="00FB66B3"/>
    <w:rsid w:val="00FC034A"/>
    <w:rsid w:val="00FC115F"/>
    <w:rsid w:val="00FC3B57"/>
    <w:rsid w:val="00FC3E94"/>
    <w:rsid w:val="00FC724B"/>
    <w:rsid w:val="00FD0278"/>
    <w:rsid w:val="00FD2A20"/>
    <w:rsid w:val="00FD3AD5"/>
    <w:rsid w:val="00FD3CAD"/>
    <w:rsid w:val="00FD51A4"/>
    <w:rsid w:val="00FD73D7"/>
    <w:rsid w:val="00FE16A5"/>
    <w:rsid w:val="00FE3743"/>
    <w:rsid w:val="00FE3E61"/>
    <w:rsid w:val="00FE7276"/>
    <w:rsid w:val="00FE7675"/>
    <w:rsid w:val="00FE7B80"/>
    <w:rsid w:val="00FF07D5"/>
    <w:rsid w:val="00FF0CCE"/>
    <w:rsid w:val="00FF2918"/>
    <w:rsid w:val="00FF3663"/>
    <w:rsid w:val="00FF3A33"/>
    <w:rsid w:val="00FF78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2D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DB615F"/>
    <w:pPr>
      <w:spacing w:after="0" w:line="240" w:lineRule="auto"/>
      <w:ind w:left="180" w:firstLine="360"/>
    </w:pPr>
    <w:rPr>
      <w:rFonts w:ascii="Times New Roman" w:eastAsia="Times New Roman" w:hAnsi="Times New Roman" w:cs="Times New Roman"/>
      <w:sz w:val="24"/>
      <w:lang w:val="en-US" w:bidi="en-US"/>
    </w:rPr>
  </w:style>
  <w:style w:type="character" w:customStyle="1" w:styleId="Zkladntextodsazen2Char">
    <w:name w:val="Základní text odsazený 2 Char"/>
    <w:basedOn w:val="Standardnpsmoodstavce"/>
    <w:link w:val="Zkladntextodsazen2"/>
    <w:semiHidden/>
    <w:rsid w:val="00DB615F"/>
    <w:rPr>
      <w:rFonts w:ascii="Times New Roman" w:eastAsia="Times New Roman" w:hAnsi="Times New Roman" w:cs="Times New Roman"/>
      <w:sz w:val="24"/>
      <w:lang w:val="en-US" w:bidi="en-US"/>
    </w:rPr>
  </w:style>
  <w:style w:type="paragraph" w:styleId="Textbubliny">
    <w:name w:val="Balloon Text"/>
    <w:basedOn w:val="Normln"/>
    <w:link w:val="TextbublinyChar"/>
    <w:uiPriority w:val="99"/>
    <w:semiHidden/>
    <w:unhideWhenUsed/>
    <w:rsid w:val="00DD12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12BF"/>
    <w:rPr>
      <w:rFonts w:ascii="Tahoma" w:hAnsi="Tahoma" w:cs="Tahoma"/>
      <w:sz w:val="16"/>
      <w:szCs w:val="16"/>
    </w:rPr>
  </w:style>
  <w:style w:type="paragraph" w:styleId="Textpoznpodarou">
    <w:name w:val="footnote text"/>
    <w:basedOn w:val="Normln"/>
    <w:link w:val="TextpoznpodarouChar"/>
    <w:uiPriority w:val="99"/>
    <w:semiHidden/>
    <w:unhideWhenUsed/>
    <w:rsid w:val="004677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7745"/>
    <w:rPr>
      <w:sz w:val="20"/>
      <w:szCs w:val="20"/>
    </w:rPr>
  </w:style>
  <w:style w:type="character" w:styleId="Znakapoznpodarou">
    <w:name w:val="footnote reference"/>
    <w:basedOn w:val="Standardnpsmoodstavce"/>
    <w:uiPriority w:val="99"/>
    <w:semiHidden/>
    <w:unhideWhenUsed/>
    <w:rsid w:val="00467745"/>
    <w:rPr>
      <w:vertAlign w:val="superscript"/>
    </w:rPr>
  </w:style>
  <w:style w:type="paragraph" w:styleId="Odstavecseseznamem">
    <w:name w:val="List Paragraph"/>
    <w:basedOn w:val="Normln"/>
    <w:uiPriority w:val="34"/>
    <w:qFormat/>
    <w:rsid w:val="00467745"/>
    <w:pPr>
      <w:ind w:left="720"/>
      <w:contextualSpacing/>
    </w:pPr>
  </w:style>
  <w:style w:type="paragraph" w:styleId="Zhlav">
    <w:name w:val="header"/>
    <w:basedOn w:val="Normln"/>
    <w:link w:val="ZhlavChar"/>
    <w:uiPriority w:val="99"/>
    <w:unhideWhenUsed/>
    <w:rsid w:val="00820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FB3"/>
  </w:style>
  <w:style w:type="paragraph" w:styleId="Zpat">
    <w:name w:val="footer"/>
    <w:basedOn w:val="Normln"/>
    <w:link w:val="ZpatChar"/>
    <w:uiPriority w:val="99"/>
    <w:unhideWhenUsed/>
    <w:rsid w:val="00820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FB3"/>
  </w:style>
  <w:style w:type="character" w:styleId="Hypertextovodkaz">
    <w:name w:val="Hyperlink"/>
    <w:basedOn w:val="Standardnpsmoodstavce"/>
    <w:uiPriority w:val="99"/>
    <w:unhideWhenUsed/>
    <w:rsid w:val="00735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DB615F"/>
    <w:pPr>
      <w:spacing w:after="0" w:line="240" w:lineRule="auto"/>
      <w:ind w:left="180" w:firstLine="360"/>
    </w:pPr>
    <w:rPr>
      <w:rFonts w:ascii="Times New Roman" w:eastAsia="Times New Roman" w:hAnsi="Times New Roman" w:cs="Times New Roman"/>
      <w:sz w:val="24"/>
      <w:lang w:val="en-US" w:bidi="en-US"/>
    </w:rPr>
  </w:style>
  <w:style w:type="character" w:customStyle="1" w:styleId="Zkladntextodsazen2Char">
    <w:name w:val="Základní text odsazený 2 Char"/>
    <w:basedOn w:val="Standardnpsmoodstavce"/>
    <w:link w:val="Zkladntextodsazen2"/>
    <w:semiHidden/>
    <w:rsid w:val="00DB615F"/>
    <w:rPr>
      <w:rFonts w:ascii="Times New Roman" w:eastAsia="Times New Roman" w:hAnsi="Times New Roman" w:cs="Times New Roman"/>
      <w:sz w:val="24"/>
      <w:lang w:val="en-US" w:bidi="en-US"/>
    </w:rPr>
  </w:style>
  <w:style w:type="paragraph" w:styleId="Textbubliny">
    <w:name w:val="Balloon Text"/>
    <w:basedOn w:val="Normln"/>
    <w:link w:val="TextbublinyChar"/>
    <w:uiPriority w:val="99"/>
    <w:semiHidden/>
    <w:unhideWhenUsed/>
    <w:rsid w:val="00DD12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12BF"/>
    <w:rPr>
      <w:rFonts w:ascii="Tahoma" w:hAnsi="Tahoma" w:cs="Tahoma"/>
      <w:sz w:val="16"/>
      <w:szCs w:val="16"/>
    </w:rPr>
  </w:style>
  <w:style w:type="paragraph" w:styleId="Textpoznpodarou">
    <w:name w:val="footnote text"/>
    <w:basedOn w:val="Normln"/>
    <w:link w:val="TextpoznpodarouChar"/>
    <w:uiPriority w:val="99"/>
    <w:semiHidden/>
    <w:unhideWhenUsed/>
    <w:rsid w:val="004677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7745"/>
    <w:rPr>
      <w:sz w:val="20"/>
      <w:szCs w:val="20"/>
    </w:rPr>
  </w:style>
  <w:style w:type="character" w:styleId="Znakapoznpodarou">
    <w:name w:val="footnote reference"/>
    <w:basedOn w:val="Standardnpsmoodstavce"/>
    <w:uiPriority w:val="99"/>
    <w:semiHidden/>
    <w:unhideWhenUsed/>
    <w:rsid w:val="00467745"/>
    <w:rPr>
      <w:vertAlign w:val="superscript"/>
    </w:rPr>
  </w:style>
  <w:style w:type="paragraph" w:styleId="Odstavecseseznamem">
    <w:name w:val="List Paragraph"/>
    <w:basedOn w:val="Normln"/>
    <w:uiPriority w:val="34"/>
    <w:qFormat/>
    <w:rsid w:val="00467745"/>
    <w:pPr>
      <w:ind w:left="720"/>
      <w:contextualSpacing/>
    </w:pPr>
  </w:style>
  <w:style w:type="paragraph" w:styleId="Zhlav">
    <w:name w:val="header"/>
    <w:basedOn w:val="Normln"/>
    <w:link w:val="ZhlavChar"/>
    <w:uiPriority w:val="99"/>
    <w:unhideWhenUsed/>
    <w:rsid w:val="00820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FB3"/>
  </w:style>
  <w:style w:type="paragraph" w:styleId="Zpat">
    <w:name w:val="footer"/>
    <w:basedOn w:val="Normln"/>
    <w:link w:val="ZpatChar"/>
    <w:uiPriority w:val="99"/>
    <w:unhideWhenUsed/>
    <w:rsid w:val="00820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FB3"/>
  </w:style>
</w:styles>
</file>

<file path=word/webSettings.xml><?xml version="1.0" encoding="utf-8"?>
<w:webSettings xmlns:r="http://schemas.openxmlformats.org/officeDocument/2006/relationships" xmlns:w="http://schemas.openxmlformats.org/wordprocessingml/2006/main">
  <w:divs>
    <w:div w:id="383139488">
      <w:bodyDiv w:val="1"/>
      <w:marLeft w:val="0"/>
      <w:marRight w:val="0"/>
      <w:marTop w:val="0"/>
      <w:marBottom w:val="0"/>
      <w:divBdr>
        <w:top w:val="none" w:sz="0" w:space="0" w:color="auto"/>
        <w:left w:val="none" w:sz="0" w:space="0" w:color="auto"/>
        <w:bottom w:val="none" w:sz="0" w:space="0" w:color="auto"/>
        <w:right w:val="none" w:sz="0" w:space="0" w:color="auto"/>
      </w:divBdr>
    </w:div>
    <w:div w:id="769088215">
      <w:bodyDiv w:val="1"/>
      <w:marLeft w:val="0"/>
      <w:marRight w:val="0"/>
      <w:marTop w:val="0"/>
      <w:marBottom w:val="0"/>
      <w:divBdr>
        <w:top w:val="none" w:sz="0" w:space="0" w:color="auto"/>
        <w:left w:val="none" w:sz="0" w:space="0" w:color="auto"/>
        <w:bottom w:val="none" w:sz="0" w:space="0" w:color="auto"/>
        <w:right w:val="none" w:sz="0" w:space="0" w:color="auto"/>
      </w:divBdr>
    </w:div>
    <w:div w:id="785852532">
      <w:bodyDiv w:val="1"/>
      <w:marLeft w:val="0"/>
      <w:marRight w:val="0"/>
      <w:marTop w:val="0"/>
      <w:marBottom w:val="0"/>
      <w:divBdr>
        <w:top w:val="none" w:sz="0" w:space="0" w:color="auto"/>
        <w:left w:val="none" w:sz="0" w:space="0" w:color="auto"/>
        <w:bottom w:val="none" w:sz="0" w:space="0" w:color="auto"/>
        <w:right w:val="none" w:sz="0" w:space="0" w:color="auto"/>
      </w:divBdr>
    </w:div>
    <w:div w:id="839396434">
      <w:bodyDiv w:val="1"/>
      <w:marLeft w:val="0"/>
      <w:marRight w:val="0"/>
      <w:marTop w:val="0"/>
      <w:marBottom w:val="0"/>
      <w:divBdr>
        <w:top w:val="none" w:sz="0" w:space="0" w:color="auto"/>
        <w:left w:val="none" w:sz="0" w:space="0" w:color="auto"/>
        <w:bottom w:val="none" w:sz="0" w:space="0" w:color="auto"/>
        <w:right w:val="none" w:sz="0" w:space="0" w:color="auto"/>
      </w:divBdr>
    </w:div>
    <w:div w:id="1006131395">
      <w:bodyDiv w:val="1"/>
      <w:marLeft w:val="0"/>
      <w:marRight w:val="0"/>
      <w:marTop w:val="0"/>
      <w:marBottom w:val="0"/>
      <w:divBdr>
        <w:top w:val="none" w:sz="0" w:space="0" w:color="auto"/>
        <w:left w:val="none" w:sz="0" w:space="0" w:color="auto"/>
        <w:bottom w:val="none" w:sz="0" w:space="0" w:color="auto"/>
        <w:right w:val="none" w:sz="0" w:space="0" w:color="auto"/>
      </w:divBdr>
    </w:div>
    <w:div w:id="1534273001">
      <w:bodyDiv w:val="1"/>
      <w:marLeft w:val="0"/>
      <w:marRight w:val="0"/>
      <w:marTop w:val="0"/>
      <w:marBottom w:val="0"/>
      <w:divBdr>
        <w:top w:val="none" w:sz="0" w:space="0" w:color="auto"/>
        <w:left w:val="none" w:sz="0" w:space="0" w:color="auto"/>
        <w:bottom w:val="none" w:sz="0" w:space="0" w:color="auto"/>
        <w:right w:val="none" w:sz="0" w:space="0" w:color="auto"/>
      </w:divBdr>
    </w:div>
    <w:div w:id="1666931626">
      <w:bodyDiv w:val="1"/>
      <w:marLeft w:val="0"/>
      <w:marRight w:val="0"/>
      <w:marTop w:val="0"/>
      <w:marBottom w:val="0"/>
      <w:divBdr>
        <w:top w:val="none" w:sz="0" w:space="0" w:color="auto"/>
        <w:left w:val="none" w:sz="0" w:space="0" w:color="auto"/>
        <w:bottom w:val="none" w:sz="0" w:space="0" w:color="auto"/>
        <w:right w:val="none" w:sz="0" w:space="0" w:color="auto"/>
      </w:divBdr>
    </w:div>
    <w:div w:id="1782414687">
      <w:bodyDiv w:val="1"/>
      <w:marLeft w:val="0"/>
      <w:marRight w:val="0"/>
      <w:marTop w:val="0"/>
      <w:marBottom w:val="0"/>
      <w:divBdr>
        <w:top w:val="none" w:sz="0" w:space="0" w:color="auto"/>
        <w:left w:val="none" w:sz="0" w:space="0" w:color="auto"/>
        <w:bottom w:val="none" w:sz="0" w:space="0" w:color="auto"/>
        <w:right w:val="none" w:sz="0" w:space="0" w:color="auto"/>
      </w:divBdr>
    </w:div>
    <w:div w:id="1785229883">
      <w:bodyDiv w:val="1"/>
      <w:marLeft w:val="0"/>
      <w:marRight w:val="0"/>
      <w:marTop w:val="0"/>
      <w:marBottom w:val="0"/>
      <w:divBdr>
        <w:top w:val="none" w:sz="0" w:space="0" w:color="auto"/>
        <w:left w:val="none" w:sz="0" w:space="0" w:color="auto"/>
        <w:bottom w:val="none" w:sz="0" w:space="0" w:color="auto"/>
        <w:right w:val="none" w:sz="0" w:space="0" w:color="auto"/>
      </w:divBdr>
    </w:div>
    <w:div w:id="1852333827">
      <w:bodyDiv w:val="1"/>
      <w:marLeft w:val="0"/>
      <w:marRight w:val="0"/>
      <w:marTop w:val="0"/>
      <w:marBottom w:val="0"/>
      <w:divBdr>
        <w:top w:val="none" w:sz="0" w:space="0" w:color="auto"/>
        <w:left w:val="none" w:sz="0" w:space="0" w:color="auto"/>
        <w:bottom w:val="none" w:sz="0" w:space="0" w:color="auto"/>
        <w:right w:val="none" w:sz="0" w:space="0" w:color="auto"/>
      </w:divBdr>
    </w:div>
    <w:div w:id="19339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aniel.bohm@czso.cz"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jaroslav.novak@czso.cz"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ohm655\Desktop\GRAFY%20DO%20PUBLIKACE%20&#8211;%20kopi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ohm655\Desktop\GRAFY%20DO%20PUBLIKAC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ohm655\Desktop\Anal&#253;za\Relace%20ek.%20ukaz.%20dvou%20oblast&#237;%20kultu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n\Desktop\Kultura\anal&#253;z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ohm655\Desktop\GRAFY%20DO%20PUBLIKAC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ohm655\Desktop\GRAFY%20DO%20PUBLIKAC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ohm655\Desktop\GRAFY%20DO%20PUBLIK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245090408672395E-2"/>
          <c:y val="1.797171186934972E-3"/>
          <c:w val="0.95150980824333264"/>
          <c:h val="0.82526980315485265"/>
        </c:manualLayout>
      </c:layout>
      <c:barChart>
        <c:barDir val="col"/>
        <c:grouping val="clustered"/>
        <c:ser>
          <c:idx val="0"/>
          <c:order val="0"/>
          <c:tx>
            <c:strRef>
              <c:f>[analýza.xls]muzea!$A$11</c:f>
              <c:strCache>
                <c:ptCount val="1"/>
                <c:pt idx="0">
                  <c:v>Muzea, galerie, památníky</c:v>
                </c:pt>
              </c:strCache>
            </c:strRef>
          </c:tx>
          <c:dLbls>
            <c:txPr>
              <a:bodyPr rot="-5400000" vert="horz"/>
              <a:lstStyle/>
              <a:p>
                <a:pPr>
                  <a:defRPr sz="800">
                    <a:solidFill>
                      <a:schemeClr val="bg1"/>
                    </a:solidFill>
                  </a:defRPr>
                </a:pPr>
                <a:endParaRPr lang="cs-CZ"/>
              </a:p>
            </c:txPr>
            <c:dLblPos val="inEnd"/>
            <c:showVal val="1"/>
          </c:dLbls>
          <c:cat>
            <c:numRef>
              <c:f>[analýza.xls]muzea!$B$10:$O$10</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[analýza.xls]muzea!$B$11:$O$11</c:f>
              <c:numCache>
                <c:formatCode>#,##0</c:formatCode>
                <c:ptCount val="14"/>
                <c:pt idx="0">
                  <c:v>440</c:v>
                </c:pt>
                <c:pt idx="1">
                  <c:v>447</c:v>
                </c:pt>
                <c:pt idx="2">
                  <c:v>442</c:v>
                </c:pt>
                <c:pt idx="3">
                  <c:v>445</c:v>
                </c:pt>
                <c:pt idx="4">
                  <c:v>461</c:v>
                </c:pt>
                <c:pt idx="5">
                  <c:v>457</c:v>
                </c:pt>
                <c:pt idx="6">
                  <c:v>478</c:v>
                </c:pt>
                <c:pt idx="7">
                  <c:v>487</c:v>
                </c:pt>
                <c:pt idx="8">
                  <c:v>491</c:v>
                </c:pt>
                <c:pt idx="9">
                  <c:v>479</c:v>
                </c:pt>
                <c:pt idx="10">
                  <c:v>477</c:v>
                </c:pt>
                <c:pt idx="11">
                  <c:v>490</c:v>
                </c:pt>
                <c:pt idx="12">
                  <c:v>502</c:v>
                </c:pt>
                <c:pt idx="13">
                  <c:v>512</c:v>
                </c:pt>
              </c:numCache>
            </c:numRef>
          </c:val>
        </c:ser>
        <c:ser>
          <c:idx val="1"/>
          <c:order val="1"/>
          <c:tx>
            <c:strRef>
              <c:f>[analýza.xls]muzea!$A$12</c:f>
              <c:strCache>
                <c:ptCount val="1"/>
                <c:pt idx="0">
                  <c:v>Hrady, zámky a ostatní památky za vstupné</c:v>
                </c:pt>
              </c:strCache>
            </c:strRef>
          </c:tx>
          <c:dLbls>
            <c:txPr>
              <a:bodyPr rot="-5400000" vert="horz" anchor="ctr" anchorCtr="0"/>
              <a:lstStyle/>
              <a:p>
                <a:pPr>
                  <a:defRPr sz="800">
                    <a:solidFill>
                      <a:schemeClr val="bg1"/>
                    </a:solidFill>
                  </a:defRPr>
                </a:pPr>
                <a:endParaRPr lang="cs-CZ"/>
              </a:p>
            </c:txPr>
            <c:dLblPos val="inEnd"/>
            <c:showVal val="1"/>
          </c:dLbls>
          <c:cat>
            <c:numRef>
              <c:f>[analýza.xls]muzea!$B$10:$O$10</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[analýza.xls]muzea!$B$12:$O$12</c:f>
              <c:numCache>
                <c:formatCode>#,##0</c:formatCode>
                <c:ptCount val="14"/>
                <c:pt idx="0">
                  <c:v>197</c:v>
                </c:pt>
                <c:pt idx="1">
                  <c:v>222</c:v>
                </c:pt>
                <c:pt idx="2">
                  <c:v>233</c:v>
                </c:pt>
                <c:pt idx="3">
                  <c:v>245</c:v>
                </c:pt>
                <c:pt idx="4">
                  <c:v>257</c:v>
                </c:pt>
                <c:pt idx="5">
                  <c:v>269</c:v>
                </c:pt>
                <c:pt idx="6">
                  <c:v>271</c:v>
                </c:pt>
                <c:pt idx="7">
                  <c:v>272</c:v>
                </c:pt>
                <c:pt idx="8">
                  <c:v>277</c:v>
                </c:pt>
                <c:pt idx="9">
                  <c:v>287</c:v>
                </c:pt>
                <c:pt idx="10">
                  <c:v>284</c:v>
                </c:pt>
                <c:pt idx="11">
                  <c:v>295</c:v>
                </c:pt>
                <c:pt idx="12">
                  <c:v>295</c:v>
                </c:pt>
                <c:pt idx="13">
                  <c:v>297</c:v>
                </c:pt>
              </c:numCache>
            </c:numRef>
          </c:val>
        </c:ser>
        <c:dLbls>
          <c:showVal val="1"/>
        </c:dLbls>
        <c:gapWidth val="70"/>
        <c:overlap val="-10"/>
        <c:axId val="55558912"/>
        <c:axId val="55560448"/>
      </c:barChart>
      <c:catAx>
        <c:axId val="55558912"/>
        <c:scaling>
          <c:orientation val="minMax"/>
        </c:scaling>
        <c:axPos val="b"/>
        <c:numFmt formatCode="General" sourceLinked="1"/>
        <c:tickLblPos val="nextTo"/>
        <c:txPr>
          <a:bodyPr/>
          <a:lstStyle/>
          <a:p>
            <a:pPr>
              <a:defRPr sz="800"/>
            </a:pPr>
            <a:endParaRPr lang="cs-CZ"/>
          </a:p>
        </c:txPr>
        <c:crossAx val="55560448"/>
        <c:crosses val="autoZero"/>
        <c:auto val="1"/>
        <c:lblAlgn val="ctr"/>
        <c:lblOffset val="100"/>
      </c:catAx>
      <c:valAx>
        <c:axId val="55560448"/>
        <c:scaling>
          <c:orientation val="minMax"/>
        </c:scaling>
        <c:delete val="1"/>
        <c:axPos val="l"/>
        <c:numFmt formatCode="#,##0" sourceLinked="1"/>
        <c:tickLblPos val="none"/>
        <c:crossAx val="55558912"/>
        <c:crosses val="autoZero"/>
        <c:crossBetween val="between"/>
      </c:valAx>
    </c:plotArea>
    <c:legend>
      <c:legendPos val="b"/>
      <c:layout>
        <c:manualLayout>
          <c:xMode val="edge"/>
          <c:yMode val="edge"/>
          <c:x val="0.17685065383784654"/>
          <c:y val="0.92595655160409462"/>
          <c:w val="0.64629886495976085"/>
          <c:h val="7.253390201224913E-2"/>
        </c:manualLayout>
      </c:layout>
      <c:txPr>
        <a:bodyPr/>
        <a:lstStyle/>
        <a:p>
          <a:pPr>
            <a:defRPr sz="800"/>
          </a:pPr>
          <a:endParaRPr lang="cs-CZ"/>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Divadla!$A$102</c:f>
              <c:strCache>
                <c:ptCount val="1"/>
                <c:pt idx="0">
                  <c:v>Představení</c:v>
                </c:pt>
              </c:strCache>
            </c:strRef>
          </c:tx>
          <c:spPr>
            <a:solidFill>
              <a:schemeClr val="accent1"/>
            </a:solidFill>
          </c:spPr>
          <c:dPt>
            <c:idx val="0"/>
            <c:spPr>
              <a:solidFill>
                <a:schemeClr val="accent1"/>
              </a:solidFill>
            </c:spPr>
          </c:dPt>
          <c:dLbls>
            <c:txPr>
              <a:bodyPr/>
              <a:lstStyle/>
              <a:p>
                <a:pPr>
                  <a:defRPr sz="800"/>
                </a:pPr>
                <a:endParaRPr lang="cs-CZ"/>
              </a:p>
            </c:txPr>
            <c:showVal val="1"/>
          </c:dLbls>
          <c:cat>
            <c:numRef>
              <c:f>Divadla!$B$101:$O$101</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Divadla!$B$102:$O$102</c:f>
              <c:numCache>
                <c:formatCode>0.0</c:formatCode>
                <c:ptCount val="14"/>
                <c:pt idx="0">
                  <c:v>21.997</c:v>
                </c:pt>
                <c:pt idx="1">
                  <c:v>23.95</c:v>
                </c:pt>
                <c:pt idx="2">
                  <c:v>20.856999999999999</c:v>
                </c:pt>
                <c:pt idx="3">
                  <c:v>20.247</c:v>
                </c:pt>
                <c:pt idx="4">
                  <c:v>23.532</c:v>
                </c:pt>
                <c:pt idx="5">
                  <c:v>24.562999999999889</c:v>
                </c:pt>
                <c:pt idx="6">
                  <c:v>24.888000000000002</c:v>
                </c:pt>
                <c:pt idx="7">
                  <c:v>25.784999999999989</c:v>
                </c:pt>
                <c:pt idx="8">
                  <c:v>25.702999999999989</c:v>
                </c:pt>
                <c:pt idx="9">
                  <c:v>26.920999999999989</c:v>
                </c:pt>
                <c:pt idx="10">
                  <c:v>26.882999999999889</c:v>
                </c:pt>
                <c:pt idx="11">
                  <c:v>27.959</c:v>
                </c:pt>
                <c:pt idx="12">
                  <c:v>27.526</c:v>
                </c:pt>
                <c:pt idx="13">
                  <c:v>27.5</c:v>
                </c:pt>
              </c:numCache>
            </c:numRef>
          </c:val>
        </c:ser>
        <c:ser>
          <c:idx val="1"/>
          <c:order val="1"/>
          <c:tx>
            <c:strRef>
              <c:f>Divadla!$A$103</c:f>
              <c:strCache>
                <c:ptCount val="1"/>
                <c:pt idx="0">
                  <c:v>Návštěvníci divadel</c:v>
                </c:pt>
              </c:strCache>
            </c:strRef>
          </c:tx>
          <c:dLbls>
            <c:dLbl>
              <c:idx val="0"/>
              <c:layout>
                <c:manualLayout>
                  <c:x val="6.6170589864784479E-3"/>
                  <c:y val="0"/>
                </c:manualLayout>
              </c:layout>
              <c:showVal val="1"/>
            </c:dLbl>
            <c:dLbl>
              <c:idx val="1"/>
              <c:layout>
                <c:manualLayout>
                  <c:x val="4.4113726576523625E-3"/>
                  <c:y val="0"/>
                </c:manualLayout>
              </c:layout>
              <c:showVal val="1"/>
            </c:dLbl>
            <c:dLbl>
              <c:idx val="3"/>
              <c:layout>
                <c:manualLayout>
                  <c:x val="4.4113726576523625E-3"/>
                  <c:y val="0"/>
                </c:manualLayout>
              </c:layout>
              <c:showVal val="1"/>
            </c:dLbl>
            <c:dLbl>
              <c:idx val="4"/>
              <c:layout>
                <c:manualLayout>
                  <c:x val="4.4113726576523625E-3"/>
                  <c:y val="-8.3303807661467166E-17"/>
                </c:manualLayout>
              </c:layout>
              <c:showVal val="1"/>
            </c:dLbl>
            <c:dLbl>
              <c:idx val="5"/>
              <c:layout>
                <c:manualLayout>
                  <c:x val="4.4113726576523625E-3"/>
                  <c:y val="0"/>
                </c:manualLayout>
              </c:layout>
              <c:showVal val="1"/>
            </c:dLbl>
            <c:dLbl>
              <c:idx val="6"/>
              <c:layout>
                <c:manualLayout>
                  <c:x val="6.6170589864784479E-3"/>
                  <c:y val="-8.3303807661467166E-17"/>
                </c:manualLayout>
              </c:layout>
              <c:showVal val="1"/>
            </c:dLbl>
            <c:dLbl>
              <c:idx val="7"/>
              <c:layout>
                <c:manualLayout>
                  <c:x val="4.4113726576523625E-3"/>
                  <c:y val="8.3303807661467166E-17"/>
                </c:manualLayout>
              </c:layout>
              <c:showVal val="1"/>
            </c:dLbl>
            <c:dLbl>
              <c:idx val="8"/>
              <c:layout>
                <c:manualLayout>
                  <c:x val="4.4113726576523625E-3"/>
                  <c:y val="0"/>
                </c:manualLayout>
              </c:layout>
              <c:showVal val="1"/>
            </c:dLbl>
            <c:dLbl>
              <c:idx val="10"/>
              <c:layout>
                <c:manualLayout>
                  <c:x val="4.4113726576523625E-3"/>
                  <c:y val="-8.3303807661467166E-17"/>
                </c:manualLayout>
              </c:layout>
              <c:showVal val="1"/>
            </c:dLbl>
            <c:dLbl>
              <c:idx val="11"/>
              <c:layout>
                <c:manualLayout>
                  <c:x val="8.8227453153047961E-3"/>
                  <c:y val="0"/>
                </c:manualLayout>
              </c:layout>
              <c:showVal val="1"/>
            </c:dLbl>
            <c:dLbl>
              <c:idx val="13"/>
              <c:layout>
                <c:manualLayout>
                  <c:x val="4.4113726576523625E-3"/>
                  <c:y val="0"/>
                </c:manualLayout>
              </c:layout>
              <c:showVal val="1"/>
            </c:dLbl>
            <c:txPr>
              <a:bodyPr/>
              <a:lstStyle/>
              <a:p>
                <a:pPr>
                  <a:defRPr sz="800"/>
                </a:pPr>
                <a:endParaRPr lang="cs-CZ"/>
              </a:p>
            </c:txPr>
            <c:showVal val="1"/>
          </c:dLbls>
          <c:cat>
            <c:numRef>
              <c:f>Divadla!$B$101:$O$101</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Divadla!$B$103:$O$103</c:f>
              <c:numCache>
                <c:formatCode>0.0</c:formatCode>
                <c:ptCount val="14"/>
                <c:pt idx="0">
                  <c:v>4.5890000000000004</c:v>
                </c:pt>
                <c:pt idx="1">
                  <c:v>4.4050000000000002</c:v>
                </c:pt>
                <c:pt idx="2">
                  <c:v>4.4889999999999999</c:v>
                </c:pt>
                <c:pt idx="3">
                  <c:v>4.4370000000000003</c:v>
                </c:pt>
                <c:pt idx="4">
                  <c:v>5.149</c:v>
                </c:pt>
                <c:pt idx="5">
                  <c:v>4.9760220000000546</c:v>
                </c:pt>
                <c:pt idx="6">
                  <c:v>5.2350000000000003</c:v>
                </c:pt>
                <c:pt idx="7">
                  <c:v>5.4480000000000004</c:v>
                </c:pt>
                <c:pt idx="8">
                  <c:v>5.6063000000000001</c:v>
                </c:pt>
                <c:pt idx="9">
                  <c:v>5.6569999999999965</c:v>
                </c:pt>
                <c:pt idx="10">
                  <c:v>5.8049999999999855</c:v>
                </c:pt>
                <c:pt idx="11">
                  <c:v>5.7939999999999996</c:v>
                </c:pt>
                <c:pt idx="12">
                  <c:v>5.6989999999999945</c:v>
                </c:pt>
                <c:pt idx="13">
                  <c:v>5.8460000000000001</c:v>
                </c:pt>
              </c:numCache>
            </c:numRef>
          </c:val>
        </c:ser>
        <c:axId val="102067584"/>
        <c:axId val="102073472"/>
      </c:barChart>
      <c:catAx>
        <c:axId val="102067584"/>
        <c:scaling>
          <c:orientation val="minMax"/>
        </c:scaling>
        <c:axPos val="b"/>
        <c:numFmt formatCode="#,##0" sourceLinked="1"/>
        <c:tickLblPos val="nextTo"/>
        <c:txPr>
          <a:bodyPr/>
          <a:lstStyle/>
          <a:p>
            <a:pPr>
              <a:defRPr sz="800"/>
            </a:pPr>
            <a:endParaRPr lang="cs-CZ"/>
          </a:p>
        </c:txPr>
        <c:crossAx val="102073472"/>
        <c:crosses val="autoZero"/>
        <c:auto val="1"/>
        <c:lblAlgn val="ctr"/>
        <c:lblOffset val="100"/>
      </c:catAx>
      <c:valAx>
        <c:axId val="102073472"/>
        <c:scaling>
          <c:orientation val="minMax"/>
        </c:scaling>
        <c:delete val="1"/>
        <c:axPos val="l"/>
        <c:numFmt formatCode="0.0" sourceLinked="1"/>
        <c:tickLblPos val="none"/>
        <c:crossAx val="102067584"/>
        <c:crosses val="autoZero"/>
        <c:crossBetween val="between"/>
      </c:valAx>
    </c:plotArea>
    <c:legend>
      <c:legendPos val="b"/>
      <c:layout>
        <c:manualLayout>
          <c:xMode val="edge"/>
          <c:yMode val="edge"/>
          <c:x val="0.24432126950273941"/>
          <c:y val="0.89870491941183561"/>
          <c:w val="0.52473937731912434"/>
          <c:h val="7.6058495886304214E-2"/>
        </c:manualLayout>
      </c:layout>
      <c:txPr>
        <a:bodyPr/>
        <a:lstStyle/>
        <a:p>
          <a:pPr>
            <a:defRPr sz="800"/>
          </a:pPr>
          <a:endParaRPr lang="cs-CZ"/>
        </a:p>
      </c:txP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1.5880590683740321E-2"/>
          <c:y val="1.6624036645101136E-3"/>
          <c:w val="0.95152311979520376"/>
          <c:h val="0.82861042751579306"/>
        </c:manualLayout>
      </c:layout>
      <c:barChart>
        <c:barDir val="col"/>
        <c:grouping val="clustered"/>
        <c:ser>
          <c:idx val="0"/>
          <c:order val="0"/>
          <c:tx>
            <c:strRef>
              <c:f>Divadla!$A$130</c:f>
              <c:strCache>
                <c:ptCount val="1"/>
                <c:pt idx="0">
                  <c:v>Inscenace v repertoáru</c:v>
                </c:pt>
              </c:strCache>
            </c:strRef>
          </c:tx>
          <c:dPt>
            <c:idx val="0"/>
            <c:spPr>
              <a:solidFill>
                <a:srgbClr val="C0504D"/>
              </a:solidFill>
            </c:spPr>
          </c:dPt>
          <c:dPt>
            <c:idx val="2"/>
            <c:spPr>
              <a:solidFill>
                <a:srgbClr val="C0504D"/>
              </a:solidFill>
            </c:spPr>
          </c:dPt>
          <c:dPt>
            <c:idx val="4"/>
            <c:spPr>
              <a:solidFill>
                <a:srgbClr val="C0504D"/>
              </a:solidFill>
            </c:spPr>
          </c:dPt>
          <c:dPt>
            <c:idx val="6"/>
            <c:spPr>
              <a:solidFill>
                <a:srgbClr val="C0504D"/>
              </a:solidFill>
            </c:spPr>
          </c:dPt>
          <c:dPt>
            <c:idx val="8"/>
            <c:spPr>
              <a:solidFill>
                <a:srgbClr val="C0504D"/>
              </a:solidFill>
            </c:spPr>
          </c:dPt>
          <c:dPt>
            <c:idx val="10"/>
            <c:spPr>
              <a:solidFill>
                <a:srgbClr val="C0504D"/>
              </a:solidFill>
            </c:spPr>
          </c:dPt>
          <c:dPt>
            <c:idx val="12"/>
            <c:spPr>
              <a:solidFill>
                <a:srgbClr val="C0504D"/>
              </a:solidFill>
            </c:spPr>
          </c:dPt>
          <c:dPt>
            <c:idx val="14"/>
            <c:spPr>
              <a:solidFill>
                <a:srgbClr val="C0504D"/>
              </a:solidFill>
            </c:spPr>
          </c:dPt>
          <c:dPt>
            <c:idx val="16"/>
            <c:spPr>
              <a:solidFill>
                <a:srgbClr val="C0504D"/>
              </a:solidFill>
            </c:spPr>
          </c:dPt>
          <c:dPt>
            <c:idx val="18"/>
            <c:spPr>
              <a:solidFill>
                <a:srgbClr val="C0504D"/>
              </a:solidFill>
            </c:spPr>
          </c:dPt>
          <c:dPt>
            <c:idx val="20"/>
            <c:spPr>
              <a:solidFill>
                <a:srgbClr val="C0504D"/>
              </a:solidFill>
            </c:spPr>
          </c:dPt>
          <c:dPt>
            <c:idx val="22"/>
            <c:spPr>
              <a:solidFill>
                <a:srgbClr val="C0504D"/>
              </a:solidFill>
            </c:spPr>
          </c:dPt>
          <c:dPt>
            <c:idx val="24"/>
            <c:spPr>
              <a:solidFill>
                <a:srgbClr val="C0504D"/>
              </a:solidFill>
            </c:spPr>
          </c:dPt>
          <c:dPt>
            <c:idx val="26"/>
            <c:spPr>
              <a:solidFill>
                <a:srgbClr val="C0504D"/>
              </a:solidFill>
            </c:spPr>
          </c:dPt>
          <c:dLbls>
            <c:txPr>
              <a:bodyPr rot="-5400000" vert="horz"/>
              <a:lstStyle/>
              <a:p>
                <a:pPr>
                  <a:defRPr sz="800">
                    <a:solidFill>
                      <a:schemeClr val="bg1"/>
                    </a:solidFill>
                  </a:defRPr>
                </a:pPr>
                <a:endParaRPr lang="cs-CZ"/>
              </a:p>
            </c:txPr>
            <c:dLblPos val="inEnd"/>
            <c:showVal val="1"/>
          </c:dLbls>
          <c:cat>
            <c:numRef>
              <c:f>Divadla!$B$129:$AC$129</c:f>
              <c:numCache>
                <c:formatCode>#,##0</c:formatCode>
                <c:ptCount val="28"/>
                <c:pt idx="1">
                  <c:v>2000</c:v>
                </c:pt>
                <c:pt idx="3">
                  <c:v>2001</c:v>
                </c:pt>
                <c:pt idx="5">
                  <c:v>2002</c:v>
                </c:pt>
                <c:pt idx="7">
                  <c:v>2003</c:v>
                </c:pt>
                <c:pt idx="9">
                  <c:v>2004</c:v>
                </c:pt>
                <c:pt idx="11">
                  <c:v>2005</c:v>
                </c:pt>
                <c:pt idx="13">
                  <c:v>2006</c:v>
                </c:pt>
                <c:pt idx="15">
                  <c:v>2007</c:v>
                </c:pt>
                <c:pt idx="17">
                  <c:v>2008</c:v>
                </c:pt>
                <c:pt idx="19">
                  <c:v>2009</c:v>
                </c:pt>
                <c:pt idx="21">
                  <c:v>2010</c:v>
                </c:pt>
                <c:pt idx="23">
                  <c:v>2011</c:v>
                </c:pt>
                <c:pt idx="25">
                  <c:v>2012</c:v>
                </c:pt>
                <c:pt idx="27">
                  <c:v>2013</c:v>
                </c:pt>
              </c:numCache>
            </c:numRef>
          </c:cat>
          <c:val>
            <c:numRef>
              <c:f>Divadla!$B$130:$AC$130</c:f>
              <c:numCache>
                <c:formatCode>#,##0</c:formatCode>
                <c:ptCount val="28"/>
                <c:pt idx="0">
                  <c:v>590</c:v>
                </c:pt>
                <c:pt idx="1">
                  <c:v>1961</c:v>
                </c:pt>
                <c:pt idx="2">
                  <c:v>596</c:v>
                </c:pt>
                <c:pt idx="3">
                  <c:v>1976</c:v>
                </c:pt>
                <c:pt idx="4">
                  <c:v>571</c:v>
                </c:pt>
                <c:pt idx="5">
                  <c:v>1801</c:v>
                </c:pt>
                <c:pt idx="6">
                  <c:v>535</c:v>
                </c:pt>
                <c:pt idx="7">
                  <c:v>1676</c:v>
                </c:pt>
                <c:pt idx="8">
                  <c:v>565</c:v>
                </c:pt>
                <c:pt idx="9">
                  <c:v>1921</c:v>
                </c:pt>
                <c:pt idx="10">
                  <c:v>624</c:v>
                </c:pt>
                <c:pt idx="11">
                  <c:v>2011</c:v>
                </c:pt>
                <c:pt idx="12">
                  <c:v>604</c:v>
                </c:pt>
                <c:pt idx="13">
                  <c:v>2076</c:v>
                </c:pt>
                <c:pt idx="14">
                  <c:v>582</c:v>
                </c:pt>
                <c:pt idx="15">
                  <c:v>2116</c:v>
                </c:pt>
                <c:pt idx="16">
                  <c:v>628</c:v>
                </c:pt>
                <c:pt idx="17">
                  <c:v>2283</c:v>
                </c:pt>
                <c:pt idx="18">
                  <c:v>612</c:v>
                </c:pt>
                <c:pt idx="19">
                  <c:v>2360</c:v>
                </c:pt>
                <c:pt idx="20">
                  <c:v>685</c:v>
                </c:pt>
                <c:pt idx="21">
                  <c:v>2701</c:v>
                </c:pt>
                <c:pt idx="22">
                  <c:v>696</c:v>
                </c:pt>
                <c:pt idx="23">
                  <c:v>2639</c:v>
                </c:pt>
                <c:pt idx="24">
                  <c:v>671</c:v>
                </c:pt>
                <c:pt idx="25">
                  <c:v>2827</c:v>
                </c:pt>
                <c:pt idx="26">
                  <c:v>678</c:v>
                </c:pt>
                <c:pt idx="27">
                  <c:v>2830</c:v>
                </c:pt>
              </c:numCache>
            </c:numRef>
          </c:val>
        </c:ser>
        <c:ser>
          <c:idx val="1"/>
          <c:order val="1"/>
          <c:tx>
            <c:strRef>
              <c:f>Divadla!$A$131</c:f>
              <c:strCache>
                <c:ptCount val="1"/>
                <c:pt idx="0">
                  <c:v>Premiéry</c:v>
                </c:pt>
              </c:strCache>
            </c:strRef>
          </c:tx>
          <c:cat>
            <c:numRef>
              <c:f>Divadla!$B$129:$AC$129</c:f>
              <c:numCache>
                <c:formatCode>#,##0</c:formatCode>
                <c:ptCount val="28"/>
                <c:pt idx="1">
                  <c:v>2000</c:v>
                </c:pt>
                <c:pt idx="3">
                  <c:v>2001</c:v>
                </c:pt>
                <c:pt idx="5">
                  <c:v>2002</c:v>
                </c:pt>
                <c:pt idx="7">
                  <c:v>2003</c:v>
                </c:pt>
                <c:pt idx="9">
                  <c:v>2004</c:v>
                </c:pt>
                <c:pt idx="11">
                  <c:v>2005</c:v>
                </c:pt>
                <c:pt idx="13">
                  <c:v>2006</c:v>
                </c:pt>
                <c:pt idx="15">
                  <c:v>2007</c:v>
                </c:pt>
                <c:pt idx="17">
                  <c:v>2008</c:v>
                </c:pt>
                <c:pt idx="19">
                  <c:v>2009</c:v>
                </c:pt>
                <c:pt idx="21">
                  <c:v>2010</c:v>
                </c:pt>
                <c:pt idx="23">
                  <c:v>2011</c:v>
                </c:pt>
                <c:pt idx="25">
                  <c:v>2012</c:v>
                </c:pt>
                <c:pt idx="27">
                  <c:v>2013</c:v>
                </c:pt>
              </c:numCache>
            </c:numRef>
          </c:cat>
          <c:val>
            <c:numRef>
              <c:f>Divadla!$B$131:$AC$131</c:f>
              <c:numCache>
                <c:formatCode>General</c:formatCode>
                <c:ptCount val="28"/>
              </c:numCache>
            </c:numRef>
          </c:val>
        </c:ser>
        <c:gapWidth val="43"/>
        <c:overlap val="53"/>
        <c:axId val="102116352"/>
        <c:axId val="102122240"/>
      </c:barChart>
      <c:catAx>
        <c:axId val="102116352"/>
        <c:scaling>
          <c:orientation val="minMax"/>
        </c:scaling>
        <c:axPos val="b"/>
        <c:numFmt formatCode="General" sourceLinked="1"/>
        <c:tickLblPos val="nextTo"/>
        <c:txPr>
          <a:bodyPr rot="600000"/>
          <a:lstStyle/>
          <a:p>
            <a:pPr>
              <a:defRPr sz="800"/>
            </a:pPr>
            <a:endParaRPr lang="cs-CZ"/>
          </a:p>
        </c:txPr>
        <c:crossAx val="102122240"/>
        <c:crosses val="autoZero"/>
        <c:auto val="1"/>
        <c:lblAlgn val="ctr"/>
        <c:lblOffset val="100"/>
        <c:tickLblSkip val="1"/>
        <c:tickMarkSkip val="2"/>
      </c:catAx>
      <c:valAx>
        <c:axId val="102122240"/>
        <c:scaling>
          <c:orientation val="minMax"/>
        </c:scaling>
        <c:delete val="1"/>
        <c:axPos val="l"/>
        <c:numFmt formatCode="#,##0" sourceLinked="1"/>
        <c:tickLblPos val="none"/>
        <c:crossAx val="102116352"/>
        <c:crosses val="autoZero"/>
        <c:crossBetween val="between"/>
      </c:valAx>
    </c:plotArea>
    <c:legend>
      <c:legendPos val="r"/>
      <c:layout>
        <c:manualLayout>
          <c:xMode val="edge"/>
          <c:yMode val="edge"/>
          <c:x val="0.18934429502817354"/>
          <c:y val="0.92143590972289957"/>
          <c:w val="0.58702164770699727"/>
          <c:h val="7.6041486708946102E-2"/>
        </c:manualLayout>
      </c:layout>
      <c:txPr>
        <a:bodyPr/>
        <a:lstStyle/>
        <a:p>
          <a:pPr>
            <a:defRPr sz="800"/>
          </a:pPr>
          <a:endParaRPr lang="cs-CZ"/>
        </a:p>
      </c:txPr>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1.4061999223721275E-2"/>
          <c:y val="0"/>
          <c:w val="0.9718760015525576"/>
          <c:h val="0.8232323910330881"/>
        </c:manualLayout>
      </c:layout>
      <c:barChart>
        <c:barDir val="col"/>
        <c:grouping val="clustered"/>
        <c:ser>
          <c:idx val="0"/>
          <c:order val="0"/>
          <c:tx>
            <c:strRef>
              <c:f>'[analýza.xls]per. tisk'!$A$10</c:f>
              <c:strCache>
                <c:ptCount val="1"/>
                <c:pt idx="0">
                  <c:v>Deníky</c:v>
                </c:pt>
              </c:strCache>
            </c:strRef>
          </c:tx>
          <c:spPr>
            <a:solidFill>
              <a:srgbClr val="92D050"/>
            </a:solidFill>
          </c:spPr>
          <c:dLbls>
            <c:txPr>
              <a:bodyPr rot="-5400000" vert="horz"/>
              <a:lstStyle/>
              <a:p>
                <a:pPr>
                  <a:defRPr sz="800"/>
                </a:pPr>
                <a:endParaRPr lang="cs-CZ"/>
              </a:p>
            </c:txPr>
            <c:showVal val="1"/>
          </c:dLbls>
          <c:cat>
            <c:numRef>
              <c:f>'[analýza.xls]per. tisk'!$B$8:$O$8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'[analýza.xls]per. tisk'!$B$10:$O$10</c:f>
              <c:numCache>
                <c:formatCode>#,##0</c:formatCode>
                <c:ptCount val="14"/>
                <c:pt idx="0">
                  <c:v>103</c:v>
                </c:pt>
                <c:pt idx="1">
                  <c:v>105</c:v>
                </c:pt>
                <c:pt idx="2">
                  <c:v>93</c:v>
                </c:pt>
                <c:pt idx="3">
                  <c:v>96</c:v>
                </c:pt>
                <c:pt idx="4">
                  <c:v>108</c:v>
                </c:pt>
                <c:pt idx="5">
                  <c:v>116</c:v>
                </c:pt>
                <c:pt idx="6">
                  <c:v>165</c:v>
                </c:pt>
                <c:pt idx="7">
                  <c:v>118</c:v>
                </c:pt>
                <c:pt idx="8">
                  <c:v>126</c:v>
                </c:pt>
                <c:pt idx="9">
                  <c:v>123</c:v>
                </c:pt>
                <c:pt idx="10">
                  <c:v>122</c:v>
                </c:pt>
                <c:pt idx="11">
                  <c:v>125</c:v>
                </c:pt>
                <c:pt idx="12">
                  <c:v>110</c:v>
                </c:pt>
                <c:pt idx="13">
                  <c:v>110</c:v>
                </c:pt>
              </c:numCache>
            </c:numRef>
          </c:val>
        </c:ser>
        <c:ser>
          <c:idx val="1"/>
          <c:order val="1"/>
          <c:tx>
            <c:strRef>
              <c:f>'[analýza.xls]per. tisk'!$A$11</c:f>
              <c:strCache>
                <c:ptCount val="1"/>
                <c:pt idx="0">
                  <c:v>Ostatní noviny</c:v>
                </c:pt>
              </c:strCache>
            </c:strRef>
          </c:tx>
          <c:dLbls>
            <c:txPr>
              <a:bodyPr rot="-5400000" vert="horz"/>
              <a:lstStyle/>
              <a:p>
                <a:pPr>
                  <a:defRPr sz="800">
                    <a:solidFill>
                      <a:schemeClr val="bg1"/>
                    </a:solidFill>
                  </a:defRPr>
                </a:pPr>
                <a:endParaRPr lang="cs-CZ"/>
              </a:p>
            </c:txPr>
            <c:dLblPos val="inEnd"/>
            <c:showVal val="1"/>
          </c:dLbls>
          <c:cat>
            <c:numRef>
              <c:f>'[analýza.xls]per. tisk'!$B$8:$O$8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'[analýza.xls]per. tisk'!$B$11:$O$11</c:f>
              <c:numCache>
                <c:formatCode>#,##0</c:formatCode>
                <c:ptCount val="14"/>
                <c:pt idx="0">
                  <c:v>712</c:v>
                </c:pt>
                <c:pt idx="1">
                  <c:v>697</c:v>
                </c:pt>
                <c:pt idx="2">
                  <c:v>730</c:v>
                </c:pt>
                <c:pt idx="3">
                  <c:v>814</c:v>
                </c:pt>
                <c:pt idx="4">
                  <c:v>1193</c:v>
                </c:pt>
                <c:pt idx="5">
                  <c:v>1290</c:v>
                </c:pt>
                <c:pt idx="6">
                  <c:v>1424</c:v>
                </c:pt>
                <c:pt idx="7">
                  <c:v>1393</c:v>
                </c:pt>
                <c:pt idx="8">
                  <c:v>1611</c:v>
                </c:pt>
                <c:pt idx="9">
                  <c:v>1560</c:v>
                </c:pt>
                <c:pt idx="10">
                  <c:v>1540</c:v>
                </c:pt>
                <c:pt idx="11">
                  <c:v>1397</c:v>
                </c:pt>
                <c:pt idx="12">
                  <c:v>1271</c:v>
                </c:pt>
                <c:pt idx="13">
                  <c:v>1281</c:v>
                </c:pt>
              </c:numCache>
            </c:numRef>
          </c:val>
        </c:ser>
        <c:ser>
          <c:idx val="2"/>
          <c:order val="2"/>
          <c:tx>
            <c:strRef>
              <c:f>'[analýza.xls]per. tisk'!$A$12</c:f>
              <c:strCache>
                <c:ptCount val="1"/>
                <c:pt idx="0">
                  <c:v>Časopisy</c:v>
                </c:pt>
              </c:strCache>
            </c:strRef>
          </c:tx>
          <c:spPr>
            <a:solidFill>
              <a:schemeClr val="accent1"/>
            </a:solidFill>
          </c:spPr>
          <c:dLbls>
            <c:txPr>
              <a:bodyPr rot="-5400000" vert="horz"/>
              <a:lstStyle/>
              <a:p>
                <a:pPr>
                  <a:defRPr sz="800">
                    <a:solidFill>
                      <a:schemeClr val="bg1"/>
                    </a:solidFill>
                  </a:defRPr>
                </a:pPr>
                <a:endParaRPr lang="cs-CZ"/>
              </a:p>
            </c:txPr>
            <c:dLblPos val="inEnd"/>
            <c:showVal val="1"/>
          </c:dLbls>
          <c:cat>
            <c:numRef>
              <c:f>'[analýza.xls]per. tisk'!$B$8:$O$8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'[analýza.xls]per. tisk'!$B$12:$O$12</c:f>
              <c:numCache>
                <c:formatCode>#,##0</c:formatCode>
                <c:ptCount val="14"/>
                <c:pt idx="0">
                  <c:v>2480</c:v>
                </c:pt>
                <c:pt idx="1">
                  <c:v>2667</c:v>
                </c:pt>
                <c:pt idx="2">
                  <c:v>2813</c:v>
                </c:pt>
                <c:pt idx="3">
                  <c:v>2462</c:v>
                </c:pt>
                <c:pt idx="4">
                  <c:v>2534</c:v>
                </c:pt>
                <c:pt idx="5">
                  <c:v>2993</c:v>
                </c:pt>
                <c:pt idx="6">
                  <c:v>3243</c:v>
                </c:pt>
                <c:pt idx="7">
                  <c:v>3436</c:v>
                </c:pt>
                <c:pt idx="8">
                  <c:v>3950</c:v>
                </c:pt>
                <c:pt idx="9">
                  <c:v>3798</c:v>
                </c:pt>
                <c:pt idx="10">
                  <c:v>3603</c:v>
                </c:pt>
                <c:pt idx="11">
                  <c:v>3576</c:v>
                </c:pt>
                <c:pt idx="12">
                  <c:v>3647</c:v>
                </c:pt>
                <c:pt idx="13">
                  <c:v>3626</c:v>
                </c:pt>
              </c:numCache>
            </c:numRef>
          </c:val>
        </c:ser>
        <c:gapWidth val="70"/>
        <c:overlap val="-10"/>
        <c:axId val="102148736"/>
        <c:axId val="102154624"/>
      </c:barChart>
      <c:catAx>
        <c:axId val="102148736"/>
        <c:scaling>
          <c:orientation val="minMax"/>
        </c:scaling>
        <c:axPos val="b"/>
        <c:numFmt formatCode="General" sourceLinked="1"/>
        <c:tickLblPos val="nextTo"/>
        <c:txPr>
          <a:bodyPr/>
          <a:lstStyle/>
          <a:p>
            <a:pPr>
              <a:defRPr sz="800"/>
            </a:pPr>
            <a:endParaRPr lang="cs-CZ"/>
          </a:p>
        </c:txPr>
        <c:crossAx val="102154624"/>
        <c:crosses val="autoZero"/>
        <c:auto val="1"/>
        <c:lblAlgn val="ctr"/>
        <c:lblOffset val="100"/>
      </c:catAx>
      <c:valAx>
        <c:axId val="102154624"/>
        <c:scaling>
          <c:orientation val="minMax"/>
        </c:scaling>
        <c:delete val="1"/>
        <c:axPos val="l"/>
        <c:numFmt formatCode="#,##0" sourceLinked="1"/>
        <c:tickLblPos val="none"/>
        <c:crossAx val="102148736"/>
        <c:crosses val="autoZero"/>
        <c:crossBetween val="between"/>
      </c:valAx>
    </c:plotArea>
    <c:legend>
      <c:legendPos val="b"/>
      <c:layout>
        <c:manualLayout>
          <c:xMode val="edge"/>
          <c:yMode val="edge"/>
          <c:x val="0.25670592828788968"/>
          <c:y val="0.90665667567167862"/>
          <c:w val="0.49703477148001524"/>
          <c:h val="6.7495186547570793E-2"/>
        </c:manualLayout>
      </c:layout>
      <c:txPr>
        <a:bodyPr/>
        <a:lstStyle/>
        <a:p>
          <a:pPr>
            <a:defRPr sz="800"/>
          </a:pPr>
          <a:endParaRPr lang="cs-CZ"/>
        </a:p>
      </c:txPr>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691351597579611E-2"/>
          <c:y val="5.5736115807610134E-2"/>
          <c:w val="0.96604938271604934"/>
          <c:h val="0.7558336956346805"/>
        </c:manualLayout>
      </c:layout>
      <c:barChart>
        <c:barDir val="col"/>
        <c:grouping val="stacked"/>
        <c:ser>
          <c:idx val="0"/>
          <c:order val="0"/>
          <c:tx>
            <c:strRef>
              <c:f>[analýza.xls]neper.publ.!$B$35</c:f>
              <c:strCache>
                <c:ptCount val="1"/>
                <c:pt idx="0">
                  <c:v> Beletrie</c:v>
                </c:pt>
              </c:strCache>
            </c:strRef>
          </c:tx>
          <c:dLbls>
            <c:numFmt formatCode="#,##0.0" sourceLinked="0"/>
            <c:txPr>
              <a:bodyPr rot="0" vert="horz" anchor="ctr" anchorCtr="0"/>
              <a:lstStyle/>
              <a:p>
                <a:pPr>
                  <a:defRPr sz="800">
                    <a:solidFill>
                      <a:schemeClr val="bg1"/>
                    </a:solidFill>
                  </a:defRPr>
                </a:pPr>
                <a:endParaRPr lang="cs-CZ"/>
              </a:p>
            </c:txPr>
            <c:dLblPos val="ctr"/>
            <c:showVal val="1"/>
          </c:dLbls>
          <c:cat>
            <c:numRef>
              <c:f>[analýza.xls]neper.publ.!$C$33:$P$33</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[analýza.xls]neper.publ.!$C$35:$P$35</c:f>
              <c:numCache>
                <c:formatCode>0.00</c:formatCode>
                <c:ptCount val="14"/>
                <c:pt idx="0">
                  <c:v>3.2810000000000001</c:v>
                </c:pt>
                <c:pt idx="1">
                  <c:v>3.726</c:v>
                </c:pt>
                <c:pt idx="2">
                  <c:v>3.605</c:v>
                </c:pt>
                <c:pt idx="3">
                  <c:v>3.4979999999999998</c:v>
                </c:pt>
                <c:pt idx="4">
                  <c:v>3.3809999999999998</c:v>
                </c:pt>
                <c:pt idx="5">
                  <c:v>3.34</c:v>
                </c:pt>
                <c:pt idx="6">
                  <c:v>3.746</c:v>
                </c:pt>
                <c:pt idx="7">
                  <c:v>3.927</c:v>
                </c:pt>
                <c:pt idx="8">
                  <c:v>4.1619999999999955</c:v>
                </c:pt>
                <c:pt idx="9">
                  <c:v>4.4749999999999996</c:v>
                </c:pt>
                <c:pt idx="10">
                  <c:v>4.4770000000000003</c:v>
                </c:pt>
                <c:pt idx="11">
                  <c:v>5.1739999999999995</c:v>
                </c:pt>
                <c:pt idx="12">
                  <c:v>4.6839999999999975</c:v>
                </c:pt>
                <c:pt idx="13">
                  <c:v>5.1899999999999995</c:v>
                </c:pt>
              </c:numCache>
            </c:numRef>
          </c:val>
        </c:ser>
        <c:ser>
          <c:idx val="1"/>
          <c:order val="1"/>
          <c:tx>
            <c:strRef>
              <c:f>[analýza.xls]neper.publ.!$B$36</c:f>
              <c:strCache>
                <c:ptCount val="1"/>
                <c:pt idx="0">
                  <c:v>Dětské knihy</c:v>
                </c:pt>
              </c:strCache>
            </c:strRef>
          </c:tx>
          <c:dLbls>
            <c:dLbl>
              <c:idx val="0"/>
              <c:delete val="1"/>
            </c:dLbl>
            <c:dLbl>
              <c:idx val="1"/>
              <c:delete val="1"/>
            </c:dLbl>
            <c:dLbl>
              <c:idx val="2"/>
              <c:delete val="1"/>
            </c:dLbl>
            <c:dLbl>
              <c:idx val="3"/>
              <c:delete val="1"/>
            </c:dLbl>
            <c:dLbl>
              <c:idx val="4"/>
              <c:delete val="1"/>
            </c:dLbl>
            <c:dLbl>
              <c:idx val="5"/>
              <c:delete val="1"/>
            </c:dLbl>
            <c:numFmt formatCode="#,##0.0" sourceLinked="0"/>
            <c:txPr>
              <a:bodyPr rot="0" vert="horz" anchor="ctr" anchorCtr="0"/>
              <a:lstStyle/>
              <a:p>
                <a:pPr>
                  <a:defRPr sz="800">
                    <a:solidFill>
                      <a:schemeClr val="bg1"/>
                    </a:solidFill>
                  </a:defRPr>
                </a:pPr>
                <a:endParaRPr lang="cs-CZ"/>
              </a:p>
            </c:txPr>
            <c:dLblPos val="ctr"/>
            <c:showVal val="1"/>
          </c:dLbls>
          <c:cat>
            <c:numRef>
              <c:f>[analýza.xls]neper.publ.!$C$33:$P$33</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[analýza.xls]neper.publ.!$C$36:$P$36</c:f>
              <c:numCache>
                <c:formatCode>0.00</c:formatCode>
                <c:ptCount val="14"/>
                <c:pt idx="0">
                  <c:v>0.57900000000000063</c:v>
                </c:pt>
                <c:pt idx="1">
                  <c:v>0.57500000000000062</c:v>
                </c:pt>
                <c:pt idx="2">
                  <c:v>0.58599999999999997</c:v>
                </c:pt>
                <c:pt idx="3">
                  <c:v>0.7460000000000061</c:v>
                </c:pt>
                <c:pt idx="4">
                  <c:v>0.73500000000000065</c:v>
                </c:pt>
                <c:pt idx="5">
                  <c:v>0.86600000000000465</c:v>
                </c:pt>
                <c:pt idx="6">
                  <c:v>1.29</c:v>
                </c:pt>
                <c:pt idx="7">
                  <c:v>1.1870000000000001</c:v>
                </c:pt>
                <c:pt idx="8">
                  <c:v>1.385</c:v>
                </c:pt>
                <c:pt idx="9">
                  <c:v>1.367</c:v>
                </c:pt>
                <c:pt idx="10">
                  <c:v>1.3360000000000001</c:v>
                </c:pt>
                <c:pt idx="11">
                  <c:v>1.569</c:v>
                </c:pt>
                <c:pt idx="12">
                  <c:v>1.6980000000000122</c:v>
                </c:pt>
                <c:pt idx="13">
                  <c:v>2.0309999999999997</c:v>
                </c:pt>
              </c:numCache>
            </c:numRef>
          </c:val>
        </c:ser>
        <c:ser>
          <c:idx val="2"/>
          <c:order val="2"/>
          <c:tx>
            <c:strRef>
              <c:f>[analýza.xls]neper.publ.!$B$37</c:f>
              <c:strCache>
                <c:ptCount val="1"/>
                <c:pt idx="0">
                  <c:v>Školní učebnice, vysokoškolská skripta a VŠ učebnice</c:v>
                </c:pt>
              </c:strCache>
            </c:strRef>
          </c:tx>
          <c:dLbls>
            <c:numFmt formatCode="#,##0.0" sourceLinked="0"/>
            <c:txPr>
              <a:bodyPr rot="0" vert="horz"/>
              <a:lstStyle/>
              <a:p>
                <a:pPr>
                  <a:defRPr sz="800">
                    <a:solidFill>
                      <a:schemeClr val="bg1"/>
                    </a:solidFill>
                  </a:defRPr>
                </a:pPr>
                <a:endParaRPr lang="cs-CZ"/>
              </a:p>
            </c:txPr>
            <c:dLblPos val="ctr"/>
            <c:showVal val="1"/>
          </c:dLbls>
          <c:cat>
            <c:numRef>
              <c:f>[analýza.xls]neper.publ.!$C$33:$P$33</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[analýza.xls]neper.publ.!$C$37:$P$37</c:f>
              <c:numCache>
                <c:formatCode>0.00</c:formatCode>
                <c:ptCount val="14"/>
                <c:pt idx="0">
                  <c:v>1.4</c:v>
                </c:pt>
                <c:pt idx="1">
                  <c:v>1.74</c:v>
                </c:pt>
                <c:pt idx="2">
                  <c:v>1.5780000000000001</c:v>
                </c:pt>
                <c:pt idx="3">
                  <c:v>1.8839999999999864</c:v>
                </c:pt>
                <c:pt idx="4">
                  <c:v>1.732</c:v>
                </c:pt>
                <c:pt idx="5">
                  <c:v>1.776</c:v>
                </c:pt>
                <c:pt idx="6">
                  <c:v>1.9239999999999877</c:v>
                </c:pt>
                <c:pt idx="7">
                  <c:v>1.9710000000000001</c:v>
                </c:pt>
                <c:pt idx="8">
                  <c:v>2.1319999999999997</c:v>
                </c:pt>
                <c:pt idx="9">
                  <c:v>1.4889999999999859</c:v>
                </c:pt>
                <c:pt idx="10">
                  <c:v>1.536</c:v>
                </c:pt>
                <c:pt idx="11">
                  <c:v>1.5960000000000001</c:v>
                </c:pt>
                <c:pt idx="12">
                  <c:v>1.522</c:v>
                </c:pt>
                <c:pt idx="13">
                  <c:v>1.538</c:v>
                </c:pt>
              </c:numCache>
            </c:numRef>
          </c:val>
        </c:ser>
        <c:ser>
          <c:idx val="3"/>
          <c:order val="3"/>
          <c:tx>
            <c:strRef>
              <c:f>[analýza.xls]neper.publ.!$B$38</c:f>
              <c:strCache>
                <c:ptCount val="1"/>
                <c:pt idx="0">
                  <c:v>Ostatní tituly</c:v>
                </c:pt>
              </c:strCache>
            </c:strRef>
          </c:tx>
          <c:dLbls>
            <c:numFmt formatCode="#,##0.0" sourceLinked="0"/>
            <c:txPr>
              <a:bodyPr rot="0" vert="horz" anchor="ctr" anchorCtr="0"/>
              <a:lstStyle/>
              <a:p>
                <a:pPr>
                  <a:defRPr sz="800">
                    <a:solidFill>
                      <a:schemeClr val="bg1"/>
                    </a:solidFill>
                  </a:defRPr>
                </a:pPr>
                <a:endParaRPr lang="cs-CZ"/>
              </a:p>
            </c:txPr>
            <c:dLblPos val="ctr"/>
            <c:showVal val="1"/>
          </c:dLbls>
          <c:cat>
            <c:numRef>
              <c:f>[analýza.xls]neper.publ.!$C$33:$P$33</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[analýza.xls]neper.publ.!$C$38:$P$38</c:f>
              <c:numCache>
                <c:formatCode>0.00</c:formatCode>
                <c:ptCount val="14"/>
                <c:pt idx="0">
                  <c:v>6.7049999999999965</c:v>
                </c:pt>
                <c:pt idx="1">
                  <c:v>8.2800000000000011</c:v>
                </c:pt>
                <c:pt idx="2">
                  <c:v>8.5090000000000003</c:v>
                </c:pt>
                <c:pt idx="3">
                  <c:v>10.323000000000002</c:v>
                </c:pt>
                <c:pt idx="4">
                  <c:v>9.9010000000000016</c:v>
                </c:pt>
                <c:pt idx="5">
                  <c:v>9.3680000000000003</c:v>
                </c:pt>
                <c:pt idx="6">
                  <c:v>10.059000000000006</c:v>
                </c:pt>
                <c:pt idx="7">
                  <c:v>10.944000000000001</c:v>
                </c:pt>
                <c:pt idx="8">
                  <c:v>10.841000000000001</c:v>
                </c:pt>
                <c:pt idx="9">
                  <c:v>10.267000000000001</c:v>
                </c:pt>
                <c:pt idx="10">
                  <c:v>9.7050000000000001</c:v>
                </c:pt>
                <c:pt idx="11">
                  <c:v>10.646000000000001</c:v>
                </c:pt>
                <c:pt idx="12">
                  <c:v>9.3430000000000017</c:v>
                </c:pt>
                <c:pt idx="13">
                  <c:v>9.1170000000000009</c:v>
                </c:pt>
              </c:numCache>
            </c:numRef>
          </c:val>
        </c:ser>
        <c:gapWidth val="88"/>
        <c:overlap val="100"/>
        <c:axId val="102182272"/>
        <c:axId val="102208640"/>
      </c:barChart>
      <c:catAx>
        <c:axId val="102182272"/>
        <c:scaling>
          <c:orientation val="minMax"/>
        </c:scaling>
        <c:axPos val="b"/>
        <c:numFmt formatCode="General" sourceLinked="1"/>
        <c:tickLblPos val="nextTo"/>
        <c:txPr>
          <a:bodyPr/>
          <a:lstStyle/>
          <a:p>
            <a:pPr>
              <a:defRPr sz="800"/>
            </a:pPr>
            <a:endParaRPr lang="cs-CZ"/>
          </a:p>
        </c:txPr>
        <c:crossAx val="102208640"/>
        <c:crosses val="autoZero"/>
        <c:auto val="1"/>
        <c:lblAlgn val="ctr"/>
        <c:lblOffset val="100"/>
      </c:catAx>
      <c:valAx>
        <c:axId val="102208640"/>
        <c:scaling>
          <c:orientation val="minMax"/>
        </c:scaling>
        <c:delete val="1"/>
        <c:axPos val="l"/>
        <c:numFmt formatCode="0.00" sourceLinked="1"/>
        <c:tickLblPos val="none"/>
        <c:crossAx val="102182272"/>
        <c:crosses val="autoZero"/>
        <c:crossBetween val="between"/>
      </c:valAx>
    </c:plotArea>
    <c:legend>
      <c:legendPos val="b"/>
      <c:layout>
        <c:manualLayout>
          <c:xMode val="edge"/>
          <c:yMode val="edge"/>
          <c:x val="4.4066549532548911E-2"/>
          <c:y val="0.9007748417950826"/>
          <c:w val="0.92294053521088415"/>
          <c:h val="7.2533902012249032E-2"/>
        </c:manualLayout>
      </c:layout>
      <c:txPr>
        <a:bodyPr/>
        <a:lstStyle/>
        <a:p>
          <a:pPr>
            <a:defRPr sz="800"/>
          </a:pPr>
          <a:endParaRPr lang="cs-CZ"/>
        </a:p>
      </c:txPr>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591870117238895E-2"/>
          <c:y val="4.2026087328493687E-2"/>
          <c:w val="0.74564380343275494"/>
          <c:h val="0.77765802693964092"/>
        </c:manualLayout>
      </c:layout>
      <c:barChart>
        <c:barDir val="col"/>
        <c:grouping val="clustered"/>
        <c:ser>
          <c:idx val="0"/>
          <c:order val="0"/>
          <c:tx>
            <c:strRef>
              <c:f>List1!$C$2</c:f>
              <c:strCache>
                <c:ptCount val="1"/>
                <c:pt idx="0">
                  <c:v>Tradiční umění</c:v>
                </c:pt>
              </c:strCache>
            </c:strRef>
          </c:tx>
          <c:spPr>
            <a:solidFill>
              <a:schemeClr val="accent2"/>
            </a:solidFill>
          </c:spPr>
          <c:dLbls>
            <c:numFmt formatCode="#,##0.0" sourceLinked="0"/>
            <c:txPr>
              <a:bodyPr/>
              <a:lstStyle/>
              <a:p>
                <a:pPr>
                  <a:defRPr b="0" i="0" baseline="0"/>
                </a:pPr>
                <a:endParaRPr lang="cs-CZ"/>
              </a:p>
            </c:txPr>
            <c:showVal val="1"/>
          </c:dLbls>
          <c:cat>
            <c:strRef>
              <c:f>List1!$A$3:$B$6</c:f>
              <c:strCache>
                <c:ptCount val="4"/>
                <c:pt idx="0">
                  <c:v>Hospodářský výsledek/1 zaměstnance</c:v>
                </c:pt>
                <c:pt idx="1">
                  <c:v>Průměrná mzda</c:v>
                </c:pt>
                <c:pt idx="2">
                  <c:v>Investice/1 zaměstnance</c:v>
                </c:pt>
                <c:pt idx="3">
                  <c:v>Stupeň soběstačnosti</c:v>
                </c:pt>
              </c:strCache>
            </c:strRef>
          </c:cat>
          <c:val>
            <c:numRef>
              <c:f>List1!$C$3:$C$6</c:f>
              <c:numCache>
                <c:formatCode>0.0</c:formatCode>
                <c:ptCount val="4"/>
                <c:pt idx="0">
                  <c:v>13.9</c:v>
                </c:pt>
                <c:pt idx="1">
                  <c:v>72.2</c:v>
                </c:pt>
                <c:pt idx="2">
                  <c:v>54.6</c:v>
                </c:pt>
                <c:pt idx="3">
                  <c:v>64.7</c:v>
                </c:pt>
              </c:numCache>
            </c:numRef>
          </c:val>
        </c:ser>
        <c:ser>
          <c:idx val="1"/>
          <c:order val="1"/>
          <c:tx>
            <c:strRef>
              <c:f>List1!$D$2</c:f>
              <c:strCache>
                <c:ptCount val="1"/>
                <c:pt idx="0">
                  <c:v>Kulturní a kreativní průmysly</c:v>
                </c:pt>
              </c:strCache>
            </c:strRef>
          </c:tx>
          <c:spPr>
            <a:solidFill>
              <a:schemeClr val="accent1"/>
            </a:solidFill>
          </c:spPr>
          <c:dLbls>
            <c:txPr>
              <a:bodyPr/>
              <a:lstStyle/>
              <a:p>
                <a:pPr>
                  <a:defRPr b="0" i="0" baseline="0"/>
                </a:pPr>
                <a:endParaRPr lang="cs-CZ"/>
              </a:p>
            </c:txPr>
            <c:showVal val="1"/>
          </c:dLbls>
          <c:cat>
            <c:strRef>
              <c:f>List1!$A$3:$B$6</c:f>
              <c:strCache>
                <c:ptCount val="4"/>
                <c:pt idx="0">
                  <c:v>Hospodářský výsledek/1 zaměstnance</c:v>
                </c:pt>
                <c:pt idx="1">
                  <c:v>Průměrná mzda</c:v>
                </c:pt>
                <c:pt idx="2">
                  <c:v>Investice/1 zaměstnance</c:v>
                </c:pt>
                <c:pt idx="3">
                  <c:v>Stupeň soběstačnosti</c:v>
                </c:pt>
              </c:strCache>
            </c:strRef>
          </c:cat>
          <c:val>
            <c:numRef>
              <c:f>List1!$D$3:$D$6</c:f>
              <c:numCache>
                <c:formatCode>0.0</c:formatCode>
                <c:ptCount val="4"/>
                <c:pt idx="0">
                  <c:v>189.4</c:v>
                </c:pt>
                <c:pt idx="1">
                  <c:v>115.9</c:v>
                </c:pt>
                <c:pt idx="2">
                  <c:v>140.80000000000001</c:v>
                </c:pt>
                <c:pt idx="3">
                  <c:v>109.9</c:v>
                </c:pt>
              </c:numCache>
            </c:numRef>
          </c:val>
        </c:ser>
        <c:axId val="108681088"/>
        <c:axId val="108682624"/>
      </c:barChart>
      <c:catAx>
        <c:axId val="108681088"/>
        <c:scaling>
          <c:orientation val="minMax"/>
        </c:scaling>
        <c:axPos val="b"/>
        <c:tickLblPos val="nextTo"/>
        <c:txPr>
          <a:bodyPr/>
          <a:lstStyle/>
          <a:p>
            <a:pPr>
              <a:defRPr sz="800" b="0" i="0" baseline="0"/>
            </a:pPr>
            <a:endParaRPr lang="cs-CZ"/>
          </a:p>
        </c:txPr>
        <c:crossAx val="108682624"/>
        <c:crosses val="autoZero"/>
        <c:auto val="1"/>
        <c:lblAlgn val="ctr"/>
        <c:lblOffset val="100"/>
      </c:catAx>
      <c:valAx>
        <c:axId val="108682624"/>
        <c:scaling>
          <c:orientation val="minMax"/>
        </c:scaling>
        <c:axPos val="l"/>
        <c:numFmt formatCode="0.0" sourceLinked="1"/>
        <c:tickLblPos val="nextTo"/>
        <c:txPr>
          <a:bodyPr/>
          <a:lstStyle/>
          <a:p>
            <a:pPr>
              <a:defRPr sz="800"/>
            </a:pPr>
            <a:endParaRPr lang="cs-CZ"/>
          </a:p>
        </c:txPr>
        <c:crossAx val="108681088"/>
        <c:crosses val="autoZero"/>
        <c:crossBetween val="between"/>
      </c:valAx>
    </c:plotArea>
    <c:legend>
      <c:legendPos val="b"/>
      <c:txPr>
        <a:bodyPr/>
        <a:lstStyle/>
        <a:p>
          <a:pPr>
            <a:defRPr sz="800"/>
          </a:pPr>
          <a:endParaRPr lang="cs-CZ"/>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245095878333896E-2"/>
          <c:y val="0"/>
          <c:w val="0.95150980824333264"/>
          <c:h val="0.82696680805967981"/>
        </c:manualLayout>
      </c:layout>
      <c:barChart>
        <c:barDir val="col"/>
        <c:grouping val="stacked"/>
        <c:ser>
          <c:idx val="0"/>
          <c:order val="0"/>
          <c:tx>
            <c:strRef>
              <c:f>[analýza.xls]muzea!$A$30</c:f>
              <c:strCache>
                <c:ptCount val="1"/>
                <c:pt idx="0">
                  <c:v>Expozice</c:v>
                </c:pt>
              </c:strCache>
            </c:strRef>
          </c:tx>
          <c:dLbls>
            <c:txPr>
              <a:bodyPr rot="-5400000" vert="horz"/>
              <a:lstStyle/>
              <a:p>
                <a:pPr>
                  <a:defRPr sz="800">
                    <a:solidFill>
                      <a:schemeClr val="bg1"/>
                    </a:solidFill>
                  </a:defRPr>
                </a:pPr>
                <a:endParaRPr lang="cs-CZ"/>
              </a:p>
            </c:txPr>
            <c:showVal val="1"/>
          </c:dLbls>
          <c:cat>
            <c:numRef>
              <c:f>[analýza.xls]muzea!$B$29:$O$29</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[analýza.xls]muzea!$B$30:$O$30</c:f>
              <c:numCache>
                <c:formatCode>#,##0.00</c:formatCode>
                <c:ptCount val="14"/>
                <c:pt idx="0">
                  <c:v>1.492</c:v>
                </c:pt>
                <c:pt idx="1">
                  <c:v>1.5580000000000001</c:v>
                </c:pt>
                <c:pt idx="2">
                  <c:v>1.5569999999999877</c:v>
                </c:pt>
                <c:pt idx="3">
                  <c:v>1.6319999999999864</c:v>
                </c:pt>
                <c:pt idx="4">
                  <c:v>1.673</c:v>
                </c:pt>
                <c:pt idx="5">
                  <c:v>1.6910000000000001</c:v>
                </c:pt>
                <c:pt idx="6">
                  <c:v>1.7929999999999877</c:v>
                </c:pt>
                <c:pt idx="7">
                  <c:v>1.8140000000000001</c:v>
                </c:pt>
                <c:pt idx="8">
                  <c:v>1.855</c:v>
                </c:pt>
                <c:pt idx="9">
                  <c:v>1.833</c:v>
                </c:pt>
                <c:pt idx="10">
                  <c:v>1.8280000000000001</c:v>
                </c:pt>
                <c:pt idx="11">
                  <c:v>1.8680000000000001</c:v>
                </c:pt>
                <c:pt idx="12">
                  <c:v>2.0089999999999999</c:v>
                </c:pt>
                <c:pt idx="13">
                  <c:v>1.9730000000000001</c:v>
                </c:pt>
              </c:numCache>
            </c:numRef>
          </c:val>
        </c:ser>
        <c:ser>
          <c:idx val="1"/>
          <c:order val="1"/>
          <c:tx>
            <c:strRef>
              <c:f>[analýza.xls]muzea!$A$31</c:f>
              <c:strCache>
                <c:ptCount val="1"/>
                <c:pt idx="0">
                  <c:v>Výstavy</c:v>
                </c:pt>
              </c:strCache>
            </c:strRef>
          </c:tx>
          <c:dLbls>
            <c:numFmt formatCode="#,##0.00" sourceLinked="0"/>
            <c:txPr>
              <a:bodyPr rot="-5400000" vert="horz"/>
              <a:lstStyle/>
              <a:p>
                <a:pPr>
                  <a:defRPr sz="800">
                    <a:solidFill>
                      <a:schemeClr val="bg1"/>
                    </a:solidFill>
                  </a:defRPr>
                </a:pPr>
                <a:endParaRPr lang="cs-CZ"/>
              </a:p>
            </c:txPr>
            <c:showVal val="1"/>
          </c:dLbls>
          <c:cat>
            <c:numRef>
              <c:f>[analýza.xls]muzea!$B$29:$O$29</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[analýza.xls]muzea!$B$31:$O$31</c:f>
              <c:numCache>
                <c:formatCode>#,##0.00</c:formatCode>
                <c:ptCount val="14"/>
                <c:pt idx="0">
                  <c:v>3.2850000000000001</c:v>
                </c:pt>
                <c:pt idx="1">
                  <c:v>3.1989999999999998</c:v>
                </c:pt>
                <c:pt idx="2">
                  <c:v>3.234</c:v>
                </c:pt>
                <c:pt idx="3">
                  <c:v>3.4689999999999999</c:v>
                </c:pt>
                <c:pt idx="4">
                  <c:v>3.6230000000000002</c:v>
                </c:pt>
                <c:pt idx="5">
                  <c:v>3.7290000000000001</c:v>
                </c:pt>
                <c:pt idx="6">
                  <c:v>3.7600000000000002</c:v>
                </c:pt>
                <c:pt idx="7">
                  <c:v>3.8259999999999987</c:v>
                </c:pt>
                <c:pt idx="8">
                  <c:v>3.8009999999999997</c:v>
                </c:pt>
                <c:pt idx="9">
                  <c:v>3.8689999999999998</c:v>
                </c:pt>
                <c:pt idx="10">
                  <c:v>3.847</c:v>
                </c:pt>
                <c:pt idx="11">
                  <c:v>3.9739999999999998</c:v>
                </c:pt>
                <c:pt idx="12">
                  <c:v>4.0049999999999955</c:v>
                </c:pt>
                <c:pt idx="13">
                  <c:v>4.1029999999999855</c:v>
                </c:pt>
              </c:numCache>
            </c:numRef>
          </c:val>
        </c:ser>
        <c:overlap val="100"/>
        <c:axId val="95296512"/>
        <c:axId val="95302400"/>
      </c:barChart>
      <c:catAx>
        <c:axId val="95296512"/>
        <c:scaling>
          <c:orientation val="minMax"/>
        </c:scaling>
        <c:axPos val="b"/>
        <c:numFmt formatCode="General" sourceLinked="1"/>
        <c:tickLblPos val="nextTo"/>
        <c:txPr>
          <a:bodyPr/>
          <a:lstStyle/>
          <a:p>
            <a:pPr>
              <a:defRPr sz="800"/>
            </a:pPr>
            <a:endParaRPr lang="cs-CZ"/>
          </a:p>
        </c:txPr>
        <c:crossAx val="95302400"/>
        <c:crosses val="autoZero"/>
        <c:auto val="1"/>
        <c:lblAlgn val="ctr"/>
        <c:lblOffset val="100"/>
      </c:catAx>
      <c:valAx>
        <c:axId val="95302400"/>
        <c:scaling>
          <c:orientation val="minMax"/>
        </c:scaling>
        <c:delete val="1"/>
        <c:axPos val="l"/>
        <c:numFmt formatCode="#,##0.00" sourceLinked="1"/>
        <c:tickLblPos val="none"/>
        <c:crossAx val="95296512"/>
        <c:crosses val="autoZero"/>
        <c:crossBetween val="between"/>
      </c:valAx>
    </c:plotArea>
    <c:legend>
      <c:legendPos val="b"/>
      <c:layout>
        <c:manualLayout>
          <c:xMode val="edge"/>
          <c:yMode val="edge"/>
          <c:x val="0.33360019529365398"/>
          <c:y val="0.9102862772829412"/>
          <c:w val="0.33887819091450533"/>
          <c:h val="8.6417746168825693E-2"/>
        </c:manualLayout>
      </c:layout>
      <c:txPr>
        <a:bodyPr/>
        <a:lstStyle/>
        <a:p>
          <a:pPr>
            <a:defRPr sz="800"/>
          </a:pPr>
          <a:endParaRPr lang="cs-CZ"/>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242424242424229E-2"/>
          <c:y val="0"/>
          <c:w val="0.95151515151515154"/>
          <c:h val="0.81252490837018265"/>
        </c:manualLayout>
      </c:layout>
      <c:barChart>
        <c:barDir val="col"/>
        <c:grouping val="clustered"/>
        <c:ser>
          <c:idx val="0"/>
          <c:order val="0"/>
          <c:tx>
            <c:strRef>
              <c:f>[analýza.xls]muzea!$A$53</c:f>
              <c:strCache>
                <c:ptCount val="1"/>
                <c:pt idx="0">
                  <c:v>Počet návštěvníků expozic a výstav muzeí, galerií a památníků</c:v>
                </c:pt>
              </c:strCache>
            </c:strRef>
          </c:tx>
          <c:dLbls>
            <c:txPr>
              <a:bodyPr rot="-5400000" vert="horz"/>
              <a:lstStyle/>
              <a:p>
                <a:pPr>
                  <a:defRPr sz="800">
                    <a:solidFill>
                      <a:schemeClr val="bg1"/>
                    </a:solidFill>
                  </a:defRPr>
                </a:pPr>
                <a:endParaRPr lang="cs-CZ"/>
              </a:p>
            </c:txPr>
            <c:dLblPos val="inEnd"/>
            <c:showVal val="1"/>
          </c:dLbls>
          <c:cat>
            <c:numRef>
              <c:f>[analýza.xls]muzea!$B$52:$O$52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[analýza.xls]muzea!$B$53:$O$53</c:f>
              <c:numCache>
                <c:formatCode>#,##0</c:formatCode>
                <c:ptCount val="14"/>
                <c:pt idx="0">
                  <c:v>9323.138999999981</c:v>
                </c:pt>
                <c:pt idx="1">
                  <c:v>9389</c:v>
                </c:pt>
                <c:pt idx="2">
                  <c:v>8726</c:v>
                </c:pt>
                <c:pt idx="3">
                  <c:v>8749</c:v>
                </c:pt>
                <c:pt idx="4">
                  <c:v>9002.5820000000003</c:v>
                </c:pt>
                <c:pt idx="5">
                  <c:v>9132.39</c:v>
                </c:pt>
                <c:pt idx="6">
                  <c:v>9763.1710000000003</c:v>
                </c:pt>
                <c:pt idx="7">
                  <c:v>10362.195</c:v>
                </c:pt>
                <c:pt idx="8">
                  <c:v>9586.7070000000003</c:v>
                </c:pt>
                <c:pt idx="9">
                  <c:v>9660</c:v>
                </c:pt>
                <c:pt idx="10">
                  <c:v>9308</c:v>
                </c:pt>
                <c:pt idx="11">
                  <c:v>10018</c:v>
                </c:pt>
                <c:pt idx="12">
                  <c:v>9577</c:v>
                </c:pt>
                <c:pt idx="13">
                  <c:v>10490</c:v>
                </c:pt>
              </c:numCache>
            </c:numRef>
          </c:val>
        </c:ser>
        <c:ser>
          <c:idx val="1"/>
          <c:order val="1"/>
          <c:tx>
            <c:strRef>
              <c:f>[analýza.xls]muzea!$A$54</c:f>
              <c:strCache>
                <c:ptCount val="1"/>
                <c:pt idx="0">
                  <c:v>Počet návštěvníků hradů, zámků a ostatních památek</c:v>
                </c:pt>
              </c:strCache>
            </c:strRef>
          </c:tx>
          <c:dLbls>
            <c:txPr>
              <a:bodyPr rot="-5400000" vert="horz" anchor="ctr" anchorCtr="1"/>
              <a:lstStyle/>
              <a:p>
                <a:pPr>
                  <a:defRPr sz="800">
                    <a:solidFill>
                      <a:schemeClr val="bg1"/>
                    </a:solidFill>
                  </a:defRPr>
                </a:pPr>
                <a:endParaRPr lang="cs-CZ"/>
              </a:p>
            </c:txPr>
            <c:dLblPos val="inEnd"/>
            <c:showVal val="1"/>
          </c:dLbls>
          <c:cat>
            <c:numRef>
              <c:f>[analýza.xls]muzea!$B$52:$O$52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[analýza.xls]muzea!$B$54:$O$54</c:f>
              <c:numCache>
                <c:formatCode>#,##0</c:formatCode>
                <c:ptCount val="14"/>
                <c:pt idx="0">
                  <c:v>9089.7420000000129</c:v>
                </c:pt>
                <c:pt idx="1">
                  <c:v>9755.2000000000007</c:v>
                </c:pt>
                <c:pt idx="2">
                  <c:v>9761.7839999999851</c:v>
                </c:pt>
                <c:pt idx="3">
                  <c:v>10420.397000000001</c:v>
                </c:pt>
                <c:pt idx="4">
                  <c:v>11489.601000000002</c:v>
                </c:pt>
                <c:pt idx="5">
                  <c:v>11796.75</c:v>
                </c:pt>
                <c:pt idx="6">
                  <c:v>12108.819</c:v>
                </c:pt>
                <c:pt idx="7">
                  <c:v>12167.914000000002</c:v>
                </c:pt>
                <c:pt idx="8">
                  <c:v>11681.124000000014</c:v>
                </c:pt>
                <c:pt idx="9">
                  <c:v>11616</c:v>
                </c:pt>
                <c:pt idx="10">
                  <c:v>11325</c:v>
                </c:pt>
                <c:pt idx="11">
                  <c:v>12032</c:v>
                </c:pt>
                <c:pt idx="12">
                  <c:v>11627</c:v>
                </c:pt>
                <c:pt idx="13">
                  <c:v>10673</c:v>
                </c:pt>
              </c:numCache>
            </c:numRef>
          </c:val>
        </c:ser>
        <c:gapWidth val="70"/>
        <c:overlap val="-10"/>
        <c:axId val="95344128"/>
        <c:axId val="95345664"/>
      </c:barChart>
      <c:catAx>
        <c:axId val="95344128"/>
        <c:scaling>
          <c:orientation val="minMax"/>
        </c:scaling>
        <c:axPos val="b"/>
        <c:numFmt formatCode="General" sourceLinked="1"/>
        <c:tickLblPos val="nextTo"/>
        <c:txPr>
          <a:bodyPr/>
          <a:lstStyle/>
          <a:p>
            <a:pPr>
              <a:defRPr sz="800"/>
            </a:pPr>
            <a:endParaRPr lang="cs-CZ"/>
          </a:p>
        </c:txPr>
        <c:crossAx val="95345664"/>
        <c:crosses val="autoZero"/>
        <c:auto val="1"/>
        <c:lblAlgn val="ctr"/>
        <c:lblOffset val="100"/>
      </c:catAx>
      <c:valAx>
        <c:axId val="95345664"/>
        <c:scaling>
          <c:orientation val="minMax"/>
        </c:scaling>
        <c:delete val="1"/>
        <c:axPos val="l"/>
        <c:numFmt formatCode="#,##0" sourceLinked="1"/>
        <c:tickLblPos val="none"/>
        <c:crossAx val="95344128"/>
        <c:crosses val="autoZero"/>
        <c:crossBetween val="between"/>
      </c:valAx>
    </c:plotArea>
    <c:legend>
      <c:legendPos val="b"/>
      <c:layout>
        <c:manualLayout>
          <c:xMode val="edge"/>
          <c:yMode val="edge"/>
          <c:x val="4.9999913186154925E-2"/>
          <c:y val="0.93087204045280469"/>
          <c:w val="0.92203916913740558"/>
          <c:h val="6.4791535534156133E-2"/>
        </c:manualLayout>
      </c:layout>
      <c:txPr>
        <a:bodyPr/>
        <a:lstStyle/>
        <a:p>
          <a:pPr>
            <a:defRPr sz="800"/>
          </a:pPr>
          <a:endParaRPr lang="cs-CZ"/>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243181496743201E-2"/>
          <c:y val="3.1707445965218515E-6"/>
          <c:w val="0.9515136370065137"/>
          <c:h val="0.81803867378009065"/>
        </c:manualLayout>
      </c:layout>
      <c:barChart>
        <c:barDir val="col"/>
        <c:grouping val="clustered"/>
        <c:ser>
          <c:idx val="0"/>
          <c:order val="0"/>
          <c:tx>
            <c:strRef>
              <c:f>[analýza.xls]knihovny!$A$17</c:f>
              <c:strCache>
                <c:ptCount val="1"/>
                <c:pt idx="0">
                  <c:v>Počet knihoven </c:v>
                </c:pt>
              </c:strCache>
            </c:strRef>
          </c:tx>
          <c:dLbls>
            <c:txPr>
              <a:bodyPr rot="-5400000" vert="horz"/>
              <a:lstStyle/>
              <a:p>
                <a:pPr>
                  <a:defRPr sz="800">
                    <a:solidFill>
                      <a:schemeClr val="bg1"/>
                    </a:solidFill>
                  </a:defRPr>
                </a:pPr>
                <a:endParaRPr lang="cs-CZ"/>
              </a:p>
            </c:txPr>
            <c:dLblPos val="inEnd"/>
            <c:showVal val="1"/>
          </c:dLbls>
          <c:cat>
            <c:numRef>
              <c:f>[analýza.xls]knihovny!$B$16:$O$16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[analýza.xls]knihovny!$B$17:$O$17</c:f>
              <c:numCache>
                <c:formatCode>#,##0.00</c:formatCode>
                <c:ptCount val="14"/>
                <c:pt idx="0">
                  <c:v>6.0190000000000001</c:v>
                </c:pt>
                <c:pt idx="1">
                  <c:v>6.0910000000000002</c:v>
                </c:pt>
                <c:pt idx="2">
                  <c:v>6.0569999999999995</c:v>
                </c:pt>
                <c:pt idx="3">
                  <c:v>6.0460000000000003</c:v>
                </c:pt>
                <c:pt idx="4">
                  <c:v>5.8849999999999945</c:v>
                </c:pt>
                <c:pt idx="5">
                  <c:v>5.92</c:v>
                </c:pt>
                <c:pt idx="6">
                  <c:v>5.6619999999999955</c:v>
                </c:pt>
                <c:pt idx="7">
                  <c:v>5.5330000000000004</c:v>
                </c:pt>
                <c:pt idx="8">
                  <c:v>5.4379999999999997</c:v>
                </c:pt>
                <c:pt idx="9">
                  <c:v>5.4320000000000004</c:v>
                </c:pt>
                <c:pt idx="10">
                  <c:v>5.415</c:v>
                </c:pt>
                <c:pt idx="11">
                  <c:v>5.4080000000000004</c:v>
                </c:pt>
                <c:pt idx="12">
                  <c:v>5.4009999999999998</c:v>
                </c:pt>
                <c:pt idx="13">
                  <c:v>5.3810000000000002</c:v>
                </c:pt>
              </c:numCache>
            </c:numRef>
          </c:val>
        </c:ser>
        <c:ser>
          <c:idx val="1"/>
          <c:order val="1"/>
          <c:tx>
            <c:strRef>
              <c:f>[analýza.xls]knihovny!$A$18</c:f>
              <c:strCache>
                <c:ptCount val="1"/>
                <c:pt idx="0">
                  <c:v>Počet registrovaných čtenářů</c:v>
                </c:pt>
              </c:strCache>
            </c:strRef>
          </c:tx>
          <c:dLbls>
            <c:txPr>
              <a:bodyPr rot="-5400000" vert="horz"/>
              <a:lstStyle/>
              <a:p>
                <a:pPr>
                  <a:defRPr sz="800">
                    <a:solidFill>
                      <a:schemeClr val="bg1"/>
                    </a:solidFill>
                  </a:defRPr>
                </a:pPr>
                <a:endParaRPr lang="cs-CZ"/>
              </a:p>
            </c:txPr>
            <c:dLblPos val="inEnd"/>
            <c:showVal val="1"/>
          </c:dLbls>
          <c:cat>
            <c:numRef>
              <c:f>[analýza.xls]knihovny!$B$16:$O$16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[analýza.xls]knihovny!$B$18:$O$18</c:f>
              <c:numCache>
                <c:formatCode>#,##0.00</c:formatCode>
                <c:ptCount val="14"/>
                <c:pt idx="0">
                  <c:v>1.5230050000000002</c:v>
                </c:pt>
                <c:pt idx="1">
                  <c:v>1.5127170000000001</c:v>
                </c:pt>
                <c:pt idx="2">
                  <c:v>1.5331349999999864</c:v>
                </c:pt>
                <c:pt idx="3">
                  <c:v>1.5243279999999999</c:v>
                </c:pt>
                <c:pt idx="4">
                  <c:v>1.5379719999999864</c:v>
                </c:pt>
                <c:pt idx="5">
                  <c:v>1.5379719999999864</c:v>
                </c:pt>
                <c:pt idx="6">
                  <c:v>1.4756229999999864</c:v>
                </c:pt>
                <c:pt idx="7">
                  <c:v>1.4584679999999999</c:v>
                </c:pt>
                <c:pt idx="8">
                  <c:v>1.4477979999999864</c:v>
                </c:pt>
                <c:pt idx="9">
                  <c:v>1.3979999999999864</c:v>
                </c:pt>
                <c:pt idx="10">
                  <c:v>1.4309999999999827</c:v>
                </c:pt>
                <c:pt idx="11">
                  <c:v>1.462</c:v>
                </c:pt>
                <c:pt idx="12">
                  <c:v>1.45</c:v>
                </c:pt>
                <c:pt idx="13">
                  <c:v>1.4301700000000002</c:v>
                </c:pt>
              </c:numCache>
            </c:numRef>
          </c:val>
        </c:ser>
        <c:gapWidth val="70"/>
        <c:overlap val="-10"/>
        <c:axId val="95485952"/>
        <c:axId val="95487488"/>
      </c:barChart>
      <c:catAx>
        <c:axId val="95485952"/>
        <c:scaling>
          <c:orientation val="minMax"/>
        </c:scaling>
        <c:axPos val="b"/>
        <c:numFmt formatCode="General" sourceLinked="1"/>
        <c:tickLblPos val="nextTo"/>
        <c:txPr>
          <a:bodyPr/>
          <a:lstStyle/>
          <a:p>
            <a:pPr>
              <a:defRPr sz="800"/>
            </a:pPr>
            <a:endParaRPr lang="cs-CZ"/>
          </a:p>
        </c:txPr>
        <c:crossAx val="95487488"/>
        <c:crosses val="autoZero"/>
        <c:auto val="1"/>
        <c:lblAlgn val="ctr"/>
        <c:lblOffset val="100"/>
      </c:catAx>
      <c:valAx>
        <c:axId val="95487488"/>
        <c:scaling>
          <c:orientation val="minMax"/>
        </c:scaling>
        <c:delete val="1"/>
        <c:axPos val="l"/>
        <c:numFmt formatCode="#,##0.00" sourceLinked="1"/>
        <c:tickLblPos val="none"/>
        <c:crossAx val="95485952"/>
        <c:crosses val="autoZero"/>
        <c:crossBetween val="between"/>
      </c:valAx>
    </c:plotArea>
    <c:legend>
      <c:legendPos val="b"/>
      <c:layout>
        <c:manualLayout>
          <c:xMode val="edge"/>
          <c:yMode val="edge"/>
          <c:x val="0.28216701349369849"/>
          <c:y val="0.92573335471128249"/>
          <c:w val="0.43566597301260979"/>
          <c:h val="7.0092840649091964E-2"/>
        </c:manualLayout>
      </c:layout>
      <c:txPr>
        <a:bodyPr/>
        <a:lstStyle/>
        <a:p>
          <a:pPr>
            <a:defRPr sz="800"/>
          </a:pPr>
          <a:endParaRPr lang="cs-CZ"/>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4282560706401772E-2"/>
          <c:y val="0"/>
          <c:w val="0.95143487858720011"/>
          <c:h val="0.79690262410827861"/>
        </c:manualLayout>
      </c:layout>
      <c:barChart>
        <c:barDir val="col"/>
        <c:grouping val="clustered"/>
        <c:ser>
          <c:idx val="0"/>
          <c:order val="0"/>
          <c:tx>
            <c:strRef>
              <c:f>[analýza.xls]knihovny!$A$41</c:f>
              <c:strCache>
                <c:ptCount val="1"/>
                <c:pt idx="0">
                  <c:v>Počet knihovních výpůjček</c:v>
                </c:pt>
              </c:strCache>
            </c:strRef>
          </c:tx>
          <c:dLbls>
            <c:numFmt formatCode="#,##0.0" sourceLinked="0"/>
            <c:txPr>
              <a:bodyPr rot="-5400000" vert="horz"/>
              <a:lstStyle/>
              <a:p>
                <a:pPr>
                  <a:defRPr sz="800">
                    <a:solidFill>
                      <a:schemeClr val="bg1"/>
                    </a:solidFill>
                  </a:defRPr>
                </a:pPr>
                <a:endParaRPr lang="cs-CZ"/>
              </a:p>
            </c:txPr>
            <c:dLblPos val="inEnd"/>
            <c:showVal val="1"/>
          </c:dLbls>
          <c:cat>
            <c:numRef>
              <c:f>[analýza.xls]knihovny!$B$40:$O$40</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[analýza.xls]knihovny!$B$41:$O$41</c:f>
              <c:numCache>
                <c:formatCode>#,##0.00</c:formatCode>
                <c:ptCount val="14"/>
                <c:pt idx="0">
                  <c:v>70.400600000000026</c:v>
                </c:pt>
                <c:pt idx="1">
                  <c:v>69.864356000000001</c:v>
                </c:pt>
                <c:pt idx="2">
                  <c:v>70.825447999998985</c:v>
                </c:pt>
                <c:pt idx="3">
                  <c:v>71.663329000000004</c:v>
                </c:pt>
                <c:pt idx="4">
                  <c:v>72.875246999999959</c:v>
                </c:pt>
                <c:pt idx="5">
                  <c:v>71.974107000000004</c:v>
                </c:pt>
                <c:pt idx="6">
                  <c:v>68.696902000000009</c:v>
                </c:pt>
                <c:pt idx="7">
                  <c:v>67.394937999999982</c:v>
                </c:pt>
                <c:pt idx="8">
                  <c:v>66.744167000000942</c:v>
                </c:pt>
                <c:pt idx="9">
                  <c:v>66.861999999999995</c:v>
                </c:pt>
                <c:pt idx="10">
                  <c:v>66.772999999999982</c:v>
                </c:pt>
                <c:pt idx="11">
                  <c:v>67.22</c:v>
                </c:pt>
                <c:pt idx="12">
                  <c:v>66.257999999999996</c:v>
                </c:pt>
                <c:pt idx="13">
                  <c:v>64.208340999999919</c:v>
                </c:pt>
              </c:numCache>
            </c:numRef>
          </c:val>
        </c:ser>
        <c:ser>
          <c:idx val="1"/>
          <c:order val="1"/>
          <c:tx>
            <c:strRef>
              <c:f>[analýza.xls]knihovny!$A$42</c:f>
              <c:strCache>
                <c:ptCount val="1"/>
                <c:pt idx="0">
                  <c:v>   Počet návštěvníků knihoven</c:v>
                </c:pt>
              </c:strCache>
            </c:strRef>
          </c:tx>
          <c:dLbls>
            <c:numFmt formatCode="#,##0.0" sourceLinked="0"/>
            <c:txPr>
              <a:bodyPr rot="-5400000" vert="horz"/>
              <a:lstStyle/>
              <a:p>
                <a:pPr>
                  <a:defRPr sz="800">
                    <a:solidFill>
                      <a:schemeClr val="bg1"/>
                    </a:solidFill>
                  </a:defRPr>
                </a:pPr>
                <a:endParaRPr lang="cs-CZ"/>
              </a:p>
            </c:txPr>
            <c:dLblPos val="inEnd"/>
            <c:showVal val="1"/>
          </c:dLbls>
          <c:cat>
            <c:numRef>
              <c:f>[analýza.xls]knihovny!$B$40:$O$40</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[analýza.xls]knihovny!$B$42:$O$42</c:f>
              <c:numCache>
                <c:formatCode>#,##0.00</c:formatCode>
                <c:ptCount val="14"/>
                <c:pt idx="0">
                  <c:v>18.188458999999987</c:v>
                </c:pt>
                <c:pt idx="1">
                  <c:v>18.364073000000001</c:v>
                </c:pt>
                <c:pt idx="2">
                  <c:v>19.657619</c:v>
                </c:pt>
                <c:pt idx="3">
                  <c:v>20.102579000000002</c:v>
                </c:pt>
                <c:pt idx="4">
                  <c:v>20.614779000000031</c:v>
                </c:pt>
                <c:pt idx="5">
                  <c:v>20.502262999999989</c:v>
                </c:pt>
                <c:pt idx="6">
                  <c:v>19.90239699999972</c:v>
                </c:pt>
                <c:pt idx="7">
                  <c:v>20.923609999999698</c:v>
                </c:pt>
                <c:pt idx="8">
                  <c:v>20.913224</c:v>
                </c:pt>
                <c:pt idx="9">
                  <c:v>22.071999999999999</c:v>
                </c:pt>
                <c:pt idx="10">
                  <c:v>22.157000000000131</c:v>
                </c:pt>
                <c:pt idx="11">
                  <c:v>24.024999999999999</c:v>
                </c:pt>
                <c:pt idx="12">
                  <c:v>24.298399999999738</c:v>
                </c:pt>
                <c:pt idx="13">
                  <c:v>24.141999999999999</c:v>
                </c:pt>
              </c:numCache>
            </c:numRef>
          </c:val>
        </c:ser>
        <c:gapWidth val="70"/>
        <c:overlap val="-10"/>
        <c:axId val="95541504"/>
        <c:axId val="95690752"/>
      </c:barChart>
      <c:catAx>
        <c:axId val="95541504"/>
        <c:scaling>
          <c:orientation val="minMax"/>
        </c:scaling>
        <c:axPos val="b"/>
        <c:numFmt formatCode="General" sourceLinked="1"/>
        <c:tickLblPos val="nextTo"/>
        <c:txPr>
          <a:bodyPr/>
          <a:lstStyle/>
          <a:p>
            <a:pPr>
              <a:defRPr sz="800"/>
            </a:pPr>
            <a:endParaRPr lang="cs-CZ"/>
          </a:p>
        </c:txPr>
        <c:crossAx val="95690752"/>
        <c:crosses val="autoZero"/>
        <c:auto val="1"/>
        <c:lblAlgn val="ctr"/>
        <c:lblOffset val="100"/>
      </c:catAx>
      <c:valAx>
        <c:axId val="95690752"/>
        <c:scaling>
          <c:orientation val="minMax"/>
        </c:scaling>
        <c:delete val="1"/>
        <c:axPos val="l"/>
        <c:numFmt formatCode="#,##0.00" sourceLinked="1"/>
        <c:tickLblPos val="none"/>
        <c:crossAx val="95541504"/>
        <c:crosses val="autoZero"/>
        <c:crossBetween val="between"/>
      </c:valAx>
    </c:plotArea>
    <c:legend>
      <c:legendPos val="b"/>
      <c:layout>
        <c:manualLayout>
          <c:xMode val="edge"/>
          <c:yMode val="edge"/>
          <c:x val="0.23566718842648413"/>
          <c:y val="0.92047225306571823"/>
          <c:w val="0.52866562314703669"/>
          <c:h val="7.4765698448211362E-2"/>
        </c:manualLayout>
      </c:layout>
      <c:txPr>
        <a:bodyPr/>
        <a:lstStyle/>
        <a:p>
          <a:pPr>
            <a:defRPr sz="800"/>
          </a:pPr>
          <a:endParaRPr lang="cs-CZ"/>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1.4968336211859529E-2"/>
          <c:y val="1.9371772076877691E-3"/>
          <c:w val="0.97466896948762238"/>
          <c:h val="0.78742050321630486"/>
        </c:manualLayout>
      </c:layout>
      <c:barChart>
        <c:barDir val="col"/>
        <c:grouping val="clustered"/>
        <c:ser>
          <c:idx val="0"/>
          <c:order val="0"/>
          <c:tx>
            <c:strRef>
              <c:f>knihovny!$A$67</c:f>
              <c:strCache>
                <c:ptCount val="1"/>
                <c:pt idx="0">
                  <c:v>   Počet PC pro návštěvníky</c:v>
                </c:pt>
              </c:strCache>
            </c:strRef>
          </c:tx>
          <c:dLbls>
            <c:numFmt formatCode="#,##0.0" sourceLinked="0"/>
            <c:txPr>
              <a:bodyPr rot="-5400000" vert="horz"/>
              <a:lstStyle/>
              <a:p>
                <a:pPr>
                  <a:defRPr sz="800">
                    <a:solidFill>
                      <a:schemeClr val="bg1"/>
                    </a:solidFill>
                  </a:defRPr>
                </a:pPr>
                <a:endParaRPr lang="cs-CZ"/>
              </a:p>
            </c:txPr>
            <c:dLblPos val="inEnd"/>
            <c:showVal val="1"/>
          </c:dLbls>
          <c:cat>
            <c:numRef>
              <c:f>knihovny!$B$66:$O$66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knihovny!$B$67:$O$67</c:f>
              <c:numCache>
                <c:formatCode>#,##0.00</c:formatCode>
                <c:ptCount val="14"/>
                <c:pt idx="0">
                  <c:v>1.9770000000000001</c:v>
                </c:pt>
                <c:pt idx="1">
                  <c:v>3.218</c:v>
                </c:pt>
                <c:pt idx="2">
                  <c:v>4.2370000000000001</c:v>
                </c:pt>
                <c:pt idx="3">
                  <c:v>5.1109999999999856</c:v>
                </c:pt>
                <c:pt idx="4">
                  <c:v>5.8879999999999955</c:v>
                </c:pt>
                <c:pt idx="5">
                  <c:v>7.1829999999999945</c:v>
                </c:pt>
                <c:pt idx="6">
                  <c:v>9.0860000000000003</c:v>
                </c:pt>
                <c:pt idx="7">
                  <c:v>10.319000000000004</c:v>
                </c:pt>
                <c:pt idx="8">
                  <c:v>11.052000000000024</c:v>
                </c:pt>
                <c:pt idx="9">
                  <c:v>11.468</c:v>
                </c:pt>
                <c:pt idx="10">
                  <c:v>11.513</c:v>
                </c:pt>
                <c:pt idx="11">
                  <c:v>11.734999999999999</c:v>
                </c:pt>
                <c:pt idx="12">
                  <c:v>11.749000000000001</c:v>
                </c:pt>
                <c:pt idx="13">
                  <c:v>11.806000000000004</c:v>
                </c:pt>
              </c:numCache>
            </c:numRef>
          </c:val>
        </c:ser>
        <c:ser>
          <c:idx val="1"/>
          <c:order val="1"/>
          <c:tx>
            <c:strRef>
              <c:f>knihovny!$A$68</c:f>
              <c:strCache>
                <c:ptCount val="1"/>
                <c:pt idx="0">
                  <c:v>   Počet PC pro návštěvníky připojených k internetu</c:v>
                </c:pt>
              </c:strCache>
            </c:strRef>
          </c:tx>
          <c:dLbls>
            <c:dLbl>
              <c:idx val="0"/>
              <c:layout>
                <c:manualLayout>
                  <c:x val="0"/>
                  <c:y val="7.5053086106172284E-2"/>
                </c:manualLayout>
              </c:layout>
              <c:dLblPos val="outEnd"/>
              <c:showVal val="1"/>
            </c:dLbl>
            <c:numFmt formatCode="#,##0.0" sourceLinked="0"/>
            <c:txPr>
              <a:bodyPr rot="-5400000" vert="horz"/>
              <a:lstStyle/>
              <a:p>
                <a:pPr>
                  <a:defRPr sz="800">
                    <a:solidFill>
                      <a:schemeClr val="bg1"/>
                    </a:solidFill>
                  </a:defRPr>
                </a:pPr>
                <a:endParaRPr lang="cs-CZ"/>
              </a:p>
            </c:txPr>
            <c:dLblPos val="inEnd"/>
            <c:showVal val="1"/>
          </c:dLbls>
          <c:cat>
            <c:numRef>
              <c:f>knihovny!$B$66:$O$66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knihovny!$B$68:$O$68</c:f>
              <c:numCache>
                <c:formatCode>#,##0.00</c:formatCode>
                <c:ptCount val="14"/>
                <c:pt idx="0">
                  <c:v>1.111</c:v>
                </c:pt>
                <c:pt idx="1">
                  <c:v>2.1459999999999999</c:v>
                </c:pt>
                <c:pt idx="2">
                  <c:v>3.081</c:v>
                </c:pt>
                <c:pt idx="3">
                  <c:v>3.798</c:v>
                </c:pt>
                <c:pt idx="4">
                  <c:v>4.5439999999999996</c:v>
                </c:pt>
                <c:pt idx="5">
                  <c:v>5.8939999999999975</c:v>
                </c:pt>
                <c:pt idx="6">
                  <c:v>7.9050000000000002</c:v>
                </c:pt>
                <c:pt idx="7">
                  <c:v>9.16</c:v>
                </c:pt>
                <c:pt idx="8">
                  <c:v>9.9260000000000002</c:v>
                </c:pt>
                <c:pt idx="9">
                  <c:v>10.164</c:v>
                </c:pt>
                <c:pt idx="10">
                  <c:v>10.395000000000024</c:v>
                </c:pt>
                <c:pt idx="11">
                  <c:v>10.669</c:v>
                </c:pt>
                <c:pt idx="12">
                  <c:v>10.801</c:v>
                </c:pt>
                <c:pt idx="13">
                  <c:v>10.776</c:v>
                </c:pt>
              </c:numCache>
            </c:numRef>
          </c:val>
        </c:ser>
        <c:ser>
          <c:idx val="2"/>
          <c:order val="2"/>
          <c:tx>
            <c:strRef>
              <c:f>knihovny!$A$69</c:f>
              <c:strCache>
                <c:ptCount val="1"/>
                <c:pt idx="0">
                  <c:v>   Počet návštěvníků využívajících Internet                   </c:v>
                </c:pt>
              </c:strCache>
            </c:strRef>
          </c:tx>
          <c:dLbls>
            <c:numFmt formatCode="#,##0.0" sourceLinked="0"/>
            <c:txPr>
              <a:bodyPr rot="-5400000" vert="horz" anchor="ctr" anchorCtr="1"/>
              <a:lstStyle/>
              <a:p>
                <a:pPr>
                  <a:defRPr sz="800">
                    <a:solidFill>
                      <a:schemeClr val="bg1"/>
                    </a:solidFill>
                  </a:defRPr>
                </a:pPr>
                <a:endParaRPr lang="cs-CZ"/>
              </a:p>
            </c:txPr>
            <c:dLblPos val="inEnd"/>
            <c:showVal val="1"/>
          </c:dLbls>
          <c:cat>
            <c:numRef>
              <c:f>knihovny!$B$66:$O$66</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knihovny!$B$69:$O$69</c:f>
              <c:numCache>
                <c:formatCode>General</c:formatCode>
                <c:ptCount val="14"/>
                <c:pt idx="4" formatCode="#,##0.00">
                  <c:v>1.752</c:v>
                </c:pt>
                <c:pt idx="5" formatCode="#,##0.00">
                  <c:v>1.752</c:v>
                </c:pt>
                <c:pt idx="6" formatCode="#,##0.00">
                  <c:v>2.27</c:v>
                </c:pt>
                <c:pt idx="7" formatCode="#,##0.00">
                  <c:v>2.7309999999999999</c:v>
                </c:pt>
                <c:pt idx="8" formatCode="#,##0.00">
                  <c:v>2.8459999999999988</c:v>
                </c:pt>
                <c:pt idx="9" formatCode="#,##0.00">
                  <c:v>2.8369999999999767</c:v>
                </c:pt>
                <c:pt idx="10" formatCode="#,##0.00">
                  <c:v>2.9309999999999987</c:v>
                </c:pt>
                <c:pt idx="11" formatCode="#,##0.00">
                  <c:v>2.8899999999999997</c:v>
                </c:pt>
                <c:pt idx="12" formatCode="#,##0.00">
                  <c:v>2.9430000000000001</c:v>
                </c:pt>
                <c:pt idx="13" formatCode="#,##0.00">
                  <c:v>2.870736</c:v>
                </c:pt>
              </c:numCache>
            </c:numRef>
          </c:val>
        </c:ser>
        <c:gapWidth val="70"/>
        <c:overlap val="-10"/>
        <c:axId val="95729536"/>
        <c:axId val="95731072"/>
      </c:barChart>
      <c:catAx>
        <c:axId val="95729536"/>
        <c:scaling>
          <c:orientation val="minMax"/>
        </c:scaling>
        <c:axPos val="b"/>
        <c:numFmt formatCode="General" sourceLinked="1"/>
        <c:tickLblPos val="nextTo"/>
        <c:txPr>
          <a:bodyPr/>
          <a:lstStyle/>
          <a:p>
            <a:pPr>
              <a:defRPr sz="800"/>
            </a:pPr>
            <a:endParaRPr lang="cs-CZ"/>
          </a:p>
        </c:txPr>
        <c:crossAx val="95731072"/>
        <c:crosses val="autoZero"/>
        <c:auto val="1"/>
        <c:lblAlgn val="ctr"/>
        <c:lblOffset val="100"/>
      </c:catAx>
      <c:valAx>
        <c:axId val="95731072"/>
        <c:scaling>
          <c:orientation val="minMax"/>
        </c:scaling>
        <c:delete val="1"/>
        <c:axPos val="l"/>
        <c:numFmt formatCode="#,##0.00" sourceLinked="1"/>
        <c:tickLblPos val="none"/>
        <c:crossAx val="95729536"/>
        <c:crosses val="autoZero"/>
        <c:crossBetween val="between"/>
      </c:valAx>
    </c:plotArea>
    <c:legend>
      <c:legendPos val="b"/>
      <c:layout>
        <c:manualLayout>
          <c:xMode val="edge"/>
          <c:yMode val="edge"/>
          <c:x val="3.1641616662943746E-2"/>
          <c:y val="0.88300631497814719"/>
          <c:w val="0.94770678705385403"/>
          <c:h val="0.11600592464296949"/>
        </c:manualLayout>
      </c:layout>
      <c:txPr>
        <a:bodyPr/>
        <a:lstStyle/>
        <a:p>
          <a:pPr>
            <a:defRPr sz="800"/>
          </a:pPr>
          <a:endParaRPr lang="cs-CZ"/>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1.056914080382824E-3"/>
          <c:y val="0"/>
          <c:w val="0.99894308591961656"/>
          <c:h val="0.80859396834742558"/>
        </c:manualLayout>
      </c:layout>
      <c:barChart>
        <c:barDir val="col"/>
        <c:grouping val="stacked"/>
        <c:ser>
          <c:idx val="1"/>
          <c:order val="0"/>
          <c:tx>
            <c:strRef>
              <c:f>Divadla!$A$4</c:f>
              <c:strCache>
                <c:ptCount val="1"/>
                <c:pt idx="0">
                  <c:v>Divadla zřizovaná ostatními subjekty</c:v>
                </c:pt>
              </c:strCache>
            </c:strRef>
          </c:tx>
          <c:dLbls>
            <c:dLbl>
              <c:idx val="0"/>
              <c:layout>
                <c:manualLayout>
                  <c:x val="0"/>
                  <c:y val="0"/>
                </c:manualLayout>
              </c:layout>
              <c:showVal val="1"/>
            </c:dLbl>
            <c:dLbl>
              <c:idx val="1"/>
              <c:layout>
                <c:manualLayout>
                  <c:x val="1.0641738741253815E-3"/>
                  <c:y val="-1.1979637304819785E-2"/>
                </c:manualLayout>
              </c:layout>
              <c:showVal val="1"/>
            </c:dLbl>
            <c:dLbl>
              <c:idx val="2"/>
              <c:layout>
                <c:manualLayout>
                  <c:x val="0"/>
                  <c:y val="5.9895828420617938E-3"/>
                </c:manualLayout>
              </c:layout>
              <c:showVal val="1"/>
            </c:dLbl>
            <c:dLbl>
              <c:idx val="3"/>
              <c:layout>
                <c:manualLayout>
                  <c:x val="-1.2258302707685339E-3"/>
                  <c:y val="-1.1979165684123603E-2"/>
                </c:manualLayout>
              </c:layout>
              <c:showVal val="1"/>
            </c:dLbl>
            <c:dLbl>
              <c:idx val="4"/>
              <c:layout>
                <c:manualLayout>
                  <c:x val="0"/>
                  <c:y val="-5.9895828420619013E-3"/>
                </c:manualLayout>
              </c:layout>
              <c:showVal val="1"/>
            </c:dLbl>
            <c:txPr>
              <a:bodyPr/>
              <a:lstStyle/>
              <a:p>
                <a:pPr>
                  <a:defRPr sz="800">
                    <a:solidFill>
                      <a:schemeClr val="bg1"/>
                    </a:solidFill>
                  </a:defRPr>
                </a:pPr>
                <a:endParaRPr lang="cs-CZ"/>
              </a:p>
            </c:txPr>
            <c:showVal val="1"/>
          </c:dLbls>
          <c:cat>
            <c:numRef>
              <c:f>Divadla!$B$2:$O$2</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Divadla!$B$4:$O$4</c:f>
              <c:numCache>
                <c:formatCode>#,##0</c:formatCode>
                <c:ptCount val="14"/>
                <c:pt idx="0">
                  <c:v>66</c:v>
                </c:pt>
                <c:pt idx="1">
                  <c:v>75</c:v>
                </c:pt>
                <c:pt idx="2">
                  <c:v>59</c:v>
                </c:pt>
                <c:pt idx="3">
                  <c:v>51</c:v>
                </c:pt>
                <c:pt idx="4">
                  <c:v>70</c:v>
                </c:pt>
                <c:pt idx="5">
                  <c:v>72</c:v>
                </c:pt>
                <c:pt idx="6">
                  <c:v>78</c:v>
                </c:pt>
                <c:pt idx="7">
                  <c:v>85</c:v>
                </c:pt>
                <c:pt idx="8">
                  <c:v>89</c:v>
                </c:pt>
                <c:pt idx="9">
                  <c:v>94</c:v>
                </c:pt>
                <c:pt idx="10">
                  <c:v>109</c:v>
                </c:pt>
                <c:pt idx="11">
                  <c:v>112</c:v>
                </c:pt>
                <c:pt idx="12">
                  <c:v>114</c:v>
                </c:pt>
                <c:pt idx="13">
                  <c:v>115</c:v>
                </c:pt>
              </c:numCache>
            </c:numRef>
          </c:val>
        </c:ser>
        <c:ser>
          <c:idx val="0"/>
          <c:order val="1"/>
          <c:tx>
            <c:strRef>
              <c:f>Divadla!$A$3</c:f>
              <c:strCache>
                <c:ptCount val="1"/>
                <c:pt idx="0">
                  <c:v>Divadla zřizovaná státem</c:v>
                </c:pt>
              </c:strCache>
            </c:strRef>
          </c:tx>
          <c:dLbls>
            <c:dLbl>
              <c:idx val="0"/>
              <c:layout>
                <c:manualLayout>
                  <c:x val="2.3439140134221652E-3"/>
                  <c:y val="2.6391422540073851E-2"/>
                </c:manualLayout>
              </c:layout>
              <c:showVal val="1"/>
            </c:dLbl>
            <c:dLbl>
              <c:idx val="1"/>
              <c:layout>
                <c:manualLayout>
                  <c:x val="0"/>
                  <c:y val="2.5027495486590202E-2"/>
                </c:manualLayout>
              </c:layout>
              <c:showVal val="1"/>
            </c:dLbl>
            <c:dLbl>
              <c:idx val="2"/>
              <c:layout>
                <c:manualLayout>
                  <c:x val="-9.2280079247103028E-8"/>
                  <c:y val="2.5027495486590091E-2"/>
                </c:manualLayout>
              </c:layout>
              <c:showVal val="1"/>
            </c:dLbl>
            <c:dLbl>
              <c:idx val="3"/>
              <c:layout>
                <c:manualLayout>
                  <c:x val="0"/>
                  <c:y val="1.7968748526185366E-2"/>
                </c:manualLayout>
              </c:layout>
              <c:showVal val="1"/>
            </c:dLbl>
            <c:dLbl>
              <c:idx val="4"/>
              <c:layout>
                <c:manualLayout>
                  <c:x val="0"/>
                  <c:y val="2.9947914210308887E-2"/>
                </c:manualLayout>
              </c:layout>
              <c:showVal val="1"/>
            </c:dLbl>
            <c:txPr>
              <a:bodyPr/>
              <a:lstStyle/>
              <a:p>
                <a:pPr>
                  <a:defRPr sz="800">
                    <a:solidFill>
                      <a:schemeClr val="bg1"/>
                    </a:solidFill>
                  </a:defRPr>
                </a:pPr>
                <a:endParaRPr lang="cs-CZ"/>
              </a:p>
            </c:txPr>
            <c:showVal val="1"/>
          </c:dLbls>
          <c:cat>
            <c:numRef>
              <c:f>Divadla!$B$2:$O$2</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Divadla!$B$3:$O$3</c:f>
              <c:numCache>
                <c:formatCode>#,##0</c:formatCode>
                <c:ptCount val="14"/>
                <c:pt idx="0">
                  <c:v>52</c:v>
                </c:pt>
                <c:pt idx="1">
                  <c:v>52</c:v>
                </c:pt>
                <c:pt idx="2">
                  <c:v>51</c:v>
                </c:pt>
                <c:pt idx="3">
                  <c:v>50</c:v>
                </c:pt>
                <c:pt idx="4">
                  <c:v>49</c:v>
                </c:pt>
                <c:pt idx="5">
                  <c:v>49</c:v>
                </c:pt>
                <c:pt idx="6">
                  <c:v>48</c:v>
                </c:pt>
                <c:pt idx="7">
                  <c:v>45</c:v>
                </c:pt>
                <c:pt idx="8">
                  <c:v>44</c:v>
                </c:pt>
                <c:pt idx="9">
                  <c:v>43</c:v>
                </c:pt>
                <c:pt idx="10">
                  <c:v>42</c:v>
                </c:pt>
                <c:pt idx="11">
                  <c:v>41</c:v>
                </c:pt>
                <c:pt idx="12">
                  <c:v>39</c:v>
                </c:pt>
                <c:pt idx="13">
                  <c:v>37</c:v>
                </c:pt>
              </c:numCache>
            </c:numRef>
          </c:val>
        </c:ser>
        <c:overlap val="100"/>
        <c:axId val="101785984"/>
        <c:axId val="101787520"/>
      </c:barChart>
      <c:catAx>
        <c:axId val="101785984"/>
        <c:scaling>
          <c:orientation val="minMax"/>
        </c:scaling>
        <c:axPos val="b"/>
        <c:numFmt formatCode="#,##0" sourceLinked="1"/>
        <c:tickLblPos val="nextTo"/>
        <c:txPr>
          <a:bodyPr/>
          <a:lstStyle/>
          <a:p>
            <a:pPr>
              <a:defRPr sz="800"/>
            </a:pPr>
            <a:endParaRPr lang="cs-CZ"/>
          </a:p>
        </c:txPr>
        <c:crossAx val="101787520"/>
        <c:crosses val="autoZero"/>
        <c:auto val="1"/>
        <c:lblAlgn val="ctr"/>
        <c:lblOffset val="100"/>
      </c:catAx>
      <c:valAx>
        <c:axId val="101787520"/>
        <c:scaling>
          <c:orientation val="minMax"/>
        </c:scaling>
        <c:delete val="1"/>
        <c:axPos val="l"/>
        <c:numFmt formatCode="#,##0" sourceLinked="1"/>
        <c:tickLblPos val="none"/>
        <c:crossAx val="101785984"/>
        <c:crosses val="autoZero"/>
        <c:crossBetween val="between"/>
      </c:valAx>
    </c:plotArea>
    <c:legend>
      <c:legendPos val="r"/>
      <c:layout>
        <c:manualLayout>
          <c:xMode val="edge"/>
          <c:yMode val="edge"/>
          <c:x val="7.8110650991832994E-2"/>
          <c:y val="0.92567741637161916"/>
          <c:w val="0.85659240909493051"/>
          <c:h val="7.2618162729658806E-2"/>
        </c:manualLayout>
      </c:layout>
      <c:txPr>
        <a:bodyPr/>
        <a:lstStyle/>
        <a:p>
          <a:pPr>
            <a:defRPr sz="800"/>
          </a:pPr>
          <a:endParaRPr lang="cs-CZ"/>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0874647196401676E-3"/>
          <c:y val="2.2983173614926685E-3"/>
          <c:w val="0.99791251652381074"/>
          <c:h val="0.90162262929850923"/>
        </c:manualLayout>
      </c:layout>
      <c:barChart>
        <c:barDir val="col"/>
        <c:grouping val="stacked"/>
        <c:ser>
          <c:idx val="1"/>
          <c:order val="0"/>
          <c:tx>
            <c:strRef>
              <c:f>Divadla!$A$23</c:f>
              <c:strCache>
                <c:ptCount val="1"/>
                <c:pt idx="0">
                  <c:v>Scény či sály zřizované ostatními subjekty</c:v>
                </c:pt>
              </c:strCache>
            </c:strRef>
          </c:tx>
          <c:dLbls>
            <c:txPr>
              <a:bodyPr/>
              <a:lstStyle/>
              <a:p>
                <a:pPr>
                  <a:defRPr sz="800">
                    <a:solidFill>
                      <a:schemeClr val="bg1"/>
                    </a:solidFill>
                  </a:defRPr>
                </a:pPr>
                <a:endParaRPr lang="cs-CZ"/>
              </a:p>
            </c:txPr>
            <c:showVal val="1"/>
          </c:dLbls>
          <c:cat>
            <c:numRef>
              <c:f>Divadla!$B$21:$O$21</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Divadla!$B$23:$O$23</c:f>
              <c:numCache>
                <c:formatCode>General</c:formatCode>
                <c:ptCount val="14"/>
                <c:pt idx="0">
                  <c:v>27</c:v>
                </c:pt>
                <c:pt idx="1">
                  <c:v>39</c:v>
                </c:pt>
                <c:pt idx="2">
                  <c:v>37</c:v>
                </c:pt>
                <c:pt idx="3">
                  <c:v>31</c:v>
                </c:pt>
                <c:pt idx="4">
                  <c:v>42</c:v>
                </c:pt>
                <c:pt idx="5">
                  <c:v>51</c:v>
                </c:pt>
                <c:pt idx="6">
                  <c:v>50</c:v>
                </c:pt>
                <c:pt idx="7">
                  <c:v>56</c:v>
                </c:pt>
                <c:pt idx="8">
                  <c:v>63</c:v>
                </c:pt>
                <c:pt idx="9">
                  <c:v>66</c:v>
                </c:pt>
                <c:pt idx="10">
                  <c:v>77</c:v>
                </c:pt>
                <c:pt idx="11">
                  <c:v>85</c:v>
                </c:pt>
                <c:pt idx="12">
                  <c:v>85</c:v>
                </c:pt>
                <c:pt idx="13">
                  <c:v>97</c:v>
                </c:pt>
              </c:numCache>
            </c:numRef>
          </c:val>
        </c:ser>
        <c:ser>
          <c:idx val="0"/>
          <c:order val="1"/>
          <c:tx>
            <c:strRef>
              <c:f>Divadla!$A$22</c:f>
              <c:strCache>
                <c:ptCount val="1"/>
                <c:pt idx="0">
                  <c:v>Scény či sály zřizované státem</c:v>
                </c:pt>
              </c:strCache>
            </c:strRef>
          </c:tx>
          <c:dLbls>
            <c:txPr>
              <a:bodyPr/>
              <a:lstStyle/>
              <a:p>
                <a:pPr>
                  <a:defRPr sz="800">
                    <a:solidFill>
                      <a:schemeClr val="bg1"/>
                    </a:solidFill>
                  </a:defRPr>
                </a:pPr>
                <a:endParaRPr lang="cs-CZ"/>
              </a:p>
            </c:txPr>
            <c:showVal val="1"/>
          </c:dLbls>
          <c:cat>
            <c:numRef>
              <c:f>Divadla!$B$21:$O$21</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Divadla!$B$22:$O$22</c:f>
              <c:numCache>
                <c:formatCode>#,##0</c:formatCode>
                <c:ptCount val="14"/>
                <c:pt idx="0">
                  <c:v>84</c:v>
                </c:pt>
                <c:pt idx="1">
                  <c:v>91</c:v>
                </c:pt>
                <c:pt idx="2">
                  <c:v>92</c:v>
                </c:pt>
                <c:pt idx="3">
                  <c:v>96</c:v>
                </c:pt>
                <c:pt idx="4">
                  <c:v>92</c:v>
                </c:pt>
                <c:pt idx="5">
                  <c:v>92</c:v>
                </c:pt>
                <c:pt idx="6">
                  <c:v>95</c:v>
                </c:pt>
                <c:pt idx="7">
                  <c:v>88</c:v>
                </c:pt>
                <c:pt idx="8">
                  <c:v>85</c:v>
                </c:pt>
                <c:pt idx="9">
                  <c:v>84</c:v>
                </c:pt>
                <c:pt idx="10">
                  <c:v>83</c:v>
                </c:pt>
                <c:pt idx="11">
                  <c:v>84</c:v>
                </c:pt>
                <c:pt idx="12">
                  <c:v>81</c:v>
                </c:pt>
                <c:pt idx="13">
                  <c:v>77</c:v>
                </c:pt>
              </c:numCache>
            </c:numRef>
          </c:val>
        </c:ser>
        <c:overlap val="100"/>
        <c:axId val="101812864"/>
        <c:axId val="101880192"/>
      </c:barChart>
      <c:catAx>
        <c:axId val="101812864"/>
        <c:scaling>
          <c:orientation val="minMax"/>
        </c:scaling>
        <c:axPos val="b"/>
        <c:numFmt formatCode="#,##0" sourceLinked="1"/>
        <c:tickLblPos val="nextTo"/>
        <c:spPr>
          <a:ln>
            <a:noFill/>
          </a:ln>
        </c:spPr>
        <c:txPr>
          <a:bodyPr/>
          <a:lstStyle/>
          <a:p>
            <a:pPr>
              <a:defRPr sz="800"/>
            </a:pPr>
            <a:endParaRPr lang="cs-CZ"/>
          </a:p>
        </c:txPr>
        <c:crossAx val="101880192"/>
        <c:crosses val="autoZero"/>
        <c:auto val="1"/>
        <c:lblAlgn val="ctr"/>
        <c:lblOffset val="300"/>
      </c:catAx>
      <c:valAx>
        <c:axId val="101880192"/>
        <c:scaling>
          <c:orientation val="minMax"/>
          <c:max val="174"/>
        </c:scaling>
        <c:delete val="1"/>
        <c:axPos val="l"/>
        <c:numFmt formatCode="General" sourceLinked="1"/>
        <c:tickLblPos val="none"/>
        <c:crossAx val="101812864"/>
        <c:crosses val="autoZero"/>
        <c:crossBetween val="between"/>
      </c:valAx>
    </c:plotArea>
    <c:plotVisOnly val="1"/>
    <c:dispBlanksAs val="gap"/>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1.6590972850108901E-3"/>
          <c:y val="3.2261851004986401E-3"/>
          <c:w val="0.99834089996924658"/>
          <c:h val="0.94061172350270161"/>
        </c:manualLayout>
      </c:layout>
      <c:lineChart>
        <c:grouping val="standard"/>
        <c:ser>
          <c:idx val="0"/>
          <c:order val="0"/>
          <c:tx>
            <c:strRef>
              <c:f>Divadla!$A$46</c:f>
              <c:strCache>
                <c:ptCount val="1"/>
                <c:pt idx="0">
                  <c:v>Scény či sály zřizované státem</c:v>
                </c:pt>
              </c:strCache>
            </c:strRef>
          </c:tx>
          <c:marker>
            <c:symbol val="none"/>
          </c:marker>
          <c:dLbls>
            <c:txPr>
              <a:bodyPr/>
              <a:lstStyle/>
              <a:p>
                <a:pPr>
                  <a:defRPr sz="800"/>
                </a:pPr>
                <a:endParaRPr lang="cs-CZ"/>
              </a:p>
            </c:txPr>
            <c:dLblPos val="b"/>
            <c:showVal val="1"/>
          </c:dLbls>
          <c:cat>
            <c:numRef>
              <c:f>Divadla!$B$45:$O$45</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Divadla!$B$46:$O$46</c:f>
              <c:numCache>
                <c:formatCode>#,##0.0</c:formatCode>
                <c:ptCount val="14"/>
                <c:pt idx="0">
                  <c:v>25.210999999999999</c:v>
                </c:pt>
                <c:pt idx="1">
                  <c:v>25.576000000000001</c:v>
                </c:pt>
                <c:pt idx="2">
                  <c:v>26.904999999999987</c:v>
                </c:pt>
                <c:pt idx="3">
                  <c:v>27.545999999999989</c:v>
                </c:pt>
                <c:pt idx="4">
                  <c:v>27.385999999999989</c:v>
                </c:pt>
                <c:pt idx="5">
                  <c:v>26.533999999999999</c:v>
                </c:pt>
                <c:pt idx="6">
                  <c:v>26.699000000000005</c:v>
                </c:pt>
                <c:pt idx="7">
                  <c:v>25.501000000000001</c:v>
                </c:pt>
                <c:pt idx="8">
                  <c:v>24.810000000000031</c:v>
                </c:pt>
                <c:pt idx="9">
                  <c:v>24.310000000000031</c:v>
                </c:pt>
                <c:pt idx="10">
                  <c:v>24.475999999999889</c:v>
                </c:pt>
                <c:pt idx="11">
                  <c:v>24.045999999999989</c:v>
                </c:pt>
                <c:pt idx="12">
                  <c:v>22.09</c:v>
                </c:pt>
                <c:pt idx="13">
                  <c:v>22.501999999999999</c:v>
                </c:pt>
              </c:numCache>
            </c:numRef>
          </c:val>
        </c:ser>
        <c:ser>
          <c:idx val="1"/>
          <c:order val="1"/>
          <c:tx>
            <c:strRef>
              <c:f>Divadla!$A$47</c:f>
              <c:strCache>
                <c:ptCount val="1"/>
                <c:pt idx="0">
                  <c:v>Scény či sály zřizované ostatními subjekty</c:v>
                </c:pt>
              </c:strCache>
            </c:strRef>
          </c:tx>
          <c:marker>
            <c:symbol val="none"/>
          </c:marker>
          <c:dLbls>
            <c:txPr>
              <a:bodyPr/>
              <a:lstStyle/>
              <a:p>
                <a:pPr>
                  <a:defRPr sz="800"/>
                </a:pPr>
                <a:endParaRPr lang="cs-CZ"/>
              </a:p>
            </c:txPr>
            <c:dLblPos val="b"/>
            <c:showVal val="1"/>
          </c:dLbls>
          <c:cat>
            <c:numRef>
              <c:f>Divadla!$B$45:$O$45</c:f>
              <c:numCache>
                <c:formatCode>#,##0</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Divadla!$B$47:$O$47</c:f>
              <c:numCache>
                <c:formatCode>General</c:formatCode>
                <c:ptCount val="14"/>
                <c:pt idx="4" formatCode="0.0">
                  <c:v>6.7290000000000001</c:v>
                </c:pt>
                <c:pt idx="5" formatCode="0.0">
                  <c:v>7.2850000000000001</c:v>
                </c:pt>
                <c:pt idx="6" formatCode="0.0">
                  <c:v>8.2299999999999986</c:v>
                </c:pt>
                <c:pt idx="7" formatCode="0.0">
                  <c:v>10.295</c:v>
                </c:pt>
                <c:pt idx="8" formatCode="0.0">
                  <c:v>12.512</c:v>
                </c:pt>
                <c:pt idx="9" formatCode="0.0">
                  <c:v>11.723000000000001</c:v>
                </c:pt>
                <c:pt idx="10" formatCode="0.0">
                  <c:v>12.172000000000002</c:v>
                </c:pt>
                <c:pt idx="11" formatCode="0.0">
                  <c:v>13.576000000000002</c:v>
                </c:pt>
                <c:pt idx="12" formatCode="0.0">
                  <c:v>14.699</c:v>
                </c:pt>
                <c:pt idx="13" formatCode="0.0">
                  <c:v>17.114000000000235</c:v>
                </c:pt>
              </c:numCache>
            </c:numRef>
          </c:val>
        </c:ser>
        <c:marker val="1"/>
        <c:axId val="102040320"/>
        <c:axId val="102041856"/>
      </c:lineChart>
      <c:catAx>
        <c:axId val="102040320"/>
        <c:scaling>
          <c:orientation val="minMax"/>
        </c:scaling>
        <c:axPos val="b"/>
        <c:numFmt formatCode="#,##0" sourceLinked="1"/>
        <c:majorTickMark val="none"/>
        <c:tickLblPos val="none"/>
        <c:spPr>
          <a:ln>
            <a:noFill/>
          </a:ln>
        </c:spPr>
        <c:crossAx val="102041856"/>
        <c:crosses val="autoZero"/>
        <c:auto val="1"/>
        <c:lblAlgn val="ctr"/>
        <c:lblOffset val="100"/>
      </c:catAx>
      <c:valAx>
        <c:axId val="102041856"/>
        <c:scaling>
          <c:orientation val="minMax"/>
          <c:max val="27.6"/>
        </c:scaling>
        <c:axPos val="l"/>
        <c:numFmt formatCode="#,##0.0" sourceLinked="1"/>
        <c:tickLblPos val="none"/>
        <c:spPr>
          <a:ln>
            <a:noFill/>
          </a:ln>
        </c:spPr>
        <c:crossAx val="102040320"/>
        <c:crosses val="autoZero"/>
        <c:crossBetween val="between"/>
      </c:valAx>
    </c:plotArea>
    <c:legend>
      <c:legendPos val="b"/>
      <c:layout>
        <c:manualLayout>
          <c:xMode val="edge"/>
          <c:yMode val="edge"/>
          <c:x val="0.10094541272889454"/>
          <c:y val="0.86045656478061217"/>
          <c:w val="0.81796359327464196"/>
          <c:h val="0.1134046549597255"/>
        </c:manualLayout>
      </c:layout>
      <c:txPr>
        <a:bodyPr/>
        <a:lstStyle/>
        <a:p>
          <a:pPr>
            <a:defRPr sz="800"/>
          </a:pPr>
          <a:endParaRPr lang="cs-CZ"/>
        </a:p>
      </c:txPr>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0.79232</cdr:x>
      <cdr:y>0.40078</cdr:y>
    </cdr:from>
    <cdr:to>
      <cdr:x>1</cdr:x>
      <cdr:y>0.47262</cdr:y>
    </cdr:to>
    <cdr:sp macro="" textlink="">
      <cdr:nvSpPr>
        <cdr:cNvPr id="2" name="TextovéPole 1"/>
        <cdr:cNvSpPr txBox="1"/>
      </cdr:nvSpPr>
      <cdr:spPr>
        <a:xfrm xmlns:a="http://schemas.openxmlformats.org/drawingml/2006/main">
          <a:off x="4639445" y="1394519"/>
          <a:ext cx="1178722" cy="2499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b="0"/>
            <a:t>Kultura</a:t>
          </a:r>
          <a:r>
            <a:rPr lang="cs-CZ" sz="800" b="0" baseline="0"/>
            <a:t> celkem = 100 %</a:t>
          </a:r>
          <a:endParaRPr lang="cs-CZ" sz="800" b="0"/>
        </a:p>
      </cdr:txBody>
    </cdr:sp>
  </cdr:relSizeAnchor>
  <cdr:relSizeAnchor xmlns:cdr="http://schemas.openxmlformats.org/drawingml/2006/chartDrawing">
    <cdr:from>
      <cdr:x>0.0816</cdr:x>
      <cdr:y>0.43007</cdr:y>
    </cdr:from>
    <cdr:to>
      <cdr:x>0.80544</cdr:x>
      <cdr:y>0.43058</cdr:y>
    </cdr:to>
    <cdr:sp macro="" textlink="">
      <cdr:nvSpPr>
        <cdr:cNvPr id="4" name="Přímá spojovací čára 3"/>
        <cdr:cNvSpPr/>
      </cdr:nvSpPr>
      <cdr:spPr>
        <a:xfrm xmlns:a="http://schemas.openxmlformats.org/drawingml/2006/main">
          <a:off x="463137" y="1496290"/>
          <a:ext cx="4108242" cy="176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C77DC-19EE-4C3F-90D8-0BD6FDA9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4</Pages>
  <Words>7057</Words>
  <Characters>41642</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Novák</dc:creator>
  <cp:lastModifiedBy>Daniel Böhm</cp:lastModifiedBy>
  <cp:revision>269</cp:revision>
  <cp:lastPrinted>2015-01-14T15:15:00Z</cp:lastPrinted>
  <dcterms:created xsi:type="dcterms:W3CDTF">2015-01-09T08:45:00Z</dcterms:created>
  <dcterms:modified xsi:type="dcterms:W3CDTF">2015-04-15T10:11:00Z</dcterms:modified>
</cp:coreProperties>
</file>