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CBAAD" w14:textId="77777777" w:rsidR="00635E86" w:rsidRPr="009361CF" w:rsidRDefault="0023334E" w:rsidP="005B72EA">
      <w:pPr>
        <w:pStyle w:val="Nadpis1"/>
        <w:spacing w:after="240"/>
        <w:ind w:left="1134" w:right="567"/>
        <w:jc w:val="left"/>
        <w:rPr>
          <w:rFonts w:ascii="Arial" w:hAnsi="Arial" w:cs="Arial"/>
          <w:i/>
          <w:iCs/>
        </w:rPr>
      </w:pPr>
      <w:r>
        <w:rPr>
          <w:rFonts w:ascii="Arial" w:hAnsi="Arial" w:cs="Arial"/>
          <w:i/>
          <w:iCs/>
        </w:rPr>
        <w:t xml:space="preserve">   </w:t>
      </w:r>
      <w:r w:rsidR="00635E86" w:rsidRPr="009361CF">
        <w:rPr>
          <w:rFonts w:ascii="Arial" w:hAnsi="Arial" w:cs="Arial"/>
          <w:i/>
          <w:iCs/>
        </w:rPr>
        <w:t>EXPLANATORY NOTES ON METHODOLOGY</w:t>
      </w:r>
    </w:p>
    <w:p w14:paraId="56A26007" w14:textId="77777777" w:rsidR="00635E86" w:rsidRPr="009361CF" w:rsidRDefault="00635E86" w:rsidP="005B72EA">
      <w:pPr>
        <w:ind w:left="1134" w:right="567"/>
        <w:rPr>
          <w:rFonts w:ascii="Arial" w:hAnsi="Arial" w:cs="Arial"/>
          <w:i/>
          <w:lang w:val="en-GB"/>
        </w:rPr>
      </w:pPr>
    </w:p>
    <w:p w14:paraId="2E4ADD03" w14:textId="27D240FA" w:rsidR="00635E86" w:rsidRPr="009C3903" w:rsidRDefault="00635E86" w:rsidP="005B72EA">
      <w:pPr>
        <w:numPr>
          <w:ilvl w:val="0"/>
          <w:numId w:val="2"/>
        </w:numPr>
        <w:ind w:left="1134" w:right="567" w:hanging="210"/>
        <w:jc w:val="both"/>
        <w:rPr>
          <w:rFonts w:ascii="Arial" w:hAnsi="Arial" w:cs="Arial"/>
          <w:i/>
          <w:iCs/>
          <w:lang w:val="en-GB"/>
        </w:rPr>
      </w:pPr>
      <w:r w:rsidRPr="00E17305">
        <w:rPr>
          <w:rFonts w:ascii="Arial" w:hAnsi="Arial" w:cs="Arial"/>
          <w:i/>
          <w:iCs/>
          <w:lang w:val="en-GB"/>
        </w:rPr>
        <w:t>Municipalities</w:t>
      </w:r>
      <w:r w:rsidRPr="009C3903">
        <w:rPr>
          <w:rFonts w:ascii="Arial" w:hAnsi="Arial" w:cs="Arial"/>
          <w:i/>
          <w:iCs/>
          <w:lang w:val="en-GB"/>
        </w:rPr>
        <w:t xml:space="preserve"> (</w:t>
      </w:r>
      <w:r w:rsidRPr="00E17305">
        <w:rPr>
          <w:rFonts w:ascii="Arial" w:hAnsi="Arial" w:cs="Arial"/>
          <w:iCs/>
          <w:lang w:val="en-GB"/>
        </w:rPr>
        <w:t>obce</w:t>
      </w:r>
      <w:r w:rsidR="0027341C" w:rsidRPr="009C3903">
        <w:rPr>
          <w:rFonts w:ascii="Arial" w:hAnsi="Arial" w:cs="Arial"/>
          <w:iCs/>
          <w:lang w:val="en-GB"/>
        </w:rPr>
        <w:t xml:space="preserve"> </w:t>
      </w:r>
      <w:r w:rsidR="0027341C" w:rsidRPr="009C3903">
        <w:rPr>
          <w:rFonts w:ascii="Arial" w:hAnsi="Arial" w:cs="Arial"/>
          <w:i/>
          <w:iCs/>
          <w:lang w:val="en-GB"/>
        </w:rPr>
        <w:t>in Czech</w:t>
      </w:r>
      <w:r w:rsidRPr="009C3903">
        <w:rPr>
          <w:rFonts w:ascii="Arial" w:hAnsi="Arial" w:cs="Arial"/>
          <w:i/>
          <w:iCs/>
          <w:lang w:val="en-GB"/>
        </w:rPr>
        <w:t>) are given in the territorial structure effective as at 1</w:t>
      </w:r>
      <w:r w:rsidR="00D217C8">
        <w:rPr>
          <w:rFonts w:ascii="Arial" w:hAnsi="Arial" w:cs="Arial"/>
          <w:i/>
          <w:iCs/>
          <w:lang w:val="en-GB"/>
        </w:rPr>
        <w:t> </w:t>
      </w:r>
      <w:r w:rsidRPr="009C3903">
        <w:rPr>
          <w:rFonts w:ascii="Arial" w:hAnsi="Arial" w:cs="Arial"/>
          <w:i/>
          <w:iCs/>
          <w:lang w:val="en-GB"/>
        </w:rPr>
        <w:t xml:space="preserve">January </w:t>
      </w:r>
      <w:r w:rsidR="002E58EE" w:rsidRPr="009C3903">
        <w:rPr>
          <w:rFonts w:ascii="Arial" w:hAnsi="Arial" w:cs="Arial"/>
          <w:i/>
          <w:iCs/>
          <w:lang w:val="en-GB"/>
        </w:rPr>
        <w:t>202</w:t>
      </w:r>
      <w:r w:rsidR="0079761B">
        <w:rPr>
          <w:rFonts w:ascii="Arial" w:hAnsi="Arial" w:cs="Arial"/>
          <w:i/>
          <w:iCs/>
          <w:lang w:val="en-GB"/>
        </w:rPr>
        <w:t>5</w:t>
      </w:r>
      <w:r w:rsidRPr="009C3903">
        <w:rPr>
          <w:rFonts w:ascii="Arial" w:hAnsi="Arial" w:cs="Arial"/>
          <w:i/>
          <w:iCs/>
          <w:lang w:val="en-GB"/>
        </w:rPr>
        <w:t>.</w:t>
      </w:r>
      <w:r w:rsidR="00A8183D" w:rsidRPr="00E61752">
        <w:rPr>
          <w:rFonts w:ascii="Arial" w:hAnsi="Arial" w:cs="Arial"/>
        </w:rPr>
        <w:t xml:space="preserve"> </w:t>
      </w:r>
      <w:r w:rsidRPr="00E61752">
        <w:rPr>
          <w:rFonts w:ascii="Arial" w:hAnsi="Arial" w:cs="Arial"/>
          <w:i/>
          <w:iCs/>
          <w:lang w:val="en-GB"/>
        </w:rPr>
        <w:t>The</w:t>
      </w:r>
      <w:r w:rsidRPr="009C3903">
        <w:rPr>
          <w:rFonts w:ascii="Arial" w:hAnsi="Arial" w:cs="Arial"/>
          <w:i/>
          <w:iCs/>
          <w:lang w:val="en-GB"/>
        </w:rPr>
        <w:t xml:space="preserve"> figures on municipalities are for </w:t>
      </w:r>
      <w:r w:rsidR="00A8183D" w:rsidRPr="009C3903">
        <w:rPr>
          <w:rFonts w:ascii="Arial" w:hAnsi="Arial" w:cs="Arial"/>
          <w:i/>
          <w:iCs/>
          <w:lang w:val="en-GB"/>
        </w:rPr>
        <w:t>202</w:t>
      </w:r>
      <w:r w:rsidR="0079761B">
        <w:rPr>
          <w:rFonts w:ascii="Arial" w:hAnsi="Arial" w:cs="Arial"/>
          <w:i/>
          <w:iCs/>
          <w:lang w:val="en-GB"/>
        </w:rPr>
        <w:t>4</w:t>
      </w:r>
      <w:r w:rsidRPr="009C3903">
        <w:rPr>
          <w:rFonts w:ascii="Arial" w:hAnsi="Arial" w:cs="Arial"/>
          <w:i/>
          <w:iCs/>
          <w:lang w:val="en-GB"/>
        </w:rPr>
        <w:t>, unless otherwise stated.</w:t>
      </w:r>
    </w:p>
    <w:p w14:paraId="090D8838" w14:textId="77777777" w:rsidR="00635E86" w:rsidRPr="009C3903" w:rsidRDefault="00635E86" w:rsidP="005B72EA">
      <w:pPr>
        <w:ind w:left="1134" w:right="567" w:hanging="210"/>
        <w:jc w:val="both"/>
        <w:rPr>
          <w:rFonts w:ascii="Arial" w:hAnsi="Arial" w:cs="Arial"/>
          <w:i/>
          <w:iCs/>
          <w:lang w:val="en-GB"/>
        </w:rPr>
      </w:pPr>
    </w:p>
    <w:p w14:paraId="672F94CC" w14:textId="2DE16043" w:rsidR="00635E86" w:rsidRPr="009C3903" w:rsidRDefault="00635E86" w:rsidP="005B72EA">
      <w:pPr>
        <w:numPr>
          <w:ilvl w:val="0"/>
          <w:numId w:val="2"/>
        </w:numPr>
        <w:ind w:left="1134" w:right="567" w:hanging="210"/>
        <w:jc w:val="both"/>
        <w:rPr>
          <w:rFonts w:ascii="Arial" w:hAnsi="Arial" w:cs="Arial"/>
          <w:i/>
          <w:iCs/>
          <w:lang w:val="en-GB"/>
        </w:rPr>
      </w:pPr>
      <w:r w:rsidRPr="009C3903">
        <w:rPr>
          <w:rFonts w:ascii="Arial" w:hAnsi="Arial" w:cs="Arial"/>
          <w:i/>
          <w:iCs/>
          <w:lang w:val="en-GB"/>
        </w:rPr>
        <w:t xml:space="preserve">A </w:t>
      </w:r>
      <w:r w:rsidRPr="009C3903">
        <w:rPr>
          <w:rFonts w:ascii="Arial" w:hAnsi="Arial" w:cs="Arial"/>
          <w:b/>
          <w:i/>
          <w:iCs/>
          <w:lang w:val="en-GB"/>
        </w:rPr>
        <w:t>municipality</w:t>
      </w:r>
      <w:r w:rsidRPr="009C3903">
        <w:rPr>
          <w:rFonts w:ascii="Arial" w:hAnsi="Arial" w:cs="Arial"/>
          <w:i/>
          <w:iCs/>
          <w:lang w:val="en-GB"/>
        </w:rPr>
        <w:t xml:space="preserve"> (</w:t>
      </w:r>
      <w:r w:rsidRPr="00E17305">
        <w:rPr>
          <w:rFonts w:ascii="Arial" w:hAnsi="Arial" w:cs="Arial"/>
          <w:iCs/>
          <w:lang w:val="en-GB"/>
        </w:rPr>
        <w:t>obec</w:t>
      </w:r>
      <w:r w:rsidR="0027341C" w:rsidRPr="009C3903">
        <w:rPr>
          <w:rFonts w:ascii="Arial" w:hAnsi="Arial" w:cs="Arial"/>
          <w:i/>
          <w:iCs/>
          <w:lang w:val="en-GB"/>
        </w:rPr>
        <w:t xml:space="preserve"> in Czech</w:t>
      </w:r>
      <w:r w:rsidRPr="009C3903">
        <w:rPr>
          <w:rFonts w:ascii="Arial" w:hAnsi="Arial" w:cs="Arial"/>
          <w:i/>
          <w:iCs/>
          <w:lang w:val="en-GB"/>
        </w:rPr>
        <w:t>) is a basic territorial self-governing community of citizens</w:t>
      </w:r>
      <w:r w:rsidR="000F7868" w:rsidRPr="00E17305">
        <w:rPr>
          <w:rFonts w:ascii="Arial" w:hAnsi="Arial" w:cs="Arial"/>
          <w:i/>
          <w:iCs/>
          <w:lang w:val="en-GB"/>
        </w:rPr>
        <w:t>.</w:t>
      </w:r>
      <w:r w:rsidR="00CE21DA" w:rsidRPr="009C3903">
        <w:rPr>
          <w:rFonts w:ascii="Arial" w:eastAsiaTheme="minorHAnsi" w:hAnsi="Arial" w:cs="Arial"/>
          <w:lang w:eastAsia="en-US"/>
        </w:rPr>
        <w:t xml:space="preserve"> </w:t>
      </w:r>
      <w:r w:rsidR="00817BD7" w:rsidRPr="009C3903">
        <w:rPr>
          <w:rFonts w:ascii="Arial" w:hAnsi="Arial" w:cs="Arial"/>
          <w:i/>
          <w:iCs/>
          <w:lang w:val="en-GB"/>
        </w:rPr>
        <w:t>The</w:t>
      </w:r>
      <w:r w:rsidR="00626E58" w:rsidRPr="009C3903">
        <w:rPr>
          <w:rFonts w:ascii="Arial" w:hAnsi="Arial" w:cs="Arial"/>
          <w:i/>
          <w:iCs/>
          <w:lang w:val="en-GB"/>
        </w:rPr>
        <w:t xml:space="preserve"> territory of a municipality and </w:t>
      </w:r>
      <w:r w:rsidR="00817BD7" w:rsidRPr="00E17305">
        <w:rPr>
          <w:rFonts w:ascii="Arial" w:hAnsi="Arial" w:cs="Arial"/>
          <w:i/>
          <w:iCs/>
          <w:lang w:val="en-GB"/>
        </w:rPr>
        <w:t>the</w:t>
      </w:r>
      <w:r w:rsidR="00626E58" w:rsidRPr="009C3903">
        <w:rPr>
          <w:rFonts w:ascii="Arial" w:hAnsi="Arial" w:cs="Arial"/>
          <w:i/>
          <w:iCs/>
          <w:lang w:val="en-GB"/>
        </w:rPr>
        <w:t xml:space="preserve"> territory of a military district </w:t>
      </w:r>
      <w:r w:rsidR="00626E58" w:rsidRPr="006B2198">
        <w:rPr>
          <w:rFonts w:ascii="Arial" w:hAnsi="Arial" w:cs="Arial"/>
          <w:i/>
          <w:iCs/>
          <w:lang w:val="en-GB"/>
        </w:rPr>
        <w:t xml:space="preserve">is </w:t>
      </w:r>
      <w:r w:rsidR="00574044" w:rsidRPr="006B2198">
        <w:rPr>
          <w:rFonts w:ascii="Arial" w:hAnsi="Arial" w:cs="Arial"/>
          <w:i/>
          <w:iCs/>
          <w:lang w:val="en-GB"/>
        </w:rPr>
        <w:t>delimited</w:t>
      </w:r>
      <w:r w:rsidR="00626E58" w:rsidRPr="006B2198">
        <w:rPr>
          <w:rFonts w:ascii="Arial" w:hAnsi="Arial" w:cs="Arial"/>
          <w:i/>
          <w:iCs/>
          <w:lang w:val="en-GB"/>
        </w:rPr>
        <w:t xml:space="preserve"> </w:t>
      </w:r>
      <w:r w:rsidR="00262929" w:rsidRPr="00E17305">
        <w:rPr>
          <w:rFonts w:ascii="Arial" w:hAnsi="Arial" w:cs="Arial"/>
          <w:i/>
          <w:iCs/>
          <w:lang w:val="en-GB"/>
        </w:rPr>
        <w:t>by the</w:t>
      </w:r>
      <w:r w:rsidR="00626E58" w:rsidRPr="006B2198">
        <w:rPr>
          <w:rFonts w:ascii="Arial" w:hAnsi="Arial" w:cs="Arial"/>
          <w:i/>
          <w:iCs/>
          <w:lang w:val="en-GB"/>
        </w:rPr>
        <w:t xml:space="preserve"> border</w:t>
      </w:r>
      <w:r w:rsidR="00626E58" w:rsidRPr="009C3903">
        <w:rPr>
          <w:rFonts w:ascii="Arial" w:hAnsi="Arial" w:cs="Arial"/>
          <w:i/>
          <w:iCs/>
          <w:lang w:val="en-GB"/>
        </w:rPr>
        <w:t xml:space="preserve"> of</w:t>
      </w:r>
      <w:r w:rsidRPr="009C3903">
        <w:rPr>
          <w:rFonts w:ascii="Arial" w:hAnsi="Arial" w:cs="Arial"/>
          <w:i/>
          <w:iCs/>
          <w:lang w:val="en-GB"/>
        </w:rPr>
        <w:t xml:space="preserve"> one or more</w:t>
      </w:r>
      <w:r w:rsidR="00626E58" w:rsidRPr="009C3903">
        <w:rPr>
          <w:rFonts w:ascii="Arial" w:hAnsi="Arial" w:cs="Arial"/>
          <w:i/>
          <w:iCs/>
          <w:lang w:val="en-GB"/>
        </w:rPr>
        <w:t xml:space="preserve"> coherent</w:t>
      </w:r>
      <w:r w:rsidRPr="009C3903">
        <w:rPr>
          <w:rFonts w:ascii="Arial" w:hAnsi="Arial" w:cs="Arial"/>
          <w:i/>
          <w:iCs/>
          <w:lang w:val="en-GB"/>
        </w:rPr>
        <w:t xml:space="preserve"> cadastral districts. </w:t>
      </w:r>
      <w:r w:rsidR="00817BD7" w:rsidRPr="00E17305">
        <w:rPr>
          <w:rFonts w:ascii="Arial" w:hAnsi="Arial" w:cs="Arial"/>
          <w:i/>
          <w:iCs/>
          <w:lang w:val="en-GB"/>
        </w:rPr>
        <w:t>A municipality</w:t>
      </w:r>
      <w:r w:rsidRPr="009C3903">
        <w:rPr>
          <w:rFonts w:ascii="Arial" w:hAnsi="Arial" w:cs="Arial"/>
          <w:i/>
          <w:iCs/>
          <w:lang w:val="en-GB"/>
        </w:rPr>
        <w:t xml:space="preserve"> is a</w:t>
      </w:r>
      <w:r w:rsidR="003370FF" w:rsidRPr="009C3903">
        <w:rPr>
          <w:rFonts w:ascii="Arial" w:hAnsi="Arial" w:cs="Arial"/>
          <w:i/>
          <w:iCs/>
          <w:lang w:val="en-GB"/>
        </w:rPr>
        <w:t xml:space="preserve"> body governed by public law</w:t>
      </w:r>
      <w:r w:rsidR="00AC4CFD" w:rsidRPr="00E17305">
        <w:rPr>
          <w:rFonts w:ascii="Arial" w:hAnsi="Arial" w:cs="Arial"/>
          <w:i/>
          <w:iCs/>
          <w:lang w:val="en-GB"/>
        </w:rPr>
        <w:t xml:space="preserve"> </w:t>
      </w:r>
      <w:r w:rsidR="00A86843" w:rsidRPr="00E17305">
        <w:rPr>
          <w:rFonts w:ascii="Arial" w:hAnsi="Arial" w:cs="Arial"/>
          <w:i/>
          <w:iCs/>
          <w:lang w:val="en-GB"/>
        </w:rPr>
        <w:t>(</w:t>
      </w:r>
      <w:r w:rsidR="00AC4CFD" w:rsidRPr="00E17305">
        <w:rPr>
          <w:rFonts w:ascii="Arial" w:hAnsi="Arial" w:cs="Arial"/>
          <w:i/>
          <w:iCs/>
          <w:lang w:val="en-GB"/>
        </w:rPr>
        <w:t>a legal corporation under public law</w:t>
      </w:r>
      <w:r w:rsidR="00A86843" w:rsidRPr="00E17305">
        <w:rPr>
          <w:rFonts w:ascii="Arial" w:hAnsi="Arial" w:cs="Arial"/>
          <w:i/>
          <w:iCs/>
          <w:lang w:val="en-GB"/>
        </w:rPr>
        <w:t>)</w:t>
      </w:r>
      <w:r w:rsidRPr="009C3903">
        <w:rPr>
          <w:rFonts w:ascii="Arial" w:hAnsi="Arial" w:cs="Arial"/>
          <w:i/>
          <w:iCs/>
          <w:lang w:val="en-GB"/>
        </w:rPr>
        <w:t xml:space="preserve">, </w:t>
      </w:r>
      <w:r w:rsidR="00C4735B" w:rsidRPr="009C3903">
        <w:rPr>
          <w:rFonts w:ascii="Arial" w:hAnsi="Arial" w:cs="Arial"/>
          <w:i/>
          <w:iCs/>
          <w:lang w:val="en-GB"/>
        </w:rPr>
        <w:t xml:space="preserve">it </w:t>
      </w:r>
      <w:r w:rsidRPr="009C3903">
        <w:rPr>
          <w:rFonts w:ascii="Arial" w:hAnsi="Arial" w:cs="Arial"/>
          <w:i/>
          <w:iCs/>
          <w:lang w:val="en-GB"/>
        </w:rPr>
        <w:t>has its own property</w:t>
      </w:r>
      <w:r w:rsidR="00817BD7" w:rsidRPr="00E17305">
        <w:rPr>
          <w:rFonts w:ascii="Arial" w:hAnsi="Arial" w:cs="Arial"/>
          <w:i/>
          <w:iCs/>
          <w:lang w:val="en-GB"/>
        </w:rPr>
        <w:t>.</w:t>
      </w:r>
      <w:r w:rsidR="00AC4CFD" w:rsidRPr="00E17305">
        <w:rPr>
          <w:rFonts w:ascii="Arial" w:hAnsi="Arial" w:cs="Arial"/>
          <w:i/>
          <w:iCs/>
          <w:lang w:val="en-GB"/>
        </w:rPr>
        <w:t xml:space="preserve"> </w:t>
      </w:r>
      <w:r w:rsidR="00817BD7" w:rsidRPr="00E17305">
        <w:rPr>
          <w:rFonts w:ascii="Arial" w:hAnsi="Arial" w:cs="Arial"/>
          <w:i/>
          <w:iCs/>
          <w:lang w:val="en-GB"/>
        </w:rPr>
        <w:t>It</w:t>
      </w:r>
      <w:r w:rsidRPr="009C3903">
        <w:rPr>
          <w:rFonts w:ascii="Arial" w:hAnsi="Arial" w:cs="Arial"/>
          <w:i/>
          <w:iCs/>
          <w:lang w:val="en-GB"/>
        </w:rPr>
        <w:t xml:space="preserve"> acts in its own name in legal relations </w:t>
      </w:r>
      <w:r w:rsidR="00431BFE" w:rsidRPr="009C3903">
        <w:rPr>
          <w:rFonts w:ascii="Arial" w:hAnsi="Arial" w:cs="Arial"/>
          <w:i/>
          <w:iCs/>
          <w:lang w:val="en-GB"/>
        </w:rPr>
        <w:t xml:space="preserve">and </w:t>
      </w:r>
      <w:r w:rsidR="00AC4CFD" w:rsidRPr="00E17305">
        <w:rPr>
          <w:rFonts w:ascii="Arial" w:hAnsi="Arial" w:cs="Arial"/>
          <w:i/>
          <w:iCs/>
          <w:lang w:val="en-GB"/>
        </w:rPr>
        <w:t>bears the</w:t>
      </w:r>
      <w:r w:rsidR="001938CB" w:rsidRPr="009C3903">
        <w:rPr>
          <w:rFonts w:ascii="Arial" w:hAnsi="Arial" w:cs="Arial"/>
          <w:i/>
          <w:iCs/>
          <w:lang w:val="en-GB"/>
        </w:rPr>
        <w:t xml:space="preserve"> responsibility</w:t>
      </w:r>
      <w:r w:rsidRPr="009C3903">
        <w:rPr>
          <w:rFonts w:ascii="Arial" w:hAnsi="Arial" w:cs="Arial"/>
          <w:i/>
          <w:iCs/>
          <w:lang w:val="en-GB"/>
        </w:rPr>
        <w:t xml:space="preserve"> </w:t>
      </w:r>
      <w:r w:rsidR="00A86843" w:rsidRPr="00E17305">
        <w:rPr>
          <w:rFonts w:ascii="Arial" w:hAnsi="Arial" w:cs="Arial"/>
          <w:i/>
          <w:iCs/>
          <w:lang w:val="en-GB"/>
        </w:rPr>
        <w:t>arising</w:t>
      </w:r>
      <w:r w:rsidRPr="009C3903">
        <w:rPr>
          <w:rFonts w:ascii="Arial" w:hAnsi="Arial" w:cs="Arial"/>
          <w:i/>
          <w:iCs/>
          <w:lang w:val="en-GB"/>
        </w:rPr>
        <w:t xml:space="preserve"> from these relations</w:t>
      </w:r>
      <w:r w:rsidR="00A86843" w:rsidRPr="00E17305">
        <w:rPr>
          <w:rFonts w:ascii="Arial" w:hAnsi="Arial" w:cs="Arial"/>
          <w:i/>
          <w:iCs/>
          <w:lang w:val="en-GB"/>
        </w:rPr>
        <w:t>.</w:t>
      </w:r>
      <w:r w:rsidR="00262929" w:rsidRPr="00E17305">
        <w:rPr>
          <w:rFonts w:ascii="Arial" w:hAnsi="Arial" w:cs="Arial"/>
          <w:i/>
          <w:iCs/>
          <w:lang w:val="en-GB"/>
        </w:rPr>
        <w:t xml:space="preserve"> </w:t>
      </w:r>
      <w:r w:rsidRPr="009C3903">
        <w:rPr>
          <w:rFonts w:ascii="Arial" w:hAnsi="Arial" w:cs="Arial"/>
          <w:i/>
          <w:iCs/>
          <w:lang w:val="en-GB"/>
        </w:rPr>
        <w:t xml:space="preserve">Military districts are also </w:t>
      </w:r>
      <w:r w:rsidRPr="00670FDB">
        <w:rPr>
          <w:rFonts w:ascii="Arial" w:hAnsi="Arial" w:cs="Arial"/>
          <w:i/>
          <w:iCs/>
          <w:lang w:val="en-GB"/>
        </w:rPr>
        <w:t>considered as municipalities</w:t>
      </w:r>
      <w:r w:rsidRPr="009C3903">
        <w:rPr>
          <w:rFonts w:ascii="Arial" w:hAnsi="Arial" w:cs="Arial"/>
          <w:i/>
          <w:iCs/>
          <w:lang w:val="en-GB"/>
        </w:rPr>
        <w:t xml:space="preserve"> for certain purposes, including statistical ones</w:t>
      </w:r>
      <w:r w:rsidR="00A8391D" w:rsidRPr="009C3903">
        <w:rPr>
          <w:rFonts w:ascii="Arial" w:hAnsi="Arial" w:cs="Arial"/>
          <w:i/>
          <w:iCs/>
          <w:lang w:val="en-GB"/>
        </w:rPr>
        <w:t>, among others</w:t>
      </w:r>
      <w:r w:rsidRPr="009C3903">
        <w:rPr>
          <w:rFonts w:ascii="Arial" w:hAnsi="Arial" w:cs="Arial"/>
          <w:i/>
          <w:iCs/>
          <w:lang w:val="en-GB"/>
        </w:rPr>
        <w:t xml:space="preserve">. There are </w:t>
      </w:r>
      <w:r w:rsidR="00FB5730" w:rsidRPr="009C3903">
        <w:rPr>
          <w:rFonts w:ascii="Arial" w:hAnsi="Arial" w:cs="Arial"/>
          <w:i/>
          <w:iCs/>
          <w:lang w:val="en-GB"/>
        </w:rPr>
        <w:t>four</w:t>
      </w:r>
      <w:r w:rsidRPr="009C3903">
        <w:rPr>
          <w:rFonts w:ascii="Arial" w:hAnsi="Arial" w:cs="Arial"/>
          <w:i/>
          <w:iCs/>
          <w:lang w:val="en-GB"/>
        </w:rPr>
        <w:t xml:space="preserve"> military districts in the Czech Republic: </w:t>
      </w:r>
      <w:r w:rsidRPr="00E17305">
        <w:rPr>
          <w:rFonts w:ascii="Arial" w:hAnsi="Arial" w:cs="Arial"/>
          <w:iCs/>
          <w:lang w:val="en-GB"/>
        </w:rPr>
        <w:t>Boletice</w:t>
      </w:r>
      <w:r w:rsidRPr="009C3903">
        <w:rPr>
          <w:rFonts w:ascii="Arial" w:hAnsi="Arial" w:cs="Arial"/>
          <w:i/>
          <w:iCs/>
          <w:lang w:val="en-GB"/>
        </w:rPr>
        <w:t xml:space="preserve">, </w:t>
      </w:r>
      <w:r w:rsidRPr="00E17305">
        <w:rPr>
          <w:rFonts w:ascii="Arial" w:hAnsi="Arial" w:cs="Arial"/>
          <w:iCs/>
          <w:lang w:val="en-GB"/>
        </w:rPr>
        <w:t>Hradiště</w:t>
      </w:r>
      <w:r w:rsidRPr="009C3903">
        <w:rPr>
          <w:rFonts w:ascii="Arial" w:hAnsi="Arial" w:cs="Arial"/>
          <w:i/>
          <w:iCs/>
          <w:lang w:val="en-GB"/>
        </w:rPr>
        <w:t xml:space="preserve">, </w:t>
      </w:r>
      <w:r w:rsidRPr="00E17305">
        <w:rPr>
          <w:rFonts w:ascii="Arial" w:hAnsi="Arial" w:cs="Arial"/>
          <w:iCs/>
          <w:lang w:val="en-GB"/>
        </w:rPr>
        <w:t>Březina</w:t>
      </w:r>
      <w:r w:rsidRPr="009C3903">
        <w:rPr>
          <w:rFonts w:ascii="Arial" w:hAnsi="Arial" w:cs="Arial"/>
          <w:i/>
          <w:iCs/>
          <w:lang w:val="en-GB"/>
        </w:rPr>
        <w:t xml:space="preserve">, and </w:t>
      </w:r>
      <w:r w:rsidRPr="00E17305">
        <w:rPr>
          <w:rFonts w:ascii="Arial" w:hAnsi="Arial" w:cs="Arial"/>
          <w:iCs/>
          <w:lang w:val="en-GB"/>
        </w:rPr>
        <w:t>Libavá</w:t>
      </w:r>
      <w:r w:rsidRPr="009C3903">
        <w:rPr>
          <w:rFonts w:ascii="Arial" w:hAnsi="Arial" w:cs="Arial"/>
          <w:i/>
          <w:iCs/>
          <w:lang w:val="en-GB"/>
        </w:rPr>
        <w:t>. There were 6 25</w:t>
      </w:r>
      <w:r w:rsidR="00FB5730" w:rsidRPr="009C3903">
        <w:rPr>
          <w:rFonts w:ascii="Arial" w:hAnsi="Arial" w:cs="Arial"/>
          <w:i/>
          <w:iCs/>
          <w:lang w:val="en-GB"/>
        </w:rPr>
        <w:t>8</w:t>
      </w:r>
      <w:r w:rsidRPr="009C3903">
        <w:rPr>
          <w:rFonts w:ascii="Arial" w:hAnsi="Arial" w:cs="Arial"/>
          <w:i/>
          <w:iCs/>
          <w:lang w:val="en-GB"/>
        </w:rPr>
        <w:t xml:space="preserve"> municipalities in the Czech Republic as at</w:t>
      </w:r>
      <w:r w:rsidR="004B1EE0" w:rsidRPr="009C3903">
        <w:rPr>
          <w:rFonts w:ascii="Arial" w:hAnsi="Arial" w:cs="Arial"/>
          <w:i/>
          <w:iCs/>
          <w:lang w:val="en-GB"/>
        </w:rPr>
        <w:t xml:space="preserve"> </w:t>
      </w:r>
      <w:r w:rsidRPr="009C3903">
        <w:rPr>
          <w:rFonts w:ascii="Arial" w:hAnsi="Arial" w:cs="Arial"/>
          <w:i/>
          <w:iCs/>
          <w:lang w:val="en-GB"/>
        </w:rPr>
        <w:t xml:space="preserve"> 1</w:t>
      </w:r>
      <w:r w:rsidR="004C0CF6">
        <w:rPr>
          <w:rFonts w:ascii="Arial" w:hAnsi="Arial" w:cs="Arial"/>
          <w:i/>
          <w:iCs/>
          <w:lang w:val="en-GB"/>
        </w:rPr>
        <w:t> </w:t>
      </w:r>
      <w:r w:rsidRPr="009C3903">
        <w:rPr>
          <w:rFonts w:ascii="Arial" w:hAnsi="Arial" w:cs="Arial"/>
          <w:i/>
          <w:iCs/>
          <w:lang w:val="en-GB"/>
        </w:rPr>
        <w:t>January 20</w:t>
      </w:r>
      <w:r w:rsidR="005B72EA" w:rsidRPr="009C3903">
        <w:rPr>
          <w:rFonts w:ascii="Arial" w:hAnsi="Arial" w:cs="Arial"/>
          <w:i/>
          <w:iCs/>
          <w:lang w:val="en-GB"/>
        </w:rPr>
        <w:t>2</w:t>
      </w:r>
      <w:r w:rsidR="0079761B">
        <w:rPr>
          <w:rFonts w:ascii="Arial" w:hAnsi="Arial" w:cs="Arial"/>
          <w:i/>
          <w:iCs/>
          <w:lang w:val="en-GB"/>
        </w:rPr>
        <w:t>5</w:t>
      </w:r>
      <w:r w:rsidRPr="009C3903">
        <w:rPr>
          <w:rFonts w:ascii="Arial" w:hAnsi="Arial" w:cs="Arial"/>
          <w:i/>
          <w:iCs/>
          <w:lang w:val="en-GB"/>
        </w:rPr>
        <w:t>. Municipalities with a special status are highlight</w:t>
      </w:r>
      <w:r w:rsidR="00A8391D" w:rsidRPr="009C3903">
        <w:rPr>
          <w:rFonts w:ascii="Arial" w:hAnsi="Arial" w:cs="Arial"/>
          <w:i/>
          <w:iCs/>
          <w:lang w:val="en-GB"/>
        </w:rPr>
        <w:t>ed</w:t>
      </w:r>
      <w:r w:rsidRPr="009C3903">
        <w:rPr>
          <w:rFonts w:ascii="Arial" w:hAnsi="Arial" w:cs="Arial"/>
          <w:i/>
          <w:iCs/>
          <w:lang w:val="en-GB"/>
        </w:rPr>
        <w:t xml:space="preserve"> in the Lexicon</w:t>
      </w:r>
      <w:r w:rsidR="00A0737E">
        <w:rPr>
          <w:rFonts w:ascii="Arial" w:hAnsi="Arial" w:cs="Arial"/>
          <w:i/>
          <w:iCs/>
          <w:lang w:val="en-GB"/>
        </w:rPr>
        <w:t xml:space="preserve"> as follows</w:t>
      </w:r>
      <w:r w:rsidRPr="009C3903">
        <w:rPr>
          <w:rFonts w:ascii="Arial" w:hAnsi="Arial" w:cs="Arial"/>
          <w:i/>
          <w:iCs/>
          <w:lang w:val="en-GB"/>
        </w:rPr>
        <w:t xml:space="preserve">: </w:t>
      </w:r>
      <w:r w:rsidRPr="009C3903">
        <w:rPr>
          <w:rFonts w:ascii="Arial" w:hAnsi="Arial" w:cs="Arial"/>
          <w:b/>
          <w:bCs/>
          <w:i/>
          <w:iCs/>
          <w:lang w:val="en-GB"/>
        </w:rPr>
        <w:t>statutory cities</w:t>
      </w:r>
      <w:r w:rsidRPr="009C3903">
        <w:rPr>
          <w:rFonts w:ascii="Arial" w:hAnsi="Arial" w:cs="Arial"/>
          <w:i/>
          <w:iCs/>
          <w:lang w:val="en-GB"/>
        </w:rPr>
        <w:t xml:space="preserve"> are in capital</w:t>
      </w:r>
      <w:r w:rsidR="00560F8F" w:rsidRPr="009C3903">
        <w:rPr>
          <w:rFonts w:ascii="Arial" w:hAnsi="Arial" w:cs="Arial"/>
          <w:i/>
          <w:iCs/>
          <w:lang w:val="en-GB"/>
        </w:rPr>
        <w:t xml:space="preserve"> letters</w:t>
      </w:r>
      <w:r w:rsidRPr="009C3903">
        <w:rPr>
          <w:rFonts w:ascii="Arial" w:hAnsi="Arial" w:cs="Arial"/>
          <w:i/>
          <w:iCs/>
          <w:lang w:val="en-GB"/>
        </w:rPr>
        <w:t xml:space="preserve">, </w:t>
      </w:r>
      <w:r w:rsidRPr="009C3903">
        <w:rPr>
          <w:rFonts w:ascii="Arial" w:hAnsi="Arial" w:cs="Arial"/>
          <w:b/>
          <w:bCs/>
          <w:i/>
          <w:iCs/>
          <w:lang w:val="en-GB"/>
        </w:rPr>
        <w:t>towns</w:t>
      </w:r>
      <w:r w:rsidRPr="009C3903">
        <w:rPr>
          <w:rFonts w:ascii="Arial" w:hAnsi="Arial" w:cs="Arial"/>
          <w:i/>
          <w:iCs/>
          <w:lang w:val="en-GB"/>
        </w:rPr>
        <w:t xml:space="preserve"> are in bold letters, and </w:t>
      </w:r>
      <w:r w:rsidRPr="009C3903">
        <w:rPr>
          <w:rFonts w:ascii="Arial" w:hAnsi="Arial" w:cs="Arial"/>
          <w:b/>
          <w:bCs/>
          <w:i/>
          <w:iCs/>
          <w:lang w:val="en-GB"/>
        </w:rPr>
        <w:t>market</w:t>
      </w:r>
      <w:r w:rsidR="00B631A0" w:rsidRPr="009C3903">
        <w:rPr>
          <w:rFonts w:ascii="Arial" w:hAnsi="Arial" w:cs="Arial"/>
          <w:b/>
          <w:bCs/>
          <w:i/>
          <w:iCs/>
          <w:lang w:val="en-GB"/>
        </w:rPr>
        <w:t xml:space="preserve"> </w:t>
      </w:r>
      <w:r w:rsidRPr="009C3903">
        <w:rPr>
          <w:rFonts w:ascii="Arial" w:hAnsi="Arial" w:cs="Arial"/>
          <w:b/>
          <w:bCs/>
          <w:i/>
          <w:iCs/>
          <w:lang w:val="en-GB"/>
        </w:rPr>
        <w:t>towns</w:t>
      </w:r>
      <w:r w:rsidRPr="009C3903">
        <w:rPr>
          <w:rFonts w:ascii="Arial" w:hAnsi="Arial" w:cs="Arial"/>
          <w:i/>
          <w:iCs/>
          <w:lang w:val="en-GB"/>
        </w:rPr>
        <w:t xml:space="preserve"> are in bold italics.</w:t>
      </w:r>
      <w:r w:rsidRPr="009C3903">
        <w:rPr>
          <w:rFonts w:ascii="Arial" w:hAnsi="Arial" w:cs="Arial"/>
          <w:bCs/>
          <w:i/>
          <w:iCs/>
          <w:lang w:val="en-GB"/>
        </w:rPr>
        <w:t xml:space="preserve"> </w:t>
      </w:r>
      <w:r w:rsidRPr="009C3903">
        <w:rPr>
          <w:rFonts w:ascii="Arial" w:hAnsi="Arial" w:cs="Arial"/>
          <w:i/>
          <w:iCs/>
          <w:lang w:val="en-GB"/>
        </w:rPr>
        <w:t xml:space="preserve">The Lexicon also gives </w:t>
      </w:r>
      <w:r w:rsidRPr="009C3903">
        <w:rPr>
          <w:rFonts w:ascii="Arial" w:hAnsi="Arial" w:cs="Arial"/>
          <w:b/>
          <w:i/>
          <w:iCs/>
          <w:lang w:val="en-GB"/>
        </w:rPr>
        <w:t xml:space="preserve">city </w:t>
      </w:r>
      <w:r w:rsidR="0049454C" w:rsidRPr="009C3903">
        <w:rPr>
          <w:rFonts w:ascii="Arial" w:hAnsi="Arial" w:cs="Arial"/>
          <w:b/>
          <w:i/>
          <w:iCs/>
          <w:lang w:val="en-GB"/>
        </w:rPr>
        <w:t>sections</w:t>
      </w:r>
      <w:r w:rsidR="007543FB" w:rsidRPr="00E17305">
        <w:rPr>
          <w:rFonts w:ascii="Arial" w:hAnsi="Arial" w:cs="Arial"/>
          <w:b/>
          <w:i/>
          <w:iCs/>
          <w:lang w:val="en-GB"/>
        </w:rPr>
        <w:t>/parts (</w:t>
      </w:r>
      <w:r w:rsidRPr="009C3903">
        <w:rPr>
          <w:rFonts w:ascii="Arial" w:hAnsi="Arial" w:cs="Arial"/>
          <w:b/>
          <w:i/>
          <w:iCs/>
          <w:lang w:val="en-GB"/>
        </w:rPr>
        <w:t>city districts</w:t>
      </w:r>
      <w:r w:rsidR="007543FB" w:rsidRPr="00E17305">
        <w:rPr>
          <w:rFonts w:ascii="Arial" w:hAnsi="Arial" w:cs="Arial"/>
          <w:b/>
          <w:i/>
          <w:iCs/>
          <w:lang w:val="en-GB"/>
        </w:rPr>
        <w:t>)</w:t>
      </w:r>
      <w:r w:rsidRPr="009C3903">
        <w:rPr>
          <w:rFonts w:ascii="Arial" w:hAnsi="Arial" w:cs="Arial"/>
          <w:b/>
          <w:i/>
          <w:iCs/>
          <w:lang w:val="en-GB"/>
        </w:rPr>
        <w:t xml:space="preserve"> </w:t>
      </w:r>
      <w:r w:rsidRPr="009C3903">
        <w:rPr>
          <w:rFonts w:ascii="Arial" w:hAnsi="Arial" w:cs="Arial"/>
          <w:i/>
          <w:iCs/>
          <w:lang w:val="en-GB"/>
        </w:rPr>
        <w:t>(</w:t>
      </w:r>
      <w:r w:rsidRPr="00E17305">
        <w:rPr>
          <w:rFonts w:ascii="Arial" w:hAnsi="Arial" w:cs="Arial"/>
          <w:iCs/>
          <w:lang w:val="en-GB"/>
        </w:rPr>
        <w:t xml:space="preserve">městské části </w:t>
      </w:r>
      <w:r w:rsidR="007543FB" w:rsidRPr="00E17305">
        <w:rPr>
          <w:rFonts w:ascii="Arial" w:hAnsi="Arial" w:cs="Arial"/>
          <w:i/>
          <w:iCs/>
          <w:lang w:val="en-GB"/>
        </w:rPr>
        <w:t>and</w:t>
      </w:r>
      <w:r w:rsidRPr="00E17305">
        <w:rPr>
          <w:rFonts w:ascii="Arial" w:hAnsi="Arial" w:cs="Arial"/>
          <w:iCs/>
          <w:lang w:val="en-GB"/>
        </w:rPr>
        <w:t xml:space="preserve"> městské obvody</w:t>
      </w:r>
      <w:r w:rsidR="007543FB" w:rsidRPr="00E17305">
        <w:rPr>
          <w:rFonts w:ascii="Arial" w:hAnsi="Arial" w:cs="Arial"/>
          <w:iCs/>
          <w:lang w:val="en-GB"/>
        </w:rPr>
        <w:t xml:space="preserve"> </w:t>
      </w:r>
      <w:r w:rsidR="007543FB" w:rsidRPr="00E17305">
        <w:rPr>
          <w:rFonts w:ascii="Arial" w:hAnsi="Arial" w:cs="Arial"/>
          <w:i/>
          <w:iCs/>
          <w:lang w:val="en-GB"/>
        </w:rPr>
        <w:t>in Czech</w:t>
      </w:r>
      <w:r w:rsidRPr="009C3903">
        <w:rPr>
          <w:rFonts w:ascii="Arial" w:hAnsi="Arial" w:cs="Arial"/>
          <w:i/>
          <w:iCs/>
          <w:lang w:val="en-GB"/>
        </w:rPr>
        <w:t xml:space="preserve">) of the Capital City of </w:t>
      </w:r>
      <w:r w:rsidR="00585806" w:rsidRPr="009C3903">
        <w:rPr>
          <w:rFonts w:ascii="Arial" w:hAnsi="Arial" w:cs="Arial"/>
          <w:i/>
          <w:iCs/>
          <w:lang w:val="en-GB"/>
        </w:rPr>
        <w:t>Prague</w:t>
      </w:r>
      <w:r w:rsidR="00A66D7A" w:rsidRPr="00E17305">
        <w:rPr>
          <w:rFonts w:ascii="Arial" w:hAnsi="Arial" w:cs="Arial"/>
          <w:i/>
          <w:iCs/>
          <w:lang w:val="en-GB"/>
        </w:rPr>
        <w:t xml:space="preserve"> </w:t>
      </w:r>
      <w:r w:rsidR="00A66D7A" w:rsidRPr="009C3903">
        <w:rPr>
          <w:rFonts w:ascii="Arial" w:hAnsi="Arial" w:cs="Arial"/>
          <w:bCs/>
          <w:i/>
          <w:iCs/>
          <w:lang w:val="en-GB"/>
        </w:rPr>
        <w:t>(</w:t>
      </w:r>
      <w:r w:rsidR="00A66D7A" w:rsidRPr="009C3903">
        <w:rPr>
          <w:rFonts w:ascii="Arial" w:hAnsi="Arial" w:cs="Arial"/>
          <w:bCs/>
          <w:iCs/>
          <w:lang w:val="en-GB"/>
        </w:rPr>
        <w:t>Praha</w:t>
      </w:r>
      <w:r w:rsidR="00A66D7A" w:rsidRPr="009C3903">
        <w:rPr>
          <w:rFonts w:ascii="Arial" w:hAnsi="Arial" w:cs="Arial"/>
          <w:bCs/>
          <w:i/>
          <w:iCs/>
          <w:lang w:val="en-GB"/>
        </w:rPr>
        <w:t>)</w:t>
      </w:r>
      <w:r w:rsidR="00585806" w:rsidRPr="009C3903">
        <w:rPr>
          <w:rFonts w:ascii="Arial" w:hAnsi="Arial" w:cs="Arial"/>
          <w:i/>
          <w:iCs/>
          <w:lang w:val="en-GB"/>
        </w:rPr>
        <w:t xml:space="preserve"> </w:t>
      </w:r>
      <w:r w:rsidR="007543FB" w:rsidRPr="00E17305">
        <w:rPr>
          <w:rFonts w:ascii="Arial" w:hAnsi="Arial" w:cs="Arial"/>
          <w:i/>
          <w:iCs/>
          <w:lang w:val="en-GB"/>
        </w:rPr>
        <w:t xml:space="preserve">and </w:t>
      </w:r>
      <w:r w:rsidRPr="009C3903">
        <w:rPr>
          <w:rFonts w:ascii="Arial" w:hAnsi="Arial" w:cs="Arial"/>
          <w:i/>
          <w:iCs/>
          <w:lang w:val="en-GB"/>
        </w:rPr>
        <w:t xml:space="preserve">of the statutory cities of </w:t>
      </w:r>
      <w:r w:rsidRPr="00E17305">
        <w:rPr>
          <w:rFonts w:ascii="Arial" w:hAnsi="Arial" w:cs="Arial"/>
          <w:iCs/>
          <w:lang w:val="en-GB"/>
        </w:rPr>
        <w:t>Brno</w:t>
      </w:r>
      <w:r w:rsidRPr="009C3903">
        <w:rPr>
          <w:rFonts w:ascii="Arial" w:hAnsi="Arial" w:cs="Arial"/>
          <w:i/>
          <w:iCs/>
          <w:lang w:val="en-GB"/>
        </w:rPr>
        <w:t xml:space="preserve">, </w:t>
      </w:r>
      <w:r w:rsidRPr="00E17305">
        <w:rPr>
          <w:rFonts w:ascii="Arial" w:hAnsi="Arial" w:cs="Arial"/>
          <w:iCs/>
          <w:lang w:val="en-GB"/>
        </w:rPr>
        <w:t>Liberec</w:t>
      </w:r>
      <w:r w:rsidRPr="009C3903">
        <w:rPr>
          <w:rFonts w:ascii="Arial" w:hAnsi="Arial" w:cs="Arial"/>
          <w:i/>
          <w:iCs/>
          <w:lang w:val="en-GB"/>
        </w:rPr>
        <w:t xml:space="preserve">, </w:t>
      </w:r>
      <w:r w:rsidRPr="00E17305">
        <w:rPr>
          <w:rFonts w:ascii="Arial" w:hAnsi="Arial" w:cs="Arial"/>
          <w:iCs/>
          <w:lang w:val="en-GB"/>
        </w:rPr>
        <w:t>Opava</w:t>
      </w:r>
      <w:r w:rsidRPr="009C3903">
        <w:rPr>
          <w:rFonts w:ascii="Arial" w:hAnsi="Arial" w:cs="Arial"/>
          <w:i/>
          <w:iCs/>
          <w:lang w:val="en-GB"/>
        </w:rPr>
        <w:t xml:space="preserve">, </w:t>
      </w:r>
      <w:r w:rsidRPr="00E17305">
        <w:rPr>
          <w:rFonts w:ascii="Arial" w:hAnsi="Arial" w:cs="Arial"/>
          <w:iCs/>
          <w:lang w:val="en-GB"/>
        </w:rPr>
        <w:t>Ostrava</w:t>
      </w:r>
      <w:r w:rsidRPr="009C3903">
        <w:rPr>
          <w:rFonts w:ascii="Arial" w:hAnsi="Arial" w:cs="Arial"/>
          <w:i/>
          <w:iCs/>
          <w:lang w:val="en-GB"/>
        </w:rPr>
        <w:t xml:space="preserve">, </w:t>
      </w:r>
      <w:r w:rsidRPr="00E17305">
        <w:rPr>
          <w:rFonts w:ascii="Arial" w:hAnsi="Arial" w:cs="Arial"/>
          <w:iCs/>
          <w:lang w:val="en-GB"/>
        </w:rPr>
        <w:t>Pardubice</w:t>
      </w:r>
      <w:r w:rsidRPr="009C3903">
        <w:rPr>
          <w:rFonts w:ascii="Arial" w:hAnsi="Arial" w:cs="Arial"/>
          <w:i/>
          <w:iCs/>
          <w:lang w:val="en-GB"/>
        </w:rPr>
        <w:t xml:space="preserve">, </w:t>
      </w:r>
      <w:r w:rsidRPr="00E17305">
        <w:rPr>
          <w:rFonts w:ascii="Arial" w:hAnsi="Arial" w:cs="Arial"/>
          <w:iCs/>
          <w:lang w:val="en-GB"/>
        </w:rPr>
        <w:t>Plzeň</w:t>
      </w:r>
      <w:r w:rsidRPr="009C3903">
        <w:rPr>
          <w:rFonts w:ascii="Arial" w:hAnsi="Arial" w:cs="Arial"/>
          <w:i/>
          <w:iCs/>
          <w:lang w:val="en-GB"/>
        </w:rPr>
        <w:t xml:space="preserve">, and </w:t>
      </w:r>
      <w:r w:rsidRPr="00E17305">
        <w:rPr>
          <w:rFonts w:ascii="Arial" w:hAnsi="Arial" w:cs="Arial"/>
          <w:iCs/>
          <w:lang w:val="en-GB"/>
        </w:rPr>
        <w:t>Ústí nad Labem</w:t>
      </w:r>
      <w:r w:rsidRPr="009C3903">
        <w:rPr>
          <w:rFonts w:ascii="Arial" w:hAnsi="Arial" w:cs="Arial"/>
          <w:i/>
          <w:iCs/>
          <w:lang w:val="en-GB"/>
        </w:rPr>
        <w:t>.</w:t>
      </w:r>
    </w:p>
    <w:p w14:paraId="276C48C0" w14:textId="77777777" w:rsidR="00635E86" w:rsidRPr="009C3903" w:rsidRDefault="00635E86" w:rsidP="005B72EA">
      <w:pPr>
        <w:ind w:left="1134" w:right="567" w:hanging="210"/>
        <w:jc w:val="both"/>
        <w:rPr>
          <w:rFonts w:ascii="Arial" w:hAnsi="Arial" w:cs="Arial"/>
          <w:i/>
          <w:iCs/>
          <w:lang w:val="en-GB"/>
        </w:rPr>
      </w:pPr>
    </w:p>
    <w:p w14:paraId="002FC426" w14:textId="54B4F271" w:rsidR="00F55DD4" w:rsidRPr="00C16382" w:rsidRDefault="00C16382" w:rsidP="005B72EA">
      <w:pPr>
        <w:numPr>
          <w:ilvl w:val="0"/>
          <w:numId w:val="2"/>
        </w:numPr>
        <w:ind w:left="1134" w:right="567" w:hanging="210"/>
        <w:jc w:val="both"/>
        <w:rPr>
          <w:rFonts w:ascii="Arial" w:hAnsi="Arial" w:cs="Arial"/>
          <w:i/>
          <w:iCs/>
          <w:lang w:val="en-GB"/>
        </w:rPr>
      </w:pPr>
      <w:r w:rsidRPr="006A5080">
        <w:rPr>
          <w:rFonts w:ascii="Arial" w:hAnsi="Arial" w:cs="Arial"/>
          <w:bCs/>
          <w:i/>
          <w:iCs/>
          <w:lang w:val="en-GB"/>
        </w:rPr>
        <w:t>An</w:t>
      </w:r>
      <w:r w:rsidRPr="00A05471">
        <w:rPr>
          <w:rFonts w:ascii="Arial" w:hAnsi="Arial" w:cs="Arial"/>
          <w:b/>
          <w:bCs/>
          <w:i/>
          <w:iCs/>
          <w:lang w:val="en-GB"/>
        </w:rPr>
        <w:t xml:space="preserve"> administrative district of a Region </w:t>
      </w:r>
      <w:r w:rsidRPr="00A05471">
        <w:rPr>
          <w:rFonts w:ascii="Arial" w:hAnsi="Arial" w:cs="Arial"/>
          <w:bCs/>
          <w:i/>
          <w:iCs/>
          <w:lang w:val="en-GB"/>
        </w:rPr>
        <w:t>except for an a</w:t>
      </w:r>
      <w:r w:rsidRPr="006A5080">
        <w:rPr>
          <w:rFonts w:ascii="Arial" w:hAnsi="Arial" w:cs="Arial"/>
          <w:bCs/>
          <w:i/>
          <w:iCs/>
          <w:lang w:val="en-GB"/>
        </w:rPr>
        <w:t>dministrative district of</w:t>
      </w:r>
      <w:r w:rsidRPr="00A05471">
        <w:rPr>
          <w:rFonts w:ascii="Arial" w:hAnsi="Arial" w:cs="Arial"/>
          <w:bCs/>
          <w:i/>
          <w:iCs/>
          <w:lang w:val="en-GB"/>
        </w:rPr>
        <w:t xml:space="preserve"> the Capital City of Prague is divided into administrative districts of municipalities with extended powers. </w:t>
      </w:r>
      <w:r w:rsidRPr="006A5080">
        <w:rPr>
          <w:rFonts w:ascii="Arial" w:hAnsi="Arial"/>
          <w:i/>
          <w:lang w:val="en-GB"/>
        </w:rPr>
        <w:t xml:space="preserve">An </w:t>
      </w:r>
      <w:r w:rsidRPr="006A5080">
        <w:rPr>
          <w:rFonts w:ascii="Arial" w:hAnsi="Arial"/>
          <w:b/>
          <w:i/>
          <w:lang w:val="en-GB"/>
        </w:rPr>
        <w:t>a</w:t>
      </w:r>
      <w:r w:rsidRPr="006A5080">
        <w:rPr>
          <w:rFonts w:ascii="Arial" w:hAnsi="Arial" w:cs="Arial"/>
          <w:b/>
          <w:bCs/>
          <w:i/>
          <w:iCs/>
          <w:lang w:val="en-GB"/>
        </w:rPr>
        <w:t xml:space="preserve">dministrative district of a </w:t>
      </w:r>
      <w:r w:rsidRPr="00A05471">
        <w:rPr>
          <w:rFonts w:ascii="Arial" w:hAnsi="Arial" w:cs="Arial"/>
          <w:b/>
          <w:bCs/>
          <w:i/>
          <w:iCs/>
          <w:lang w:val="en-GB"/>
        </w:rPr>
        <w:t>municipality with extended powers</w:t>
      </w:r>
      <w:r w:rsidRPr="00A05471">
        <w:rPr>
          <w:rFonts w:ascii="Arial" w:hAnsi="Arial" w:cs="Arial"/>
          <w:i/>
          <w:iCs/>
          <w:lang w:val="en-GB"/>
        </w:rPr>
        <w:t xml:space="preserve"> – MEP (</w:t>
      </w:r>
      <w:r w:rsidRPr="006A5080">
        <w:rPr>
          <w:rFonts w:ascii="Arial" w:hAnsi="Arial" w:cs="Arial"/>
          <w:iCs/>
          <w:lang w:val="en-GB"/>
        </w:rPr>
        <w:t>obe</w:t>
      </w:r>
      <w:r w:rsidRPr="00A05471">
        <w:rPr>
          <w:rFonts w:ascii="Arial" w:hAnsi="Arial" w:cs="Arial"/>
          <w:iCs/>
          <w:lang w:val="en-GB"/>
        </w:rPr>
        <w:t>c</w:t>
      </w:r>
      <w:r w:rsidRPr="006A5080">
        <w:rPr>
          <w:rFonts w:ascii="Arial" w:hAnsi="Arial" w:cs="Arial"/>
          <w:iCs/>
          <w:lang w:val="en-GB"/>
        </w:rPr>
        <w:t xml:space="preserve"> s rozšířenou působností</w:t>
      </w:r>
      <w:r w:rsidRPr="00A05471">
        <w:rPr>
          <w:rFonts w:ascii="Arial" w:hAnsi="Arial" w:cs="Arial"/>
          <w:i/>
          <w:iCs/>
          <w:lang w:val="en-GB"/>
        </w:rPr>
        <w:t xml:space="preserve"> – ORP in Czech) is defined by listing of territories of municipalities and of military districts</w:t>
      </w:r>
      <w:r>
        <w:rPr>
          <w:rFonts w:ascii="Arial" w:hAnsi="Arial" w:cs="Arial"/>
          <w:i/>
          <w:iCs/>
          <w:lang w:val="en-GB"/>
        </w:rPr>
        <w:t>.</w:t>
      </w:r>
      <w:r w:rsidRPr="00A05471">
        <w:rPr>
          <w:rFonts w:ascii="Arial" w:hAnsi="Arial" w:cs="Arial"/>
          <w:i/>
          <w:iCs/>
          <w:lang w:val="en-GB"/>
        </w:rPr>
        <w:t xml:space="preserve"> </w:t>
      </w:r>
      <w:r w:rsidRPr="00E17305">
        <w:rPr>
          <w:rFonts w:ascii="Arial" w:hAnsi="Arial" w:cs="Arial"/>
          <w:i/>
          <w:iCs/>
          <w:lang w:val="en-GB"/>
        </w:rPr>
        <w:t xml:space="preserve">Municipalities are assigned to the municipalities with extended powers by the Decree of the Ministry of the Interior No </w:t>
      </w:r>
      <w:r w:rsidRPr="00E17305">
        <w:rPr>
          <w:rFonts w:ascii="Arial" w:hAnsi="Arial" w:cs="Arial"/>
          <w:i/>
          <w:iCs/>
          <w:lang w:val="cs-CZ"/>
        </w:rPr>
        <w:t xml:space="preserve">346/2020 Sb, on </w:t>
      </w:r>
      <w:r w:rsidRPr="00E17305">
        <w:rPr>
          <w:rFonts w:ascii="Arial" w:hAnsi="Arial" w:cs="Arial"/>
          <w:i/>
          <w:iCs/>
          <w:lang w:val="en-GB"/>
        </w:rPr>
        <w:t>Determination of Administrative Districts of Municipalities with Extended Powers, Territories of Districts of the Capital City of Prague, and Pertaining of Some Municipalities to Another District</w:t>
      </w:r>
      <w:r w:rsidRPr="00E17305">
        <w:rPr>
          <w:rFonts w:ascii="Arial" w:hAnsi="Arial" w:cs="Arial"/>
          <w:i/>
          <w:iCs/>
          <w:lang w:val="cs-CZ"/>
        </w:rPr>
        <w:t>.</w:t>
      </w:r>
      <w:r w:rsidRPr="00FF0AC3">
        <w:rPr>
          <w:rFonts w:ascii="Arial" w:hAnsi="Arial" w:cs="Arial"/>
          <w:i/>
          <w:iCs/>
          <w:lang w:val="cs-CZ"/>
        </w:rPr>
        <w:t xml:space="preserve"> </w:t>
      </w:r>
    </w:p>
    <w:p w14:paraId="4384837A" w14:textId="77777777" w:rsidR="00F55DD4" w:rsidRPr="009C3903" w:rsidRDefault="00F55DD4" w:rsidP="00E17305">
      <w:pPr>
        <w:pStyle w:val="Odstavecseseznamem"/>
        <w:rPr>
          <w:rFonts w:ascii="Arial" w:hAnsi="Arial" w:cs="Arial"/>
          <w:i/>
          <w:iCs/>
          <w:lang w:val="en-GB"/>
        </w:rPr>
      </w:pPr>
    </w:p>
    <w:p w14:paraId="4DB4B676" w14:textId="1AC130D2" w:rsidR="00635E86" w:rsidRPr="00A22FD3" w:rsidRDefault="004B1EE0" w:rsidP="005B72EA">
      <w:pPr>
        <w:numPr>
          <w:ilvl w:val="0"/>
          <w:numId w:val="2"/>
        </w:numPr>
        <w:ind w:left="1134" w:right="567" w:hanging="210"/>
        <w:jc w:val="both"/>
        <w:rPr>
          <w:rFonts w:ascii="Arial" w:hAnsi="Arial" w:cs="Arial"/>
          <w:i/>
          <w:iCs/>
          <w:lang w:val="en-GB"/>
        </w:rPr>
      </w:pPr>
      <w:r w:rsidRPr="00A22FD3">
        <w:rPr>
          <w:rFonts w:ascii="Arial" w:hAnsi="Arial" w:cs="Arial"/>
          <w:i/>
          <w:iCs/>
          <w:lang w:val="en-GB"/>
        </w:rPr>
        <w:t xml:space="preserve">For </w:t>
      </w:r>
      <w:r w:rsidR="00635E86" w:rsidRPr="00E17305">
        <w:rPr>
          <w:rFonts w:ascii="Arial" w:hAnsi="Arial" w:cs="Arial"/>
          <w:b/>
          <w:i/>
          <w:iCs/>
          <w:lang w:val="en-GB"/>
        </w:rPr>
        <w:t xml:space="preserve">the Capital City of </w:t>
      </w:r>
      <w:r w:rsidR="00226014" w:rsidRPr="00E17305">
        <w:rPr>
          <w:rFonts w:ascii="Arial" w:hAnsi="Arial" w:cs="Arial"/>
          <w:b/>
          <w:i/>
          <w:iCs/>
          <w:lang w:val="en-GB"/>
        </w:rPr>
        <w:t>Prague</w:t>
      </w:r>
      <w:r w:rsidR="00A66D7A" w:rsidRPr="00A22FD3">
        <w:rPr>
          <w:rFonts w:ascii="Arial" w:hAnsi="Arial" w:cs="Arial"/>
          <w:i/>
          <w:iCs/>
          <w:lang w:val="en-GB"/>
        </w:rPr>
        <w:t xml:space="preserve"> </w:t>
      </w:r>
      <w:r w:rsidR="00A66D7A" w:rsidRPr="00A22FD3">
        <w:rPr>
          <w:rFonts w:ascii="Arial" w:hAnsi="Arial" w:cs="Arial"/>
          <w:bCs/>
          <w:i/>
          <w:iCs/>
          <w:lang w:val="en-GB"/>
        </w:rPr>
        <w:t>(</w:t>
      </w:r>
      <w:r w:rsidR="00A66D7A" w:rsidRPr="00A22FD3">
        <w:rPr>
          <w:rFonts w:ascii="Arial" w:hAnsi="Arial" w:cs="Arial"/>
          <w:bCs/>
          <w:iCs/>
          <w:lang w:val="en-GB"/>
        </w:rPr>
        <w:t>Praha</w:t>
      </w:r>
      <w:r w:rsidR="00A66D7A" w:rsidRPr="00A22FD3">
        <w:rPr>
          <w:rFonts w:ascii="Arial" w:hAnsi="Arial" w:cs="Arial"/>
          <w:bCs/>
          <w:i/>
          <w:iCs/>
          <w:lang w:val="en-GB"/>
        </w:rPr>
        <w:t>)</w:t>
      </w:r>
      <w:r w:rsidR="00A22FD3" w:rsidRPr="00A22FD3">
        <w:rPr>
          <w:rFonts w:ascii="Arial" w:hAnsi="Arial" w:cs="Arial"/>
          <w:bCs/>
          <w:i/>
          <w:iCs/>
          <w:lang w:val="en-GB"/>
        </w:rPr>
        <w:t>,</w:t>
      </w:r>
      <w:r w:rsidR="00226014" w:rsidRPr="00A22FD3">
        <w:rPr>
          <w:rFonts w:ascii="Arial" w:hAnsi="Arial" w:cs="Arial"/>
          <w:i/>
          <w:iCs/>
          <w:lang w:val="en-GB"/>
        </w:rPr>
        <w:t xml:space="preserve"> </w:t>
      </w:r>
      <w:r w:rsidR="00635E86" w:rsidRPr="00A22FD3">
        <w:rPr>
          <w:rFonts w:ascii="Arial" w:hAnsi="Arial" w:cs="Arial"/>
          <w:i/>
          <w:iCs/>
          <w:lang w:val="en-GB"/>
        </w:rPr>
        <w:t>administrative districts</w:t>
      </w:r>
      <w:r w:rsidRPr="00A22FD3">
        <w:rPr>
          <w:rFonts w:ascii="Arial" w:hAnsi="Arial" w:cs="Arial"/>
          <w:i/>
          <w:iCs/>
          <w:lang w:val="en-GB"/>
        </w:rPr>
        <w:t xml:space="preserve"> are given</w:t>
      </w:r>
      <w:r w:rsidR="00635E86" w:rsidRPr="00A22FD3">
        <w:rPr>
          <w:rFonts w:ascii="Arial" w:hAnsi="Arial" w:cs="Arial"/>
          <w:i/>
          <w:iCs/>
          <w:lang w:val="en-GB"/>
        </w:rPr>
        <w:t xml:space="preserve">, which city </w:t>
      </w:r>
      <w:r w:rsidR="00F55DD4" w:rsidRPr="00A22FD3">
        <w:rPr>
          <w:rFonts w:ascii="Arial" w:hAnsi="Arial" w:cs="Arial"/>
          <w:i/>
          <w:iCs/>
          <w:lang w:val="en-GB"/>
        </w:rPr>
        <w:t>sections/</w:t>
      </w:r>
      <w:r w:rsidR="00635E86" w:rsidRPr="00A22FD3">
        <w:rPr>
          <w:rFonts w:ascii="Arial" w:hAnsi="Arial" w:cs="Arial"/>
          <w:i/>
          <w:iCs/>
          <w:lang w:val="en-GB"/>
        </w:rPr>
        <w:t xml:space="preserve">parts belong to (i.e. to administrative districts of </w:t>
      </w:r>
      <w:r w:rsidR="00635E86" w:rsidRPr="00E17305">
        <w:rPr>
          <w:rFonts w:ascii="Arial" w:hAnsi="Arial" w:cs="Arial"/>
          <w:iCs/>
          <w:lang w:val="en-GB"/>
        </w:rPr>
        <w:t>Praha 1</w:t>
      </w:r>
      <w:r w:rsidR="00635E86" w:rsidRPr="00A22FD3">
        <w:rPr>
          <w:rFonts w:ascii="Arial" w:hAnsi="Arial" w:cs="Arial"/>
          <w:i/>
          <w:iCs/>
          <w:lang w:val="en-GB"/>
        </w:rPr>
        <w:t xml:space="preserve"> to </w:t>
      </w:r>
      <w:r w:rsidR="00C535F9" w:rsidRPr="00E17305">
        <w:rPr>
          <w:rFonts w:ascii="Arial" w:hAnsi="Arial" w:cs="Arial"/>
          <w:iCs/>
          <w:lang w:val="en-GB"/>
        </w:rPr>
        <w:t xml:space="preserve">Praha </w:t>
      </w:r>
      <w:r w:rsidR="00635E86" w:rsidRPr="00E17305">
        <w:rPr>
          <w:rFonts w:ascii="Arial" w:hAnsi="Arial" w:cs="Arial"/>
          <w:iCs/>
          <w:lang w:val="en-GB"/>
        </w:rPr>
        <w:t>22</w:t>
      </w:r>
      <w:r w:rsidR="00635E86" w:rsidRPr="00A22FD3">
        <w:rPr>
          <w:rFonts w:ascii="Arial" w:hAnsi="Arial" w:cs="Arial"/>
          <w:i/>
          <w:iCs/>
          <w:lang w:val="en-GB"/>
        </w:rPr>
        <w:t xml:space="preserve"> when authorities of these city </w:t>
      </w:r>
      <w:r w:rsidR="00A22FD3" w:rsidRPr="00E17305">
        <w:rPr>
          <w:rFonts w:ascii="Arial" w:hAnsi="Arial" w:cs="Arial"/>
          <w:i/>
          <w:iCs/>
          <w:lang w:val="en-GB"/>
        </w:rPr>
        <w:t>sections/parts</w:t>
      </w:r>
      <w:r w:rsidR="00635E86" w:rsidRPr="00A22FD3">
        <w:rPr>
          <w:rFonts w:ascii="Arial" w:hAnsi="Arial" w:cs="Arial"/>
          <w:i/>
          <w:iCs/>
          <w:lang w:val="en-GB"/>
        </w:rPr>
        <w:t xml:space="preserve"> exercise a great part of </w:t>
      </w:r>
      <w:r w:rsidR="00A22FD3" w:rsidRPr="00A22FD3">
        <w:rPr>
          <w:rFonts w:ascii="Arial" w:hAnsi="Arial" w:cs="Arial"/>
          <w:i/>
          <w:iCs/>
          <w:lang w:val="en-GB"/>
        </w:rPr>
        <w:t xml:space="preserve">state </w:t>
      </w:r>
      <w:r w:rsidR="00635E86" w:rsidRPr="00A22FD3">
        <w:rPr>
          <w:rFonts w:ascii="Arial" w:hAnsi="Arial" w:cs="Arial"/>
          <w:i/>
          <w:iCs/>
          <w:lang w:val="en-GB"/>
        </w:rPr>
        <w:t xml:space="preserve">administration for </w:t>
      </w:r>
      <w:r w:rsidR="00B67C5D" w:rsidRPr="00E17305">
        <w:rPr>
          <w:rFonts w:ascii="Arial" w:hAnsi="Arial" w:cs="Arial"/>
          <w:i/>
          <w:iCs/>
          <w:lang w:val="en-GB"/>
        </w:rPr>
        <w:t>the population</w:t>
      </w:r>
      <w:r w:rsidR="00B67C5D" w:rsidRPr="00A22FD3">
        <w:rPr>
          <w:rFonts w:ascii="Arial" w:hAnsi="Arial" w:cs="Arial"/>
          <w:i/>
          <w:iCs/>
          <w:lang w:val="en-GB"/>
        </w:rPr>
        <w:t xml:space="preserve"> </w:t>
      </w:r>
      <w:r w:rsidR="00635E86" w:rsidRPr="00A22FD3">
        <w:rPr>
          <w:rFonts w:ascii="Arial" w:hAnsi="Arial" w:cs="Arial"/>
          <w:i/>
          <w:iCs/>
          <w:lang w:val="en-GB"/>
        </w:rPr>
        <w:t xml:space="preserve">of the remaining 35 city </w:t>
      </w:r>
      <w:r w:rsidR="00E21352" w:rsidRPr="00A22FD3">
        <w:rPr>
          <w:rFonts w:ascii="Arial" w:hAnsi="Arial" w:cs="Arial"/>
          <w:i/>
          <w:iCs/>
          <w:lang w:val="en-GB"/>
        </w:rPr>
        <w:t>sections/</w:t>
      </w:r>
      <w:r w:rsidR="00635E86" w:rsidRPr="00A22FD3">
        <w:rPr>
          <w:rFonts w:ascii="Arial" w:hAnsi="Arial" w:cs="Arial"/>
          <w:i/>
          <w:iCs/>
          <w:lang w:val="en-GB"/>
        </w:rPr>
        <w:t>parts).</w:t>
      </w:r>
    </w:p>
    <w:p w14:paraId="28C8BE9C" w14:textId="77777777" w:rsidR="00635E86" w:rsidRPr="009361CF" w:rsidRDefault="00635E86" w:rsidP="005B72EA">
      <w:pPr>
        <w:ind w:left="1134" w:right="567" w:hanging="210"/>
        <w:jc w:val="both"/>
        <w:rPr>
          <w:rFonts w:ascii="Arial" w:hAnsi="Arial" w:cs="Arial"/>
          <w:i/>
          <w:iCs/>
          <w:lang w:val="en-GB"/>
        </w:rPr>
      </w:pPr>
    </w:p>
    <w:p w14:paraId="3845362C" w14:textId="086585FD" w:rsidR="00635E86" w:rsidRPr="009C3903" w:rsidRDefault="00635E86" w:rsidP="005B72EA">
      <w:pPr>
        <w:numPr>
          <w:ilvl w:val="0"/>
          <w:numId w:val="2"/>
        </w:numPr>
        <w:ind w:left="1134" w:right="567" w:hanging="210"/>
        <w:jc w:val="both"/>
        <w:rPr>
          <w:rFonts w:ascii="Arial" w:hAnsi="Arial" w:cs="Arial"/>
          <w:i/>
          <w:iCs/>
          <w:lang w:val="en-GB"/>
        </w:rPr>
      </w:pPr>
      <w:r w:rsidRPr="009C3903">
        <w:rPr>
          <w:rFonts w:ascii="Arial" w:hAnsi="Arial" w:cs="Arial"/>
          <w:i/>
          <w:iCs/>
          <w:lang w:val="en-GB"/>
        </w:rPr>
        <w:t xml:space="preserve">A </w:t>
      </w:r>
      <w:r w:rsidRPr="009C3903">
        <w:rPr>
          <w:rFonts w:ascii="Arial" w:hAnsi="Arial" w:cs="Arial"/>
          <w:b/>
          <w:i/>
          <w:iCs/>
          <w:lang w:val="en-GB"/>
        </w:rPr>
        <w:t>municipality part</w:t>
      </w:r>
      <w:r w:rsidRPr="009C3903">
        <w:rPr>
          <w:rFonts w:ascii="Arial" w:hAnsi="Arial" w:cs="Arial"/>
          <w:i/>
          <w:iCs/>
          <w:lang w:val="en-GB"/>
        </w:rPr>
        <w:t xml:space="preserve"> (</w:t>
      </w:r>
      <w:r w:rsidRPr="00E17305">
        <w:rPr>
          <w:rFonts w:ascii="Arial" w:hAnsi="Arial" w:cs="Arial"/>
          <w:iCs/>
          <w:lang w:val="en-GB"/>
        </w:rPr>
        <w:t>část obce</w:t>
      </w:r>
      <w:r w:rsidR="0027341C" w:rsidRPr="009C3903">
        <w:rPr>
          <w:rFonts w:ascii="Arial" w:hAnsi="Arial" w:cs="Arial"/>
          <w:iCs/>
          <w:lang w:val="en-GB"/>
        </w:rPr>
        <w:t xml:space="preserve"> </w:t>
      </w:r>
      <w:r w:rsidR="0027341C" w:rsidRPr="009C3903">
        <w:rPr>
          <w:rFonts w:ascii="Arial" w:hAnsi="Arial" w:cs="Arial"/>
          <w:i/>
          <w:iCs/>
          <w:lang w:val="en-GB"/>
        </w:rPr>
        <w:t>in Czech</w:t>
      </w:r>
      <w:r w:rsidRPr="009C3903">
        <w:rPr>
          <w:rFonts w:ascii="Arial" w:hAnsi="Arial" w:cs="Arial"/>
          <w:i/>
          <w:iCs/>
          <w:lang w:val="en-GB"/>
        </w:rPr>
        <w:t xml:space="preserve">) can </w:t>
      </w:r>
      <w:r w:rsidRPr="00CA0538">
        <w:rPr>
          <w:rFonts w:ascii="Arial" w:hAnsi="Arial" w:cs="Arial"/>
          <w:i/>
          <w:iCs/>
          <w:lang w:val="en-GB"/>
        </w:rPr>
        <w:t>be defined two ways</w:t>
      </w:r>
      <w:r w:rsidRPr="009C3903">
        <w:rPr>
          <w:rFonts w:ascii="Arial" w:hAnsi="Arial" w:cs="Arial"/>
          <w:i/>
          <w:iCs/>
          <w:lang w:val="en-GB"/>
        </w:rPr>
        <w:t>. It is a unit of the territorial division of the country, which is published on the official list of municipalities and municipality parts (i.e. in the Statistical Lexicon of Municipalities of the Czech Republic 20</w:t>
      </w:r>
      <w:r w:rsidR="00CA3018">
        <w:rPr>
          <w:rFonts w:ascii="Arial" w:hAnsi="Arial" w:cs="Arial"/>
          <w:i/>
          <w:iCs/>
          <w:lang w:val="en-GB"/>
        </w:rPr>
        <w:t>24</w:t>
      </w:r>
      <w:r w:rsidRPr="009C3903">
        <w:rPr>
          <w:rFonts w:ascii="Arial" w:hAnsi="Arial" w:cs="Arial"/>
          <w:bCs/>
          <w:i/>
          <w:iCs/>
          <w:lang w:val="en-GB"/>
        </w:rPr>
        <w:t xml:space="preserve">). Unless municipality is subdivided into several parts, it is considered as one municipality part for the needs of </w:t>
      </w:r>
      <w:r w:rsidRPr="00731D73">
        <w:rPr>
          <w:rFonts w:ascii="Arial" w:hAnsi="Arial" w:cs="Arial"/>
          <w:bCs/>
          <w:i/>
          <w:iCs/>
          <w:lang w:val="en-GB"/>
        </w:rPr>
        <w:t xml:space="preserve">statistics. </w:t>
      </w:r>
      <w:r w:rsidR="000528CF">
        <w:rPr>
          <w:rFonts w:ascii="Arial" w:hAnsi="Arial" w:cs="Arial"/>
          <w:i/>
          <w:iCs/>
          <w:lang w:val="en-GB"/>
        </w:rPr>
        <w:t>I</w:t>
      </w:r>
      <w:r w:rsidR="003F3D81" w:rsidRPr="00731D73">
        <w:rPr>
          <w:rFonts w:ascii="Arial" w:hAnsi="Arial" w:cs="Arial"/>
          <w:i/>
          <w:iCs/>
          <w:lang w:val="en-GB"/>
        </w:rPr>
        <w:t>n substantive terms</w:t>
      </w:r>
      <w:r w:rsidRPr="00731D73">
        <w:rPr>
          <w:rFonts w:ascii="Arial" w:hAnsi="Arial" w:cs="Arial"/>
          <w:i/>
          <w:iCs/>
          <w:lang w:val="en-GB"/>
        </w:rPr>
        <w:t xml:space="preserve">, </w:t>
      </w:r>
      <w:r w:rsidR="003966D0">
        <w:rPr>
          <w:rFonts w:ascii="Arial" w:hAnsi="Arial" w:cs="Arial"/>
          <w:i/>
          <w:iCs/>
          <w:lang w:val="en-GB"/>
        </w:rPr>
        <w:t>a</w:t>
      </w:r>
      <w:r w:rsidRPr="009C3903">
        <w:rPr>
          <w:rFonts w:ascii="Arial" w:hAnsi="Arial" w:cs="Arial"/>
          <w:i/>
          <w:iCs/>
          <w:lang w:val="en-GB"/>
        </w:rPr>
        <w:t xml:space="preserve"> municipality part is a group of h</w:t>
      </w:r>
      <w:r w:rsidR="004B1EE0" w:rsidRPr="009C3903">
        <w:rPr>
          <w:rFonts w:ascii="Arial" w:hAnsi="Arial" w:cs="Arial"/>
          <w:i/>
          <w:iCs/>
          <w:lang w:val="en-GB"/>
        </w:rPr>
        <w:t>ouses having a common name and houses</w:t>
      </w:r>
      <w:r w:rsidR="00135C88" w:rsidRPr="009C3903">
        <w:rPr>
          <w:rFonts w:ascii="Arial" w:hAnsi="Arial" w:cs="Arial"/>
          <w:i/>
        </w:rPr>
        <w:t>'</w:t>
      </w:r>
      <w:r w:rsidR="004B1EE0" w:rsidRPr="009C3903">
        <w:rPr>
          <w:rFonts w:ascii="Arial" w:hAnsi="Arial" w:cs="Arial"/>
          <w:i/>
          <w:iCs/>
          <w:lang w:val="en-GB"/>
        </w:rPr>
        <w:t xml:space="preserve"> </w:t>
      </w:r>
      <w:r w:rsidRPr="009C3903">
        <w:rPr>
          <w:rFonts w:ascii="Arial" w:hAnsi="Arial" w:cs="Arial"/>
          <w:i/>
          <w:iCs/>
          <w:lang w:val="en-GB"/>
        </w:rPr>
        <w:t xml:space="preserve">numbers of one numerical series. In the </w:t>
      </w:r>
      <w:r w:rsidR="00137579" w:rsidRPr="009C3903">
        <w:rPr>
          <w:rFonts w:ascii="Arial" w:hAnsi="Arial" w:cs="Arial"/>
          <w:i/>
          <w:iCs/>
          <w:lang w:val="en-GB"/>
        </w:rPr>
        <w:t xml:space="preserve">cities </w:t>
      </w:r>
      <w:r w:rsidRPr="009C3903">
        <w:rPr>
          <w:rFonts w:ascii="Arial" w:hAnsi="Arial" w:cs="Arial"/>
          <w:i/>
          <w:iCs/>
          <w:lang w:val="en-GB"/>
        </w:rPr>
        <w:t xml:space="preserve">of </w:t>
      </w:r>
      <w:r w:rsidR="005B4542" w:rsidRPr="009C3903">
        <w:rPr>
          <w:rFonts w:ascii="Arial" w:hAnsi="Arial" w:cs="Arial"/>
          <w:i/>
          <w:iCs/>
          <w:lang w:val="en-GB"/>
        </w:rPr>
        <w:t>Prague</w:t>
      </w:r>
      <w:r w:rsidR="00A66D7A" w:rsidRPr="009C3903">
        <w:rPr>
          <w:rFonts w:ascii="Arial" w:hAnsi="Arial" w:cs="Arial"/>
          <w:i/>
          <w:iCs/>
          <w:lang w:val="en-GB"/>
        </w:rPr>
        <w:t xml:space="preserve"> </w:t>
      </w:r>
      <w:r w:rsidR="00A66D7A" w:rsidRPr="009C3903">
        <w:rPr>
          <w:rFonts w:ascii="Arial" w:hAnsi="Arial" w:cs="Arial"/>
          <w:bCs/>
          <w:i/>
          <w:iCs/>
          <w:lang w:val="en-GB"/>
        </w:rPr>
        <w:t>(</w:t>
      </w:r>
      <w:r w:rsidR="00A66D7A" w:rsidRPr="009C3903">
        <w:rPr>
          <w:rFonts w:ascii="Arial" w:hAnsi="Arial" w:cs="Arial"/>
          <w:bCs/>
          <w:iCs/>
          <w:lang w:val="en-GB"/>
        </w:rPr>
        <w:t>Praha</w:t>
      </w:r>
      <w:r w:rsidR="00A66D7A" w:rsidRPr="009C3903">
        <w:rPr>
          <w:rFonts w:ascii="Arial" w:hAnsi="Arial" w:cs="Arial"/>
          <w:bCs/>
          <w:i/>
          <w:iCs/>
          <w:lang w:val="en-GB"/>
        </w:rPr>
        <w:t>)</w:t>
      </w:r>
      <w:r w:rsidRPr="009C3903">
        <w:rPr>
          <w:rFonts w:ascii="Arial" w:hAnsi="Arial" w:cs="Arial"/>
          <w:i/>
          <w:iCs/>
          <w:lang w:val="en-GB"/>
        </w:rPr>
        <w:t xml:space="preserve">, </w:t>
      </w:r>
      <w:r w:rsidRPr="00E17305">
        <w:rPr>
          <w:rFonts w:ascii="Arial" w:hAnsi="Arial" w:cs="Arial"/>
          <w:iCs/>
          <w:lang w:val="en-GB"/>
        </w:rPr>
        <w:t>Brno</w:t>
      </w:r>
      <w:r w:rsidRPr="009C3903">
        <w:rPr>
          <w:rFonts w:ascii="Arial" w:hAnsi="Arial" w:cs="Arial"/>
          <w:i/>
          <w:iCs/>
          <w:lang w:val="en-GB"/>
        </w:rPr>
        <w:t xml:space="preserve">, </w:t>
      </w:r>
      <w:r w:rsidRPr="00E17305">
        <w:rPr>
          <w:rFonts w:ascii="Arial" w:hAnsi="Arial" w:cs="Arial"/>
          <w:iCs/>
          <w:lang w:val="en-GB"/>
        </w:rPr>
        <w:t>Plzeň</w:t>
      </w:r>
      <w:r w:rsidRPr="009C3903">
        <w:rPr>
          <w:rFonts w:ascii="Arial" w:hAnsi="Arial" w:cs="Arial"/>
          <w:i/>
          <w:iCs/>
          <w:lang w:val="en-GB"/>
        </w:rPr>
        <w:t xml:space="preserve">, </w:t>
      </w:r>
      <w:r w:rsidRPr="00E17305">
        <w:rPr>
          <w:rFonts w:ascii="Arial" w:hAnsi="Arial" w:cs="Arial"/>
          <w:iCs/>
          <w:lang w:val="en-GB"/>
        </w:rPr>
        <w:t>Pardubice</w:t>
      </w:r>
      <w:r w:rsidRPr="009C3903">
        <w:rPr>
          <w:rFonts w:ascii="Arial" w:hAnsi="Arial" w:cs="Arial"/>
          <w:i/>
          <w:iCs/>
          <w:lang w:val="en-GB"/>
        </w:rPr>
        <w:t xml:space="preserve">, and </w:t>
      </w:r>
      <w:r w:rsidRPr="00E17305">
        <w:rPr>
          <w:rFonts w:ascii="Arial" w:hAnsi="Arial" w:cs="Arial"/>
          <w:iCs/>
          <w:lang w:val="en-GB"/>
        </w:rPr>
        <w:t>Opava</w:t>
      </w:r>
      <w:r w:rsidR="00E96128" w:rsidRPr="00E17305">
        <w:rPr>
          <w:rFonts w:ascii="Arial" w:hAnsi="Arial" w:cs="Arial"/>
          <w:i/>
          <w:iCs/>
          <w:lang w:val="en-GB"/>
        </w:rPr>
        <w:t>,</w:t>
      </w:r>
      <w:r w:rsidRPr="009C3903">
        <w:rPr>
          <w:rFonts w:ascii="Arial" w:hAnsi="Arial" w:cs="Arial"/>
          <w:i/>
          <w:iCs/>
          <w:lang w:val="en-GB"/>
        </w:rPr>
        <w:t xml:space="preserve"> some municipality parts are divided by borders of </w:t>
      </w:r>
      <w:r w:rsidR="00FE0DA6">
        <w:rPr>
          <w:rFonts w:ascii="Arial" w:hAnsi="Arial" w:cs="Arial"/>
          <w:i/>
          <w:iCs/>
          <w:lang w:val="en-GB"/>
        </w:rPr>
        <w:t xml:space="preserve">a </w:t>
      </w:r>
      <w:r w:rsidRPr="00947DE6">
        <w:rPr>
          <w:rFonts w:ascii="Arial" w:hAnsi="Arial" w:cs="Arial"/>
          <w:i/>
          <w:iCs/>
          <w:lang w:val="en-GB"/>
        </w:rPr>
        <w:t xml:space="preserve">city </w:t>
      </w:r>
      <w:r w:rsidR="00D40182" w:rsidRPr="00947DE6">
        <w:rPr>
          <w:rFonts w:ascii="Arial" w:hAnsi="Arial" w:cs="Arial"/>
          <w:i/>
          <w:iCs/>
          <w:lang w:val="en-GB"/>
        </w:rPr>
        <w:t>section/</w:t>
      </w:r>
      <w:r w:rsidRPr="00947DE6">
        <w:rPr>
          <w:rFonts w:ascii="Arial" w:hAnsi="Arial" w:cs="Arial"/>
          <w:i/>
          <w:iCs/>
          <w:lang w:val="en-GB"/>
        </w:rPr>
        <w:t>part or</w:t>
      </w:r>
      <w:r w:rsidRPr="009C3903">
        <w:rPr>
          <w:rFonts w:ascii="Arial" w:hAnsi="Arial" w:cs="Arial"/>
          <w:i/>
          <w:iCs/>
          <w:lang w:val="en-GB"/>
        </w:rPr>
        <w:t xml:space="preserve"> </w:t>
      </w:r>
      <w:r w:rsidR="00FE0DA6">
        <w:rPr>
          <w:rFonts w:ascii="Arial" w:hAnsi="Arial" w:cs="Arial"/>
          <w:i/>
          <w:iCs/>
          <w:lang w:val="en-GB"/>
        </w:rPr>
        <w:t xml:space="preserve">a </w:t>
      </w:r>
      <w:r w:rsidRPr="009C3903">
        <w:rPr>
          <w:rFonts w:ascii="Arial" w:hAnsi="Arial" w:cs="Arial"/>
          <w:i/>
          <w:iCs/>
          <w:lang w:val="en-GB"/>
        </w:rPr>
        <w:t xml:space="preserve">city district and thus </w:t>
      </w:r>
      <w:r w:rsidRPr="009C3903">
        <w:rPr>
          <w:rFonts w:ascii="Arial" w:hAnsi="Arial" w:cs="Arial"/>
          <w:b/>
          <w:i/>
          <w:iCs/>
          <w:lang w:val="en-GB"/>
        </w:rPr>
        <w:t>subdivisions of municipality parts</w:t>
      </w:r>
      <w:r w:rsidRPr="009C3903">
        <w:rPr>
          <w:rFonts w:ascii="Arial" w:hAnsi="Arial" w:cs="Arial"/>
          <w:i/>
          <w:iCs/>
          <w:lang w:val="en-GB"/>
        </w:rPr>
        <w:t xml:space="preserve"> are formed – statistical municipality parts. For administrative and territorial units, i.e. </w:t>
      </w:r>
      <w:r w:rsidR="00775CE1" w:rsidRPr="00E17305">
        <w:rPr>
          <w:rFonts w:ascii="Arial" w:hAnsi="Arial" w:cs="Arial"/>
          <w:i/>
          <w:iCs/>
          <w:lang w:val="en-GB"/>
        </w:rPr>
        <w:t xml:space="preserve">a </w:t>
      </w:r>
      <w:r w:rsidR="005B4542" w:rsidRPr="009C3903">
        <w:rPr>
          <w:rFonts w:ascii="Arial" w:hAnsi="Arial" w:cs="Arial"/>
          <w:i/>
          <w:iCs/>
          <w:lang w:val="en-GB"/>
        </w:rPr>
        <w:t>R</w:t>
      </w:r>
      <w:r w:rsidRPr="009C3903">
        <w:rPr>
          <w:rFonts w:ascii="Arial" w:hAnsi="Arial" w:cs="Arial"/>
          <w:i/>
          <w:iCs/>
          <w:lang w:val="en-GB"/>
        </w:rPr>
        <w:t xml:space="preserve">egion, </w:t>
      </w:r>
      <w:r w:rsidR="00775CE1" w:rsidRPr="00E17305">
        <w:rPr>
          <w:rFonts w:ascii="Arial" w:hAnsi="Arial" w:cs="Arial"/>
          <w:i/>
          <w:iCs/>
          <w:lang w:val="en-GB"/>
        </w:rPr>
        <w:t xml:space="preserve">a </w:t>
      </w:r>
      <w:r w:rsidR="005B4542" w:rsidRPr="009C3903">
        <w:rPr>
          <w:rFonts w:ascii="Arial" w:hAnsi="Arial" w:cs="Arial"/>
          <w:i/>
          <w:iCs/>
          <w:lang w:val="en-GB"/>
        </w:rPr>
        <w:t>D</w:t>
      </w:r>
      <w:r w:rsidRPr="009C3903">
        <w:rPr>
          <w:rFonts w:ascii="Arial" w:hAnsi="Arial" w:cs="Arial"/>
          <w:i/>
          <w:iCs/>
          <w:lang w:val="en-GB"/>
        </w:rPr>
        <w:t xml:space="preserve">istrict, </w:t>
      </w:r>
      <w:r w:rsidR="00775CE1" w:rsidRPr="00E17305">
        <w:rPr>
          <w:rFonts w:ascii="Arial" w:hAnsi="Arial" w:cs="Arial"/>
          <w:i/>
          <w:iCs/>
          <w:lang w:val="en-GB"/>
        </w:rPr>
        <w:t xml:space="preserve">an </w:t>
      </w:r>
      <w:r w:rsidRPr="009C3903">
        <w:rPr>
          <w:rFonts w:ascii="Arial" w:hAnsi="Arial" w:cs="Arial"/>
          <w:i/>
          <w:iCs/>
          <w:lang w:val="en-GB"/>
        </w:rPr>
        <w:t xml:space="preserve">administrative district of </w:t>
      </w:r>
      <w:r w:rsidR="00D221C9">
        <w:rPr>
          <w:rFonts w:ascii="Arial" w:hAnsi="Arial" w:cs="Arial"/>
          <w:i/>
          <w:iCs/>
          <w:lang w:val="en-GB"/>
        </w:rPr>
        <w:t xml:space="preserve">a </w:t>
      </w:r>
      <w:r w:rsidRPr="009C3903">
        <w:rPr>
          <w:rFonts w:ascii="Arial" w:hAnsi="Arial" w:cs="Arial"/>
          <w:i/>
          <w:iCs/>
          <w:lang w:val="en-GB"/>
        </w:rPr>
        <w:t xml:space="preserve">municipality with extended powers, and </w:t>
      </w:r>
      <w:r w:rsidR="00775CE1" w:rsidRPr="00E17305">
        <w:rPr>
          <w:rFonts w:ascii="Arial" w:hAnsi="Arial" w:cs="Arial"/>
          <w:i/>
          <w:iCs/>
          <w:lang w:val="en-GB"/>
        </w:rPr>
        <w:t xml:space="preserve">a </w:t>
      </w:r>
      <w:r w:rsidRPr="009C3903">
        <w:rPr>
          <w:rFonts w:ascii="Arial" w:hAnsi="Arial" w:cs="Arial"/>
          <w:i/>
          <w:iCs/>
          <w:lang w:val="en-GB"/>
        </w:rPr>
        <w:t>municipality</w:t>
      </w:r>
      <w:r w:rsidR="00775CE1" w:rsidRPr="00E17305">
        <w:rPr>
          <w:rFonts w:ascii="Arial" w:hAnsi="Arial" w:cs="Arial"/>
          <w:i/>
          <w:iCs/>
          <w:lang w:val="en-GB"/>
        </w:rPr>
        <w:t>,</w:t>
      </w:r>
      <w:r w:rsidRPr="009C3903">
        <w:rPr>
          <w:rFonts w:ascii="Arial" w:hAnsi="Arial" w:cs="Arial"/>
          <w:i/>
          <w:iCs/>
          <w:lang w:val="en-GB"/>
        </w:rPr>
        <w:t xml:space="preserve"> the tables give the numbers of municipality parts</w:t>
      </w:r>
      <w:r w:rsidRPr="00947DE6">
        <w:rPr>
          <w:rFonts w:ascii="Arial" w:hAnsi="Arial" w:cs="Arial"/>
          <w:i/>
          <w:iCs/>
          <w:lang w:val="en-GB"/>
        </w:rPr>
        <w:t xml:space="preserve">. For city </w:t>
      </w:r>
      <w:r w:rsidR="00B024F5" w:rsidRPr="00947DE6">
        <w:rPr>
          <w:rFonts w:ascii="Arial" w:hAnsi="Arial" w:cs="Arial"/>
          <w:i/>
          <w:iCs/>
          <w:lang w:val="en-GB"/>
        </w:rPr>
        <w:t>sections/</w:t>
      </w:r>
      <w:r w:rsidRPr="00947DE6">
        <w:rPr>
          <w:rFonts w:ascii="Arial" w:hAnsi="Arial" w:cs="Arial"/>
          <w:i/>
          <w:iCs/>
          <w:lang w:val="en-GB"/>
        </w:rPr>
        <w:t>parts</w:t>
      </w:r>
      <w:r w:rsidRPr="009C3903">
        <w:rPr>
          <w:rFonts w:ascii="Arial" w:hAnsi="Arial" w:cs="Arial"/>
          <w:i/>
          <w:iCs/>
          <w:lang w:val="en-GB"/>
        </w:rPr>
        <w:t xml:space="preserve"> and city districts of the aforementioned </w:t>
      </w:r>
      <w:r w:rsidR="005B4542" w:rsidRPr="009C3903">
        <w:rPr>
          <w:rFonts w:ascii="Arial" w:hAnsi="Arial" w:cs="Arial"/>
          <w:i/>
          <w:iCs/>
          <w:lang w:val="en-GB"/>
        </w:rPr>
        <w:t>cities</w:t>
      </w:r>
      <w:r w:rsidR="00947DE6">
        <w:rPr>
          <w:rFonts w:ascii="Arial" w:hAnsi="Arial" w:cs="Arial"/>
          <w:i/>
          <w:iCs/>
          <w:lang w:val="en-GB"/>
        </w:rPr>
        <w:t>,</w:t>
      </w:r>
      <w:r w:rsidR="005B4542" w:rsidRPr="009C3903">
        <w:rPr>
          <w:rFonts w:ascii="Arial" w:hAnsi="Arial" w:cs="Arial"/>
          <w:i/>
          <w:iCs/>
          <w:lang w:val="en-GB"/>
        </w:rPr>
        <w:t xml:space="preserve"> </w:t>
      </w:r>
      <w:r w:rsidRPr="009C3903">
        <w:rPr>
          <w:rFonts w:ascii="Arial" w:hAnsi="Arial" w:cs="Arial"/>
          <w:i/>
          <w:iCs/>
          <w:lang w:val="en-GB"/>
        </w:rPr>
        <w:t xml:space="preserve">the numbers of subdivisions of municipality parts are given, too. </w:t>
      </w:r>
    </w:p>
    <w:p w14:paraId="523C051C" w14:textId="77777777" w:rsidR="00635E86" w:rsidRPr="009361CF" w:rsidRDefault="00635E86" w:rsidP="005B72EA">
      <w:pPr>
        <w:ind w:left="1134" w:right="567" w:hanging="210"/>
        <w:jc w:val="both"/>
        <w:rPr>
          <w:rFonts w:ascii="Arial" w:hAnsi="Arial" w:cs="Arial"/>
          <w:i/>
          <w:iCs/>
          <w:lang w:val="en-GB"/>
        </w:rPr>
      </w:pPr>
    </w:p>
    <w:p w14:paraId="639CD5D1" w14:textId="6C997CD5" w:rsidR="00635E86" w:rsidRPr="00947DE6" w:rsidRDefault="00635E86" w:rsidP="005B72EA">
      <w:pPr>
        <w:numPr>
          <w:ilvl w:val="0"/>
          <w:numId w:val="2"/>
        </w:numPr>
        <w:ind w:left="1134" w:right="567" w:hanging="210"/>
        <w:jc w:val="both"/>
        <w:rPr>
          <w:rFonts w:ascii="Arial" w:hAnsi="Arial" w:cs="Arial"/>
          <w:i/>
          <w:iCs/>
          <w:lang w:val="en-GB"/>
        </w:rPr>
      </w:pPr>
      <w:r w:rsidRPr="0011590C">
        <w:rPr>
          <w:rFonts w:ascii="Arial" w:hAnsi="Arial" w:cs="Arial"/>
          <w:i/>
          <w:iCs/>
          <w:lang w:val="en-GB"/>
        </w:rPr>
        <w:t xml:space="preserve">A </w:t>
      </w:r>
      <w:r w:rsidRPr="0011590C">
        <w:rPr>
          <w:rFonts w:ascii="Arial" w:hAnsi="Arial" w:cs="Arial"/>
          <w:b/>
          <w:i/>
          <w:iCs/>
          <w:lang w:val="en-GB"/>
        </w:rPr>
        <w:t>cadastral district</w:t>
      </w:r>
      <w:r w:rsidRPr="0011590C">
        <w:rPr>
          <w:rFonts w:ascii="Arial" w:hAnsi="Arial" w:cs="Arial"/>
          <w:i/>
          <w:iCs/>
          <w:lang w:val="en-GB"/>
        </w:rPr>
        <w:t xml:space="preserve"> (</w:t>
      </w:r>
      <w:r w:rsidRPr="00E17305">
        <w:rPr>
          <w:rFonts w:ascii="Arial" w:hAnsi="Arial" w:cs="Arial"/>
          <w:iCs/>
          <w:lang w:val="en-GB"/>
        </w:rPr>
        <w:t>katastrální území</w:t>
      </w:r>
      <w:r w:rsidR="0027341C" w:rsidRPr="0011590C">
        <w:rPr>
          <w:rFonts w:ascii="Arial" w:hAnsi="Arial" w:cs="Arial"/>
          <w:iCs/>
          <w:lang w:val="en-GB"/>
        </w:rPr>
        <w:t xml:space="preserve"> </w:t>
      </w:r>
      <w:r w:rsidR="0027341C" w:rsidRPr="0011590C">
        <w:rPr>
          <w:rFonts w:ascii="Arial" w:hAnsi="Arial" w:cs="Arial"/>
          <w:i/>
          <w:iCs/>
          <w:lang w:val="en-GB"/>
        </w:rPr>
        <w:t>in Czech</w:t>
      </w:r>
      <w:r w:rsidRPr="0011590C">
        <w:rPr>
          <w:rFonts w:ascii="Arial" w:hAnsi="Arial" w:cs="Arial"/>
          <w:i/>
          <w:iCs/>
          <w:lang w:val="en-GB"/>
        </w:rPr>
        <w:t xml:space="preserve">) forms a continuous and jointly registered set of lands (plots). Cadastral territories cover the whole territory of the country. In addition to the cadastral territory concept, the concept of the </w:t>
      </w:r>
      <w:r w:rsidRPr="0011590C">
        <w:rPr>
          <w:rFonts w:ascii="Arial" w:hAnsi="Arial" w:cs="Arial"/>
          <w:bCs/>
          <w:i/>
          <w:iCs/>
          <w:lang w:val="en-GB"/>
        </w:rPr>
        <w:t xml:space="preserve">territorial technical unit </w:t>
      </w:r>
      <w:r w:rsidRPr="0011590C">
        <w:rPr>
          <w:rFonts w:ascii="Arial" w:hAnsi="Arial" w:cs="Arial"/>
          <w:i/>
          <w:iCs/>
          <w:lang w:val="en-GB"/>
        </w:rPr>
        <w:t>(</w:t>
      </w:r>
      <w:r w:rsidRPr="00E17305">
        <w:rPr>
          <w:rFonts w:ascii="Arial" w:hAnsi="Arial" w:cs="Arial"/>
          <w:iCs/>
          <w:lang w:val="en-GB"/>
        </w:rPr>
        <w:t>územně technická jednotka</w:t>
      </w:r>
      <w:r w:rsidR="0027341C" w:rsidRPr="0011590C">
        <w:rPr>
          <w:rFonts w:ascii="Arial" w:hAnsi="Arial" w:cs="Arial"/>
          <w:i/>
          <w:iCs/>
          <w:lang w:val="en-GB"/>
        </w:rPr>
        <w:t xml:space="preserve"> in Czech</w:t>
      </w:r>
      <w:r w:rsidRPr="0011590C">
        <w:rPr>
          <w:rFonts w:ascii="Arial" w:hAnsi="Arial" w:cs="Arial"/>
          <w:i/>
          <w:iCs/>
          <w:lang w:val="en-GB"/>
        </w:rPr>
        <w:t xml:space="preserve">) is also used from time to time. These units are identical with </w:t>
      </w:r>
      <w:r w:rsidRPr="00947DE6">
        <w:rPr>
          <w:rFonts w:ascii="Arial" w:hAnsi="Arial" w:cs="Arial"/>
          <w:i/>
          <w:iCs/>
          <w:lang w:val="en-GB"/>
        </w:rPr>
        <w:t xml:space="preserve">cadastral districts, except for those cadastral districts, which are subdivided by </w:t>
      </w:r>
      <w:r w:rsidR="00AE29E0" w:rsidRPr="00947DE6">
        <w:rPr>
          <w:rFonts w:ascii="Arial" w:hAnsi="Arial" w:cs="Arial"/>
          <w:i/>
          <w:iCs/>
          <w:lang w:val="en-GB"/>
        </w:rPr>
        <w:t xml:space="preserve">city </w:t>
      </w:r>
      <w:r w:rsidR="00C62185" w:rsidRPr="00947DE6">
        <w:rPr>
          <w:rFonts w:ascii="Arial" w:hAnsi="Arial" w:cs="Arial"/>
          <w:i/>
          <w:iCs/>
          <w:lang w:val="en-GB"/>
        </w:rPr>
        <w:t>section/</w:t>
      </w:r>
      <w:r w:rsidRPr="00947DE6">
        <w:rPr>
          <w:rFonts w:ascii="Arial" w:hAnsi="Arial" w:cs="Arial"/>
          <w:i/>
          <w:iCs/>
          <w:lang w:val="en-GB"/>
        </w:rPr>
        <w:t xml:space="preserve">part and/or city district borders (e.g. in </w:t>
      </w:r>
      <w:r w:rsidR="0027341C" w:rsidRPr="00947DE6">
        <w:rPr>
          <w:rFonts w:ascii="Arial" w:hAnsi="Arial" w:cs="Arial"/>
          <w:i/>
          <w:iCs/>
          <w:lang w:val="en-GB"/>
        </w:rPr>
        <w:t>Prague</w:t>
      </w:r>
      <w:r w:rsidR="00A66D7A" w:rsidRPr="00947DE6">
        <w:rPr>
          <w:rFonts w:ascii="Arial" w:hAnsi="Arial" w:cs="Arial"/>
          <w:i/>
          <w:iCs/>
          <w:lang w:val="en-GB"/>
        </w:rPr>
        <w:t xml:space="preserve"> </w:t>
      </w:r>
      <w:r w:rsidR="00A66D7A" w:rsidRPr="00947DE6">
        <w:rPr>
          <w:rFonts w:ascii="Arial" w:hAnsi="Arial" w:cs="Arial"/>
          <w:bCs/>
          <w:i/>
          <w:iCs/>
          <w:lang w:val="en-GB"/>
        </w:rPr>
        <w:t>(</w:t>
      </w:r>
      <w:r w:rsidR="00A66D7A" w:rsidRPr="00947DE6">
        <w:rPr>
          <w:rFonts w:ascii="Arial" w:hAnsi="Arial" w:cs="Arial"/>
          <w:bCs/>
          <w:iCs/>
          <w:lang w:val="en-GB"/>
        </w:rPr>
        <w:t>Praha</w:t>
      </w:r>
      <w:r w:rsidR="00A66D7A" w:rsidRPr="00947DE6">
        <w:rPr>
          <w:rFonts w:ascii="Arial" w:hAnsi="Arial" w:cs="Arial"/>
          <w:bCs/>
          <w:i/>
          <w:iCs/>
          <w:lang w:val="en-GB"/>
        </w:rPr>
        <w:t>)</w:t>
      </w:r>
      <w:r w:rsidRPr="00947DE6">
        <w:rPr>
          <w:rFonts w:ascii="Arial" w:hAnsi="Arial" w:cs="Arial"/>
          <w:i/>
          <w:iCs/>
          <w:lang w:val="en-GB"/>
        </w:rPr>
        <w:t xml:space="preserve">, </w:t>
      </w:r>
      <w:r w:rsidRPr="00E17305">
        <w:rPr>
          <w:rFonts w:ascii="Arial" w:hAnsi="Arial" w:cs="Arial"/>
          <w:iCs/>
          <w:lang w:val="en-GB"/>
        </w:rPr>
        <w:t>Brno</w:t>
      </w:r>
      <w:r w:rsidRPr="00947DE6">
        <w:rPr>
          <w:rFonts w:ascii="Arial" w:hAnsi="Arial" w:cs="Arial"/>
          <w:i/>
          <w:iCs/>
          <w:lang w:val="en-GB"/>
        </w:rPr>
        <w:t xml:space="preserve">, and </w:t>
      </w:r>
      <w:r w:rsidRPr="00E17305">
        <w:rPr>
          <w:rFonts w:ascii="Arial" w:hAnsi="Arial" w:cs="Arial"/>
          <w:iCs/>
          <w:lang w:val="en-GB"/>
        </w:rPr>
        <w:t>Plzeň</w:t>
      </w:r>
      <w:r w:rsidRPr="00947DE6">
        <w:rPr>
          <w:rFonts w:ascii="Arial" w:hAnsi="Arial" w:cs="Arial"/>
          <w:i/>
          <w:iCs/>
          <w:lang w:val="en-GB"/>
        </w:rPr>
        <w:t>).</w:t>
      </w:r>
    </w:p>
    <w:p w14:paraId="12C39A2E" w14:textId="77777777" w:rsidR="00635E86" w:rsidRPr="009361CF" w:rsidRDefault="00635E86" w:rsidP="005B72EA">
      <w:pPr>
        <w:ind w:left="1134" w:right="567" w:hanging="210"/>
        <w:jc w:val="both"/>
        <w:rPr>
          <w:rFonts w:ascii="Arial" w:hAnsi="Arial" w:cs="Arial"/>
          <w:i/>
          <w:iCs/>
          <w:lang w:val="en-GB"/>
        </w:rPr>
      </w:pPr>
    </w:p>
    <w:p w14:paraId="74FE95B9" w14:textId="3C27B2B6" w:rsidR="00635E86" w:rsidRPr="00644FDB" w:rsidRDefault="00635E86" w:rsidP="005B72EA">
      <w:pPr>
        <w:numPr>
          <w:ilvl w:val="0"/>
          <w:numId w:val="2"/>
        </w:numPr>
        <w:ind w:left="1134" w:right="567" w:hanging="210"/>
        <w:jc w:val="both"/>
        <w:rPr>
          <w:rFonts w:ascii="Arial" w:hAnsi="Arial" w:cs="Arial"/>
          <w:i/>
          <w:iCs/>
          <w:lang w:val="en-GB"/>
        </w:rPr>
      </w:pPr>
      <w:r w:rsidRPr="00644FDB">
        <w:rPr>
          <w:rFonts w:ascii="Arial" w:hAnsi="Arial" w:cs="Arial"/>
          <w:i/>
          <w:iCs/>
          <w:lang w:val="en-GB"/>
        </w:rPr>
        <w:t xml:space="preserve">A </w:t>
      </w:r>
      <w:r w:rsidRPr="00644FDB">
        <w:rPr>
          <w:rFonts w:ascii="Arial" w:hAnsi="Arial" w:cs="Arial"/>
          <w:b/>
          <w:i/>
          <w:iCs/>
          <w:lang w:val="en-GB"/>
        </w:rPr>
        <w:t>cadastral area</w:t>
      </w:r>
      <w:r w:rsidRPr="00644FDB">
        <w:rPr>
          <w:rFonts w:ascii="Arial" w:hAnsi="Arial" w:cs="Arial"/>
          <w:i/>
          <w:iCs/>
          <w:lang w:val="en-GB"/>
        </w:rPr>
        <w:t xml:space="preserve"> (</w:t>
      </w:r>
      <w:r w:rsidRPr="00E17305">
        <w:rPr>
          <w:rFonts w:ascii="Arial" w:hAnsi="Arial" w:cs="Arial"/>
          <w:iCs/>
          <w:lang w:val="en-GB"/>
        </w:rPr>
        <w:t>katastrální výměra</w:t>
      </w:r>
      <w:r w:rsidR="0027341C" w:rsidRPr="00644FDB">
        <w:rPr>
          <w:rFonts w:ascii="Arial" w:hAnsi="Arial" w:cs="Arial"/>
          <w:iCs/>
          <w:lang w:val="en-GB"/>
        </w:rPr>
        <w:t xml:space="preserve"> </w:t>
      </w:r>
      <w:r w:rsidR="0027341C" w:rsidRPr="00644FDB">
        <w:rPr>
          <w:rFonts w:ascii="Arial" w:hAnsi="Arial" w:cs="Arial"/>
          <w:i/>
          <w:iCs/>
          <w:lang w:val="en-GB"/>
        </w:rPr>
        <w:t>in Czech</w:t>
      </w:r>
      <w:r w:rsidRPr="00644FDB">
        <w:rPr>
          <w:rFonts w:ascii="Arial" w:hAnsi="Arial" w:cs="Arial"/>
          <w:i/>
          <w:iCs/>
          <w:lang w:val="en-GB"/>
        </w:rPr>
        <w:t xml:space="preserve">) means an area of the cadastral district of a municipality. For the </w:t>
      </w:r>
      <w:r w:rsidR="00101566" w:rsidRPr="00644FDB">
        <w:rPr>
          <w:rFonts w:ascii="Arial" w:hAnsi="Arial" w:cs="Arial"/>
          <w:i/>
          <w:iCs/>
          <w:lang w:val="en-GB"/>
        </w:rPr>
        <w:t xml:space="preserve">cities </w:t>
      </w:r>
      <w:r w:rsidRPr="00644FDB">
        <w:rPr>
          <w:rFonts w:ascii="Arial" w:hAnsi="Arial" w:cs="Arial"/>
          <w:i/>
          <w:iCs/>
          <w:lang w:val="en-GB"/>
        </w:rPr>
        <w:t xml:space="preserve">of </w:t>
      </w:r>
      <w:r w:rsidR="00A66D7A" w:rsidRPr="00644FDB">
        <w:rPr>
          <w:rFonts w:ascii="Arial" w:hAnsi="Arial" w:cs="Arial"/>
          <w:bCs/>
          <w:i/>
          <w:iCs/>
          <w:lang w:val="en-GB"/>
        </w:rPr>
        <w:t>Prague (</w:t>
      </w:r>
      <w:r w:rsidR="00A66D7A" w:rsidRPr="00644FDB">
        <w:rPr>
          <w:rFonts w:ascii="Arial" w:hAnsi="Arial" w:cs="Arial"/>
          <w:bCs/>
          <w:iCs/>
          <w:lang w:val="en-GB"/>
        </w:rPr>
        <w:t>Praha</w:t>
      </w:r>
      <w:r w:rsidR="00A66D7A" w:rsidRPr="00644FDB">
        <w:rPr>
          <w:rFonts w:ascii="Arial" w:hAnsi="Arial" w:cs="Arial"/>
          <w:bCs/>
          <w:i/>
          <w:iCs/>
          <w:lang w:val="en-GB"/>
        </w:rPr>
        <w:t>)</w:t>
      </w:r>
      <w:r w:rsidRPr="00644FDB">
        <w:rPr>
          <w:rFonts w:ascii="Arial" w:hAnsi="Arial" w:cs="Arial"/>
          <w:bCs/>
          <w:i/>
          <w:iCs/>
          <w:lang w:val="en-GB"/>
        </w:rPr>
        <w:t xml:space="preserve">, </w:t>
      </w:r>
      <w:r w:rsidRPr="00E17305">
        <w:rPr>
          <w:rFonts w:ascii="Arial" w:hAnsi="Arial" w:cs="Arial"/>
          <w:bCs/>
          <w:iCs/>
          <w:lang w:val="en-GB"/>
        </w:rPr>
        <w:t>Brno</w:t>
      </w:r>
      <w:r w:rsidRPr="00644FDB">
        <w:rPr>
          <w:rFonts w:ascii="Arial" w:hAnsi="Arial" w:cs="Arial"/>
          <w:bCs/>
          <w:i/>
          <w:iCs/>
          <w:lang w:val="en-GB"/>
        </w:rPr>
        <w:t xml:space="preserve">, </w:t>
      </w:r>
      <w:r w:rsidRPr="00E17305">
        <w:rPr>
          <w:rFonts w:ascii="Arial" w:hAnsi="Arial" w:cs="Arial"/>
          <w:bCs/>
          <w:iCs/>
          <w:lang w:val="en-GB"/>
        </w:rPr>
        <w:t>Opava</w:t>
      </w:r>
      <w:r w:rsidRPr="00644FDB">
        <w:rPr>
          <w:rFonts w:ascii="Arial" w:hAnsi="Arial" w:cs="Arial"/>
          <w:bCs/>
          <w:i/>
          <w:iCs/>
          <w:lang w:val="en-GB"/>
        </w:rPr>
        <w:t xml:space="preserve">, </w:t>
      </w:r>
      <w:r w:rsidRPr="00E17305">
        <w:rPr>
          <w:rFonts w:ascii="Arial" w:hAnsi="Arial" w:cs="Arial"/>
          <w:bCs/>
          <w:iCs/>
          <w:lang w:val="en-GB"/>
        </w:rPr>
        <w:t>Pardubice</w:t>
      </w:r>
      <w:r w:rsidRPr="00644FDB">
        <w:rPr>
          <w:rFonts w:ascii="Arial" w:hAnsi="Arial" w:cs="Arial"/>
          <w:bCs/>
          <w:i/>
          <w:iCs/>
          <w:lang w:val="en-GB"/>
        </w:rPr>
        <w:t xml:space="preserve">, </w:t>
      </w:r>
      <w:r w:rsidRPr="00E17305">
        <w:rPr>
          <w:rFonts w:ascii="Arial" w:hAnsi="Arial" w:cs="Arial"/>
          <w:bCs/>
          <w:iCs/>
          <w:lang w:val="en-GB"/>
        </w:rPr>
        <w:t>Plzeň</w:t>
      </w:r>
      <w:r w:rsidRPr="00644FDB">
        <w:rPr>
          <w:rFonts w:ascii="Arial" w:hAnsi="Arial" w:cs="Arial"/>
          <w:bCs/>
          <w:i/>
          <w:iCs/>
          <w:lang w:val="en-GB"/>
        </w:rPr>
        <w:t xml:space="preserve">, and </w:t>
      </w:r>
      <w:r w:rsidRPr="00E17305">
        <w:rPr>
          <w:rFonts w:ascii="Arial" w:hAnsi="Arial" w:cs="Arial"/>
          <w:bCs/>
          <w:iCs/>
          <w:lang w:val="en-GB"/>
        </w:rPr>
        <w:t>Ústí nad Labem</w:t>
      </w:r>
      <w:r w:rsidRPr="00644FDB">
        <w:rPr>
          <w:rFonts w:ascii="Arial" w:hAnsi="Arial" w:cs="Arial"/>
          <w:i/>
          <w:iCs/>
          <w:lang w:val="en-GB"/>
        </w:rPr>
        <w:t xml:space="preserve">, figures on the area are also given </w:t>
      </w:r>
      <w:r w:rsidRPr="005F75EE">
        <w:rPr>
          <w:rFonts w:ascii="Arial" w:hAnsi="Arial" w:cs="Arial"/>
          <w:i/>
          <w:iCs/>
          <w:lang w:val="en-GB"/>
        </w:rPr>
        <w:t xml:space="preserve">for city </w:t>
      </w:r>
      <w:r w:rsidR="00066AE3" w:rsidRPr="005F75EE">
        <w:rPr>
          <w:rFonts w:ascii="Arial" w:hAnsi="Arial" w:cs="Arial"/>
          <w:i/>
          <w:iCs/>
          <w:lang w:val="en-GB"/>
        </w:rPr>
        <w:t>sections/</w:t>
      </w:r>
      <w:r w:rsidRPr="005F75EE">
        <w:rPr>
          <w:rFonts w:ascii="Arial" w:hAnsi="Arial" w:cs="Arial"/>
          <w:i/>
          <w:iCs/>
          <w:lang w:val="en-GB"/>
        </w:rPr>
        <w:t>parts,</w:t>
      </w:r>
      <w:r w:rsidRPr="005B72EA">
        <w:rPr>
          <w:rFonts w:ascii="Arial" w:hAnsi="Arial" w:cs="Arial"/>
          <w:i/>
          <w:iCs/>
          <w:lang w:val="en-GB"/>
        </w:rPr>
        <w:t xml:space="preserve"> </w:t>
      </w:r>
      <w:r w:rsidRPr="00644FDB">
        <w:rPr>
          <w:rFonts w:ascii="Arial" w:hAnsi="Arial" w:cs="Arial"/>
          <w:i/>
          <w:iCs/>
          <w:lang w:val="en-GB"/>
        </w:rPr>
        <w:t xml:space="preserve">whose cadastral districts have not </w:t>
      </w:r>
      <w:r w:rsidRPr="005F75EE">
        <w:rPr>
          <w:rFonts w:ascii="Arial" w:hAnsi="Arial" w:cs="Arial"/>
          <w:i/>
          <w:iCs/>
          <w:lang w:val="en-GB"/>
        </w:rPr>
        <w:t xml:space="preserve">been </w:t>
      </w:r>
      <w:r w:rsidR="005F77E8" w:rsidRPr="00E17305">
        <w:rPr>
          <w:rFonts w:ascii="Arial" w:hAnsi="Arial" w:cs="Arial"/>
          <w:i/>
          <w:iCs/>
          <w:lang w:val="en-GB"/>
        </w:rPr>
        <w:t>delimited</w:t>
      </w:r>
      <w:r w:rsidRPr="00644FDB">
        <w:rPr>
          <w:rFonts w:ascii="Arial" w:hAnsi="Arial" w:cs="Arial"/>
          <w:i/>
          <w:iCs/>
          <w:lang w:val="en-GB"/>
        </w:rPr>
        <w:t xml:space="preserve"> (subdivided cadastral districts). In these cases the areas are estimated according to </w:t>
      </w:r>
      <w:r w:rsidR="000F0F4D">
        <w:rPr>
          <w:rFonts w:ascii="Arial" w:hAnsi="Arial" w:cs="Arial"/>
          <w:i/>
          <w:iCs/>
          <w:lang w:val="en-GB"/>
        </w:rPr>
        <w:t>the</w:t>
      </w:r>
      <w:r w:rsidRPr="00644FDB">
        <w:rPr>
          <w:rFonts w:ascii="Arial" w:hAnsi="Arial" w:cs="Arial"/>
          <w:i/>
          <w:iCs/>
          <w:lang w:val="en-GB"/>
        </w:rPr>
        <w:t xml:space="preserve"> GIS as a sum of areas of territorial technical units based on values of cadastral district areas according to data provided by </w:t>
      </w:r>
      <w:r w:rsidR="004B1EE0" w:rsidRPr="00644FDB">
        <w:rPr>
          <w:rFonts w:ascii="Arial" w:hAnsi="Arial" w:cs="Arial"/>
          <w:i/>
          <w:iCs/>
          <w:lang w:val="en-GB"/>
        </w:rPr>
        <w:t xml:space="preserve">the </w:t>
      </w:r>
      <w:r w:rsidR="004B1EE0" w:rsidRPr="00E71663">
        <w:rPr>
          <w:rFonts w:ascii="Arial" w:hAnsi="Arial" w:cs="Arial"/>
          <w:i/>
          <w:iCs/>
          <w:lang w:val="en-GB"/>
        </w:rPr>
        <w:t xml:space="preserve">Czech Office for Surveying, Mapping and </w:t>
      </w:r>
      <w:r w:rsidR="004B1EE0" w:rsidRPr="00963167">
        <w:rPr>
          <w:rFonts w:ascii="Arial" w:hAnsi="Arial" w:cs="Arial"/>
          <w:i/>
          <w:iCs/>
          <w:lang w:val="en-GB"/>
        </w:rPr>
        <w:t xml:space="preserve">Cadastre (COSMC) </w:t>
      </w:r>
      <w:r w:rsidRPr="00963167">
        <w:rPr>
          <w:rFonts w:ascii="Arial" w:hAnsi="Arial" w:cs="Arial"/>
          <w:i/>
          <w:iCs/>
          <w:lang w:val="en-GB"/>
        </w:rPr>
        <w:t>and according to graphic layers of the Register of Census Districts</w:t>
      </w:r>
      <w:r w:rsidR="00963167" w:rsidRPr="00963167">
        <w:rPr>
          <w:rFonts w:ascii="Arial" w:hAnsi="Arial" w:cs="Arial"/>
          <w:i/>
          <w:iCs/>
          <w:lang w:val="en-GB"/>
        </w:rPr>
        <w:t xml:space="preserve"> and Building</w:t>
      </w:r>
      <w:r w:rsidR="00963167">
        <w:rPr>
          <w:rFonts w:ascii="Arial" w:hAnsi="Arial" w:cs="Arial"/>
          <w:i/>
          <w:iCs/>
          <w:lang w:val="en-GB"/>
        </w:rPr>
        <w:t>s</w:t>
      </w:r>
      <w:r w:rsidRPr="00644FDB">
        <w:rPr>
          <w:rFonts w:ascii="Arial" w:hAnsi="Arial" w:cs="Arial"/>
          <w:i/>
          <w:iCs/>
          <w:lang w:val="en-GB"/>
        </w:rPr>
        <w:t xml:space="preserve"> as at 1 January </w:t>
      </w:r>
      <w:r w:rsidR="00564130" w:rsidRPr="00644FDB">
        <w:rPr>
          <w:rFonts w:ascii="Arial" w:hAnsi="Arial" w:cs="Arial"/>
          <w:i/>
          <w:iCs/>
          <w:lang w:val="en-GB"/>
        </w:rPr>
        <w:t>202</w:t>
      </w:r>
      <w:r w:rsidR="0079761B">
        <w:rPr>
          <w:rFonts w:ascii="Arial" w:hAnsi="Arial" w:cs="Arial"/>
          <w:i/>
          <w:iCs/>
          <w:lang w:val="en-GB"/>
        </w:rPr>
        <w:t>5</w:t>
      </w:r>
      <w:r w:rsidRPr="00E17305">
        <w:rPr>
          <w:rFonts w:ascii="Arial" w:hAnsi="Arial" w:cs="Arial"/>
          <w:bCs/>
          <w:i/>
          <w:iCs/>
          <w:lang w:val="en-GB"/>
        </w:rPr>
        <w:t>.</w:t>
      </w:r>
      <w:r w:rsidRPr="00644FDB">
        <w:rPr>
          <w:rFonts w:ascii="Arial" w:hAnsi="Arial" w:cs="Arial"/>
          <w:b/>
          <w:bCs/>
          <w:i/>
          <w:iCs/>
          <w:lang w:val="en-GB"/>
        </w:rPr>
        <w:t xml:space="preserve"> </w:t>
      </w:r>
      <w:r w:rsidRPr="00644FDB">
        <w:rPr>
          <w:rFonts w:ascii="Arial" w:hAnsi="Arial" w:cs="Arial"/>
          <w:i/>
          <w:iCs/>
          <w:lang w:val="en-GB"/>
        </w:rPr>
        <w:t xml:space="preserve">Data for municipalities were </w:t>
      </w:r>
      <w:r w:rsidR="00DF63D6">
        <w:rPr>
          <w:rFonts w:ascii="Arial" w:hAnsi="Arial" w:cs="Arial"/>
          <w:i/>
          <w:iCs/>
          <w:lang w:val="en-GB"/>
        </w:rPr>
        <w:t>obtained</w:t>
      </w:r>
      <w:r w:rsidRPr="00644FDB">
        <w:rPr>
          <w:rFonts w:ascii="Arial" w:hAnsi="Arial" w:cs="Arial"/>
          <w:i/>
          <w:iCs/>
          <w:lang w:val="en-GB"/>
        </w:rPr>
        <w:t xml:space="preserve"> from the C</w:t>
      </w:r>
      <w:r w:rsidR="004B1EE0" w:rsidRPr="00644FDB">
        <w:rPr>
          <w:rFonts w:ascii="Arial" w:hAnsi="Arial" w:cs="Arial"/>
          <w:i/>
          <w:iCs/>
          <w:lang w:val="en-GB"/>
        </w:rPr>
        <w:t>OSMC</w:t>
      </w:r>
      <w:r w:rsidRPr="00644FDB">
        <w:rPr>
          <w:rFonts w:ascii="Arial" w:hAnsi="Arial" w:cs="Arial"/>
          <w:i/>
          <w:iCs/>
          <w:lang w:val="en-GB"/>
        </w:rPr>
        <w:t xml:space="preserve"> as at 31</w:t>
      </w:r>
      <w:r w:rsidR="00642184" w:rsidRPr="00644FDB">
        <w:rPr>
          <w:rFonts w:ascii="Arial" w:hAnsi="Arial" w:cs="Arial"/>
          <w:i/>
          <w:iCs/>
          <w:lang w:val="en-GB"/>
        </w:rPr>
        <w:t> </w:t>
      </w:r>
      <w:r w:rsidRPr="00644FDB">
        <w:rPr>
          <w:rFonts w:ascii="Arial" w:hAnsi="Arial" w:cs="Arial"/>
          <w:i/>
          <w:iCs/>
          <w:lang w:val="en-GB"/>
        </w:rPr>
        <w:t xml:space="preserve">December </w:t>
      </w:r>
      <w:r w:rsidR="00642184" w:rsidRPr="00644FDB">
        <w:rPr>
          <w:rFonts w:ascii="Arial" w:hAnsi="Arial" w:cs="Arial"/>
          <w:i/>
          <w:iCs/>
          <w:lang w:val="en-GB"/>
        </w:rPr>
        <w:t>202</w:t>
      </w:r>
      <w:r w:rsidR="0079761B">
        <w:rPr>
          <w:rFonts w:ascii="Arial" w:hAnsi="Arial" w:cs="Arial"/>
          <w:i/>
          <w:iCs/>
          <w:lang w:val="en-GB"/>
        </w:rPr>
        <w:t>4</w:t>
      </w:r>
      <w:r w:rsidRPr="00644FDB">
        <w:rPr>
          <w:rFonts w:ascii="Arial" w:hAnsi="Arial" w:cs="Arial"/>
          <w:i/>
          <w:iCs/>
          <w:lang w:val="en-GB"/>
        </w:rPr>
        <w:t xml:space="preserve">. </w:t>
      </w:r>
    </w:p>
    <w:p w14:paraId="65C2D131" w14:textId="77777777" w:rsidR="005B72EA" w:rsidRPr="005B72EA" w:rsidRDefault="005B72EA" w:rsidP="005B72EA">
      <w:pPr>
        <w:ind w:left="1134" w:right="567"/>
        <w:jc w:val="both"/>
        <w:rPr>
          <w:rFonts w:ascii="Arial" w:hAnsi="Arial" w:cs="Arial"/>
          <w:i/>
          <w:iCs/>
          <w:lang w:val="en-GB"/>
        </w:rPr>
      </w:pPr>
    </w:p>
    <w:p w14:paraId="3FCD5F76" w14:textId="68E5BFFB" w:rsidR="0079761B" w:rsidRDefault="00635E86" w:rsidP="00EA2D16">
      <w:pPr>
        <w:ind w:left="1134" w:right="567"/>
        <w:jc w:val="both"/>
        <w:rPr>
          <w:rFonts w:ascii="Arial" w:hAnsi="Arial" w:cs="Arial"/>
          <w:i/>
          <w:iCs/>
          <w:lang w:val="en-GB"/>
        </w:rPr>
      </w:pPr>
      <w:r w:rsidRPr="006378A5">
        <w:rPr>
          <w:rFonts w:ascii="Arial" w:hAnsi="Arial" w:cs="Arial"/>
          <w:i/>
          <w:iCs/>
          <w:lang w:val="en-GB"/>
        </w:rPr>
        <w:t>The data on</w:t>
      </w:r>
      <w:r w:rsidR="00C81193" w:rsidRPr="006378A5">
        <w:rPr>
          <w:rFonts w:ascii="Arial" w:hAnsi="Arial" w:cs="Arial"/>
          <w:i/>
          <w:iCs/>
          <w:lang w:val="en-GB"/>
        </w:rPr>
        <w:t xml:space="preserve"> the</w:t>
      </w:r>
      <w:r w:rsidRPr="006378A5">
        <w:rPr>
          <w:rFonts w:ascii="Arial" w:hAnsi="Arial" w:cs="Arial"/>
          <w:i/>
          <w:iCs/>
          <w:lang w:val="en-GB"/>
        </w:rPr>
        <w:t xml:space="preserve"> </w:t>
      </w:r>
      <w:r w:rsidRPr="00EA2D16">
        <w:rPr>
          <w:rFonts w:ascii="Arial" w:hAnsi="Arial" w:cs="Arial"/>
          <w:i/>
          <w:iCs/>
          <w:lang w:val="en-GB"/>
        </w:rPr>
        <w:t>population</w:t>
      </w:r>
      <w:r w:rsidRPr="006378A5">
        <w:rPr>
          <w:rFonts w:ascii="Arial" w:hAnsi="Arial" w:cs="Arial"/>
          <w:i/>
          <w:iCs/>
          <w:lang w:val="en-GB"/>
        </w:rPr>
        <w:t xml:space="preserve"> were </w:t>
      </w:r>
      <w:r w:rsidR="008E0069" w:rsidRPr="006378A5">
        <w:rPr>
          <w:rFonts w:ascii="Arial" w:hAnsi="Arial" w:cs="Arial"/>
          <w:i/>
          <w:iCs/>
          <w:lang w:val="en-GB"/>
        </w:rPr>
        <w:t>obtained</w:t>
      </w:r>
      <w:r w:rsidRPr="006378A5">
        <w:rPr>
          <w:rFonts w:ascii="Arial" w:hAnsi="Arial" w:cs="Arial"/>
          <w:i/>
          <w:iCs/>
          <w:lang w:val="en-GB"/>
        </w:rPr>
        <w:t xml:space="preserve"> from the </w:t>
      </w:r>
      <w:r w:rsidR="004B1EE0" w:rsidRPr="006378A5">
        <w:rPr>
          <w:rFonts w:ascii="Arial" w:hAnsi="Arial" w:cs="Arial"/>
          <w:i/>
          <w:iCs/>
          <w:lang w:val="en-GB"/>
        </w:rPr>
        <w:t xml:space="preserve">running </w:t>
      </w:r>
      <w:r w:rsidRPr="006378A5">
        <w:rPr>
          <w:rFonts w:ascii="Arial" w:hAnsi="Arial" w:cs="Arial"/>
          <w:i/>
          <w:iCs/>
          <w:lang w:val="en-GB"/>
        </w:rPr>
        <w:t>population balance as at 31</w:t>
      </w:r>
      <w:r w:rsidR="008E0069" w:rsidRPr="006378A5">
        <w:rPr>
          <w:rFonts w:ascii="Arial" w:hAnsi="Arial" w:cs="Arial"/>
          <w:i/>
          <w:iCs/>
          <w:lang w:val="en-GB"/>
        </w:rPr>
        <w:t> </w:t>
      </w:r>
      <w:r w:rsidRPr="006378A5">
        <w:rPr>
          <w:rFonts w:ascii="Arial" w:hAnsi="Arial" w:cs="Arial"/>
          <w:i/>
          <w:iCs/>
          <w:lang w:val="en-GB"/>
        </w:rPr>
        <w:t xml:space="preserve">December </w:t>
      </w:r>
      <w:r w:rsidR="008E0069" w:rsidRPr="006378A5">
        <w:rPr>
          <w:rFonts w:ascii="Arial" w:hAnsi="Arial" w:cs="Arial"/>
          <w:i/>
          <w:iCs/>
          <w:lang w:val="en-GB"/>
        </w:rPr>
        <w:t>202</w:t>
      </w:r>
      <w:r w:rsidR="0079761B">
        <w:rPr>
          <w:rFonts w:ascii="Arial" w:hAnsi="Arial" w:cs="Arial"/>
          <w:i/>
          <w:iCs/>
          <w:lang w:val="en-GB"/>
        </w:rPr>
        <w:t>4</w:t>
      </w:r>
      <w:r w:rsidRPr="006378A5">
        <w:rPr>
          <w:rFonts w:ascii="Arial" w:hAnsi="Arial" w:cs="Arial"/>
          <w:i/>
          <w:iCs/>
          <w:lang w:val="en-GB"/>
        </w:rPr>
        <w:t xml:space="preserve">. </w:t>
      </w:r>
      <w:r w:rsidR="00851EE0" w:rsidRPr="006378A5">
        <w:rPr>
          <w:rFonts w:ascii="Arial" w:hAnsi="Arial" w:cs="Arial"/>
          <w:i/>
          <w:iCs/>
          <w:lang w:val="en-GB"/>
        </w:rPr>
        <w:t xml:space="preserve">The data </w:t>
      </w:r>
      <w:r w:rsidRPr="006378A5">
        <w:rPr>
          <w:rFonts w:ascii="Arial" w:hAnsi="Arial" w:cs="Arial"/>
          <w:i/>
          <w:iCs/>
          <w:lang w:val="en-GB"/>
        </w:rPr>
        <w:t xml:space="preserve">on </w:t>
      </w:r>
      <w:r w:rsidR="00C81193" w:rsidRPr="006378A5">
        <w:rPr>
          <w:rFonts w:ascii="Arial" w:hAnsi="Arial" w:cs="Arial"/>
          <w:i/>
          <w:iCs/>
          <w:lang w:val="en-GB"/>
        </w:rPr>
        <w:t xml:space="preserve">the </w:t>
      </w:r>
      <w:r w:rsidRPr="001F7183">
        <w:rPr>
          <w:rFonts w:ascii="Arial" w:hAnsi="Arial" w:cs="Arial"/>
          <w:i/>
          <w:iCs/>
          <w:lang w:val="en-GB"/>
        </w:rPr>
        <w:t>population</w:t>
      </w:r>
      <w:r w:rsidR="00337026" w:rsidRPr="001F7183">
        <w:rPr>
          <w:rFonts w:ascii="Arial" w:hAnsi="Arial" w:cs="Arial"/>
          <w:i/>
          <w:iCs/>
          <w:lang w:val="en-GB"/>
        </w:rPr>
        <w:t xml:space="preserve"> </w:t>
      </w:r>
      <w:r w:rsidRPr="001F7183">
        <w:rPr>
          <w:rFonts w:ascii="Arial" w:hAnsi="Arial" w:cs="Arial"/>
          <w:i/>
          <w:iCs/>
          <w:lang w:val="en-GB"/>
        </w:rPr>
        <w:t xml:space="preserve">of city </w:t>
      </w:r>
      <w:r w:rsidR="00567211" w:rsidRPr="00E17305">
        <w:rPr>
          <w:rFonts w:ascii="Arial" w:hAnsi="Arial" w:cs="Arial"/>
          <w:i/>
          <w:iCs/>
          <w:lang w:val="en-GB"/>
        </w:rPr>
        <w:t>sections/</w:t>
      </w:r>
      <w:r w:rsidRPr="001F7183">
        <w:rPr>
          <w:rFonts w:ascii="Arial" w:hAnsi="Arial" w:cs="Arial"/>
          <w:i/>
          <w:iCs/>
          <w:lang w:val="en-GB"/>
        </w:rPr>
        <w:t xml:space="preserve">parts </w:t>
      </w:r>
      <w:r w:rsidR="00567211" w:rsidRPr="00E17305">
        <w:rPr>
          <w:rFonts w:ascii="Arial" w:hAnsi="Arial" w:cs="Arial"/>
          <w:i/>
          <w:iCs/>
          <w:lang w:val="en-GB"/>
        </w:rPr>
        <w:t>(</w:t>
      </w:r>
      <w:r w:rsidRPr="001F7183">
        <w:rPr>
          <w:rFonts w:ascii="Arial" w:hAnsi="Arial" w:cs="Arial"/>
          <w:i/>
          <w:iCs/>
          <w:lang w:val="en-GB"/>
        </w:rPr>
        <w:t>city districts</w:t>
      </w:r>
      <w:r w:rsidR="00567211" w:rsidRPr="001F7183">
        <w:rPr>
          <w:rFonts w:ascii="Arial" w:hAnsi="Arial" w:cs="Arial"/>
          <w:i/>
          <w:iCs/>
          <w:lang w:val="en-GB"/>
        </w:rPr>
        <w:t>)</w:t>
      </w:r>
      <w:r w:rsidRPr="006378A5">
        <w:rPr>
          <w:rFonts w:ascii="Arial" w:hAnsi="Arial" w:cs="Arial"/>
          <w:i/>
          <w:iCs/>
          <w:lang w:val="en-GB"/>
        </w:rPr>
        <w:t xml:space="preserve"> of the statutory </w:t>
      </w:r>
      <w:r w:rsidR="00674343" w:rsidRPr="006378A5">
        <w:rPr>
          <w:rFonts w:ascii="Arial" w:hAnsi="Arial" w:cs="Arial"/>
          <w:i/>
          <w:iCs/>
          <w:lang w:val="en-GB"/>
        </w:rPr>
        <w:t>cities</w:t>
      </w:r>
      <w:r w:rsidRPr="006378A5">
        <w:rPr>
          <w:rFonts w:ascii="Arial" w:hAnsi="Arial" w:cs="Arial"/>
          <w:i/>
          <w:iCs/>
          <w:lang w:val="en-GB"/>
        </w:rPr>
        <w:t xml:space="preserve"> of </w:t>
      </w:r>
      <w:r w:rsidRPr="00EA2D16">
        <w:rPr>
          <w:rFonts w:ascii="Arial" w:hAnsi="Arial" w:cs="Arial"/>
          <w:i/>
          <w:iCs/>
          <w:lang w:val="en-GB"/>
        </w:rPr>
        <w:t>Brno, Liberec</w:t>
      </w:r>
      <w:r w:rsidRPr="006378A5">
        <w:rPr>
          <w:rFonts w:ascii="Arial" w:hAnsi="Arial" w:cs="Arial"/>
          <w:i/>
          <w:iCs/>
          <w:lang w:val="en-GB"/>
        </w:rPr>
        <w:t xml:space="preserve">, </w:t>
      </w:r>
      <w:r w:rsidRPr="00EA2D16">
        <w:rPr>
          <w:rFonts w:ascii="Arial" w:hAnsi="Arial" w:cs="Arial"/>
          <w:i/>
          <w:iCs/>
          <w:lang w:val="en-GB"/>
        </w:rPr>
        <w:t>Opava</w:t>
      </w:r>
      <w:r w:rsidRPr="006378A5">
        <w:rPr>
          <w:rFonts w:ascii="Arial" w:hAnsi="Arial" w:cs="Arial"/>
          <w:i/>
          <w:iCs/>
          <w:lang w:val="en-GB"/>
        </w:rPr>
        <w:t xml:space="preserve">, </w:t>
      </w:r>
      <w:r w:rsidRPr="00EA2D16">
        <w:rPr>
          <w:rFonts w:ascii="Arial" w:hAnsi="Arial" w:cs="Arial"/>
          <w:i/>
          <w:iCs/>
          <w:lang w:val="en-GB"/>
        </w:rPr>
        <w:t>Ostrava</w:t>
      </w:r>
      <w:r w:rsidRPr="006378A5">
        <w:rPr>
          <w:rFonts w:ascii="Arial" w:hAnsi="Arial" w:cs="Arial"/>
          <w:i/>
          <w:iCs/>
          <w:lang w:val="en-GB"/>
        </w:rPr>
        <w:t xml:space="preserve">, </w:t>
      </w:r>
      <w:r w:rsidRPr="00EA2D16">
        <w:rPr>
          <w:rFonts w:ascii="Arial" w:hAnsi="Arial" w:cs="Arial"/>
          <w:i/>
          <w:iCs/>
          <w:lang w:val="en-GB"/>
        </w:rPr>
        <w:t>Plzeň</w:t>
      </w:r>
      <w:r w:rsidRPr="006378A5">
        <w:rPr>
          <w:rFonts w:ascii="Arial" w:hAnsi="Arial" w:cs="Arial"/>
          <w:i/>
          <w:iCs/>
          <w:lang w:val="en-GB"/>
        </w:rPr>
        <w:t xml:space="preserve">, </w:t>
      </w:r>
      <w:r w:rsidRPr="00EA2D16">
        <w:rPr>
          <w:rFonts w:ascii="Arial" w:hAnsi="Arial" w:cs="Arial"/>
          <w:i/>
          <w:iCs/>
          <w:lang w:val="en-GB"/>
        </w:rPr>
        <w:t>Pardubice</w:t>
      </w:r>
      <w:r w:rsidRPr="006378A5">
        <w:rPr>
          <w:rFonts w:ascii="Arial" w:hAnsi="Arial" w:cs="Arial"/>
          <w:i/>
          <w:iCs/>
          <w:lang w:val="en-GB"/>
        </w:rPr>
        <w:t xml:space="preserve">, and </w:t>
      </w:r>
      <w:r w:rsidRPr="00EA2D16">
        <w:rPr>
          <w:rFonts w:ascii="Arial" w:hAnsi="Arial" w:cs="Arial"/>
          <w:i/>
          <w:iCs/>
          <w:lang w:val="en-GB"/>
        </w:rPr>
        <w:t>Ústí nad Labem</w:t>
      </w:r>
      <w:r w:rsidRPr="006378A5">
        <w:rPr>
          <w:rFonts w:ascii="Arial" w:hAnsi="Arial" w:cs="Arial"/>
          <w:i/>
          <w:iCs/>
          <w:lang w:val="en-GB"/>
        </w:rPr>
        <w:t xml:space="preserve"> are not available</w:t>
      </w:r>
      <w:r w:rsidR="00337026">
        <w:rPr>
          <w:rFonts w:ascii="Arial" w:hAnsi="Arial" w:cs="Arial"/>
          <w:i/>
          <w:iCs/>
          <w:lang w:val="en-GB"/>
        </w:rPr>
        <w:t xml:space="preserve"> as at the given date</w:t>
      </w:r>
      <w:r w:rsidRPr="006378A5">
        <w:rPr>
          <w:rFonts w:ascii="Arial" w:hAnsi="Arial" w:cs="Arial"/>
          <w:i/>
          <w:iCs/>
          <w:lang w:val="en-GB"/>
        </w:rPr>
        <w:t xml:space="preserve"> and therefore the population given is the number of usually resid</w:t>
      </w:r>
      <w:r w:rsidR="006910B6" w:rsidRPr="00E17305">
        <w:rPr>
          <w:rFonts w:ascii="Arial" w:hAnsi="Arial" w:cs="Arial"/>
          <w:i/>
          <w:iCs/>
          <w:lang w:val="en-GB"/>
        </w:rPr>
        <w:t>ent</w:t>
      </w:r>
      <w:r w:rsidRPr="006378A5">
        <w:rPr>
          <w:rFonts w:ascii="Arial" w:hAnsi="Arial" w:cs="Arial"/>
          <w:i/>
          <w:iCs/>
          <w:lang w:val="en-GB"/>
        </w:rPr>
        <w:t xml:space="preserve"> </w:t>
      </w:r>
      <w:r w:rsidR="006910B6" w:rsidRPr="006378A5">
        <w:rPr>
          <w:rFonts w:ascii="Arial" w:hAnsi="Arial" w:cs="Arial"/>
          <w:i/>
          <w:iCs/>
          <w:lang w:val="en-GB"/>
        </w:rPr>
        <w:t>population</w:t>
      </w:r>
      <w:r w:rsidRPr="006378A5">
        <w:rPr>
          <w:rFonts w:ascii="Arial" w:hAnsi="Arial" w:cs="Arial"/>
          <w:i/>
          <w:iCs/>
          <w:lang w:val="en-GB"/>
        </w:rPr>
        <w:t xml:space="preserve"> as at 26 March 20</w:t>
      </w:r>
      <w:r w:rsidR="00081B89">
        <w:rPr>
          <w:rFonts w:ascii="Arial" w:hAnsi="Arial" w:cs="Arial"/>
          <w:i/>
          <w:iCs/>
          <w:lang w:val="en-GB"/>
        </w:rPr>
        <w:t>2</w:t>
      </w:r>
      <w:r w:rsidRPr="006378A5">
        <w:rPr>
          <w:rFonts w:ascii="Arial" w:hAnsi="Arial" w:cs="Arial"/>
          <w:i/>
          <w:iCs/>
          <w:lang w:val="en-GB"/>
        </w:rPr>
        <w:t>1 that was found in the 20</w:t>
      </w:r>
      <w:r w:rsidR="00081B89">
        <w:rPr>
          <w:rFonts w:ascii="Arial" w:hAnsi="Arial" w:cs="Arial"/>
          <w:i/>
          <w:iCs/>
          <w:lang w:val="en-GB"/>
        </w:rPr>
        <w:t>2</w:t>
      </w:r>
      <w:r w:rsidRPr="006378A5">
        <w:rPr>
          <w:rFonts w:ascii="Arial" w:hAnsi="Arial" w:cs="Arial"/>
          <w:i/>
          <w:iCs/>
          <w:lang w:val="en-GB"/>
        </w:rPr>
        <w:t>1 Population and Housing Census</w:t>
      </w:r>
    </w:p>
    <w:p w14:paraId="5102ECD4" w14:textId="77777777" w:rsidR="006347B0" w:rsidRDefault="006347B0" w:rsidP="00EA2D16">
      <w:pPr>
        <w:ind w:left="1134" w:right="567"/>
        <w:jc w:val="both"/>
        <w:rPr>
          <w:rFonts w:ascii="Arial" w:hAnsi="Arial" w:cs="Arial"/>
          <w:i/>
          <w:iCs/>
          <w:lang w:val="en-GB"/>
        </w:rPr>
      </w:pPr>
    </w:p>
    <w:p w14:paraId="39DE6547" w14:textId="321A316A" w:rsidR="006347B0" w:rsidRPr="006347B0" w:rsidRDefault="006347B0" w:rsidP="006347B0">
      <w:pPr>
        <w:numPr>
          <w:ilvl w:val="0"/>
          <w:numId w:val="2"/>
        </w:numPr>
        <w:tabs>
          <w:tab w:val="num" w:pos="-4678"/>
        </w:tabs>
        <w:ind w:left="1134" w:right="567" w:hanging="210"/>
        <w:jc w:val="both"/>
        <w:rPr>
          <w:rFonts w:ascii="Arial" w:hAnsi="Arial" w:cs="Arial"/>
          <w:i/>
          <w:iCs/>
          <w:lang w:val="en-GB"/>
        </w:rPr>
      </w:pPr>
      <w:r w:rsidRPr="006378A5">
        <w:rPr>
          <w:rFonts w:ascii="Arial" w:hAnsi="Arial" w:cs="Arial"/>
          <w:i/>
          <w:iCs/>
          <w:lang w:val="en-GB"/>
        </w:rPr>
        <w:t xml:space="preserve">The data on the </w:t>
      </w:r>
      <w:r w:rsidRPr="006378A5">
        <w:rPr>
          <w:rFonts w:ascii="Arial" w:hAnsi="Arial" w:cs="Arial"/>
          <w:b/>
          <w:i/>
          <w:iCs/>
          <w:lang w:val="en-GB"/>
        </w:rPr>
        <w:t>population</w:t>
      </w:r>
      <w:r w:rsidRPr="006378A5">
        <w:rPr>
          <w:rFonts w:ascii="Arial" w:hAnsi="Arial" w:cs="Arial"/>
          <w:i/>
          <w:iCs/>
          <w:lang w:val="en-GB"/>
        </w:rPr>
        <w:t xml:space="preserve"> were obtained from the running population balance as at 31 December 202</w:t>
      </w:r>
      <w:r>
        <w:rPr>
          <w:rFonts w:ascii="Arial" w:hAnsi="Arial" w:cs="Arial"/>
          <w:i/>
          <w:iCs/>
          <w:lang w:val="en-GB"/>
        </w:rPr>
        <w:t>4</w:t>
      </w:r>
      <w:r w:rsidRPr="006378A5">
        <w:rPr>
          <w:rFonts w:ascii="Arial" w:hAnsi="Arial" w:cs="Arial"/>
          <w:i/>
          <w:iCs/>
          <w:lang w:val="en-GB"/>
        </w:rPr>
        <w:t xml:space="preserve"> and adjusted to correspond to the territorial structure in force as at 1 January 202</w:t>
      </w:r>
      <w:r>
        <w:rPr>
          <w:rFonts w:ascii="Arial" w:hAnsi="Arial" w:cs="Arial"/>
          <w:i/>
          <w:iCs/>
          <w:lang w:val="en-GB"/>
        </w:rPr>
        <w:t>5</w:t>
      </w:r>
      <w:r w:rsidRPr="006378A5">
        <w:rPr>
          <w:rFonts w:ascii="Arial" w:hAnsi="Arial" w:cs="Arial"/>
          <w:i/>
          <w:iCs/>
          <w:lang w:val="en-GB"/>
        </w:rPr>
        <w:t xml:space="preserve">. The data on the </w:t>
      </w:r>
      <w:r w:rsidRPr="001F7183">
        <w:rPr>
          <w:rFonts w:ascii="Arial" w:hAnsi="Arial" w:cs="Arial"/>
          <w:i/>
          <w:iCs/>
          <w:lang w:val="en-GB"/>
        </w:rPr>
        <w:t xml:space="preserve">population of city </w:t>
      </w:r>
      <w:r w:rsidRPr="00E17305">
        <w:rPr>
          <w:rFonts w:ascii="Arial" w:hAnsi="Arial" w:cs="Arial"/>
          <w:i/>
          <w:iCs/>
          <w:lang w:val="en-GB"/>
        </w:rPr>
        <w:t>sections/</w:t>
      </w:r>
      <w:r w:rsidRPr="001F7183">
        <w:rPr>
          <w:rFonts w:ascii="Arial" w:hAnsi="Arial" w:cs="Arial"/>
          <w:i/>
          <w:iCs/>
          <w:lang w:val="en-GB"/>
        </w:rPr>
        <w:t xml:space="preserve">parts </w:t>
      </w:r>
      <w:r w:rsidRPr="00E17305">
        <w:rPr>
          <w:rFonts w:ascii="Arial" w:hAnsi="Arial" w:cs="Arial"/>
          <w:i/>
          <w:iCs/>
          <w:lang w:val="en-GB"/>
        </w:rPr>
        <w:t>(</w:t>
      </w:r>
      <w:r w:rsidRPr="001F7183">
        <w:rPr>
          <w:rFonts w:ascii="Arial" w:hAnsi="Arial" w:cs="Arial"/>
          <w:i/>
          <w:iCs/>
          <w:lang w:val="en-GB"/>
        </w:rPr>
        <w:t>city districts)</w:t>
      </w:r>
      <w:r w:rsidRPr="006378A5">
        <w:rPr>
          <w:rFonts w:ascii="Arial" w:hAnsi="Arial" w:cs="Arial"/>
          <w:i/>
          <w:iCs/>
          <w:lang w:val="en-GB"/>
        </w:rPr>
        <w:t xml:space="preserve"> of the statutory cities of </w:t>
      </w:r>
      <w:r w:rsidRPr="00E17305">
        <w:rPr>
          <w:rFonts w:ascii="Arial" w:hAnsi="Arial" w:cs="Arial"/>
          <w:iCs/>
          <w:lang w:val="en-GB"/>
        </w:rPr>
        <w:t>Brno, Liberec</w:t>
      </w:r>
      <w:r w:rsidRPr="006378A5">
        <w:rPr>
          <w:rFonts w:ascii="Arial" w:hAnsi="Arial" w:cs="Arial"/>
          <w:i/>
          <w:iCs/>
          <w:lang w:val="en-GB"/>
        </w:rPr>
        <w:t xml:space="preserve">, </w:t>
      </w:r>
      <w:r w:rsidRPr="00E17305">
        <w:rPr>
          <w:rFonts w:ascii="Arial" w:hAnsi="Arial" w:cs="Arial"/>
          <w:iCs/>
          <w:lang w:val="en-GB"/>
        </w:rPr>
        <w:t>Opava</w:t>
      </w:r>
      <w:r w:rsidRPr="006378A5">
        <w:rPr>
          <w:rFonts w:ascii="Arial" w:hAnsi="Arial" w:cs="Arial"/>
          <w:i/>
          <w:iCs/>
          <w:lang w:val="en-GB"/>
        </w:rPr>
        <w:t xml:space="preserve">, </w:t>
      </w:r>
      <w:r w:rsidRPr="00E17305">
        <w:rPr>
          <w:rFonts w:ascii="Arial" w:hAnsi="Arial" w:cs="Arial"/>
          <w:iCs/>
          <w:lang w:val="en-GB"/>
        </w:rPr>
        <w:t>Ostrava</w:t>
      </w:r>
      <w:r w:rsidRPr="006378A5">
        <w:rPr>
          <w:rFonts w:ascii="Arial" w:hAnsi="Arial" w:cs="Arial"/>
          <w:i/>
          <w:iCs/>
          <w:lang w:val="en-GB"/>
        </w:rPr>
        <w:t xml:space="preserve">, </w:t>
      </w:r>
      <w:r w:rsidRPr="00E17305">
        <w:rPr>
          <w:rFonts w:ascii="Arial" w:hAnsi="Arial" w:cs="Arial"/>
          <w:iCs/>
          <w:lang w:val="en-GB"/>
        </w:rPr>
        <w:t>Plzeň</w:t>
      </w:r>
      <w:r w:rsidRPr="006378A5">
        <w:rPr>
          <w:rFonts w:ascii="Arial" w:hAnsi="Arial" w:cs="Arial"/>
          <w:i/>
          <w:iCs/>
          <w:lang w:val="en-GB"/>
        </w:rPr>
        <w:t xml:space="preserve">, </w:t>
      </w:r>
      <w:r w:rsidRPr="00E17305">
        <w:rPr>
          <w:rFonts w:ascii="Arial" w:hAnsi="Arial" w:cs="Arial"/>
          <w:iCs/>
          <w:lang w:val="en-GB"/>
        </w:rPr>
        <w:t>Pardubice</w:t>
      </w:r>
      <w:r w:rsidRPr="006378A5">
        <w:rPr>
          <w:rFonts w:ascii="Arial" w:hAnsi="Arial" w:cs="Arial"/>
          <w:i/>
          <w:iCs/>
          <w:lang w:val="en-GB"/>
        </w:rPr>
        <w:t xml:space="preserve">, and </w:t>
      </w:r>
      <w:r w:rsidRPr="00E17305">
        <w:rPr>
          <w:rFonts w:ascii="Arial" w:hAnsi="Arial" w:cs="Arial"/>
          <w:iCs/>
          <w:lang w:val="en-GB"/>
        </w:rPr>
        <w:t>Ústí nad Labem</w:t>
      </w:r>
      <w:r w:rsidRPr="006378A5">
        <w:rPr>
          <w:rFonts w:ascii="Arial" w:hAnsi="Arial" w:cs="Arial"/>
          <w:i/>
          <w:iCs/>
          <w:lang w:val="en-GB"/>
        </w:rPr>
        <w:t xml:space="preserve"> are not available</w:t>
      </w:r>
      <w:r>
        <w:rPr>
          <w:rFonts w:ascii="Arial" w:hAnsi="Arial" w:cs="Arial"/>
          <w:i/>
          <w:iCs/>
          <w:lang w:val="en-GB"/>
        </w:rPr>
        <w:t xml:space="preserve"> as at the given date</w:t>
      </w:r>
      <w:r w:rsidRPr="006378A5">
        <w:rPr>
          <w:rFonts w:ascii="Arial" w:hAnsi="Arial" w:cs="Arial"/>
          <w:i/>
          <w:iCs/>
          <w:lang w:val="en-GB"/>
        </w:rPr>
        <w:t xml:space="preserve"> and therefore the population given is the number of usually resid</w:t>
      </w:r>
      <w:r w:rsidRPr="00E17305">
        <w:rPr>
          <w:rFonts w:ascii="Arial" w:hAnsi="Arial" w:cs="Arial"/>
          <w:i/>
          <w:iCs/>
          <w:lang w:val="en-GB"/>
        </w:rPr>
        <w:t>ent</w:t>
      </w:r>
      <w:r w:rsidRPr="006378A5">
        <w:rPr>
          <w:rFonts w:ascii="Arial" w:hAnsi="Arial" w:cs="Arial"/>
          <w:i/>
          <w:iCs/>
          <w:lang w:val="en-GB"/>
        </w:rPr>
        <w:t xml:space="preserve"> population as at 26 March 20</w:t>
      </w:r>
      <w:r>
        <w:rPr>
          <w:rFonts w:ascii="Arial" w:hAnsi="Arial" w:cs="Arial"/>
          <w:i/>
          <w:iCs/>
          <w:lang w:val="en-GB"/>
        </w:rPr>
        <w:t>2</w:t>
      </w:r>
      <w:r w:rsidRPr="006378A5">
        <w:rPr>
          <w:rFonts w:ascii="Arial" w:hAnsi="Arial" w:cs="Arial"/>
          <w:i/>
          <w:iCs/>
          <w:lang w:val="en-GB"/>
        </w:rPr>
        <w:t>1 that was found in the 20</w:t>
      </w:r>
      <w:r>
        <w:rPr>
          <w:rFonts w:ascii="Arial" w:hAnsi="Arial" w:cs="Arial"/>
          <w:i/>
          <w:iCs/>
          <w:lang w:val="en-GB"/>
        </w:rPr>
        <w:t>2</w:t>
      </w:r>
      <w:r w:rsidRPr="006378A5">
        <w:rPr>
          <w:rFonts w:ascii="Arial" w:hAnsi="Arial" w:cs="Arial"/>
          <w:i/>
          <w:iCs/>
          <w:lang w:val="en-GB"/>
        </w:rPr>
        <w:t>1 Population and Housing Census.</w:t>
      </w:r>
    </w:p>
    <w:p w14:paraId="427FE6FD" w14:textId="77777777" w:rsidR="0079761B" w:rsidRDefault="0079761B" w:rsidP="0079761B">
      <w:pPr>
        <w:ind w:left="1134" w:right="567"/>
        <w:jc w:val="both"/>
        <w:rPr>
          <w:rFonts w:ascii="Arial" w:hAnsi="Arial" w:cs="Arial"/>
          <w:i/>
          <w:iCs/>
          <w:lang w:val="en-GB"/>
        </w:rPr>
      </w:pPr>
    </w:p>
    <w:p w14:paraId="40D4F669" w14:textId="77777777" w:rsidR="0079761B" w:rsidRPr="00EA2D16" w:rsidRDefault="0079761B" w:rsidP="00EA2D16">
      <w:pPr>
        <w:numPr>
          <w:ilvl w:val="0"/>
          <w:numId w:val="2"/>
        </w:numPr>
        <w:ind w:left="1134" w:right="567" w:hanging="210"/>
        <w:jc w:val="both"/>
        <w:rPr>
          <w:rFonts w:ascii="Arial" w:hAnsi="Arial" w:cs="Arial"/>
          <w:i/>
          <w:iCs/>
          <w:lang w:val="en-GB"/>
        </w:rPr>
      </w:pPr>
      <w:r w:rsidRPr="00EA2D16">
        <w:rPr>
          <w:rFonts w:ascii="Arial" w:hAnsi="Arial" w:cs="Arial"/>
          <w:b/>
          <w:i/>
          <w:iCs/>
          <w:lang w:val="en-GB"/>
        </w:rPr>
        <w:t>Dwellings completed</w:t>
      </w:r>
      <w:r w:rsidRPr="00EA2D16">
        <w:rPr>
          <w:rFonts w:ascii="Arial" w:hAnsi="Arial" w:cs="Arial"/>
          <w:i/>
          <w:iCs/>
          <w:lang w:val="en-GB"/>
        </w:rPr>
        <w:t xml:space="preserve"> </w:t>
      </w:r>
      <w:r>
        <w:rPr>
          <w:rFonts w:ascii="Arial" w:hAnsi="Arial" w:cs="Arial"/>
          <w:i/>
          <w:iCs/>
          <w:lang w:val="en-GB"/>
        </w:rPr>
        <w:t>are dwellings which were approved before the end of the reference period by the planning and building control authority as duly finished and ready for use. The sum includes</w:t>
      </w:r>
      <w:r w:rsidRPr="00EA2D16">
        <w:rPr>
          <w:rFonts w:ascii="Arial" w:hAnsi="Arial" w:cs="Arial"/>
          <w:i/>
          <w:iCs/>
          <w:lang w:val="en-GB"/>
        </w:rPr>
        <w:t xml:space="preserve"> dwellings in residential buildings and in other buildings, including all types of extensions, dwellings in community care service homes and boarding houses, and dwellings in non-residential buildings (including dwellings obtained by conversion of non-residential spaces).</w:t>
      </w:r>
    </w:p>
    <w:p w14:paraId="7DE02FB8" w14:textId="77777777" w:rsidR="003B1AFA" w:rsidRDefault="00635E86" w:rsidP="0079761B">
      <w:pPr>
        <w:ind w:left="1134" w:right="567"/>
        <w:jc w:val="both"/>
        <w:rPr>
          <w:rFonts w:ascii="Arial" w:hAnsi="Arial" w:cs="Arial"/>
          <w:i/>
          <w:iCs/>
          <w:lang w:val="en-GB"/>
        </w:rPr>
      </w:pPr>
      <w:r w:rsidRPr="006378A5">
        <w:rPr>
          <w:rFonts w:ascii="Arial" w:hAnsi="Arial" w:cs="Arial"/>
          <w:i/>
          <w:iCs/>
          <w:lang w:val="en-GB"/>
        </w:rPr>
        <w:t>.</w:t>
      </w:r>
    </w:p>
    <w:p w14:paraId="124857EF" w14:textId="77777777" w:rsidR="008761F1" w:rsidRDefault="008761F1" w:rsidP="008761F1">
      <w:pPr>
        <w:pStyle w:val="Odstavecseseznamem"/>
        <w:rPr>
          <w:rFonts w:ascii="Arial" w:hAnsi="Arial" w:cs="Arial"/>
          <w:i/>
          <w:iCs/>
          <w:lang w:val="en-GB"/>
        </w:rPr>
      </w:pPr>
    </w:p>
    <w:p w14:paraId="450BC22A" w14:textId="7B724858" w:rsidR="008761F1" w:rsidRDefault="008761F1" w:rsidP="0042181D">
      <w:pPr>
        <w:pStyle w:val="Odstavecseseznamem"/>
        <w:rPr>
          <w:rFonts w:ascii="Arial" w:hAnsi="Arial" w:cs="Arial"/>
          <w:i/>
          <w:iCs/>
          <w:lang w:val="en-GB"/>
        </w:rPr>
      </w:pPr>
    </w:p>
    <w:p w14:paraId="6A4E5FA9" w14:textId="77777777" w:rsidR="0079761B" w:rsidRDefault="0079761B" w:rsidP="0042181D">
      <w:pPr>
        <w:pStyle w:val="Odstavecseseznamem"/>
        <w:rPr>
          <w:rFonts w:ascii="Arial" w:hAnsi="Arial" w:cs="Arial"/>
          <w:i/>
          <w:iCs/>
          <w:lang w:val="en-GB"/>
        </w:rPr>
      </w:pPr>
      <w:bookmarkStart w:id="0" w:name="_GoBack"/>
      <w:bookmarkEnd w:id="0"/>
    </w:p>
    <w:sectPr w:rsidR="0079761B" w:rsidSect="00A819BA">
      <w:footerReference w:type="even" r:id="rId8"/>
      <w:endnotePr>
        <w:numFmt w:val="decimal"/>
      </w:endnotePr>
      <w:pgSz w:w="11905" w:h="16837" w:code="9"/>
      <w:pgMar w:top="1134" w:right="1134" w:bottom="1134" w:left="1021" w:header="709" w:footer="709" w:gutter="0"/>
      <w:pgNumType w:start="5"/>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6304A" w14:textId="77777777" w:rsidR="00B41FD9" w:rsidRDefault="00B41FD9">
      <w:r>
        <w:separator/>
      </w:r>
    </w:p>
  </w:endnote>
  <w:endnote w:type="continuationSeparator" w:id="0">
    <w:p w14:paraId="08C22047" w14:textId="77777777" w:rsidR="00B41FD9" w:rsidRDefault="00B41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8ADA0" w14:textId="77777777" w:rsidR="00665A0A" w:rsidRDefault="00656303">
    <w:pPr>
      <w:pStyle w:val="Zpat"/>
      <w:framePr w:wrap="around" w:vAnchor="text" w:hAnchor="margin" w:xAlign="center" w:y="1"/>
      <w:rPr>
        <w:rStyle w:val="slostrnky"/>
      </w:rPr>
    </w:pPr>
    <w:r>
      <w:rPr>
        <w:rStyle w:val="slostrnky"/>
      </w:rPr>
      <w:fldChar w:fldCharType="begin"/>
    </w:r>
    <w:r w:rsidR="00665A0A">
      <w:rPr>
        <w:rStyle w:val="slostrnky"/>
      </w:rPr>
      <w:instrText xml:space="preserve">PAGE  </w:instrText>
    </w:r>
    <w:r>
      <w:rPr>
        <w:rStyle w:val="slostrnky"/>
      </w:rPr>
      <w:fldChar w:fldCharType="end"/>
    </w:r>
  </w:p>
  <w:p w14:paraId="5F199C07" w14:textId="77777777" w:rsidR="00665A0A" w:rsidRDefault="00665A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92FBF" w14:textId="77777777" w:rsidR="00B41FD9" w:rsidRDefault="00B41FD9">
      <w:r>
        <w:separator/>
      </w:r>
    </w:p>
  </w:footnote>
  <w:footnote w:type="continuationSeparator" w:id="0">
    <w:p w14:paraId="2B19EB90" w14:textId="77777777" w:rsidR="00B41FD9" w:rsidRDefault="00B41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4553D"/>
    <w:multiLevelType w:val="singleLevel"/>
    <w:tmpl w:val="ECF65594"/>
    <w:lvl w:ilvl="0">
      <w:start w:val="1"/>
      <w:numFmt w:val="decimal"/>
      <w:lvlText w:val="%1."/>
      <w:lvlJc w:val="left"/>
      <w:pPr>
        <w:tabs>
          <w:tab w:val="num" w:pos="1070"/>
        </w:tabs>
        <w:ind w:left="1070" w:hanging="360"/>
      </w:pPr>
      <w:rPr>
        <w:rFonts w:hint="default"/>
        <w:b w:val="0"/>
        <w:i/>
      </w:rPr>
    </w:lvl>
  </w:abstractNum>
  <w:abstractNum w:abstractNumId="1" w15:restartNumberingAfterBreak="0">
    <w:nsid w:val="7013654C"/>
    <w:multiLevelType w:val="hybridMultilevel"/>
    <w:tmpl w:val="72269746"/>
    <w:lvl w:ilvl="0" w:tplc="78CC8F3C">
      <w:start w:val="1"/>
      <w:numFmt w:val="decimal"/>
      <w:lvlText w:val="%1."/>
      <w:lvlJc w:val="right"/>
      <w:pPr>
        <w:ind w:left="7731"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9742DF8"/>
    <w:multiLevelType w:val="hybridMultilevel"/>
    <w:tmpl w:val="1F22DE0A"/>
    <w:lvl w:ilvl="0" w:tplc="78CC8F3C">
      <w:start w:val="1"/>
      <w:numFmt w:val="decimal"/>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E86"/>
    <w:rsid w:val="00011C56"/>
    <w:rsid w:val="00013D86"/>
    <w:rsid w:val="00015373"/>
    <w:rsid w:val="00020DBA"/>
    <w:rsid w:val="000331ED"/>
    <w:rsid w:val="000333A3"/>
    <w:rsid w:val="00040DCE"/>
    <w:rsid w:val="000528CF"/>
    <w:rsid w:val="00057D8D"/>
    <w:rsid w:val="000617CE"/>
    <w:rsid w:val="00066AE3"/>
    <w:rsid w:val="00081B89"/>
    <w:rsid w:val="000A36DA"/>
    <w:rsid w:val="000C4BAC"/>
    <w:rsid w:val="000D1886"/>
    <w:rsid w:val="000D6CD5"/>
    <w:rsid w:val="000E78D5"/>
    <w:rsid w:val="000E7E37"/>
    <w:rsid w:val="000F0F4D"/>
    <w:rsid w:val="000F7868"/>
    <w:rsid w:val="00101566"/>
    <w:rsid w:val="00107A17"/>
    <w:rsid w:val="00113DFC"/>
    <w:rsid w:val="0011590C"/>
    <w:rsid w:val="0012273F"/>
    <w:rsid w:val="00135C88"/>
    <w:rsid w:val="00137579"/>
    <w:rsid w:val="0014150B"/>
    <w:rsid w:val="00141BA4"/>
    <w:rsid w:val="001552A9"/>
    <w:rsid w:val="00155834"/>
    <w:rsid w:val="00157224"/>
    <w:rsid w:val="00163A10"/>
    <w:rsid w:val="00165A86"/>
    <w:rsid w:val="0016634E"/>
    <w:rsid w:val="001938CB"/>
    <w:rsid w:val="001A1E14"/>
    <w:rsid w:val="001B057C"/>
    <w:rsid w:val="001B50DC"/>
    <w:rsid w:val="001C1A74"/>
    <w:rsid w:val="001C2C49"/>
    <w:rsid w:val="001C4657"/>
    <w:rsid w:val="001D1761"/>
    <w:rsid w:val="001D43AD"/>
    <w:rsid w:val="001E758B"/>
    <w:rsid w:val="001F7183"/>
    <w:rsid w:val="00202FE6"/>
    <w:rsid w:val="00213AF7"/>
    <w:rsid w:val="00214F18"/>
    <w:rsid w:val="00226014"/>
    <w:rsid w:val="0023334E"/>
    <w:rsid w:val="00241B4C"/>
    <w:rsid w:val="00246C4C"/>
    <w:rsid w:val="00255970"/>
    <w:rsid w:val="00257DC1"/>
    <w:rsid w:val="00262929"/>
    <w:rsid w:val="0027341C"/>
    <w:rsid w:val="00293AAC"/>
    <w:rsid w:val="002943EC"/>
    <w:rsid w:val="00297BF7"/>
    <w:rsid w:val="002A277A"/>
    <w:rsid w:val="002B4709"/>
    <w:rsid w:val="002B5A1A"/>
    <w:rsid w:val="002C2357"/>
    <w:rsid w:val="002D765D"/>
    <w:rsid w:val="002E50B6"/>
    <w:rsid w:val="002E58EE"/>
    <w:rsid w:val="002F10AA"/>
    <w:rsid w:val="002F5251"/>
    <w:rsid w:val="00305D15"/>
    <w:rsid w:val="0031151F"/>
    <w:rsid w:val="0031480E"/>
    <w:rsid w:val="00333764"/>
    <w:rsid w:val="00337026"/>
    <w:rsid w:val="003370FF"/>
    <w:rsid w:val="003547C0"/>
    <w:rsid w:val="00356C0A"/>
    <w:rsid w:val="00356D3F"/>
    <w:rsid w:val="0037653F"/>
    <w:rsid w:val="00380047"/>
    <w:rsid w:val="00391567"/>
    <w:rsid w:val="003966D0"/>
    <w:rsid w:val="003A51AE"/>
    <w:rsid w:val="003A73AA"/>
    <w:rsid w:val="003B1AFA"/>
    <w:rsid w:val="003B7555"/>
    <w:rsid w:val="003C3F6A"/>
    <w:rsid w:val="003E6787"/>
    <w:rsid w:val="003F3D81"/>
    <w:rsid w:val="003F5355"/>
    <w:rsid w:val="003F5364"/>
    <w:rsid w:val="00403047"/>
    <w:rsid w:val="004038DC"/>
    <w:rsid w:val="004063B8"/>
    <w:rsid w:val="00415D01"/>
    <w:rsid w:val="0042181D"/>
    <w:rsid w:val="00422BE4"/>
    <w:rsid w:val="00431BFE"/>
    <w:rsid w:val="004341CA"/>
    <w:rsid w:val="00451A41"/>
    <w:rsid w:val="00455EA0"/>
    <w:rsid w:val="00456196"/>
    <w:rsid w:val="004602AA"/>
    <w:rsid w:val="004643FD"/>
    <w:rsid w:val="00490591"/>
    <w:rsid w:val="0049454C"/>
    <w:rsid w:val="00496339"/>
    <w:rsid w:val="004A78A5"/>
    <w:rsid w:val="004B19BC"/>
    <w:rsid w:val="004B1EE0"/>
    <w:rsid w:val="004B6B3D"/>
    <w:rsid w:val="004B7541"/>
    <w:rsid w:val="004C0CF6"/>
    <w:rsid w:val="004D7717"/>
    <w:rsid w:val="004E0139"/>
    <w:rsid w:val="004E4792"/>
    <w:rsid w:val="004F5F2D"/>
    <w:rsid w:val="00525627"/>
    <w:rsid w:val="005562F8"/>
    <w:rsid w:val="00560F8F"/>
    <w:rsid w:val="00564130"/>
    <w:rsid w:val="00567211"/>
    <w:rsid w:val="00574044"/>
    <w:rsid w:val="005753C9"/>
    <w:rsid w:val="00576C05"/>
    <w:rsid w:val="0058007E"/>
    <w:rsid w:val="00585806"/>
    <w:rsid w:val="005913A8"/>
    <w:rsid w:val="005A2376"/>
    <w:rsid w:val="005A5D58"/>
    <w:rsid w:val="005A64FC"/>
    <w:rsid w:val="005B2674"/>
    <w:rsid w:val="005B2929"/>
    <w:rsid w:val="005B4542"/>
    <w:rsid w:val="005B72EA"/>
    <w:rsid w:val="005C12E6"/>
    <w:rsid w:val="005C602B"/>
    <w:rsid w:val="005D02D1"/>
    <w:rsid w:val="005E674C"/>
    <w:rsid w:val="005F2909"/>
    <w:rsid w:val="005F75EE"/>
    <w:rsid w:val="005F77E8"/>
    <w:rsid w:val="00620628"/>
    <w:rsid w:val="006254A2"/>
    <w:rsid w:val="00626E58"/>
    <w:rsid w:val="00633A53"/>
    <w:rsid w:val="006347B0"/>
    <w:rsid w:val="00635E86"/>
    <w:rsid w:val="006378A5"/>
    <w:rsid w:val="00642184"/>
    <w:rsid w:val="00644FDB"/>
    <w:rsid w:val="0064619D"/>
    <w:rsid w:val="00646BD1"/>
    <w:rsid w:val="0064765E"/>
    <w:rsid w:val="0065306D"/>
    <w:rsid w:val="00656303"/>
    <w:rsid w:val="0066013D"/>
    <w:rsid w:val="006645D7"/>
    <w:rsid w:val="00665A0A"/>
    <w:rsid w:val="00670FDB"/>
    <w:rsid w:val="00674343"/>
    <w:rsid w:val="00674E34"/>
    <w:rsid w:val="0067522C"/>
    <w:rsid w:val="006910B6"/>
    <w:rsid w:val="00691844"/>
    <w:rsid w:val="006A5AD4"/>
    <w:rsid w:val="006B2198"/>
    <w:rsid w:val="006B3C8C"/>
    <w:rsid w:val="006C5CF8"/>
    <w:rsid w:val="006D407A"/>
    <w:rsid w:val="006E20A6"/>
    <w:rsid w:val="006F2247"/>
    <w:rsid w:val="006F32CC"/>
    <w:rsid w:val="006F5B25"/>
    <w:rsid w:val="007142A7"/>
    <w:rsid w:val="00721157"/>
    <w:rsid w:val="00725B7E"/>
    <w:rsid w:val="00731D73"/>
    <w:rsid w:val="0073240B"/>
    <w:rsid w:val="0073293E"/>
    <w:rsid w:val="00733C20"/>
    <w:rsid w:val="00746EC6"/>
    <w:rsid w:val="00753EE3"/>
    <w:rsid w:val="007543FB"/>
    <w:rsid w:val="0075478F"/>
    <w:rsid w:val="0076021A"/>
    <w:rsid w:val="00761276"/>
    <w:rsid w:val="007710C0"/>
    <w:rsid w:val="00775CE1"/>
    <w:rsid w:val="0077608D"/>
    <w:rsid w:val="0079075B"/>
    <w:rsid w:val="00797532"/>
    <w:rsid w:val="0079761B"/>
    <w:rsid w:val="007C0FCE"/>
    <w:rsid w:val="007C484B"/>
    <w:rsid w:val="007C7B37"/>
    <w:rsid w:val="007E4B3A"/>
    <w:rsid w:val="007F372D"/>
    <w:rsid w:val="007F5E75"/>
    <w:rsid w:val="008130E7"/>
    <w:rsid w:val="00817BD7"/>
    <w:rsid w:val="008236AE"/>
    <w:rsid w:val="00830BA8"/>
    <w:rsid w:val="008343AA"/>
    <w:rsid w:val="0083655D"/>
    <w:rsid w:val="00847007"/>
    <w:rsid w:val="00851EE0"/>
    <w:rsid w:val="00855FCC"/>
    <w:rsid w:val="008761F1"/>
    <w:rsid w:val="00894B57"/>
    <w:rsid w:val="008A2056"/>
    <w:rsid w:val="008A7C1E"/>
    <w:rsid w:val="008B059E"/>
    <w:rsid w:val="008B6395"/>
    <w:rsid w:val="008B70F4"/>
    <w:rsid w:val="008D4960"/>
    <w:rsid w:val="008E0069"/>
    <w:rsid w:val="008F3305"/>
    <w:rsid w:val="008F34A9"/>
    <w:rsid w:val="008F5224"/>
    <w:rsid w:val="00915699"/>
    <w:rsid w:val="00921234"/>
    <w:rsid w:val="00925C89"/>
    <w:rsid w:val="009265B0"/>
    <w:rsid w:val="009361CF"/>
    <w:rsid w:val="0093634F"/>
    <w:rsid w:val="0093737C"/>
    <w:rsid w:val="00947A07"/>
    <w:rsid w:val="00947DE6"/>
    <w:rsid w:val="00963167"/>
    <w:rsid w:val="00965A36"/>
    <w:rsid w:val="00965CD9"/>
    <w:rsid w:val="00971968"/>
    <w:rsid w:val="00975EA5"/>
    <w:rsid w:val="00984A72"/>
    <w:rsid w:val="00992429"/>
    <w:rsid w:val="009A4F67"/>
    <w:rsid w:val="009A7D65"/>
    <w:rsid w:val="009B29A9"/>
    <w:rsid w:val="009B5CFF"/>
    <w:rsid w:val="009C1BB4"/>
    <w:rsid w:val="009C3903"/>
    <w:rsid w:val="009C5EA5"/>
    <w:rsid w:val="009C6C44"/>
    <w:rsid w:val="009D3FF6"/>
    <w:rsid w:val="009E423F"/>
    <w:rsid w:val="009E7B4A"/>
    <w:rsid w:val="00A03FAF"/>
    <w:rsid w:val="00A06998"/>
    <w:rsid w:val="00A0737E"/>
    <w:rsid w:val="00A12E06"/>
    <w:rsid w:val="00A16AD2"/>
    <w:rsid w:val="00A22FD3"/>
    <w:rsid w:val="00A26C99"/>
    <w:rsid w:val="00A31427"/>
    <w:rsid w:val="00A40170"/>
    <w:rsid w:val="00A5187A"/>
    <w:rsid w:val="00A61277"/>
    <w:rsid w:val="00A66D7A"/>
    <w:rsid w:val="00A74F7D"/>
    <w:rsid w:val="00A75C7C"/>
    <w:rsid w:val="00A8183D"/>
    <w:rsid w:val="00A819BA"/>
    <w:rsid w:val="00A827D0"/>
    <w:rsid w:val="00A83320"/>
    <w:rsid w:val="00A833C7"/>
    <w:rsid w:val="00A8391D"/>
    <w:rsid w:val="00A86576"/>
    <w:rsid w:val="00A86843"/>
    <w:rsid w:val="00AB7B9A"/>
    <w:rsid w:val="00AC3527"/>
    <w:rsid w:val="00AC4CFD"/>
    <w:rsid w:val="00AE29E0"/>
    <w:rsid w:val="00AF1176"/>
    <w:rsid w:val="00B024F5"/>
    <w:rsid w:val="00B03B4E"/>
    <w:rsid w:val="00B16EE1"/>
    <w:rsid w:val="00B266C5"/>
    <w:rsid w:val="00B32D5B"/>
    <w:rsid w:val="00B3365B"/>
    <w:rsid w:val="00B3449B"/>
    <w:rsid w:val="00B36D60"/>
    <w:rsid w:val="00B41BA2"/>
    <w:rsid w:val="00B41FD9"/>
    <w:rsid w:val="00B616A9"/>
    <w:rsid w:val="00B631A0"/>
    <w:rsid w:val="00B63F10"/>
    <w:rsid w:val="00B67C5D"/>
    <w:rsid w:val="00B70559"/>
    <w:rsid w:val="00B73F06"/>
    <w:rsid w:val="00BA2B44"/>
    <w:rsid w:val="00BA5A82"/>
    <w:rsid w:val="00BA6280"/>
    <w:rsid w:val="00BB1F1A"/>
    <w:rsid w:val="00BB3941"/>
    <w:rsid w:val="00BB4ED7"/>
    <w:rsid w:val="00BB65F0"/>
    <w:rsid w:val="00BB6B56"/>
    <w:rsid w:val="00BE31CB"/>
    <w:rsid w:val="00BF7D04"/>
    <w:rsid w:val="00BF7E9C"/>
    <w:rsid w:val="00C1309D"/>
    <w:rsid w:val="00C16382"/>
    <w:rsid w:val="00C21EA6"/>
    <w:rsid w:val="00C27522"/>
    <w:rsid w:val="00C44A8F"/>
    <w:rsid w:val="00C4735B"/>
    <w:rsid w:val="00C535F9"/>
    <w:rsid w:val="00C62185"/>
    <w:rsid w:val="00C63385"/>
    <w:rsid w:val="00C77907"/>
    <w:rsid w:val="00C81193"/>
    <w:rsid w:val="00C873F7"/>
    <w:rsid w:val="00C911B1"/>
    <w:rsid w:val="00C92BF9"/>
    <w:rsid w:val="00C93C0E"/>
    <w:rsid w:val="00CA0538"/>
    <w:rsid w:val="00CA3018"/>
    <w:rsid w:val="00CA5D94"/>
    <w:rsid w:val="00CA725B"/>
    <w:rsid w:val="00CB7F58"/>
    <w:rsid w:val="00CC00F2"/>
    <w:rsid w:val="00CD167B"/>
    <w:rsid w:val="00CD3A2E"/>
    <w:rsid w:val="00CD7BE3"/>
    <w:rsid w:val="00CE0977"/>
    <w:rsid w:val="00CE21DA"/>
    <w:rsid w:val="00D06E22"/>
    <w:rsid w:val="00D16925"/>
    <w:rsid w:val="00D20189"/>
    <w:rsid w:val="00D217C8"/>
    <w:rsid w:val="00D221C9"/>
    <w:rsid w:val="00D40182"/>
    <w:rsid w:val="00D40BA4"/>
    <w:rsid w:val="00D52A19"/>
    <w:rsid w:val="00D82E29"/>
    <w:rsid w:val="00D83A87"/>
    <w:rsid w:val="00D90782"/>
    <w:rsid w:val="00D95D1B"/>
    <w:rsid w:val="00D95F23"/>
    <w:rsid w:val="00D96CE3"/>
    <w:rsid w:val="00DA180A"/>
    <w:rsid w:val="00DB3C18"/>
    <w:rsid w:val="00DF5C5A"/>
    <w:rsid w:val="00DF63D6"/>
    <w:rsid w:val="00E018C9"/>
    <w:rsid w:val="00E03DB6"/>
    <w:rsid w:val="00E04C6B"/>
    <w:rsid w:val="00E150F0"/>
    <w:rsid w:val="00E17305"/>
    <w:rsid w:val="00E21352"/>
    <w:rsid w:val="00E21DD4"/>
    <w:rsid w:val="00E25351"/>
    <w:rsid w:val="00E32022"/>
    <w:rsid w:val="00E47DD7"/>
    <w:rsid w:val="00E54F2C"/>
    <w:rsid w:val="00E5541D"/>
    <w:rsid w:val="00E56CEA"/>
    <w:rsid w:val="00E61752"/>
    <w:rsid w:val="00E71663"/>
    <w:rsid w:val="00E72FB0"/>
    <w:rsid w:val="00E7557B"/>
    <w:rsid w:val="00E96128"/>
    <w:rsid w:val="00EA115D"/>
    <w:rsid w:val="00EA2C31"/>
    <w:rsid w:val="00EA2D16"/>
    <w:rsid w:val="00EA5385"/>
    <w:rsid w:val="00EB27E3"/>
    <w:rsid w:val="00EB7CC8"/>
    <w:rsid w:val="00EC1A76"/>
    <w:rsid w:val="00ED28E1"/>
    <w:rsid w:val="00EE5A34"/>
    <w:rsid w:val="00F0132E"/>
    <w:rsid w:val="00F11384"/>
    <w:rsid w:val="00F20E2B"/>
    <w:rsid w:val="00F21914"/>
    <w:rsid w:val="00F22089"/>
    <w:rsid w:val="00F35851"/>
    <w:rsid w:val="00F42033"/>
    <w:rsid w:val="00F53040"/>
    <w:rsid w:val="00F53FCC"/>
    <w:rsid w:val="00F55DD4"/>
    <w:rsid w:val="00F56799"/>
    <w:rsid w:val="00F677E3"/>
    <w:rsid w:val="00F679F4"/>
    <w:rsid w:val="00F7332B"/>
    <w:rsid w:val="00F774AE"/>
    <w:rsid w:val="00F9567F"/>
    <w:rsid w:val="00FB4155"/>
    <w:rsid w:val="00FB5730"/>
    <w:rsid w:val="00FC5A00"/>
    <w:rsid w:val="00FD0EC3"/>
    <w:rsid w:val="00FD5E42"/>
    <w:rsid w:val="00FE0DA6"/>
    <w:rsid w:val="00FE1B0E"/>
    <w:rsid w:val="00FF0A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6A3E8"/>
  <w15:docId w15:val="{D6FCC975-C5E3-487E-A732-E8300457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5E86"/>
    <w:pPr>
      <w:overflowPunct w:val="0"/>
      <w:autoSpaceDE w:val="0"/>
      <w:autoSpaceDN w:val="0"/>
      <w:adjustRightInd w:val="0"/>
      <w:textAlignment w:val="baseline"/>
    </w:pPr>
    <w:rPr>
      <w:rFonts w:ascii="Times New Roman" w:eastAsia="Times New Roman" w:hAnsi="Times New Roman"/>
      <w:lang w:val="en-US"/>
    </w:rPr>
  </w:style>
  <w:style w:type="paragraph" w:styleId="Nadpis1">
    <w:name w:val="heading 1"/>
    <w:basedOn w:val="Normln"/>
    <w:next w:val="Normln"/>
    <w:link w:val="Nadpis1Char"/>
    <w:qFormat/>
    <w:rsid w:val="00635E86"/>
    <w:pPr>
      <w:keepNext/>
      <w:tabs>
        <w:tab w:val="center" w:pos="4524"/>
      </w:tabs>
      <w:jc w:val="center"/>
      <w:outlineLvl w:val="0"/>
    </w:pPr>
    <w:rPr>
      <w:b/>
      <w:lang w:val="en-GB"/>
    </w:rPr>
  </w:style>
  <w:style w:type="paragraph" w:styleId="Nadpis2">
    <w:name w:val="heading 2"/>
    <w:basedOn w:val="Normln"/>
    <w:next w:val="Normln"/>
    <w:link w:val="Nadpis2Char"/>
    <w:uiPriority w:val="9"/>
    <w:semiHidden/>
    <w:unhideWhenUsed/>
    <w:qFormat/>
    <w:rsid w:val="00851EE0"/>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semiHidden/>
    <w:unhideWhenUsed/>
    <w:qFormat/>
    <w:rsid w:val="00C21EA6"/>
    <w:pPr>
      <w:keepNext/>
      <w:keepLines/>
      <w:overflowPunct/>
      <w:autoSpaceDE/>
      <w:autoSpaceDN/>
      <w:adjustRightInd/>
      <w:spacing w:before="40"/>
      <w:textAlignment w:val="auto"/>
      <w:outlineLvl w:val="2"/>
    </w:pPr>
    <w:rPr>
      <w:rFonts w:asciiTheme="majorHAnsi" w:eastAsiaTheme="majorEastAsia" w:hAnsiTheme="majorHAnsi" w:cstheme="majorBidi"/>
      <w:color w:val="243F60" w:themeColor="accent1" w:themeShade="7F"/>
      <w:sz w:val="24"/>
      <w:szCs w:val="24"/>
      <w:lang w:val="cs-CZ"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5E86"/>
    <w:rPr>
      <w:rFonts w:ascii="Times New Roman" w:eastAsia="Times New Roman" w:hAnsi="Times New Roman" w:cs="Times New Roman"/>
      <w:b/>
      <w:sz w:val="20"/>
      <w:szCs w:val="20"/>
      <w:lang w:val="en-GB" w:eastAsia="cs-CZ"/>
    </w:rPr>
  </w:style>
  <w:style w:type="paragraph" w:styleId="Nzev">
    <w:name w:val="Title"/>
    <w:basedOn w:val="Normln"/>
    <w:link w:val="NzevChar"/>
    <w:qFormat/>
    <w:rsid w:val="00635E86"/>
    <w:pPr>
      <w:overflowPunct/>
      <w:autoSpaceDE/>
      <w:autoSpaceDN/>
      <w:adjustRightInd/>
      <w:jc w:val="center"/>
      <w:textAlignment w:val="auto"/>
    </w:pPr>
    <w:rPr>
      <w:b/>
      <w:sz w:val="24"/>
      <w:lang w:val="cs-CZ"/>
    </w:rPr>
  </w:style>
  <w:style w:type="character" w:customStyle="1" w:styleId="NzevChar">
    <w:name w:val="Název Char"/>
    <w:basedOn w:val="Standardnpsmoodstavce"/>
    <w:link w:val="Nzev"/>
    <w:rsid w:val="00635E86"/>
    <w:rPr>
      <w:rFonts w:ascii="Times New Roman" w:eastAsia="Times New Roman" w:hAnsi="Times New Roman" w:cs="Times New Roman"/>
      <w:b/>
      <w:sz w:val="24"/>
      <w:szCs w:val="20"/>
      <w:lang w:eastAsia="cs-CZ"/>
    </w:rPr>
  </w:style>
  <w:style w:type="paragraph" w:styleId="Zpat">
    <w:name w:val="footer"/>
    <w:basedOn w:val="Normln"/>
    <w:link w:val="ZpatChar"/>
    <w:semiHidden/>
    <w:rsid w:val="00635E86"/>
    <w:pPr>
      <w:tabs>
        <w:tab w:val="center" w:pos="4536"/>
        <w:tab w:val="right" w:pos="9072"/>
      </w:tabs>
    </w:pPr>
  </w:style>
  <w:style w:type="character" w:customStyle="1" w:styleId="ZpatChar">
    <w:name w:val="Zápatí Char"/>
    <w:basedOn w:val="Standardnpsmoodstavce"/>
    <w:link w:val="Zpat"/>
    <w:semiHidden/>
    <w:rsid w:val="00635E86"/>
    <w:rPr>
      <w:rFonts w:ascii="Times New Roman" w:eastAsia="Times New Roman" w:hAnsi="Times New Roman" w:cs="Times New Roman"/>
      <w:sz w:val="20"/>
      <w:szCs w:val="20"/>
      <w:lang w:val="en-US" w:eastAsia="cs-CZ"/>
    </w:rPr>
  </w:style>
  <w:style w:type="character" w:styleId="slostrnky">
    <w:name w:val="page number"/>
    <w:basedOn w:val="Standardnpsmoodstavce"/>
    <w:semiHidden/>
    <w:rsid w:val="00635E86"/>
  </w:style>
  <w:style w:type="paragraph" w:styleId="Odstavecseseznamem">
    <w:name w:val="List Paragraph"/>
    <w:basedOn w:val="Normln"/>
    <w:uiPriority w:val="34"/>
    <w:qFormat/>
    <w:rsid w:val="00635E86"/>
    <w:pPr>
      <w:ind w:left="708"/>
    </w:pPr>
  </w:style>
  <w:style w:type="character" w:customStyle="1" w:styleId="Nadpis2Char">
    <w:name w:val="Nadpis 2 Char"/>
    <w:basedOn w:val="Standardnpsmoodstavce"/>
    <w:link w:val="Nadpis2"/>
    <w:uiPriority w:val="9"/>
    <w:semiHidden/>
    <w:rsid w:val="00851EE0"/>
    <w:rPr>
      <w:rFonts w:ascii="Cambria" w:eastAsia="Times New Roman" w:hAnsi="Cambria" w:cs="Times New Roman"/>
      <w:b/>
      <w:bCs/>
      <w:i/>
      <w:iCs/>
      <w:sz w:val="28"/>
      <w:szCs w:val="28"/>
      <w:lang w:val="en-US"/>
    </w:rPr>
  </w:style>
  <w:style w:type="character" w:styleId="Hypertextovodkaz">
    <w:name w:val="Hyperlink"/>
    <w:basedOn w:val="Standardnpsmoodstavce"/>
    <w:uiPriority w:val="99"/>
    <w:unhideWhenUsed/>
    <w:rsid w:val="00851EE0"/>
    <w:rPr>
      <w:color w:val="0000FF"/>
      <w:u w:val="single"/>
    </w:rPr>
  </w:style>
  <w:style w:type="paragraph" w:styleId="Normlnweb">
    <w:name w:val="Normal (Web)"/>
    <w:basedOn w:val="Normln"/>
    <w:semiHidden/>
    <w:rsid w:val="000E78D5"/>
    <w:pPr>
      <w:overflowPunct/>
      <w:autoSpaceDE/>
      <w:autoSpaceDN/>
      <w:adjustRightInd/>
      <w:spacing w:before="100" w:beforeAutospacing="1" w:after="100" w:afterAutospacing="1"/>
      <w:jc w:val="both"/>
      <w:textAlignment w:val="auto"/>
    </w:pPr>
    <w:rPr>
      <w:rFonts w:ascii="Arial Unicode MS" w:eastAsia="Arial Unicode MS" w:hAnsi="Arial Unicode MS" w:cs="Arial Unicode MS"/>
      <w:color w:val="0078B3"/>
      <w:sz w:val="24"/>
      <w:szCs w:val="24"/>
      <w:lang w:val="cs-CZ"/>
    </w:rPr>
  </w:style>
  <w:style w:type="character" w:customStyle="1" w:styleId="note">
    <w:name w:val="note"/>
    <w:rsid w:val="00AC3527"/>
  </w:style>
  <w:style w:type="character" w:customStyle="1" w:styleId="box-content-line">
    <w:name w:val="box-content-line"/>
    <w:basedOn w:val="Standardnpsmoodstavce"/>
    <w:rsid w:val="00CA5D94"/>
  </w:style>
  <w:style w:type="character" w:customStyle="1" w:styleId="iceouttxt">
    <w:name w:val="iceouttxt"/>
    <w:basedOn w:val="Standardnpsmoodstavce"/>
    <w:rsid w:val="001E758B"/>
  </w:style>
  <w:style w:type="paragraph" w:styleId="Textbubliny">
    <w:name w:val="Balloon Text"/>
    <w:basedOn w:val="Normln"/>
    <w:link w:val="TextbublinyChar"/>
    <w:uiPriority w:val="99"/>
    <w:semiHidden/>
    <w:unhideWhenUsed/>
    <w:rsid w:val="001E758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758B"/>
    <w:rPr>
      <w:rFonts w:ascii="Segoe UI" w:eastAsia="Times New Roman" w:hAnsi="Segoe UI" w:cs="Segoe UI"/>
      <w:sz w:val="18"/>
      <w:szCs w:val="18"/>
      <w:lang w:val="en-US"/>
    </w:rPr>
  </w:style>
  <w:style w:type="character" w:customStyle="1" w:styleId="Nadpis3Char">
    <w:name w:val="Nadpis 3 Char"/>
    <w:basedOn w:val="Standardnpsmoodstavce"/>
    <w:link w:val="Nadpis3"/>
    <w:uiPriority w:val="9"/>
    <w:semiHidden/>
    <w:rsid w:val="00C21EA6"/>
    <w:rPr>
      <w:rFonts w:asciiTheme="majorHAnsi" w:eastAsiaTheme="majorEastAsia" w:hAnsiTheme="majorHAnsi" w:cstheme="majorBidi"/>
      <w:color w:val="243F60" w:themeColor="accent1" w:themeShade="7F"/>
      <w:sz w:val="24"/>
      <w:szCs w:val="24"/>
      <w:lang w:eastAsia="en-US"/>
    </w:rPr>
  </w:style>
  <w:style w:type="paragraph" w:customStyle="1" w:styleId="l3">
    <w:name w:val="l3"/>
    <w:basedOn w:val="Normln"/>
    <w:rsid w:val="00C21EA6"/>
    <w:pPr>
      <w:overflowPunct/>
      <w:autoSpaceDE/>
      <w:autoSpaceDN/>
      <w:adjustRightInd/>
      <w:spacing w:before="100" w:beforeAutospacing="1" w:after="100" w:afterAutospacing="1"/>
      <w:textAlignment w:val="auto"/>
    </w:pPr>
    <w:rPr>
      <w:sz w:val="24"/>
      <w:szCs w:val="24"/>
      <w:lang w:val="cs-CZ"/>
    </w:rPr>
  </w:style>
  <w:style w:type="character" w:styleId="PromnnHTML">
    <w:name w:val="HTML Variable"/>
    <w:basedOn w:val="Standardnpsmoodstavce"/>
    <w:uiPriority w:val="99"/>
    <w:semiHidden/>
    <w:unhideWhenUsed/>
    <w:rsid w:val="00C21EA6"/>
    <w:rPr>
      <w:i/>
      <w:iCs/>
    </w:rPr>
  </w:style>
  <w:style w:type="paragraph" w:customStyle="1" w:styleId="l4">
    <w:name w:val="l4"/>
    <w:basedOn w:val="Normln"/>
    <w:rsid w:val="00C21EA6"/>
    <w:pPr>
      <w:overflowPunct/>
      <w:autoSpaceDE/>
      <w:autoSpaceDN/>
      <w:adjustRightInd/>
      <w:spacing w:before="100" w:beforeAutospacing="1" w:after="100" w:afterAutospacing="1"/>
      <w:textAlignment w:val="auto"/>
    </w:pPr>
    <w:rPr>
      <w:sz w:val="24"/>
      <w:szCs w:val="24"/>
      <w:lang w:val="cs-CZ"/>
    </w:rPr>
  </w:style>
  <w:style w:type="character" w:styleId="Odkaznakoment">
    <w:name w:val="annotation reference"/>
    <w:basedOn w:val="Standardnpsmoodstavce"/>
    <w:uiPriority w:val="99"/>
    <w:semiHidden/>
    <w:unhideWhenUsed/>
    <w:rsid w:val="006A5AD4"/>
    <w:rPr>
      <w:sz w:val="16"/>
      <w:szCs w:val="16"/>
    </w:rPr>
  </w:style>
  <w:style w:type="paragraph" w:styleId="Textkomente">
    <w:name w:val="annotation text"/>
    <w:basedOn w:val="Normln"/>
    <w:link w:val="TextkomenteChar"/>
    <w:uiPriority w:val="99"/>
    <w:semiHidden/>
    <w:unhideWhenUsed/>
    <w:rsid w:val="006A5AD4"/>
  </w:style>
  <w:style w:type="character" w:customStyle="1" w:styleId="TextkomenteChar">
    <w:name w:val="Text komentáře Char"/>
    <w:basedOn w:val="Standardnpsmoodstavce"/>
    <w:link w:val="Textkomente"/>
    <w:uiPriority w:val="99"/>
    <w:semiHidden/>
    <w:rsid w:val="006A5AD4"/>
    <w:rPr>
      <w:rFonts w:ascii="Times New Roman" w:eastAsia="Times New Roman" w:hAnsi="Times New Roman"/>
      <w:lang w:val="en-US"/>
    </w:rPr>
  </w:style>
  <w:style w:type="paragraph" w:styleId="Pedmtkomente">
    <w:name w:val="annotation subject"/>
    <w:basedOn w:val="Textkomente"/>
    <w:next w:val="Textkomente"/>
    <w:link w:val="PedmtkomenteChar"/>
    <w:uiPriority w:val="99"/>
    <w:semiHidden/>
    <w:unhideWhenUsed/>
    <w:rsid w:val="006A5AD4"/>
    <w:rPr>
      <w:b/>
      <w:bCs/>
    </w:rPr>
  </w:style>
  <w:style w:type="character" w:customStyle="1" w:styleId="PedmtkomenteChar">
    <w:name w:val="Předmět komentáře Char"/>
    <w:basedOn w:val="TextkomenteChar"/>
    <w:link w:val="Pedmtkomente"/>
    <w:uiPriority w:val="99"/>
    <w:semiHidden/>
    <w:rsid w:val="006A5AD4"/>
    <w:rPr>
      <w:rFonts w:ascii="Times New Roman" w:eastAsia="Times New Roman" w:hAnsi="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395051">
      <w:bodyDiv w:val="1"/>
      <w:marLeft w:val="0"/>
      <w:marRight w:val="0"/>
      <w:marTop w:val="0"/>
      <w:marBottom w:val="0"/>
      <w:divBdr>
        <w:top w:val="none" w:sz="0" w:space="0" w:color="auto"/>
        <w:left w:val="none" w:sz="0" w:space="0" w:color="auto"/>
        <w:bottom w:val="none" w:sz="0" w:space="0" w:color="auto"/>
        <w:right w:val="none" w:sz="0" w:space="0" w:color="auto"/>
      </w:divBdr>
      <w:divsChild>
        <w:div w:id="1382288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7D8DC-BA1D-4FC1-8627-6A85E2946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920</Words>
  <Characters>5429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dc:creator>
  <cp:lastModifiedBy>Halásek Jiří</cp:lastModifiedBy>
  <cp:revision>5</cp:revision>
  <cp:lastPrinted>2022-11-14T12:33:00Z</cp:lastPrinted>
  <dcterms:created xsi:type="dcterms:W3CDTF">2025-11-26T11:47:00Z</dcterms:created>
  <dcterms:modified xsi:type="dcterms:W3CDTF">2025-12-03T12:09:00Z</dcterms:modified>
</cp:coreProperties>
</file>