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5C287" w14:textId="77777777" w:rsidR="00EA1EBB" w:rsidRDefault="00EA1EBB" w:rsidP="00EA1EBB">
      <w:pPr>
        <w:pStyle w:val="Nadpis11"/>
      </w:pPr>
      <w:bookmarkStart w:id="0" w:name="_Toc121993822"/>
      <w:bookmarkStart w:id="1" w:name="_Toc153531177"/>
      <w:bookmarkStart w:id="2" w:name="_Toc161914425"/>
      <w:r>
        <w:t>5. Ceny</w:t>
      </w:r>
      <w:bookmarkEnd w:id="1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4"/>
        <w:gridCol w:w="224"/>
        <w:gridCol w:w="7611"/>
      </w:tblGrid>
      <w:tr w:rsidR="00EA1EBB" w14:paraId="71473CC2" w14:textId="77777777" w:rsidTr="00EA1EBB">
        <w:trPr>
          <w:trHeight w:val="145"/>
        </w:trPr>
        <w:tc>
          <w:tcPr>
            <w:tcW w:w="1804" w:type="dxa"/>
            <w:hideMark/>
          </w:tcPr>
          <w:p w14:paraId="13E46214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Celková cenová hladina loni silně rostla.</w:t>
            </w:r>
          </w:p>
        </w:tc>
        <w:tc>
          <w:tcPr>
            <w:tcW w:w="224" w:type="dxa"/>
          </w:tcPr>
          <w:p w14:paraId="3B93531C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1DE83BB4" w14:textId="77777777" w:rsidR="00EA1EBB" w:rsidRDefault="00EA1EBB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Za celý rok 2023 celková cenová hladina v ekonomice měřená deflátorem HDP vzrostla o 8,6 %. Ceny spotřeby byly vyšší o 8,2 %, přičemž u spotřeby domácností růst oslabil na 9,3 % a cenová hladina statků spotřebovávaných sektorem vládních institucí vzrostla o 5,8 %. Ve srovnání se zbytkem ekonomiky mírněji rostly ceny kapitálových statků (4,2 %). Ceny dovozu zboží a služeb se loni propadly výrazněji než ceny exportu, což vedlo ke znatelně kladným směnným relacím, které dosáhly 102,7 %. Ve 4. čtvrtletí 2023 cenová hladina meziročně stoupla o 6,0 %, nejmírněji od konce roku 2021. Ceny spotřeby byly meziročně vyšší o 5,0 %, z toho u domácností o 6,0 % a vlády o 2,5 %. Růst cen kapitálových statků ve 4. čtvrtletí posílil na 3,5 %. Směnné relace zůstaly kladné a dosáhly 102,5 %. Směnné relace zahraničního obchodu se zbožím přitom dosáhly 102,0 %, zatímco u služeb to bylo 105,2 %. Mezičtvrtletně se celková cenová hladina ve 4. čtvrtletí neměnila. U spotřeby došlo k nárůstu o 0,4 % a kapitálové statky zdražily o 3,6 %. Mezičtvrtletní směnné relace byly ale záporné a dosáhly 98,4 %.    </w:t>
            </w:r>
          </w:p>
        </w:tc>
      </w:tr>
      <w:tr w:rsidR="00EA1EBB" w14:paraId="3E701DD2" w14:textId="77777777" w:rsidTr="00EA1EBB">
        <w:trPr>
          <w:trHeight w:val="170"/>
        </w:trPr>
        <w:tc>
          <w:tcPr>
            <w:tcW w:w="1804" w:type="dxa"/>
            <w:vMerge w:val="restart"/>
          </w:tcPr>
          <w:p w14:paraId="54F2CC8C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019DEA42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22309FD3" w14:textId="0259CA41" w:rsidR="00EA1EBB" w:rsidRDefault="00EA1EBB" w:rsidP="00174ED1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1</w:t>
            </w:r>
            <w:r w:rsidR="00174ED1"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EA1EBB" w14:paraId="02F64EB3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6E34E128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AEB835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DDD30C" w14:textId="300322D9" w:rsidR="00EA1EBB" w:rsidRDefault="00EA1EBB">
            <w:pPr>
              <w:spacing w:after="0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809F352" wp14:editId="0489A81D">
                  <wp:extent cx="4736465" cy="3237230"/>
                  <wp:effectExtent l="0" t="0" r="6985" b="1270"/>
                  <wp:docPr id="37" name="Graf 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A1EBB" w14:paraId="345C2603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3E35EC9D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C316BC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1" w:type="dxa"/>
            <w:hideMark/>
          </w:tcPr>
          <w:p w14:paraId="184BF0A8" w14:textId="77777777" w:rsidR="00EA1EBB" w:rsidRDefault="00EA1EBB">
            <w:pPr>
              <w:rPr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EA1EBB" w14:paraId="59B389BB" w14:textId="77777777" w:rsidTr="00EA1EBB">
        <w:trPr>
          <w:trHeight w:val="145"/>
        </w:trPr>
        <w:tc>
          <w:tcPr>
            <w:tcW w:w="1804" w:type="dxa"/>
            <w:hideMark/>
          </w:tcPr>
          <w:p w14:paraId="4E2B17C8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v průběhu roku zpomaloval.</w:t>
            </w:r>
          </w:p>
        </w:tc>
        <w:tc>
          <w:tcPr>
            <w:tcW w:w="224" w:type="dxa"/>
          </w:tcPr>
          <w:p w14:paraId="663C3390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2E930856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Meziroční růst spotřebitelských cen v průběhu roku 2023 postupně zpomaloval (16,4 %, 11,1 % a 8,0 % v 1., 2. a 3. čtvrtletí) a závěr roku nebyl výjimkou. Ve 4. čtvrtletí 2023 index spotřebitelských cen meziročně vzrostl o 7,6 %. Meziroční dynamika naprosté většiny oddílů spotřebního koše zpomalila ve srovnání se 3. kvartálem. Výjimkou bylo bydlení, voda energie a paliva, kde se projevila srovnávací základna konce roku 2022, kdy byl do výpočtu inflace zahrnut úsporný tarif a skokově tak klesly ceny energií. Zmírnil se také propad cen dopravy. K meziročnímu růstu spotřebitelských cen ve 4. čtvrtletí 2023 nejvíce přispívalo bydlení a energie, rekreace a kultura, stravování a ubytování a alkoholické nápoje a tabák. Prudce poklesl vliv potravin a nealkoholických nápojů, které cenový růst stimulovaly v předchozích čtvrtletích. Meziročně klesaly jen ceny dopravy. Mezičtvrtletně se spotřebitelské ceny ve 4. kvartálu snížily o 0,4 %. Za celý rok 2023 dosáhl nárůst spotřebitelských cen 10,7 %. Oproti roku 2022 přírůstek zmírnil o 4,4 p. b. Nejvíce k celkovému navýšení cen přispěl vývoj u cen bydlení a energií, potravin a nealkoholických nápojů, rekreací a kultury a stravování a ubytování. Loni klesly pouze ceny dopravy.</w:t>
            </w:r>
          </w:p>
        </w:tc>
      </w:tr>
      <w:tr w:rsidR="00EA1EBB" w14:paraId="55367628" w14:textId="77777777" w:rsidTr="00EA1EBB">
        <w:trPr>
          <w:trHeight w:val="145"/>
        </w:trPr>
        <w:tc>
          <w:tcPr>
            <w:tcW w:w="1804" w:type="dxa"/>
            <w:hideMark/>
          </w:tcPr>
          <w:p w14:paraId="57B7B781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 xml:space="preserve">Na rozdíl od zbytku cen ve spotřebitelském koši </w:t>
            </w:r>
            <w:r>
              <w:rPr>
                <w:spacing w:val="0"/>
                <w:lang w:eastAsia="en-US"/>
              </w:rPr>
              <w:br/>
              <w:t>u bydlení a energií došlo v závěru roku ke zrychlení meziročního růstu.</w:t>
            </w:r>
          </w:p>
        </w:tc>
        <w:tc>
          <w:tcPr>
            <w:tcW w:w="224" w:type="dxa"/>
          </w:tcPr>
          <w:p w14:paraId="3E07B145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48288300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Jak již bylo zmíněno, ceny bydlení a energií byly ve 4. čtvrtletí jediným oddílem spotřebního koše, u kterého došlo ke zrychlení meziročního růstu cen. Přírůstek dosáhl 17,8 %. Mírnější bylo meziroční navýšení nájemného z bytu (7,5 %), běžné údržby a oprav (6,2 %), imputovaného nájemného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(0,3 %) a stejný zůstal přírůstek cen za ostatní služby související s bydlením (15,3 %). Vlivem srovnávací základny konce roku 2022 ale v loňském 4. čtvrtletí prudce posílil nárůst cen elektrické a tepelné energie, plynu a ostatních paliv (47,1 %). Mezičtvrtletně se ceny bydlení, vody, energie a paliv snížily o 0,4 %. Za celý rok 2023 cenový nárůst v tomto oddílu činil 16,8 %. Z naprosté většiny za tím stálo navýšení cen energií a paliv (37,2 %), vyšší byly ale také ceny ostatních položek.   </w:t>
            </w:r>
          </w:p>
        </w:tc>
      </w:tr>
      <w:tr w:rsidR="00EA1EBB" w14:paraId="1E28AA6D" w14:textId="77777777" w:rsidTr="00EA1EBB">
        <w:trPr>
          <w:trHeight w:val="145"/>
        </w:trPr>
        <w:tc>
          <w:tcPr>
            <w:tcW w:w="1804" w:type="dxa"/>
            <w:hideMark/>
          </w:tcPr>
          <w:p w14:paraId="255FD099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cen potravin ve 4. čtvrtletí výrazně zpomalil.</w:t>
            </w:r>
          </w:p>
        </w:tc>
        <w:tc>
          <w:tcPr>
            <w:tcW w:w="224" w:type="dxa"/>
          </w:tcPr>
          <w:p w14:paraId="67D23EEB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07C4A633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Ve 4. čtvrtletí dál výrazně zpomaloval meziroční růst cen potravin a nealkoholických nápojů (v prosinci už došlo k poklesu) a za celý kvartál přírůstek dosáhl 1,6 %. Mírnější byl meziroční nárůst cen pekárenských výrobků a obilovin (3,0 %), zeleniny (16,6 %), ovoce (8,2 %), cukru a souvisejících výrobků (4,4 %) i ostatních potravinářských výrobků (7,0 %). Z růstu do poklesu se ve 4. čtvrtletí dostal vývoj cen masa (−1,5 %) a mléka, sýrů a vajec (−7,0 %). V hlubokém poklesu setrvaly ceny olejů a tuků (−10,0 %). Mezičtvrtletně se ceny potravin a nealkoholických nápojů snížily o 1,4 %. Za celý rok 2023 vzrostly ceny potravin a nealkoholických nápojů o 11,5 % a přírůstek se tak oproti roku 2022 zmírnil o 5,2 p. b. Za poslední dva roky tak ceny v tomto oddílu vzrostly o 30,1 %. Loňské navýšení cen potravin a nealkoholických nápojů nejvíce ovlivnily ceny pekárenských výrobků a obilovin (13,6 %), masa (7,7 %), mléka, sýrů a vajec (10,6 %) a zeleniny (21,5 %).</w:t>
            </w:r>
          </w:p>
        </w:tc>
      </w:tr>
      <w:tr w:rsidR="00EA1EBB" w14:paraId="79FFDF48" w14:textId="77777777" w:rsidTr="00EA1EBB">
        <w:trPr>
          <w:trHeight w:val="145"/>
        </w:trPr>
        <w:tc>
          <w:tcPr>
            <w:tcW w:w="1804" w:type="dxa"/>
            <w:hideMark/>
          </w:tcPr>
          <w:p w14:paraId="191EDE68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Solidní zůstal přírůstek cen u různých služeb.</w:t>
            </w:r>
          </w:p>
        </w:tc>
        <w:tc>
          <w:tcPr>
            <w:tcW w:w="224" w:type="dxa"/>
          </w:tcPr>
          <w:p w14:paraId="50470835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5012BD95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Mezi oddíly spotřebitelského koše, které ve 4. čtvrtletí nejvíce přispívaly k celkovému růstu spotřebitelských cen, patřily i rekreace a kultura, jejichž ceny meziročně vzrostly o 6,9 %. Největší podíl na tomto nárůstu měly ceny dovolených s komplexními službami (9,7 %) a rekreační a kulturní služby (8,6 %). Mezičtvrtletně se ceny rekreací a kultury snížily o výrazných 3,6 %. Tento oddíl patřil k výrazným hybatelům cenového růstu i z pohledu celého roku 2023. Ceny zde se loni celkově zvýšily o 10,5 %, především pod vlivem dovolených s komplexními službami (15,3 %). Také ceny stravování a ubytování ve 4. čtvrtletí stejně jako po celý rok 2023 významně promlouvaly do meziroční spotřebitelské inflace. Jejich meziroční přírůstek ve 4. čtvrtletí zpomalil na 8,8 %, ale mezičtvrtletně dál poměrně výrazně rostly (1,1 %). Za celý rok 2023 se ceny stravování a ubytování zvýšily o 14,2 %. Stabilně silný vliv na meziroční růst spotřebitelských cen si držely ceny alkoholických nápojů a tabáku. Ty ve 4. čtvrtletí meziročně vzrostly o 5,9 %, mezičtvrtletně klesly o 0,3 % a za celý rok byly vyšší o 6,6 %.</w:t>
            </w:r>
          </w:p>
        </w:tc>
      </w:tr>
      <w:tr w:rsidR="00EA1EBB" w14:paraId="12B46305" w14:textId="77777777" w:rsidTr="00EA1EBB">
        <w:trPr>
          <w:trHeight w:val="145"/>
        </w:trPr>
        <w:tc>
          <w:tcPr>
            <w:tcW w:w="1804" w:type="dxa"/>
            <w:hideMark/>
          </w:tcPr>
          <w:p w14:paraId="6825CB69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dynamika cen odívání a obuvi zpomalovala.</w:t>
            </w:r>
          </w:p>
        </w:tc>
        <w:tc>
          <w:tcPr>
            <w:tcW w:w="224" w:type="dxa"/>
          </w:tcPr>
          <w:p w14:paraId="0CF95789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549FD4D2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U cen odívání a obuvi stejně jako u bytového vybavení a zařízení domácnosti v roce 2022 došlo k prudkému růstu cen poháněného obnovenou poptávkou spotřebitelů. V průběhu loňského roku zde ale docházelo k postupnému útlumu meziroční dynamiky cen. Odívání a obuv ve 4. čtvrtletí meziročně zdražily o 7,1 % a mezičtvrtletně o 3,9 % a ceny bytového vybavení a zařízení byly meziročně vyšší o 2,7 % a mezičtvrtletně stagnovaly. Za celý rok 2023 vzrostly ceny odívání a obuvi o 11,1 % (zmírnění oproti roku 2022 o 7,5 p. b.) a bytového vybavení, zařízení domácnosti a oprav o 7,6 % (−4,4 p. b.). Také ceny ostatního zboží a služeb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 xml:space="preserve"> v posledních dvou letech výrazně rostly v souvislosti s postpandemickým oživením poptávky a jejich meziroční dynamika ve 4. čtvrtletí 2023 oslabila na 5,5 %. Mezičtvrtletně byly vyšší o 0,3 % a za celý rok 2023 vzrostly o 9,4 %. Výrazný cenový růst si po celý rok 2023 udržovaly méně váhově </w:t>
            </w:r>
            <w:r>
              <w:rPr>
                <w:lang w:eastAsia="en-US"/>
              </w:rPr>
              <w:lastRenderedPageBreak/>
              <w:t>významné položky – pošty a telekomunikace (3,6 % za celý rok), zdraví (8,8 %) a vzdělávání (7,0 %).</w:t>
            </w:r>
          </w:p>
        </w:tc>
      </w:tr>
      <w:tr w:rsidR="00EA1EBB" w14:paraId="54E69A1B" w14:textId="77777777" w:rsidTr="00EA1EBB">
        <w:trPr>
          <w:trHeight w:val="145"/>
        </w:trPr>
        <w:tc>
          <w:tcPr>
            <w:tcW w:w="1804" w:type="dxa"/>
            <w:hideMark/>
          </w:tcPr>
          <w:p w14:paraId="2D476B6B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dopravy celkově loni klesly.</w:t>
            </w:r>
          </w:p>
        </w:tc>
        <w:tc>
          <w:tcPr>
            <w:tcW w:w="224" w:type="dxa"/>
          </w:tcPr>
          <w:p w14:paraId="27F0AEFB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5775951F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Ceny dopravy s výjimkou první čtvrtiny roku meziročně klesaly. Ve 4. čtvrtletí jejich pokles zmírnil na 1,6 %. Jedinou položkou v oddíle, kde ceny meziročně rostly, byly dopravní služby (7,9 %). Prohloubil se meziroční pokles cen osobních dopravních prostředků (−3,8 %). Zmírnil se ale pokles v případě nákladů na jejich provoz (−1,5 %), z toho snížení cen pohonných hmot dosáhlo 6,5 %. Mezičtvrtletně se ceny dopravy snížily o 0,3 %. Za celý rok 2023 ceny dopravy klesly o 1,0 %. Z toho ceny provozu osobních dopravních prostředků klesly o 4,1 % (pohonné hmoty −12,0 %), ceny samotných osobních dopravních prostředků prakticky stagnovaly (0,1 %) a ceny dopravních služeb byly vyšší o 12,0 %.</w:t>
            </w:r>
          </w:p>
        </w:tc>
      </w:tr>
      <w:tr w:rsidR="00EA1EBB" w14:paraId="29042C68" w14:textId="77777777" w:rsidTr="00EA1EBB">
        <w:trPr>
          <w:trHeight w:val="145"/>
        </w:trPr>
        <w:tc>
          <w:tcPr>
            <w:tcW w:w="1804" w:type="dxa"/>
            <w:hideMark/>
          </w:tcPr>
          <w:p w14:paraId="2DB2E177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v EU loni postupně zpomaloval.</w:t>
            </w:r>
          </w:p>
        </w:tc>
        <w:tc>
          <w:tcPr>
            <w:tcW w:w="224" w:type="dxa"/>
          </w:tcPr>
          <w:p w14:paraId="42805C09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51579BE3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Harmonizovaný index spotřebitelských cen (HICP) v EU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 v roce 2023 vzrostl o 6,4 %. Přírůstek oproti roku 2022 zpomalil (z 9,2 %), především pod vlivem oslabení růstu cen energií a paliv, což se promítlo do mírnějšího růstu cen bydlení a energií (z 18,0 % na 3,4 %) a dopravy (z 12,1 % na 2,5 %). Mírně loni posílil růst cen potravin a nealkoholických nápojů (12,6 %), ubytování a stravování (8,4 %) a výrazněji rostly také ceny alkoholických nápojů a tabáku (7,8 %) a rekreací a kultury (6,1 %). Podle HICP nejvíce loni rostly spotřebitelské ceny v Maďarsku (17,0 %), Česku (12,0 %) a na Slovensku (11,0 %) a 10% hranici překročila dynamika cen i v Polsku (10,9 %). Nejmírněji narostly loni spotřebitelské ceny v Belgii (2,3 %), Lucembursku (2,9 %) a shodně o 3,4 % v Dánsku a ve Španělsku. Během roku meziroční růst cen v EU postupně zpomaloval až na 3,4 % ve 4. čtvrtletí. Nejvíce rostly ceny v Česku (8,4 %), Maďarsku (7,6 %) a v Rumunsku (7,4 %). Jedinou zemí, kde ve 4. čtvrtletí HICP meziročně klesl, byla Belgie (−0,6 %). Nejmírněji meziročně rostly spotřebitelské ceny v Dánsku (0,1 %) a v Nizozemsku (0,4 %). Mezičtvrtletně se HICP v EU ve 4. čtvrtletí zvýšil o 0,2 %.   </w:t>
            </w:r>
          </w:p>
        </w:tc>
      </w:tr>
      <w:tr w:rsidR="00EA1EBB" w14:paraId="1C2D94F4" w14:textId="77777777" w:rsidTr="00EA1EBB">
        <w:trPr>
          <w:trHeight w:val="170"/>
        </w:trPr>
        <w:tc>
          <w:tcPr>
            <w:tcW w:w="1804" w:type="dxa"/>
            <w:vMerge w:val="restart"/>
          </w:tcPr>
          <w:p w14:paraId="20285C90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4773BE6E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3E5D4BB1" w14:textId="13BD6951" w:rsidR="00EA1EBB" w:rsidRDefault="00EA1EBB" w:rsidP="00174ED1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Graf č. 1</w:t>
            </w:r>
            <w:r w:rsidR="00174ED1">
              <w:rPr>
                <w:b/>
                <w:sz w:val="18"/>
                <w:szCs w:val="18"/>
                <w:lang w:eastAsia="en-US"/>
              </w:rPr>
              <w:t>2</w:t>
            </w:r>
            <w:r>
              <w:rPr>
                <w:b/>
                <w:sz w:val="18"/>
                <w:szCs w:val="18"/>
                <w:lang w:eastAsia="en-US"/>
              </w:rPr>
              <w:t xml:space="preserve">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EA1EBB" w14:paraId="4DA84CE8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1BB80B57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97D301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86DBBB" w14:textId="58FD5155" w:rsidR="00EA1EBB" w:rsidRDefault="00EA1EBB">
            <w:pPr>
              <w:spacing w:after="0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0C88454" wp14:editId="74CF8A66">
                  <wp:extent cx="4736465" cy="3237230"/>
                  <wp:effectExtent l="0" t="0" r="6985" b="1270"/>
                  <wp:docPr id="36" name="Graf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A1EBB" w14:paraId="632C258F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4C9B2E0E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42BDC0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7611" w:type="dxa"/>
            <w:hideMark/>
          </w:tcPr>
          <w:p w14:paraId="337679D1" w14:textId="77777777" w:rsidR="00EA1EBB" w:rsidRDefault="00EA1EBB">
            <w:pPr>
              <w:rPr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EA1EBB" w14:paraId="5B3FC254" w14:textId="77777777" w:rsidTr="00EA1EBB">
        <w:trPr>
          <w:trHeight w:val="145"/>
        </w:trPr>
        <w:tc>
          <w:tcPr>
            <w:tcW w:w="1804" w:type="dxa"/>
            <w:hideMark/>
          </w:tcPr>
          <w:p w14:paraId="2FA9C899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bytů meziročně klesaly.</w:t>
            </w:r>
          </w:p>
        </w:tc>
        <w:tc>
          <w:tcPr>
            <w:tcW w:w="224" w:type="dxa"/>
          </w:tcPr>
          <w:p w14:paraId="1F8173C5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44430C68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Nabídkové ceny bytů v Česku ve 4. čtvrtletí pokračovaly v meziročním poklesu, který trval již třetí čtvrtletí a prohloubil se na −4,2 %. Mezičtvrtletně se nabídkové ceny bytů v ČR snížily o 0,4 %, počtvrté v řadě. Výrazněji se ve 4. čtvrtletí meziročně propadaly ceny bytů mimo Prahu (−4,9 %), které také popáté v řadě klesly mezičtvrtletně, a to o 0,9 %. Nabídkové ceny bytů v Praze meziročně klesly o 3,6 % a mezičtvrtletně se nezměnily. Realizované ceny starších bytů v Česku ve 4. čtvrtletí meziročně klesly o 5,6 % a pokles se tak zmírnil oproti předchozímu kvartálu. Zároveň se realizované ceny po čtyřech čtvrtletích poklesů v závěru roku 2023 opět mezičtvrtletně zvýšily (0,4 %). Mimo Prahu realizované ceny bytů meziročně klesly o 6,4 % a trval také jejich mezičtvrtletní pokles (−0,3 %). Situace v Praze se ve 4. čtvrtletí 2023 od zbytku země lišila. Realizované ceny starších bytů zde mezičtvrtletně vzrostly o 3,2 % a jejich meziroční pokles se tak zmírnil na −2,6 %. Realizované ceny nových bytů, které jsou zjišťovány pouze za Prahu, se ve 4. čtvrtletí meziročně snížily o 3,3 % a mezičtvrtletně klesly o 1,9 %.       </w:t>
            </w:r>
          </w:p>
        </w:tc>
      </w:tr>
      <w:tr w:rsidR="00EA1EBB" w14:paraId="3FCE32C0" w14:textId="77777777" w:rsidTr="00EA1EBB">
        <w:trPr>
          <w:trHeight w:val="145"/>
        </w:trPr>
        <w:tc>
          <w:tcPr>
            <w:tcW w:w="1804" w:type="dxa"/>
            <w:hideMark/>
          </w:tcPr>
          <w:p w14:paraId="380EF479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celý rok meziročně rostly, přírůstek ale v průběhu roku zpomaloval.</w:t>
            </w:r>
          </w:p>
        </w:tc>
        <w:tc>
          <w:tcPr>
            <w:tcW w:w="224" w:type="dxa"/>
          </w:tcPr>
          <w:p w14:paraId="30C58546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24969491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Ceny průmyslových výrobců ve 4. čtvrtletí meziročně vzrostly o 0,8 %. Jejich růst v průběhu loňska výrazně zpomaloval (15,0 %, 3,9 % a 1,3 % v 1., 2. a 3. čtvrtletí). Mezičtvrtletně se ceny průmyslových výrobců ve 4. kvartálu snížily o 0,3 %. Za celý rok 2023 ceny průmyslových výrobců vzrostly o 5,0 %. V samotném 4. čtvrtletí se na velmi vysoké úrovni udržel meziroční růst cen těžby a dobývání (40,2 %). Posílil meziroční růst cen ropy a zemního plynu (40,6 %), na 61,9 % oslabil přírůstek u černého a hnědého uhlí a lignitu a výrazná byla nadále dynamika u ostatní těžby a dobývání nerostných surovin (18,6 %), zahrnující zejména stavební hmoty. Silný meziroční růst cen těžby a dobývání po celý rok 2023 (celkem o 46,4 %) byl výsledkem zejména prudkého mezičtvrtletního navýšení v první čtvrtině roku. Ve 4. čtvrtletí ceny v této sekci mezičtvrtletně vzrostly o 0,8 %. Také u cen elektřiny, plynu, páry a klimatizovaného vzduchu v průběhu roku došlo ke zmírnění meziročního růstu až na 7,1 % ve 4. kvartálu. Mezičtvrtletně zde ceny klesly o 0,5 %. Za celý rok 2023 jejich přírůstek činil 15,8 %. Ceny zásobování vodou a služeb souvisejících s odpadními vodami ve 4. čtvrtletí stejně jako za celý loňský rok vzrostly o 16,3 %.</w:t>
            </w:r>
          </w:p>
        </w:tc>
      </w:tr>
      <w:tr w:rsidR="00EA1EBB" w14:paraId="633FAC7D" w14:textId="77777777" w:rsidTr="00EA1EBB">
        <w:trPr>
          <w:trHeight w:val="170"/>
        </w:trPr>
        <w:tc>
          <w:tcPr>
            <w:tcW w:w="1804" w:type="dxa"/>
            <w:vMerge w:val="restart"/>
          </w:tcPr>
          <w:p w14:paraId="647DD2CE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4" w:type="dxa"/>
            <w:vMerge w:val="restart"/>
          </w:tcPr>
          <w:p w14:paraId="4A0D079F" w14:textId="77777777" w:rsidR="00EA1EBB" w:rsidRDefault="00EA1EBB">
            <w:pPr>
              <w:pStyle w:val="Textpoznpodarou1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611" w:type="dxa"/>
            <w:hideMark/>
          </w:tcPr>
          <w:p w14:paraId="70EA2FFB" w14:textId="0B25EB5B" w:rsidR="00EA1EBB" w:rsidRDefault="00EA1EBB" w:rsidP="00174ED1">
            <w:pPr>
              <w:spacing w:after="0"/>
              <w:rPr>
                <w:b/>
                <w:szCs w:val="20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Graf č. 1</w:t>
            </w:r>
            <w:r w:rsidR="00174ED1">
              <w:rPr>
                <w:b/>
                <w:sz w:val="18"/>
                <w:szCs w:val="18"/>
                <w:lang w:eastAsia="en-US"/>
              </w:rPr>
              <w:t>3</w:t>
            </w:r>
            <w:r>
              <w:rPr>
                <w:b/>
                <w:sz w:val="18"/>
                <w:szCs w:val="18"/>
                <w:lang w:eastAsia="en-US"/>
              </w:rPr>
              <w:t xml:space="preserve">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EA1EBB" w14:paraId="77CBB589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1CC91E70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A17F29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9824E1" w14:textId="4F3366EB" w:rsidR="00EA1EBB" w:rsidRDefault="00EA1EBB">
            <w:pPr>
              <w:spacing w:after="0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8967F4" wp14:editId="41AE1A4A">
                  <wp:extent cx="4736465" cy="3237230"/>
                  <wp:effectExtent l="0" t="0" r="6985" b="1270"/>
                  <wp:docPr id="34" name="Graf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EA1EBB" w14:paraId="2BCEA42A" w14:textId="77777777" w:rsidTr="00EA1EBB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5D0034E4" w14:textId="77777777" w:rsidR="00EA1EBB" w:rsidRDefault="00EA1EBB">
            <w:pPr>
              <w:spacing w:after="0"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F9ECDC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zCs w:val="20"/>
                <w:highlight w:val="yellow"/>
                <w:lang w:eastAsia="en-US"/>
              </w:rPr>
            </w:pPr>
          </w:p>
        </w:tc>
        <w:tc>
          <w:tcPr>
            <w:tcW w:w="7611" w:type="dxa"/>
            <w:hideMark/>
          </w:tcPr>
          <w:p w14:paraId="6E00B28C" w14:textId="77777777" w:rsidR="00EA1EBB" w:rsidRDefault="00EA1EBB">
            <w:pPr>
              <w:rPr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EA1EBB" w14:paraId="6634B888" w14:textId="77777777" w:rsidTr="00EA1EBB">
        <w:trPr>
          <w:trHeight w:val="145"/>
        </w:trPr>
        <w:tc>
          <w:tcPr>
            <w:tcW w:w="1804" w:type="dxa"/>
            <w:hideMark/>
          </w:tcPr>
          <w:p w14:paraId="317CAA1D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Ve zpracovatelském průmyslu klesaly zejména ceny surovin.</w:t>
            </w:r>
          </w:p>
        </w:tc>
        <w:tc>
          <w:tcPr>
            <w:tcW w:w="224" w:type="dxa"/>
          </w:tcPr>
          <w:p w14:paraId="1696DF9F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350D9C5F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Ceny ve 4. čtvrtletí meziročně klesly u výrobků a služeb zpracovatelského průmyslu (−2,3 %). Mezičtvrtletně se ceny ve 4. kvartálu snížily o 0,3 %. V hlubokém meziročním poklesu ve 4. čtvrtletí byly ceny výrobků souvisejících se základními surovinami, jako jsou dřevo a výrobky z něj (kromě nábytku, −22,9 %), papír a výrobky z něj (−14,5 %), základní kovy (−14,5 %) nebo chemické látky a přípravky (−9,2 %). Nižší byly i ceny koksu a rafinovaných ropných výrobků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Meziroční pokles byl zaznamenán také u potravinářských výrobků (−3,1 %), pryžových a plastových výrobků (−3,0 %) nebo kovodělných výrobků (−0,5 %). Silný meziroční přírůstek se udržel u cen oprav, údržby a instalace strojů a zařízení (9,6 %) a ceny meziročně rostly také u váhově významných druhů zboží, jako jsou stroje a zařízení (6,1 %), počítače, elektronické a optické přístroje (4,8 %), motorová vozidla (3,3 %) nebo elektrická zařízení (0,8 %). </w:t>
            </w:r>
          </w:p>
        </w:tc>
      </w:tr>
      <w:tr w:rsidR="00EA1EBB" w14:paraId="4F8AFAD6" w14:textId="77777777" w:rsidTr="00EA1EBB">
        <w:trPr>
          <w:trHeight w:val="145"/>
        </w:trPr>
        <w:tc>
          <w:tcPr>
            <w:tcW w:w="1804" w:type="dxa"/>
            <w:hideMark/>
          </w:tcPr>
          <w:p w14:paraId="0F983950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Celkově loni vzrostly ceny výrobků a služeb zpracovatelského průmyslu. </w:t>
            </w:r>
          </w:p>
        </w:tc>
        <w:tc>
          <w:tcPr>
            <w:tcW w:w="224" w:type="dxa"/>
          </w:tcPr>
          <w:p w14:paraId="5DDB67DC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452C4CCC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Po silném navýšení na začátku roku (10,3 % v 1. čtvrtletí) meziroční dynamika cen ve zpracovatelském průmyslu spadla do poklesu (−0,9 % a −2,4 % ve 2. a 3. kvartálu) a celkově za celý rok v této sekci ceny vzrostly o 0,9 %. Celoroční výsledek ve směru poklesu ovlivňoval zejména vývoj cen surovin a souvisejících výrobků, u kterých působila vysoká srovnávací základna roku 2022 – dřevo a výrobky z něj (kromě nábytku, −12,7 %), základní kovy (−9,4 %), chemické látky a přípravky (−9,0 %), papír a výrobky z něj (−4,2 %) nebo ceny koksu a rafinovaných ropných výrobků. Naopak výrazně rostly ceny nápojů (12,2 %) i potravinářských výrobků (8,6 %), oprav, údržby a instalace strojů a zařízení (9,5 %) strojů a zařízení (8,0 %), počítačů, elektronických a optických přístrojů (4,0 %) nebo motorových vozidel (3,7 %). </w:t>
            </w:r>
          </w:p>
        </w:tc>
      </w:tr>
      <w:tr w:rsidR="00EA1EBB" w14:paraId="38F55783" w14:textId="77777777" w:rsidTr="00EA1EBB">
        <w:trPr>
          <w:trHeight w:val="145"/>
        </w:trPr>
        <w:tc>
          <w:tcPr>
            <w:tcW w:w="1804" w:type="dxa"/>
            <w:hideMark/>
          </w:tcPr>
          <w:p w14:paraId="21C5BD95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v EU loni klesly.</w:t>
            </w:r>
          </w:p>
        </w:tc>
        <w:tc>
          <w:tcPr>
            <w:tcW w:w="224" w:type="dxa"/>
          </w:tcPr>
          <w:p w14:paraId="3A06CECD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323867DD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Vývoj cen průmyslových výrobců v EU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byl loni značně rozmanitý. Po prudkém navýšení z roku 2022 (34,4 %) ceny průmyslových výrobců v EU loni celkově klesly o 2,1 %. Zatímco u některých zemí navzdory oslabení tempa ceny stále silně rostly – o 21,5 % v Maďarsku, o 17,2 % v Lucembursku a o 16,9 % na Slovensku, ve 14 zemích došlo k poklesu, nejvíce v Irsku (−25,6 %), Bulharsku (−12,5 %) a v Belgii (−9,3 %). Celkově se v EU loni propadly ceny těžby a dobývání (−6,9 %) a elektřiny, plynu, páry a klimatizovaného vzduchu (−12,7 %). Naopak ceny výrobků a služeb zpracovatelského průmyslu loni v EU mírně vzrostly (1,9 %). V samotném 4. čtvrtletí ceny průmyslových výrobců v EU meziročně klesly o 8,9 %, zatímco mezičtvrtletně mírně vzrostly (0,2 %). Meziroční pokles cen průmyslových výrobců ovlivňovaly všechny sekce – ceny těžby a dobývání byly nižší o 10,0 %, ceny výrobků a služeb zpracovatelského průmyslu o 1,6 % a ceny elektřiny, plynu, páry a klimatizovaného vzduchu o 26,0 %. Ceny průmyslových výrobců ve 4. kvartálu meziročně klesaly ve většině zemí EU s výjimkou Lucemburska (19,1 %), Slovenska (8,1 %), Slovinska (2,4 %), Česka (0,8 %) a Malty (0,8 %). Oproti tomu nejvíce se meziročně propadly ceny průmyslových výrobců v Irsku (−22,0 %), Bulharsku (−20,3 %) a Belgii (−19,2 %).    </w:t>
            </w:r>
          </w:p>
        </w:tc>
      </w:tr>
      <w:tr w:rsidR="00EA1EBB" w14:paraId="4C29B5A1" w14:textId="77777777" w:rsidTr="00EA1EBB">
        <w:trPr>
          <w:trHeight w:val="145"/>
        </w:trPr>
        <w:tc>
          <w:tcPr>
            <w:tcW w:w="1804" w:type="dxa"/>
            <w:hideMark/>
          </w:tcPr>
          <w:p w14:paraId="372B0858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Ceny materiálů </w:t>
            </w:r>
            <w:r>
              <w:rPr>
                <w:spacing w:val="0"/>
                <w:lang w:eastAsia="en-US"/>
              </w:rPr>
              <w:br/>
              <w:t>a výrobků spotřebovávaných ve stavebnictví loni rostly výrazně pomaleji než v roce 2022.</w:t>
            </w:r>
          </w:p>
        </w:tc>
        <w:tc>
          <w:tcPr>
            <w:tcW w:w="224" w:type="dxa"/>
          </w:tcPr>
          <w:p w14:paraId="08EBE3F3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5C949BCC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Meziroční růst cen stavebních prací v průběhu roku 2023 postupně zpomaloval a dle odhadů ve 4. čtvrtletí dosáhl 3,2 %. Mezičtvrtletně se ceny stavebních prací zvýšily o 0,6 %. Za celý rok 2023 pak ceny stavebních prací vzrostly o 6,0 % (v roce 2022 po zpřesnění o 12,4 %). Ceny materiálů a výrobků spotřebovávaných ve stavebnictví naopak ve 4. čtvrtletí meziročně klesly o 0,3 % a mezičtvrtletně byly nižší o 0,7 %. Za celý rok 2023 ceny materiálů a výrobků spotřebovávaných ve stavebnictví vzrostly v průměru o 3,8 %. To představuje prudké zpomalení ve srovnání s rokem 2022, kdy materiály a výrobky spotřebovávané ve stavebnictví zdražily o 20,7 % a materiální náklady tak byly výraznou brzdou rozvoje stavební produkce.</w:t>
            </w:r>
          </w:p>
        </w:tc>
      </w:tr>
      <w:tr w:rsidR="00EA1EBB" w14:paraId="61E7B8A0" w14:textId="77777777" w:rsidTr="00EA1EBB">
        <w:trPr>
          <w:trHeight w:val="145"/>
        </w:trPr>
        <w:tc>
          <w:tcPr>
            <w:tcW w:w="1804" w:type="dxa"/>
            <w:hideMark/>
          </w:tcPr>
          <w:p w14:paraId="7729B721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Růst cen tržních služeb se po celý rok držel na výrazné úrovni.</w:t>
            </w:r>
          </w:p>
        </w:tc>
        <w:tc>
          <w:tcPr>
            <w:tcW w:w="224" w:type="dxa"/>
          </w:tcPr>
          <w:p w14:paraId="16635E6F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7D2A7C19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Ceny tržních služeb ve 4. čtvrtletí meziročně vzrostly o 4,9 % a přírůstek tak byl nejmírnější za celý rok 2023. Mezičtvrtletně se ceny ve 4. čtvrtletí zvýšily o 1,2 %. Ve směru meziročního růstu cen nejvíce působily služby v oblasti nemovitostí (meziroční přírůstek 6,7 %), služby v oblasti programování a souvisejícího poradenství (6,5 %), pozemní a potrubní doprava (3,1 %) a služby v oblasti zaměstnání (15,6 %). Významný příspěvek měl i vývoj cen úklidových služeb (12,9 %), poštovních a kurýrních služeb (11,7 %), informačních služeb (10,0 %), právních a účetnických služeb (6,8 %), reklamních služeb a průzkumu trhu (4,3 %), skladování a podpůrných služeb v dopravě (3,6 %) nebo architektonických a inženýrských služeb a technických zkoušek a analýz (2,6 %). Meziroční dynamika cen tržních služeb se držela vysoko a na rozdíl od zbytku ekonomiky v průběhu roku výrazně nezpomalovala. Šlo o projev přetrvávajícího silného nominálního růstu mezd, které u služeb tvoří klíčovou součást nákladů. Za celý rok 2023 se ceny tržních služeb zvýšily o 5,6 %. Nejvíce k tomu přispěly služby v oblasti programování a souvisejícího poradenství (růst o 8,2 %), služby v oblasti nemovitostí (6,5 %), pozemní a potrubní doprava (4,2 %) a služby v oblasti zaměstnání (22,1 %).</w:t>
            </w:r>
          </w:p>
        </w:tc>
      </w:tr>
      <w:tr w:rsidR="00EA1EBB" w14:paraId="4B22C9D2" w14:textId="77777777" w:rsidTr="00EA1EBB">
        <w:trPr>
          <w:trHeight w:val="145"/>
        </w:trPr>
        <w:tc>
          <w:tcPr>
            <w:tcW w:w="1804" w:type="dxa"/>
            <w:hideMark/>
          </w:tcPr>
          <w:p w14:paraId="11A2C18C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Ve 4. čtvrtletí se ceny zemědělských výrobců výrazně meziročně propadly.</w:t>
            </w:r>
          </w:p>
        </w:tc>
        <w:tc>
          <w:tcPr>
            <w:tcW w:w="224" w:type="dxa"/>
          </w:tcPr>
          <w:p w14:paraId="2BE7CF28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77030D51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zemědělských výrobců (včetně ryb) ve 4. čtvrtletí 2023 meziročně klesly </w:t>
            </w:r>
            <w:r>
              <w:rPr>
                <w:lang w:eastAsia="en-US"/>
              </w:rPr>
              <w:br/>
              <w:t xml:space="preserve">o 14,5 % a hloubka propadu se tak téměř nezměnila oproti 3. čtvrtletí. Meziročně nižší byly ceny rostlinné (−16,5 %) i živočišné (−10,9 %) výroby. Za úrovní stejného období roku 2022 hluboce zaostávaly ceny obilovin (−36,0 %). O desítky procent se meziročně propadly ceny pšenice, žita, ječmene, ovsa i kukuřice. Ceny průmyslových plodin byly nižší o 16,7 %, z toho olejnin o více než třetinu. Naopak ceny cukrové řepy vzrostly o 14,8 %. Krmné plodiny byly meziročně dražší o 17,9 %, zelenina a zahradnické produkty o 12,5 %, brambory o 34,7 % a ovoce o 32,8 % (vliv měla zejména o více než třetinu dražší jablka). V rámci živočišné výroby ve 4. čtvrtletí meziročně stagnovaly ceny hospodářských zvířat (0,1 %), z toho ale klesaly ceny drůbeže (−6,9 %) a skotu (−3,1 %) a naopak rostly ceny prasat a selat (8,7 %). V hlubokém propadu byly naopak živočišné výrobky (−17,8 %). Mléko bylo meziročně levnější o 18,7 % a vejce o 10,8 %.     </w:t>
            </w:r>
          </w:p>
        </w:tc>
      </w:tr>
      <w:tr w:rsidR="00EA1EBB" w14:paraId="7B7C0B85" w14:textId="77777777" w:rsidTr="00EA1EBB">
        <w:trPr>
          <w:trHeight w:val="145"/>
        </w:trPr>
        <w:tc>
          <w:tcPr>
            <w:tcW w:w="1804" w:type="dxa"/>
            <w:hideMark/>
          </w:tcPr>
          <w:p w14:paraId="10A55EA0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Loni klesly ceny rostlinné výroby, zatímco </w:t>
            </w:r>
            <w:r>
              <w:rPr>
                <w:spacing w:val="0"/>
                <w:lang w:eastAsia="en-US"/>
              </w:rPr>
              <w:br/>
              <w:t>u živočišné výroby došlo k celkovému navýšení.</w:t>
            </w:r>
          </w:p>
        </w:tc>
        <w:tc>
          <w:tcPr>
            <w:tcW w:w="224" w:type="dxa"/>
          </w:tcPr>
          <w:p w14:paraId="332BD1BB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3319AFDA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Ještě v 1. čtvrtletí ceny zemědělské výroby včetně ryb meziročně rostly (19,4 %) a následně spadly do poklesu (−8,1 % a −14,7 % ve 2. a 3. čtvrtletí). Za celý rok byly ceny zemědělské výroby nižší o 6,0 %. Pokles byl podpořen zejména vývojem cen rostlinné výroby, které klesly o 13,7 %. Velký podíl na tom mělo srovnání s rokem 2022, kdy geopolitické události vedly k prudkému zdražení klíčových plodin. I proto loni prudce klesly ceny obilovin (−20,4 %, z toho pšenice o 24,0 %) i průmyslových plodin (−21,8 %, z toho olejniny o 28,8 %). Naopak ceny zeleniny a zahradnických produktů byly loni vyšší o 15,4 %, brambor o 39,4 % a ovoce o 10,4 %. Ceny živočišné výroby v roce 2023 naopak celkově vzrostly o 7,0 %. Ceny hospodářských zvířat byly vyšší o 12,6 %, z toho prasat o 25,0 %. Ceny živočišných výrobků vzrostly o 3,3 %. Zatímco ceny mléka loni celkově spíše stagnovaly (0,5 %), u vajec došlo k navýšení o 28,6 %. </w:t>
            </w:r>
          </w:p>
        </w:tc>
      </w:tr>
      <w:tr w:rsidR="00EA1EBB" w14:paraId="57497850" w14:textId="77777777" w:rsidTr="00EA1EBB">
        <w:trPr>
          <w:trHeight w:val="145"/>
        </w:trPr>
        <w:tc>
          <w:tcPr>
            <w:tcW w:w="1804" w:type="dxa"/>
            <w:hideMark/>
          </w:tcPr>
          <w:p w14:paraId="60D2D88A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vývozu loni meziročně klesly.</w:t>
            </w:r>
          </w:p>
        </w:tc>
        <w:tc>
          <w:tcPr>
            <w:tcW w:w="224" w:type="dxa"/>
          </w:tcPr>
          <w:p w14:paraId="13C9FD47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470649C9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>Ceny vývozu zboží v roce 2023 celkově klesly o 0,7 %. Nejvíce se propadly ceny exportu ostatních surovin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 (−18,6 %) a chemikálií (−7,2 %). Naopak prudce vzrostly ceny nápojů (16,0 %). Po meziročním navýšení v 1. čtvrtletí se ceny exportu ve zbytku roku 2023 kleslay. Ve 4. čtvrtletí 2023 byly ceny vývozu nižší o 2,2 %. Vliv kurzu koruny na meziroční vývoj cen zahraničního obchodu v závěru roku oslabil</w:t>
            </w:r>
            <w:r>
              <w:rPr>
                <w:rStyle w:val="Znakapoznpodarou"/>
                <w:lang w:eastAsia="en-US"/>
              </w:rPr>
              <w:footnoteReference w:id="7"/>
            </w:r>
            <w:r>
              <w:rPr>
                <w:lang w:eastAsia="en-US"/>
              </w:rPr>
              <w:t>. Mezičtvrtletně se ceny vývozu ve 4. čtvrtletí zvýšily o 0,6 %. Ve 4. kvartálu nejvíce meziročně klesly ceny ostatních surovin (−14,7 %) a minerálních paliv (−13,7 %). Nižší byly také ceny vývozu chemikálií (−7,7 %), potravin a živých zvířat (−7,3 %) a polotovarů</w:t>
            </w:r>
            <w:r>
              <w:rPr>
                <w:rStyle w:val="Znakapoznpodarou"/>
                <w:lang w:eastAsia="en-US"/>
              </w:rPr>
              <w:footnoteReference w:id="8"/>
            </w:r>
            <w:r>
              <w:rPr>
                <w:lang w:eastAsia="en-US"/>
              </w:rPr>
              <w:t xml:space="preserve"> (−6,8 %). Stejně jako v předcházejících kvartálech také ve 4. čtvrtletí prudce rostly ceny nápojů </w:t>
            </w:r>
            <w:r>
              <w:rPr>
                <w:lang w:eastAsia="en-US"/>
              </w:rPr>
              <w:lastRenderedPageBreak/>
              <w:t>(11,1 %). Posílil meziroční přírůstek u cen exportu průmyslového spotřebního zboží (4,1 %) a strojů a dopravních prostředků (2,8 %).</w:t>
            </w:r>
          </w:p>
        </w:tc>
      </w:tr>
      <w:tr w:rsidR="00EA1EBB" w14:paraId="53F95227" w14:textId="77777777" w:rsidTr="00EA1EBB">
        <w:trPr>
          <w:trHeight w:val="145"/>
        </w:trPr>
        <w:tc>
          <w:tcPr>
            <w:tcW w:w="1804" w:type="dxa"/>
            <w:hideMark/>
          </w:tcPr>
          <w:p w14:paraId="38997C2A" w14:textId="77777777" w:rsidR="00EA1EBB" w:rsidRDefault="00EA1EBB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Směnné relace byly loni výrazně kladné.</w:t>
            </w:r>
          </w:p>
        </w:tc>
        <w:tc>
          <w:tcPr>
            <w:tcW w:w="224" w:type="dxa"/>
          </w:tcPr>
          <w:p w14:paraId="733D2EB2" w14:textId="77777777" w:rsidR="00EA1EBB" w:rsidRDefault="00EA1EBB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11" w:type="dxa"/>
            <w:hideMark/>
          </w:tcPr>
          <w:p w14:paraId="0D3561E5" w14:textId="77777777" w:rsidR="00EA1EBB" w:rsidRDefault="00EA1E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dovozu zboží se v loňském roce celkově propadly o 5,7 %. Na poklesu se projevil zejména vývoj u cen minerálních paliv (−27,7 %) a ostatních surovin (−10,7 %). V hlubokém poklesu byly také ceny dovozu chemikálií (−7,9 %). Naopak o více než pětinu (22,7 %) vzrostly ceny nápojů a tabáku. V samotném 4. čtvrtletí 2023 ceny importu meziročně klesly o 6,1 %, zatímco mezičtvrtletně vzrostly o 1,5 %. Ve 4. čtvrtletí se nejvíce meziročně snižovaly ceny dovozu minerálních paliv (−28,7 %), ostatních surovin (−9,6 %), chemikálií (−8,0 %) a polotovarů (−5,9 %). Naopak meziročně vyšší byly ceny importu nápojů a tabáku (23,9 %), průmyslového spotřebního zboží (2,3 %), potravin a živých zvířat (1,7 %), strojů a dopravních prostředků (0,3 %). Po celý rok setrvávaly meziroční směnné relace zahraničního obchodu se zbožím ve výrazně kladném pásmu. Celkově za rok 2023 směnné relace dosáhly 105,3 %. V samotném 4. čtvrtletí meziroční směnné relace činily 104,2 %. Kladné směnné relace měl obchod s minerálními palivy (121,0 %), stroji a dopravními prostředky (102,4 %), průmyslovým spotřebním zbožím (101,8 %) a chemikáliemi (100,3 %). Naproti tomu záporné směnné relace měl obchod s nápoji a tabákem (89,7 %), potravinami a živými zvířaty (91,2 %), ostatními surovinami (94,4 %) a polotovary (99,0 %). </w:t>
            </w:r>
          </w:p>
        </w:tc>
      </w:tr>
    </w:tbl>
    <w:p w14:paraId="1ED17258" w14:textId="77777777" w:rsidR="00EA1EBB" w:rsidRDefault="00EA1EBB" w:rsidP="00871E73">
      <w:pPr>
        <w:pStyle w:val="Nadpis11"/>
        <w:spacing w:after="120"/>
      </w:pPr>
      <w:bookmarkStart w:id="3" w:name="_GoBack"/>
      <w:bookmarkEnd w:id="0"/>
      <w:bookmarkEnd w:id="3"/>
    </w:p>
    <w:sectPr w:rsidR="00EA1EBB" w:rsidSect="00871E73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E4DD" w14:textId="77777777" w:rsidR="00D0761D" w:rsidRDefault="00D0761D" w:rsidP="00E71A58">
      <w:r>
        <w:separator/>
      </w:r>
    </w:p>
  </w:endnote>
  <w:endnote w:type="continuationSeparator" w:id="0">
    <w:p w14:paraId="2F889831" w14:textId="77777777" w:rsidR="00D0761D" w:rsidRDefault="00D0761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4F809ED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71E73">
      <w:rPr>
        <w:szCs w:val="16"/>
      </w:rPr>
      <w:t>30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3334F395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71E73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E6379" w14:textId="77777777" w:rsidR="00D0761D" w:rsidRDefault="00D0761D" w:rsidP="00A21B4D">
      <w:pPr>
        <w:spacing w:after="0"/>
      </w:pPr>
      <w:r>
        <w:separator/>
      </w:r>
    </w:p>
  </w:footnote>
  <w:footnote w:type="continuationSeparator" w:id="0">
    <w:p w14:paraId="2C15EF68" w14:textId="77777777" w:rsidR="00D0761D" w:rsidRDefault="00D0761D" w:rsidP="00E71A58">
      <w:r>
        <w:continuationSeparator/>
      </w:r>
    </w:p>
  </w:footnote>
  <w:footnote w:id="1">
    <w:p w14:paraId="6C72D3BA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Imputované nájemné vyjadřuje náklady vlastnického bydlení. Kromě samotných cen bydlení zahrnuje i náklady na výstavbu a renovace a další poplatky. Více na: </w:t>
      </w:r>
      <w:hyperlink r:id="rId1" w:history="1">
        <w:r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</w:rPr>
        <w:t>.</w:t>
      </w:r>
    </w:p>
  </w:footnote>
  <w:footnote w:id="2">
    <w:p w14:paraId="0C3183EE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Zahrnuje služby osobní péče a osobní potřeby a doplňky, sociální péči, pojištění a další finanční služby apod.</w:t>
      </w:r>
    </w:p>
  </w:footnote>
  <w:footnote w:id="3">
    <w:p w14:paraId="629EF097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Oproti indexu spotřebitelských cen, který ČSÚ pro českou ekonomiku sestavuje, HICP neobsahuje imputované nájemné, což bývá zdrojem rozdílů mezi HICP a Indexem spotřebitelských cen.</w:t>
      </w:r>
    </w:p>
  </w:footnote>
  <w:footnote w:id="4">
    <w:p w14:paraId="0680B45D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Přesné hodnoty ukazatele nejsou uvedeny kvůli ochraně individuálních dat.</w:t>
      </w:r>
    </w:p>
  </w:footnote>
  <w:footnote w:id="5">
    <w:p w14:paraId="12940FA8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Bez cen zásobování vodou a služeb souvisejících s odpadními vodami.</w:t>
      </w:r>
    </w:p>
  </w:footnote>
  <w:footnote w:id="6">
    <w:p w14:paraId="55295887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SITC 2 – suroviny nepoživatelné s výjimkou paliv.</w:t>
      </w:r>
    </w:p>
  </w:footnote>
  <w:footnote w:id="7">
    <w:p w14:paraId="2E360B3C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4. čtvrtletí 2023 průměrný kurz koruny vůči euru 24,521 CZK/EUR. V roce 2022 to bylo 24,387 CZK/EUR. Kurz dolaru meziročně posílil. Ve 4. čtvrtletí 2022 činil průměr 23,923 CZK/USD a letos 22,820 CZK/USD.</w:t>
      </w:r>
    </w:p>
  </w:footnote>
  <w:footnote w:id="8">
    <w:p w14:paraId="6A59CE9E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SITC 6 – tržní výrobky tříděné hlavně podle materiálu.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1E73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61D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abojnikova31519.CZSO\Documents\Anal&#253;za\Q\2023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327E-2"/>
          <c:w val="0.92237743255066085"/>
          <c:h val="0.71471575213004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2'!$C$30:$C$53</c:f>
              <c:numCache>
                <c:formatCode>0.0</c:formatCode>
                <c:ptCount val="24"/>
                <c:pt idx="0">
                  <c:v>1.9000000000000001</c:v>
                </c:pt>
                <c:pt idx="1">
                  <c:v>2.2999999999999998</c:v>
                </c:pt>
                <c:pt idx="2">
                  <c:v>2.4</c:v>
                </c:pt>
                <c:pt idx="3">
                  <c:v>2.1</c:v>
                </c:pt>
                <c:pt idx="4">
                  <c:v>2.7</c:v>
                </c:pt>
                <c:pt idx="5">
                  <c:v>2.8</c:v>
                </c:pt>
                <c:pt idx="6">
                  <c:v>2.8</c:v>
                </c:pt>
                <c:pt idx="7">
                  <c:v>3</c:v>
                </c:pt>
                <c:pt idx="8">
                  <c:v>3.6</c:v>
                </c:pt>
                <c:pt idx="9">
                  <c:v>3.1</c:v>
                </c:pt>
                <c:pt idx="10">
                  <c:v>3.3</c:v>
                </c:pt>
                <c:pt idx="11">
                  <c:v>2.6</c:v>
                </c:pt>
                <c:pt idx="12">
                  <c:v>2.2000000000000002</c:v>
                </c:pt>
                <c:pt idx="13">
                  <c:v>2.9</c:v>
                </c:pt>
                <c:pt idx="14">
                  <c:v>4.0999999999999996</c:v>
                </c:pt>
                <c:pt idx="15">
                  <c:v>6.1</c:v>
                </c:pt>
                <c:pt idx="16">
                  <c:v>11.2</c:v>
                </c:pt>
                <c:pt idx="17">
                  <c:v>15.8</c:v>
                </c:pt>
                <c:pt idx="18">
                  <c:v>17.600000000000001</c:v>
                </c:pt>
                <c:pt idx="19">
                  <c:v>15.7</c:v>
                </c:pt>
                <c:pt idx="20">
                  <c:v>16.399999999999999</c:v>
                </c:pt>
                <c:pt idx="21">
                  <c:v>11.1</c:v>
                </c:pt>
                <c:pt idx="22">
                  <c:v>8</c:v>
                </c:pt>
                <c:pt idx="23">
                  <c:v>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F9-4589-AA60-B6610FB7AB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13584768"/>
        <c:axId val="113787264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2'!$D$30:$D$53</c:f>
              <c:numCache>
                <c:formatCode>#\ ##0.0_ ;\-#\ ##0.0\ </c:formatCode>
                <c:ptCount val="24"/>
                <c:pt idx="0" formatCode="0.0">
                  <c:v>2.9</c:v>
                </c:pt>
                <c:pt idx="1">
                  <c:v>2.2999999999999998</c:v>
                </c:pt>
                <c:pt idx="2" formatCode="0.0">
                  <c:v>0.6000000000000002</c:v>
                </c:pt>
                <c:pt idx="3" formatCode="0.0">
                  <c:v>-0.5</c:v>
                </c:pt>
                <c:pt idx="4" formatCode="0.0">
                  <c:v>1</c:v>
                </c:pt>
                <c:pt idx="5" formatCode="0.0">
                  <c:v>2.5</c:v>
                </c:pt>
                <c:pt idx="6" formatCode="0.0">
                  <c:v>3.5</c:v>
                </c:pt>
                <c:pt idx="7" formatCode="0.0">
                  <c:v>4.3</c:v>
                </c:pt>
                <c:pt idx="8" formatCode="0.0">
                  <c:v>6.1</c:v>
                </c:pt>
                <c:pt idx="9" formatCode="0.0">
                  <c:v>6.5</c:v>
                </c:pt>
                <c:pt idx="10" formatCode="0.0">
                  <c:v>4</c:v>
                </c:pt>
                <c:pt idx="11" formatCode="0.0">
                  <c:v>1.7000000000000002</c:v>
                </c:pt>
                <c:pt idx="12" formatCode="0.0">
                  <c:v>0.3000000000000001</c:v>
                </c:pt>
                <c:pt idx="13" formatCode="0.0">
                  <c:v>-0.8</c:v>
                </c:pt>
                <c:pt idx="14" formatCode="0.0">
                  <c:v>1.4</c:v>
                </c:pt>
                <c:pt idx="15" formatCode="0.0">
                  <c:v>2.2999999999999998</c:v>
                </c:pt>
                <c:pt idx="16" formatCode="0.0">
                  <c:v>6.7</c:v>
                </c:pt>
                <c:pt idx="17" formatCode="0.0">
                  <c:v>14.6</c:v>
                </c:pt>
                <c:pt idx="18" formatCode="0.0">
                  <c:v>20</c:v>
                </c:pt>
                <c:pt idx="19" formatCode="0.0">
                  <c:v>25.5</c:v>
                </c:pt>
                <c:pt idx="20" formatCode="0.0">
                  <c:v>24.1</c:v>
                </c:pt>
                <c:pt idx="21" formatCode="0.0">
                  <c:v>14.6</c:v>
                </c:pt>
                <c:pt idx="22" formatCode="0.0">
                  <c:v>7.8</c:v>
                </c:pt>
                <c:pt idx="23" formatCode="0.0">
                  <c:v>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3F9-4589-AA60-B6610FB7AB68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2'!$F$30:$F$53</c:f>
              <c:numCache>
                <c:formatCode>0.0</c:formatCode>
                <c:ptCount val="24"/>
                <c:pt idx="0">
                  <c:v>2.2999999999999998</c:v>
                </c:pt>
                <c:pt idx="1">
                  <c:v>2.6</c:v>
                </c:pt>
                <c:pt idx="2">
                  <c:v>3.2</c:v>
                </c:pt>
                <c:pt idx="3">
                  <c:v>3.8</c:v>
                </c:pt>
                <c:pt idx="4">
                  <c:v>5.4</c:v>
                </c:pt>
                <c:pt idx="5">
                  <c:v>5.7</c:v>
                </c:pt>
                <c:pt idx="6">
                  <c:v>5.2</c:v>
                </c:pt>
                <c:pt idx="7">
                  <c:v>5</c:v>
                </c:pt>
                <c:pt idx="8">
                  <c:v>4.2</c:v>
                </c:pt>
                <c:pt idx="9">
                  <c:v>3.2</c:v>
                </c:pt>
                <c:pt idx="10">
                  <c:v>2.7</c:v>
                </c:pt>
                <c:pt idx="11">
                  <c:v>1.4</c:v>
                </c:pt>
                <c:pt idx="12">
                  <c:v>0.6000000000000002</c:v>
                </c:pt>
                <c:pt idx="13">
                  <c:v>1.3</c:v>
                </c:pt>
                <c:pt idx="14">
                  <c:v>3.6</c:v>
                </c:pt>
                <c:pt idx="15">
                  <c:v>5.6</c:v>
                </c:pt>
                <c:pt idx="16">
                  <c:v>16</c:v>
                </c:pt>
                <c:pt idx="17">
                  <c:v>21.4</c:v>
                </c:pt>
                <c:pt idx="18">
                  <c:v>23.6</c:v>
                </c:pt>
                <c:pt idx="19">
                  <c:v>14.9</c:v>
                </c:pt>
                <c:pt idx="20">
                  <c:v>22.2</c:v>
                </c:pt>
                <c:pt idx="21">
                  <c:v>16</c:v>
                </c:pt>
                <c:pt idx="22">
                  <c:v>11.6</c:v>
                </c:pt>
                <c:pt idx="23">
                  <c:v>17.8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3F9-4589-AA60-B6610FB7AB68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2'!$G$30:$G$53</c:f>
              <c:numCache>
                <c:formatCode>0.0</c:formatCode>
                <c:ptCount val="24"/>
                <c:pt idx="0">
                  <c:v>1</c:v>
                </c:pt>
                <c:pt idx="1">
                  <c:v>3</c:v>
                </c:pt>
                <c:pt idx="2">
                  <c:v>4.5</c:v>
                </c:pt>
                <c:pt idx="3">
                  <c:v>2.6</c:v>
                </c:pt>
                <c:pt idx="4">
                  <c:v>0.6000000000000002</c:v>
                </c:pt>
                <c:pt idx="5">
                  <c:v>0.8</c:v>
                </c:pt>
                <c:pt idx="6">
                  <c:v>-0.2</c:v>
                </c:pt>
                <c:pt idx="7">
                  <c:v>0.5</c:v>
                </c:pt>
                <c:pt idx="8" formatCode="General">
                  <c:v>1.7000000000000002</c:v>
                </c:pt>
                <c:pt idx="9">
                  <c:v>-3.4</c:v>
                </c:pt>
                <c:pt idx="10">
                  <c:v>-0.2</c:v>
                </c:pt>
                <c:pt idx="11">
                  <c:v>0.6000000000000002</c:v>
                </c:pt>
                <c:pt idx="12">
                  <c:v>2.4</c:v>
                </c:pt>
                <c:pt idx="13">
                  <c:v>9.1</c:v>
                </c:pt>
                <c:pt idx="14">
                  <c:v>8.8000000000000007</c:v>
                </c:pt>
                <c:pt idx="15">
                  <c:v>13.1</c:v>
                </c:pt>
                <c:pt idx="16">
                  <c:v>17.2</c:v>
                </c:pt>
                <c:pt idx="17">
                  <c:v>22.7</c:v>
                </c:pt>
                <c:pt idx="18">
                  <c:v>19.7</c:v>
                </c:pt>
                <c:pt idx="19">
                  <c:v>13.1</c:v>
                </c:pt>
                <c:pt idx="20">
                  <c:v>4.5</c:v>
                </c:pt>
                <c:pt idx="21">
                  <c:v>-4</c:v>
                </c:pt>
                <c:pt idx="22">
                  <c:v>-2.4</c:v>
                </c:pt>
                <c:pt idx="23">
                  <c:v>-1.6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3F9-4589-AA60-B6610FB7AB68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2'!$H$30:$H$53</c:f>
              <c:numCache>
                <c:formatCode>0.0</c:formatCode>
                <c:ptCount val="24"/>
                <c:pt idx="0">
                  <c:v>3.5</c:v>
                </c:pt>
                <c:pt idx="1">
                  <c:v>3.6</c:v>
                </c:pt>
                <c:pt idx="2">
                  <c:v>3.5</c:v>
                </c:pt>
                <c:pt idx="3">
                  <c:v>3.7</c:v>
                </c:pt>
                <c:pt idx="4">
                  <c:v>3.8</c:v>
                </c:pt>
                <c:pt idx="5">
                  <c:v>4</c:v>
                </c:pt>
                <c:pt idx="6">
                  <c:v>4.5</c:v>
                </c:pt>
                <c:pt idx="7">
                  <c:v>4.5999999999999996</c:v>
                </c:pt>
                <c:pt idx="8">
                  <c:v>5.5</c:v>
                </c:pt>
                <c:pt idx="9">
                  <c:v>5.0999999999999996</c:v>
                </c:pt>
                <c:pt idx="10">
                  <c:v>4.9000000000000004</c:v>
                </c:pt>
                <c:pt idx="11">
                  <c:v>4.3</c:v>
                </c:pt>
                <c:pt idx="12">
                  <c:v>3</c:v>
                </c:pt>
                <c:pt idx="13">
                  <c:v>2.9</c:v>
                </c:pt>
                <c:pt idx="14">
                  <c:v>4.5999999999999996</c:v>
                </c:pt>
                <c:pt idx="15">
                  <c:v>6.8</c:v>
                </c:pt>
                <c:pt idx="16">
                  <c:v>12.3</c:v>
                </c:pt>
                <c:pt idx="17">
                  <c:v>21.4</c:v>
                </c:pt>
                <c:pt idx="18">
                  <c:v>24.3</c:v>
                </c:pt>
                <c:pt idx="19">
                  <c:v>25.6</c:v>
                </c:pt>
                <c:pt idx="20">
                  <c:v>22.4</c:v>
                </c:pt>
                <c:pt idx="21">
                  <c:v>15.4</c:v>
                </c:pt>
                <c:pt idx="22">
                  <c:v>11.6</c:v>
                </c:pt>
                <c:pt idx="23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3F9-4589-AA60-B6610FB7AB68}"/>
            </c:ext>
          </c:extLst>
        </c:ser>
        <c:ser>
          <c:idx val="6"/>
          <c:order val="6"/>
          <c:tx>
            <c:strRef>
              <c:f>'Ceny 2'!$I$5</c:f>
              <c:strCache>
                <c:ptCount val="1"/>
                <c:pt idx="0">
                  <c:v>Rekreace a kultura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2'!$A$30:$B$53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2'!$I$30:$I$53</c:f>
              <c:numCache>
                <c:formatCode>General</c:formatCode>
                <c:ptCount val="24"/>
                <c:pt idx="0">
                  <c:v>0.5</c:v>
                </c:pt>
                <c:pt idx="1">
                  <c:v>0.59999999999999443</c:v>
                </c:pt>
                <c:pt idx="2">
                  <c:v>2.2000000000000037</c:v>
                </c:pt>
                <c:pt idx="3">
                  <c:v>0.5</c:v>
                </c:pt>
                <c:pt idx="4">
                  <c:v>1.7000000000000031</c:v>
                </c:pt>
                <c:pt idx="5">
                  <c:v>1</c:v>
                </c:pt>
                <c:pt idx="6">
                  <c:v>1.7000000000000031</c:v>
                </c:pt>
                <c:pt idx="7">
                  <c:v>2.0999999999999943</c:v>
                </c:pt>
                <c:pt idx="8">
                  <c:v>2.0999999999999943</c:v>
                </c:pt>
                <c:pt idx="9">
                  <c:v>2</c:v>
                </c:pt>
                <c:pt idx="10">
                  <c:v>2.2000000000000037</c:v>
                </c:pt>
                <c:pt idx="11">
                  <c:v>2.5</c:v>
                </c:pt>
                <c:pt idx="12">
                  <c:v>1.4000000000000057</c:v>
                </c:pt>
                <c:pt idx="13">
                  <c:v>2</c:v>
                </c:pt>
                <c:pt idx="14">
                  <c:v>3.0999999999999943</c:v>
                </c:pt>
                <c:pt idx="15">
                  <c:v>5.2999999999999972</c:v>
                </c:pt>
                <c:pt idx="16">
                  <c:v>8.5</c:v>
                </c:pt>
                <c:pt idx="17">
                  <c:v>11.3</c:v>
                </c:pt>
                <c:pt idx="18">
                  <c:v>12.599999999999998</c:v>
                </c:pt>
                <c:pt idx="19" formatCode="0.0">
                  <c:v>13.2</c:v>
                </c:pt>
                <c:pt idx="20" formatCode="0.0">
                  <c:v>14</c:v>
                </c:pt>
                <c:pt idx="21" formatCode="0.0">
                  <c:v>11.7</c:v>
                </c:pt>
                <c:pt idx="22" formatCode="0.0">
                  <c:v>9.7000000000000011</c:v>
                </c:pt>
                <c:pt idx="23" formatCode="0.0">
                  <c:v>6.9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3F9-4589-AA60-B6610FB7AB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584768"/>
        <c:axId val="113787264"/>
        <c:extLst>
          <c:ext xmlns:c15="http://schemas.microsoft.com/office/drawing/2012/chart" uri="{02D57815-91ED-43cb-92C2-25804820EDAC}">
            <c15:filteredLineSeries>
              <c15:ser>
                <c:idx val="2"/>
                <c:order val="4"/>
                <c:tx>
                  <c:strRef>
                    <c:extLst>
                      <c:ext uri="{02D57815-91ED-43cb-92C2-25804820EDAC}">
                        <c15:formulaRef>
                          <c15:sqref>'Ceny 2'!$E$5</c15:sqref>
                        </c15:formulaRef>
                      </c:ext>
                    </c:extLst>
                    <c:strCache>
                      <c:ptCount val="1"/>
                      <c:pt idx="0">
                        <c:v>Alkoholické nápoje a tabák</c:v>
                      </c:pt>
                    </c:strCache>
                  </c:strRef>
                </c:tx>
                <c:spPr>
                  <a:ln w="19050">
                    <a:solidFill>
                      <a:schemeClr val="accent2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2'!$A$30:$B$53</c15:sqref>
                        </c15:formulaRef>
                      </c:ext>
                    </c:extLst>
                    <c:multiLvlStrCache>
                      <c:ptCount val="24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  <c:pt idx="23">
                          <c:v>4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2'!$E$26:$E$48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3.4000000000000057</c:v>
                      </c:pt>
                      <c:pt idx="1">
                        <c:v>0.79999999999999716</c:v>
                      </c:pt>
                      <c:pt idx="2" formatCode="0.0">
                        <c:v>1.3</c:v>
                      </c:pt>
                      <c:pt idx="3" formatCode="0.0">
                        <c:v>1.5</c:v>
                      </c:pt>
                      <c:pt idx="4" formatCode="0.0">
                        <c:v>2.5</c:v>
                      </c:pt>
                      <c:pt idx="5" formatCode="0.0">
                        <c:v>3.6</c:v>
                      </c:pt>
                      <c:pt idx="6" formatCode="0.0">
                        <c:v>2.8</c:v>
                      </c:pt>
                      <c:pt idx="7" formatCode="0.0">
                        <c:v>3.1</c:v>
                      </c:pt>
                      <c:pt idx="8" formatCode="0.0">
                        <c:v>3.3</c:v>
                      </c:pt>
                      <c:pt idx="9" formatCode="0.0">
                        <c:v>1.7</c:v>
                      </c:pt>
                      <c:pt idx="10" formatCode="0.0">
                        <c:v>1.9</c:v>
                      </c:pt>
                      <c:pt idx="11" formatCode="0.0">
                        <c:v>1.8</c:v>
                      </c:pt>
                      <c:pt idx="12">
                        <c:v>3.5</c:v>
                      </c:pt>
                      <c:pt idx="13" formatCode="0.0">
                        <c:v>6.6</c:v>
                      </c:pt>
                      <c:pt idx="14" formatCode="0.0">
                        <c:v>10.3</c:v>
                      </c:pt>
                      <c:pt idx="15" formatCode="0.0">
                        <c:v>9.9</c:v>
                      </c:pt>
                      <c:pt idx="16" formatCode="0.0">
                        <c:v>9.9</c:v>
                      </c:pt>
                      <c:pt idx="17" formatCode="0.0">
                        <c:v>9.8000000000000007</c:v>
                      </c:pt>
                      <c:pt idx="18" formatCode="0.0">
                        <c:v>6.5</c:v>
                      </c:pt>
                      <c:pt idx="19" formatCode="0.0">
                        <c:v>7.7</c:v>
                      </c:pt>
                      <c:pt idx="20" formatCode="0.0">
                        <c:v>7.1</c:v>
                      </c:pt>
                      <c:pt idx="21" formatCode="0.0">
                        <c:v>5.6</c:v>
                      </c:pt>
                      <c:pt idx="22" formatCode="0.0">
                        <c:v>6.3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43F9-4589-AA60-B6610FB7AB68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2'!$A$30:$B$53</c15:sqref>
                        </c15:formulaRef>
                      </c:ext>
                    </c:extLst>
                    <c:multiLvlStrCache>
                      <c:ptCount val="24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  <c:pt idx="23">
                          <c:v>4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2'!$J$26:$J$48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0.5</c:v>
                      </c:pt>
                      <c:pt idx="1">
                        <c:v>1</c:v>
                      </c:pt>
                      <c:pt idx="2" formatCode="0.0">
                        <c:v>0.5</c:v>
                      </c:pt>
                      <c:pt idx="3" formatCode="0.0">
                        <c:v>-0.8</c:v>
                      </c:pt>
                      <c:pt idx="4">
                        <c:v>-0.29999999999999716</c:v>
                      </c:pt>
                      <c:pt idx="5">
                        <c:v>-1</c:v>
                      </c:pt>
                      <c:pt idx="6">
                        <c:v>-1.4000000000000057</c:v>
                      </c:pt>
                      <c:pt idx="7">
                        <c:v>-1.7000000000000028</c:v>
                      </c:pt>
                      <c:pt idx="8">
                        <c:v>-1.0999999999999943</c:v>
                      </c:pt>
                      <c:pt idx="9">
                        <c:v>-1.9000000000000057</c:v>
                      </c:pt>
                      <c:pt idx="10">
                        <c:v>-1.5</c:v>
                      </c:pt>
                      <c:pt idx="11">
                        <c:v>-0.29999999999999716</c:v>
                      </c:pt>
                      <c:pt idx="12">
                        <c:v>3.5</c:v>
                      </c:pt>
                      <c:pt idx="13">
                        <c:v>3.4000000000000057</c:v>
                      </c:pt>
                      <c:pt idx="14">
                        <c:v>4.5</c:v>
                      </c:pt>
                      <c:pt idx="15">
                        <c:v>3.4000000000000057</c:v>
                      </c:pt>
                      <c:pt idx="16">
                        <c:v>2.7000000000000028</c:v>
                      </c:pt>
                      <c:pt idx="17">
                        <c:v>2.9000000000000057</c:v>
                      </c:pt>
                      <c:pt idx="18">
                        <c:v>7.7999999999999972</c:v>
                      </c:pt>
                      <c:pt idx="19">
                        <c:v>12.599999999999994</c:v>
                      </c:pt>
                      <c:pt idx="20">
                        <c:v>16.900000000000006</c:v>
                      </c:pt>
                      <c:pt idx="21">
                        <c:v>20</c:v>
                      </c:pt>
                      <c:pt idx="22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43F9-4589-AA60-B6610FB7AB68}"/>
                  </c:ext>
                </c:extLst>
              </c15:ser>
            </c15:filteredLineSeries>
          </c:ext>
        </c:extLst>
      </c:lineChart>
      <c:catAx>
        <c:axId val="113584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3787264"/>
        <c:crosses val="autoZero"/>
        <c:auto val="1"/>
        <c:lblAlgn val="ctr"/>
        <c:lblOffset val="100"/>
        <c:noMultiLvlLbl val="0"/>
      </c:catAx>
      <c:valAx>
        <c:axId val="113787264"/>
        <c:scaling>
          <c:orientation val="minMax"/>
          <c:max val="27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3584768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42E-2"/>
          <c:y val="0.85802375323651958"/>
          <c:w val="0.92470364741641364"/>
          <c:h val="0.1312535179556455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919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1'!$C$6:$C$29</c:f>
              <c:numCache>
                <c:formatCode>General</c:formatCode>
                <c:ptCount val="24"/>
                <c:pt idx="0">
                  <c:v>9.2000000000000011</c:v>
                </c:pt>
                <c:pt idx="1">
                  <c:v>8</c:v>
                </c:pt>
                <c:pt idx="2">
                  <c:v>9.4000000000000057</c:v>
                </c:pt>
                <c:pt idx="3">
                  <c:v>11.400000000000006</c:v>
                </c:pt>
                <c:pt idx="4">
                  <c:v>11.3</c:v>
                </c:pt>
                <c:pt idx="5">
                  <c:v>10.599999999999998</c:v>
                </c:pt>
                <c:pt idx="6">
                  <c:v>9.5</c:v>
                </c:pt>
                <c:pt idx="7">
                  <c:v>9.4000000000000057</c:v>
                </c:pt>
                <c:pt idx="8">
                  <c:v>10.599999999999998</c:v>
                </c:pt>
                <c:pt idx="9">
                  <c:v>10.200000000000003</c:v>
                </c:pt>
                <c:pt idx="10">
                  <c:v>11.200000000000003</c:v>
                </c:pt>
                <c:pt idx="11">
                  <c:v>13.3</c:v>
                </c:pt>
                <c:pt idx="12">
                  <c:v>15.200000000000003</c:v>
                </c:pt>
                <c:pt idx="13">
                  <c:v>17.900000000000006</c:v>
                </c:pt>
                <c:pt idx="14">
                  <c:v>21.29999999999999</c:v>
                </c:pt>
                <c:pt idx="15">
                  <c:v>25.200000000000003</c:v>
                </c:pt>
                <c:pt idx="16">
                  <c:v>27.29999999999999</c:v>
                </c:pt>
                <c:pt idx="17">
                  <c:v>27.599999999999987</c:v>
                </c:pt>
                <c:pt idx="18">
                  <c:v>23.400000000000006</c:v>
                </c:pt>
                <c:pt idx="19">
                  <c:v>13.8</c:v>
                </c:pt>
                <c:pt idx="20">
                  <c:v>3.7000000000000037</c:v>
                </c:pt>
                <c:pt idx="21">
                  <c:v>-4.0999999999999943</c:v>
                </c:pt>
                <c:pt idx="22">
                  <c:v>-7</c:v>
                </c:pt>
                <c:pt idx="23">
                  <c:v>-5.5999999999999943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DF-4BBB-AF27-DF5895EF601D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1'!$D$6:$D$29</c:f>
              <c:numCache>
                <c:formatCode>General</c:formatCode>
                <c:ptCount val="24"/>
                <c:pt idx="0">
                  <c:v>8.3000000000000025</c:v>
                </c:pt>
                <c:pt idx="1">
                  <c:v>4</c:v>
                </c:pt>
                <c:pt idx="2">
                  <c:v>6</c:v>
                </c:pt>
                <c:pt idx="3">
                  <c:v>8.7000000000000011</c:v>
                </c:pt>
                <c:pt idx="4">
                  <c:v>9.4000000000000057</c:v>
                </c:pt>
                <c:pt idx="5">
                  <c:v>8.7000000000000011</c:v>
                </c:pt>
                <c:pt idx="6">
                  <c:v>6.5</c:v>
                </c:pt>
                <c:pt idx="7">
                  <c:v>7.0999999999999943</c:v>
                </c:pt>
                <c:pt idx="8">
                  <c:v>6.2000000000000028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10.599999999999998</c:v>
                </c:pt>
                <c:pt idx="12">
                  <c:v>14.3</c:v>
                </c:pt>
                <c:pt idx="13">
                  <c:v>15.8</c:v>
                </c:pt>
                <c:pt idx="14">
                  <c:v>16.599999999999987</c:v>
                </c:pt>
                <c:pt idx="15">
                  <c:v>20</c:v>
                </c:pt>
                <c:pt idx="16">
                  <c:v>19</c:v>
                </c:pt>
                <c:pt idx="17">
                  <c:v>16.700000000000003</c:v>
                </c:pt>
                <c:pt idx="18">
                  <c:v>15.599999999999998</c:v>
                </c:pt>
                <c:pt idx="19">
                  <c:v>8.4000000000000057</c:v>
                </c:pt>
                <c:pt idx="20">
                  <c:v>1.2000000000000028</c:v>
                </c:pt>
                <c:pt idx="21">
                  <c:v>-3.5999999999999943</c:v>
                </c:pt>
                <c:pt idx="22">
                  <c:v>-5.2999999999999972</c:v>
                </c:pt>
                <c:pt idx="23">
                  <c:v>-2.5999999999999943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0DF-4BBB-AF27-DF5895EF60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14066176"/>
        <c:axId val="11406771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1'!$E$6:$E$29</c:f>
              <c:numCache>
                <c:formatCode>0.0</c:formatCode>
                <c:ptCount val="24"/>
                <c:pt idx="0">
                  <c:v>12.801932367149751</c:v>
                </c:pt>
                <c:pt idx="1">
                  <c:v>12.22570532915358</c:v>
                </c:pt>
                <c:pt idx="2">
                  <c:v>9.4988780852655257</c:v>
                </c:pt>
                <c:pt idx="3">
                  <c:v>8.4609773887673203</c:v>
                </c:pt>
                <c:pt idx="4">
                  <c:v>7.4232690935046488</c:v>
                </c:pt>
                <c:pt idx="5">
                  <c:v>5.7262569832402352</c:v>
                </c:pt>
                <c:pt idx="6">
                  <c:v>5.1912568306010893</c:v>
                </c:pt>
                <c:pt idx="7">
                  <c:v>5.5144586415601955</c:v>
                </c:pt>
                <c:pt idx="8">
                  <c:v>6.0465116279069644</c:v>
                </c:pt>
                <c:pt idx="9">
                  <c:v>7.1334214002641847</c:v>
                </c:pt>
                <c:pt idx="10">
                  <c:v>7.9870129870129887</c:v>
                </c:pt>
                <c:pt idx="11">
                  <c:v>7.6481835564053533</c:v>
                </c:pt>
                <c:pt idx="12">
                  <c:v>7.6441102756892256</c:v>
                </c:pt>
                <c:pt idx="13">
                  <c:v>7.9531442663378558</c:v>
                </c:pt>
                <c:pt idx="14">
                  <c:v>9.3205051112447475</c:v>
                </c:pt>
                <c:pt idx="15">
                  <c:v>12.433392539964474</c:v>
                </c:pt>
                <c:pt idx="16">
                  <c:v>16.8800931315483</c:v>
                </c:pt>
                <c:pt idx="17">
                  <c:v>24.671616219303267</c:v>
                </c:pt>
                <c:pt idx="18">
                  <c:v>22.937293729372925</c:v>
                </c:pt>
                <c:pt idx="19">
                  <c:v>18.325434439178501</c:v>
                </c:pt>
                <c:pt idx="20">
                  <c:v>9.8107569721115624</c:v>
                </c:pt>
                <c:pt idx="21" formatCode="General">
                  <c:v>-0.7329363261566757</c:v>
                </c:pt>
                <c:pt idx="22" formatCode="General">
                  <c:v>-3.3109619686800897</c:v>
                </c:pt>
                <c:pt idx="23" formatCode="General">
                  <c:v>-4.1833555852247324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0DF-4BBB-AF27-DF5895EF601D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1'!$F$6:$F$29</c:f>
              <c:numCache>
                <c:formatCode>0.0</c:formatCode>
                <c:ptCount val="24"/>
                <c:pt idx="0">
                  <c:v>15.071428571428555</c:v>
                </c:pt>
                <c:pt idx="1">
                  <c:v>14.246386785960068</c:v>
                </c:pt>
                <c:pt idx="2">
                  <c:v>10.732984293193699</c:v>
                </c:pt>
                <c:pt idx="3">
                  <c:v>8.7531486146095574</c:v>
                </c:pt>
                <c:pt idx="4">
                  <c:v>8.3178150217256377</c:v>
                </c:pt>
                <c:pt idx="5">
                  <c:v>4.9397590361445687</c:v>
                </c:pt>
                <c:pt idx="6">
                  <c:v>3.3096926713947985</c:v>
                </c:pt>
                <c:pt idx="7">
                  <c:v>2.9530978575564593</c:v>
                </c:pt>
                <c:pt idx="8">
                  <c:v>3.5530085959885289</c:v>
                </c:pt>
                <c:pt idx="9">
                  <c:v>5.2812858783008068</c:v>
                </c:pt>
                <c:pt idx="10">
                  <c:v>6.2356979405034298</c:v>
                </c:pt>
                <c:pt idx="11">
                  <c:v>5.1743532058492718</c:v>
                </c:pt>
                <c:pt idx="12">
                  <c:v>4.7592695074709628</c:v>
                </c:pt>
                <c:pt idx="13">
                  <c:v>4.5256270447110012</c:v>
                </c:pt>
                <c:pt idx="14">
                  <c:v>6.2466343564889808</c:v>
                </c:pt>
                <c:pt idx="15">
                  <c:v>9.1443850267379485</c:v>
                </c:pt>
                <c:pt idx="16">
                  <c:v>12.255678816693077</c:v>
                </c:pt>
                <c:pt idx="17">
                  <c:v>19.718309859154935</c:v>
                </c:pt>
                <c:pt idx="18">
                  <c:v>18.49974657881398</c:v>
                </c:pt>
                <c:pt idx="19">
                  <c:v>16.903478686918177</c:v>
                </c:pt>
                <c:pt idx="20">
                  <c:v>10.305882352941186</c:v>
                </c:pt>
                <c:pt idx="21" formatCode="General">
                  <c:v>0.30501089324617692</c:v>
                </c:pt>
                <c:pt idx="22" formatCode="General">
                  <c:v>-1.5825491873396085</c:v>
                </c:pt>
                <c:pt idx="23" formatCode="General">
                  <c:v>-3.5624476110645409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0DF-4BBB-AF27-DF5895EF60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066176"/>
        <c:axId val="114067712"/>
      </c:lineChart>
      <c:catAx>
        <c:axId val="114066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4067712"/>
        <c:crosses val="autoZero"/>
        <c:auto val="1"/>
        <c:lblAlgn val="ctr"/>
        <c:lblOffset val="100"/>
        <c:noMultiLvlLbl val="0"/>
      </c:catAx>
      <c:valAx>
        <c:axId val="114067712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406617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314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86E-2"/>
          <c:y val="2.1811315924220448E-2"/>
          <c:w val="0.90860161263086836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4'!$C$6:$C$29</c:f>
              <c:numCache>
                <c:formatCode>General</c:formatCode>
                <c:ptCount val="24"/>
                <c:pt idx="0">
                  <c:v>9.9999999999994357E-2</c:v>
                </c:pt>
                <c:pt idx="1">
                  <c:v>1.5</c:v>
                </c:pt>
                <c:pt idx="2">
                  <c:v>3.2999999999999972</c:v>
                </c:pt>
                <c:pt idx="3">
                  <c:v>3.4000000000000057</c:v>
                </c:pt>
                <c:pt idx="4">
                  <c:v>3.5</c:v>
                </c:pt>
                <c:pt idx="5">
                  <c:v>3.5</c:v>
                </c:pt>
                <c:pt idx="6">
                  <c:v>2</c:v>
                </c:pt>
                <c:pt idx="7">
                  <c:v>1.2999999999999965</c:v>
                </c:pt>
                <c:pt idx="8">
                  <c:v>1.4000000000000057</c:v>
                </c:pt>
                <c:pt idx="9">
                  <c:v>-0.59999999999999432</c:v>
                </c:pt>
                <c:pt idx="10">
                  <c:v>-0.29999999999999738</c:v>
                </c:pt>
                <c:pt idx="11">
                  <c:v>9.9999999999994357E-2</c:v>
                </c:pt>
                <c:pt idx="12">
                  <c:v>1.5</c:v>
                </c:pt>
                <c:pt idx="13">
                  <c:v>5.2999999999999972</c:v>
                </c:pt>
                <c:pt idx="14">
                  <c:v>9</c:v>
                </c:pt>
                <c:pt idx="15">
                  <c:v>12.8</c:v>
                </c:pt>
                <c:pt idx="16">
                  <c:v>21.79999999999999</c:v>
                </c:pt>
                <c:pt idx="17">
                  <c:v>27.700000000000003</c:v>
                </c:pt>
                <c:pt idx="18">
                  <c:v>25.900000000000006</c:v>
                </c:pt>
                <c:pt idx="19">
                  <c:v>21.79999999999999</c:v>
                </c:pt>
                <c:pt idx="20">
                  <c:v>15</c:v>
                </c:pt>
                <c:pt idx="21">
                  <c:v>3.9000000000000057</c:v>
                </c:pt>
                <c:pt idx="22">
                  <c:v>1.3</c:v>
                </c:pt>
                <c:pt idx="23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ED-4B2B-AD2A-DB41E36B95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116047872"/>
        <c:axId val="116049408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4'!$D$6:$D$29</c:f>
              <c:numCache>
                <c:formatCode>General</c:formatCode>
                <c:ptCount val="24"/>
                <c:pt idx="0">
                  <c:v>5.4000000000000075</c:v>
                </c:pt>
                <c:pt idx="1">
                  <c:v>6.7000000000000028</c:v>
                </c:pt>
                <c:pt idx="2">
                  <c:v>9.4000000000000057</c:v>
                </c:pt>
                <c:pt idx="3">
                  <c:v>8.8000000000000025</c:v>
                </c:pt>
                <c:pt idx="4">
                  <c:v>7.7000000000000028</c:v>
                </c:pt>
                <c:pt idx="5">
                  <c:v>7.7000000000000028</c:v>
                </c:pt>
                <c:pt idx="6">
                  <c:v>6.7000000000000028</c:v>
                </c:pt>
                <c:pt idx="7">
                  <c:v>3.7000000000000037</c:v>
                </c:pt>
                <c:pt idx="8">
                  <c:v>-2.0999999999999943</c:v>
                </c:pt>
                <c:pt idx="9">
                  <c:v>-3.5</c:v>
                </c:pt>
                <c:pt idx="10">
                  <c:v>-3.5999999999999943</c:v>
                </c:pt>
                <c:pt idx="11">
                  <c:v>-2</c:v>
                </c:pt>
                <c:pt idx="12">
                  <c:v>-0.5</c:v>
                </c:pt>
                <c:pt idx="13">
                  <c:v>0.79999999999999738</c:v>
                </c:pt>
                <c:pt idx="14">
                  <c:v>3.2999999999999972</c:v>
                </c:pt>
                <c:pt idx="15">
                  <c:v>13.8</c:v>
                </c:pt>
                <c:pt idx="16">
                  <c:v>25.200000000000003</c:v>
                </c:pt>
                <c:pt idx="17">
                  <c:v>31.900000000000006</c:v>
                </c:pt>
                <c:pt idx="18">
                  <c:v>30.199999999999992</c:v>
                </c:pt>
                <c:pt idx="19">
                  <c:v>23.29999999999999</c:v>
                </c:pt>
                <c:pt idx="20">
                  <c:v>54</c:v>
                </c:pt>
                <c:pt idx="21">
                  <c:v>47.600000000000009</c:v>
                </c:pt>
                <c:pt idx="22">
                  <c:v>44.5</c:v>
                </c:pt>
                <c:pt idx="23">
                  <c:v>40.200000000000003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2ED-4B2B-AD2A-DB41E36B9572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4'!$E$6:$E$29</c:f>
              <c:numCache>
                <c:formatCode>General</c:formatCode>
                <c:ptCount val="24"/>
                <c:pt idx="0">
                  <c:v>-0.40000000000000568</c:v>
                </c:pt>
                <c:pt idx="1">
                  <c:v>1.2000000000000028</c:v>
                </c:pt>
                <c:pt idx="2">
                  <c:v>3.2000000000000037</c:v>
                </c:pt>
                <c:pt idx="3">
                  <c:v>3.2999999999999972</c:v>
                </c:pt>
                <c:pt idx="4">
                  <c:v>2.5999999999999943</c:v>
                </c:pt>
                <c:pt idx="5">
                  <c:v>2.5999999999999943</c:v>
                </c:pt>
                <c:pt idx="6">
                  <c:v>0.79999999999999738</c:v>
                </c:pt>
                <c:pt idx="7">
                  <c:v>-9.9999999999994357E-2</c:v>
                </c:pt>
                <c:pt idx="8">
                  <c:v>0</c:v>
                </c:pt>
                <c:pt idx="9">
                  <c:v>-2.2999999999999972</c:v>
                </c:pt>
                <c:pt idx="10">
                  <c:v>-1.7999999999999965</c:v>
                </c:pt>
                <c:pt idx="11">
                  <c:v>-1.2000000000000028</c:v>
                </c:pt>
                <c:pt idx="12">
                  <c:v>1.7999999999999965</c:v>
                </c:pt>
                <c:pt idx="13">
                  <c:v>6.5</c:v>
                </c:pt>
                <c:pt idx="14">
                  <c:v>11</c:v>
                </c:pt>
                <c:pt idx="15">
                  <c:v>14.5</c:v>
                </c:pt>
                <c:pt idx="16">
                  <c:v>17.5</c:v>
                </c:pt>
                <c:pt idx="17">
                  <c:v>24.200000000000003</c:v>
                </c:pt>
                <c:pt idx="18">
                  <c:v>20.5</c:v>
                </c:pt>
                <c:pt idx="19">
                  <c:v>16</c:v>
                </c:pt>
                <c:pt idx="20">
                  <c:v>10.3</c:v>
                </c:pt>
                <c:pt idx="21">
                  <c:v>-0.90000000000000568</c:v>
                </c:pt>
                <c:pt idx="22">
                  <c:v>-2.4</c:v>
                </c:pt>
                <c:pt idx="23">
                  <c:v>-2.2999999999999998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2ED-4B2B-AD2A-DB41E36B9572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4'!$F$6:$F$29</c:f>
              <c:numCache>
                <c:formatCode>General</c:formatCode>
                <c:ptCount val="24"/>
                <c:pt idx="0">
                  <c:v>1.5</c:v>
                </c:pt>
                <c:pt idx="1">
                  <c:v>1.9000000000000061</c:v>
                </c:pt>
                <c:pt idx="2">
                  <c:v>2.5999999999999943</c:v>
                </c:pt>
                <c:pt idx="3">
                  <c:v>2.7999999999999972</c:v>
                </c:pt>
                <c:pt idx="4">
                  <c:v>7.7000000000000028</c:v>
                </c:pt>
                <c:pt idx="5">
                  <c:v>8.3000000000000025</c:v>
                </c:pt>
                <c:pt idx="6">
                  <c:v>7.7999999999999972</c:v>
                </c:pt>
                <c:pt idx="7">
                  <c:v>8.3000000000000025</c:v>
                </c:pt>
                <c:pt idx="8">
                  <c:v>8.9000000000000057</c:v>
                </c:pt>
                <c:pt idx="9">
                  <c:v>8.2000000000000011</c:v>
                </c:pt>
                <c:pt idx="10">
                  <c:v>7.7999999999999972</c:v>
                </c:pt>
                <c:pt idx="11">
                  <c:v>6.0999999999999943</c:v>
                </c:pt>
                <c:pt idx="12">
                  <c:v>0.29999999999999738</c:v>
                </c:pt>
                <c:pt idx="13">
                  <c:v>9.9999999999994357E-2</c:v>
                </c:pt>
                <c:pt idx="14">
                  <c:v>0.79999999999999738</c:v>
                </c:pt>
                <c:pt idx="15">
                  <c:v>5.5</c:v>
                </c:pt>
                <c:pt idx="16">
                  <c:v>45</c:v>
                </c:pt>
                <c:pt idx="17">
                  <c:v>47.20000000000001</c:v>
                </c:pt>
                <c:pt idx="18">
                  <c:v>56</c:v>
                </c:pt>
                <c:pt idx="19">
                  <c:v>54.300000000000004</c:v>
                </c:pt>
                <c:pt idx="20">
                  <c:v>28.400000000000006</c:v>
                </c:pt>
                <c:pt idx="21">
                  <c:v>18.400000000000006</c:v>
                </c:pt>
                <c:pt idx="22">
                  <c:v>10.5</c:v>
                </c:pt>
                <c:pt idx="23">
                  <c:v>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2ED-4B2B-AD2A-DB41E36B9572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4'!$G$6:$G$29</c:f>
              <c:numCache>
                <c:formatCode>General</c:formatCode>
                <c:ptCount val="24"/>
                <c:pt idx="0">
                  <c:v>1.9000000000000061</c:v>
                </c:pt>
                <c:pt idx="1">
                  <c:v>1.9000000000000061</c:v>
                </c:pt>
                <c:pt idx="2">
                  <c:v>1.9000000000000061</c:v>
                </c:pt>
                <c:pt idx="3">
                  <c:v>1.9000000000000061</c:v>
                </c:pt>
                <c:pt idx="4">
                  <c:v>2.9000000000000057</c:v>
                </c:pt>
                <c:pt idx="5">
                  <c:v>2.9000000000000057</c:v>
                </c:pt>
                <c:pt idx="6">
                  <c:v>2.9000000000000057</c:v>
                </c:pt>
                <c:pt idx="7">
                  <c:v>2.9000000000000057</c:v>
                </c:pt>
                <c:pt idx="8">
                  <c:v>5.4000000000000075</c:v>
                </c:pt>
                <c:pt idx="9">
                  <c:v>6.0999999999999943</c:v>
                </c:pt>
                <c:pt idx="10">
                  <c:v>6.4000000000000075</c:v>
                </c:pt>
                <c:pt idx="11">
                  <c:v>6.4000000000000075</c:v>
                </c:pt>
                <c:pt idx="12">
                  <c:v>6.9000000000000075</c:v>
                </c:pt>
                <c:pt idx="13">
                  <c:v>6.2000000000000028</c:v>
                </c:pt>
                <c:pt idx="14">
                  <c:v>5.9000000000000075</c:v>
                </c:pt>
                <c:pt idx="15">
                  <c:v>5.9000000000000075</c:v>
                </c:pt>
                <c:pt idx="16">
                  <c:v>5.2999999999999972</c:v>
                </c:pt>
                <c:pt idx="17">
                  <c:v>5.2999999999999972</c:v>
                </c:pt>
                <c:pt idx="18">
                  <c:v>5.2999999999999972</c:v>
                </c:pt>
                <c:pt idx="19">
                  <c:v>5.2999999999999972</c:v>
                </c:pt>
                <c:pt idx="20">
                  <c:v>16.29999999999999</c:v>
                </c:pt>
                <c:pt idx="21">
                  <c:v>16.29999999999999</c:v>
                </c:pt>
                <c:pt idx="22">
                  <c:v>16.3</c:v>
                </c:pt>
                <c:pt idx="23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2ED-4B2B-AD2A-DB41E36B95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047872"/>
        <c:axId val="116049408"/>
      </c:lineChart>
      <c:catAx>
        <c:axId val="116047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16049408"/>
        <c:crosses val="autoZero"/>
        <c:auto val="1"/>
        <c:lblAlgn val="ctr"/>
        <c:lblOffset val="100"/>
        <c:noMultiLvlLbl val="0"/>
      </c:catAx>
      <c:valAx>
        <c:axId val="116049408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6047872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3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783FCC-3A2F-437D-9FC6-CFD141DAB98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CB7726-A2D1-4649-8CC3-E52C1B53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7</Pages>
  <Words>3062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