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1D65EA">
        <w:rPr>
          <w:sz w:val="24"/>
        </w:rPr>
        <w:t>lednu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1D65EA" w:rsidRPr="008802B9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lednu snížily o 0,1 %</w:t>
      </w:r>
      <w:r w:rsidRPr="008802B9">
        <w:rPr>
          <w:szCs w:val="20"/>
        </w:rPr>
        <w:t xml:space="preserve"> (v </w:t>
      </w:r>
      <w:r>
        <w:rPr>
          <w:szCs w:val="20"/>
        </w:rPr>
        <w:t>prosinci rostly o 0,4 %)</w:t>
      </w:r>
      <w:r w:rsidRPr="008802B9">
        <w:rPr>
          <w:szCs w:val="20"/>
        </w:rPr>
        <w:t xml:space="preserve">. </w:t>
      </w:r>
      <w:r w:rsidRPr="004470F8">
        <w:rPr>
          <w:szCs w:val="20"/>
        </w:rPr>
        <w:t xml:space="preserve">Podstatný vliv na vývoj celkového meziměsíčního indexu měl </w:t>
      </w:r>
      <w:r>
        <w:rPr>
          <w:szCs w:val="20"/>
        </w:rPr>
        <w:t>pokles</w:t>
      </w:r>
      <w:r w:rsidRPr="004470F8">
        <w:rPr>
          <w:szCs w:val="20"/>
        </w:rPr>
        <w:t xml:space="preserve"> </w:t>
      </w:r>
      <w:r>
        <w:rPr>
          <w:szCs w:val="20"/>
        </w:rPr>
        <w:t xml:space="preserve">průmyslového spotřebního zboží o 0,5 %. Ceny potravin klesly o 0,7 %, chemikálií o 0,2 % a ceny </w:t>
      </w:r>
      <w:r w:rsidRPr="005C2F6D">
        <w:rPr>
          <w:szCs w:val="20"/>
        </w:rPr>
        <w:t xml:space="preserve">strojů a dopravních prostředků </w:t>
      </w:r>
      <w:r>
        <w:rPr>
          <w:szCs w:val="20"/>
        </w:rPr>
        <w:t>o 0,1 %. Nejvíce rostly ceny ve skupině ostatní suroviny o 1,4 % a ceny minerálních paliv o 1,1 %.</w:t>
      </w:r>
    </w:p>
    <w:p w:rsidR="001D65EA" w:rsidRPr="005E6E39" w:rsidRDefault="001D65EA" w:rsidP="001D65EA">
      <w:pPr>
        <w:spacing w:line="276" w:lineRule="auto"/>
        <w:ind w:firstLine="60"/>
        <w:jc w:val="both"/>
        <w:rPr>
          <w:szCs w:val="20"/>
          <w:highlight w:val="green"/>
        </w:rPr>
      </w:pPr>
    </w:p>
    <w:p w:rsidR="001D65EA" w:rsidRPr="00056317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 w:rsidRPr="00056317">
        <w:rPr>
          <w:b/>
          <w:szCs w:val="20"/>
        </w:rPr>
        <w:t>ceny</w:t>
      </w:r>
      <w:r>
        <w:rPr>
          <w:szCs w:val="20"/>
        </w:rPr>
        <w:t xml:space="preserve"> se v lednu snížily o 0,6 %</w:t>
      </w:r>
      <w:r w:rsidRPr="00BA1A6F">
        <w:rPr>
          <w:szCs w:val="20"/>
        </w:rPr>
        <w:t xml:space="preserve"> </w:t>
      </w:r>
      <w:r>
        <w:rPr>
          <w:szCs w:val="20"/>
        </w:rPr>
        <w:t>(v prosinci</w:t>
      </w:r>
      <w:r w:rsidRPr="00056317">
        <w:rPr>
          <w:szCs w:val="20"/>
        </w:rPr>
        <w:t xml:space="preserve"> </w:t>
      </w:r>
      <w:r>
        <w:rPr>
          <w:szCs w:val="20"/>
        </w:rPr>
        <w:t>rostly o 0,4 %</w:t>
      </w:r>
      <w:r w:rsidRPr="00056317">
        <w:rPr>
          <w:szCs w:val="20"/>
        </w:rPr>
        <w:t xml:space="preserve">). </w:t>
      </w:r>
      <w:r w:rsidRPr="00001D3C">
        <w:rPr>
          <w:szCs w:val="20"/>
        </w:rPr>
        <w:t>N</w:t>
      </w:r>
      <w:r>
        <w:rPr>
          <w:szCs w:val="20"/>
        </w:rPr>
        <w:t>ejvětší vliv na pokles celkového meziměsíčního indexu mělo snížení cen</w:t>
      </w:r>
      <w:r w:rsidRPr="0060008A">
        <w:rPr>
          <w:szCs w:val="20"/>
        </w:rPr>
        <w:t xml:space="preserve"> </w:t>
      </w:r>
      <w:r>
        <w:rPr>
          <w:szCs w:val="20"/>
        </w:rPr>
        <w:t xml:space="preserve">strojů a </w:t>
      </w:r>
      <w:r w:rsidRPr="00E65847">
        <w:rPr>
          <w:szCs w:val="20"/>
        </w:rPr>
        <w:t>dopravních prostředků</w:t>
      </w:r>
      <w:r>
        <w:rPr>
          <w:szCs w:val="20"/>
        </w:rPr>
        <w:t xml:space="preserve"> o 1,2 %. Ceny</w:t>
      </w:r>
      <w:r w:rsidRPr="004470F8">
        <w:rPr>
          <w:szCs w:val="20"/>
        </w:rPr>
        <w:t xml:space="preserve"> </w:t>
      </w:r>
      <w:r>
        <w:rPr>
          <w:szCs w:val="20"/>
        </w:rPr>
        <w:t>průmyslového spotřebního zboží klesly o 1,3 % a ceny</w:t>
      </w:r>
      <w:r w:rsidRPr="0060008A">
        <w:rPr>
          <w:szCs w:val="20"/>
        </w:rPr>
        <w:t xml:space="preserve"> </w:t>
      </w:r>
      <w:r>
        <w:rPr>
          <w:szCs w:val="20"/>
        </w:rPr>
        <w:t>potravin</w:t>
      </w:r>
      <w:r w:rsidRPr="0060008A">
        <w:rPr>
          <w:szCs w:val="20"/>
        </w:rPr>
        <w:t xml:space="preserve"> </w:t>
      </w:r>
      <w:r>
        <w:rPr>
          <w:szCs w:val="20"/>
        </w:rPr>
        <w:t xml:space="preserve">o 1,6 %. Nejvíce se zvýšily ceny </w:t>
      </w:r>
      <w:r w:rsidRPr="005F7CA0">
        <w:rPr>
          <w:szCs w:val="20"/>
        </w:rPr>
        <w:t>minerálních paliv</w:t>
      </w:r>
      <w:r w:rsidRPr="00C46C4B">
        <w:rPr>
          <w:szCs w:val="20"/>
        </w:rPr>
        <w:t xml:space="preserve"> </w:t>
      </w:r>
      <w:r>
        <w:rPr>
          <w:szCs w:val="20"/>
        </w:rPr>
        <w:t>o 2,3 % a ceny ve skupině ostatní suroviny o 1,7 %.</w:t>
      </w:r>
    </w:p>
    <w:p w:rsidR="001D65EA" w:rsidRPr="005E6E39" w:rsidRDefault="001D65EA" w:rsidP="001D65EA">
      <w:pPr>
        <w:spacing w:line="276" w:lineRule="auto"/>
        <w:jc w:val="both"/>
        <w:rPr>
          <w:szCs w:val="20"/>
          <w:highlight w:val="green"/>
        </w:rPr>
      </w:pPr>
    </w:p>
    <w:p w:rsidR="001D65EA" w:rsidRDefault="001D65EA" w:rsidP="001D65EA">
      <w:pPr>
        <w:numPr>
          <w:ilvl w:val="0"/>
          <w:numId w:val="31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se zvýšily na hodnotu</w:t>
      </w:r>
      <w:r w:rsidRPr="00CD5DC6">
        <w:rPr>
          <w:szCs w:val="20"/>
        </w:rPr>
        <w:t xml:space="preserve"> </w:t>
      </w:r>
      <w:r>
        <w:rPr>
          <w:szCs w:val="20"/>
        </w:rPr>
        <w:t>100</w:t>
      </w:r>
      <w:r w:rsidRPr="00CD5DC6">
        <w:rPr>
          <w:szCs w:val="20"/>
        </w:rPr>
        <w:t>,</w:t>
      </w:r>
      <w:r>
        <w:rPr>
          <w:szCs w:val="20"/>
        </w:rPr>
        <w:t>5</w:t>
      </w:r>
      <w:r w:rsidRPr="00CD5DC6">
        <w:rPr>
          <w:szCs w:val="20"/>
        </w:rPr>
        <w:t xml:space="preserve"> % (v </w:t>
      </w:r>
      <w:r>
        <w:rPr>
          <w:szCs w:val="20"/>
        </w:rPr>
        <w:t>prosinci</w:t>
      </w:r>
      <w:r w:rsidRPr="00CD5DC6">
        <w:rPr>
          <w:szCs w:val="20"/>
        </w:rPr>
        <w:t xml:space="preserve"> </w:t>
      </w:r>
      <w:r>
        <w:rPr>
          <w:szCs w:val="20"/>
        </w:rPr>
        <w:t>100,0</w:t>
      </w:r>
      <w:r w:rsidRPr="00CD5DC6">
        <w:rPr>
          <w:szCs w:val="20"/>
        </w:rPr>
        <w:t> %)</w:t>
      </w:r>
      <w:r>
        <w:rPr>
          <w:szCs w:val="20"/>
        </w:rPr>
        <w:t>. Z významnějších skupin</w:t>
      </w:r>
      <w:r w:rsidRPr="00043C5C">
        <w:rPr>
          <w:szCs w:val="20"/>
        </w:rPr>
        <w:t xml:space="preserve"> </w:t>
      </w:r>
      <w:r>
        <w:rPr>
          <w:szCs w:val="20"/>
        </w:rPr>
        <w:t xml:space="preserve">zaznamenaly pozitivní hodnoty směnných relací </w:t>
      </w:r>
      <w:r w:rsidRPr="00C766D3">
        <w:rPr>
          <w:szCs w:val="20"/>
        </w:rPr>
        <w:t>stroj</w:t>
      </w:r>
      <w:r>
        <w:rPr>
          <w:szCs w:val="20"/>
        </w:rPr>
        <w:t>e a </w:t>
      </w:r>
      <w:r w:rsidRPr="00C766D3">
        <w:rPr>
          <w:szCs w:val="20"/>
        </w:rPr>
        <w:t>dopravní</w:t>
      </w:r>
      <w:r>
        <w:rPr>
          <w:szCs w:val="20"/>
        </w:rPr>
        <w:t xml:space="preserve"> prostředky (101,1 %), průmyslové spotřební zboží (100,8 %) a polotovary (100,5 %).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</w:t>
      </w:r>
      <w:r w:rsidRPr="00C766D3">
        <w:rPr>
          <w:szCs w:val="20"/>
        </w:rPr>
        <w:t>l</w:t>
      </w:r>
      <w:r>
        <w:rPr>
          <w:szCs w:val="20"/>
        </w:rPr>
        <w:t>a</w:t>
      </w:r>
      <w:r w:rsidRPr="009C79BC">
        <w:rPr>
          <w:szCs w:val="20"/>
        </w:rPr>
        <w:t xml:space="preserve"> </w:t>
      </w:r>
      <w:r>
        <w:rPr>
          <w:szCs w:val="20"/>
        </w:rPr>
        <w:t>zejména minerální paliva (98,8 %) a skupina ostatní suroviny (99,7 %).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rPr>
          <w:szCs w:val="20"/>
        </w:rPr>
        <w:t>,</w:t>
      </w:r>
      <w:r w:rsidRPr="00C11071">
        <w:t xml:space="preserve"> </w:t>
      </w:r>
      <w:r w:rsidRPr="00C11071">
        <w:rPr>
          <w:szCs w:val="20"/>
        </w:rPr>
        <w:t xml:space="preserve">zejména důsledkem posílení koruny vůči euru a dolaru, klesly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 xml:space="preserve"> % (v </w:t>
      </w:r>
      <w:r>
        <w:rPr>
          <w:szCs w:val="20"/>
        </w:rPr>
        <w:t>prosinci</w:t>
      </w:r>
      <w:r w:rsidRPr="00C11071">
        <w:rPr>
          <w:szCs w:val="20"/>
        </w:rPr>
        <w:t xml:space="preserve"> o 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 xml:space="preserve"> %). Zásadní vliv na vývoj celkového meziročního indexu mělo snížení cen strojů a dopravních prostředků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 xml:space="preserve"> %. Ceny průmyslového spotřebního zboží klesly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> %</w:t>
      </w:r>
      <w:r>
        <w:rPr>
          <w:szCs w:val="20"/>
        </w:rPr>
        <w:t xml:space="preserve"> a </w:t>
      </w:r>
      <w:r w:rsidRPr="00C11071">
        <w:rPr>
          <w:szCs w:val="20"/>
        </w:rPr>
        <w:t xml:space="preserve">ceny </w:t>
      </w:r>
      <w:r w:rsidRPr="004E12D3">
        <w:rPr>
          <w:szCs w:val="20"/>
        </w:rPr>
        <w:t>minerálních paliv o 12,9 % (zejména elektřina). Ceny nápojů a tabáku rostly o 1,8 % a</w:t>
      </w:r>
      <w:r>
        <w:rPr>
          <w:szCs w:val="20"/>
        </w:rPr>
        <w:t xml:space="preserve"> ceny ve skupině </w:t>
      </w:r>
      <w:r w:rsidRPr="00C11071">
        <w:rPr>
          <w:szCs w:val="20"/>
        </w:rPr>
        <w:t>ostatní surovin</w:t>
      </w:r>
      <w:r>
        <w:rPr>
          <w:szCs w:val="20"/>
        </w:rPr>
        <w:t xml:space="preserve">y </w:t>
      </w:r>
      <w:r w:rsidRPr="00C11071">
        <w:rPr>
          <w:szCs w:val="20"/>
        </w:rPr>
        <w:t>o </w:t>
      </w:r>
      <w:r>
        <w:rPr>
          <w:szCs w:val="20"/>
        </w:rPr>
        <w:t>0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> %.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1D65EA" w:rsidRPr="00C11071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se snížily o 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 xml:space="preserve"> % (v </w:t>
      </w:r>
      <w:r>
        <w:rPr>
          <w:szCs w:val="20"/>
        </w:rPr>
        <w:t>prosinci</w:t>
      </w:r>
      <w:r w:rsidRPr="00C11071">
        <w:rPr>
          <w:szCs w:val="20"/>
        </w:rPr>
        <w:t xml:space="preserve">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2</w:t>
      </w:r>
      <w:r w:rsidRPr="00C11071">
        <w:rPr>
          <w:szCs w:val="20"/>
        </w:rPr>
        <w:t xml:space="preserve"> %). Největší vliv na pokles celkového meziročního indexu mělo snížení cen strojů a dopravních prostředků o </w:t>
      </w:r>
      <w:r>
        <w:rPr>
          <w:szCs w:val="20"/>
        </w:rPr>
        <w:t>8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 xml:space="preserve"> %. Ceny </w:t>
      </w:r>
      <w:r>
        <w:rPr>
          <w:szCs w:val="20"/>
        </w:rPr>
        <w:t xml:space="preserve">potravin klesly o 7,9 % a ceny </w:t>
      </w:r>
      <w:r w:rsidRPr="00C11071">
        <w:rPr>
          <w:szCs w:val="20"/>
        </w:rPr>
        <w:t xml:space="preserve">průmyslového spotřebního zboží </w:t>
      </w:r>
      <w:r>
        <w:rPr>
          <w:szCs w:val="20"/>
        </w:rPr>
        <w:t>klesly o 6,9</w:t>
      </w:r>
      <w:r w:rsidRPr="00C11071">
        <w:rPr>
          <w:szCs w:val="20"/>
        </w:rPr>
        <w:t xml:space="preserve"> %. </w:t>
      </w:r>
      <w:r>
        <w:rPr>
          <w:szCs w:val="20"/>
        </w:rPr>
        <w:t>Rostly pouze ceny nápojů a tabáku o 2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> %</w:t>
      </w:r>
      <w:r>
        <w:rPr>
          <w:szCs w:val="20"/>
        </w:rPr>
        <w:t>.</w:t>
      </w:r>
    </w:p>
    <w:p w:rsidR="001D65EA" w:rsidRPr="00C11071" w:rsidRDefault="001D65EA" w:rsidP="001D65EA">
      <w:pPr>
        <w:spacing w:line="276" w:lineRule="auto"/>
        <w:jc w:val="both"/>
        <w:rPr>
          <w:szCs w:val="20"/>
        </w:rPr>
      </w:pPr>
    </w:p>
    <w:p w:rsidR="00EA5ED6" w:rsidRPr="00AF2430" w:rsidRDefault="001D65EA" w:rsidP="001D65EA">
      <w:pPr>
        <w:numPr>
          <w:ilvl w:val="0"/>
          <w:numId w:val="3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>
        <w:rPr>
          <w:szCs w:val="20"/>
        </w:rPr>
        <w:t xml:space="preserve">se zvýšily </w:t>
      </w:r>
      <w:r w:rsidRPr="00C11071">
        <w:rPr>
          <w:szCs w:val="20"/>
        </w:rPr>
        <w:t>na hodnot</w:t>
      </w:r>
      <w:r>
        <w:rPr>
          <w:szCs w:val="20"/>
        </w:rPr>
        <w:t>u</w:t>
      </w:r>
      <w:r w:rsidRPr="00C11071">
        <w:rPr>
          <w:szCs w:val="20"/>
        </w:rPr>
        <w:t xml:space="preserve"> </w:t>
      </w:r>
      <w:r>
        <w:rPr>
          <w:szCs w:val="20"/>
        </w:rPr>
        <w:t>101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 xml:space="preserve"> % (v </w:t>
      </w:r>
      <w:r>
        <w:rPr>
          <w:szCs w:val="20"/>
        </w:rPr>
        <w:t>prosinci 101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%)</w:t>
      </w:r>
      <w:r>
        <w:rPr>
          <w:szCs w:val="20"/>
        </w:rPr>
        <w:t xml:space="preserve"> a</w:t>
      </w:r>
      <w:r w:rsidRPr="00C11071">
        <w:rPr>
          <w:szCs w:val="20"/>
        </w:rPr>
        <w:t xml:space="preserve"> </w:t>
      </w:r>
      <w:r>
        <w:rPr>
          <w:szCs w:val="20"/>
        </w:rPr>
        <w:t>čtvrtý</w:t>
      </w:r>
      <w:r w:rsidRPr="00C11071">
        <w:rPr>
          <w:szCs w:val="20"/>
        </w:rPr>
        <w:t xml:space="preserve"> měsíc</w:t>
      </w:r>
      <w:r>
        <w:rPr>
          <w:szCs w:val="20"/>
        </w:rPr>
        <w:t xml:space="preserve"> setrvaly v pozi</w:t>
      </w:r>
      <w:r w:rsidRPr="00C11071">
        <w:rPr>
          <w:szCs w:val="20"/>
        </w:rPr>
        <w:t>tivních hodnot</w:t>
      </w:r>
      <w:r>
        <w:rPr>
          <w:szCs w:val="20"/>
        </w:rPr>
        <w:t>ách</w:t>
      </w:r>
      <w:r w:rsidRPr="00C11071">
        <w:rPr>
          <w:szCs w:val="20"/>
        </w:rPr>
        <w:t xml:space="preserve">. </w:t>
      </w:r>
      <w:r>
        <w:rPr>
          <w:szCs w:val="20"/>
        </w:rPr>
        <w:t xml:space="preserve">Z významnějších skupin </w:t>
      </w:r>
      <w:r w:rsidRPr="00C11071">
        <w:rPr>
          <w:szCs w:val="20"/>
        </w:rPr>
        <w:t>dosáhl</w:t>
      </w:r>
      <w:r>
        <w:rPr>
          <w:szCs w:val="20"/>
        </w:rPr>
        <w:t>y p</w:t>
      </w:r>
      <w:r w:rsidRPr="00C11071">
        <w:rPr>
          <w:szCs w:val="20"/>
        </w:rPr>
        <w:t xml:space="preserve">ozitivních hodnot směnných relací </w:t>
      </w:r>
      <w:r>
        <w:rPr>
          <w:szCs w:val="20"/>
        </w:rPr>
        <w:t>potraviny</w:t>
      </w:r>
      <w:r w:rsidRPr="00C11071">
        <w:rPr>
          <w:szCs w:val="20"/>
        </w:rPr>
        <w:t xml:space="preserve"> (1</w:t>
      </w:r>
      <w:r>
        <w:rPr>
          <w:szCs w:val="20"/>
        </w:rPr>
        <w:t>04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> %), stroje a dopravní prostředky (10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%)</w:t>
      </w:r>
      <w:r>
        <w:rPr>
          <w:szCs w:val="20"/>
        </w:rPr>
        <w:t xml:space="preserve"> a průmyslové spotřební zboží</w:t>
      </w:r>
      <w:r w:rsidRPr="00C11071">
        <w:rPr>
          <w:szCs w:val="20"/>
        </w:rPr>
        <w:t xml:space="preserve"> (10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> %).</w:t>
      </w:r>
      <w:r>
        <w:rPr>
          <w:szCs w:val="20"/>
        </w:rPr>
        <w:t xml:space="preserve"> </w:t>
      </w:r>
      <w:r w:rsidRPr="00C11071">
        <w:rPr>
          <w:szCs w:val="20"/>
        </w:rPr>
        <w:t>Negativní hodnoty směnných relací zaznamenal</w:t>
      </w:r>
      <w:r>
        <w:rPr>
          <w:szCs w:val="20"/>
        </w:rPr>
        <w:t>a</w:t>
      </w:r>
      <w:r w:rsidRPr="00C11071">
        <w:rPr>
          <w:szCs w:val="20"/>
        </w:rPr>
        <w:t xml:space="preserve"> </w:t>
      </w:r>
      <w:r>
        <w:rPr>
          <w:szCs w:val="20"/>
        </w:rPr>
        <w:t>zejména minerální paliva (90,7 %)</w:t>
      </w:r>
      <w:r w:rsidRPr="00C11071">
        <w:rPr>
          <w:szCs w:val="20"/>
        </w:rPr>
        <w:t>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B4C" w:rsidRDefault="00716B4C" w:rsidP="00E71A58">
      <w:r>
        <w:separator/>
      </w:r>
    </w:p>
  </w:endnote>
  <w:endnote w:type="continuationSeparator" w:id="0">
    <w:p w:rsidR="00716B4C" w:rsidRDefault="00716B4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B4C" w:rsidRDefault="00716B4C" w:rsidP="00E71A58">
      <w:r>
        <w:separator/>
      </w:r>
    </w:p>
  </w:footnote>
  <w:footnote w:type="continuationSeparator" w:id="0">
    <w:p w:rsidR="00716B4C" w:rsidRDefault="00716B4C" w:rsidP="00E7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0"/>
  </w:num>
  <w:num w:numId="4">
    <w:abstractNumId w:val="5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1"/>
  </w:num>
  <w:num w:numId="10">
    <w:abstractNumId w:val="17"/>
  </w:num>
  <w:num w:numId="11">
    <w:abstractNumId w:val="28"/>
  </w:num>
  <w:num w:numId="12">
    <w:abstractNumId w:val="24"/>
  </w:num>
  <w:num w:numId="13">
    <w:abstractNumId w:val="2"/>
  </w:num>
  <w:num w:numId="14">
    <w:abstractNumId w:val="8"/>
  </w:num>
  <w:num w:numId="15">
    <w:abstractNumId w:val="22"/>
  </w:num>
  <w:num w:numId="16">
    <w:abstractNumId w:val="19"/>
  </w:num>
  <w:num w:numId="17">
    <w:abstractNumId w:val="15"/>
  </w:num>
  <w:num w:numId="18">
    <w:abstractNumId w:val="3"/>
  </w:num>
  <w:num w:numId="19">
    <w:abstractNumId w:val="12"/>
  </w:num>
  <w:num w:numId="20">
    <w:abstractNumId w:val="30"/>
  </w:num>
  <w:num w:numId="21">
    <w:abstractNumId w:val="25"/>
  </w:num>
  <w:num w:numId="22">
    <w:abstractNumId w:val="9"/>
  </w:num>
  <w:num w:numId="23">
    <w:abstractNumId w:val="26"/>
  </w:num>
  <w:num w:numId="24">
    <w:abstractNumId w:val="10"/>
  </w:num>
  <w:num w:numId="25">
    <w:abstractNumId w:val="11"/>
  </w:num>
  <w:num w:numId="26">
    <w:abstractNumId w:val="13"/>
  </w:num>
  <w:num w:numId="27">
    <w:abstractNumId w:val="4"/>
  </w:num>
  <w:num w:numId="28">
    <w:abstractNumId w:val="23"/>
  </w:num>
  <w:num w:numId="29">
    <w:abstractNumId w:val="1"/>
  </w:num>
  <w:num w:numId="30">
    <w:abstractNumId w:val="29"/>
  </w:num>
  <w:num w:numId="31">
    <w:abstractNumId w:val="16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9011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74923"/>
    <w:rsid w:val="009B6189"/>
    <w:rsid w:val="009B6FD3"/>
    <w:rsid w:val="009E1ABC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91E1-FE31-45ED-9208-F2BFCFE7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2016-02-17T08:10:00Z</cp:lastPrinted>
  <dcterms:created xsi:type="dcterms:W3CDTF">2018-03-29T12:46:00Z</dcterms:created>
  <dcterms:modified xsi:type="dcterms:W3CDTF">2018-03-29T12:46:00Z</dcterms:modified>
</cp:coreProperties>
</file>