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F" w:rsidRPr="00473823" w:rsidRDefault="008B50C7" w:rsidP="00DA6F63">
      <w:pPr>
        <w:rPr>
          <w:b/>
          <w:sz w:val="30"/>
          <w:szCs w:val="30"/>
        </w:rPr>
      </w:pPr>
      <w:r w:rsidRPr="00473823">
        <w:rPr>
          <w:b/>
          <w:sz w:val="30"/>
          <w:szCs w:val="30"/>
        </w:rPr>
        <w:t xml:space="preserve">3. </w:t>
      </w:r>
      <w:r w:rsidR="0008794F" w:rsidRPr="00473823">
        <w:rPr>
          <w:b/>
          <w:sz w:val="30"/>
          <w:szCs w:val="30"/>
        </w:rPr>
        <w:t>Ekonomická výkonnost ČR, SR a Rakouska podle vývoje HDP</w:t>
      </w:r>
    </w:p>
    <w:p w:rsidR="0008794F" w:rsidRPr="008806AE" w:rsidRDefault="0008794F" w:rsidP="007039D1">
      <w:pPr>
        <w:ind w:left="480"/>
        <w:rPr>
          <w:b/>
          <w:szCs w:val="20"/>
        </w:rPr>
      </w:pPr>
    </w:p>
    <w:p w:rsidR="0008794F" w:rsidRDefault="0008794F" w:rsidP="007039D1">
      <w:pPr>
        <w:pStyle w:val="Textpoznpodarou"/>
        <w:jc w:val="both"/>
      </w:pPr>
      <w:r w:rsidRPr="004F11DB">
        <w:t>Rakouská ekonomika pochopitelně nezažila začátkem 90. let minulého století propady výkonnosti, které byly v ČR a SR spojeny př</w:t>
      </w:r>
      <w:r w:rsidR="00B83E78">
        <w:t xml:space="preserve">echodem k tržní ekonomice. </w:t>
      </w:r>
      <w:r w:rsidRPr="004F11DB">
        <w:t>„</w:t>
      </w:r>
      <w:r w:rsidR="00B83E78">
        <w:t>Š</w:t>
      </w:r>
      <w:r w:rsidRPr="004F11DB">
        <w:t>oková terapie“</w:t>
      </w:r>
      <w:r w:rsidRPr="004F11DB">
        <w:rPr>
          <w:rStyle w:val="Znakapoznpodarou"/>
        </w:rPr>
        <w:footnoteReference w:id="1"/>
      </w:r>
      <w:r>
        <w:t xml:space="preserve"> -</w:t>
      </w:r>
      <w:r w:rsidRPr="004F11DB">
        <w:t xml:space="preserve"> </w:t>
      </w:r>
      <w:r>
        <w:t>kterou uplatnilo Polsko a tehdejší Československo (poté federace České a Slovenské republiky), nikoli však Maďarsko, které zvolilo strategii postupných změn probíhajících už nejméně dvě desetiletí předtím -, přinesla prudký ekonomický propad. Byl hlubší na Slovensku než v České republice.</w:t>
      </w:r>
    </w:p>
    <w:p w:rsidR="0008794F" w:rsidRDefault="0008794F" w:rsidP="007039D1">
      <w:pPr>
        <w:ind w:left="480"/>
        <w:rPr>
          <w:b/>
          <w:sz w:val="28"/>
          <w:szCs w:val="28"/>
        </w:rPr>
      </w:pPr>
    </w:p>
    <w:p w:rsidR="0008794F" w:rsidRPr="00473823" w:rsidRDefault="0008794F" w:rsidP="007039D1">
      <w:pPr>
        <w:numPr>
          <w:ilvl w:val="1"/>
          <w:numId w:val="3"/>
        </w:numPr>
        <w:rPr>
          <w:b/>
          <w:sz w:val="28"/>
          <w:szCs w:val="28"/>
        </w:rPr>
      </w:pPr>
      <w:r w:rsidRPr="00473823">
        <w:rPr>
          <w:b/>
          <w:sz w:val="28"/>
          <w:szCs w:val="28"/>
        </w:rPr>
        <w:t>Období federace ČR a SR a první roky samostatných států</w:t>
      </w:r>
    </w:p>
    <w:p w:rsidR="0008794F" w:rsidRPr="00192CA8" w:rsidRDefault="0008794F" w:rsidP="007039D1">
      <w:pPr>
        <w:jc w:val="right"/>
      </w:pPr>
    </w:p>
    <w:tbl>
      <w:tblPr>
        <w:tblW w:w="5000" w:type="pct"/>
        <w:tblLook w:val="00A0"/>
      </w:tblPr>
      <w:tblGrid>
        <w:gridCol w:w="2079"/>
        <w:gridCol w:w="286"/>
        <w:gridCol w:w="7489"/>
      </w:tblGrid>
      <w:tr w:rsidR="0008794F" w:rsidRPr="004F11DB" w:rsidTr="004B4B5B">
        <w:tc>
          <w:tcPr>
            <w:tcW w:w="1055" w:type="pct"/>
          </w:tcPr>
          <w:p w:rsidR="0008794F" w:rsidRPr="00514E78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 w:rsidRPr="00514E78">
              <w:rPr>
                <w:sz w:val="16"/>
                <w:szCs w:val="16"/>
              </w:rPr>
              <w:t>Začátek přechodu k tržní ekonomice</w:t>
            </w:r>
            <w:r>
              <w:rPr>
                <w:sz w:val="16"/>
                <w:szCs w:val="16"/>
              </w:rPr>
              <w:t xml:space="preserve"> v ČR a SR</w:t>
            </w:r>
            <w:r w:rsidRPr="00514E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" w:type="pct"/>
          </w:tcPr>
          <w:p w:rsidR="0008794F" w:rsidRPr="004F11DB" w:rsidRDefault="0008794F" w:rsidP="004B4B5B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08794F" w:rsidRDefault="00044171" w:rsidP="004B4B5B">
            <w:pPr>
              <w:pStyle w:val="Textpoznpodarou"/>
              <w:jc w:val="both"/>
            </w:pPr>
            <w:r>
              <w:t>„Š</w:t>
            </w:r>
            <w:r w:rsidR="0008794F">
              <w:t xml:space="preserve">oková terapie“ přechodu od plánem řízené ekonomiky k ekonomice </w:t>
            </w:r>
            <w:r>
              <w:t xml:space="preserve">založené </w:t>
            </w:r>
            <w:r w:rsidR="0008794F">
              <w:t>na tržních principech spočívala především v liberalizaci cen a mezd, v povolení soukromého podnikání, privatizaci a v zavedení vnitřní směnitelnosti koruny. Byly také zrušeny cenové subvence, především u zemědělských produktů.</w:t>
            </w:r>
          </w:p>
          <w:p w:rsidR="0008794F" w:rsidRPr="004F11DB" w:rsidRDefault="0008794F" w:rsidP="004B4B5B">
            <w:pPr>
              <w:pStyle w:val="Textpoznpodarou"/>
              <w:jc w:val="both"/>
            </w:pPr>
          </w:p>
        </w:tc>
      </w:tr>
      <w:tr w:rsidR="0008794F" w:rsidRPr="00A557BF" w:rsidTr="004B4B5B">
        <w:tc>
          <w:tcPr>
            <w:tcW w:w="1055" w:type="pct"/>
          </w:tcPr>
          <w:p w:rsidR="0008794F" w:rsidRPr="00A557BF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Transformační propad byl v letech existence společného státu v letech 1990-1992 významně hlubší na Slovensku než v ČR  s </w:t>
            </w:r>
            <w:proofErr w:type="gramStart"/>
            <w:r>
              <w:rPr>
                <w:sz w:val="16"/>
                <w:szCs w:val="16"/>
              </w:rPr>
              <w:t>meziroční</w:t>
            </w:r>
            <w:proofErr w:type="gramEnd"/>
            <w:r>
              <w:rPr>
                <w:sz w:val="16"/>
                <w:szCs w:val="16"/>
              </w:rPr>
              <w:t xml:space="preserve"> propadem HDP reálně o 17,5 % v roce 1991…</w:t>
            </w:r>
          </w:p>
        </w:tc>
        <w:tc>
          <w:tcPr>
            <w:tcW w:w="145" w:type="pct"/>
          </w:tcPr>
          <w:p w:rsidR="0008794F" w:rsidRPr="00A557BF" w:rsidRDefault="0008794F" w:rsidP="004B4B5B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08794F" w:rsidRDefault="0008794F" w:rsidP="004B4B5B">
            <w:pPr>
              <w:pStyle w:val="Textpoznpodarou"/>
              <w:jc w:val="both"/>
            </w:pPr>
            <w:r>
              <w:t>Provedení výše uvedených změn „šokem“, tj. ve velmi krátkém časovém horizontu podle dokumentu o transformaci české ekonomiky měly pocho</w:t>
            </w:r>
            <w:r w:rsidR="0033585F">
              <w:t xml:space="preserve">pitelně bezprostřední dopad na </w:t>
            </w:r>
            <w:r>
              <w:t xml:space="preserve">ekonomickou výkonnost země. </w:t>
            </w:r>
          </w:p>
          <w:p w:rsidR="0008794F" w:rsidRPr="00B71E5E" w:rsidRDefault="0008794F" w:rsidP="004B4B5B">
            <w:pPr>
              <w:pStyle w:val="Textpoznpodarou"/>
              <w:jc w:val="both"/>
              <w:rPr>
                <w:sz w:val="12"/>
                <w:szCs w:val="12"/>
              </w:rPr>
            </w:pPr>
          </w:p>
          <w:p w:rsidR="0008794F" w:rsidRPr="00C92F27" w:rsidRDefault="0008794F" w:rsidP="00044171">
            <w:pPr>
              <w:pStyle w:val="Textpoznpodarou"/>
              <w:jc w:val="both"/>
            </w:pPr>
            <w:r>
              <w:t xml:space="preserve">Podle </w:t>
            </w:r>
            <w:r w:rsidR="00044171">
              <w:t>H</w:t>
            </w:r>
            <w:r>
              <w:t>istorické ročenky národních účtů</w:t>
            </w:r>
            <w:r>
              <w:rPr>
                <w:rStyle w:val="Znakapoznpodarou"/>
              </w:rPr>
              <w:footnoteReference w:id="2"/>
            </w:r>
            <w:r>
              <w:t xml:space="preserve">, která zachycuje i roky 1990 až 1992 zvlášť v indikátorech za Českou a zvlášť za Slovenskou republiku, byl transformační propad bolestivější na Slovensku. Tamější HDP se v reálném vyjádření snížil v roce 1991 proti roku 1990 o 17,5 %, o rok později pak činil meziroční pokles slovenské ekonomiky dalších 5,8 %. Za pouhé dva roky tak klesla slovenská ekonomika reálně o 22,3 %. </w:t>
            </w:r>
          </w:p>
        </w:tc>
      </w:tr>
    </w:tbl>
    <w:p w:rsidR="0008794F" w:rsidRDefault="0008794F" w:rsidP="007039D1">
      <w:pPr>
        <w:jc w:val="both"/>
        <w:rPr>
          <w:sz w:val="18"/>
          <w:szCs w:val="18"/>
        </w:rPr>
      </w:pPr>
    </w:p>
    <w:tbl>
      <w:tblPr>
        <w:tblW w:w="5000" w:type="pct"/>
        <w:tblLook w:val="00A0"/>
      </w:tblPr>
      <w:tblGrid>
        <w:gridCol w:w="2079"/>
        <w:gridCol w:w="286"/>
        <w:gridCol w:w="7489"/>
      </w:tblGrid>
      <w:tr w:rsidR="0008794F" w:rsidRPr="00A557BF" w:rsidTr="004B4B5B">
        <w:tc>
          <w:tcPr>
            <w:tcW w:w="1055" w:type="pct"/>
          </w:tcPr>
          <w:p w:rsidR="0008794F" w:rsidRPr="00A557BF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 w:rsidRPr="00A557BF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a za oba roky 1991 a 1992 se výkonnost ekonomiky SR snížila o 22,3 %; obdobný byl i pokles výkonnosti odvětví </w:t>
            </w:r>
          </w:p>
        </w:tc>
        <w:tc>
          <w:tcPr>
            <w:tcW w:w="145" w:type="pct"/>
          </w:tcPr>
          <w:p w:rsidR="0008794F" w:rsidRPr="00A557BF" w:rsidRDefault="0008794F" w:rsidP="004B4B5B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08794F" w:rsidRDefault="0008794F" w:rsidP="004B4B5B">
            <w:pPr>
              <w:pStyle w:val="Textpoznpodarou"/>
              <w:jc w:val="both"/>
            </w:pPr>
            <w:r>
              <w:t>I když v roce 1992 již zaznamenal zejména zahraniční obchod</w:t>
            </w:r>
            <w:r w:rsidR="0033585F">
              <w:t xml:space="preserve"> </w:t>
            </w:r>
            <w:proofErr w:type="gramStart"/>
            <w:r w:rsidR="0033585F">
              <w:t xml:space="preserve">SR </w:t>
            </w:r>
            <w:r>
              <w:t xml:space="preserve"> opětovný</w:t>
            </w:r>
            <w:proofErr w:type="gramEnd"/>
            <w:r>
              <w:t xml:space="preserve"> silný </w:t>
            </w:r>
            <w:r w:rsidR="004C5160">
              <w:t xml:space="preserve">meziroční </w:t>
            </w:r>
            <w:r>
              <w:t xml:space="preserve">růst a kladné znaménko změny bylo patrné také u výdajů na konečnou spotřebu, byl propad v roce 1991 tak obrovský, že nemohl být i přes růsty v dalším roce kompenzován. Za pouhé dva roky (1991 a 1992), než skončilo federativní uspořádání České a Slovenské republiky, klesla proti úrovni roku 1990 výkonnost hospodářství Slovenska o téměř čtvrtinu, jak již bylo zmíněno. </w:t>
            </w:r>
          </w:p>
          <w:p w:rsidR="0008794F" w:rsidRPr="00A557BF" w:rsidRDefault="0008794F" w:rsidP="004B4B5B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08794F" w:rsidRPr="00A557BF" w:rsidTr="004B4B5B">
        <w:tc>
          <w:tcPr>
            <w:tcW w:w="1055" w:type="pct"/>
          </w:tcPr>
          <w:p w:rsidR="0008794F" w:rsidRPr="00A557BF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pětinu poklesla za roky 1991 a 1992 i hrubá přidaná hodnota tvořená  odvětvími slovenské ekonomiky – celkově se podle tohoto indikátoru slovenská ekonomika proti české za pouhé dva roky „zmenšila“ (podle. </w:t>
            </w:r>
            <w:proofErr w:type="gramStart"/>
            <w:r>
              <w:rPr>
                <w:sz w:val="16"/>
                <w:szCs w:val="16"/>
              </w:rPr>
              <w:t>podílu</w:t>
            </w:r>
            <w:proofErr w:type="gramEnd"/>
            <w:r>
              <w:rPr>
                <w:sz w:val="16"/>
                <w:szCs w:val="16"/>
              </w:rPr>
              <w:t xml:space="preserve">, v jakém byla hrubá přidaná hodnota slovenského hospodářství vůči českému)  </w:t>
            </w:r>
          </w:p>
        </w:tc>
        <w:tc>
          <w:tcPr>
            <w:tcW w:w="145" w:type="pct"/>
          </w:tcPr>
          <w:p w:rsidR="0008794F" w:rsidRPr="00A557BF" w:rsidRDefault="0008794F" w:rsidP="004B4B5B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08794F" w:rsidRDefault="0008794F" w:rsidP="004C5568">
            <w:pPr>
              <w:pStyle w:val="Textpoznpodarou"/>
              <w:jc w:val="both"/>
            </w:pPr>
            <w:r>
              <w:t>Zdroje, vytvářené v odvětvích slovenské ekonomiky v podobě hrubé přidané hodnoty, poklesly o pětinu (-20,3 %), z toho v roce 1991 meziročně o 15,3 % a v roce 1992 meziročně o dalších 6,5 %.</w:t>
            </w:r>
            <w:r>
              <w:rPr>
                <w:vertAlign w:val="superscript"/>
              </w:rPr>
              <w:t xml:space="preserve"> </w:t>
            </w:r>
            <w:r>
              <w:t xml:space="preserve">Lze předpokládat, že svoji roli sehrávalo i nové nazírání na některé skutečnosti spojené se strukturou ekonomiky </w:t>
            </w:r>
            <w:r w:rsidR="000B6162">
              <w:t xml:space="preserve">a dalšími vlivy </w:t>
            </w:r>
            <w:r>
              <w:t>a pod tímto úhlem pohledu došlo např. k utlumování zbrojní výroby v podnicích na středním Slovensku (Martin) nebo posléze i k restrukturalizaci největšího slovenského podniku, Východoslovenských železáren.</w:t>
            </w:r>
          </w:p>
          <w:p w:rsidR="0008794F" w:rsidRPr="008806AE" w:rsidRDefault="0008794F" w:rsidP="004C5568">
            <w:pPr>
              <w:pStyle w:val="Textpoznpodarou"/>
              <w:jc w:val="both"/>
              <w:rPr>
                <w:sz w:val="12"/>
                <w:szCs w:val="12"/>
              </w:rPr>
            </w:pPr>
          </w:p>
          <w:p w:rsidR="0008794F" w:rsidRDefault="0008794F" w:rsidP="0086759F">
            <w:pPr>
              <w:pStyle w:val="Textpoznpodarou"/>
              <w:jc w:val="both"/>
            </w:pPr>
            <w:r>
              <w:t xml:space="preserve">Důkazem toho, že se slovenské hospodářství vůči českému za dva roky do skončení federace „zmenšilo“, je pokus o vyjádření změněné relace – tj. kvantifikace, v jakém vztahu (podílu) byla hrubá přidaná hodnota v daném odvětví na Slovensku oproti hrubé přidané hodnotě daného odvětví v ČR v roce 1990 a v roce 1992.  V roce 1990 představovala hrubá přidaná hodnota v SR 47,7 % hrubé přidané hodnoty vytvořené v ekonomice ČR. V roce 1992 to už ale bylo jen 39,8 %, přičemž ve všech odvětvích s výjimkou tří se takto vyjádřená proporce ve výkonnosti obou ekonomik zhoršila v neprospěch Slovenska (jen ve stavebnictví a </w:t>
            </w:r>
            <w:r>
              <w:lastRenderedPageBreak/>
              <w:t xml:space="preserve">v prvovýrobních odvětvích, tj. v úhrnu za zemědělství, lesnictví, rybářství pak také v těžbě a dobývání </w:t>
            </w:r>
            <w:proofErr w:type="gramStart"/>
            <w:r>
              <w:t>byla</w:t>
            </w:r>
            <w:proofErr w:type="gramEnd"/>
            <w:r>
              <w:t xml:space="preserve"> proporce hrubé přidané hodnoty na Slovensku vyšší v roce 1992 než tomu </w:t>
            </w:r>
            <w:proofErr w:type="gramStart"/>
            <w:r>
              <w:t>bylo</w:t>
            </w:r>
            <w:proofErr w:type="gramEnd"/>
            <w:r w:rsidR="000B6162">
              <w:t xml:space="preserve"> </w:t>
            </w:r>
            <w:r>
              <w:t>v roce 1990</w:t>
            </w:r>
            <w:r w:rsidR="000B6162">
              <w:t>.</w:t>
            </w:r>
            <w:r>
              <w:rPr>
                <w:rStyle w:val="Znakapoznpodarou"/>
              </w:rPr>
              <w:footnoteReference w:id="3"/>
            </w:r>
            <w:r>
              <w:t xml:space="preserve"> </w:t>
            </w:r>
          </w:p>
          <w:p w:rsidR="0008794F" w:rsidRDefault="0008794F" w:rsidP="0086759F">
            <w:pPr>
              <w:pStyle w:val="Textpoznpodarou"/>
              <w:jc w:val="both"/>
            </w:pPr>
          </w:p>
        </w:tc>
      </w:tr>
      <w:tr w:rsidR="0008794F" w:rsidRPr="00A557BF" w:rsidTr="004B4B5B">
        <w:tc>
          <w:tcPr>
            <w:tcW w:w="1055" w:type="pct"/>
          </w:tcPr>
          <w:p w:rsidR="0008794F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Fixní investice a výdaje domácností na konečnou spotřebu klesly na Slovensku za roky 1991 a 1992 proti úrovni roku 1990 zhruba o pětinu,</w:t>
            </w:r>
          </w:p>
          <w:p w:rsidR="0008794F" w:rsidRPr="00A557BF" w:rsidRDefault="0008794F" w:rsidP="004B4B5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export zboží a služeb o třetinu jejich import byl dokonce jen poloviční</w:t>
            </w:r>
          </w:p>
        </w:tc>
        <w:tc>
          <w:tcPr>
            <w:tcW w:w="145" w:type="pct"/>
          </w:tcPr>
          <w:p w:rsidR="0008794F" w:rsidRPr="00A557BF" w:rsidRDefault="0008794F" w:rsidP="004B4B5B">
            <w:pPr>
              <w:pStyle w:val="Textpoznpodarou"/>
              <w:jc w:val="both"/>
            </w:pPr>
          </w:p>
        </w:tc>
        <w:tc>
          <w:tcPr>
            <w:tcW w:w="3800" w:type="pct"/>
          </w:tcPr>
          <w:p w:rsidR="0008794F" w:rsidRDefault="0008794F" w:rsidP="004B4B5B">
            <w:pPr>
              <w:pStyle w:val="Textpoznpodarou"/>
              <w:jc w:val="both"/>
            </w:pPr>
            <w:r>
              <w:t xml:space="preserve">O více než pětinu poklesly v úhrnu za roky 1991 a 1992 proti roku 1990 reálně výdaje slovenských domácností na konečnou spotřebu (-20,7 %), zhruba stejně i investice (tvorba hrubého fixního kapitálu -19,2 %). V obou případech byl, stejně jako </w:t>
            </w:r>
            <w:r w:rsidR="00044171">
              <w:t>u</w:t>
            </w:r>
            <w:r>
              <w:t xml:space="preserve"> většiny ostatních složek HDP, výrazně hlubší propad bezprostředně po společenském posunu, tj. mezi roky 1990 a 1991. Dokonce o více než třetinu se v roce 1991 meziročně propadl slovenský export zboží a služeb (-35,4 %). Utlumená domácí poptávka </w:t>
            </w:r>
            <w:r w:rsidR="000B6162">
              <w:t xml:space="preserve">na Slovensku </w:t>
            </w:r>
            <w:r>
              <w:t xml:space="preserve">pak </w:t>
            </w:r>
            <w:r w:rsidR="000B6162">
              <w:t xml:space="preserve">drasticky zredukovala i jejich </w:t>
            </w:r>
            <w:r>
              <w:t xml:space="preserve">import, a to na polovinu (-47,5 %). </w:t>
            </w:r>
          </w:p>
          <w:p w:rsidR="0008794F" w:rsidRPr="00EF6654" w:rsidRDefault="0008794F" w:rsidP="004B4B5B">
            <w:pPr>
              <w:pStyle w:val="Textpoznpodarou"/>
              <w:jc w:val="both"/>
              <w:rPr>
                <w:sz w:val="12"/>
                <w:szCs w:val="12"/>
              </w:rPr>
            </w:pPr>
          </w:p>
          <w:p w:rsidR="0008794F" w:rsidRDefault="0008794F" w:rsidP="004B4B5B">
            <w:pPr>
              <w:pStyle w:val="Textpoznpodarou"/>
              <w:jc w:val="both"/>
            </w:pPr>
            <w:r>
              <w:t xml:space="preserve">Co se týká poklesů v roce 1992, je evidentní, že meziroční růst některých položek výdajů na HDP (tabulka 1), byl způsoben velmi slabou srovnávací základnou předchozí roku. </w:t>
            </w:r>
          </w:p>
          <w:p w:rsidR="0008794F" w:rsidRPr="00A557BF" w:rsidRDefault="0008794F" w:rsidP="004B4B5B">
            <w:pPr>
              <w:pStyle w:val="Textpoznpodarou"/>
              <w:jc w:val="both"/>
              <w:rPr>
                <w:sz w:val="18"/>
                <w:szCs w:val="18"/>
              </w:rPr>
            </w:pPr>
            <w:r>
              <w:t xml:space="preserve"> </w:t>
            </w:r>
          </w:p>
        </w:tc>
      </w:tr>
    </w:tbl>
    <w:p w:rsidR="0008794F" w:rsidRDefault="0008794F" w:rsidP="007039D1">
      <w:pPr>
        <w:rPr>
          <w:szCs w:val="20"/>
        </w:rPr>
      </w:pPr>
      <w:r>
        <w:rPr>
          <w:b/>
          <w:szCs w:val="20"/>
        </w:rPr>
        <w:t>Tabulka 1: Vývoj HDP a jeho složek v ČR a SR za období federace (1990-1992) a v letech 1993-1997</w:t>
      </w:r>
      <w:r>
        <w:rPr>
          <w:szCs w:val="20"/>
        </w:rPr>
        <w:t xml:space="preserve"> (meziroční změny v %, HDP a jeho složky v reálném vyjádření)</w:t>
      </w:r>
    </w:p>
    <w:p w:rsidR="0008794F" w:rsidRPr="00D03EC0" w:rsidRDefault="0008794F" w:rsidP="007039D1">
      <w:pPr>
        <w:rPr>
          <w:sz w:val="16"/>
          <w:szCs w:val="16"/>
        </w:rPr>
      </w:pPr>
    </w:p>
    <w:p w:rsidR="0008794F" w:rsidRPr="006B6CEE" w:rsidRDefault="0008794F" w:rsidP="007039D1">
      <w:pPr>
        <w:rPr>
          <w:b/>
          <w:szCs w:val="20"/>
        </w:rPr>
      </w:pPr>
      <w:r w:rsidRPr="006C437B">
        <w:rPr>
          <w:b/>
          <w:szCs w:val="20"/>
        </w:rPr>
        <w:t>Slovenská republika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79"/>
        <w:gridCol w:w="672"/>
        <w:gridCol w:w="672"/>
        <w:gridCol w:w="236"/>
        <w:gridCol w:w="903"/>
        <w:gridCol w:w="850"/>
        <w:gridCol w:w="851"/>
        <w:gridCol w:w="850"/>
        <w:gridCol w:w="851"/>
      </w:tblGrid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</w:p>
        </w:tc>
        <w:tc>
          <w:tcPr>
            <w:tcW w:w="672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1991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1992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 xml:space="preserve">   </w:t>
            </w:r>
          </w:p>
        </w:tc>
        <w:tc>
          <w:tcPr>
            <w:tcW w:w="903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1993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1994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1995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1996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1997</w:t>
            </w:r>
          </w:p>
        </w:tc>
      </w:tr>
      <w:tr w:rsidR="0008794F" w:rsidRPr="00F407AD" w:rsidTr="004B4B5B">
        <w:tc>
          <w:tcPr>
            <w:tcW w:w="3579" w:type="dxa"/>
            <w:vAlign w:val="center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HDP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-17,5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-5,8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0,0/</w:t>
            </w:r>
          </w:p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+7,2*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+3,6/+6,2*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+8,1/</w:t>
            </w:r>
          </w:p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+7,9*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+6,7/</w:t>
            </w:r>
          </w:p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+6,9*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+5,7/</w:t>
            </w:r>
          </w:p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+4,4*</w:t>
            </w:r>
          </w:p>
        </w:tc>
      </w:tr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Výdaje domácností na konečnou spotřebu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-24,0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+4,5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-5,5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+0,2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-4,6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+8,9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+8,0</w:t>
            </w:r>
          </w:p>
        </w:tc>
      </w:tr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Výdaje vlády na konečnou spotřebu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-17,7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+8,7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-2,2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-3,2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+10,6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+11,1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+0,4</w:t>
            </w:r>
          </w:p>
        </w:tc>
      </w:tr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Tvorba hrubého fixního kapitálu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-12,0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-7,0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-2,1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-0,6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+13,5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+30,1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+14,0</w:t>
            </w:r>
          </w:p>
        </w:tc>
      </w:tr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Export zboží a služeb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-35,4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+29,4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+9,3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+12,2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+7,4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-1,4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+10,0</w:t>
            </w:r>
          </w:p>
        </w:tc>
      </w:tr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Import zboží a služeb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-47,5</w:t>
            </w:r>
          </w:p>
        </w:tc>
        <w:tc>
          <w:tcPr>
            <w:tcW w:w="672" w:type="dxa"/>
          </w:tcPr>
          <w:p w:rsidR="0008794F" w:rsidRPr="00F407AD" w:rsidRDefault="0008794F" w:rsidP="004B4B5B">
            <w:pPr>
              <w:jc w:val="center"/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+40,0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903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+7,6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-3,2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+6,8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+17,6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jc w:val="center"/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+10,2</w:t>
            </w:r>
          </w:p>
        </w:tc>
      </w:tr>
    </w:tbl>
    <w:p w:rsidR="0008794F" w:rsidRPr="006B6CEE" w:rsidRDefault="0008794F" w:rsidP="006B6CEE">
      <w:pPr>
        <w:rPr>
          <w:sz w:val="8"/>
          <w:szCs w:val="8"/>
        </w:rPr>
      </w:pPr>
    </w:p>
    <w:p w:rsidR="0008794F" w:rsidRPr="006B6CEE" w:rsidRDefault="0008794F" w:rsidP="006B6CEE">
      <w:pPr>
        <w:rPr>
          <w:sz w:val="18"/>
          <w:szCs w:val="18"/>
        </w:rPr>
      </w:pPr>
      <w:r w:rsidRPr="006C437B">
        <w:rPr>
          <w:sz w:val="18"/>
          <w:szCs w:val="18"/>
        </w:rPr>
        <w:t>Pozn.: * Ve druhém řádku u HDP uvedena data z </w:t>
      </w:r>
      <w:proofErr w:type="spellStart"/>
      <w:proofErr w:type="gramStart"/>
      <w:r w:rsidRPr="006C437B">
        <w:rPr>
          <w:sz w:val="18"/>
          <w:szCs w:val="18"/>
        </w:rPr>
        <w:t>Eurostatu</w:t>
      </w:r>
      <w:proofErr w:type="spellEnd"/>
      <w:r w:rsidRPr="006C437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                     </w:t>
      </w:r>
      <w:r w:rsidRPr="006B6CEE">
        <w:rPr>
          <w:sz w:val="18"/>
          <w:szCs w:val="18"/>
        </w:rPr>
        <w:t>Pramen</w:t>
      </w:r>
      <w:proofErr w:type="gramEnd"/>
      <w:r w:rsidRPr="006B6CEE">
        <w:rPr>
          <w:sz w:val="18"/>
          <w:szCs w:val="18"/>
        </w:rPr>
        <w:t>: Historická ročenka národních účtů</w:t>
      </w:r>
    </w:p>
    <w:p w:rsidR="0008794F" w:rsidRDefault="0008794F" w:rsidP="007039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6C437B">
        <w:rPr>
          <w:sz w:val="18"/>
          <w:szCs w:val="18"/>
        </w:rPr>
        <w:t xml:space="preserve">na základě národních statistik, </w:t>
      </w:r>
      <w:r>
        <w:rPr>
          <w:sz w:val="18"/>
          <w:szCs w:val="18"/>
        </w:rPr>
        <w:t xml:space="preserve">podle ESA </w:t>
      </w:r>
      <w:r w:rsidRPr="006C437B">
        <w:rPr>
          <w:sz w:val="18"/>
          <w:szCs w:val="18"/>
        </w:rPr>
        <w:t>95</w:t>
      </w:r>
    </w:p>
    <w:p w:rsidR="0008794F" w:rsidRPr="00C92F27" w:rsidRDefault="0008794F" w:rsidP="007039D1">
      <w:pPr>
        <w:rPr>
          <w:sz w:val="18"/>
          <w:szCs w:val="18"/>
        </w:rPr>
      </w:pPr>
    </w:p>
    <w:p w:rsidR="0008794F" w:rsidRPr="00F6519F" w:rsidRDefault="0008794F" w:rsidP="007039D1">
      <w:pPr>
        <w:rPr>
          <w:b/>
          <w:szCs w:val="20"/>
        </w:rPr>
      </w:pPr>
      <w:r w:rsidRPr="00F6519F">
        <w:rPr>
          <w:b/>
          <w:szCs w:val="20"/>
        </w:rPr>
        <w:t>Česká republika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79"/>
        <w:gridCol w:w="672"/>
        <w:gridCol w:w="723"/>
        <w:gridCol w:w="236"/>
        <w:gridCol w:w="852"/>
        <w:gridCol w:w="850"/>
        <w:gridCol w:w="851"/>
        <w:gridCol w:w="850"/>
        <w:gridCol w:w="851"/>
      </w:tblGrid>
      <w:tr w:rsidR="0008794F" w:rsidRPr="00F407AD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</w:p>
        </w:tc>
        <w:tc>
          <w:tcPr>
            <w:tcW w:w="672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1991</w:t>
            </w:r>
          </w:p>
        </w:tc>
        <w:tc>
          <w:tcPr>
            <w:tcW w:w="723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1992</w:t>
            </w:r>
          </w:p>
        </w:tc>
        <w:tc>
          <w:tcPr>
            <w:tcW w:w="236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 xml:space="preserve">   </w:t>
            </w:r>
          </w:p>
        </w:tc>
        <w:tc>
          <w:tcPr>
            <w:tcW w:w="852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1993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1994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1995</w:t>
            </w:r>
          </w:p>
        </w:tc>
        <w:tc>
          <w:tcPr>
            <w:tcW w:w="850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1996</w:t>
            </w:r>
          </w:p>
        </w:tc>
        <w:tc>
          <w:tcPr>
            <w:tcW w:w="851" w:type="dxa"/>
          </w:tcPr>
          <w:p w:rsidR="0008794F" w:rsidRPr="00F407AD" w:rsidRDefault="0008794F" w:rsidP="004B4B5B">
            <w:pPr>
              <w:rPr>
                <w:szCs w:val="20"/>
                <w:lang w:eastAsia="en-US"/>
              </w:rPr>
            </w:pPr>
            <w:r w:rsidRPr="00F407AD">
              <w:rPr>
                <w:szCs w:val="20"/>
                <w:lang w:eastAsia="en-US"/>
              </w:rPr>
              <w:t>1997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HDP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-10,0</w:t>
            </w:r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 2,0</w:t>
            </w:r>
            <w:proofErr w:type="gramEnd"/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+1,2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+2,9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+6,2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+4,5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- 0,9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Výdaje domácností na konečnou spotřebu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-17,8</w:t>
            </w:r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+ 4,5</w:t>
            </w:r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+1,3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+4,7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+4,6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+7,4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+1,6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Výdaje vlády na konečnou spotřebu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  5,3</w:t>
            </w:r>
            <w:proofErr w:type="gramEnd"/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+ 4,6</w:t>
            </w:r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+1,1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+4,0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-0,9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- 1,2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+3,3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Tvorba hrubého fixního kapitálu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-24,6</w:t>
            </w:r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+10,4</w:t>
            </w:r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+7,2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+11,7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+23,3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+ 9,1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- 6,5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Export zboží a služeb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-13,3</w:t>
            </w:r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+ 8,7</w:t>
            </w:r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+14,1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+3,8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+18,9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+ 6,5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+9,7</w:t>
            </w:r>
          </w:p>
        </w:tc>
      </w:tr>
      <w:tr w:rsidR="0008794F" w:rsidTr="004B4B5B">
        <w:tc>
          <w:tcPr>
            <w:tcW w:w="3579" w:type="dxa"/>
          </w:tcPr>
          <w:p w:rsidR="0008794F" w:rsidRPr="00F407AD" w:rsidRDefault="0008794F" w:rsidP="004B4B5B">
            <w:pPr>
              <w:rPr>
                <w:sz w:val="18"/>
                <w:szCs w:val="18"/>
                <w:lang w:eastAsia="en-US"/>
              </w:rPr>
            </w:pPr>
            <w:r w:rsidRPr="00F407AD">
              <w:rPr>
                <w:sz w:val="18"/>
                <w:szCs w:val="18"/>
                <w:lang w:eastAsia="en-US"/>
              </w:rPr>
              <w:t>Import zboží a služeb</w:t>
            </w:r>
          </w:p>
        </w:tc>
        <w:tc>
          <w:tcPr>
            <w:tcW w:w="67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-31,0</w:t>
            </w:r>
          </w:p>
        </w:tc>
        <w:tc>
          <w:tcPr>
            <w:tcW w:w="723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-12,1</w:t>
            </w:r>
          </w:p>
        </w:tc>
        <w:tc>
          <w:tcPr>
            <w:tcW w:w="236" w:type="dxa"/>
          </w:tcPr>
          <w:p w:rsidR="0008794F" w:rsidRDefault="0008794F" w:rsidP="004B4B5B">
            <w:pPr>
              <w:rPr>
                <w:lang w:eastAsia="en-US"/>
              </w:rPr>
            </w:pPr>
          </w:p>
        </w:tc>
        <w:tc>
          <w:tcPr>
            <w:tcW w:w="852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+19,0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+14,9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+23,2</w:t>
            </w:r>
          </w:p>
        </w:tc>
        <w:tc>
          <w:tcPr>
            <w:tcW w:w="850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+12,0</w:t>
            </w:r>
          </w:p>
        </w:tc>
        <w:tc>
          <w:tcPr>
            <w:tcW w:w="851" w:type="dxa"/>
          </w:tcPr>
          <w:p w:rsidR="0008794F" w:rsidRDefault="0008794F" w:rsidP="004B4B5B">
            <w:pPr>
              <w:rPr>
                <w:lang w:eastAsia="en-US"/>
              </w:rPr>
            </w:pPr>
            <w:r>
              <w:rPr>
                <w:lang w:eastAsia="en-US"/>
              </w:rPr>
              <w:t>+6,6</w:t>
            </w:r>
          </w:p>
        </w:tc>
      </w:tr>
    </w:tbl>
    <w:p w:rsidR="0008794F" w:rsidRDefault="0008794F" w:rsidP="00D03EC0">
      <w:pPr>
        <w:jc w:val="right"/>
      </w:pPr>
      <w:r w:rsidRPr="006B6CEE">
        <w:rPr>
          <w:sz w:val="18"/>
          <w:szCs w:val="18"/>
        </w:rPr>
        <w:t>Pramen: Historická ročenka národních účtů</w:t>
      </w:r>
    </w:p>
    <w:p w:rsidR="0008794F" w:rsidRPr="00EF6654" w:rsidRDefault="0008794F" w:rsidP="007039D1">
      <w:pPr>
        <w:rPr>
          <w:sz w:val="16"/>
          <w:szCs w:val="16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997EEB" w:rsidTr="001F5FA8">
        <w:tc>
          <w:tcPr>
            <w:tcW w:w="1042" w:type="pct"/>
          </w:tcPr>
          <w:p w:rsidR="0008794F" w:rsidRPr="00602D1D" w:rsidRDefault="0008794F" w:rsidP="007E07B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Česká ekonomika neoslabila v letech 1991 a 1992 tolik jako slovenská…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V České republice byl propad HDP reálně v meziroční</w:t>
            </w:r>
            <w:r w:rsidR="004C5160">
              <w:rPr>
                <w:color w:val="000000"/>
                <w:spacing w:val="-6"/>
              </w:rPr>
              <w:t>m</w:t>
            </w:r>
            <w:r>
              <w:rPr>
                <w:color w:val="000000"/>
                <w:spacing w:val="-6"/>
              </w:rPr>
              <w:t xml:space="preserve"> vyjádření let 1991 a 1992 méně prudký než na Slovensku -  v roce 1991 klesl o desetinu, v roce 1992 o další dvě procenta. Mírnější byl v České republice oproti SR v roce 1991 také pokles v zahraničním obchodě (-13,3 % export a -31 % import) stejně jako ve výdajích vládních institucí, kde byl rozsah poklesu jen asi třetinový (-5,3 %). Naopak hlouběji než na Slovensku klesly v ČR fixní investice – až o čtvrtinu (-</w:t>
            </w:r>
            <w:r w:rsidRPr="00997EEB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24,6 %) zatímco na Slovensku o 17,7 %. </w:t>
            </w:r>
          </w:p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</w:tc>
      </w:tr>
      <w:tr w:rsidR="0008794F" w:rsidRPr="00997EEB" w:rsidTr="003D78A5">
        <w:tc>
          <w:tcPr>
            <w:tcW w:w="1042" w:type="pct"/>
          </w:tcPr>
          <w:p w:rsidR="0008794F" w:rsidRPr="00602D1D" w:rsidRDefault="0008794F" w:rsidP="007E07B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 protože už v roce 1992 se objevily ve většině položek výdajů na HDP meziroční růsty - výjimkou byl zahraniční obchod, když slovenský export i import stoupl oproti ČR rychleji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Rok 1992 v Č</w:t>
            </w:r>
            <w:r w:rsidR="000B6162">
              <w:rPr>
                <w:color w:val="000000"/>
                <w:spacing w:val="-6"/>
              </w:rPr>
              <w:t>R</w:t>
            </w:r>
            <w:r>
              <w:rPr>
                <w:color w:val="000000"/>
                <w:spacing w:val="-6"/>
              </w:rPr>
              <w:t xml:space="preserve"> však již ukázal ve struktuře výdajů na HDP opětovné meziroční růsty</w:t>
            </w:r>
            <w:r w:rsidRPr="00997EEB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s výjimkou pokračujícího snižování dovozů a snižování zásob, které ukazovalo na velmi křehkou poptávku. Navíc meziroční přírůstky spotřeby a investic, ale i exportu, byly ovlivněny velmi nízkou srovnávací základnou roku 1991 - výdaje domácností na konečnou spotřebu v ČR stouply o 4,5 % ve srovnání s meziročním propadem v roce 1991 o 17,8 %, obdobně výdaje vládních institucí s +4,6 % proti -5,3 % v roce 1991. </w:t>
            </w:r>
          </w:p>
          <w:p w:rsidR="0008794F" w:rsidRPr="003D78A5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997EEB" w:rsidTr="003D78A5">
        <w:tc>
          <w:tcPr>
            <w:tcW w:w="1042" w:type="pct"/>
          </w:tcPr>
          <w:p w:rsidR="0008794F" w:rsidRPr="00602D1D" w:rsidRDefault="0008794F" w:rsidP="00BE689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Nejen vývoj fixních investic…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Nízké srovnávací základně lze připsat i opětovný návrat k růstu fixních investic v České republice, na rozdíl od Slovenska, kde ještě i v roce 1992 pokračoval jejich meziroční pokles. </w:t>
            </w:r>
          </w:p>
          <w:p w:rsidR="0008794F" w:rsidRPr="003D78A5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224FEF">
        <w:tc>
          <w:tcPr>
            <w:tcW w:w="1042" w:type="pct"/>
          </w:tcPr>
          <w:p w:rsidR="0008794F" w:rsidRPr="00602D1D" w:rsidRDefault="0008794F" w:rsidP="000B61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… ale i dalších položek výdajů na HDP ukázaly, že transformační „šoková terapie“ měla </w:t>
            </w:r>
            <w:r w:rsidR="000B6162">
              <w:rPr>
                <w:color w:val="000000"/>
                <w:sz w:val="16"/>
                <w:szCs w:val="16"/>
              </w:rPr>
              <w:t>vyšší účinek</w:t>
            </w:r>
            <w:r>
              <w:rPr>
                <w:color w:val="000000"/>
                <w:sz w:val="16"/>
                <w:szCs w:val="16"/>
              </w:rPr>
              <w:t xml:space="preserve"> v ČR než v SR</w:t>
            </w:r>
          </w:p>
        </w:tc>
        <w:tc>
          <w:tcPr>
            <w:tcW w:w="139" w:type="pct"/>
          </w:tcPr>
          <w:p w:rsidR="0008794F" w:rsidRDefault="0008794F" w:rsidP="00302F1B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302F1B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„Léčba šokem“- bráno jen podle výsledků výdajové strany HDP v letech 1991 a 1992 - tedy České republice „prospěla“ více než Slovensku. Návraty k růstu ekonomiky byly u většiny složek výdajové strany HDP ČR rychlejší. Stejně tak pokračující pokles HDP byl v ČR v roce 1992 oproti Slovensku mírnější.  </w:t>
            </w:r>
          </w:p>
          <w:p w:rsidR="0008794F" w:rsidRPr="00124ABC" w:rsidRDefault="0008794F" w:rsidP="00302F1B">
            <w:pPr>
              <w:pStyle w:val="Textpoznpodarou"/>
              <w:jc w:val="both"/>
              <w:rPr>
                <w:color w:val="000000"/>
                <w:spacing w:val="-6"/>
                <w:sz w:val="4"/>
                <w:szCs w:val="4"/>
              </w:rPr>
            </w:pPr>
          </w:p>
        </w:tc>
      </w:tr>
    </w:tbl>
    <w:p w:rsidR="0008794F" w:rsidRDefault="0008794F" w:rsidP="007039D1">
      <w:pPr>
        <w:rPr>
          <w:b/>
          <w:sz w:val="24"/>
        </w:rPr>
      </w:pPr>
    </w:p>
    <w:p w:rsidR="0008794F" w:rsidRPr="00124ABC" w:rsidRDefault="0008794F" w:rsidP="007039D1">
      <w:pPr>
        <w:rPr>
          <w:b/>
          <w:sz w:val="26"/>
          <w:szCs w:val="26"/>
        </w:rPr>
      </w:pPr>
      <w:r w:rsidRPr="00124ABC">
        <w:rPr>
          <w:b/>
          <w:sz w:val="26"/>
          <w:szCs w:val="26"/>
        </w:rPr>
        <w:t xml:space="preserve">3.2. Srovnání vývoje ČR a SR po vzniku samostatných států do roku 1997  </w:t>
      </w:r>
    </w:p>
    <w:p w:rsidR="0008794F" w:rsidRDefault="0008794F" w:rsidP="00D34225"/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997EEB" w:rsidTr="001F5FA8">
        <w:tc>
          <w:tcPr>
            <w:tcW w:w="1042" w:type="pct"/>
          </w:tcPr>
          <w:p w:rsidR="0008794F" w:rsidRPr="00602D1D" w:rsidRDefault="0008794F" w:rsidP="001F5FA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Transformační propad ekonomiky trval v ČR šest let, na Slovensku osm let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Délka transformačního propadu byla delší na Slovensku, než v České republice. Ekonomika ČR dosáhla úrovně HDP z roku 1990 v roce 1996 (index 102,0 reálně při 1990=100)</w:t>
            </w:r>
            <w:r w:rsidR="00044171">
              <w:rPr>
                <w:color w:val="000000"/>
                <w:spacing w:val="-6"/>
              </w:rPr>
              <w:t>. T</w:t>
            </w:r>
            <w:r>
              <w:rPr>
                <w:color w:val="000000"/>
                <w:spacing w:val="-6"/>
              </w:rPr>
              <w:t xml:space="preserve">o se </w:t>
            </w:r>
            <w:r w:rsidR="000B6162">
              <w:rPr>
                <w:color w:val="000000"/>
                <w:spacing w:val="-6"/>
              </w:rPr>
              <w:t xml:space="preserve">sice </w:t>
            </w:r>
            <w:r>
              <w:rPr>
                <w:color w:val="000000"/>
                <w:spacing w:val="-6"/>
              </w:rPr>
              <w:t>zdá být doba relativně dlouhá</w:t>
            </w:r>
            <w:r w:rsidR="00044171">
              <w:rPr>
                <w:color w:val="000000"/>
                <w:spacing w:val="-6"/>
              </w:rPr>
              <w:t>, o</w:t>
            </w:r>
            <w:r>
              <w:rPr>
                <w:color w:val="000000"/>
                <w:spacing w:val="-6"/>
              </w:rPr>
              <w:t xml:space="preserve">všem Slovensku trvalo ještě další dva roky, než se mu v roce 1998 podařilo přesáhnout úroveň </w:t>
            </w:r>
            <w:r w:rsidR="000B6162">
              <w:rPr>
                <w:color w:val="000000"/>
                <w:spacing w:val="-6"/>
              </w:rPr>
              <w:t xml:space="preserve">svého </w:t>
            </w:r>
            <w:r>
              <w:rPr>
                <w:color w:val="000000"/>
                <w:spacing w:val="-6"/>
              </w:rPr>
              <w:t xml:space="preserve">HDP z roku 1990 (index 102,5 reálně při 1990=100). </w:t>
            </w:r>
          </w:p>
          <w:p w:rsidR="0008794F" w:rsidRPr="00C5552E" w:rsidRDefault="0008794F" w:rsidP="001F5FA8">
            <w:pPr>
              <w:pStyle w:val="Textpoznpodarou"/>
              <w:jc w:val="both"/>
              <w:rPr>
                <w:color w:val="000000"/>
                <w:spacing w:val="-6"/>
                <w:sz w:val="10"/>
                <w:szCs w:val="10"/>
              </w:rPr>
            </w:pPr>
          </w:p>
          <w:p w:rsidR="0008794F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Stejná proporce pokud jde o překonávání transformačního propadu platila i pro výkonnost měřenou podle hrubé přidané hodnoty (v ČR v roce 1996 index 101,4 reálně, na Slovensku byla úroveň roku 1990 překonán</w:t>
            </w:r>
            <w:r w:rsidR="000B6162">
              <w:rPr>
                <w:color w:val="000000"/>
                <w:spacing w:val="-6"/>
              </w:rPr>
              <w:t>a</w:t>
            </w:r>
            <w:r>
              <w:rPr>
                <w:color w:val="000000"/>
                <w:spacing w:val="-6"/>
              </w:rPr>
              <w:t xml:space="preserve"> </w:t>
            </w:r>
            <w:r w:rsidR="000B6162">
              <w:rPr>
                <w:color w:val="000000"/>
                <w:spacing w:val="-6"/>
              </w:rPr>
              <w:t xml:space="preserve">až </w:t>
            </w:r>
            <w:r>
              <w:rPr>
                <w:color w:val="000000"/>
                <w:spacing w:val="-6"/>
              </w:rPr>
              <w:t>v roce 1998 s </w:t>
            </w:r>
            <w:proofErr w:type="gramStart"/>
            <w:r>
              <w:rPr>
                <w:color w:val="000000"/>
                <w:spacing w:val="-6"/>
              </w:rPr>
              <w:t>indexem  hrubé</w:t>
            </w:r>
            <w:proofErr w:type="gramEnd"/>
            <w:r>
              <w:rPr>
                <w:color w:val="000000"/>
                <w:spacing w:val="-6"/>
              </w:rPr>
              <w:t xml:space="preserve"> přidané hodnoty 102,0).  </w:t>
            </w:r>
          </w:p>
          <w:p w:rsidR="0008794F" w:rsidRPr="00997EEB" w:rsidRDefault="0008794F" w:rsidP="007673B7">
            <w:pPr>
              <w:pStyle w:val="Textpoznpodarou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</w:tc>
      </w:tr>
      <w:tr w:rsidR="0008794F" w:rsidRPr="003D78A5" w:rsidTr="001F5FA8">
        <w:tc>
          <w:tcPr>
            <w:tcW w:w="1042" w:type="pct"/>
          </w:tcPr>
          <w:p w:rsidR="0008794F" w:rsidRPr="00602D1D" w:rsidRDefault="0008794F" w:rsidP="001F5FA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 Slovensku byla materiální kvalita života domácností podle jejich výdajů na konečnou sp</w:t>
            </w:r>
            <w:r w:rsidR="000B6162">
              <w:rPr>
                <w:color w:val="000000"/>
                <w:sz w:val="16"/>
                <w:szCs w:val="16"/>
              </w:rPr>
              <w:t xml:space="preserve">otřebu nad úrovní roku 1990 až po dvanácti letech, v ČR </w:t>
            </w:r>
            <w:r>
              <w:rPr>
                <w:color w:val="000000"/>
                <w:sz w:val="16"/>
                <w:szCs w:val="16"/>
              </w:rPr>
              <w:t xml:space="preserve">po šesti letech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Slovenské domácnosti trpěly transformací více než české, měříme-li věc podle doby, po kterou trval transformační propad jejich výdajů na konečnou spotřebu. V České republice byly proti roku 1990 výdaje domácností poprvé vyšší v roce 1996 (index 101,3). Ovšem na Slovensku se materiální kvalita života domácností měřená jejich výdaji na konečnou spotřebu dostala nad úroveň roku 1990 poprvé až v roce 2002 (!) s indexem 102,3. Transformační propad takto vyjádřené životní úrovně trval v SR dlouhých dvanáct let, v České republice pak šest let. </w:t>
            </w:r>
            <w:r w:rsidRPr="00997EEB">
              <w:rPr>
                <w:color w:val="000000"/>
                <w:spacing w:val="-6"/>
              </w:rPr>
              <w:t xml:space="preserve"> </w:t>
            </w:r>
          </w:p>
          <w:p w:rsidR="0008794F" w:rsidRPr="003D78A5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1F5FA8">
        <w:tc>
          <w:tcPr>
            <w:tcW w:w="1042" w:type="pct"/>
          </w:tcPr>
          <w:p w:rsidR="0008794F" w:rsidRPr="00602D1D" w:rsidRDefault="0008794F" w:rsidP="00BE689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Slovensko i Českou republiku táhl ve výkonnosti po roce 1992 především export a import zboží a služeb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Obdobně později oproti ČR </w:t>
            </w:r>
            <w:r w:rsidR="00044171">
              <w:rPr>
                <w:color w:val="000000"/>
                <w:spacing w:val="-6"/>
              </w:rPr>
              <w:t>zahájily</w:t>
            </w:r>
            <w:r>
              <w:rPr>
                <w:color w:val="000000"/>
                <w:spacing w:val="-6"/>
              </w:rPr>
              <w:t xml:space="preserve"> na Slovensku</w:t>
            </w:r>
            <w:r w:rsidR="00044171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růstovou trajektorii další složky výdajů na HDP po propadech z počátku 90. let. Obě ekonomiky byly taženy vzhůru dynamikou zahraničního obchodu (graf 12), ovšem vzhledem k nižšímu podílu čistého exportu ve struktuře HDP mají v obou ekonomikách vyšší váhu výdaje na konečnou spotřebu.  Jejich dynamika v kumulacích s bází roku 1990 sledovala v ČR od roku 1992 do roku 1996 velmi těsně dynamiku HDP, na Slovensku byla zřetelně pod jeho úrovní</w:t>
            </w:r>
            <w:r w:rsidR="00044171">
              <w:rPr>
                <w:color w:val="000000"/>
                <w:spacing w:val="-6"/>
              </w:rPr>
              <w:t>. V</w:t>
            </w:r>
            <w:r>
              <w:rPr>
                <w:color w:val="000000"/>
                <w:spacing w:val="-6"/>
              </w:rPr>
              <w:t xml:space="preserve">ýdaje vládních institucí se totiž dostaly na úroveň roku 1990 až v roce 1996, zatímco v ČR se jejich propad zastavil už v roce1993.    </w:t>
            </w:r>
          </w:p>
          <w:p w:rsidR="0008794F" w:rsidRPr="003D78A5" w:rsidRDefault="0008794F" w:rsidP="001F5F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0262EF">
        <w:tc>
          <w:tcPr>
            <w:tcW w:w="1042" w:type="pct"/>
          </w:tcPr>
          <w:p w:rsidR="0008794F" w:rsidRPr="00602D1D" w:rsidRDefault="0008794F" w:rsidP="00BE6898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 roku 1995 zasahoval slovenskou ekonomiku negativně úbytek investic, zejména investic do zásob, tvorba hrubého kapi</w:t>
            </w:r>
            <w:r w:rsidR="000B6162">
              <w:rPr>
                <w:color w:val="000000"/>
                <w:sz w:val="16"/>
                <w:szCs w:val="16"/>
              </w:rPr>
              <w:t>tálu byla vyšší oproti základně</w:t>
            </w:r>
            <w:r>
              <w:rPr>
                <w:color w:val="000000"/>
                <w:sz w:val="16"/>
                <w:szCs w:val="16"/>
              </w:rPr>
              <w:t xml:space="preserve"> roku 1990 až teprve v roce 1996 - v ČR už v roce 1994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E21367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Z podstaty velmi </w:t>
            </w:r>
            <w:proofErr w:type="spellStart"/>
            <w:r>
              <w:rPr>
                <w:color w:val="000000"/>
                <w:spacing w:val="-6"/>
              </w:rPr>
              <w:t>volatilní</w:t>
            </w:r>
            <w:proofErr w:type="spellEnd"/>
            <w:r>
              <w:rPr>
                <w:color w:val="000000"/>
                <w:spacing w:val="-6"/>
              </w:rPr>
              <w:t xml:space="preserve"> vývoj investic do fixních aktiv, ale zejména do zásob, zasáhl do poloviny 90. let negativním způsobem více ekonomiku Slovenské republiky. Docházelo zejména k velkým úbytkům zásob, neboť tvorba hrubého kapitálu jako celek (investice do fixních aktiv a do zásob) činila v SR období 1991-1995 v jednotlivých letech jen polovinu až tři čtvrtiny úrovně roku 1990. </w:t>
            </w:r>
          </w:p>
          <w:p w:rsidR="0008794F" w:rsidRPr="00C5552E" w:rsidRDefault="0008794F" w:rsidP="00E21367">
            <w:pPr>
              <w:pStyle w:val="Textpoznpodarou"/>
              <w:jc w:val="both"/>
              <w:rPr>
                <w:color w:val="000000"/>
                <w:spacing w:val="-6"/>
                <w:sz w:val="10"/>
                <w:szCs w:val="10"/>
              </w:rPr>
            </w:pPr>
          </w:p>
          <w:p w:rsidR="0008794F" w:rsidRDefault="0008794F" w:rsidP="00E21367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V České republice byl propad rovněž značný, ovšem relativně brzy, už v roce 1994, přišlo oživení a tvorba hrubého kapitálu přesáhla úroveň 1990. Na Slovensku k tomu došlo až v roce 1996.  </w:t>
            </w:r>
          </w:p>
          <w:p w:rsidR="0008794F" w:rsidRPr="003D78A5" w:rsidRDefault="0008794F" w:rsidP="00CE11A9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0262EF">
        <w:tc>
          <w:tcPr>
            <w:tcW w:w="1042" w:type="pct"/>
          </w:tcPr>
          <w:p w:rsidR="0008794F" w:rsidRPr="00602D1D" w:rsidRDefault="0008794F" w:rsidP="00C5552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Později, v letech 1994-1997, vykázala ČR kumulativní růst tvorby hrubého kapitálu, zatímco SR pokles </w:t>
            </w:r>
          </w:p>
        </w:tc>
        <w:tc>
          <w:tcPr>
            <w:tcW w:w="139" w:type="pct"/>
          </w:tcPr>
          <w:p w:rsidR="0008794F" w:rsidRDefault="0008794F" w:rsidP="001F5FA8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CE11A9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Průměrné kumulativní růsty investic do fixních aktiv a do zásob v ČR za období 1994-1997 představovaly ročně až čtvrtinu (+24,8 %), zatímco na Slovensku šlo naproti tomu o významný až desetinový pokles (-9,7 %). V SR stál za tímto relativně dlouhým nepříznivým vývojových obdobím především přetrvávající pokles zásob, neboť samotná tvorba hrubého fixního kapitálu v tomto pojetí průměrných kumulativních růstu za období 1994-1997 dosahovala +5,3 %.      </w:t>
            </w:r>
            <w:r w:rsidRPr="00997EEB">
              <w:rPr>
                <w:color w:val="000000"/>
                <w:spacing w:val="-6"/>
              </w:rPr>
              <w:t xml:space="preserve"> </w:t>
            </w:r>
          </w:p>
          <w:p w:rsidR="0008794F" w:rsidRPr="003D78A5" w:rsidRDefault="0008794F" w:rsidP="006F4A60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E11A9">
        <w:tc>
          <w:tcPr>
            <w:tcW w:w="1042" w:type="pct"/>
          </w:tcPr>
          <w:p w:rsidR="0008794F" w:rsidRPr="00602D1D" w:rsidRDefault="0008794F" w:rsidP="00044171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Slovensko bylo </w:t>
            </w:r>
            <w:r w:rsidR="00044171">
              <w:rPr>
                <w:color w:val="000000"/>
                <w:sz w:val="16"/>
                <w:szCs w:val="16"/>
              </w:rPr>
              <w:t>zasaženo</w:t>
            </w:r>
            <w:r>
              <w:rPr>
                <w:color w:val="000000"/>
                <w:sz w:val="16"/>
                <w:szCs w:val="16"/>
              </w:rPr>
              <w:t xml:space="preserve"> transformací své ekonomiky k tržnímu prostředí tvrději, než Česká republika… </w:t>
            </w:r>
          </w:p>
        </w:tc>
        <w:tc>
          <w:tcPr>
            <w:tcW w:w="139" w:type="pct"/>
          </w:tcPr>
          <w:p w:rsidR="0008794F" w:rsidRDefault="0008794F" w:rsidP="001045E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1045E3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V </w:t>
            </w:r>
            <w:r w:rsidR="00F36F92">
              <w:rPr>
                <w:color w:val="000000"/>
                <w:spacing w:val="-6"/>
              </w:rPr>
              <w:t>úhrnu tak lze říci, že Slovensko</w:t>
            </w:r>
            <w:r>
              <w:rPr>
                <w:color w:val="000000"/>
                <w:spacing w:val="-6"/>
              </w:rPr>
              <w:t xml:space="preserve"> utrpělo co do propadů své ekonomiky po roce 1990 významně více než Č</w:t>
            </w:r>
            <w:r w:rsidR="00F36F92">
              <w:rPr>
                <w:color w:val="000000"/>
                <w:spacing w:val="-6"/>
              </w:rPr>
              <w:t>R</w:t>
            </w:r>
            <w:r>
              <w:rPr>
                <w:color w:val="000000"/>
                <w:spacing w:val="-6"/>
              </w:rPr>
              <w:t>. K návratu na růstovou trajektorii došlo později - HDP v reálném vyjádření přesáhl úroveň roku 1990, kdy bylo Slovensko ještě součástí federace s CR, až v roce 1998, zatímco Česká republika již v roce 1996</w:t>
            </w:r>
            <w:r w:rsidR="000B6162">
              <w:rPr>
                <w:color w:val="000000"/>
                <w:spacing w:val="-6"/>
              </w:rPr>
              <w:t>, jak bylo zmíněno</w:t>
            </w:r>
            <w:r>
              <w:rPr>
                <w:color w:val="000000"/>
                <w:spacing w:val="-6"/>
              </w:rPr>
              <w:t xml:space="preserve">. </w:t>
            </w:r>
            <w:r w:rsidRPr="00997EEB">
              <w:rPr>
                <w:color w:val="000000"/>
                <w:spacing w:val="-6"/>
              </w:rPr>
              <w:t xml:space="preserve"> </w:t>
            </w:r>
          </w:p>
          <w:p w:rsidR="0008794F" w:rsidRPr="003D78A5" w:rsidRDefault="0008794F" w:rsidP="006F4A60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E11A9">
        <w:tc>
          <w:tcPr>
            <w:tcW w:w="1042" w:type="pct"/>
          </w:tcPr>
          <w:p w:rsidR="0008794F" w:rsidRDefault="0008794F" w:rsidP="00255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… jak vlivem pomalejšího oživení investic… </w:t>
            </w:r>
          </w:p>
        </w:tc>
        <w:tc>
          <w:tcPr>
            <w:tcW w:w="139" w:type="pct"/>
          </w:tcPr>
          <w:p w:rsidR="0008794F" w:rsidRDefault="0008794F" w:rsidP="001045E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6F4A60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O dva roky déle oproti České republice čekalo v transformačním období Slovensko také na oživení investic do fixních aktiv a zásob (1996 proti 1994 v ČR). Pokud je o samotné fixní investice, činil rozdíl pouhý rok. Česká ekonomika totiž co se týká překonání úrovně </w:t>
            </w:r>
            <w:proofErr w:type="spellStart"/>
            <w:r>
              <w:rPr>
                <w:color w:val="000000"/>
                <w:spacing w:val="-6"/>
              </w:rPr>
              <w:t>nainvestovaných</w:t>
            </w:r>
            <w:proofErr w:type="spellEnd"/>
            <w:r>
              <w:rPr>
                <w:color w:val="000000"/>
                <w:spacing w:val="-6"/>
              </w:rPr>
              <w:t xml:space="preserve"> objemů peněz do fixních aktiv převýšila úroveň z roku 1990 nikoli už v roce 1994, jako to platilo pro tvorbu hrubého kapitá</w:t>
            </w:r>
            <w:r w:rsidR="00F36F92">
              <w:rPr>
                <w:color w:val="000000"/>
                <w:spacing w:val="-6"/>
              </w:rPr>
              <w:t>lu, ale až v roce 1995 (i když velmi silným</w:t>
            </w:r>
            <w:r>
              <w:rPr>
                <w:color w:val="000000"/>
                <w:spacing w:val="-6"/>
              </w:rPr>
              <w:t xml:space="preserve"> meziročním růstem o 23,3 %, což představovalo proti bázi roku 1990 přírůstek 22,9 %). </w:t>
            </w:r>
          </w:p>
          <w:p w:rsidR="0008794F" w:rsidRDefault="0008794F" w:rsidP="001045E3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E11A9">
        <w:tc>
          <w:tcPr>
            <w:tcW w:w="1042" w:type="pct"/>
          </w:tcPr>
          <w:p w:rsidR="0008794F" w:rsidRDefault="0008794F" w:rsidP="002550D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…tak i zahraničního obchodu se zbožím a službami, jehož dynamiku v ČR nezpomalila ani recese po měnové krizi v letech 1997 a 1998</w:t>
            </w:r>
          </w:p>
        </w:tc>
        <w:tc>
          <w:tcPr>
            <w:tcW w:w="139" w:type="pct"/>
          </w:tcPr>
          <w:p w:rsidR="0008794F" w:rsidRDefault="0008794F" w:rsidP="001045E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2550D9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Také v zahraničním obchodě se zbožím a službami byl nástup oživení na Slovensku mírně pomalejší</w:t>
            </w:r>
            <w:r w:rsidR="004C5160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 xml:space="preserve"> než tomu bylo v České republice. ČR velmi úspěšně překonala nálepku země exportující především na tzv. „měkké východní trhy“ a přeorient</w:t>
            </w:r>
            <w:r w:rsidR="00044171">
              <w:rPr>
                <w:color w:val="000000"/>
                <w:spacing w:val="-6"/>
              </w:rPr>
              <w:t>ování</w:t>
            </w:r>
            <w:r>
              <w:rPr>
                <w:color w:val="000000"/>
                <w:spacing w:val="-6"/>
              </w:rPr>
              <w:t xml:space="preserve"> vývozu zboží do západních zemí Evropy proběhla v 90. letech relativně rychle. I když bez hlubší teritoriální analýzy nelze doložit v této studii, kdy přesně k tomu začalo docházet, zůstává faktem, že už v roce 1993, tedy po rozpadu federace, byl objem exportu z České republiky reálně nad úrovní roku 1990 (+8,8 %). Dokonce i v letech recese po měnové krizi, tj. 1997 a 1998, neklesaly meziročně objemy vývozu, ale ani dovozu zboží a služeb do České republiky, přestože tato recese oslabila domácí poptávku (meziroční přírůstky toků zboží a služeb v těchto letech pouze zpomalily). </w:t>
            </w:r>
          </w:p>
          <w:p w:rsidR="0008794F" w:rsidRDefault="0008794F" w:rsidP="006F4A60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E11A9">
        <w:tc>
          <w:tcPr>
            <w:tcW w:w="1042" w:type="pct"/>
          </w:tcPr>
          <w:p w:rsidR="0008794F" w:rsidRDefault="0008794F" w:rsidP="00C9382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Příčinou toho, že toky zboží služeb na Slovensko dosáhly úrovně roku 1990 až po šesti letech transformace, byl především jejich meziroční propad na polovinu už v roce 1991; exporty meziročně ožily v ČR i SR již v roce 1992  </w:t>
            </w:r>
          </w:p>
        </w:tc>
        <w:tc>
          <w:tcPr>
            <w:tcW w:w="139" w:type="pct"/>
          </w:tcPr>
          <w:p w:rsidR="0008794F" w:rsidRDefault="0008794F" w:rsidP="001045E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BB502A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Na Slovensku oproti ČR překonal export zboží a služeb úroveň roku 1990 v roce 1994, tedy o rok později než v ČR. I to však lze pokládat za úspěch, neboť země „doplácela“ (významně i z pohledu zaměstnanosti) na podstatnou redukci důležitých exportních odvětví (zbrojní průmysl na středním Slovensku). Objem dovozů zboží a služeb na Slovensko překonal úroveň z roku 1990 až v roce 1996, o celé čtyři roky později než tomu bylo v ČR. Je však nutné přiznat, že příčinou nebyla přetrvávající nízká domácí poptávka po dovozech. Vývoj totiž ovlivnil především velmi prudký propad </w:t>
            </w:r>
            <w:r w:rsidR="00EC5F73">
              <w:rPr>
                <w:color w:val="000000"/>
                <w:spacing w:val="-6"/>
              </w:rPr>
              <w:t>dovozů v roce</w:t>
            </w:r>
            <w:r>
              <w:rPr>
                <w:color w:val="000000"/>
                <w:spacing w:val="-6"/>
              </w:rPr>
              <w:t xml:space="preserve"> 1991 (na téměř polovinu s indexem 52,5). Meziročně totiž objemy dovozů na Slovensku začaly růst už v roce 1992, tedy stejně jako tomu bylo v České republice.</w:t>
            </w:r>
          </w:p>
          <w:p w:rsidR="0008794F" w:rsidRDefault="0008794F" w:rsidP="002550D9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Default="0008794F" w:rsidP="00D34225">
      <w:r w:rsidRPr="00CE11A9">
        <w:rPr>
          <w:b/>
        </w:rPr>
        <w:t>Graf 1</w:t>
      </w:r>
      <w:r>
        <w:rPr>
          <w:b/>
        </w:rPr>
        <w:t>3</w:t>
      </w:r>
      <w:r w:rsidRPr="00CE11A9">
        <w:rPr>
          <w:b/>
        </w:rPr>
        <w:t xml:space="preserve">: Vývoj HDP a jeho hlavních složek v České republice a na Slovensku v letech 1990-2004 </w:t>
      </w:r>
      <w:r>
        <w:t>(1990=100)</w:t>
      </w:r>
    </w:p>
    <w:p w:rsidR="0008794F" w:rsidRDefault="00473823" w:rsidP="0015532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183.75pt">
            <v:imagedata r:id="rId8" o:title=""/>
          </v:shape>
        </w:pict>
      </w:r>
    </w:p>
    <w:p w:rsidR="0008794F" w:rsidRDefault="0008794F" w:rsidP="003E7419">
      <w:pPr>
        <w:jc w:val="right"/>
        <w:rPr>
          <w:sz w:val="18"/>
          <w:szCs w:val="18"/>
        </w:rPr>
      </w:pPr>
      <w:r w:rsidRPr="00CE11A9">
        <w:rPr>
          <w:sz w:val="18"/>
          <w:szCs w:val="18"/>
        </w:rPr>
        <w:t>Pramen: Historická ročenka národních účtů</w:t>
      </w:r>
    </w:p>
    <w:p w:rsidR="0008794F" w:rsidRDefault="0008794F" w:rsidP="00124ABC">
      <w:pPr>
        <w:jc w:val="both"/>
        <w:rPr>
          <w:sz w:val="18"/>
          <w:szCs w:val="18"/>
        </w:rPr>
      </w:pPr>
    </w:p>
    <w:p w:rsidR="0008794F" w:rsidRPr="00473823" w:rsidRDefault="0008794F" w:rsidP="007E07B7">
      <w:pPr>
        <w:rPr>
          <w:b/>
          <w:sz w:val="24"/>
        </w:rPr>
      </w:pPr>
      <w:r w:rsidRPr="00473823">
        <w:rPr>
          <w:b/>
          <w:sz w:val="24"/>
        </w:rPr>
        <w:t>3.2.1. Inflační vliv působící na spotřebu domácností</w:t>
      </w:r>
    </w:p>
    <w:p w:rsidR="0008794F" w:rsidRPr="003E7419" w:rsidRDefault="0008794F" w:rsidP="007E07B7">
      <w:pPr>
        <w:jc w:val="both"/>
        <w:rPr>
          <w:sz w:val="18"/>
          <w:szCs w:val="18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254196">
        <w:tc>
          <w:tcPr>
            <w:tcW w:w="1042" w:type="pct"/>
          </w:tcPr>
          <w:p w:rsidR="0008794F" w:rsidRPr="00602D1D" w:rsidRDefault="0008794F" w:rsidP="0025419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„Nejbolestivější“ byl průběh transformace pro slovenské domácnosti – jejich výdaje na konečnou spotřebu překonaly úroveň roku 1990 až po dvanácti letech, zatímco v ČR po šesti letech  </w:t>
            </w:r>
          </w:p>
        </w:tc>
        <w:tc>
          <w:tcPr>
            <w:tcW w:w="139" w:type="pct"/>
          </w:tcPr>
          <w:p w:rsidR="0008794F" w:rsidRDefault="0008794F" w:rsidP="0025419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3D78A5" w:rsidRDefault="0008794F" w:rsidP="00F36F92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Slovenské domácnosti spotřebovávaly od roku 1991 do roku 2001 ve srovnání s rokem 1990</w:t>
            </w:r>
            <w:r w:rsidR="00F36F92">
              <w:rPr>
                <w:color w:val="000000"/>
                <w:spacing w:val="-6"/>
              </w:rPr>
              <w:t xml:space="preserve"> každoročně méně</w:t>
            </w:r>
            <w:r>
              <w:rPr>
                <w:color w:val="000000"/>
                <w:spacing w:val="-6"/>
              </w:rPr>
              <w:t xml:space="preserve">. Teprve v roce 2002, po dvanácti letech, jejich výdaje na konečnou spotřebu převýšily výdaje bazického roku. V České republice k tomu došlo již v roce 1996. Opět, jako u několika dalších ukazatelů, je nepříznivý vývoj na Slovensku možné připsat, hlubokému propadu v roce 1991 (o čtvrtinu), který však nebyl dramaticky horší než v ČR (-24 % proti -17,8 % v České republice). Ovšem jestliže v roce 1996 v ČR poprvé převýšily výdaje domácností na konečnou spotřebu úroveň roku 1990, pak na Slovensku byly stále ještě o 22 % nižší. Pod úrovní roku 1990 končily neustále, až do </w:t>
            </w:r>
            <w:r>
              <w:rPr>
                <w:color w:val="000000"/>
                <w:spacing w:val="-6"/>
              </w:rPr>
              <w:lastRenderedPageBreak/>
              <w:t xml:space="preserve">roku 2002 i přesto, že během tohoto dlouhého období celkem v šesti letech vykazovaly meziroční přírůstky. Ty však byly příliš slabé na to, aby stačily vykompenzovat roky meziročních poklesů či stagnace a čtvrtinový propad z roku 1991. </w:t>
            </w:r>
          </w:p>
        </w:tc>
      </w:tr>
    </w:tbl>
    <w:p w:rsidR="0008794F" w:rsidRPr="004B5763" w:rsidRDefault="0008794F" w:rsidP="00D34225">
      <w:pPr>
        <w:rPr>
          <w:b/>
          <w:sz w:val="12"/>
          <w:szCs w:val="12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827"/>
        <w:gridCol w:w="3963"/>
        <w:gridCol w:w="838"/>
        <w:gridCol w:w="4066"/>
      </w:tblGrid>
      <w:tr w:rsidR="0008794F" w:rsidRPr="00817C98" w:rsidTr="001045E3">
        <w:tc>
          <w:tcPr>
            <w:tcW w:w="427" w:type="pct"/>
          </w:tcPr>
          <w:p w:rsidR="0008794F" w:rsidRDefault="0008794F" w:rsidP="00AF5175">
            <w:pPr>
              <w:spacing w:line="240" w:lineRule="auto"/>
            </w:pPr>
            <w:r>
              <w:t>Graf 14</w:t>
            </w:r>
          </w:p>
        </w:tc>
        <w:tc>
          <w:tcPr>
            <w:tcW w:w="2044" w:type="pct"/>
          </w:tcPr>
          <w:p w:rsidR="0008794F" w:rsidRDefault="0008794F" w:rsidP="000F7C11">
            <w:pPr>
              <w:pStyle w:val="Textpoznpodarou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 xml:space="preserve">Vývoj cen spotřebitelských cen </w:t>
            </w:r>
            <w:r w:rsidRPr="000F7C11">
              <w:rPr>
                <w:rFonts w:cs="Arial"/>
                <w:bCs/>
              </w:rPr>
              <w:t>(HICP celkem, y/y</w:t>
            </w:r>
            <w:r>
              <w:rPr>
                <w:rFonts w:cs="Arial"/>
                <w:bCs/>
              </w:rPr>
              <w:t xml:space="preserve"> </w:t>
            </w:r>
            <w:r w:rsidRPr="000F7C11">
              <w:rPr>
                <w:rFonts w:cs="Arial"/>
                <w:bCs/>
              </w:rPr>
              <w:t>v %)</w:t>
            </w:r>
          </w:p>
        </w:tc>
        <w:tc>
          <w:tcPr>
            <w:tcW w:w="432" w:type="pct"/>
          </w:tcPr>
          <w:p w:rsidR="0008794F" w:rsidRDefault="0008794F" w:rsidP="00AF5175">
            <w:pPr>
              <w:spacing w:line="240" w:lineRule="auto"/>
            </w:pPr>
            <w:r>
              <w:t>Graf 15</w:t>
            </w:r>
          </w:p>
        </w:tc>
        <w:tc>
          <w:tcPr>
            <w:tcW w:w="2097" w:type="pct"/>
          </w:tcPr>
          <w:p w:rsidR="0008794F" w:rsidRPr="00817C98" w:rsidRDefault="0008794F" w:rsidP="000F7C11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Vývoj cen energii </w:t>
            </w:r>
            <w:r w:rsidRPr="000F7C11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elektřina, plyn, ostatní paliva; HICP, 2005=100</w:t>
            </w:r>
            <w:r w:rsidRPr="00BE1C59">
              <w:rPr>
                <w:rFonts w:cs="Arial"/>
                <w:bCs/>
              </w:rPr>
              <w:t xml:space="preserve"> </w:t>
            </w:r>
          </w:p>
        </w:tc>
      </w:tr>
      <w:tr w:rsidR="0008794F" w:rsidRPr="00C81DE5" w:rsidTr="001045E3">
        <w:tc>
          <w:tcPr>
            <w:tcW w:w="2471" w:type="pct"/>
            <w:gridSpan w:val="2"/>
          </w:tcPr>
          <w:p w:rsidR="0008794F" w:rsidRPr="00DA43AC" w:rsidRDefault="00473823" w:rsidP="001045E3">
            <w:pPr>
              <w:pStyle w:val="Textpoznpodarou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225pt;height:18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">
                  <v:imagedata r:id="rId9" o:title=""/>
                  <o:lock v:ext="edit" aspectratio="f"/>
                </v:shape>
              </w:pict>
            </w:r>
          </w:p>
        </w:tc>
        <w:tc>
          <w:tcPr>
            <w:tcW w:w="2529" w:type="pct"/>
            <w:gridSpan w:val="2"/>
          </w:tcPr>
          <w:p w:rsidR="0008794F" w:rsidRPr="00DB1710" w:rsidRDefault="00473823" w:rsidP="001045E3">
            <w:pPr>
              <w:pStyle w:val="Textpoznpodarou"/>
              <w:jc w:val="both"/>
            </w:pPr>
            <w:r>
              <w:pict>
                <v:shape id="_x0000_i1027" type="#_x0000_t75" style="width:240.75pt;height:189pt">
                  <v:imagedata r:id="rId10" o:title=""/>
                </v:shape>
              </w:pict>
            </w:r>
          </w:p>
        </w:tc>
      </w:tr>
    </w:tbl>
    <w:p w:rsidR="0008794F" w:rsidRPr="00080D93" w:rsidRDefault="0008794F" w:rsidP="00080D93">
      <w:pPr>
        <w:jc w:val="right"/>
        <w:rPr>
          <w:sz w:val="18"/>
          <w:szCs w:val="18"/>
        </w:rPr>
      </w:pPr>
      <w:r w:rsidRPr="00CE11A9">
        <w:rPr>
          <w:sz w:val="18"/>
          <w:szCs w:val="18"/>
        </w:rPr>
        <w:t xml:space="preserve">Pramen: </w:t>
      </w:r>
      <w:proofErr w:type="spellStart"/>
      <w:r>
        <w:rPr>
          <w:sz w:val="18"/>
          <w:szCs w:val="18"/>
        </w:rPr>
        <w:t>Eurostat</w:t>
      </w:r>
      <w:proofErr w:type="spellEnd"/>
    </w:p>
    <w:p w:rsidR="0008794F" w:rsidRPr="004B5763" w:rsidRDefault="0008794F" w:rsidP="00D34225">
      <w:pPr>
        <w:rPr>
          <w:sz w:val="16"/>
          <w:szCs w:val="16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Tr="00F34B6F">
        <w:tc>
          <w:tcPr>
            <w:tcW w:w="1042" w:type="pct"/>
          </w:tcPr>
          <w:p w:rsidR="0008794F" w:rsidRDefault="0008794F" w:rsidP="00C5552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Slabou úroveň spotřeby domácností v SR ovlivňoval vysoký růst spotřebitelských cen oproti inflaci v České republice a zejména v Rakousku; </w:t>
            </w:r>
          </w:p>
          <w:p w:rsidR="0008794F" w:rsidRDefault="0008794F" w:rsidP="00C5552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růst cen energií pro domácnosti byl v ČR významně rychlejší než v obou porovnávaných zemích</w:t>
            </w:r>
          </w:p>
        </w:tc>
        <w:tc>
          <w:tcPr>
            <w:tcW w:w="139" w:type="pct"/>
          </w:tcPr>
          <w:p w:rsidR="0008794F" w:rsidRDefault="0008794F" w:rsidP="00F34B6F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F34B6F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Slovenské domácnosti tak nesly na svých bedrech velmi významnou část transformačních nákladů své země na cestě k tržní ekonomice. Na úroveň jejich spotřeby působila vysoká inflace – podle grafu 14, který doplňuje vývoj spotřebitelských cen v ČR a SR také o pohled na spotřebitelskou inflaci v Rakousku. Na Slovensku byl meziroční růst cen v trendu po naprostou většinu sledovaného období výrazně vyšší než v ČR anebo v Rakousku. To omezovalo i ochotu domácností utrácet a ovlivňovalo výsledná tempa růstu výdajů slovenských domácností na jejich konečnou spotřebu v reálném vyjádření. Srovnání vývoje spotřebitelských cen podle harmonizovaného indexu je pro ilustraci uvedeno v grafu 14 za položky spotřeby celkem, v grafu 16 pak ještě spolu s výdajovou položk</w:t>
            </w:r>
            <w:r w:rsidR="00F36F92">
              <w:rPr>
                <w:color w:val="000000"/>
                <w:spacing w:val="-6"/>
              </w:rPr>
              <w:t>o</w:t>
            </w:r>
            <w:r w:rsidR="00EC5F73">
              <w:rPr>
                <w:color w:val="000000"/>
                <w:spacing w:val="-6"/>
              </w:rPr>
              <w:t xml:space="preserve">u Potraviny </w:t>
            </w:r>
            <w:r>
              <w:rPr>
                <w:color w:val="000000"/>
                <w:spacing w:val="-6"/>
              </w:rPr>
              <w:t>a nealko</w:t>
            </w:r>
            <w:r w:rsidR="004C5160">
              <w:rPr>
                <w:color w:val="000000"/>
                <w:spacing w:val="-6"/>
              </w:rPr>
              <w:t>holické</w:t>
            </w:r>
            <w:r>
              <w:rPr>
                <w:color w:val="000000"/>
                <w:spacing w:val="-6"/>
              </w:rPr>
              <w:t xml:space="preserve"> nápoje. Slovenská inflace postupně klesala, ale nakrátko ji „zkrotila“ až krize v roce 2009 (grafy 14 a 16).</w:t>
            </w:r>
          </w:p>
          <w:p w:rsidR="0008794F" w:rsidRPr="006E62CA" w:rsidRDefault="0008794F" w:rsidP="00F34B6F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6E62CA" w:rsidRDefault="0008794F" w:rsidP="00F34B6F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V České republice byly výdaje na konečnou spotřebu domácností ovlivňovány více než v SR nebo v Rakousku vysokým růstem </w:t>
            </w:r>
            <w:r w:rsidR="00F36F92">
              <w:rPr>
                <w:color w:val="000000"/>
                <w:spacing w:val="-6"/>
              </w:rPr>
              <w:t xml:space="preserve">cen energií (elektřina, plyn a </w:t>
            </w:r>
            <w:r>
              <w:rPr>
                <w:color w:val="000000"/>
                <w:spacing w:val="-6"/>
              </w:rPr>
              <w:t>ostatní pa</w:t>
            </w:r>
            <w:r w:rsidR="00322B77">
              <w:rPr>
                <w:color w:val="000000"/>
                <w:spacing w:val="-6"/>
              </w:rPr>
              <w:t>liva), který zpomalil až v roce</w:t>
            </w:r>
            <w:r>
              <w:rPr>
                <w:color w:val="000000"/>
                <w:spacing w:val="-6"/>
              </w:rPr>
              <w:t xml:space="preserve"> 2014 </w:t>
            </w:r>
            <w:r w:rsidRPr="006E62CA">
              <w:rPr>
                <w:color w:val="000000"/>
                <w:spacing w:val="-6"/>
              </w:rPr>
              <w:t xml:space="preserve">(graf 15). </w:t>
            </w:r>
          </w:p>
          <w:p w:rsidR="0008794F" w:rsidRPr="004B5763" w:rsidRDefault="0008794F" w:rsidP="00F34B6F">
            <w:pPr>
              <w:pStyle w:val="Textpoznpodarou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</w:tr>
    </w:tbl>
    <w:p w:rsidR="0008794F" w:rsidRDefault="0008794F" w:rsidP="00D34225">
      <w:r w:rsidRPr="00142A26">
        <w:rPr>
          <w:b/>
        </w:rPr>
        <w:t>Graf 1</w:t>
      </w:r>
      <w:r>
        <w:rPr>
          <w:b/>
        </w:rPr>
        <w:t>6</w:t>
      </w:r>
      <w:r w:rsidRPr="00142A26">
        <w:rPr>
          <w:b/>
        </w:rPr>
        <w:t>: Harmonizovaný index spotřebitelských cen</w:t>
      </w:r>
      <w:r>
        <w:t xml:space="preserve"> (položka Celkem a položka </w:t>
      </w:r>
      <w:proofErr w:type="gramStart"/>
      <w:r>
        <w:t>Potraviny  a nealko</w:t>
      </w:r>
      <w:proofErr w:type="gramEnd"/>
      <w:r>
        <w:t xml:space="preserve"> nápoje; průměrné meziroční změny v %)</w:t>
      </w:r>
    </w:p>
    <w:p w:rsidR="0008794F" w:rsidRPr="00C5552E" w:rsidRDefault="0008794F" w:rsidP="00D34225">
      <w:pPr>
        <w:rPr>
          <w:sz w:val="4"/>
          <w:szCs w:val="4"/>
        </w:rPr>
      </w:pPr>
    </w:p>
    <w:p w:rsidR="0008794F" w:rsidRDefault="00473823" w:rsidP="0081248B">
      <w:pPr>
        <w:jc w:val="center"/>
      </w:pPr>
      <w:r>
        <w:rPr>
          <w:noProof/>
        </w:rPr>
        <w:pict>
          <v:shape id="_x0000_i1028" type="#_x0000_t75" style="width:450.7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">
            <v:imagedata r:id="rId11" o:title=""/>
            <o:lock v:ext="edit" aspectratio="f"/>
          </v:shape>
        </w:pict>
      </w:r>
    </w:p>
    <w:p w:rsidR="0008794F" w:rsidRPr="00080D93" w:rsidRDefault="0008794F" w:rsidP="00C5552E">
      <w:pPr>
        <w:jc w:val="right"/>
        <w:rPr>
          <w:sz w:val="18"/>
          <w:szCs w:val="18"/>
        </w:rPr>
      </w:pPr>
      <w:r w:rsidRPr="00CE11A9">
        <w:rPr>
          <w:sz w:val="18"/>
          <w:szCs w:val="18"/>
        </w:rPr>
        <w:t xml:space="preserve">Pramen: </w:t>
      </w:r>
      <w:proofErr w:type="spellStart"/>
      <w:r>
        <w:rPr>
          <w:sz w:val="18"/>
          <w:szCs w:val="18"/>
        </w:rPr>
        <w:t>Eurostat</w:t>
      </w:r>
      <w:proofErr w:type="spellEnd"/>
    </w:p>
    <w:p w:rsidR="0008794F" w:rsidRDefault="0008794F" w:rsidP="00D34225"/>
    <w:p w:rsidR="0008794F" w:rsidRDefault="0008794F" w:rsidP="00D34225"/>
    <w:p w:rsidR="0008794F" w:rsidRPr="00473823" w:rsidRDefault="0008794F" w:rsidP="00C17DDE">
      <w:pPr>
        <w:numPr>
          <w:ilvl w:val="1"/>
          <w:numId w:val="24"/>
        </w:numPr>
        <w:rPr>
          <w:b/>
          <w:sz w:val="28"/>
          <w:szCs w:val="28"/>
        </w:rPr>
      </w:pPr>
      <w:r w:rsidRPr="00473823">
        <w:rPr>
          <w:b/>
          <w:sz w:val="28"/>
          <w:szCs w:val="28"/>
        </w:rPr>
        <w:lastRenderedPageBreak/>
        <w:t>Ekonomický vývoj ČR, SR a Rakouska po roce 1997</w:t>
      </w:r>
    </w:p>
    <w:p w:rsidR="0008794F" w:rsidRPr="006E62CA" w:rsidRDefault="0008794F" w:rsidP="00F63855">
      <w:pPr>
        <w:ind w:left="720"/>
        <w:rPr>
          <w:b/>
          <w:szCs w:val="20"/>
        </w:rPr>
      </w:pPr>
    </w:p>
    <w:p w:rsidR="0008794F" w:rsidRDefault="0008794F" w:rsidP="00EB4EDD">
      <w:pPr>
        <w:spacing w:line="240" w:lineRule="auto"/>
        <w:jc w:val="both"/>
      </w:pPr>
      <w:r>
        <w:t xml:space="preserve">Měnová krize v roce 2007, kterou prošla ekonomika České republiky, nikoli však hospodářství Rakouska či Slovenska, vedla mimo jiné i v důsledku opatření vládní hospodářské politiky, cílící ke zmírnění této krize, k pádu české ekonomiky do recese (v roce 1997 a 1998 klesl HDP v reálném vyjádření o 0,7 %, resp. o 0,3 % podle tabulek </w:t>
      </w:r>
      <w:proofErr w:type="spellStart"/>
      <w:r>
        <w:t>Eurostatu</w:t>
      </w:r>
      <w:proofErr w:type="spellEnd"/>
      <w:r>
        <w:t xml:space="preserve"> v ESA2010). Ekonomika Rakouska v uvedených letech významně rostla, což potom určilo do značné míry i další vývoj srovnání prováděného v této analýze za uvedené tři země.</w:t>
      </w:r>
    </w:p>
    <w:p w:rsidR="0008794F" w:rsidRPr="006E62CA" w:rsidRDefault="0008794F" w:rsidP="00EB4EDD">
      <w:pPr>
        <w:spacing w:line="240" w:lineRule="auto"/>
        <w:rPr>
          <w:sz w:val="16"/>
          <w:szCs w:val="16"/>
        </w:rPr>
      </w:pPr>
    </w:p>
    <w:p w:rsidR="0008794F" w:rsidRDefault="0008794F" w:rsidP="00EB4EDD">
      <w:pPr>
        <w:spacing w:line="240" w:lineRule="auto"/>
        <w:ind w:left="720"/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C52D50">
        <w:tc>
          <w:tcPr>
            <w:tcW w:w="1042" w:type="pct"/>
          </w:tcPr>
          <w:p w:rsidR="0008794F" w:rsidRPr="00602D1D" w:rsidRDefault="0008794F" w:rsidP="00C52D5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 letech 1997 a 1998 prošla česká ekonomika po měnové krizi recesí, ekonomika Rakouska však relativně silně rostla, dokonce více než evropský průměr  </w:t>
            </w:r>
          </w:p>
        </w:tc>
        <w:tc>
          <w:tcPr>
            <w:tcW w:w="139" w:type="pct"/>
          </w:tcPr>
          <w:p w:rsidR="0008794F" w:rsidRDefault="0008794F" w:rsidP="00C52D5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6E62CA">
            <w:pPr>
              <w:spacing w:line="240" w:lineRule="auto"/>
              <w:jc w:val="both"/>
            </w:pPr>
            <w:r>
              <w:t xml:space="preserve">Zatímco česká ekonomika procházela v letech 1997 a 1998 recesí s meziročními poklesy výkonnosti o 0,7 %, resp. o 0,3 % v reálném vyjádření, HDP Rakouska se vyvíjel velmi pozitivně (+2,2 %, resp. +3,6 % meziročně). Rakouská ekonomika se nacházela v období 1998-2000 na vrcholu hospodářského cyklu s průměrným meziročním růstem HDP +3,5 %, což bylo více než za EU 28 nebo skupiny nejvyspělejších zemí Unie, tj. EU 15 (jejich průměrný roční růst za uvedená tři léta činil +3,3 %). </w:t>
            </w:r>
          </w:p>
          <w:p w:rsidR="0008794F" w:rsidRPr="003D78A5" w:rsidRDefault="0008794F" w:rsidP="00085D2D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52D50">
        <w:tc>
          <w:tcPr>
            <w:tcW w:w="1042" w:type="pct"/>
          </w:tcPr>
          <w:p w:rsidR="0008794F" w:rsidRPr="00602D1D" w:rsidRDefault="0008794F" w:rsidP="00C52D5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Tempem +3,5 % v průměru ročně v letech 1998-2000 rostla rakouská ekonomika pak až v letech 2005-2006; i její krizo</w:t>
            </w:r>
            <w:r w:rsidR="00F36F92">
              <w:rPr>
                <w:color w:val="000000"/>
                <w:sz w:val="16"/>
                <w:szCs w:val="16"/>
              </w:rPr>
              <w:t>vý pokles v roce 2009 byl mělčí</w:t>
            </w:r>
            <w:r>
              <w:rPr>
                <w:color w:val="000000"/>
                <w:sz w:val="16"/>
                <w:szCs w:val="16"/>
              </w:rPr>
              <w:t xml:space="preserve"> než v EU a podstatně menší než v ČR a zejména v SR</w:t>
            </w:r>
          </w:p>
        </w:tc>
        <w:tc>
          <w:tcPr>
            <w:tcW w:w="139" w:type="pct"/>
          </w:tcPr>
          <w:p w:rsidR="0008794F" w:rsidRDefault="0008794F" w:rsidP="00C52D5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085D2D">
            <w:pPr>
              <w:pStyle w:val="Textpoznpodarou"/>
              <w:jc w:val="both"/>
            </w:pPr>
            <w:r>
              <w:t xml:space="preserve">Zopakovat konjunkturní fázi s takovýmto růstem </w:t>
            </w:r>
            <w:r w:rsidRPr="00085D2D">
              <w:t>H</w:t>
            </w:r>
            <w:r>
              <w:t>D</w:t>
            </w:r>
            <w:r w:rsidRPr="00085D2D">
              <w:t>P se Rakousku podařilo až v l</w:t>
            </w:r>
            <w:r>
              <w:t>e</w:t>
            </w:r>
            <w:r w:rsidRPr="00085D2D">
              <w:t xml:space="preserve">tech 2005-2006 </w:t>
            </w:r>
            <w:r>
              <w:t>(přírůstek HDP v p</w:t>
            </w:r>
            <w:r w:rsidRPr="00085D2D">
              <w:t>r</w:t>
            </w:r>
            <w:r>
              <w:t>ů</w:t>
            </w:r>
            <w:r w:rsidRPr="00085D2D">
              <w:t>měr</w:t>
            </w:r>
            <w:r>
              <w:t>u</w:t>
            </w:r>
            <w:r w:rsidRPr="00085D2D">
              <w:t xml:space="preserve"> </w:t>
            </w:r>
            <w:r>
              <w:t xml:space="preserve">ročně +3,5 %). </w:t>
            </w:r>
          </w:p>
          <w:p w:rsidR="0008794F" w:rsidRPr="00EB6406" w:rsidRDefault="0008794F" w:rsidP="00085D2D">
            <w:pPr>
              <w:pStyle w:val="Textpoznpodarou"/>
              <w:jc w:val="both"/>
              <w:rPr>
                <w:sz w:val="12"/>
                <w:szCs w:val="12"/>
              </w:rPr>
            </w:pPr>
          </w:p>
          <w:p w:rsidR="0008794F" w:rsidRPr="00B23CF0" w:rsidRDefault="0008794F" w:rsidP="00085D2D">
            <w:pPr>
              <w:pStyle w:val="Textpoznpodarou"/>
              <w:jc w:val="both"/>
              <w:rPr>
                <w:color w:val="000000"/>
                <w:spacing w:val="-6"/>
              </w:rPr>
            </w:pPr>
            <w:r w:rsidRPr="00B23CF0">
              <w:t>Poté však Rakousko v roce 2009 - stejně jako drtivá většina evropských zemí – čelilo ekonomické krizi, kter</w:t>
            </w:r>
            <w:r>
              <w:t>á</w:t>
            </w:r>
            <w:r w:rsidRPr="00B23CF0">
              <w:t xml:space="preserve"> snížila jeho HDP o 3,8 %</w:t>
            </w:r>
            <w:r>
              <w:t>. Bylo</w:t>
            </w:r>
            <w:r w:rsidRPr="00B23CF0">
              <w:t xml:space="preserve"> to zhruba stejně jako </w:t>
            </w:r>
            <w:r>
              <w:t>u</w:t>
            </w:r>
            <w:r w:rsidRPr="00B23CF0">
              <w:t> ekonomik Nizozemí nebo Španělska. Rakousko se však vyrovnalo s krizí relativně velmi dobře</w:t>
            </w:r>
            <w:r>
              <w:t xml:space="preserve"> (</w:t>
            </w:r>
            <w:r w:rsidRPr="00B23CF0">
              <w:t>propad za EU činil 4,4 %</w:t>
            </w:r>
            <w:r>
              <w:t>)</w:t>
            </w:r>
            <w:r w:rsidRPr="00B23CF0">
              <w:t xml:space="preserve">. Ve srovnání s Českou republikou (-4,8 %) anebo Slovenskem (-5,5 %) utrpělo tedy Rakousko krizí v roce 2009 podstatně méně.   </w:t>
            </w:r>
          </w:p>
          <w:p w:rsidR="0008794F" w:rsidRPr="003D78A5" w:rsidRDefault="0008794F" w:rsidP="00085D2D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085D2D">
        <w:tc>
          <w:tcPr>
            <w:tcW w:w="1042" w:type="pct"/>
          </w:tcPr>
          <w:p w:rsidR="0008794F" w:rsidRPr="00602D1D" w:rsidRDefault="0008794F" w:rsidP="00EB640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Slovensko rostlo v průměru za roky 1998-2000 ročně dokonce nepatrně méně než Česká republika - celkově byly fáze ekonomického cyklu v té době u ČR, SR a Rakouska značně asynchronní  </w:t>
            </w:r>
          </w:p>
        </w:tc>
        <w:tc>
          <w:tcPr>
            <w:tcW w:w="139" w:type="pct"/>
          </w:tcPr>
          <w:p w:rsidR="0008794F" w:rsidRDefault="0008794F" w:rsidP="00EB640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085D2D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Také slovenský růst byl již v letech 1997 a 1998, kdy českou ekonomiku ovládala recese, příznivější. V letech 1998-2000  </w:t>
            </w:r>
            <w:proofErr w:type="gramStart"/>
            <w:r>
              <w:rPr>
                <w:color w:val="000000"/>
                <w:spacing w:val="-6"/>
              </w:rPr>
              <w:t>však ale</w:t>
            </w:r>
            <w:proofErr w:type="gramEnd"/>
            <w:r>
              <w:rPr>
                <w:color w:val="000000"/>
                <w:spacing w:val="-6"/>
              </w:rPr>
              <w:t xml:space="preserve"> slovenská ekonomika rostla ročně v průměru o 1,7 %, což bylo oproti Rakousku relativně málo (příčinou byl velmi mírný meziroční pokles v SR v roce 1999 o 0,2 %). Zmíněný růst Slovenska o 1,7 % v průměru za roky 1998-2000 byl však dokonce nepatrně menší, než jaký vykázal za tu dobu HDP České republiky (+1,8 %), která se tedy vymanila z recese let 1997-1998 relativně dobře.</w:t>
            </w:r>
            <w:r>
              <w:rPr>
                <w:rStyle w:val="Znakapoznpodarou"/>
                <w:color w:val="000000"/>
                <w:spacing w:val="-6"/>
              </w:rPr>
              <w:footnoteReference w:id="4"/>
            </w:r>
          </w:p>
          <w:p w:rsidR="0008794F" w:rsidRPr="00EB6406" w:rsidRDefault="0008794F" w:rsidP="00085D2D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085D2D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Ekonomické cykly Rakouska, ČR a Slovenska tedy byly v uvedené době značně asynchronní. </w:t>
            </w:r>
          </w:p>
          <w:p w:rsidR="0008794F" w:rsidRPr="003D78A5" w:rsidRDefault="0008794F" w:rsidP="007825C5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Pr="00EB6406" w:rsidRDefault="0008794F" w:rsidP="007825C5">
      <w:pPr>
        <w:rPr>
          <w:b/>
          <w:sz w:val="10"/>
          <w:szCs w:val="10"/>
        </w:rPr>
      </w:pPr>
    </w:p>
    <w:p w:rsidR="0008794F" w:rsidRPr="006E62CA" w:rsidRDefault="0008794F" w:rsidP="00C17DDE">
      <w:pPr>
        <w:numPr>
          <w:ilvl w:val="2"/>
          <w:numId w:val="24"/>
        </w:numPr>
        <w:rPr>
          <w:b/>
          <w:sz w:val="24"/>
        </w:rPr>
      </w:pPr>
      <w:r w:rsidRPr="006E62CA">
        <w:rPr>
          <w:b/>
          <w:sz w:val="24"/>
        </w:rPr>
        <w:t>Vývoj ve fázích let 1998-2004 a let 2004-2014</w:t>
      </w:r>
    </w:p>
    <w:p w:rsidR="0008794F" w:rsidRDefault="0008794F" w:rsidP="005E74B2">
      <w:pPr>
        <w:spacing w:line="240" w:lineRule="auto"/>
        <w:rPr>
          <w:color w:val="000000"/>
          <w:spacing w:val="-2"/>
        </w:rPr>
      </w:pPr>
    </w:p>
    <w:p w:rsidR="0008794F" w:rsidRDefault="0008794F" w:rsidP="00C3432C">
      <w:pPr>
        <w:spacing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Vývoj ekonomik ČR, SR, Rakouska se v dalším pokusíme posoudit ve fázích, a to za období 1998-2004, které předcházelo vstupu České republiky a Slovenska do společného evropského hospodářského prostoru a poté za období 2004-2014, kdy tyto dvě země již byly členy EU.</w:t>
      </w:r>
    </w:p>
    <w:p w:rsidR="0008794F" w:rsidRDefault="0008794F" w:rsidP="005E74B2">
      <w:pPr>
        <w:spacing w:line="240" w:lineRule="auto"/>
        <w:rPr>
          <w:color w:val="000000"/>
          <w:spacing w:val="-2"/>
        </w:rPr>
      </w:pPr>
    </w:p>
    <w:p w:rsidR="0008794F" w:rsidRPr="006E62CA" w:rsidRDefault="0008794F" w:rsidP="00C17DDE">
      <w:pPr>
        <w:numPr>
          <w:ilvl w:val="3"/>
          <w:numId w:val="24"/>
        </w:numPr>
        <w:spacing w:line="240" w:lineRule="auto"/>
        <w:rPr>
          <w:b/>
          <w:color w:val="000000"/>
          <w:spacing w:val="-2"/>
          <w:sz w:val="22"/>
          <w:szCs w:val="22"/>
        </w:rPr>
      </w:pPr>
      <w:r w:rsidRPr="006E62CA">
        <w:rPr>
          <w:b/>
          <w:color w:val="000000"/>
          <w:spacing w:val="-2"/>
          <w:sz w:val="22"/>
          <w:szCs w:val="22"/>
        </w:rPr>
        <w:t>Průměrné meziroční růsty ekonomik ČR, SR a Rakouska v letech 1998-2004</w:t>
      </w:r>
    </w:p>
    <w:p w:rsidR="0008794F" w:rsidRPr="005E74B2" w:rsidRDefault="0008794F" w:rsidP="00A92D0B">
      <w:pPr>
        <w:spacing w:line="240" w:lineRule="auto"/>
        <w:rPr>
          <w:b/>
          <w:sz w:val="22"/>
          <w:szCs w:val="22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2A4360">
        <w:tc>
          <w:tcPr>
            <w:tcW w:w="1042" w:type="pct"/>
          </w:tcPr>
          <w:p w:rsidR="0008794F" w:rsidRPr="00602D1D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ČR a SR rostly za roky 1998-2004 v průměru rychleji než EU, kterou ovlivnila slabší aktivitou Německa v letech 2002-2004</w:t>
            </w:r>
          </w:p>
        </w:tc>
        <w:tc>
          <w:tcPr>
            <w:tcW w:w="139" w:type="pct"/>
          </w:tcPr>
          <w:p w:rsidR="0008794F" w:rsidRDefault="0008794F" w:rsidP="002A436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2A4360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Tabulka 1 ukazuje, že už v letech 1998-2004 byl průměrný růst ekonomiky Slovenska rychlejší než ostatních dvou zemí. ČR docílila příznivějších přírůstků HDP než Unie jako celek (+2,5 %), kde růst ovlivnila především faktická stagnace největší evropské ekonomiky v letech 2002-2004</w:t>
            </w:r>
            <w:r w:rsidR="00322B77">
              <w:rPr>
                <w:color w:val="000000"/>
                <w:spacing w:val="-6"/>
              </w:rPr>
              <w:t>.</w:t>
            </w:r>
            <w:r>
              <w:rPr>
                <w:color w:val="000000"/>
                <w:spacing w:val="-6"/>
              </w:rPr>
              <w:t xml:space="preserve"> Německo tehdy rostlo v průměru ročně jen o 0,2 % (Itálie srovnatelně +0,7 %, Francie +1,7 %). </w:t>
            </w:r>
          </w:p>
          <w:p w:rsidR="0008794F" w:rsidRPr="003D78A5" w:rsidRDefault="0008794F" w:rsidP="002A4360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Default="0008794F" w:rsidP="00D34225"/>
    <w:p w:rsidR="0008794F" w:rsidRDefault="0008794F" w:rsidP="00D34225">
      <w:r w:rsidRPr="00DA43C2">
        <w:rPr>
          <w:b/>
        </w:rPr>
        <w:lastRenderedPageBreak/>
        <w:t>Tab</w:t>
      </w:r>
      <w:r>
        <w:rPr>
          <w:b/>
        </w:rPr>
        <w:t>ulka</w:t>
      </w:r>
      <w:r w:rsidRPr="00DA43C2">
        <w:rPr>
          <w:b/>
        </w:rPr>
        <w:t xml:space="preserve"> 2</w:t>
      </w:r>
      <w:r w:rsidRPr="004A332A">
        <w:rPr>
          <w:b/>
        </w:rPr>
        <w:t>: Průměrná mez</w:t>
      </w:r>
      <w:r>
        <w:rPr>
          <w:b/>
        </w:rPr>
        <w:t xml:space="preserve">iroční tempa růstu HDP </w:t>
      </w:r>
      <w:r w:rsidRPr="004A332A">
        <w:rPr>
          <w:b/>
        </w:rPr>
        <w:t>ekonomik ČR, S</w:t>
      </w:r>
      <w:r>
        <w:rPr>
          <w:b/>
        </w:rPr>
        <w:t>lovenska</w:t>
      </w:r>
      <w:r w:rsidRPr="004A332A">
        <w:rPr>
          <w:b/>
        </w:rPr>
        <w:t>, Rakouska a EU 28 za roky 1998-2004</w:t>
      </w:r>
      <w:r>
        <w:rPr>
          <w:b/>
        </w:rPr>
        <w:t>,</w:t>
      </w:r>
      <w:r w:rsidRPr="004A332A">
        <w:rPr>
          <w:b/>
        </w:rPr>
        <w:t xml:space="preserve"> 2004-</w:t>
      </w:r>
      <w:r w:rsidRPr="004F0E46">
        <w:rPr>
          <w:b/>
        </w:rPr>
        <w:t>2014 a 1998-2014</w:t>
      </w:r>
      <w:r>
        <w:t xml:space="preserve"> (reálně, v %)</w:t>
      </w:r>
    </w:p>
    <w:p w:rsidR="0008794F" w:rsidRPr="00EB6406" w:rsidRDefault="0008794F" w:rsidP="00D3422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5"/>
        <w:gridCol w:w="825"/>
        <w:gridCol w:w="851"/>
        <w:gridCol w:w="709"/>
        <w:gridCol w:w="992"/>
        <w:gridCol w:w="850"/>
        <w:gridCol w:w="851"/>
        <w:gridCol w:w="709"/>
        <w:gridCol w:w="850"/>
      </w:tblGrid>
      <w:tr w:rsidR="0008794F" w:rsidTr="00AA2B03">
        <w:tc>
          <w:tcPr>
            <w:tcW w:w="2685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1998-2004 v průměru ročně</w:t>
            </w:r>
          </w:p>
        </w:tc>
        <w:tc>
          <w:tcPr>
            <w:tcW w:w="825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ČR</w:t>
            </w:r>
          </w:p>
        </w:tc>
        <w:tc>
          <w:tcPr>
            <w:tcW w:w="851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2,7 %</w:t>
            </w:r>
          </w:p>
        </w:tc>
        <w:tc>
          <w:tcPr>
            <w:tcW w:w="709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SR</w:t>
            </w:r>
          </w:p>
        </w:tc>
        <w:tc>
          <w:tcPr>
            <w:tcW w:w="992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3,4 %</w:t>
            </w:r>
          </w:p>
        </w:tc>
        <w:tc>
          <w:tcPr>
            <w:tcW w:w="850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AT</w:t>
            </w:r>
          </w:p>
        </w:tc>
        <w:tc>
          <w:tcPr>
            <w:tcW w:w="851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2,5 %</w:t>
            </w:r>
          </w:p>
        </w:tc>
        <w:tc>
          <w:tcPr>
            <w:tcW w:w="709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EU</w:t>
            </w:r>
          </w:p>
        </w:tc>
        <w:tc>
          <w:tcPr>
            <w:tcW w:w="850" w:type="dxa"/>
          </w:tcPr>
          <w:p w:rsidR="0008794F" w:rsidRDefault="0008794F" w:rsidP="002A43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2,5 %</w:t>
            </w:r>
          </w:p>
        </w:tc>
      </w:tr>
      <w:tr w:rsidR="0008794F" w:rsidTr="00AA2B03">
        <w:tc>
          <w:tcPr>
            <w:tcW w:w="2685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2004-2014 v průměru ročně</w:t>
            </w:r>
          </w:p>
        </w:tc>
        <w:tc>
          <w:tcPr>
            <w:tcW w:w="825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ČR</w:t>
            </w:r>
          </w:p>
        </w:tc>
        <w:tc>
          <w:tcPr>
            <w:tcW w:w="851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SR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4,0 %</w:t>
            </w:r>
          </w:p>
        </w:tc>
        <w:tc>
          <w:tcPr>
            <w:tcW w:w="850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AT</w:t>
            </w:r>
          </w:p>
        </w:tc>
        <w:tc>
          <w:tcPr>
            <w:tcW w:w="851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EU</w:t>
            </w:r>
          </w:p>
        </w:tc>
        <w:tc>
          <w:tcPr>
            <w:tcW w:w="850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1,1 %</w:t>
            </w:r>
          </w:p>
        </w:tc>
      </w:tr>
      <w:tr w:rsidR="0008794F" w:rsidTr="00AA2B03">
        <w:tc>
          <w:tcPr>
            <w:tcW w:w="2685" w:type="dxa"/>
          </w:tcPr>
          <w:p w:rsidR="0008794F" w:rsidRPr="0006500C" w:rsidRDefault="0008794F" w:rsidP="00AA2B03">
            <w:pPr>
              <w:jc w:val="center"/>
              <w:rPr>
                <w:lang w:eastAsia="en-US"/>
              </w:rPr>
            </w:pPr>
            <w:r w:rsidRPr="0006500C">
              <w:rPr>
                <w:lang w:eastAsia="en-US"/>
              </w:rPr>
              <w:t>1998-2014 v průměru ročně</w:t>
            </w:r>
          </w:p>
        </w:tc>
        <w:tc>
          <w:tcPr>
            <w:tcW w:w="825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ČR</w:t>
            </w:r>
          </w:p>
        </w:tc>
        <w:tc>
          <w:tcPr>
            <w:tcW w:w="851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2,4 %</w:t>
            </w:r>
          </w:p>
        </w:tc>
        <w:tc>
          <w:tcPr>
            <w:tcW w:w="709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SR</w:t>
            </w:r>
          </w:p>
        </w:tc>
        <w:tc>
          <w:tcPr>
            <w:tcW w:w="992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3,7 %</w:t>
            </w:r>
          </w:p>
        </w:tc>
        <w:tc>
          <w:tcPr>
            <w:tcW w:w="850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AT</w:t>
            </w:r>
          </w:p>
        </w:tc>
        <w:tc>
          <w:tcPr>
            <w:tcW w:w="851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1,8 %</w:t>
            </w:r>
          </w:p>
        </w:tc>
        <w:tc>
          <w:tcPr>
            <w:tcW w:w="709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EU</w:t>
            </w:r>
          </w:p>
        </w:tc>
        <w:tc>
          <w:tcPr>
            <w:tcW w:w="850" w:type="dxa"/>
          </w:tcPr>
          <w:p w:rsidR="0008794F" w:rsidRPr="0006500C" w:rsidRDefault="0008794F" w:rsidP="002A4360">
            <w:pPr>
              <w:jc w:val="center"/>
              <w:rPr>
                <w:b/>
                <w:lang w:eastAsia="en-US"/>
              </w:rPr>
            </w:pPr>
            <w:r w:rsidRPr="0006500C">
              <w:rPr>
                <w:b/>
                <w:lang w:eastAsia="en-US"/>
              </w:rPr>
              <w:t>1,6 %</w:t>
            </w:r>
          </w:p>
        </w:tc>
      </w:tr>
    </w:tbl>
    <w:p w:rsidR="0008794F" w:rsidRPr="004131C3" w:rsidRDefault="0008794F" w:rsidP="004A332A">
      <w:pPr>
        <w:jc w:val="right"/>
        <w:rPr>
          <w:sz w:val="6"/>
          <w:szCs w:val="6"/>
        </w:rPr>
      </w:pPr>
    </w:p>
    <w:p w:rsidR="0008794F" w:rsidRDefault="0008794F" w:rsidP="00A92D0B">
      <w:pPr>
        <w:jc w:val="right"/>
        <w:rPr>
          <w:sz w:val="18"/>
          <w:szCs w:val="18"/>
        </w:rPr>
      </w:pPr>
      <w:r w:rsidRPr="00DA43AC">
        <w:rPr>
          <w:sz w:val="18"/>
          <w:szCs w:val="18"/>
        </w:rPr>
        <w:t xml:space="preserve">Pramen: </w:t>
      </w:r>
      <w:proofErr w:type="spellStart"/>
      <w:r w:rsidRPr="00DA43AC">
        <w:rPr>
          <w:sz w:val="18"/>
          <w:szCs w:val="18"/>
        </w:rPr>
        <w:t>Eurostat</w:t>
      </w:r>
      <w:proofErr w:type="spellEnd"/>
      <w:r>
        <w:rPr>
          <w:sz w:val="18"/>
          <w:szCs w:val="18"/>
        </w:rPr>
        <w:t>, vlastní propočty</w:t>
      </w:r>
    </w:p>
    <w:p w:rsidR="0008794F" w:rsidRPr="00A92D0B" w:rsidRDefault="0008794F" w:rsidP="00A92D0B">
      <w:pPr>
        <w:jc w:val="right"/>
        <w:rPr>
          <w:sz w:val="18"/>
          <w:szCs w:val="18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1045E3">
        <w:tc>
          <w:tcPr>
            <w:tcW w:w="1042" w:type="pct"/>
          </w:tcPr>
          <w:p w:rsidR="0008794F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Rakousko v letech 1998-2004 s průměrným meziročním růstem </w:t>
            </w:r>
            <w:proofErr w:type="gramStart"/>
            <w:r>
              <w:rPr>
                <w:color w:val="000000"/>
                <w:sz w:val="16"/>
                <w:szCs w:val="16"/>
              </w:rPr>
              <w:t>2,5 %...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08794F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08794F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08794F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08794F" w:rsidRPr="00602D1D" w:rsidRDefault="0008794F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… zatímco HDP ČR rostl oproti Rakousku v </w:t>
            </w:r>
            <w:proofErr w:type="gramStart"/>
            <w:r>
              <w:rPr>
                <w:color w:val="000000"/>
                <w:sz w:val="16"/>
                <w:szCs w:val="16"/>
              </w:rPr>
              <w:t>průměru  jen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mírně rychleji, tj. +2,7 % ročně vlivem recese v roce 1998 a slabších let 1999 a 2002</w:t>
            </w:r>
          </w:p>
        </w:tc>
        <w:tc>
          <w:tcPr>
            <w:tcW w:w="139" w:type="pct"/>
          </w:tcPr>
          <w:p w:rsidR="0008794F" w:rsidRDefault="0008794F" w:rsidP="002A436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Rakousko rostlo v letech 1998-2004 v průměru ročně o 2,5 %, tedy stejně jako rostla v té době ekonomika EU 28 a mírně rychleji než „staré“ země Unie, tj. EU 15 (+2,4 %) i uskupení zemí, které odpovídá současné struktuře a počtu zemí </w:t>
            </w:r>
            <w:proofErr w:type="spellStart"/>
            <w:r>
              <w:rPr>
                <w:color w:val="000000"/>
                <w:spacing w:val="-6"/>
              </w:rPr>
              <w:t>eurozóny</w:t>
            </w:r>
            <w:proofErr w:type="spellEnd"/>
            <w:r>
              <w:rPr>
                <w:color w:val="000000"/>
                <w:spacing w:val="-6"/>
              </w:rPr>
              <w:t xml:space="preserve"> (+2,3 %). </w:t>
            </w:r>
          </w:p>
          <w:p w:rsidR="0008794F" w:rsidRPr="00EF48E7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997EEB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Česká republika s výrazným odstupem od ekonomické úrovně Rakouska - což by ji mělo favorizovat z pohledu nižší výchozí „</w:t>
            </w:r>
            <w:proofErr w:type="spellStart"/>
            <w:r>
              <w:rPr>
                <w:color w:val="000000"/>
                <w:spacing w:val="-6"/>
              </w:rPr>
              <w:t>vyspělostní</w:t>
            </w:r>
            <w:proofErr w:type="spellEnd"/>
            <w:r>
              <w:rPr>
                <w:color w:val="000000"/>
                <w:spacing w:val="-6"/>
              </w:rPr>
              <w:t xml:space="preserve">“ báze - vykázala za roky 1998-2004 průměrný roční růst ve výši +2,7 %. Zapůsobil především velmi slušný růst české ekonomiky v letech 2003 a 2004 (+3,6 %, resp. +4,9 %). Svou “daň“ si však vybrala již zmiňovaná recese 1997-1998, neboť „abstrahujeme-li“ od těchto dvou let, rostl HDP ČR za roky 1999-2004 v průměru o 3,2 % ročně, což už bylo prakticky stejně, jako činil za tu dobu růst </w:t>
            </w:r>
            <w:r>
              <w:rPr>
                <w:vanish/>
                <w:color w:val="000000"/>
                <w:spacing w:val="-6"/>
              </w:rPr>
              <w:t>DP SlosS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vanish/>
                <w:color w:val="000000"/>
                <w:spacing w:val="-6"/>
              </w:rPr>
              <w:t>D</w:t>
            </w:r>
            <w:r>
              <w:rPr>
                <w:color w:val="000000"/>
                <w:spacing w:val="-6"/>
              </w:rPr>
              <w:t xml:space="preserve">HDP Slovenska (+3,3 %). </w:t>
            </w:r>
          </w:p>
          <w:p w:rsidR="0008794F" w:rsidRPr="003D78A5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1045E3">
        <w:tc>
          <w:tcPr>
            <w:tcW w:w="1042" w:type="pct"/>
          </w:tcPr>
          <w:p w:rsidR="0008794F" w:rsidRPr="00602D1D" w:rsidRDefault="0008794F" w:rsidP="001045E3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Slovensko bylo zhruba v polovině žebříčku průměrných růstů HDP evropských zemí za roky 1998-2004 s tempem +3,7 %, což bylo nejvíce z trojice ČR, SR, Rakousko </w:t>
            </w:r>
          </w:p>
        </w:tc>
        <w:tc>
          <w:tcPr>
            <w:tcW w:w="139" w:type="pct"/>
          </w:tcPr>
          <w:p w:rsidR="0008794F" w:rsidRDefault="0008794F" w:rsidP="001045E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AB02AE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Ekonomika Slovenské republiky neprošla recesí z počátku druhé poloviny 90. let, jako ekonomika Č</w:t>
            </w:r>
            <w:r w:rsidR="00F36F92">
              <w:rPr>
                <w:color w:val="000000"/>
                <w:spacing w:val="-6"/>
              </w:rPr>
              <w:t>eské republiky</w:t>
            </w:r>
            <w:r>
              <w:rPr>
                <w:color w:val="000000"/>
                <w:spacing w:val="-6"/>
              </w:rPr>
              <w:t xml:space="preserve"> a její silná dynamika v letech 2002-2004 (+4,5 %, +5,4 % a +5,3 %) vedl</w:t>
            </w:r>
            <w:r w:rsidR="00F36F92">
              <w:rPr>
                <w:color w:val="000000"/>
                <w:spacing w:val="-6"/>
              </w:rPr>
              <w:t>a</w:t>
            </w:r>
            <w:r>
              <w:rPr>
                <w:color w:val="000000"/>
                <w:spacing w:val="-6"/>
              </w:rPr>
              <w:t xml:space="preserve"> k průměrnému tempu ročních přírůstků slovenského HDP o 3,4 % v „</w:t>
            </w:r>
            <w:proofErr w:type="spellStart"/>
            <w:r>
              <w:rPr>
                <w:color w:val="000000"/>
                <w:spacing w:val="-6"/>
              </w:rPr>
              <w:t>předvstupním</w:t>
            </w:r>
            <w:proofErr w:type="spellEnd"/>
            <w:r>
              <w:rPr>
                <w:color w:val="000000"/>
                <w:spacing w:val="-6"/>
              </w:rPr>
              <w:t xml:space="preserve"> období“ 1998-2004. To pro slovenskou ekonomiku sice znamenalo první místo v trojici zemí sledovaných v této analýze, ovšem v žebříčku zemí EU </w:t>
            </w:r>
            <w:r w:rsidR="00322B77">
              <w:rPr>
                <w:color w:val="000000"/>
                <w:spacing w:val="-6"/>
              </w:rPr>
              <w:t xml:space="preserve">sledovaných </w:t>
            </w:r>
            <w:proofErr w:type="spellStart"/>
            <w:r w:rsidR="00322B77">
              <w:rPr>
                <w:color w:val="000000"/>
                <w:spacing w:val="-6"/>
              </w:rPr>
              <w:t>Eurostatem</w:t>
            </w:r>
            <w:proofErr w:type="spellEnd"/>
            <w:r w:rsidR="00322B77">
              <w:rPr>
                <w:color w:val="000000"/>
                <w:spacing w:val="-6"/>
              </w:rPr>
              <w:t xml:space="preserve"> v datech zmíněného období </w:t>
            </w:r>
            <w:r>
              <w:rPr>
                <w:color w:val="000000"/>
                <w:spacing w:val="-6"/>
              </w:rPr>
              <w:t>bylo Slovensko až v</w:t>
            </w:r>
            <w:r w:rsidR="00322B77">
              <w:rPr>
                <w:color w:val="000000"/>
                <w:spacing w:val="-6"/>
              </w:rPr>
              <w:t> </w:t>
            </w:r>
            <w:r>
              <w:rPr>
                <w:color w:val="000000"/>
                <w:spacing w:val="-6"/>
              </w:rPr>
              <w:t>polovině</w:t>
            </w:r>
            <w:r w:rsidR="00322B77">
              <w:rPr>
                <w:color w:val="000000"/>
                <w:spacing w:val="-6"/>
              </w:rPr>
              <w:t>.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08794F" w:rsidRPr="000E3023" w:rsidRDefault="0008794F" w:rsidP="00AB02AE">
            <w:pPr>
              <w:spacing w:line="240" w:lineRule="auto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AB02AE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Rychleji rostly nejen pobaltské a balkánské země vlivem své n</w:t>
            </w:r>
            <w:r w:rsidR="00F36F92">
              <w:rPr>
                <w:color w:val="000000"/>
                <w:spacing w:val="-6"/>
              </w:rPr>
              <w:t xml:space="preserve">ízké ekonomické základny, ale </w:t>
            </w:r>
            <w:r>
              <w:rPr>
                <w:color w:val="000000"/>
                <w:spacing w:val="-6"/>
              </w:rPr>
              <w:t xml:space="preserve">např. </w:t>
            </w:r>
            <w:r w:rsidR="00F36F92">
              <w:rPr>
                <w:color w:val="000000"/>
                <w:spacing w:val="-6"/>
              </w:rPr>
              <w:t xml:space="preserve">i </w:t>
            </w:r>
            <w:r>
              <w:rPr>
                <w:color w:val="000000"/>
                <w:spacing w:val="-6"/>
              </w:rPr>
              <w:t xml:space="preserve">Španělsko, Švédsko anebo Finsko a ze zemí Visegrádské čtyřky rovněž Maďarsko a Polsko. Nejvyšší ekonomickou výkonnost ukázalo za roky 1998-2004 Irsko, nejmenší průměrný přírůstek pak měla největší evropská ekonomika - německý HDP rostl v průměru ročně jen o 1,3 % (graf 17).  </w:t>
            </w:r>
          </w:p>
          <w:p w:rsidR="0008794F" w:rsidRPr="003D78A5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vanish/>
                <w:color w:val="000000"/>
                <w:spacing w:val="-6"/>
              </w:rPr>
              <w:t xml:space="preserve">DP o 3,78 </w:t>
            </w:r>
          </w:p>
        </w:tc>
      </w:tr>
    </w:tbl>
    <w:p w:rsidR="0008794F" w:rsidRDefault="0008794F" w:rsidP="00D34225">
      <w:r>
        <w:rPr>
          <w:b/>
        </w:rPr>
        <w:t xml:space="preserve">Graf 17: Průměrný meziroční přírůstek HDP reálně v letech 1998-2004 </w:t>
      </w:r>
      <w:r w:rsidRPr="00A14EDC">
        <w:t>(v %)</w:t>
      </w:r>
    </w:p>
    <w:p w:rsidR="0008794F" w:rsidRPr="002C1F9D" w:rsidRDefault="00473823" w:rsidP="002C1F9D">
      <w:pPr>
        <w:jc w:val="center"/>
      </w:pPr>
      <w:r>
        <w:pict>
          <v:shape id="_x0000_i1029" type="#_x0000_t75" style="width:410.25pt;height:185.25pt">
            <v:imagedata r:id="rId12" o:title=""/>
          </v:shape>
        </w:pict>
      </w:r>
    </w:p>
    <w:p w:rsidR="0008794F" w:rsidRDefault="0008794F" w:rsidP="002C1F9D">
      <w:pPr>
        <w:jc w:val="right"/>
        <w:rPr>
          <w:sz w:val="18"/>
          <w:szCs w:val="18"/>
        </w:rPr>
      </w:pPr>
      <w:r w:rsidRPr="00A14EDC">
        <w:rPr>
          <w:sz w:val="18"/>
          <w:szCs w:val="18"/>
        </w:rPr>
        <w:t xml:space="preserve">Pramen: </w:t>
      </w:r>
      <w:proofErr w:type="spellStart"/>
      <w:r w:rsidRPr="00A14EDC">
        <w:rPr>
          <w:sz w:val="18"/>
          <w:szCs w:val="18"/>
        </w:rPr>
        <w:t>Eurostat</w:t>
      </w:r>
      <w:proofErr w:type="spellEnd"/>
    </w:p>
    <w:p w:rsidR="0008794F" w:rsidRPr="001873E2" w:rsidRDefault="0008794F" w:rsidP="00356033">
      <w:pPr>
        <w:jc w:val="both"/>
        <w:rPr>
          <w:sz w:val="16"/>
          <w:szCs w:val="16"/>
        </w:rPr>
      </w:pPr>
    </w:p>
    <w:p w:rsidR="0008794F" w:rsidRPr="001873E2" w:rsidRDefault="0008794F" w:rsidP="001873E2">
      <w:pPr>
        <w:numPr>
          <w:ilvl w:val="3"/>
          <w:numId w:val="24"/>
        </w:numPr>
        <w:spacing w:line="240" w:lineRule="auto"/>
        <w:rPr>
          <w:b/>
          <w:color w:val="000000"/>
          <w:spacing w:val="-2"/>
          <w:sz w:val="22"/>
          <w:szCs w:val="22"/>
        </w:rPr>
      </w:pPr>
      <w:r w:rsidRPr="001873E2">
        <w:rPr>
          <w:b/>
          <w:sz w:val="22"/>
          <w:szCs w:val="22"/>
        </w:rPr>
        <w:t xml:space="preserve"> </w:t>
      </w:r>
      <w:r w:rsidRPr="001873E2">
        <w:rPr>
          <w:b/>
          <w:color w:val="000000"/>
          <w:spacing w:val="-2"/>
          <w:sz w:val="22"/>
          <w:szCs w:val="22"/>
        </w:rPr>
        <w:t>Průměrné meziroční růsty ekono</w:t>
      </w:r>
      <w:r>
        <w:rPr>
          <w:b/>
          <w:color w:val="000000"/>
          <w:spacing w:val="-2"/>
          <w:sz w:val="22"/>
          <w:szCs w:val="22"/>
        </w:rPr>
        <w:t xml:space="preserve">mik ČR, SR a Rakouska v letech </w:t>
      </w:r>
      <w:r w:rsidRPr="001873E2">
        <w:rPr>
          <w:b/>
          <w:color w:val="000000"/>
          <w:spacing w:val="-2"/>
          <w:sz w:val="22"/>
          <w:szCs w:val="22"/>
        </w:rPr>
        <w:t>2004</w:t>
      </w:r>
      <w:r>
        <w:rPr>
          <w:b/>
          <w:color w:val="000000"/>
          <w:spacing w:val="-2"/>
          <w:sz w:val="22"/>
          <w:szCs w:val="22"/>
        </w:rPr>
        <w:t>-2014</w:t>
      </w:r>
      <w:r>
        <w:rPr>
          <w:b/>
          <w:vanish/>
        </w:rPr>
        <w:t>DP ČR, SR a Rakouska HH</w:t>
      </w:r>
    </w:p>
    <w:p w:rsidR="0008794F" w:rsidRPr="00AE1A78" w:rsidRDefault="0008794F" w:rsidP="001873E2">
      <w:pPr>
        <w:jc w:val="both"/>
        <w:rPr>
          <w:b/>
          <w:sz w:val="16"/>
          <w:szCs w:val="16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2A4360">
        <w:tc>
          <w:tcPr>
            <w:tcW w:w="1042" w:type="pct"/>
          </w:tcPr>
          <w:p w:rsidR="0008794F" w:rsidRPr="00602D1D" w:rsidRDefault="00322B77" w:rsidP="002A436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Slovensko rostlo </w:t>
            </w:r>
            <w:r w:rsidR="0008794F">
              <w:rPr>
                <w:color w:val="000000"/>
                <w:sz w:val="16"/>
                <w:szCs w:val="16"/>
              </w:rPr>
              <w:t>v průměru ročně v letech 2004-2014 nejrychleji v Evropě…</w:t>
            </w:r>
          </w:p>
        </w:tc>
        <w:tc>
          <w:tcPr>
            <w:tcW w:w="139" w:type="pct"/>
          </w:tcPr>
          <w:p w:rsidR="0008794F" w:rsidRDefault="0008794F" w:rsidP="002A436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Slovenská ekonomika rostla nejrychleji oproti ČR a Rakousku zejména po roce 2004, kdy se její HDP každoročně až do roku 2014 zvyšoval o 4 %. Během těchto let byla z pohledu růstové dynamiky HDP vůbec nejrychlejší evropskou zemí (graf 18). </w:t>
            </w:r>
          </w:p>
          <w:p w:rsidR="0008794F" w:rsidRPr="003D78A5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C32552">
        <w:tc>
          <w:tcPr>
            <w:tcW w:w="1042" w:type="pct"/>
          </w:tcPr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…díky vstupu do EI v kombinaci s uskutečněnými reformami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Podle růstové dynamiky za roky členství Slovenska v</w:t>
            </w:r>
            <w:r w:rsidR="004C5160">
              <w:rPr>
                <w:color w:val="000000"/>
                <w:spacing w:val="-6"/>
              </w:rPr>
              <w:t> </w:t>
            </w:r>
            <w:r>
              <w:rPr>
                <w:color w:val="000000"/>
                <w:spacing w:val="-6"/>
              </w:rPr>
              <w:t>EU</w:t>
            </w:r>
            <w:r w:rsidR="004C5160">
              <w:rPr>
                <w:color w:val="000000"/>
                <w:spacing w:val="-6"/>
              </w:rPr>
              <w:t xml:space="preserve">, která  </w:t>
            </w:r>
            <w:proofErr w:type="gramStart"/>
            <w:r w:rsidR="004C5160">
              <w:rPr>
                <w:color w:val="000000"/>
                <w:spacing w:val="-6"/>
              </w:rPr>
              <w:t>byla</w:t>
            </w:r>
            <w:proofErr w:type="gramEnd"/>
            <w:r>
              <w:rPr>
                <w:color w:val="000000"/>
                <w:spacing w:val="-6"/>
              </w:rPr>
              <w:t xml:space="preserve"> </w:t>
            </w:r>
            <w:r w:rsidR="004C5160">
              <w:rPr>
                <w:color w:val="000000"/>
                <w:spacing w:val="-6"/>
              </w:rPr>
              <w:t xml:space="preserve">nejrychlejší v Evropě </w:t>
            </w:r>
            <w:r>
              <w:rPr>
                <w:color w:val="000000"/>
                <w:spacing w:val="-6"/>
              </w:rPr>
              <w:t xml:space="preserve">se </w:t>
            </w:r>
            <w:proofErr w:type="gramStart"/>
            <w:r>
              <w:rPr>
                <w:color w:val="000000"/>
                <w:spacing w:val="-6"/>
              </w:rPr>
              <w:t>může</w:t>
            </w:r>
            <w:proofErr w:type="gramEnd"/>
            <w:r>
              <w:rPr>
                <w:color w:val="000000"/>
                <w:spacing w:val="-6"/>
              </w:rPr>
              <w:t xml:space="preserve"> zdát, že tato země ze vstupu do EU </w:t>
            </w:r>
            <w:r w:rsidR="00322B77">
              <w:rPr>
                <w:color w:val="000000"/>
                <w:spacing w:val="-6"/>
              </w:rPr>
              <w:t>získala</w:t>
            </w:r>
            <w:r>
              <w:rPr>
                <w:color w:val="000000"/>
                <w:spacing w:val="-6"/>
              </w:rPr>
              <w:t xml:space="preserve"> nejvíce. Na Slovensku však </w:t>
            </w:r>
            <w:r>
              <w:rPr>
                <w:color w:val="000000"/>
                <w:spacing w:val="-6"/>
              </w:rPr>
              <w:lastRenderedPageBreak/>
              <w:t>rovněž v tomto období proběhly reformy týkající se zdravotní a penzijní oblasti i celá řada dalších reforem, především daňových či s daněmi spojených (např. zavedení kontroly odv</w:t>
            </w:r>
            <w:r w:rsidR="00AE1A78">
              <w:rPr>
                <w:color w:val="000000"/>
                <w:spacing w:val="-6"/>
              </w:rPr>
              <w:t xml:space="preserve">ádění </w:t>
            </w:r>
            <w:r>
              <w:rPr>
                <w:color w:val="000000"/>
                <w:spacing w:val="-6"/>
              </w:rPr>
              <w:t xml:space="preserve">DPH z tržeb přes tzv. </w:t>
            </w:r>
            <w:r w:rsidR="00322B77">
              <w:rPr>
                <w:color w:val="000000"/>
                <w:spacing w:val="-6"/>
              </w:rPr>
              <w:t>r</w:t>
            </w:r>
            <w:r>
              <w:rPr>
                <w:color w:val="000000"/>
                <w:spacing w:val="-6"/>
              </w:rPr>
              <w:t xml:space="preserve">egistrační pokladny). </w:t>
            </w:r>
          </w:p>
          <w:p w:rsidR="0008794F" w:rsidRPr="00960BD9" w:rsidRDefault="0008794F" w:rsidP="00F256F6">
            <w:pPr>
              <w:pStyle w:val="Textpoznpodarou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</w:tr>
      <w:tr w:rsidR="0008794F" w:rsidRPr="003D78A5" w:rsidTr="00C32552">
        <w:tc>
          <w:tcPr>
            <w:tcW w:w="1042" w:type="pct"/>
          </w:tcPr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ČR si za roky 2004-2014 „polepšila“ v pořadí z</w:t>
            </w:r>
            <w:r w:rsidR="00322B77">
              <w:rPr>
                <w:color w:val="000000"/>
                <w:sz w:val="16"/>
                <w:szCs w:val="16"/>
              </w:rPr>
              <w:t>emí EU řazených podle meziroční</w:t>
            </w:r>
            <w:r>
              <w:rPr>
                <w:color w:val="000000"/>
                <w:sz w:val="16"/>
                <w:szCs w:val="16"/>
              </w:rPr>
              <w:t xml:space="preserve"> rychlosti růstu… 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1873E2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Česká republika si během let 2004-2014 rovněž polepšila, pokud jde o pozici v žebříčku zemí Evropy seřazených podle meziročních temp růstu. Zatímco v období 1998-2004 byla na 20. místě, za období 2004-2014 na 11. místě. </w:t>
            </w:r>
          </w:p>
          <w:p w:rsidR="0008794F" w:rsidRPr="00960BD9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08794F" w:rsidRPr="003D78A5" w:rsidTr="00AB454F">
        <w:tc>
          <w:tcPr>
            <w:tcW w:w="1042" w:type="pct"/>
          </w:tcPr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 i přesto, že průměrná meziroční dynamika v letech 2004-2014 byla v</w:t>
            </w:r>
            <w:r w:rsidR="00322B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ČR pomalejší než za roky 1998-2004 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Jistý paradox této pozitivní změny spočívá v tom, že ke zlepšení pozice v žebříčku zemí došlo i přesto, že průměrná růstová dynamika České republiky za období 2004-2014 (+2,4 %) byla mí</w:t>
            </w:r>
            <w:r w:rsidR="004C5160">
              <w:rPr>
                <w:color w:val="000000"/>
                <w:spacing w:val="-6"/>
              </w:rPr>
              <w:t>r</w:t>
            </w:r>
            <w:r>
              <w:rPr>
                <w:color w:val="000000"/>
                <w:spacing w:val="-6"/>
              </w:rPr>
              <w:t xml:space="preserve">ně slabší než růstová dynamika z let 1998-2004 (+2,7 %.). Důvod lze najít v  tom, že země prošla stejně jako drtivá většina zemí EU krizí v roce 2009, a to s dopadem mírně horším než průměr Unie (-4,8 % y/y proti -4,4 % y/y v EU 28). Navíc ale poznamenala ekonomiku ČR recese let 2012-2013, kterou co do délky </w:t>
            </w:r>
            <w:r w:rsidR="0048697B">
              <w:rPr>
                <w:color w:val="000000"/>
                <w:spacing w:val="-6"/>
              </w:rPr>
              <w:t xml:space="preserve">(počtu </w:t>
            </w:r>
            <w:r>
              <w:rPr>
                <w:color w:val="000000"/>
                <w:spacing w:val="-6"/>
              </w:rPr>
              <w:t>čtvrtletí s</w:t>
            </w:r>
            <w:r w:rsidR="0048697B">
              <w:rPr>
                <w:color w:val="000000"/>
                <w:spacing w:val="-6"/>
              </w:rPr>
              <w:t> </w:t>
            </w:r>
            <w:r>
              <w:rPr>
                <w:color w:val="000000"/>
                <w:spacing w:val="-6"/>
              </w:rPr>
              <w:t>poklesy</w:t>
            </w:r>
            <w:r w:rsidR="0048697B">
              <w:rPr>
                <w:color w:val="000000"/>
                <w:spacing w:val="-6"/>
              </w:rPr>
              <w:t>)</w:t>
            </w:r>
            <w:r>
              <w:rPr>
                <w:color w:val="000000"/>
                <w:spacing w:val="-6"/>
              </w:rPr>
              <w:t xml:space="preserve"> také naprostá většina zemí Evropy neznamenala. </w:t>
            </w:r>
          </w:p>
          <w:p w:rsidR="0008794F" w:rsidRPr="00986971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986971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 w:rsidRPr="00986971">
              <w:rPr>
                <w:color w:val="000000"/>
                <w:spacing w:val="-6"/>
              </w:rPr>
              <w:t>Na druhé straně vah pak co se vývoje Č</w:t>
            </w:r>
            <w:r w:rsidR="0048697B">
              <w:rPr>
                <w:color w:val="000000"/>
                <w:spacing w:val="-6"/>
              </w:rPr>
              <w:t xml:space="preserve">R </w:t>
            </w:r>
            <w:r w:rsidRPr="00986971">
              <w:rPr>
                <w:color w:val="000000"/>
                <w:spacing w:val="-6"/>
              </w:rPr>
              <w:t>po roce 2004 týká, stojí eviden</w:t>
            </w:r>
            <w:r>
              <w:rPr>
                <w:color w:val="000000"/>
                <w:spacing w:val="-6"/>
              </w:rPr>
              <w:t>tn</w:t>
            </w:r>
            <w:r w:rsidRPr="00986971">
              <w:rPr>
                <w:color w:val="000000"/>
                <w:spacing w:val="-6"/>
              </w:rPr>
              <w:t>í přínosy ze vstupu země do EU projevující se odbour</w:t>
            </w:r>
            <w:r w:rsidR="0048697B">
              <w:rPr>
                <w:color w:val="000000"/>
                <w:spacing w:val="-6"/>
              </w:rPr>
              <w:t>áním administrativních překážek</w:t>
            </w:r>
            <w:r w:rsidRPr="00986971">
              <w:rPr>
                <w:color w:val="000000"/>
                <w:spacing w:val="-6"/>
              </w:rPr>
              <w:t xml:space="preserve"> obchodu, jeho </w:t>
            </w:r>
            <w:r w:rsidR="0048697B">
              <w:rPr>
                <w:color w:val="000000"/>
                <w:spacing w:val="-6"/>
              </w:rPr>
              <w:t>rychlé tempo růstu (</w:t>
            </w:r>
            <w:r w:rsidRPr="00986971">
              <w:rPr>
                <w:color w:val="000000"/>
                <w:spacing w:val="-6"/>
              </w:rPr>
              <w:t>totéž plat</w:t>
            </w:r>
            <w:r w:rsidR="0048697B">
              <w:rPr>
                <w:color w:val="000000"/>
                <w:spacing w:val="-6"/>
              </w:rPr>
              <w:t>ilo</w:t>
            </w:r>
            <w:r w:rsidRPr="00986971">
              <w:rPr>
                <w:color w:val="000000"/>
                <w:spacing w:val="-6"/>
              </w:rPr>
              <w:t xml:space="preserve"> i pro SR</w:t>
            </w:r>
            <w:r w:rsidR="0048697B">
              <w:rPr>
                <w:color w:val="000000"/>
                <w:spacing w:val="-6"/>
              </w:rPr>
              <w:t>)</w:t>
            </w:r>
            <w:r w:rsidRPr="00986971">
              <w:rPr>
                <w:color w:val="000000"/>
                <w:spacing w:val="-6"/>
              </w:rPr>
              <w:t xml:space="preserve">. </w:t>
            </w:r>
            <w:r w:rsidRPr="0048697B">
              <w:rPr>
                <w:color w:val="000000"/>
              </w:rPr>
              <w:t xml:space="preserve">Přínosem byl po vstupu </w:t>
            </w:r>
            <w:r w:rsidR="0048697B">
              <w:rPr>
                <w:color w:val="000000"/>
              </w:rPr>
              <w:t>(</w:t>
            </w:r>
            <w:r w:rsidRPr="0048697B">
              <w:rPr>
                <w:color w:val="000000"/>
              </w:rPr>
              <w:t>opět jako pro SR</w:t>
            </w:r>
            <w:r w:rsidR="0048697B">
              <w:rPr>
                <w:color w:val="000000"/>
              </w:rPr>
              <w:t>)</w:t>
            </w:r>
            <w:r w:rsidRPr="0048697B">
              <w:rPr>
                <w:color w:val="000000"/>
              </w:rPr>
              <w:t xml:space="preserve"> přístup k rozpočtu EU, kdy čerpání peněz především ze strukturálních evropských fondů získal kromě Prahy každý z regionů NUTS 2 v</w:t>
            </w:r>
            <w:r w:rsidR="0048697B" w:rsidRPr="0048697B">
              <w:rPr>
                <w:color w:val="000000"/>
              </w:rPr>
              <w:t> </w:t>
            </w:r>
            <w:r w:rsidRPr="0048697B">
              <w:rPr>
                <w:color w:val="000000"/>
              </w:rPr>
              <w:t>ČR</w:t>
            </w:r>
            <w:r w:rsidR="0048697B" w:rsidRPr="0048697B">
              <w:rPr>
                <w:color w:val="000000"/>
              </w:rPr>
              <w:t xml:space="preserve"> a pak také pokračující příliv přímých investic reagující na zvýšení atraktivity ČR jako členské země EU.</w:t>
            </w:r>
            <w:r w:rsidRPr="00986971">
              <w:rPr>
                <w:color w:val="000000"/>
                <w:spacing w:val="-6"/>
              </w:rPr>
              <w:t xml:space="preserve"> </w:t>
            </w:r>
          </w:p>
          <w:p w:rsidR="0008794F" w:rsidRPr="00960BD9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08794F" w:rsidRPr="003D78A5" w:rsidTr="00AB454F">
        <w:tc>
          <w:tcPr>
            <w:tcW w:w="1042" w:type="pct"/>
          </w:tcPr>
          <w:p w:rsidR="0008794F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Rakousko si vedlo velmi dobře i v situaci, kdy většina starých zemí Unie i skupina EU 15 jako celek v průměru ztrácela dynamiku HDP </w:t>
            </w:r>
          </w:p>
          <w:p w:rsidR="0008794F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Ekonomika Rakouska, stejně jako německá ekonomika těžily zřejmě ze sousedství s novými zeměmi EU - nejen co se týká exportních možností, ale i přílivem pracovníků, kteří v těchto zemích tvořili přidanou hodnotu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Výkonnost ekonomiky Rakouska je pozoruhodná v tom, že jak za období po rozšíření Evropské unie o nové země, tak i za celé období 1998-2014, rostl rakouský HDP rychleji než průměr starých zemí</w:t>
            </w:r>
            <w:r w:rsidR="00056451">
              <w:rPr>
                <w:color w:val="000000"/>
                <w:spacing w:val="-6"/>
              </w:rPr>
              <w:t xml:space="preserve"> </w:t>
            </w:r>
            <w:r w:rsidR="00322B77">
              <w:rPr>
                <w:color w:val="000000"/>
                <w:spacing w:val="-6"/>
              </w:rPr>
              <w:t>U</w:t>
            </w:r>
            <w:r>
              <w:rPr>
                <w:color w:val="000000"/>
                <w:spacing w:val="-6"/>
              </w:rPr>
              <w:t xml:space="preserve">nie tj. skupiny EU 15, tak i </w:t>
            </w:r>
            <w:r w:rsidR="00322B77">
              <w:rPr>
                <w:color w:val="000000"/>
                <w:spacing w:val="-6"/>
              </w:rPr>
              <w:t>U</w:t>
            </w:r>
            <w:r>
              <w:rPr>
                <w:color w:val="000000"/>
                <w:spacing w:val="-6"/>
              </w:rPr>
              <w:t xml:space="preserve">nie jako celku tj. EU 28, i když právě </w:t>
            </w:r>
            <w:proofErr w:type="spellStart"/>
            <w:r>
              <w:rPr>
                <w:color w:val="000000"/>
                <w:spacing w:val="-6"/>
              </w:rPr>
              <w:t>celounijní</w:t>
            </w:r>
            <w:proofErr w:type="spellEnd"/>
            <w:r>
              <w:rPr>
                <w:color w:val="000000"/>
                <w:spacing w:val="-6"/>
              </w:rPr>
              <w:t xml:space="preserve"> tempo bylo růstu bylo „podporováno“ rychlou dynamikou vývoje ekonomik nových zemí.</w:t>
            </w:r>
          </w:p>
          <w:p w:rsidR="0008794F" w:rsidRPr="00960BD9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997EEB" w:rsidRDefault="0008794F" w:rsidP="00AB02A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Pozice Rakouska se tak podle průměrných temp růstu za roky 2004-2014 v evropském srovnání rovněž zlepšila. Jestliže za roky 1998-2004 rostl HDP Rakouska průměrným tempem (+2,5 %), které ho řadilo na přelomu druhé a třetí třetiny v pořadí </w:t>
            </w:r>
            <w:r w:rsidR="0048697B">
              <w:rPr>
                <w:color w:val="000000"/>
                <w:spacing w:val="-6"/>
              </w:rPr>
              <w:t xml:space="preserve">dynamiky </w:t>
            </w:r>
            <w:r>
              <w:rPr>
                <w:color w:val="000000"/>
                <w:spacing w:val="-6"/>
              </w:rPr>
              <w:t xml:space="preserve">evropských zemí, pak v letech 2004-2014 se Rakousko dostalo zhruba do jeho poloviny </w:t>
            </w:r>
            <w:r w:rsidR="00322B77">
              <w:rPr>
                <w:color w:val="000000"/>
                <w:spacing w:val="-6"/>
              </w:rPr>
              <w:t xml:space="preserve">tohoto žebříčku </w:t>
            </w:r>
            <w:r>
              <w:rPr>
                <w:color w:val="000000"/>
                <w:spacing w:val="-6"/>
              </w:rPr>
              <w:t>s průměrným tempem růstu 1,4 %.  Patřilo tak spo</w:t>
            </w:r>
            <w:r w:rsidR="004C5160">
              <w:rPr>
                <w:color w:val="000000"/>
                <w:spacing w:val="-6"/>
              </w:rPr>
              <w:t>lu s Německem k několika zemím U</w:t>
            </w:r>
            <w:r>
              <w:rPr>
                <w:color w:val="000000"/>
                <w:spacing w:val="-6"/>
              </w:rPr>
              <w:t xml:space="preserve">nie, kde byl v letech 2006 a 2007 významně dynamizován hospodářský růst a lze soudit, že tomu tak </w:t>
            </w:r>
            <w:r w:rsidR="0048697B">
              <w:rPr>
                <w:color w:val="000000"/>
                <w:spacing w:val="-6"/>
              </w:rPr>
              <w:t>mohlo být</w:t>
            </w:r>
            <w:r>
              <w:rPr>
                <w:color w:val="000000"/>
                <w:spacing w:val="-6"/>
              </w:rPr>
              <w:t xml:space="preserve"> i díky sousedství s novými členskými zeměmi s jejich zesílenou poptávkou po zboží z Německa a Rakouska.  </w:t>
            </w:r>
          </w:p>
          <w:p w:rsidR="0008794F" w:rsidRPr="00960BD9" w:rsidRDefault="0008794F" w:rsidP="00AB02AE">
            <w:pPr>
              <w:pStyle w:val="Textpoznpodarou"/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08794F" w:rsidRPr="00A14EDC" w:rsidRDefault="0008794F" w:rsidP="002C1F9D">
      <w:r>
        <w:rPr>
          <w:b/>
        </w:rPr>
        <w:t xml:space="preserve">Graf 18: Průměrný meziroční přírůstek HDP reálně v letech 2004-2014 </w:t>
      </w:r>
      <w:r w:rsidRPr="00A14EDC">
        <w:t>(v %)</w:t>
      </w:r>
    </w:p>
    <w:p w:rsidR="0008794F" w:rsidRDefault="00473823" w:rsidP="002A4360">
      <w:pPr>
        <w:jc w:val="center"/>
      </w:pPr>
      <w:r>
        <w:pict>
          <v:shape id="_x0000_i1030" type="#_x0000_t75" style="width:416.25pt;height:169.5pt">
            <v:imagedata r:id="rId13" o:title=""/>
          </v:shape>
        </w:pict>
      </w:r>
    </w:p>
    <w:p w:rsidR="0008794F" w:rsidRDefault="0008794F" w:rsidP="002A4360">
      <w:pPr>
        <w:jc w:val="right"/>
        <w:rPr>
          <w:sz w:val="18"/>
          <w:szCs w:val="18"/>
        </w:rPr>
      </w:pPr>
      <w:r w:rsidRPr="00A14EDC">
        <w:rPr>
          <w:sz w:val="18"/>
          <w:szCs w:val="18"/>
        </w:rPr>
        <w:t xml:space="preserve">Pramen: </w:t>
      </w:r>
      <w:proofErr w:type="spellStart"/>
      <w:r w:rsidRPr="00A14EDC">
        <w:rPr>
          <w:sz w:val="18"/>
          <w:szCs w:val="18"/>
        </w:rPr>
        <w:t>Eurostat</w:t>
      </w:r>
      <w:proofErr w:type="spellEnd"/>
    </w:p>
    <w:p w:rsidR="0008794F" w:rsidRDefault="0008794F" w:rsidP="00960BD9">
      <w:pPr>
        <w:jc w:val="both"/>
        <w:rPr>
          <w:sz w:val="18"/>
          <w:szCs w:val="18"/>
        </w:rPr>
      </w:pPr>
    </w:p>
    <w:p w:rsidR="0008794F" w:rsidRPr="00960BD9" w:rsidRDefault="0008794F" w:rsidP="00C17DDE">
      <w:pPr>
        <w:numPr>
          <w:ilvl w:val="2"/>
          <w:numId w:val="24"/>
        </w:numPr>
        <w:spacing w:line="240" w:lineRule="auto"/>
        <w:rPr>
          <w:b/>
          <w:color w:val="000000"/>
          <w:spacing w:val="-2"/>
          <w:sz w:val="24"/>
        </w:rPr>
      </w:pPr>
      <w:r w:rsidRPr="00960BD9">
        <w:rPr>
          <w:b/>
          <w:color w:val="000000"/>
          <w:spacing w:val="-2"/>
          <w:sz w:val="24"/>
        </w:rPr>
        <w:t>Vývoj růstu ekonomik ČR, SR a Rakouska v letech 1998-2014</w:t>
      </w:r>
    </w:p>
    <w:p w:rsidR="0008794F" w:rsidRPr="00ED118D" w:rsidRDefault="0008794F" w:rsidP="004C557A">
      <w:pPr>
        <w:jc w:val="both"/>
        <w:rPr>
          <w:sz w:val="12"/>
          <w:szCs w:val="12"/>
        </w:rPr>
      </w:pPr>
    </w:p>
    <w:p w:rsidR="0008794F" w:rsidRPr="00972EB7" w:rsidRDefault="0008794F" w:rsidP="002A4360">
      <w:pPr>
        <w:jc w:val="right"/>
        <w:rPr>
          <w:sz w:val="10"/>
          <w:szCs w:val="10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972EB7">
        <w:tc>
          <w:tcPr>
            <w:tcW w:w="1042" w:type="pct"/>
          </w:tcPr>
          <w:p w:rsidR="0008794F" w:rsidRPr="00602D1D" w:rsidRDefault="0008794F" w:rsidP="00322B77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</w:t>
            </w:r>
            <w:r w:rsidR="00322B77">
              <w:rPr>
                <w:color w:val="000000"/>
                <w:sz w:val="16"/>
                <w:szCs w:val="16"/>
              </w:rPr>
              <w:t>R</w:t>
            </w:r>
            <w:r>
              <w:rPr>
                <w:color w:val="000000"/>
                <w:sz w:val="16"/>
                <w:szCs w:val="16"/>
              </w:rPr>
              <w:t xml:space="preserve"> byla podle průměrného meziročního růstu své ekonomiky za roky 1998-2014 v pořadí zemí EU třináctá - průměrný roční </w:t>
            </w:r>
            <w:r>
              <w:rPr>
                <w:color w:val="000000"/>
                <w:sz w:val="16"/>
                <w:szCs w:val="16"/>
              </w:rPr>
              <w:lastRenderedPageBreak/>
              <w:t>růst byl jak za roky 2004-2014, tak za celé sledované období 1998-2014 stejný, tj. +2,4 %; v naději na příznivější výsledek ji „diskvalifikovaly“ dvě období recese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B72B1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Česká republika si v průběhu času polepšila, pokud jde o pozici v žebříčku zemí Evropy seřazených podle průměrných meziročních temp růstu. V  letech 1998-2014 byla až ve druhé polovině žebříčku zemí Evropy, za ob</w:t>
            </w:r>
            <w:r w:rsidR="0048697B">
              <w:rPr>
                <w:color w:val="000000"/>
                <w:spacing w:val="-6"/>
              </w:rPr>
              <w:t>dobí 2004-2014 pak na 11. místě. V</w:t>
            </w:r>
            <w:r>
              <w:rPr>
                <w:color w:val="000000"/>
                <w:spacing w:val="-6"/>
              </w:rPr>
              <w:t xml:space="preserve"> úhrnu let 1998-2014 </w:t>
            </w:r>
            <w:r w:rsidR="0048697B">
              <w:rPr>
                <w:color w:val="000000"/>
                <w:spacing w:val="-6"/>
              </w:rPr>
              <w:t xml:space="preserve">ji </w:t>
            </w:r>
            <w:r>
              <w:rPr>
                <w:color w:val="000000"/>
                <w:spacing w:val="-6"/>
              </w:rPr>
              <w:t>průměr</w:t>
            </w:r>
            <w:r w:rsidR="0048697B">
              <w:rPr>
                <w:color w:val="000000"/>
                <w:spacing w:val="-6"/>
              </w:rPr>
              <w:t>ný</w:t>
            </w:r>
            <w:r>
              <w:rPr>
                <w:color w:val="000000"/>
                <w:spacing w:val="-6"/>
              </w:rPr>
              <w:t xml:space="preserve"> růst HDP zařadil na 13. místo </w:t>
            </w:r>
            <w:r w:rsidR="0048697B">
              <w:rPr>
                <w:color w:val="000000"/>
                <w:spacing w:val="-6"/>
              </w:rPr>
              <w:t>v</w:t>
            </w:r>
            <w:r>
              <w:rPr>
                <w:color w:val="000000"/>
                <w:spacing w:val="-6"/>
              </w:rPr>
              <w:t xml:space="preserve"> EU 28</w:t>
            </w:r>
            <w:r w:rsidR="0048697B">
              <w:rPr>
                <w:color w:val="000000"/>
                <w:spacing w:val="-6"/>
              </w:rPr>
              <w:t xml:space="preserve"> - </w:t>
            </w:r>
            <w:r>
              <w:rPr>
                <w:color w:val="000000"/>
                <w:spacing w:val="-6"/>
              </w:rPr>
              <w:t xml:space="preserve">zůstal jak za období po </w:t>
            </w:r>
            <w:r>
              <w:rPr>
                <w:color w:val="000000"/>
                <w:spacing w:val="-6"/>
              </w:rPr>
              <w:lastRenderedPageBreak/>
              <w:t xml:space="preserve">vstupu do Unie, tak za celé období 1998-2014 stejný, tj. v průměru +2,4 %. </w:t>
            </w:r>
          </w:p>
          <w:p w:rsidR="0008794F" w:rsidRPr="00960BD9" w:rsidRDefault="0008794F" w:rsidP="00B72B1E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997EEB" w:rsidRDefault="0008794F" w:rsidP="00B72B1E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Přitom jak na počátku, tak i na konci celého sledovaného období 1998-2004  „diskvalifikovaly“ </w:t>
            </w:r>
            <w:r w:rsidR="00322B77">
              <w:rPr>
                <w:color w:val="000000"/>
                <w:spacing w:val="-6"/>
              </w:rPr>
              <w:t xml:space="preserve">ČR </w:t>
            </w:r>
            <w:r>
              <w:rPr>
                <w:color w:val="000000"/>
                <w:spacing w:val="-6"/>
              </w:rPr>
              <w:t>pokud jde o příznivější výsledek dvě recese - ta s přesahem do roku 1997 snížila HDP ČR o 0,7 %, resp. o 0,3 % v roce 2008, recese z let 2012 a 2013 snížila meziročně výkon české ekonomiky o 0,9 % a 0,5 %. Oživení přinesl až rok 2014 (+2 % y/y), po němž následoval výrazn</w:t>
            </w:r>
            <w:r w:rsidR="00322B77">
              <w:rPr>
                <w:color w:val="000000"/>
                <w:spacing w:val="-6"/>
              </w:rPr>
              <w:t>ý</w:t>
            </w:r>
            <w:r>
              <w:rPr>
                <w:color w:val="000000"/>
                <w:spacing w:val="-6"/>
              </w:rPr>
              <w:t xml:space="preserve"> meziroční růst v roce 2015 se tempy HDP ve třech čtvrtletích 2015 vyššími než 4 %.    </w:t>
            </w:r>
          </w:p>
          <w:p w:rsidR="0008794F" w:rsidRPr="00ED118D" w:rsidRDefault="0008794F" w:rsidP="00FC09F4">
            <w:pPr>
              <w:pStyle w:val="Textpoznpodarou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</w:tr>
      <w:tr w:rsidR="0008794F" w:rsidRPr="003D78A5" w:rsidTr="00675D35">
        <w:tc>
          <w:tcPr>
            <w:tcW w:w="1042" w:type="pct"/>
          </w:tcPr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Rakousko bylo v letech 1998-2014 jednou z nejstabilnějších zemí Unie - jeho HDP začal významněji zpomalovat až v letech 2013-2014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356033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  <w:r w:rsidRPr="00356033">
              <w:rPr>
                <w:color w:val="000000"/>
                <w:spacing w:val="-6"/>
              </w:rPr>
              <w:t>Rakousko patřilo za celé období 1998-2014 k nejstabilnějším zemím Unie s růstem vyšším než kolik či</w:t>
            </w:r>
            <w:r>
              <w:rPr>
                <w:color w:val="000000"/>
                <w:spacing w:val="-6"/>
              </w:rPr>
              <w:t xml:space="preserve">nil </w:t>
            </w:r>
            <w:r w:rsidR="00322B77">
              <w:rPr>
                <w:color w:val="000000"/>
                <w:spacing w:val="-6"/>
              </w:rPr>
              <w:t>unijní</w:t>
            </w:r>
            <w:r>
              <w:rPr>
                <w:color w:val="000000"/>
                <w:spacing w:val="-6"/>
              </w:rPr>
              <w:t xml:space="preserve"> průměr (+1,8 % oproti </w:t>
            </w:r>
            <w:r w:rsidRPr="00356033">
              <w:rPr>
                <w:color w:val="000000"/>
                <w:spacing w:val="-6"/>
              </w:rPr>
              <w:t>+1,6 %). V letech 2013 a 2014 však začala rakouská ekonomika ztrácet na tempu. V </w:t>
            </w:r>
            <w:r>
              <w:rPr>
                <w:color w:val="000000"/>
                <w:spacing w:val="-6"/>
              </w:rPr>
              <w:t xml:space="preserve">roce 2013 vykázala stejně jako </w:t>
            </w:r>
            <w:r w:rsidRPr="00356033">
              <w:rPr>
                <w:color w:val="000000"/>
                <w:spacing w:val="-6"/>
              </w:rPr>
              <w:t xml:space="preserve">EU 28 jen křehký růst (+0,3 % proti +0,2 % v EU 28). V roce </w:t>
            </w:r>
            <w:r>
              <w:rPr>
                <w:color w:val="000000"/>
                <w:spacing w:val="-6"/>
              </w:rPr>
              <w:t>2014 však ji</w:t>
            </w:r>
            <w:r w:rsidRPr="00356033">
              <w:rPr>
                <w:color w:val="000000"/>
                <w:spacing w:val="-6"/>
              </w:rPr>
              <w:t>ž rakouská ekonomika</w:t>
            </w:r>
            <w:r>
              <w:rPr>
                <w:color w:val="000000"/>
                <w:spacing w:val="-6"/>
              </w:rPr>
              <w:t xml:space="preserve"> </w:t>
            </w:r>
            <w:r w:rsidRPr="00356033">
              <w:rPr>
                <w:color w:val="000000"/>
                <w:spacing w:val="-6"/>
              </w:rPr>
              <w:t>nezachytila</w:t>
            </w:r>
            <w:r>
              <w:rPr>
                <w:color w:val="000000"/>
                <w:spacing w:val="-6"/>
              </w:rPr>
              <w:t xml:space="preserve"> </w:t>
            </w:r>
            <w:r w:rsidRPr="00356033">
              <w:rPr>
                <w:color w:val="000000"/>
                <w:spacing w:val="-6"/>
              </w:rPr>
              <w:t>trend mírného ož</w:t>
            </w:r>
            <w:r>
              <w:rPr>
                <w:color w:val="000000"/>
                <w:spacing w:val="-6"/>
              </w:rPr>
              <w:t>i</w:t>
            </w:r>
            <w:r w:rsidRPr="00356033">
              <w:rPr>
                <w:color w:val="000000"/>
                <w:spacing w:val="-6"/>
              </w:rPr>
              <w:t>vení v</w:t>
            </w:r>
            <w:r>
              <w:rPr>
                <w:color w:val="000000"/>
                <w:spacing w:val="-6"/>
              </w:rPr>
              <w:t> </w:t>
            </w:r>
            <w:r w:rsidRPr="00356033">
              <w:rPr>
                <w:color w:val="000000"/>
                <w:spacing w:val="-6"/>
              </w:rPr>
              <w:t>EU</w:t>
            </w:r>
            <w:r>
              <w:rPr>
                <w:color w:val="000000"/>
                <w:spacing w:val="-6"/>
              </w:rPr>
              <w:t xml:space="preserve"> -</w:t>
            </w:r>
            <w:r w:rsidRPr="00356033">
              <w:rPr>
                <w:color w:val="000000"/>
                <w:spacing w:val="-6"/>
              </w:rPr>
              <w:t xml:space="preserve"> jejíž</w:t>
            </w:r>
            <w:r>
              <w:rPr>
                <w:color w:val="000000"/>
                <w:spacing w:val="-6"/>
              </w:rPr>
              <w:t xml:space="preserve"> </w:t>
            </w:r>
            <w:r w:rsidRPr="00356033">
              <w:rPr>
                <w:color w:val="000000"/>
                <w:spacing w:val="-6"/>
              </w:rPr>
              <w:t>HDP se zv</w:t>
            </w:r>
            <w:r>
              <w:rPr>
                <w:color w:val="000000"/>
                <w:spacing w:val="-6"/>
              </w:rPr>
              <w:t>ý</w:t>
            </w:r>
            <w:r w:rsidRPr="00356033">
              <w:rPr>
                <w:color w:val="000000"/>
                <w:spacing w:val="-6"/>
              </w:rPr>
              <w:t>šil o 1,4 %</w:t>
            </w:r>
            <w:r>
              <w:rPr>
                <w:color w:val="000000"/>
                <w:spacing w:val="-6"/>
              </w:rPr>
              <w:t>. Z</w:t>
            </w:r>
            <w:r w:rsidRPr="00356033">
              <w:rPr>
                <w:color w:val="000000"/>
                <w:spacing w:val="-6"/>
              </w:rPr>
              <w:t>ůstala s +0,3</w:t>
            </w:r>
            <w:r>
              <w:rPr>
                <w:color w:val="000000"/>
                <w:spacing w:val="-6"/>
              </w:rPr>
              <w:t>  % růstu HDP šest</w:t>
            </w:r>
            <w:r w:rsidRPr="00356033">
              <w:rPr>
                <w:color w:val="000000"/>
                <w:spacing w:val="-6"/>
              </w:rPr>
              <w:t xml:space="preserve">ou </w:t>
            </w:r>
            <w:r>
              <w:rPr>
                <w:color w:val="000000"/>
                <w:spacing w:val="-6"/>
              </w:rPr>
              <w:t xml:space="preserve">nejméně úspěšnou </w:t>
            </w:r>
            <w:r w:rsidRPr="00356033">
              <w:rPr>
                <w:color w:val="000000"/>
                <w:spacing w:val="-6"/>
              </w:rPr>
              <w:t>ev</w:t>
            </w:r>
            <w:r>
              <w:rPr>
                <w:color w:val="000000"/>
                <w:spacing w:val="-6"/>
              </w:rPr>
              <w:t>r</w:t>
            </w:r>
            <w:r w:rsidRPr="00356033">
              <w:rPr>
                <w:color w:val="000000"/>
                <w:spacing w:val="-6"/>
              </w:rPr>
              <w:t>opskou zemí (po Francii a kle</w:t>
            </w:r>
            <w:r>
              <w:rPr>
                <w:color w:val="000000"/>
                <w:spacing w:val="-6"/>
              </w:rPr>
              <w:t>s</w:t>
            </w:r>
            <w:r w:rsidRPr="00356033">
              <w:rPr>
                <w:color w:val="000000"/>
                <w:spacing w:val="-6"/>
              </w:rPr>
              <w:t>ajících ekonomikách Chorvatska, Itálie</w:t>
            </w:r>
            <w:r>
              <w:rPr>
                <w:color w:val="000000"/>
                <w:spacing w:val="-6"/>
              </w:rPr>
              <w:t>,</w:t>
            </w:r>
            <w:r w:rsidRPr="00356033">
              <w:rPr>
                <w:color w:val="000000"/>
                <w:spacing w:val="-6"/>
              </w:rPr>
              <w:t xml:space="preserve"> Finska a</w:t>
            </w:r>
            <w:r>
              <w:rPr>
                <w:color w:val="000000"/>
                <w:spacing w:val="-6"/>
              </w:rPr>
              <w:t xml:space="preserve"> </w:t>
            </w:r>
            <w:r w:rsidRPr="00356033">
              <w:rPr>
                <w:color w:val="000000"/>
                <w:spacing w:val="-6"/>
              </w:rPr>
              <w:t xml:space="preserve">Kypru).  </w:t>
            </w:r>
          </w:p>
          <w:p w:rsidR="0008794F" w:rsidRPr="00ED118D" w:rsidRDefault="0008794F" w:rsidP="00F256F6">
            <w:pPr>
              <w:pStyle w:val="Textpoznpodarou"/>
              <w:jc w:val="both"/>
              <w:rPr>
                <w:color w:val="000000"/>
                <w:spacing w:val="-6"/>
                <w:sz w:val="16"/>
                <w:szCs w:val="16"/>
              </w:rPr>
            </w:pPr>
          </w:p>
        </w:tc>
      </w:tr>
      <w:tr w:rsidR="0008794F" w:rsidRPr="003D78A5" w:rsidTr="004C557A">
        <w:tc>
          <w:tcPr>
            <w:tcW w:w="1042" w:type="pct"/>
          </w:tcPr>
          <w:p w:rsidR="0008794F" w:rsidRPr="00602D1D" w:rsidRDefault="0008794F" w:rsidP="00F256F6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Úspěch Slovenska – příliv zahraničního kapitálu do konjunkturních odvětví, provedené klíčové reformy a uvolněná fiskální politika  </w:t>
            </w:r>
          </w:p>
        </w:tc>
        <w:tc>
          <w:tcPr>
            <w:tcW w:w="139" w:type="pct"/>
          </w:tcPr>
          <w:p w:rsidR="0008794F" w:rsidRDefault="0008794F" w:rsidP="00F256F6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F256F6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Slovensko je jednou z nejúspěšnějších evropských ekonomik, co se vývoje HDP týká. Těžilo podob</w:t>
            </w:r>
            <w:r w:rsidR="004C5160">
              <w:rPr>
                <w:color w:val="000000"/>
                <w:spacing w:val="-6"/>
              </w:rPr>
              <w:t>n</w:t>
            </w:r>
            <w:r>
              <w:rPr>
                <w:color w:val="000000"/>
                <w:spacing w:val="-6"/>
              </w:rPr>
              <w:t>ě jako pobaltské země z relativně nižší výchozí báze ekonomické vyspělosti, oproti nim však bylo i co se týká výše roz</w:t>
            </w:r>
            <w:r w:rsidR="00322B77">
              <w:rPr>
                <w:color w:val="000000"/>
                <w:spacing w:val="-6"/>
              </w:rPr>
              <w:t>e</w:t>
            </w:r>
            <w:r>
              <w:rPr>
                <w:color w:val="000000"/>
                <w:spacing w:val="-6"/>
              </w:rPr>
              <w:t>bíraného HDP na obyvatele v paritě kupní síly</w:t>
            </w:r>
            <w:r w:rsidR="004C5160">
              <w:rPr>
                <w:color w:val="000000"/>
                <w:spacing w:val="-6"/>
              </w:rPr>
              <w:t xml:space="preserve"> na vyšší úrovni</w:t>
            </w:r>
            <w:r>
              <w:rPr>
                <w:color w:val="000000"/>
                <w:spacing w:val="-6"/>
              </w:rPr>
              <w:t xml:space="preserve">. Mohlo těžit – podobně jako Česká republika – z přílivu zahraničního kapitálu do konjunkturních odvětví. Mezi ně patří především výroba aut a její struktura podle typů, resp. tříd těchto vozů a značek, což umožnilo bez ještě hlubší újmy přečkat krizi v roce 2009, která se projevovala i významně oslabenou poptávkou po těchto typech komodit.  </w:t>
            </w:r>
          </w:p>
          <w:p w:rsidR="0008794F" w:rsidRPr="008828CE" w:rsidRDefault="0008794F" w:rsidP="00F256F6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3D78A5" w:rsidRDefault="0008794F" w:rsidP="00322B77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Spolu s provedenými reformami</w:t>
            </w:r>
            <w:r>
              <w:rPr>
                <w:rStyle w:val="Znakapoznpodarou"/>
                <w:color w:val="000000"/>
                <w:spacing w:val="-6"/>
              </w:rPr>
              <w:footnoteReference w:id="5"/>
            </w:r>
            <w:r>
              <w:rPr>
                <w:color w:val="000000"/>
                <w:spacing w:val="-6"/>
              </w:rPr>
              <w:t xml:space="preserve"> a relativně uvolněnou fiskální politikou (jak bude z dalšího rozboru zřejmé) umožňovaly peníze </w:t>
            </w:r>
            <w:r w:rsidR="00322B77">
              <w:rPr>
                <w:color w:val="000000"/>
                <w:spacing w:val="-6"/>
              </w:rPr>
              <w:t>vkládané</w:t>
            </w:r>
            <w:r>
              <w:rPr>
                <w:color w:val="000000"/>
                <w:spacing w:val="-6"/>
              </w:rPr>
              <w:t xml:space="preserve"> státem do slovenské ekonomiky dynamizovat i její růst. </w:t>
            </w:r>
          </w:p>
        </w:tc>
      </w:tr>
    </w:tbl>
    <w:p w:rsidR="0008794F" w:rsidRPr="0048697B" w:rsidRDefault="0008794F" w:rsidP="00D34225">
      <w:pPr>
        <w:rPr>
          <w:b/>
          <w:sz w:val="12"/>
          <w:szCs w:val="12"/>
        </w:rPr>
      </w:pPr>
    </w:p>
    <w:p w:rsidR="0008794F" w:rsidRPr="00D2002A" w:rsidRDefault="0008794F" w:rsidP="00D34225">
      <w:pPr>
        <w:rPr>
          <w:b/>
        </w:rPr>
      </w:pPr>
      <w:r>
        <w:rPr>
          <w:b/>
        </w:rPr>
        <w:t xml:space="preserve">Graf 19: Průměrný meziroční přírůstek HDP reálně v letech 1998-2014 </w:t>
      </w:r>
      <w:r w:rsidRPr="00A14EDC">
        <w:t>(v %)</w:t>
      </w:r>
      <w:r w:rsidRPr="00997EEB">
        <w:rPr>
          <w:color w:val="000000"/>
          <w:spacing w:val="-6"/>
        </w:rPr>
        <w:t>.</w:t>
      </w:r>
    </w:p>
    <w:p w:rsidR="0008794F" w:rsidRDefault="00473823" w:rsidP="00A14EDC">
      <w:pPr>
        <w:jc w:val="center"/>
      </w:pPr>
      <w:r>
        <w:pict>
          <v:shape id="_x0000_i1031" type="#_x0000_t75" style="width:413.25pt;height:174.75pt">
            <v:imagedata r:id="rId14" o:title=""/>
          </v:shape>
        </w:pict>
      </w:r>
    </w:p>
    <w:p w:rsidR="0008794F" w:rsidRDefault="0008794F" w:rsidP="00DA2CE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Pramen: </w:t>
      </w:r>
      <w:proofErr w:type="spellStart"/>
      <w:r>
        <w:rPr>
          <w:sz w:val="18"/>
          <w:szCs w:val="18"/>
        </w:rPr>
        <w:t>Eurostat</w:t>
      </w:r>
      <w:proofErr w:type="spellEnd"/>
    </w:p>
    <w:p w:rsidR="0008794F" w:rsidRPr="00DA2CE4" w:rsidRDefault="0008794F" w:rsidP="00DA2CE4">
      <w:pPr>
        <w:jc w:val="both"/>
        <w:rPr>
          <w:sz w:val="18"/>
          <w:szCs w:val="18"/>
        </w:rPr>
      </w:pPr>
    </w:p>
    <w:p w:rsidR="0008794F" w:rsidRPr="00473823" w:rsidRDefault="0008794F" w:rsidP="00D34225">
      <w:pPr>
        <w:rPr>
          <w:b/>
          <w:sz w:val="24"/>
        </w:rPr>
      </w:pPr>
      <w:r w:rsidRPr="00473823">
        <w:rPr>
          <w:b/>
          <w:sz w:val="24"/>
        </w:rPr>
        <w:lastRenderedPageBreak/>
        <w:t xml:space="preserve">3.3.3. Výkonnost ekonomik ČR, SR, Rakouska k bázím let 1998 a 2004 </w:t>
      </w:r>
    </w:p>
    <w:p w:rsidR="0008794F" w:rsidRPr="00077E6A" w:rsidRDefault="0008794F" w:rsidP="00D34225">
      <w:pPr>
        <w:rPr>
          <w:b/>
          <w:vanish/>
        </w:rPr>
      </w:pPr>
      <w:r>
        <w:rPr>
          <w:b/>
          <w:vanish/>
        </w:rPr>
        <w:t>DP ČR, SR a Rakouska HH</w:t>
      </w:r>
    </w:p>
    <w:p w:rsidR="0008794F" w:rsidRDefault="0008794F" w:rsidP="00D34225">
      <w:pPr>
        <w:rPr>
          <w:b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742D7C">
        <w:tc>
          <w:tcPr>
            <w:tcW w:w="1042" w:type="pct"/>
          </w:tcPr>
          <w:p w:rsidR="0008794F" w:rsidRPr="00602D1D" w:rsidRDefault="0008794F" w:rsidP="004C516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</w:t>
            </w:r>
            <w:r w:rsidR="0048697B">
              <w:rPr>
                <w:color w:val="000000"/>
                <w:sz w:val="16"/>
                <w:szCs w:val="16"/>
              </w:rPr>
              <w:t xml:space="preserve"> porovnání </w:t>
            </w:r>
            <w:proofErr w:type="gramStart"/>
            <w:r w:rsidR="0048697B">
              <w:rPr>
                <w:color w:val="000000"/>
                <w:sz w:val="16"/>
                <w:szCs w:val="16"/>
              </w:rPr>
              <w:t>vývoje</w:t>
            </w:r>
            <w:r w:rsidR="004C5160">
              <w:rPr>
                <w:color w:val="000000"/>
                <w:sz w:val="16"/>
                <w:szCs w:val="16"/>
              </w:rPr>
              <w:t xml:space="preserve"> k</w:t>
            </w:r>
            <w:r w:rsidR="0048697B">
              <w:rPr>
                <w:color w:val="000000"/>
                <w:sz w:val="16"/>
                <w:szCs w:val="16"/>
              </w:rPr>
              <w:t xml:space="preserve">  základu</w:t>
            </w:r>
            <w:proofErr w:type="gramEnd"/>
            <w:r w:rsidR="0048697B">
              <w:rPr>
                <w:color w:val="000000"/>
                <w:sz w:val="16"/>
                <w:szCs w:val="16"/>
              </w:rPr>
              <w:t xml:space="preserve"> roku </w:t>
            </w:r>
            <w:r>
              <w:rPr>
                <w:color w:val="000000"/>
                <w:sz w:val="16"/>
                <w:szCs w:val="16"/>
              </w:rPr>
              <w:t xml:space="preserve">1998 vyplývá,…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</w:pPr>
          </w:p>
        </w:tc>
        <w:tc>
          <w:tcPr>
            <w:tcW w:w="3819" w:type="pct"/>
          </w:tcPr>
          <w:p w:rsidR="0008794F" w:rsidRPr="00997EEB" w:rsidRDefault="0008794F" w:rsidP="007824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Kromě rozboru meziroční dynamiky a jejích průměrných hodnot za HDP České republiky, Slovenska a Rakouska existuje i možnost hodnotit úspěšnost jejich ekonomického vývoje sledované tímto ukazatelem také přírůstkem k určitému období. Zachovejme tedy způsob analýzy z předchozí kapitoly a pokusme se zjistit přírůstky HDP tří sledovaných zemí (spolu s porovnáním k přírůstkům za EU 28) k základu let 1998 a 2004. Výsledky ukazuje tabulka 3.</w:t>
            </w:r>
          </w:p>
          <w:p w:rsidR="0008794F" w:rsidRPr="003D78A5" w:rsidRDefault="0008794F" w:rsidP="007824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7824A8">
        <w:tc>
          <w:tcPr>
            <w:tcW w:w="1042" w:type="pct"/>
          </w:tcPr>
          <w:p w:rsidR="0008794F" w:rsidRPr="00602D1D" w:rsidRDefault="0008794F" w:rsidP="00742D7C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… že výkonnost ČR, SR i Rakouska byla do roku 2014 lepší než výkonnost EU 28 jako celku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</w:pPr>
          </w:p>
        </w:tc>
        <w:tc>
          <w:tcPr>
            <w:tcW w:w="3819" w:type="pct"/>
          </w:tcPr>
          <w:p w:rsidR="0008794F" w:rsidRPr="00997EEB" w:rsidRDefault="0008794F" w:rsidP="007824A8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Jestliže hospodářství EU 28 zvýšilo svůj výkon v roce 2014 proti výkonu v roce 1998 o více než čtvrtinu (+26,3 %), pak všechny tři země sledované v této analýze tento procentní přírůstek překonaly. Nejvíce Slovensko, jehož HDP byl v roce 2014 vyšší proti roku 1998 o plné tři čtvrtiny (+76,3 %). Tempo celé </w:t>
            </w:r>
            <w:r w:rsidR="00322B77">
              <w:rPr>
                <w:color w:val="000000"/>
                <w:spacing w:val="-6"/>
              </w:rPr>
              <w:t>U</w:t>
            </w:r>
            <w:r>
              <w:rPr>
                <w:color w:val="000000"/>
                <w:spacing w:val="-6"/>
              </w:rPr>
              <w:t xml:space="preserve">nie tedy slovenský HDP svoji a dynamikou překonal třikrát.  </w:t>
            </w:r>
          </w:p>
          <w:p w:rsidR="0008794F" w:rsidRPr="003D78A5" w:rsidRDefault="0008794F" w:rsidP="007824A8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1942A8">
        <w:tc>
          <w:tcPr>
            <w:tcW w:w="1042" w:type="pct"/>
          </w:tcPr>
          <w:p w:rsidR="0008794F" w:rsidRPr="00602D1D" w:rsidRDefault="0008794F" w:rsidP="00742D7C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Slovenský HDP byl v roce 2014 o tři čtvrtiny vyšší než v roce 1998 a český HDP o polovinu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</w:pPr>
          </w:p>
        </w:tc>
        <w:tc>
          <w:tcPr>
            <w:tcW w:w="3819" w:type="pct"/>
          </w:tcPr>
          <w:p w:rsidR="0008794F" w:rsidRDefault="0008794F" w:rsidP="001E5C6D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Výkonnost České republiky stoupla během let 1998-2014 také velmi výrazně, i když ne s takovou intenzitou jako v případě Slovenska. Její HDP byl v koncovém roce 2014 o téměř polovinu vyšší (+48,3 %) než v roce 1998 a jeho přírůstek byl v porovnání s přírůstkem za EU 28 vyšší dvakrát. </w:t>
            </w:r>
          </w:p>
          <w:p w:rsidR="0008794F" w:rsidRPr="003D78A5" w:rsidRDefault="0008794F" w:rsidP="001E5C6D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1942A8">
        <w:tc>
          <w:tcPr>
            <w:tcW w:w="1042" w:type="pct"/>
          </w:tcPr>
          <w:p w:rsidR="0008794F" w:rsidRPr="00602D1D" w:rsidRDefault="0008794F" w:rsidP="0080673A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Rakousko zvětšilo svůj HDP v roce 2014 proti roku 1998 zhruba o třicet </w:t>
            </w:r>
            <w:proofErr w:type="gramStart"/>
            <w:r>
              <w:rPr>
                <w:color w:val="000000"/>
                <w:sz w:val="16"/>
                <w:szCs w:val="16"/>
              </w:rPr>
              <w:t>procent,  tj.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mírně v</w:t>
            </w:r>
            <w:r w:rsidR="0080673A">
              <w:rPr>
                <w:color w:val="000000"/>
                <w:sz w:val="16"/>
                <w:szCs w:val="16"/>
              </w:rPr>
              <w:t>íce</w:t>
            </w:r>
            <w:r>
              <w:rPr>
                <w:color w:val="000000"/>
                <w:sz w:val="16"/>
                <w:szCs w:val="16"/>
              </w:rPr>
              <w:t xml:space="preserve"> než činil přírůstek EU 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</w:pPr>
          </w:p>
        </w:tc>
        <w:tc>
          <w:tcPr>
            <w:tcW w:w="3819" w:type="pct"/>
          </w:tcPr>
          <w:p w:rsidR="0008794F" w:rsidRDefault="0008794F" w:rsidP="00742D7C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Nárůst rakouského HDP v roce 2014 se ve srovnání s rokem 1998 byl vyšší o téměř třetinu (+29,3 %) I když se zdá, že proti nárůstu za celou Evropskou unii 28 (+26,3 %) nejde o zvýšení významné, je při pohledu na </w:t>
            </w:r>
            <w:r w:rsidR="00322B77">
              <w:rPr>
                <w:color w:val="000000"/>
                <w:spacing w:val="-6"/>
              </w:rPr>
              <w:t xml:space="preserve">unijní </w:t>
            </w:r>
            <w:proofErr w:type="gramStart"/>
            <w:r>
              <w:rPr>
                <w:color w:val="000000"/>
                <w:spacing w:val="-6"/>
              </w:rPr>
              <w:t>žebříček  zřetelně</w:t>
            </w:r>
            <w:proofErr w:type="gramEnd"/>
            <w:r>
              <w:rPr>
                <w:color w:val="000000"/>
                <w:spacing w:val="-6"/>
              </w:rPr>
              <w:t xml:space="preserve"> vidět, že Rakousko zvýšilo svůj HDP více než dalších sedm nejvyspělejších zemí skupiny EU 15, jako je např. Německo, Francie, Nizozemí</w:t>
            </w:r>
            <w:r w:rsidR="00322B77">
              <w:rPr>
                <w:color w:val="000000"/>
                <w:spacing w:val="-6"/>
              </w:rPr>
              <w:t xml:space="preserve"> či</w:t>
            </w:r>
            <w:r>
              <w:rPr>
                <w:color w:val="000000"/>
                <w:spacing w:val="-6"/>
              </w:rPr>
              <w:t xml:space="preserve"> Dánsko aj. (naopak méně než např. Irsko s +80 %, Švédsko se 42,9 % anebo Spojené království s 36,1 %). Nárůst výkonnosti Rakouska za zvolné období je stejný, jak</w:t>
            </w:r>
            <w:r w:rsidR="00322B77">
              <w:rPr>
                <w:color w:val="000000"/>
                <w:spacing w:val="-6"/>
              </w:rPr>
              <w:t>o</w:t>
            </w:r>
            <w:r>
              <w:rPr>
                <w:color w:val="000000"/>
                <w:spacing w:val="-6"/>
              </w:rPr>
              <w:t xml:space="preserve"> vykázalo ze skupiny nejvyspělejších evropských zemí např. Finsko (+30 %) nebo Belgie (+29,9 %). </w:t>
            </w:r>
          </w:p>
          <w:p w:rsidR="0008794F" w:rsidRPr="008355C7" w:rsidRDefault="0008794F" w:rsidP="00742D7C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E736F5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Z tohoto pohledu je tady možno hodnotit zlepšení ekonomické výkonnosti Rakouska za roky 1998-2014 jako významné. </w:t>
            </w:r>
          </w:p>
          <w:p w:rsidR="0008794F" w:rsidRPr="003D78A5" w:rsidRDefault="0008794F" w:rsidP="00E736F5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Default="0008794F" w:rsidP="00D34225">
      <w:r w:rsidRPr="004A332A">
        <w:rPr>
          <w:b/>
        </w:rPr>
        <w:t xml:space="preserve">Tab. 3: Výkonnost ekonomik ČR, SR, Rakouska a EU 28 </w:t>
      </w:r>
      <w:r>
        <w:rPr>
          <w:b/>
        </w:rPr>
        <w:t xml:space="preserve">podle HDP reálně </w:t>
      </w:r>
      <w:r w:rsidRPr="004A332A">
        <w:rPr>
          <w:b/>
        </w:rPr>
        <w:t>v roce 2014 k bázím let 1998 a 2004</w:t>
      </w:r>
      <w:r>
        <w:t xml:space="preserve"> (v %)</w:t>
      </w:r>
    </w:p>
    <w:p w:rsidR="0008794F" w:rsidRPr="00B24545" w:rsidRDefault="0008794F" w:rsidP="00D3422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5"/>
        <w:gridCol w:w="684"/>
        <w:gridCol w:w="992"/>
        <w:gridCol w:w="709"/>
        <w:gridCol w:w="992"/>
        <w:gridCol w:w="709"/>
        <w:gridCol w:w="992"/>
        <w:gridCol w:w="567"/>
        <w:gridCol w:w="992"/>
      </w:tblGrid>
      <w:tr w:rsidR="0008794F" w:rsidTr="00AA2B03">
        <w:tc>
          <w:tcPr>
            <w:tcW w:w="2685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Index 2014 k 1998</w:t>
            </w:r>
          </w:p>
        </w:tc>
        <w:tc>
          <w:tcPr>
            <w:tcW w:w="684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ČR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148,3 %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SR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176,3 %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AT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129,7 %</w:t>
            </w:r>
          </w:p>
        </w:tc>
        <w:tc>
          <w:tcPr>
            <w:tcW w:w="567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EU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126,3 %</w:t>
            </w:r>
          </w:p>
        </w:tc>
      </w:tr>
      <w:tr w:rsidR="0008794F" w:rsidTr="00AA2B03">
        <w:tc>
          <w:tcPr>
            <w:tcW w:w="2685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Index </w:t>
            </w:r>
            <w:proofErr w:type="gramStart"/>
            <w:r>
              <w:rPr>
                <w:lang w:eastAsia="en-US"/>
              </w:rPr>
              <w:t>2014 k 2004</w:t>
            </w:r>
            <w:proofErr w:type="gramEnd"/>
          </w:p>
        </w:tc>
        <w:tc>
          <w:tcPr>
            <w:tcW w:w="684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ČR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123,0 %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SR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145,8 %</w:t>
            </w:r>
          </w:p>
        </w:tc>
        <w:tc>
          <w:tcPr>
            <w:tcW w:w="709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AT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113,6%</w:t>
            </w:r>
          </w:p>
        </w:tc>
        <w:tc>
          <w:tcPr>
            <w:tcW w:w="567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EU</w:t>
            </w:r>
          </w:p>
        </w:tc>
        <w:tc>
          <w:tcPr>
            <w:tcW w:w="992" w:type="dxa"/>
          </w:tcPr>
          <w:p w:rsidR="0008794F" w:rsidRDefault="0008794F" w:rsidP="00AA2B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109,7 %</w:t>
            </w:r>
          </w:p>
        </w:tc>
      </w:tr>
    </w:tbl>
    <w:p w:rsidR="0008794F" w:rsidRPr="004131C3" w:rsidRDefault="0008794F" w:rsidP="004131C3">
      <w:pPr>
        <w:jc w:val="right"/>
        <w:rPr>
          <w:sz w:val="6"/>
          <w:szCs w:val="6"/>
        </w:rPr>
      </w:pPr>
    </w:p>
    <w:p w:rsidR="0008794F" w:rsidRDefault="0008794F" w:rsidP="004131C3">
      <w:pPr>
        <w:jc w:val="right"/>
        <w:rPr>
          <w:sz w:val="18"/>
          <w:szCs w:val="18"/>
        </w:rPr>
      </w:pPr>
      <w:r w:rsidRPr="00DA43AC">
        <w:rPr>
          <w:sz w:val="18"/>
          <w:szCs w:val="18"/>
        </w:rPr>
        <w:t xml:space="preserve">Pramen: </w:t>
      </w:r>
      <w:proofErr w:type="spellStart"/>
      <w:r w:rsidRPr="00DA43AC">
        <w:rPr>
          <w:sz w:val="18"/>
          <w:szCs w:val="18"/>
        </w:rPr>
        <w:t>Eurostat</w:t>
      </w:r>
      <w:proofErr w:type="spellEnd"/>
      <w:r>
        <w:rPr>
          <w:sz w:val="18"/>
          <w:szCs w:val="18"/>
        </w:rPr>
        <w:t>, vlastní propočty</w:t>
      </w:r>
    </w:p>
    <w:p w:rsidR="0008794F" w:rsidRDefault="0008794F" w:rsidP="00D2002A">
      <w:pPr>
        <w:jc w:val="both"/>
        <w:rPr>
          <w:sz w:val="18"/>
          <w:szCs w:val="18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D2002A">
        <w:tc>
          <w:tcPr>
            <w:tcW w:w="1042" w:type="pct"/>
          </w:tcPr>
          <w:p w:rsidR="0008794F" w:rsidRPr="00602D1D" w:rsidRDefault="0008794F" w:rsidP="00ED118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Rozšíření EU o deset nových zemí v květnu 2004 a následné přijetí Bulharsko, Rumunska a naposledy Chorvatska mělo vliv nejen na nové, ale i na staré země Unie</w:t>
            </w:r>
          </w:p>
        </w:tc>
        <w:tc>
          <w:tcPr>
            <w:tcW w:w="139" w:type="pct"/>
          </w:tcPr>
          <w:p w:rsidR="0008794F" w:rsidRDefault="0008794F" w:rsidP="00D2002A">
            <w:pPr>
              <w:pStyle w:val="Textpoznpodarou"/>
            </w:pPr>
          </w:p>
        </w:tc>
        <w:tc>
          <w:tcPr>
            <w:tcW w:w="3819" w:type="pct"/>
          </w:tcPr>
          <w:p w:rsidR="0008794F" w:rsidRDefault="0008794F" w:rsidP="00785CFB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Tabulka 3 dále porovnává zlepšení, které vykázaly země v důležitém časové</w:t>
            </w:r>
            <w:r w:rsidR="0080673A">
              <w:rPr>
                <w:color w:val="000000"/>
                <w:spacing w:val="-6"/>
              </w:rPr>
              <w:t>m</w:t>
            </w:r>
            <w:r>
              <w:rPr>
                <w:color w:val="000000"/>
                <w:spacing w:val="-6"/>
              </w:rPr>
              <w:t xml:space="preserve"> úseku pro celou evropskou ekonomiku, a sice období významného zvětšení společné </w:t>
            </w:r>
            <w:proofErr w:type="gramStart"/>
            <w:r>
              <w:rPr>
                <w:color w:val="000000"/>
                <w:spacing w:val="-6"/>
              </w:rPr>
              <w:t>evropského  hospodářského</w:t>
            </w:r>
            <w:proofErr w:type="gramEnd"/>
            <w:r>
              <w:rPr>
                <w:color w:val="000000"/>
                <w:spacing w:val="-6"/>
              </w:rPr>
              <w:t xml:space="preserve"> prostoru o nové země (nepočetnější skupina v květnu 2004 přijetím deseti nových kandidátských zemí, později přijetím Bulharska a Rumunska zatím posledním novým členem EU je Chorvatsko). </w:t>
            </w:r>
          </w:p>
          <w:p w:rsidR="0008794F" w:rsidRPr="00723C09" w:rsidRDefault="0008794F" w:rsidP="00785CFB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8A48AC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Toto rozšíření </w:t>
            </w:r>
            <w:r w:rsidR="00322B77">
              <w:rPr>
                <w:color w:val="000000"/>
                <w:spacing w:val="-6"/>
              </w:rPr>
              <w:t xml:space="preserve">významně </w:t>
            </w:r>
            <w:r>
              <w:rPr>
                <w:color w:val="000000"/>
                <w:spacing w:val="-6"/>
              </w:rPr>
              <w:t xml:space="preserve">ovlivnilo hospodářský vývoj nejen </w:t>
            </w:r>
            <w:r w:rsidR="00E62585">
              <w:rPr>
                <w:color w:val="000000"/>
                <w:spacing w:val="-6"/>
              </w:rPr>
              <w:t>zemí</w:t>
            </w:r>
            <w:r w:rsidR="00322B77">
              <w:rPr>
                <w:color w:val="000000"/>
                <w:spacing w:val="-6"/>
              </w:rPr>
              <w:t>, které do EU čerstvě vstoupily, a to h</w:t>
            </w:r>
            <w:r w:rsidR="00E62585">
              <w:rPr>
                <w:color w:val="000000"/>
                <w:spacing w:val="-6"/>
              </w:rPr>
              <w:t>lavně</w:t>
            </w:r>
            <w:r>
              <w:rPr>
                <w:color w:val="000000"/>
                <w:spacing w:val="-6"/>
              </w:rPr>
              <w:t xml:space="preserve"> podle míry otevřenosti jejich ekonomik</w:t>
            </w:r>
            <w:r w:rsidR="00E62585">
              <w:rPr>
                <w:color w:val="000000"/>
                <w:spacing w:val="-6"/>
              </w:rPr>
              <w:t>. Z</w:t>
            </w:r>
            <w:r>
              <w:rPr>
                <w:color w:val="000000"/>
                <w:spacing w:val="-6"/>
              </w:rPr>
              <w:t xml:space="preserve">apůsobilo také na vývoj ve starších členských zemích Unie. V logice věci tempo vývoje nových zemí narůstalo a v kontrastu k tomu tempo ekonomiky starých zemí v úhrnu velmi mírně klesalo. </w:t>
            </w:r>
          </w:p>
          <w:p w:rsidR="0008794F" w:rsidRPr="003D78A5" w:rsidRDefault="0008794F" w:rsidP="008A48AC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D2002A">
        <w:tc>
          <w:tcPr>
            <w:tcW w:w="1042" w:type="pct"/>
          </w:tcPr>
          <w:p w:rsidR="0008794F" w:rsidRPr="00602D1D" w:rsidRDefault="0008794F" w:rsidP="00ED118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Pokud jde o největší přírůstky HDP v roce 2014 proti roku 2004, patřilo mezi TOP 10 celkem devět nových členských zemí a nejúspěšnější bylo Slovensko</w:t>
            </w:r>
          </w:p>
        </w:tc>
        <w:tc>
          <w:tcPr>
            <w:tcW w:w="139" w:type="pct"/>
          </w:tcPr>
          <w:p w:rsidR="0008794F" w:rsidRDefault="0008794F" w:rsidP="00AC6A22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997EEB" w:rsidRDefault="00E62585" w:rsidP="00AC6A22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Avšak o</w:t>
            </w:r>
            <w:r w:rsidR="0008794F">
              <w:rPr>
                <w:color w:val="000000"/>
                <w:spacing w:val="-6"/>
              </w:rPr>
              <w:t xml:space="preserve"> síle efektu, který mělo pro nové země Evropské unie jejich členství od roku 2004, vypovídá pořadí podle přírůstku HDP v roce 2014 proti roku 2004 (graf 20) jen zčásti. V první desítce zemí EU podle výše tohoto přírůstku je devět zemí ze skupiny nových členům Unie. Česká republika tuto desetičlennou skupinu uzavírá s  přírůstkem HDP v roce 2014 proti roku 2004 o +23 %, Slovenská republika dokonce celý žebříček evropských zemí vede s dosaženým přírůstkem ve výši +45,8 %.</w:t>
            </w:r>
          </w:p>
          <w:p w:rsidR="0008794F" w:rsidRPr="003D78A5" w:rsidRDefault="0008794F" w:rsidP="00AC6A22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Default="0008794F" w:rsidP="00CD5912">
      <w:pPr>
        <w:rPr>
          <w:b/>
        </w:rPr>
      </w:pPr>
    </w:p>
    <w:p w:rsidR="00AE1A78" w:rsidRDefault="00AE1A78" w:rsidP="00CD5912">
      <w:pPr>
        <w:rPr>
          <w:b/>
        </w:rPr>
      </w:pPr>
    </w:p>
    <w:p w:rsidR="0008794F" w:rsidRPr="00CD5912" w:rsidRDefault="0008794F" w:rsidP="00CD5912">
      <w:pPr>
        <w:rPr>
          <w:b/>
        </w:rPr>
      </w:pPr>
      <w:r>
        <w:rPr>
          <w:b/>
        </w:rPr>
        <w:lastRenderedPageBreak/>
        <w:t xml:space="preserve">Graf 20: Zlepšení výkonnosti evropských ekonomik podle změny HDP v roce 2014 proti roku 2004 </w:t>
      </w:r>
      <w:r w:rsidRPr="00CD5912">
        <w:t>(index 2004=100)</w:t>
      </w:r>
    </w:p>
    <w:p w:rsidR="0008794F" w:rsidRPr="0081330F" w:rsidRDefault="00473823" w:rsidP="00CD5912">
      <w:pPr>
        <w:jc w:val="center"/>
      </w:pPr>
      <w:r>
        <w:pict>
          <v:shape id="_x0000_i1032" type="#_x0000_t75" style="width:442.5pt;height:179.25pt">
            <v:imagedata r:id="rId15" o:title=""/>
          </v:shape>
        </w:pict>
      </w:r>
    </w:p>
    <w:p w:rsidR="0008794F" w:rsidRPr="00CD5912" w:rsidRDefault="0008794F" w:rsidP="00CD5912">
      <w:pPr>
        <w:jc w:val="right"/>
        <w:rPr>
          <w:sz w:val="18"/>
          <w:szCs w:val="18"/>
        </w:rPr>
      </w:pPr>
      <w:r w:rsidRPr="00A14EDC">
        <w:rPr>
          <w:sz w:val="18"/>
          <w:szCs w:val="18"/>
        </w:rPr>
        <w:t xml:space="preserve">Pramen: </w:t>
      </w:r>
      <w:proofErr w:type="spellStart"/>
      <w:r w:rsidRPr="00A14EDC">
        <w:rPr>
          <w:sz w:val="18"/>
          <w:szCs w:val="18"/>
        </w:rPr>
        <w:t>Eurostat</w:t>
      </w:r>
      <w:proofErr w:type="spellEnd"/>
    </w:p>
    <w:p w:rsidR="0008794F" w:rsidRPr="00B24545" w:rsidRDefault="0008794F" w:rsidP="00D34225">
      <w:pPr>
        <w:rPr>
          <w:sz w:val="12"/>
          <w:szCs w:val="12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41"/>
        <w:gridCol w:w="793"/>
        <w:gridCol w:w="1192"/>
        <w:gridCol w:w="272"/>
        <w:gridCol w:w="2532"/>
        <w:gridCol w:w="847"/>
        <w:gridCol w:w="4057"/>
        <w:gridCol w:w="43"/>
      </w:tblGrid>
      <w:tr w:rsidR="0008794F" w:rsidRPr="003D78A5" w:rsidTr="00E94870">
        <w:tc>
          <w:tcPr>
            <w:tcW w:w="1037" w:type="pct"/>
            <w:gridSpan w:val="3"/>
          </w:tcPr>
          <w:p w:rsidR="0008794F" w:rsidRPr="00602D1D" w:rsidRDefault="0008794F" w:rsidP="006741D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Vysoké průměrné růsty slovenské ekonomiky jsou spojeny s její volatilitou</w:t>
            </w:r>
          </w:p>
        </w:tc>
        <w:tc>
          <w:tcPr>
            <w:tcW w:w="139" w:type="pct"/>
          </w:tcPr>
          <w:p w:rsidR="0008794F" w:rsidRDefault="0008794F" w:rsidP="006741D9">
            <w:pPr>
              <w:pStyle w:val="Textpoznpodarou"/>
              <w:jc w:val="both"/>
            </w:pPr>
          </w:p>
        </w:tc>
        <w:tc>
          <w:tcPr>
            <w:tcW w:w="3824" w:type="pct"/>
            <w:gridSpan w:val="4"/>
          </w:tcPr>
          <w:p w:rsidR="0080673A" w:rsidRDefault="0008794F" w:rsidP="006741D9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Silnou volatilitu slovenské ekonomiky, ústící však do vysokých průměrných růst</w:t>
            </w:r>
            <w:r w:rsidR="00E62585">
              <w:rPr>
                <w:color w:val="000000"/>
                <w:spacing w:val="-6"/>
              </w:rPr>
              <w:t>ů</w:t>
            </w:r>
            <w:r>
              <w:rPr>
                <w:color w:val="000000"/>
                <w:spacing w:val="-6"/>
              </w:rPr>
              <w:t xml:space="preserve"> za celé období 1998-2014 a zejména letech 2004-2014, ukazuje graf 22.  Je z něj patrná i skutečnost, že Rakousko neprošlo v posledních letech recesí, ani mírnou zaznamenanou v úhrnu za evropská uskupení v roce 2012 (-0,5 % y/y v EU 28, -0,6 % v EU 15 a -0,9 % % v </w:t>
            </w:r>
            <w:proofErr w:type="spellStart"/>
            <w:r>
              <w:rPr>
                <w:color w:val="000000"/>
                <w:spacing w:val="-6"/>
              </w:rPr>
              <w:t>eurozóně</w:t>
            </w:r>
            <w:proofErr w:type="spellEnd"/>
            <w:r>
              <w:rPr>
                <w:color w:val="000000"/>
                <w:spacing w:val="-6"/>
              </w:rPr>
              <w:t xml:space="preserve">), a </w:t>
            </w:r>
            <w:r w:rsidR="0080673A">
              <w:rPr>
                <w:color w:val="000000"/>
                <w:spacing w:val="-6"/>
              </w:rPr>
              <w:t>logicky ani delší, podobnou té,</w:t>
            </w:r>
            <w:r>
              <w:rPr>
                <w:color w:val="000000"/>
                <w:spacing w:val="-6"/>
              </w:rPr>
              <w:t xml:space="preserve"> kterou vykázala česká ekonomika </w:t>
            </w:r>
          </w:p>
          <w:p w:rsidR="0008794F" w:rsidRPr="00997EEB" w:rsidRDefault="0008794F" w:rsidP="006741D9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(-0,9 % v roce 2012 a -0,5 %v roce 2013).</w:t>
            </w:r>
            <w:r w:rsidRPr="00997EEB">
              <w:rPr>
                <w:color w:val="000000"/>
                <w:spacing w:val="-6"/>
              </w:rPr>
              <w:t xml:space="preserve"> </w:t>
            </w:r>
          </w:p>
          <w:p w:rsidR="0008794F" w:rsidRPr="003D78A5" w:rsidRDefault="0008794F" w:rsidP="006741D9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E94870">
        <w:tc>
          <w:tcPr>
            <w:tcW w:w="1037" w:type="pct"/>
            <w:gridSpan w:val="3"/>
          </w:tcPr>
          <w:p w:rsidR="0008794F" w:rsidRPr="00602D1D" w:rsidRDefault="0008794F" w:rsidP="00742D7C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Největší vliv měl vývoj v letech 2004-2014 na celkové přírůstky HDP za roky 1998-2014 v případě Slovenska – jeho celkový přírůstek ovlivnil </w:t>
            </w:r>
            <w:proofErr w:type="gramStart"/>
            <w:r>
              <w:rPr>
                <w:color w:val="000000"/>
                <w:sz w:val="16"/>
                <w:szCs w:val="16"/>
              </w:rPr>
              <w:t>ze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60 %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  <w:jc w:val="both"/>
            </w:pPr>
          </w:p>
        </w:tc>
        <w:tc>
          <w:tcPr>
            <w:tcW w:w="3824" w:type="pct"/>
            <w:gridSpan w:val="4"/>
          </w:tcPr>
          <w:p w:rsidR="0008794F" w:rsidRDefault="0008794F" w:rsidP="00742D7C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Chceme-li vědět, jak participoval vývoj (přírůstky) po roce 2004 na celkovém přírůstku HDP zemí za časovou řadu 1999-2014, a tedy z jiného doplňujícího pohledu zjistit, jak mohlo členství v EU pomoci hospodářskému vývoji v nových zemích s nejrychlejšími přírůstky</w:t>
            </w:r>
            <w:r w:rsidR="000434EF">
              <w:rPr>
                <w:color w:val="000000"/>
                <w:spacing w:val="-6"/>
              </w:rPr>
              <w:t>. J</w:t>
            </w:r>
            <w:r>
              <w:rPr>
                <w:color w:val="000000"/>
                <w:spacing w:val="-6"/>
              </w:rPr>
              <w:t>e však jasné, jako v případě Slovenska, že příčin může být podstatně širší spektrum</w:t>
            </w:r>
            <w:r w:rsidR="000434EF">
              <w:rPr>
                <w:color w:val="000000"/>
                <w:spacing w:val="-6"/>
              </w:rPr>
              <w:t>. P</w:t>
            </w:r>
            <w:r>
              <w:rPr>
                <w:color w:val="000000"/>
                <w:spacing w:val="-6"/>
              </w:rPr>
              <w:t xml:space="preserve">okusme se kvantifikovat tento vliv. </w:t>
            </w:r>
          </w:p>
          <w:p w:rsidR="0008794F" w:rsidRPr="003D78A5" w:rsidRDefault="0008794F" w:rsidP="00F86CBF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E94870">
        <w:tc>
          <w:tcPr>
            <w:tcW w:w="1037" w:type="pct"/>
            <w:gridSpan w:val="3"/>
          </w:tcPr>
          <w:p w:rsidR="0008794F" w:rsidRPr="00602D1D" w:rsidRDefault="0008794F" w:rsidP="00742D7C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 případě Polska se podílel  přírůstek HDP za roky 2004-2014 na přírůstku za období 1998-2014 také silnými </w:t>
            </w:r>
            <w:proofErr w:type="gramStart"/>
            <w:r>
              <w:rPr>
                <w:color w:val="000000"/>
                <w:sz w:val="16"/>
                <w:szCs w:val="16"/>
              </w:rPr>
              <w:t>58 %,...</w:t>
            </w:r>
            <w:proofErr w:type="gramEnd"/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  <w:jc w:val="both"/>
            </w:pPr>
          </w:p>
        </w:tc>
        <w:tc>
          <w:tcPr>
            <w:tcW w:w="3824" w:type="pct"/>
            <w:gridSpan w:val="4"/>
          </w:tcPr>
          <w:p w:rsidR="0008794F" w:rsidRDefault="0008794F" w:rsidP="00742D7C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Největší vliv měl vývoj v období 2004-2014 na celkovém přírůstku HDP za roky 1998-2014 u desítky zemí s největším pozitivním posunem v</w:t>
            </w:r>
            <w:r w:rsidR="000434EF">
              <w:rPr>
                <w:color w:val="000000"/>
                <w:spacing w:val="-6"/>
              </w:rPr>
              <w:t> </w:t>
            </w:r>
            <w:r>
              <w:rPr>
                <w:color w:val="000000"/>
                <w:spacing w:val="-6"/>
              </w:rPr>
              <w:t>HDP</w:t>
            </w:r>
            <w:r w:rsidR="000434EF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 xml:space="preserve"> mezi nimiž je devět nových členských zemí</w:t>
            </w:r>
            <w:r w:rsidR="000434EF">
              <w:rPr>
                <w:color w:val="000000"/>
                <w:spacing w:val="-6"/>
              </w:rPr>
              <w:t>,</w:t>
            </w:r>
            <w:r>
              <w:rPr>
                <w:color w:val="000000"/>
                <w:spacing w:val="-6"/>
              </w:rPr>
              <w:t xml:space="preserve"> v případě Slovenska. Tam se přírůstek po roce </w:t>
            </w:r>
            <w:proofErr w:type="gramStart"/>
            <w:r>
              <w:rPr>
                <w:color w:val="000000"/>
                <w:spacing w:val="-6"/>
              </w:rPr>
              <w:t>2004  podílel</w:t>
            </w:r>
            <w:proofErr w:type="gramEnd"/>
            <w:r>
              <w:rPr>
                <w:color w:val="000000"/>
                <w:spacing w:val="-6"/>
              </w:rPr>
              <w:t xml:space="preserve"> na celkovém přírůstku HDP za roky 1998-2014 plnými třemi pětinami, tj. z 60 %. Vyšší než poloviční byl tento vliv i v Polsku (celkový přírůstek byl posílen vývojem po roce 2004 z 57,5 %). </w:t>
            </w:r>
          </w:p>
          <w:p w:rsidR="0008794F" w:rsidRPr="00D43C1F" w:rsidRDefault="0008794F" w:rsidP="00742D7C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742D7C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V Bulharsku, které vstoupilo do EU později, však také z více ne</w:t>
            </w:r>
            <w:r w:rsidR="000434EF">
              <w:rPr>
                <w:color w:val="000000"/>
                <w:spacing w:val="-6"/>
              </w:rPr>
              <w:t>ž poloviny posílil HDP za roky 1</w:t>
            </w:r>
            <w:r>
              <w:rPr>
                <w:color w:val="000000"/>
                <w:spacing w:val="-6"/>
              </w:rPr>
              <w:t>998-2014 právě přírůstek za samotné období 2004-2014 (z 51,5 %). Pro tyto tři země tak byl vývoj po roce</w:t>
            </w:r>
            <w:r w:rsidR="000434EF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2004 rozhodující. </w:t>
            </w:r>
          </w:p>
          <w:p w:rsidR="0008794F" w:rsidRPr="003D78A5" w:rsidRDefault="0008794F" w:rsidP="00742D7C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3D78A5" w:rsidTr="00E94870">
        <w:tc>
          <w:tcPr>
            <w:tcW w:w="1037" w:type="pct"/>
            <w:gridSpan w:val="3"/>
          </w:tcPr>
          <w:p w:rsidR="0008794F" w:rsidRPr="00602D1D" w:rsidRDefault="0008794F" w:rsidP="00742D7C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…v ČR necelou polovinou a v pobaltských zemích třetinou </w:t>
            </w:r>
          </w:p>
        </w:tc>
        <w:tc>
          <w:tcPr>
            <w:tcW w:w="139" w:type="pct"/>
          </w:tcPr>
          <w:p w:rsidR="0008794F" w:rsidRDefault="0008794F" w:rsidP="00742D7C">
            <w:pPr>
              <w:pStyle w:val="Textpoznpodarou"/>
              <w:jc w:val="both"/>
            </w:pPr>
          </w:p>
        </w:tc>
        <w:tc>
          <w:tcPr>
            <w:tcW w:w="3824" w:type="pct"/>
            <w:gridSpan w:val="4"/>
          </w:tcPr>
          <w:p w:rsidR="0008794F" w:rsidRDefault="0008794F" w:rsidP="00742D7C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V ČR se přírůstek HDP v období počínající vstupem do EU podílel na nárůstu za roky 1998-2014 také téměř polovinou (ze 47,5 %). O něco méně pak v Rumunsku (ze 44,1 %). Pro tuto zemi však platí stejně jako pro Bulharsko, že </w:t>
            </w:r>
            <w:proofErr w:type="spellStart"/>
            <w:r w:rsidR="000434EF">
              <w:rPr>
                <w:color w:val="000000"/>
                <w:spacing w:val="-6"/>
              </w:rPr>
              <w:t>benefitů</w:t>
            </w:r>
            <w:proofErr w:type="spellEnd"/>
            <w:r>
              <w:rPr>
                <w:color w:val="000000"/>
                <w:spacing w:val="-6"/>
              </w:rPr>
              <w:t xml:space="preserve"> z členství mělo možnost využít až později. Přesto již po celé období 2004-2014 rostly jejich ekonomiky tak, že vygenerovaly významný příspěvek k celkovém</w:t>
            </w:r>
            <w:r w:rsidR="0080673A">
              <w:rPr>
                <w:color w:val="000000"/>
                <w:spacing w:val="-6"/>
              </w:rPr>
              <w:t>u</w:t>
            </w:r>
            <w:r>
              <w:rPr>
                <w:color w:val="000000"/>
                <w:spacing w:val="-6"/>
              </w:rPr>
              <w:t xml:space="preserve"> přírůstku </w:t>
            </w:r>
            <w:r w:rsidR="0080673A">
              <w:rPr>
                <w:color w:val="000000"/>
                <w:spacing w:val="-6"/>
              </w:rPr>
              <w:t xml:space="preserve">HDP </w:t>
            </w:r>
            <w:r>
              <w:rPr>
                <w:color w:val="000000"/>
                <w:spacing w:val="-6"/>
              </w:rPr>
              <w:t>za roky 1998-2014.</w:t>
            </w:r>
          </w:p>
          <w:p w:rsidR="0008794F" w:rsidRPr="00D43C1F" w:rsidRDefault="0008794F" w:rsidP="00742D7C">
            <w:pPr>
              <w:spacing w:line="240" w:lineRule="auto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Default="0008794F" w:rsidP="00067478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Naopak pobaltské země rostly zřejmě rychleji ji v období 1998-2004, neboť u nich byl přírůstek </w:t>
            </w:r>
            <w:r w:rsidR="0080673A">
              <w:rPr>
                <w:color w:val="000000"/>
                <w:spacing w:val="-6"/>
              </w:rPr>
              <w:t xml:space="preserve">HDP </w:t>
            </w:r>
            <w:r>
              <w:rPr>
                <w:color w:val="000000"/>
                <w:spacing w:val="-6"/>
              </w:rPr>
              <w:t>v době po získání členství v EU k celkovému růstu za roky 1998-2014 jen zhruba třetinový - v Estonsku 34,2 %, v Lotyšsku 31,6 %. V Litvě představoval 40,4 %.</w:t>
            </w:r>
          </w:p>
          <w:p w:rsidR="0008794F" w:rsidRPr="00067478" w:rsidRDefault="0008794F" w:rsidP="00067478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 </w:t>
            </w:r>
          </w:p>
        </w:tc>
      </w:tr>
      <w:tr w:rsidR="0008794F" w:rsidRPr="003D78A5" w:rsidTr="00E94870">
        <w:tc>
          <w:tcPr>
            <w:tcW w:w="1037" w:type="pct"/>
            <w:gridSpan w:val="3"/>
          </w:tcPr>
          <w:p w:rsidR="0008794F" w:rsidRPr="00602D1D" w:rsidRDefault="0008794F" w:rsidP="00AC6A2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Vývoj po roce 2004 byl příznivý nejen pro nové členské země EU, ale překvapivě příznivý i pro Rakousko a zejména Německo</w:t>
            </w:r>
          </w:p>
        </w:tc>
        <w:tc>
          <w:tcPr>
            <w:tcW w:w="139" w:type="pct"/>
          </w:tcPr>
          <w:p w:rsidR="0008794F" w:rsidRDefault="0008794F" w:rsidP="00AC6A22">
            <w:pPr>
              <w:pStyle w:val="Textpoznpodarou"/>
              <w:jc w:val="both"/>
            </w:pPr>
          </w:p>
        </w:tc>
        <w:tc>
          <w:tcPr>
            <w:tcW w:w="3824" w:type="pct"/>
            <w:gridSpan w:val="4"/>
          </w:tcPr>
          <w:p w:rsidR="0008794F" w:rsidRDefault="0008794F" w:rsidP="00AC6A22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Rakousko je velmi překvapivým příkladem toho, jak vývoj po roce 2004 výrazně ovlivnil ve vyspělé zemi EU celkový přírůstek HDP. Přírůst</w:t>
            </w:r>
            <w:r w:rsidR="0080673A">
              <w:rPr>
                <w:color w:val="000000"/>
                <w:spacing w:val="-6"/>
              </w:rPr>
              <w:t>ek</w:t>
            </w:r>
            <w:r>
              <w:rPr>
                <w:color w:val="000000"/>
                <w:spacing w:val="-6"/>
              </w:rPr>
              <w:t xml:space="preserve"> rakouského HDP za toto poslední desetiletí totiž</w:t>
            </w:r>
            <w:r w:rsidR="0080673A">
              <w:rPr>
                <w:color w:val="000000"/>
                <w:spacing w:val="-6"/>
              </w:rPr>
              <w:t xml:space="preserve"> </w:t>
            </w:r>
            <w:r w:rsidR="000434EF">
              <w:rPr>
                <w:color w:val="000000"/>
                <w:spacing w:val="-6"/>
              </w:rPr>
              <w:t xml:space="preserve">ovlivnil </w:t>
            </w:r>
            <w:r w:rsidR="0080673A">
              <w:rPr>
                <w:color w:val="000000"/>
                <w:spacing w:val="-6"/>
              </w:rPr>
              <w:t>nárůst</w:t>
            </w:r>
            <w:r>
              <w:rPr>
                <w:color w:val="000000"/>
                <w:spacing w:val="-6"/>
              </w:rPr>
              <w:t xml:space="preserve"> za celé období 1998 téměř polovinou (ze 48,5 %), tedy zhruba stejně jako v České republice anebo v Bulharsku. Nelze zde přitom hovořit o vlivu slabší ekonomické základny. Ještě markantnější je příklad Německa, kde činil podíl přírůstku HDP z let 2004-2014 na přírůstku za celé období 1998-2014 plných 62,3 %. Bylo to dokonce více, než v případě Slovenska (60 %) s jeho nejrychleji rostoucí </w:t>
            </w:r>
            <w:r>
              <w:rPr>
                <w:color w:val="000000"/>
                <w:spacing w:val="-6"/>
              </w:rPr>
              <w:lastRenderedPageBreak/>
              <w:t xml:space="preserve">evropskou ekonomikou v letech 2004-2014. </w:t>
            </w:r>
          </w:p>
          <w:p w:rsidR="0008794F" w:rsidRPr="00FB7929" w:rsidRDefault="0008794F" w:rsidP="00AC6A22">
            <w:pPr>
              <w:pStyle w:val="Textpoznpodarou"/>
              <w:jc w:val="both"/>
              <w:rPr>
                <w:color w:val="000000"/>
                <w:spacing w:val="-6"/>
                <w:sz w:val="12"/>
                <w:szCs w:val="12"/>
              </w:rPr>
            </w:pPr>
          </w:p>
          <w:p w:rsidR="0008794F" w:rsidRPr="003D78A5" w:rsidRDefault="0008794F" w:rsidP="000434EF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Je zřejmé, že rozšíření EU od roku 2004 bylo významně prospěšné pro nové</w:t>
            </w:r>
            <w:r w:rsidR="000434EF">
              <w:rPr>
                <w:color w:val="000000"/>
                <w:spacing w:val="-6"/>
              </w:rPr>
              <w:t xml:space="preserve"> státy</w:t>
            </w:r>
            <w:r>
              <w:rPr>
                <w:color w:val="000000"/>
                <w:spacing w:val="-6"/>
              </w:rPr>
              <w:t xml:space="preserve">. Ale zjištěné proporce za Rakousko a zejména Německo ukazují, jak významný mohla mít tato změna vliv na některé z nejvyspělejších starých zemí Unie. Svou nemalou roli hraje okolnost, že Rakousko a Německo sousedí s novými členskými zeměmi a jejich pracovní trh byl a je tedy pro tyto nové země atraktivní. </w:t>
            </w:r>
          </w:p>
        </w:tc>
      </w:tr>
      <w:tr w:rsidR="0008794F" w:rsidRPr="00C81DE5" w:rsidTr="00C50863">
        <w:trPr>
          <w:gridBefore w:val="1"/>
          <w:gridAfter w:val="1"/>
          <w:wBefore w:w="21" w:type="pct"/>
          <w:wAfter w:w="22" w:type="pct"/>
        </w:trPr>
        <w:tc>
          <w:tcPr>
            <w:tcW w:w="2449" w:type="pct"/>
            <w:gridSpan w:val="4"/>
          </w:tcPr>
          <w:p w:rsidR="0008794F" w:rsidRPr="00DA43AC" w:rsidRDefault="0008794F" w:rsidP="004D04C0">
            <w:pPr>
              <w:pStyle w:val="Textpoznpodarou"/>
              <w:jc w:val="both"/>
              <w:rPr>
                <w:noProof/>
              </w:rPr>
            </w:pPr>
          </w:p>
        </w:tc>
        <w:tc>
          <w:tcPr>
            <w:tcW w:w="2508" w:type="pct"/>
            <w:gridSpan w:val="2"/>
          </w:tcPr>
          <w:p w:rsidR="0008794F" w:rsidRPr="00B72B1E" w:rsidRDefault="0008794F" w:rsidP="004D04C0">
            <w:pPr>
              <w:pStyle w:val="Textpoznpodarou"/>
              <w:jc w:val="both"/>
            </w:pPr>
          </w:p>
        </w:tc>
      </w:tr>
      <w:tr w:rsidR="0008794F" w:rsidRPr="00817C98" w:rsidTr="004E317A">
        <w:tc>
          <w:tcPr>
            <w:tcW w:w="427" w:type="pct"/>
            <w:gridSpan w:val="2"/>
          </w:tcPr>
          <w:p w:rsidR="0008794F" w:rsidRDefault="0008794F" w:rsidP="004D04C0">
            <w:pPr>
              <w:spacing w:line="240" w:lineRule="auto"/>
            </w:pPr>
            <w:proofErr w:type="gramStart"/>
            <w:r>
              <w:t>Graf  21</w:t>
            </w:r>
            <w:proofErr w:type="gramEnd"/>
          </w:p>
        </w:tc>
        <w:tc>
          <w:tcPr>
            <w:tcW w:w="2044" w:type="pct"/>
            <w:gridSpan w:val="3"/>
          </w:tcPr>
          <w:p w:rsidR="0008794F" w:rsidRDefault="0008794F" w:rsidP="004D04C0">
            <w:pPr>
              <w:pStyle w:val="Textpoznpodarou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>Přírůstky HDP reálně, index 2010=100</w:t>
            </w:r>
          </w:p>
        </w:tc>
        <w:tc>
          <w:tcPr>
            <w:tcW w:w="433" w:type="pct"/>
          </w:tcPr>
          <w:p w:rsidR="0008794F" w:rsidRDefault="0008794F" w:rsidP="004D04C0">
            <w:pPr>
              <w:spacing w:line="240" w:lineRule="auto"/>
            </w:pPr>
            <w:r>
              <w:t>Graf 22</w:t>
            </w:r>
          </w:p>
        </w:tc>
        <w:tc>
          <w:tcPr>
            <w:tcW w:w="2097" w:type="pct"/>
            <w:gridSpan w:val="2"/>
          </w:tcPr>
          <w:p w:rsidR="0008794F" w:rsidRPr="00817C98" w:rsidRDefault="0008794F" w:rsidP="004D04C0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Meziroční </w:t>
            </w:r>
            <w:proofErr w:type="gramStart"/>
            <w:r>
              <w:rPr>
                <w:rFonts w:cs="Arial"/>
                <w:b/>
                <w:bCs/>
              </w:rPr>
              <w:t>změny  HDP</w:t>
            </w:r>
            <w:proofErr w:type="gramEnd"/>
            <w:r>
              <w:rPr>
                <w:rFonts w:cs="Arial"/>
                <w:b/>
                <w:bCs/>
              </w:rPr>
              <w:t xml:space="preserve"> </w:t>
            </w:r>
            <w:r w:rsidRPr="000F7C11">
              <w:rPr>
                <w:rFonts w:cs="Arial"/>
                <w:bCs/>
              </w:rPr>
              <w:t>(</w:t>
            </w:r>
            <w:r>
              <w:rPr>
                <w:rFonts w:cs="Arial"/>
                <w:bCs/>
              </w:rPr>
              <w:t>reálně, v %)</w:t>
            </w:r>
            <w:r w:rsidRPr="00BE1C59">
              <w:rPr>
                <w:rFonts w:cs="Arial"/>
                <w:bCs/>
              </w:rPr>
              <w:t xml:space="preserve"> </w:t>
            </w:r>
          </w:p>
        </w:tc>
      </w:tr>
      <w:tr w:rsidR="0008794F" w:rsidRPr="00C81DE5" w:rsidTr="004E317A">
        <w:tc>
          <w:tcPr>
            <w:tcW w:w="2470" w:type="pct"/>
            <w:gridSpan w:val="5"/>
          </w:tcPr>
          <w:p w:rsidR="0008794F" w:rsidRPr="00DA43AC" w:rsidRDefault="00473823" w:rsidP="004D04C0">
            <w:pPr>
              <w:pStyle w:val="Textpoznpodarou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i1033" type="#_x0000_t75" style="width:235.5pt;height:19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">
                  <v:imagedata r:id="rId16" o:title=""/>
                  <o:lock v:ext="edit" aspectratio="f"/>
                </v:shape>
              </w:pict>
            </w:r>
          </w:p>
        </w:tc>
        <w:tc>
          <w:tcPr>
            <w:tcW w:w="2530" w:type="pct"/>
            <w:gridSpan w:val="3"/>
          </w:tcPr>
          <w:p w:rsidR="0008794F" w:rsidRPr="00B72B1E" w:rsidRDefault="00473823" w:rsidP="004D04C0">
            <w:pPr>
              <w:pStyle w:val="Textpoznpodarou"/>
              <w:jc w:val="both"/>
            </w:pPr>
            <w:r>
              <w:pict>
                <v:shape id="_x0000_i1034" type="#_x0000_t75" style="width:242.25pt;height:206.25pt">
                  <v:imagedata r:id="rId17" o:title=""/>
                </v:shape>
              </w:pict>
            </w:r>
          </w:p>
        </w:tc>
      </w:tr>
    </w:tbl>
    <w:p w:rsidR="0008794F" w:rsidRDefault="0008794F" w:rsidP="0053448E">
      <w:pPr>
        <w:jc w:val="right"/>
        <w:rPr>
          <w:sz w:val="18"/>
          <w:szCs w:val="18"/>
        </w:rPr>
      </w:pPr>
      <w:r w:rsidRPr="00CE11A9">
        <w:rPr>
          <w:sz w:val="18"/>
          <w:szCs w:val="18"/>
        </w:rPr>
        <w:t xml:space="preserve">Pramen: </w:t>
      </w:r>
      <w:proofErr w:type="spellStart"/>
      <w:r>
        <w:rPr>
          <w:sz w:val="18"/>
          <w:szCs w:val="18"/>
        </w:rPr>
        <w:t>Eurostat</w:t>
      </w:r>
      <w:proofErr w:type="spellEnd"/>
    </w:p>
    <w:p w:rsidR="0008794F" w:rsidRPr="00C50863" w:rsidRDefault="0008794F" w:rsidP="00C50863">
      <w:pPr>
        <w:jc w:val="both"/>
        <w:rPr>
          <w:sz w:val="12"/>
          <w:szCs w:val="12"/>
        </w:rPr>
      </w:pPr>
    </w:p>
    <w:p w:rsidR="0008794F" w:rsidRPr="0053448E" w:rsidRDefault="0008794F" w:rsidP="0053448E">
      <w:pPr>
        <w:jc w:val="both"/>
        <w:rPr>
          <w:sz w:val="12"/>
          <w:szCs w:val="12"/>
        </w:rPr>
      </w:pPr>
    </w:p>
    <w:tbl>
      <w:tblPr>
        <w:tblW w:w="5043" w:type="pct"/>
        <w:tblInd w:w="-42" w:type="dxa"/>
        <w:tblCellMar>
          <w:left w:w="28" w:type="dxa"/>
          <w:right w:w="28" w:type="dxa"/>
        </w:tblCellMar>
        <w:tblLook w:val="00A0"/>
      </w:tblPr>
      <w:tblGrid>
        <w:gridCol w:w="2037"/>
        <w:gridCol w:w="272"/>
        <w:gridCol w:w="7468"/>
      </w:tblGrid>
      <w:tr w:rsidR="0008794F" w:rsidRPr="003D78A5" w:rsidTr="004D04C0">
        <w:tc>
          <w:tcPr>
            <w:tcW w:w="1042" w:type="pct"/>
          </w:tcPr>
          <w:p w:rsidR="0008794F" w:rsidRPr="00602D1D" w:rsidRDefault="0008794F" w:rsidP="004D04C0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 roku 2010 do roku 2014 diverzifikované nárůsty HDP – ČR jen +2,5 %, Rakousko +4,3 % a Slovensko +8,6 %;  rok 2015 se silným růstem české ekonomiky může její dosud horší výsledek „narovnat“</w:t>
            </w:r>
          </w:p>
        </w:tc>
        <w:tc>
          <w:tcPr>
            <w:tcW w:w="139" w:type="pct"/>
          </w:tcPr>
          <w:p w:rsidR="0008794F" w:rsidRDefault="0008794F" w:rsidP="004D04C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3653B8" w:rsidRDefault="0008794F" w:rsidP="000434EF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V závěrečném období z pohledu této analýzy, tj. za poslední čtyři roky od roku 2010, lze pozorovat významnou diverzifikaci růstů v ekonomikách České republiky, Slovenska a Rakouska (graf 21 zachycující vývoj HDP těchto ekonomik k bázi roku 2010). Zatímco slovenský HDP pokračuje po</w:t>
            </w:r>
            <w:r w:rsidR="0080673A">
              <w:rPr>
                <w:color w:val="000000"/>
                <w:spacing w:val="-6"/>
              </w:rPr>
              <w:t xml:space="preserve"> propadu v roce 2009 stabilně v relativně silném </w:t>
            </w:r>
            <w:r>
              <w:rPr>
                <w:color w:val="000000"/>
                <w:spacing w:val="-6"/>
              </w:rPr>
              <w:t xml:space="preserve">růstu a rakouská ekonomika i se znatelným oslabením v letech 2013 a 2014 také, český HDP stoupl proti roku 2010 o pouhá 2,5 %. Rakouský HDP přitom narostl o 4,3 % a slovenský dokonce o 8,6 %. Tyto proporce, pro ČR nelichotivé, zřejmě poněkud narovná příznivý vývoj české ekonomiky v roce 2015. </w:t>
            </w:r>
          </w:p>
        </w:tc>
      </w:tr>
      <w:tr w:rsidR="0008794F" w:rsidRPr="003D78A5" w:rsidTr="004D04C0">
        <w:tc>
          <w:tcPr>
            <w:tcW w:w="1042" w:type="pct"/>
          </w:tcPr>
          <w:p w:rsidR="0008794F" w:rsidRPr="00602D1D" w:rsidRDefault="0008794F" w:rsidP="004D04C0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</w:tcPr>
          <w:p w:rsidR="0008794F" w:rsidRDefault="0008794F" w:rsidP="004D04C0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Pr="003D78A5" w:rsidRDefault="0008794F" w:rsidP="004D04C0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  <w:tr w:rsidR="0008794F" w:rsidRPr="0053448E" w:rsidTr="0053448E">
        <w:tc>
          <w:tcPr>
            <w:tcW w:w="1042" w:type="pct"/>
          </w:tcPr>
          <w:p w:rsidR="0008794F" w:rsidRPr="00602D1D" w:rsidRDefault="0008794F" w:rsidP="000434EF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Členství v EU dynamizoval růst ekonomik po roce 2004, nemůžeme však </w:t>
            </w:r>
            <w:r w:rsidR="000434EF">
              <w:rPr>
                <w:color w:val="000000"/>
                <w:sz w:val="16"/>
                <w:szCs w:val="16"/>
              </w:rPr>
              <w:t xml:space="preserve">přesně </w:t>
            </w:r>
            <w:r>
              <w:rPr>
                <w:color w:val="000000"/>
                <w:sz w:val="16"/>
                <w:szCs w:val="16"/>
              </w:rPr>
              <w:t>říci, jak na růsty za toto období působil právě tento vliv</w:t>
            </w:r>
          </w:p>
        </w:tc>
        <w:tc>
          <w:tcPr>
            <w:tcW w:w="139" w:type="pct"/>
          </w:tcPr>
          <w:p w:rsidR="0008794F" w:rsidRDefault="0008794F" w:rsidP="00C50863">
            <w:pPr>
              <w:pStyle w:val="Textpoznpodarou"/>
              <w:jc w:val="both"/>
            </w:pPr>
          </w:p>
        </w:tc>
        <w:tc>
          <w:tcPr>
            <w:tcW w:w="3819" w:type="pct"/>
          </w:tcPr>
          <w:p w:rsidR="0008794F" w:rsidRDefault="0008794F" w:rsidP="00555944">
            <w:pPr>
              <w:pStyle w:val="Textpoznpodarou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Pokus porovnat ekonomický vývoj v letech 2004-2014 s ekonomickým vývojem za celé období 1998-2014 ukazuje</w:t>
            </w:r>
            <w:r w:rsidRPr="0053448E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z</w:t>
            </w:r>
            <w:r w:rsidRPr="0053448E">
              <w:rPr>
                <w:color w:val="000000"/>
                <w:spacing w:val="-6"/>
              </w:rPr>
              <w:t xml:space="preserve">ejména na příkladu Rumunska a Bulharska, </w:t>
            </w:r>
            <w:r>
              <w:rPr>
                <w:color w:val="000000"/>
                <w:spacing w:val="-6"/>
              </w:rPr>
              <w:t>že klíčový</w:t>
            </w:r>
            <w:r w:rsidRPr="0053448E">
              <w:rPr>
                <w:color w:val="000000"/>
                <w:spacing w:val="-6"/>
              </w:rPr>
              <w:t xml:space="preserve"> vliv na dynamizaci růstu ekonomik nových členských zemí</w:t>
            </w:r>
            <w:r>
              <w:rPr>
                <w:color w:val="000000"/>
                <w:spacing w:val="-6"/>
              </w:rPr>
              <w:t xml:space="preserve"> nelze přisuzovat jen členství v EU již od roku 2004. Více k tomu poví </w:t>
            </w:r>
            <w:r w:rsidRPr="0053448E">
              <w:rPr>
                <w:color w:val="000000"/>
                <w:spacing w:val="-6"/>
              </w:rPr>
              <w:t>analýz</w:t>
            </w:r>
            <w:r>
              <w:rPr>
                <w:color w:val="000000"/>
                <w:spacing w:val="-6"/>
              </w:rPr>
              <w:t>a</w:t>
            </w:r>
            <w:r w:rsidRPr="0053448E">
              <w:rPr>
                <w:color w:val="000000"/>
                <w:spacing w:val="-6"/>
              </w:rPr>
              <w:t xml:space="preserve"> kapitoly </w:t>
            </w:r>
            <w:r w:rsidR="0080673A">
              <w:rPr>
                <w:color w:val="000000"/>
                <w:spacing w:val="-6"/>
              </w:rPr>
              <w:t xml:space="preserve">4 o struktuře růstu </w:t>
            </w:r>
            <w:r>
              <w:rPr>
                <w:color w:val="000000"/>
                <w:spacing w:val="-6"/>
              </w:rPr>
              <w:t xml:space="preserve">vybraných </w:t>
            </w:r>
            <w:r w:rsidRPr="0053448E">
              <w:rPr>
                <w:color w:val="000000"/>
                <w:spacing w:val="-6"/>
              </w:rPr>
              <w:t>ekonomik ČR, SR a Rakouska podle složek výdajové strany HDP a také kapitol</w:t>
            </w:r>
            <w:r>
              <w:rPr>
                <w:color w:val="000000"/>
                <w:spacing w:val="-6"/>
              </w:rPr>
              <w:t>a</w:t>
            </w:r>
            <w:r w:rsidRPr="0053448E">
              <w:rPr>
                <w:color w:val="000000"/>
                <w:spacing w:val="-6"/>
              </w:rPr>
              <w:t xml:space="preserve"> 5 o struktuře ekonomik </w:t>
            </w:r>
            <w:r w:rsidR="000434EF">
              <w:rPr>
                <w:color w:val="000000"/>
                <w:spacing w:val="-6"/>
              </w:rPr>
              <w:t xml:space="preserve">zmíněných zemí </w:t>
            </w:r>
            <w:r w:rsidRPr="0053448E">
              <w:rPr>
                <w:color w:val="000000"/>
                <w:spacing w:val="-6"/>
              </w:rPr>
              <w:t xml:space="preserve">podle váhy jednotlivých odvětví. </w:t>
            </w:r>
          </w:p>
          <w:p w:rsidR="0008794F" w:rsidRPr="0053448E" w:rsidRDefault="0008794F" w:rsidP="00555944">
            <w:pPr>
              <w:pStyle w:val="Textpoznpodarou"/>
              <w:jc w:val="both"/>
              <w:rPr>
                <w:color w:val="000000"/>
                <w:spacing w:val="-6"/>
              </w:rPr>
            </w:pPr>
          </w:p>
        </w:tc>
      </w:tr>
    </w:tbl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p w:rsidR="0008794F" w:rsidRDefault="0008794F" w:rsidP="00D34225"/>
    <w:sectPr w:rsidR="0008794F" w:rsidSect="00D43998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02" w:rsidRDefault="00BB7402" w:rsidP="00E71A58">
      <w:r>
        <w:separator/>
      </w:r>
    </w:p>
  </w:endnote>
  <w:endnote w:type="continuationSeparator" w:id="0">
    <w:p w:rsidR="00BB7402" w:rsidRDefault="00BB740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A8" w:rsidRDefault="00B90093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1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F12A8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473823">
      <w:rPr>
        <w:rFonts w:ascii="Arial" w:hAnsi="Arial" w:cs="Arial"/>
        <w:noProof/>
        <w:sz w:val="16"/>
        <w:szCs w:val="16"/>
      </w:rPr>
      <w:t>12</w:t>
    </w:r>
    <w:r w:rsidRPr="005A21E0">
      <w:rPr>
        <w:rFonts w:ascii="Arial" w:hAnsi="Arial" w:cs="Arial"/>
        <w:sz w:val="16"/>
        <w:szCs w:val="16"/>
      </w:rPr>
      <w:fldChar w:fldCharType="end"/>
    </w:r>
    <w:r w:rsidR="006F12A8">
      <w:rPr>
        <w:rFonts w:ascii="Arial" w:hAnsi="Arial" w:cs="Arial"/>
        <w:sz w:val="16"/>
        <w:szCs w:val="16"/>
      </w:rPr>
      <w:tab/>
      <w:t>2014</w:t>
    </w:r>
    <w:r w:rsidR="006F12A8">
      <w:tab/>
    </w:r>
    <w:r w:rsidR="006F12A8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A8" w:rsidRDefault="00B9009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Description: 3" style="position:absolute;margin-left:.3pt;margin-top:7.1pt;width:39pt;height:21pt;z-index:2;visibility:visible">
          <v:imagedata r:id="rId1" o:title=""/>
        </v:shape>
      </w:pict>
    </w:r>
    <w:r w:rsidR="006F12A8">
      <w:tab/>
    </w:r>
    <w:r w:rsidR="006F12A8">
      <w:tab/>
    </w:r>
    <w:r w:rsidR="006F12A8" w:rsidRPr="00DC5B3B">
      <w:t xml:space="preserve">                              </w:t>
    </w:r>
  </w:p>
  <w:p w:rsidR="006F12A8" w:rsidRPr="00223E00" w:rsidRDefault="006F12A8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rPr>
        <w:rFonts w:ascii="Arial" w:hAnsi="Arial" w:cs="Arial"/>
        <w:sz w:val="16"/>
        <w:szCs w:val="16"/>
      </w:rPr>
      <w:tab/>
    </w:r>
    <w:r w:rsidR="00B90093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B90093" w:rsidRPr="00223E00">
      <w:rPr>
        <w:rFonts w:ascii="Arial" w:hAnsi="Arial" w:cs="Arial"/>
        <w:sz w:val="16"/>
        <w:szCs w:val="16"/>
      </w:rPr>
      <w:fldChar w:fldCharType="separate"/>
    </w:r>
    <w:r w:rsidR="00473823">
      <w:rPr>
        <w:rFonts w:ascii="Arial" w:hAnsi="Arial" w:cs="Arial"/>
        <w:noProof/>
        <w:sz w:val="16"/>
        <w:szCs w:val="16"/>
      </w:rPr>
      <w:t>11</w:t>
    </w:r>
    <w:r w:rsidR="00B90093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02" w:rsidRDefault="00BB7402" w:rsidP="00E71A58">
      <w:r>
        <w:separator/>
      </w:r>
    </w:p>
  </w:footnote>
  <w:footnote w:type="continuationSeparator" w:id="0">
    <w:p w:rsidR="00BB7402" w:rsidRDefault="00BB7402" w:rsidP="00E71A58">
      <w:r>
        <w:continuationSeparator/>
      </w:r>
    </w:p>
  </w:footnote>
  <w:footnote w:id="1">
    <w:p w:rsidR="006F12A8" w:rsidRPr="002705E8" w:rsidRDefault="006F12A8" w:rsidP="00717F72">
      <w:pPr>
        <w:spacing w:line="240" w:lineRule="auto"/>
        <w:jc w:val="both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 w:rsidRPr="002705E8">
        <w:rPr>
          <w:rFonts w:cs="Arial"/>
          <w:sz w:val="16"/>
          <w:szCs w:val="16"/>
        </w:rPr>
        <w:t>Stoupenci gradualismu se nejvíce obávali toho, že šoková terapie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 xml:space="preserve">bude mít příliš vysoké náklady v podobě velkého hospodářského </w:t>
      </w:r>
      <w:proofErr w:type="gramStart"/>
      <w:r w:rsidRPr="002705E8">
        <w:rPr>
          <w:rFonts w:cs="Arial"/>
          <w:sz w:val="16"/>
          <w:szCs w:val="16"/>
        </w:rPr>
        <w:t>po</w:t>
      </w:r>
      <w:proofErr w:type="gramEnd"/>
      <w:r w:rsidRPr="002705E8">
        <w:rPr>
          <w:rFonts w:cs="Arial"/>
          <w:sz w:val="16"/>
          <w:szCs w:val="16"/>
        </w:rPr>
        <w:t>-</w:t>
      </w:r>
    </w:p>
    <w:p w:rsidR="006F12A8" w:rsidRPr="002705E8" w:rsidRDefault="006F12A8" w:rsidP="00717F72">
      <w:pPr>
        <w:spacing w:line="240" w:lineRule="auto"/>
        <w:jc w:val="both"/>
        <w:rPr>
          <w:rFonts w:cs="Arial"/>
          <w:sz w:val="16"/>
          <w:szCs w:val="16"/>
        </w:rPr>
      </w:pPr>
      <w:r w:rsidRPr="002705E8">
        <w:rPr>
          <w:rFonts w:cs="Arial"/>
          <w:sz w:val="16"/>
          <w:szCs w:val="16"/>
        </w:rPr>
        <w:t>klesu. „Gradualisté“ věřili, že transformaci lze uskutečnit bez velkého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>hospodářského poklesu, bude-li ro</w:t>
      </w:r>
      <w:r>
        <w:rPr>
          <w:rFonts w:cs="Arial"/>
          <w:sz w:val="16"/>
          <w:szCs w:val="16"/>
        </w:rPr>
        <w:t xml:space="preserve">zložena do delšího období a </w:t>
      </w:r>
      <w:r w:rsidRPr="002705E8">
        <w:rPr>
          <w:rFonts w:cs="Arial"/>
          <w:sz w:val="16"/>
          <w:szCs w:val="16"/>
        </w:rPr>
        <w:t xml:space="preserve">státem </w:t>
      </w:r>
      <w:r>
        <w:rPr>
          <w:rFonts w:cs="Arial"/>
          <w:sz w:val="16"/>
          <w:szCs w:val="16"/>
        </w:rPr>
        <w:t>peč</w:t>
      </w:r>
      <w:r w:rsidRPr="002705E8">
        <w:rPr>
          <w:rFonts w:cs="Arial"/>
          <w:sz w:val="16"/>
          <w:szCs w:val="16"/>
        </w:rPr>
        <w:t>livě řízena. Bude-li stát otevírat domácí trhy zahraniční konkurenci pomalu a postupně, dá do</w:t>
      </w:r>
      <w:r>
        <w:rPr>
          <w:rFonts w:cs="Arial"/>
          <w:sz w:val="16"/>
          <w:szCs w:val="16"/>
        </w:rPr>
        <w:t>mácím výrobcům čas, aby se adap</w:t>
      </w:r>
      <w:r w:rsidRPr="002705E8">
        <w:rPr>
          <w:rFonts w:cs="Arial"/>
          <w:sz w:val="16"/>
          <w:szCs w:val="16"/>
        </w:rPr>
        <w:t xml:space="preserve">tovali na nové </w:t>
      </w:r>
      <w:proofErr w:type="gramStart"/>
      <w:r w:rsidRPr="002705E8">
        <w:rPr>
          <w:rFonts w:cs="Arial"/>
          <w:sz w:val="16"/>
          <w:szCs w:val="16"/>
        </w:rPr>
        <w:t>podmínky a nevystaví</w:t>
      </w:r>
      <w:proofErr w:type="gramEnd"/>
      <w:r>
        <w:rPr>
          <w:rFonts w:cs="Arial"/>
          <w:sz w:val="16"/>
          <w:szCs w:val="16"/>
        </w:rPr>
        <w:t xml:space="preserve"> je náhlému šoku. Postupná a po</w:t>
      </w:r>
      <w:r w:rsidRPr="002705E8">
        <w:rPr>
          <w:rFonts w:cs="Arial"/>
          <w:sz w:val="16"/>
          <w:szCs w:val="16"/>
        </w:rPr>
        <w:t>malejší liberalizace trhů si také nevyžádá tak drastická stabilizační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>op</w:t>
      </w:r>
      <w:r>
        <w:rPr>
          <w:rFonts w:cs="Arial"/>
          <w:sz w:val="16"/>
          <w:szCs w:val="16"/>
        </w:rPr>
        <w:t>a</w:t>
      </w:r>
      <w:r w:rsidRPr="002705E8">
        <w:rPr>
          <w:rFonts w:cs="Arial"/>
          <w:sz w:val="16"/>
          <w:szCs w:val="16"/>
        </w:rPr>
        <w:t>tření, podniky nebudou vystaveny šoku v podobě rozpočtové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>a měnové restrikce a nebude ani nu</w:t>
      </w:r>
      <w:r>
        <w:rPr>
          <w:rFonts w:cs="Arial"/>
          <w:sz w:val="16"/>
          <w:szCs w:val="16"/>
        </w:rPr>
        <w:t>tná tak velká počáteční devalva</w:t>
      </w:r>
      <w:r w:rsidRPr="002705E8">
        <w:rPr>
          <w:rFonts w:cs="Arial"/>
          <w:sz w:val="16"/>
          <w:szCs w:val="16"/>
        </w:rPr>
        <w:t xml:space="preserve">ce domácí měny. „Gradualisté“ věřili, </w:t>
      </w:r>
      <w:r>
        <w:rPr>
          <w:rFonts w:cs="Arial"/>
          <w:sz w:val="16"/>
          <w:szCs w:val="16"/>
        </w:rPr>
        <w:t>že strategie pomalejší transfor</w:t>
      </w:r>
      <w:r w:rsidRPr="002705E8">
        <w:rPr>
          <w:rFonts w:cs="Arial"/>
          <w:sz w:val="16"/>
          <w:szCs w:val="16"/>
        </w:rPr>
        <w:t>mace nepo</w:t>
      </w:r>
      <w:r>
        <w:rPr>
          <w:rFonts w:cs="Arial"/>
          <w:sz w:val="16"/>
          <w:szCs w:val="16"/>
        </w:rPr>
        <w:t>vede k hospodářskému poklesu. „Š</w:t>
      </w:r>
      <w:r w:rsidRPr="002705E8">
        <w:rPr>
          <w:rFonts w:cs="Arial"/>
          <w:sz w:val="16"/>
          <w:szCs w:val="16"/>
        </w:rPr>
        <w:t xml:space="preserve">okoví </w:t>
      </w:r>
      <w:proofErr w:type="spellStart"/>
      <w:r w:rsidRPr="002705E8">
        <w:rPr>
          <w:rFonts w:cs="Arial"/>
          <w:sz w:val="16"/>
          <w:szCs w:val="16"/>
        </w:rPr>
        <w:t>terapisté</w:t>
      </w:r>
      <w:proofErr w:type="spellEnd"/>
      <w:r w:rsidRPr="002705E8">
        <w:rPr>
          <w:rFonts w:cs="Arial"/>
          <w:sz w:val="16"/>
          <w:szCs w:val="16"/>
        </w:rPr>
        <w:t>“ naopak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>považovali přechodný hospodářský pokles za nevyhnutelný pro</w:t>
      </w:r>
      <w:r>
        <w:rPr>
          <w:rFonts w:cs="Arial"/>
          <w:sz w:val="16"/>
          <w:szCs w:val="16"/>
        </w:rPr>
        <w:t xml:space="preserve"> </w:t>
      </w:r>
      <w:r w:rsidRPr="002705E8">
        <w:rPr>
          <w:rFonts w:cs="Arial"/>
          <w:sz w:val="16"/>
          <w:szCs w:val="16"/>
        </w:rPr>
        <w:t>uskutečnění</w:t>
      </w:r>
      <w:r>
        <w:rPr>
          <w:rFonts w:cs="Arial"/>
          <w:sz w:val="16"/>
          <w:szCs w:val="16"/>
        </w:rPr>
        <w:t xml:space="preserve"> hlubokých strukturálních změn </w:t>
      </w:r>
      <w:r w:rsidRPr="002705E8">
        <w:rPr>
          <w:rFonts w:cs="Arial"/>
          <w:sz w:val="16"/>
          <w:szCs w:val="16"/>
        </w:rPr>
        <w:t>v</w:t>
      </w:r>
      <w:r>
        <w:rPr>
          <w:rFonts w:cs="Arial"/>
          <w:sz w:val="16"/>
          <w:szCs w:val="16"/>
        </w:rPr>
        <w:t> </w:t>
      </w:r>
      <w:r w:rsidRPr="002705E8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konomice</w:t>
      </w:r>
      <w:r w:rsidRPr="002705E8">
        <w:rPr>
          <w:rFonts w:cs="Arial"/>
          <w:sz w:val="16"/>
          <w:szCs w:val="16"/>
        </w:rPr>
        <w:t xml:space="preserve"> a pro </w:t>
      </w:r>
      <w:r>
        <w:rPr>
          <w:rFonts w:cs="Arial"/>
          <w:sz w:val="16"/>
          <w:szCs w:val="16"/>
        </w:rPr>
        <w:t>re</w:t>
      </w:r>
      <w:r w:rsidRPr="002705E8">
        <w:rPr>
          <w:rFonts w:cs="Arial"/>
          <w:sz w:val="16"/>
          <w:szCs w:val="16"/>
        </w:rPr>
        <w:t>strukturalizaci podnikové sféry. Nevěřil</w:t>
      </w:r>
      <w:r>
        <w:rPr>
          <w:rFonts w:cs="Arial"/>
          <w:sz w:val="16"/>
          <w:szCs w:val="16"/>
        </w:rPr>
        <w:t>i přitom, že by stát dokázal ta</w:t>
      </w:r>
      <w:r w:rsidRPr="002705E8">
        <w:rPr>
          <w:rFonts w:cs="Arial"/>
          <w:sz w:val="16"/>
          <w:szCs w:val="16"/>
        </w:rPr>
        <w:t>kové procesy efektivně řídit a kontrolovat</w:t>
      </w:r>
      <w:r>
        <w:rPr>
          <w:rFonts w:cs="Arial"/>
          <w:sz w:val="16"/>
          <w:szCs w:val="16"/>
        </w:rPr>
        <w:t>.</w:t>
      </w:r>
    </w:p>
    <w:p w:rsidR="006F12A8" w:rsidRPr="004F11DB" w:rsidRDefault="006F12A8" w:rsidP="00717F72">
      <w:pPr>
        <w:pStyle w:val="Textpoznpodarou"/>
        <w:rPr>
          <w:sz w:val="18"/>
          <w:szCs w:val="18"/>
        </w:rPr>
      </w:pPr>
      <w:r w:rsidRPr="00514E78">
        <w:rPr>
          <w:sz w:val="16"/>
          <w:szCs w:val="16"/>
        </w:rPr>
        <w:t>Více v </w:t>
      </w:r>
      <w:proofErr w:type="gramStart"/>
      <w:r w:rsidRPr="00514E78">
        <w:rPr>
          <w:sz w:val="16"/>
          <w:szCs w:val="16"/>
        </w:rPr>
        <w:t>Holman</w:t>
      </w:r>
      <w:proofErr w:type="gramEnd"/>
      <w:r w:rsidRPr="00514E78">
        <w:rPr>
          <w:sz w:val="16"/>
          <w:szCs w:val="16"/>
        </w:rPr>
        <w:t>, R. (2000). Transformace české ekonomiky v komparaci s dalšími zeměmi střední Evropy. CEP – centrum pro ekonomiku a politiku, Praha, 2000. ISBN 80-902795-6-2. Str. 21-23.</w:t>
      </w:r>
      <w:r>
        <w:t xml:space="preserve"> </w:t>
      </w:r>
      <w:hyperlink r:id="rId1" w:history="1">
        <w:r w:rsidRPr="00514E78">
          <w:rPr>
            <w:rStyle w:val="Hypertextovodkaz"/>
            <w:sz w:val="16"/>
            <w:szCs w:val="16"/>
          </w:rPr>
          <w:t>http://cepin.cz/docs/dokumenty/Transformace_holman.pdf</w:t>
        </w:r>
      </w:hyperlink>
    </w:p>
    <w:p w:rsidR="006F12A8" w:rsidRPr="000B6162" w:rsidRDefault="006F12A8" w:rsidP="00717F72">
      <w:pPr>
        <w:pStyle w:val="Textpoznpodarou"/>
        <w:rPr>
          <w:sz w:val="8"/>
          <w:szCs w:val="8"/>
        </w:rPr>
      </w:pPr>
    </w:p>
  </w:footnote>
  <w:footnote w:id="2">
    <w:p w:rsidR="006F12A8" w:rsidRDefault="006F12A8" w:rsidP="00717F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4E78">
        <w:rPr>
          <w:sz w:val="16"/>
          <w:szCs w:val="16"/>
        </w:rPr>
        <w:t>Historická ročenka národních účtů,</w:t>
      </w:r>
      <w:r>
        <w:rPr>
          <w:sz w:val="16"/>
          <w:szCs w:val="16"/>
        </w:rPr>
        <w:t xml:space="preserve"> </w:t>
      </w:r>
      <w:r w:rsidRPr="00514E78">
        <w:rPr>
          <w:sz w:val="16"/>
          <w:szCs w:val="16"/>
        </w:rPr>
        <w:t>ČSÚ</w:t>
      </w:r>
      <w:r>
        <w:rPr>
          <w:sz w:val="16"/>
          <w:szCs w:val="16"/>
        </w:rPr>
        <w:t xml:space="preserve"> a SSÚ, Praha 2011. </w:t>
      </w:r>
      <w:hyperlink r:id="rId2" w:history="1">
        <w:r w:rsidRPr="00514E78">
          <w:rPr>
            <w:rStyle w:val="Hypertextovodkaz"/>
            <w:sz w:val="16"/>
            <w:szCs w:val="16"/>
          </w:rPr>
          <w:t>https://www.czso.cz/csu/czso/5013-12-n_2012-14</w:t>
        </w:r>
      </w:hyperlink>
    </w:p>
  </w:footnote>
  <w:footnote w:id="3">
    <w:p w:rsidR="006F12A8" w:rsidRDefault="006F12A8" w:rsidP="00717F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0F44">
        <w:rPr>
          <w:sz w:val="16"/>
          <w:szCs w:val="16"/>
        </w:rPr>
        <w:t xml:space="preserve">Svoji </w:t>
      </w:r>
      <w:proofErr w:type="gramStart"/>
      <w:r w:rsidRPr="00D60F44">
        <w:rPr>
          <w:sz w:val="16"/>
          <w:szCs w:val="16"/>
        </w:rPr>
        <w:t>roli  mohly</w:t>
      </w:r>
      <w:proofErr w:type="gramEnd"/>
      <w:r w:rsidRPr="00D60F44">
        <w:rPr>
          <w:sz w:val="16"/>
          <w:szCs w:val="16"/>
        </w:rPr>
        <w:t xml:space="preserve"> hrát i způsoby provádění privatizace státních podniků.</w:t>
      </w:r>
      <w:r>
        <w:t xml:space="preserve"> </w:t>
      </w:r>
    </w:p>
  </w:footnote>
  <w:footnote w:id="4">
    <w:p w:rsidR="006F12A8" w:rsidRPr="00EB6406" w:rsidRDefault="006F12A8" w:rsidP="00EB6406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23CF0">
        <w:rPr>
          <w:sz w:val="16"/>
          <w:szCs w:val="16"/>
        </w:rPr>
        <w:t xml:space="preserve">Hodnocení let 1993 a 1997 naráží na jistý nesoulad v číslech uváděných za Slovenskou republiku. Na stránkách </w:t>
      </w:r>
      <w:proofErr w:type="spellStart"/>
      <w:r w:rsidRPr="00B23CF0">
        <w:rPr>
          <w:sz w:val="16"/>
          <w:szCs w:val="16"/>
        </w:rPr>
        <w:t>Eurostatu</w:t>
      </w:r>
      <w:proofErr w:type="spellEnd"/>
      <w:r w:rsidRPr="00B23CF0">
        <w:rPr>
          <w:sz w:val="16"/>
          <w:szCs w:val="16"/>
        </w:rPr>
        <w:t xml:space="preserve"> podle ESA95 jsou u Slovenska </w:t>
      </w:r>
      <w:r>
        <w:rPr>
          <w:sz w:val="16"/>
          <w:szCs w:val="16"/>
        </w:rPr>
        <w:t xml:space="preserve">za </w:t>
      </w:r>
      <w:r w:rsidRPr="00B23CF0">
        <w:rPr>
          <w:sz w:val="16"/>
          <w:szCs w:val="16"/>
        </w:rPr>
        <w:t xml:space="preserve">roky 1993-1997 </w:t>
      </w:r>
      <w:r>
        <w:rPr>
          <w:sz w:val="16"/>
          <w:szCs w:val="16"/>
        </w:rPr>
        <w:t>prezentovány</w:t>
      </w:r>
      <w:r w:rsidRPr="00B23CF0">
        <w:rPr>
          <w:sz w:val="16"/>
          <w:szCs w:val="16"/>
        </w:rPr>
        <w:t xml:space="preserve"> velmi vysoké meziroční přírůstky HDP </w:t>
      </w:r>
      <w:r>
        <w:rPr>
          <w:sz w:val="16"/>
          <w:szCs w:val="16"/>
        </w:rPr>
        <w:t>v reálném vyjádření</w:t>
      </w:r>
      <w:r w:rsidRPr="00B23CF0">
        <w:rPr>
          <w:sz w:val="16"/>
          <w:szCs w:val="16"/>
        </w:rPr>
        <w:t xml:space="preserve"> (např. již v letech 1993 a 1994</w:t>
      </w:r>
      <w:r>
        <w:rPr>
          <w:sz w:val="16"/>
          <w:szCs w:val="16"/>
        </w:rPr>
        <w:t xml:space="preserve"> </w:t>
      </w:r>
      <w:r w:rsidRPr="00B23CF0">
        <w:rPr>
          <w:sz w:val="16"/>
          <w:szCs w:val="16"/>
        </w:rPr>
        <w:t>v době po rozdělení ČSFR +7,2 % a +6,2 %</w:t>
      </w:r>
      <w:r>
        <w:rPr>
          <w:sz w:val="16"/>
          <w:szCs w:val="16"/>
        </w:rPr>
        <w:t>, v dalších třech letech pak +7,9 %, +6,9 % a +4,4 %</w:t>
      </w:r>
      <w:r w:rsidRPr="00B23CF0">
        <w:rPr>
          <w:sz w:val="16"/>
          <w:szCs w:val="16"/>
        </w:rPr>
        <w:t xml:space="preserve">), </w:t>
      </w:r>
      <w:r>
        <w:rPr>
          <w:sz w:val="16"/>
          <w:szCs w:val="16"/>
        </w:rPr>
        <w:t>což</w:t>
      </w:r>
      <w:r w:rsidRPr="00B23CF0">
        <w:rPr>
          <w:sz w:val="16"/>
          <w:szCs w:val="16"/>
        </w:rPr>
        <w:t xml:space="preserve"> vedl</w:t>
      </w:r>
      <w:r>
        <w:rPr>
          <w:sz w:val="16"/>
          <w:szCs w:val="16"/>
        </w:rPr>
        <w:t>o</w:t>
      </w:r>
      <w:r w:rsidRPr="00B23CF0">
        <w:rPr>
          <w:sz w:val="16"/>
          <w:szCs w:val="16"/>
        </w:rPr>
        <w:t xml:space="preserve"> za celé období 1993-1997 k průměrnému meziročnímu růstu o silných 6,5 %. Pro ČR pak činil </w:t>
      </w:r>
      <w:proofErr w:type="gramStart"/>
      <w:r w:rsidRPr="00B23CF0">
        <w:rPr>
          <w:sz w:val="16"/>
          <w:szCs w:val="16"/>
        </w:rPr>
        <w:t>obdobně  zjištěný</w:t>
      </w:r>
      <w:proofErr w:type="gramEnd"/>
      <w:r w:rsidRPr="00B23CF0">
        <w:rPr>
          <w:sz w:val="16"/>
          <w:szCs w:val="16"/>
        </w:rPr>
        <w:t xml:space="preserve"> růst  pouze 2,8 %</w:t>
      </w:r>
      <w:r>
        <w:rPr>
          <w:sz w:val="16"/>
          <w:szCs w:val="16"/>
        </w:rPr>
        <w:t xml:space="preserve"> (po letech od roku 1993 šlo o +1,2 %, +2,9 %, +6,3 %, +4,5 % a -0,9 %)</w:t>
      </w:r>
      <w:r w:rsidRPr="00B23CF0">
        <w:rPr>
          <w:sz w:val="16"/>
          <w:szCs w:val="16"/>
        </w:rPr>
        <w:t xml:space="preserve">.  </w:t>
      </w:r>
      <w:r>
        <w:rPr>
          <w:sz w:val="16"/>
          <w:szCs w:val="16"/>
        </w:rPr>
        <w:t xml:space="preserve">Navozuje to </w:t>
      </w:r>
      <w:r w:rsidRPr="00B23CF0">
        <w:rPr>
          <w:sz w:val="16"/>
          <w:szCs w:val="16"/>
        </w:rPr>
        <w:t xml:space="preserve">zřejmý problém s vykazováním, neboť v tabulkách </w:t>
      </w:r>
      <w:proofErr w:type="spellStart"/>
      <w:r w:rsidRPr="00B23CF0">
        <w:rPr>
          <w:sz w:val="16"/>
          <w:szCs w:val="16"/>
        </w:rPr>
        <w:t>Eurostatu</w:t>
      </w:r>
      <w:proofErr w:type="spellEnd"/>
      <w:r w:rsidRPr="00B23CF0">
        <w:rPr>
          <w:sz w:val="16"/>
          <w:szCs w:val="16"/>
        </w:rPr>
        <w:t xml:space="preserve"> podle ESA 2010 již</w:t>
      </w:r>
      <w:r>
        <w:rPr>
          <w:sz w:val="16"/>
          <w:szCs w:val="16"/>
        </w:rPr>
        <w:t xml:space="preserve"> u Slovenska </w:t>
      </w:r>
      <w:r w:rsidRPr="00B23CF0">
        <w:rPr>
          <w:sz w:val="16"/>
          <w:szCs w:val="16"/>
        </w:rPr>
        <w:t>data do r</w:t>
      </w:r>
      <w:r>
        <w:rPr>
          <w:sz w:val="16"/>
          <w:szCs w:val="16"/>
        </w:rPr>
        <w:t>oku 1997 na rozdíl od jiných zemí</w:t>
      </w:r>
      <w:r w:rsidRPr="00B23CF0">
        <w:rPr>
          <w:sz w:val="16"/>
          <w:szCs w:val="16"/>
        </w:rPr>
        <w:t xml:space="preserve"> uváděn</w:t>
      </w:r>
      <w:r>
        <w:rPr>
          <w:sz w:val="16"/>
          <w:szCs w:val="16"/>
        </w:rPr>
        <w:t>a</w:t>
      </w:r>
      <w:r w:rsidRPr="00B23CF0">
        <w:rPr>
          <w:sz w:val="16"/>
          <w:szCs w:val="16"/>
        </w:rPr>
        <w:t xml:space="preserve"> nejsou. Navíc zmíněné meziroční vysoké růsty HDP SR v letech 1993-1997 neodpovídají ani datům z Historické ročenky národních účtů. Nel</w:t>
      </w:r>
      <w:r>
        <w:rPr>
          <w:sz w:val="16"/>
          <w:szCs w:val="16"/>
        </w:rPr>
        <w:t>z</w:t>
      </w:r>
      <w:r w:rsidRPr="00B23CF0">
        <w:rPr>
          <w:sz w:val="16"/>
          <w:szCs w:val="16"/>
        </w:rPr>
        <w:t>e tedy učinit velmi zajímavé srovnání,</w:t>
      </w:r>
      <w:r>
        <w:rPr>
          <w:sz w:val="16"/>
          <w:szCs w:val="16"/>
        </w:rPr>
        <w:t xml:space="preserve"> </w:t>
      </w:r>
      <w:r w:rsidRPr="00B23CF0">
        <w:rPr>
          <w:sz w:val="16"/>
          <w:szCs w:val="16"/>
        </w:rPr>
        <w:t>které by mohlo určit, jak se obě země, tj. ČR a SR, vyrovnaly v dalším vývoji svých ekonomik s rozdělením federace.</w:t>
      </w:r>
      <w:r>
        <w:rPr>
          <w:sz w:val="16"/>
          <w:szCs w:val="16"/>
        </w:rPr>
        <w:t xml:space="preserve"> </w:t>
      </w:r>
    </w:p>
    <w:p w:rsidR="006F12A8" w:rsidRDefault="006F12A8">
      <w:pPr>
        <w:pStyle w:val="Textpoznpodarou"/>
      </w:pPr>
      <w:r>
        <w:rPr>
          <w:sz w:val="18"/>
        </w:rPr>
        <w:t xml:space="preserve"> </w:t>
      </w:r>
      <w:r>
        <w:rPr>
          <w:vanish/>
        </w:rPr>
        <w:t>DP (</w:t>
      </w:r>
    </w:p>
  </w:footnote>
  <w:footnote w:id="5">
    <w:p w:rsidR="006F12A8" w:rsidRDefault="006F12A8" w:rsidP="00096E46">
      <w:pPr>
        <w:pStyle w:val="Textpoznpodarou"/>
        <w:jc w:val="both"/>
        <w:rPr>
          <w:rFonts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96E46">
        <w:rPr>
          <w:rFonts w:cs="Arial"/>
          <w:sz w:val="16"/>
          <w:szCs w:val="16"/>
        </w:rPr>
        <w:t xml:space="preserve">Již v roce 1999 a pak v roce 2002 proběhla </w:t>
      </w:r>
      <w:r>
        <w:rPr>
          <w:rFonts w:cs="Arial"/>
          <w:sz w:val="16"/>
          <w:szCs w:val="16"/>
        </w:rPr>
        <w:t xml:space="preserve">na Slovensku </w:t>
      </w:r>
      <w:r w:rsidRPr="00096E46">
        <w:rPr>
          <w:rFonts w:cs="Arial"/>
          <w:sz w:val="16"/>
          <w:szCs w:val="16"/>
        </w:rPr>
        <w:t xml:space="preserve">reforma veřejné správy. </w:t>
      </w:r>
      <w:r>
        <w:rPr>
          <w:rFonts w:cs="Arial"/>
          <w:sz w:val="16"/>
          <w:szCs w:val="16"/>
        </w:rPr>
        <w:t xml:space="preserve">K dalším změnám </w:t>
      </w:r>
      <w:r w:rsidRPr="00096E46">
        <w:rPr>
          <w:rFonts w:cs="Arial"/>
          <w:sz w:val="16"/>
          <w:szCs w:val="16"/>
        </w:rPr>
        <w:t xml:space="preserve">levicově laděný časopis Stern v článku „Vzorová neoliberální země“ </w:t>
      </w:r>
      <w:r>
        <w:rPr>
          <w:rFonts w:cs="Arial"/>
          <w:sz w:val="16"/>
          <w:szCs w:val="16"/>
        </w:rPr>
        <w:t>v</w:t>
      </w:r>
      <w:r w:rsidRPr="00096E46">
        <w:rPr>
          <w:rFonts w:cs="Arial"/>
          <w:sz w:val="16"/>
          <w:szCs w:val="16"/>
        </w:rPr>
        <w:t> polovině roku 2005 napsal</w:t>
      </w:r>
      <w:r>
        <w:rPr>
          <w:rFonts w:cs="Arial"/>
          <w:sz w:val="16"/>
          <w:szCs w:val="16"/>
        </w:rPr>
        <w:t xml:space="preserve">: </w:t>
      </w:r>
      <w:r w:rsidRPr="00096E46">
        <w:rPr>
          <w:rFonts w:cs="Arial"/>
          <w:sz w:val="16"/>
          <w:szCs w:val="16"/>
        </w:rPr>
        <w:t>“</w:t>
      </w:r>
      <w:r>
        <w:rPr>
          <w:rFonts w:cs="Arial"/>
          <w:sz w:val="16"/>
          <w:szCs w:val="16"/>
        </w:rPr>
        <w:t>D</w:t>
      </w:r>
      <w:r w:rsidRPr="00096E46">
        <w:rPr>
          <w:rFonts w:cs="Arial"/>
          <w:sz w:val="16"/>
          <w:szCs w:val="16"/>
        </w:rPr>
        <w:t xml:space="preserve">aň ve výši 19 % platí pro všechny soukromé i </w:t>
      </w:r>
      <w:proofErr w:type="spellStart"/>
      <w:r w:rsidRPr="00096E46">
        <w:rPr>
          <w:rFonts w:cs="Arial"/>
          <w:sz w:val="16"/>
          <w:szCs w:val="16"/>
        </w:rPr>
        <w:t>korporátní</w:t>
      </w:r>
      <w:proofErr w:type="spellEnd"/>
      <w:r w:rsidRPr="00096E46">
        <w:rPr>
          <w:rFonts w:cs="Arial"/>
          <w:sz w:val="16"/>
          <w:szCs w:val="16"/>
        </w:rPr>
        <w:t xml:space="preserve"> příjmy</w:t>
      </w:r>
      <w:r>
        <w:rPr>
          <w:rFonts w:cs="Arial"/>
          <w:sz w:val="16"/>
          <w:szCs w:val="16"/>
        </w:rPr>
        <w:t>, d</w:t>
      </w:r>
      <w:r w:rsidRPr="00096E46">
        <w:rPr>
          <w:rFonts w:cs="Arial"/>
          <w:sz w:val="16"/>
          <w:szCs w:val="16"/>
        </w:rPr>
        <w:t xml:space="preserve">ividendy nejsou </w:t>
      </w:r>
      <w:proofErr w:type="gramStart"/>
      <w:r w:rsidRPr="00096E46">
        <w:rPr>
          <w:rFonts w:cs="Arial"/>
          <w:sz w:val="16"/>
          <w:szCs w:val="16"/>
        </w:rPr>
        <w:t>daněny</w:t>
      </w:r>
      <w:r>
        <w:rPr>
          <w:rFonts w:cs="Arial"/>
          <w:sz w:val="16"/>
          <w:szCs w:val="16"/>
        </w:rPr>
        <w:t>.</w:t>
      </w:r>
      <w:r w:rsidRPr="00096E46">
        <w:rPr>
          <w:rFonts w:cs="Arial"/>
          <w:sz w:val="16"/>
          <w:szCs w:val="16"/>
        </w:rPr>
        <w:t>.</w:t>
      </w:r>
      <w:proofErr w:type="gramEnd"/>
      <w:r w:rsidRPr="00096E46">
        <w:rPr>
          <w:rFonts w:cs="Arial"/>
          <w:sz w:val="16"/>
          <w:szCs w:val="16"/>
        </w:rPr>
        <w:t xml:space="preserve"> Pracovní právo bylo přetvořeno </w:t>
      </w:r>
      <w:r>
        <w:rPr>
          <w:rFonts w:cs="Arial"/>
          <w:sz w:val="16"/>
          <w:szCs w:val="16"/>
        </w:rPr>
        <w:t>k </w:t>
      </w:r>
      <w:proofErr w:type="spellStart"/>
      <w:r>
        <w:rPr>
          <w:rFonts w:cs="Arial"/>
          <w:sz w:val="16"/>
          <w:szCs w:val="16"/>
        </w:rPr>
        <w:t>favorizaci</w:t>
      </w:r>
      <w:proofErr w:type="spellEnd"/>
      <w:r>
        <w:rPr>
          <w:rFonts w:cs="Arial"/>
          <w:sz w:val="16"/>
          <w:szCs w:val="16"/>
        </w:rPr>
        <w:t xml:space="preserve"> </w:t>
      </w:r>
      <w:r w:rsidRPr="00096E46">
        <w:rPr>
          <w:rFonts w:cs="Arial"/>
          <w:sz w:val="16"/>
          <w:szCs w:val="16"/>
        </w:rPr>
        <w:t xml:space="preserve">podnikání, stejně jako sociální a penzijní systém. Tím </w:t>
      </w:r>
      <w:r>
        <w:rPr>
          <w:rFonts w:cs="Arial"/>
          <w:sz w:val="16"/>
          <w:szCs w:val="16"/>
        </w:rPr>
        <w:t>se</w:t>
      </w:r>
      <w:r w:rsidRPr="00096E46">
        <w:rPr>
          <w:rFonts w:cs="Arial"/>
          <w:sz w:val="16"/>
          <w:szCs w:val="16"/>
        </w:rPr>
        <w:t xml:space="preserve"> Slovensko </w:t>
      </w:r>
      <w:r>
        <w:rPr>
          <w:rFonts w:cs="Arial"/>
          <w:sz w:val="16"/>
          <w:szCs w:val="16"/>
        </w:rPr>
        <w:t xml:space="preserve">stalo </w:t>
      </w:r>
      <w:r w:rsidRPr="00096E46">
        <w:rPr>
          <w:rFonts w:cs="Arial"/>
          <w:sz w:val="16"/>
          <w:szCs w:val="16"/>
        </w:rPr>
        <w:t>přitažliv</w:t>
      </w:r>
      <w:r>
        <w:rPr>
          <w:rFonts w:cs="Arial"/>
          <w:sz w:val="16"/>
          <w:szCs w:val="16"/>
        </w:rPr>
        <w:t>é</w:t>
      </w:r>
      <w:r w:rsidRPr="00096E46">
        <w:rPr>
          <w:rFonts w:cs="Arial"/>
          <w:sz w:val="16"/>
          <w:szCs w:val="16"/>
        </w:rPr>
        <w:t xml:space="preserve"> nejen pro velké koncerny, ale i pro menší firmy v sousedních zemích</w:t>
      </w:r>
      <w:r>
        <w:rPr>
          <w:rFonts w:cs="Arial"/>
          <w:sz w:val="16"/>
          <w:szCs w:val="16"/>
        </w:rPr>
        <w:t xml:space="preserve">, což </w:t>
      </w:r>
      <w:r w:rsidRPr="00096E46">
        <w:rPr>
          <w:rFonts w:cs="Arial"/>
          <w:sz w:val="16"/>
          <w:szCs w:val="16"/>
        </w:rPr>
        <w:t>přimělo</w:t>
      </w:r>
      <w:r>
        <w:rPr>
          <w:rFonts w:cs="Arial"/>
          <w:sz w:val="16"/>
          <w:szCs w:val="16"/>
        </w:rPr>
        <w:t xml:space="preserve"> např.</w:t>
      </w:r>
      <w:r w:rsidRPr="00096E46">
        <w:rPr>
          <w:rFonts w:cs="Arial"/>
          <w:sz w:val="16"/>
          <w:szCs w:val="16"/>
        </w:rPr>
        <w:t xml:space="preserve"> Rakušany k urych</w:t>
      </w:r>
      <w:r>
        <w:rPr>
          <w:rFonts w:cs="Arial"/>
          <w:sz w:val="16"/>
          <w:szCs w:val="16"/>
        </w:rPr>
        <w:t>lenému a výraznému snížení daní</w:t>
      </w:r>
      <w:r w:rsidRPr="00096E46">
        <w:rPr>
          <w:rFonts w:cs="Arial"/>
          <w:sz w:val="16"/>
          <w:szCs w:val="16"/>
        </w:rPr>
        <w:t xml:space="preserve">, aby </w:t>
      </w:r>
      <w:r>
        <w:rPr>
          <w:rFonts w:cs="Arial"/>
          <w:sz w:val="16"/>
          <w:szCs w:val="16"/>
        </w:rPr>
        <w:t>firmy neodcházely</w:t>
      </w:r>
      <w:r w:rsidRPr="00096E46">
        <w:rPr>
          <w:rFonts w:cs="Arial"/>
          <w:sz w:val="16"/>
          <w:szCs w:val="16"/>
        </w:rPr>
        <w:t xml:space="preserve"> přes řeku Moravu (tj. slovenskou hranici).“ Rakousko snížilo daň ze zisků právnických osob na 25 % z předchozích 34 %. Americký Business </w:t>
      </w:r>
      <w:proofErr w:type="spellStart"/>
      <w:r w:rsidRPr="00096E46">
        <w:rPr>
          <w:rFonts w:cs="Arial"/>
          <w:sz w:val="16"/>
          <w:szCs w:val="16"/>
        </w:rPr>
        <w:t>Week</w:t>
      </w:r>
      <w:proofErr w:type="spellEnd"/>
      <w:r w:rsidRPr="00096E46">
        <w:rPr>
          <w:rFonts w:cs="Arial"/>
          <w:sz w:val="16"/>
          <w:szCs w:val="16"/>
        </w:rPr>
        <w:t xml:space="preserve"> z července 2005 si povšiml</w:t>
      </w:r>
      <w:r>
        <w:rPr>
          <w:rFonts w:cs="Arial"/>
          <w:sz w:val="16"/>
          <w:szCs w:val="16"/>
        </w:rPr>
        <w:t xml:space="preserve"> jednoho z nejvyšších poměrů na světě, co se týká počtu vyrobených automobilů na počet obyvatel </w:t>
      </w:r>
      <w:r w:rsidRPr="00096E46">
        <w:rPr>
          <w:rFonts w:cs="Arial"/>
          <w:sz w:val="16"/>
          <w:szCs w:val="16"/>
        </w:rPr>
        <w:t>Slovensk</w:t>
      </w:r>
      <w:r>
        <w:rPr>
          <w:rFonts w:cs="Arial"/>
          <w:sz w:val="16"/>
          <w:szCs w:val="16"/>
        </w:rPr>
        <w:t>a.</w:t>
      </w:r>
      <w:r w:rsidRPr="00096E46">
        <w:rPr>
          <w:rFonts w:cs="Arial"/>
          <w:sz w:val="16"/>
          <w:szCs w:val="16"/>
        </w:rPr>
        <w:t xml:space="preserve"> Regionální Pittsburgh Post </w:t>
      </w:r>
      <w:proofErr w:type="spellStart"/>
      <w:r w:rsidRPr="00096E46">
        <w:rPr>
          <w:rFonts w:cs="Arial"/>
          <w:sz w:val="16"/>
          <w:szCs w:val="16"/>
        </w:rPr>
        <w:t>Gazette</w:t>
      </w:r>
      <w:proofErr w:type="spellEnd"/>
      <w:r w:rsidRPr="00096E46">
        <w:rPr>
          <w:rFonts w:cs="Arial"/>
          <w:sz w:val="16"/>
          <w:szCs w:val="16"/>
        </w:rPr>
        <w:t xml:space="preserve"> přine</w:t>
      </w:r>
      <w:r>
        <w:rPr>
          <w:rFonts w:cs="Arial"/>
          <w:sz w:val="16"/>
          <w:szCs w:val="16"/>
        </w:rPr>
        <w:t>s</w:t>
      </w:r>
      <w:r w:rsidRPr="00096E46">
        <w:rPr>
          <w:rFonts w:cs="Arial"/>
          <w:sz w:val="16"/>
          <w:szCs w:val="16"/>
        </w:rPr>
        <w:t>l reportáž z košických železáren a jiných zahraničních investic s</w:t>
      </w:r>
      <w:r>
        <w:rPr>
          <w:rFonts w:cs="Arial"/>
          <w:sz w:val="16"/>
          <w:szCs w:val="16"/>
        </w:rPr>
        <w:t> </w:t>
      </w:r>
      <w:r w:rsidRPr="00096E46">
        <w:rPr>
          <w:rFonts w:cs="Arial"/>
          <w:sz w:val="16"/>
          <w:szCs w:val="16"/>
        </w:rPr>
        <w:t>poznámkou</w:t>
      </w:r>
      <w:r>
        <w:rPr>
          <w:rFonts w:cs="Arial"/>
          <w:sz w:val="16"/>
          <w:szCs w:val="16"/>
        </w:rPr>
        <w:t xml:space="preserve"> o vysokém růstu </w:t>
      </w:r>
      <w:r w:rsidRPr="00096E46">
        <w:rPr>
          <w:rFonts w:cs="Arial"/>
          <w:sz w:val="16"/>
          <w:szCs w:val="16"/>
        </w:rPr>
        <w:t>hodinov</w:t>
      </w:r>
      <w:r>
        <w:rPr>
          <w:rFonts w:cs="Arial"/>
          <w:sz w:val="16"/>
          <w:szCs w:val="16"/>
        </w:rPr>
        <w:t>é</w:t>
      </w:r>
      <w:r w:rsidRPr="00096E46">
        <w:rPr>
          <w:rFonts w:cs="Arial"/>
          <w:sz w:val="16"/>
          <w:szCs w:val="16"/>
        </w:rPr>
        <w:t xml:space="preserve"> mzd</w:t>
      </w:r>
      <w:r>
        <w:rPr>
          <w:rFonts w:cs="Arial"/>
          <w:sz w:val="16"/>
          <w:szCs w:val="16"/>
        </w:rPr>
        <w:t>y</w:t>
      </w:r>
      <w:r w:rsidRPr="00096E46">
        <w:rPr>
          <w:rFonts w:cs="Arial"/>
          <w:sz w:val="16"/>
          <w:szCs w:val="16"/>
        </w:rPr>
        <w:t xml:space="preserve"> slovenského ocelářského dělníka</w:t>
      </w:r>
      <w:r>
        <w:rPr>
          <w:rFonts w:cs="Arial"/>
          <w:sz w:val="16"/>
          <w:szCs w:val="16"/>
        </w:rPr>
        <w:t xml:space="preserve">. </w:t>
      </w:r>
      <w:r w:rsidRPr="00096E46">
        <w:rPr>
          <w:rFonts w:cs="Arial"/>
          <w:sz w:val="16"/>
          <w:szCs w:val="16"/>
        </w:rPr>
        <w:t>H</w:t>
      </w:r>
      <w:r w:rsidRPr="00201F7D">
        <w:rPr>
          <w:rFonts w:cs="Arial"/>
          <w:sz w:val="16"/>
          <w:szCs w:val="16"/>
        </w:rPr>
        <w:t xml:space="preserve">lavní ekonom </w:t>
      </w:r>
      <w:proofErr w:type="spellStart"/>
      <w:r w:rsidRPr="00201F7D">
        <w:rPr>
          <w:rFonts w:cs="Arial"/>
          <w:sz w:val="16"/>
          <w:szCs w:val="16"/>
        </w:rPr>
        <w:t>Deutsch</w:t>
      </w:r>
      <w:r w:rsidRPr="00096E46">
        <w:rPr>
          <w:rFonts w:cs="Arial"/>
          <w:sz w:val="16"/>
          <w:szCs w:val="16"/>
        </w:rPr>
        <w:t>e</w:t>
      </w:r>
      <w:proofErr w:type="spellEnd"/>
      <w:r w:rsidRPr="00096E46">
        <w:rPr>
          <w:rFonts w:cs="Arial"/>
          <w:sz w:val="16"/>
          <w:szCs w:val="16"/>
        </w:rPr>
        <w:t xml:space="preserve"> Bank, profesor Norbert Walter</w:t>
      </w:r>
      <w:r>
        <w:rPr>
          <w:rFonts w:cs="Arial"/>
          <w:sz w:val="16"/>
          <w:szCs w:val="16"/>
        </w:rPr>
        <w:t>,</w:t>
      </w:r>
      <w:r w:rsidRPr="00096E46">
        <w:rPr>
          <w:rFonts w:cs="Arial"/>
          <w:sz w:val="16"/>
          <w:szCs w:val="16"/>
        </w:rPr>
        <w:t xml:space="preserve"> dokonce</w:t>
      </w:r>
      <w:r w:rsidRPr="00096E46">
        <w:rPr>
          <w:rFonts w:cs="Arial"/>
          <w:b/>
          <w:sz w:val="16"/>
          <w:szCs w:val="16"/>
        </w:rPr>
        <w:t xml:space="preserve"> </w:t>
      </w:r>
      <w:r w:rsidRPr="00201F7D">
        <w:rPr>
          <w:rFonts w:cs="Arial"/>
          <w:sz w:val="16"/>
          <w:szCs w:val="16"/>
        </w:rPr>
        <w:t>doporuč</w:t>
      </w:r>
      <w:r w:rsidRPr="00096E46">
        <w:rPr>
          <w:rFonts w:cs="Arial"/>
          <w:sz w:val="16"/>
          <w:szCs w:val="16"/>
        </w:rPr>
        <w:t>oval</w:t>
      </w:r>
      <w:r w:rsidRPr="00201F7D">
        <w:rPr>
          <w:rFonts w:cs="Arial"/>
          <w:sz w:val="16"/>
          <w:szCs w:val="16"/>
        </w:rPr>
        <w:t xml:space="preserve"> slovenský daňový model jako vzor pro Německo</w:t>
      </w:r>
      <w:r>
        <w:rPr>
          <w:rFonts w:cs="Arial"/>
          <w:sz w:val="16"/>
          <w:szCs w:val="16"/>
        </w:rPr>
        <w:t>. E</w:t>
      </w:r>
      <w:r w:rsidRPr="00096E46">
        <w:rPr>
          <w:rFonts w:cs="Arial"/>
          <w:sz w:val="16"/>
          <w:szCs w:val="16"/>
        </w:rPr>
        <w:t xml:space="preserve">konomické reformy </w:t>
      </w:r>
      <w:r>
        <w:rPr>
          <w:rFonts w:cs="Arial"/>
          <w:sz w:val="16"/>
          <w:szCs w:val="16"/>
        </w:rPr>
        <w:t>přispěly k většímu renomé</w:t>
      </w:r>
      <w:r w:rsidRPr="00096E46">
        <w:rPr>
          <w:rFonts w:cs="Arial"/>
          <w:sz w:val="16"/>
          <w:szCs w:val="16"/>
        </w:rPr>
        <w:t xml:space="preserve"> Slovensk</w:t>
      </w:r>
      <w:r>
        <w:rPr>
          <w:rFonts w:cs="Arial"/>
          <w:sz w:val="16"/>
          <w:szCs w:val="16"/>
        </w:rPr>
        <w:t>a</w:t>
      </w:r>
      <w:r w:rsidRPr="00096E46">
        <w:rPr>
          <w:rFonts w:cs="Arial"/>
          <w:sz w:val="16"/>
          <w:szCs w:val="16"/>
        </w:rPr>
        <w:t xml:space="preserve"> mezi zahraničními investory</w:t>
      </w:r>
      <w:r>
        <w:rPr>
          <w:rFonts w:cs="Arial"/>
          <w:sz w:val="16"/>
          <w:szCs w:val="16"/>
        </w:rPr>
        <w:t xml:space="preserve"> (BASF, VW, </w:t>
      </w:r>
      <w:proofErr w:type="spellStart"/>
      <w:r>
        <w:rPr>
          <w:rFonts w:cs="Arial"/>
          <w:sz w:val="16"/>
          <w:szCs w:val="16"/>
        </w:rPr>
        <w:t>Peugeot</w:t>
      </w:r>
      <w:proofErr w:type="spellEnd"/>
      <w:r>
        <w:rPr>
          <w:rFonts w:cs="Arial"/>
          <w:sz w:val="16"/>
          <w:szCs w:val="16"/>
        </w:rPr>
        <w:t xml:space="preserve">-Citroen, </w:t>
      </w:r>
      <w:proofErr w:type="spellStart"/>
      <w:r>
        <w:rPr>
          <w:rFonts w:cs="Arial"/>
          <w:sz w:val="16"/>
          <w:szCs w:val="16"/>
        </w:rPr>
        <w:t>Kia</w:t>
      </w:r>
      <w:proofErr w:type="spellEnd"/>
      <w:r>
        <w:rPr>
          <w:rFonts w:cs="Arial"/>
          <w:sz w:val="16"/>
          <w:szCs w:val="16"/>
        </w:rPr>
        <w:t xml:space="preserve">). </w:t>
      </w:r>
    </w:p>
    <w:p w:rsidR="006F12A8" w:rsidRPr="00ED118D" w:rsidRDefault="006F12A8" w:rsidP="00ED118D">
      <w:pPr>
        <w:pStyle w:val="Textpoznpodarou"/>
        <w:jc w:val="both"/>
        <w:rPr>
          <w:sz w:val="16"/>
          <w:szCs w:val="16"/>
        </w:rPr>
      </w:pPr>
      <w:r w:rsidRPr="008828CE">
        <w:rPr>
          <w:sz w:val="16"/>
          <w:szCs w:val="16"/>
        </w:rPr>
        <w:t>Reforma slovenské</w:t>
      </w:r>
      <w:r>
        <w:rPr>
          <w:sz w:val="16"/>
          <w:szCs w:val="16"/>
        </w:rPr>
        <w:t xml:space="preserve"> ekonomiky</w:t>
      </w:r>
      <w:r w:rsidRPr="008828CE">
        <w:rPr>
          <w:sz w:val="16"/>
          <w:szCs w:val="16"/>
        </w:rPr>
        <w:t xml:space="preserve"> nebyla zahájena koordinovaně, </w:t>
      </w:r>
      <w:r>
        <w:rPr>
          <w:sz w:val="16"/>
          <w:szCs w:val="16"/>
        </w:rPr>
        <w:t>ale</w:t>
      </w:r>
      <w:r w:rsidRPr="008828CE">
        <w:rPr>
          <w:sz w:val="16"/>
          <w:szCs w:val="16"/>
        </w:rPr>
        <w:t xml:space="preserve"> probíhala v </w:t>
      </w:r>
      <w:r>
        <w:rPr>
          <w:sz w:val="16"/>
          <w:szCs w:val="16"/>
        </w:rPr>
        <w:t>daných</w:t>
      </w:r>
      <w:r w:rsidRPr="008828CE">
        <w:rPr>
          <w:sz w:val="16"/>
          <w:szCs w:val="16"/>
        </w:rPr>
        <w:t xml:space="preserve"> </w:t>
      </w:r>
      <w:r>
        <w:rPr>
          <w:sz w:val="16"/>
          <w:szCs w:val="16"/>
        </w:rPr>
        <w:t>sférách</w:t>
      </w:r>
      <w:r w:rsidRPr="008828CE">
        <w:rPr>
          <w:sz w:val="16"/>
          <w:szCs w:val="16"/>
        </w:rPr>
        <w:t>. Nej</w:t>
      </w:r>
      <w:r>
        <w:rPr>
          <w:sz w:val="16"/>
          <w:szCs w:val="16"/>
        </w:rPr>
        <w:t>větší</w:t>
      </w:r>
      <w:r w:rsidRPr="008828CE">
        <w:rPr>
          <w:sz w:val="16"/>
          <w:szCs w:val="16"/>
        </w:rPr>
        <w:t xml:space="preserve"> změny nastaly v daňové oblasti a ve veřejných rozpočtech, v sociálním systému, na trhu práce, v penzijním systému, ve zdravotnictví a ve financování </w:t>
      </w:r>
      <w:r>
        <w:rPr>
          <w:sz w:val="16"/>
          <w:szCs w:val="16"/>
        </w:rPr>
        <w:t xml:space="preserve">školství (mimo vysokých škol). Byla vidět snaha </w:t>
      </w:r>
      <w:r w:rsidRPr="008828CE">
        <w:rPr>
          <w:sz w:val="16"/>
          <w:szCs w:val="16"/>
        </w:rPr>
        <w:t xml:space="preserve">slovenské vlády zavádět tržní vztahy </w:t>
      </w:r>
      <w:r>
        <w:rPr>
          <w:sz w:val="16"/>
          <w:szCs w:val="16"/>
        </w:rPr>
        <w:t xml:space="preserve">i </w:t>
      </w:r>
      <w:r w:rsidRPr="008828CE">
        <w:rPr>
          <w:sz w:val="16"/>
          <w:szCs w:val="16"/>
        </w:rPr>
        <w:t>do tzv. veřejných služeb</w:t>
      </w:r>
      <w:r>
        <w:rPr>
          <w:sz w:val="16"/>
          <w:szCs w:val="16"/>
        </w:rPr>
        <w:t xml:space="preserve"> a také „</w:t>
      </w:r>
      <w:proofErr w:type="spellStart"/>
      <w:r>
        <w:rPr>
          <w:sz w:val="16"/>
          <w:szCs w:val="16"/>
        </w:rPr>
        <w:t>i</w:t>
      </w:r>
      <w:r w:rsidRPr="00ED118D">
        <w:rPr>
          <w:sz w:val="16"/>
          <w:szCs w:val="16"/>
        </w:rPr>
        <w:t>nsti</w:t>
      </w:r>
      <w:r>
        <w:rPr>
          <w:sz w:val="16"/>
          <w:szCs w:val="16"/>
        </w:rPr>
        <w:t>t</w:t>
      </w:r>
      <w:r w:rsidRPr="00ED118D">
        <w:rPr>
          <w:sz w:val="16"/>
          <w:szCs w:val="16"/>
        </w:rPr>
        <w:t>ucionaliz</w:t>
      </w:r>
      <w:r>
        <w:rPr>
          <w:sz w:val="16"/>
          <w:szCs w:val="16"/>
        </w:rPr>
        <w:t>ace</w:t>
      </w:r>
      <w:proofErr w:type="spellEnd"/>
      <w:r>
        <w:rPr>
          <w:sz w:val="16"/>
          <w:szCs w:val="16"/>
        </w:rPr>
        <w:t xml:space="preserve">“ reforem (vznikl </w:t>
      </w:r>
      <w:r w:rsidRPr="00ED118D">
        <w:rPr>
          <w:sz w:val="16"/>
          <w:szCs w:val="16"/>
        </w:rPr>
        <w:t>Institut pro ekonomické a sociální reformy</w:t>
      </w:r>
      <w:r>
        <w:rPr>
          <w:sz w:val="16"/>
          <w:szCs w:val="16"/>
        </w:rPr>
        <w:t>,</w:t>
      </w:r>
      <w:r w:rsidRPr="00ED118D">
        <w:rPr>
          <w:sz w:val="16"/>
          <w:szCs w:val="16"/>
        </w:rPr>
        <w:t xml:space="preserve"> Institut pro veřejné otázky, </w:t>
      </w:r>
      <w:r>
        <w:rPr>
          <w:sz w:val="16"/>
          <w:szCs w:val="16"/>
        </w:rPr>
        <w:t xml:space="preserve">později </w:t>
      </w:r>
      <w:r w:rsidRPr="00ED118D">
        <w:rPr>
          <w:sz w:val="16"/>
          <w:szCs w:val="16"/>
        </w:rPr>
        <w:t>Rada pro rozpočtovou zodpovědnost</w:t>
      </w:r>
      <w:r>
        <w:rPr>
          <w:sz w:val="16"/>
          <w:szCs w:val="16"/>
        </w:rPr>
        <w:t>, aj.).</w:t>
      </w:r>
    </w:p>
    <w:p w:rsidR="006F12A8" w:rsidRPr="00ED118D" w:rsidRDefault="006F12A8" w:rsidP="00ED118D">
      <w:pPr>
        <w:pStyle w:val="Textpoznpodarou"/>
        <w:jc w:val="both"/>
        <w:rPr>
          <w:sz w:val="16"/>
          <w:szCs w:val="16"/>
        </w:rPr>
      </w:pPr>
    </w:p>
    <w:p w:rsidR="006F12A8" w:rsidRDefault="006F12A8" w:rsidP="00ED118D">
      <w:pPr>
        <w:pStyle w:val="Textpoznpodarou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A8" w:rsidRPr="007A2959" w:rsidRDefault="006F12A8" w:rsidP="007A295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A8" w:rsidRPr="00F5435A" w:rsidRDefault="006F12A8" w:rsidP="00873DE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Srovnávací analýza vývoje ekonomik České republiky, Slovenska a Rakouska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C2C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5A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7E25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AC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B24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C5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A7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623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44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41472"/>
    <w:multiLevelType w:val="hybridMultilevel"/>
    <w:tmpl w:val="AA36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F96BEF"/>
    <w:multiLevelType w:val="hybridMultilevel"/>
    <w:tmpl w:val="3B36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31DD0"/>
    <w:multiLevelType w:val="hybridMultilevel"/>
    <w:tmpl w:val="7248D3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A62B8"/>
    <w:multiLevelType w:val="multilevel"/>
    <w:tmpl w:val="DBE6868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1EA7172B"/>
    <w:multiLevelType w:val="multilevel"/>
    <w:tmpl w:val="DE863A6A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20BB57F8"/>
    <w:multiLevelType w:val="multilevel"/>
    <w:tmpl w:val="2074470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5954F6D"/>
    <w:multiLevelType w:val="hybridMultilevel"/>
    <w:tmpl w:val="8E84F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26AB4"/>
    <w:multiLevelType w:val="hybridMultilevel"/>
    <w:tmpl w:val="A296FA20"/>
    <w:lvl w:ilvl="0" w:tplc="2AAEA5FA">
      <w:start w:val="20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A3AA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2BDF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3069F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AA44F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02C53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1A075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84FE6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83E8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B95ADF"/>
    <w:multiLevelType w:val="hybridMultilevel"/>
    <w:tmpl w:val="B35AFB4E"/>
    <w:lvl w:ilvl="0" w:tplc="A1664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0B8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A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9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A0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AD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A4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C2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28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679BF"/>
    <w:multiLevelType w:val="hybridMultilevel"/>
    <w:tmpl w:val="DE223DFC"/>
    <w:lvl w:ilvl="0" w:tplc="63982124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48EE8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08503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F0AC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02158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A7B2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421A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74CDF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F600C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AF1193"/>
    <w:multiLevelType w:val="multilevel"/>
    <w:tmpl w:val="AA2CE5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B412319"/>
    <w:multiLevelType w:val="hybridMultilevel"/>
    <w:tmpl w:val="C76CED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F7F4D"/>
    <w:multiLevelType w:val="hybridMultilevel"/>
    <w:tmpl w:val="06BA7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6350F"/>
    <w:multiLevelType w:val="hybridMultilevel"/>
    <w:tmpl w:val="80DE618A"/>
    <w:lvl w:ilvl="0" w:tplc="525263D6">
      <w:start w:val="20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AE79A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0A35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DC617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D62BF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0D0D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743AA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8AE57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8A609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BF3EA5"/>
    <w:multiLevelType w:val="multilevel"/>
    <w:tmpl w:val="ED94EFE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42A32BF"/>
    <w:multiLevelType w:val="multilevel"/>
    <w:tmpl w:val="2C7C09C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4"/>
  </w:num>
  <w:num w:numId="5">
    <w:abstractNumId w:val="26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9"/>
  </w:num>
  <w:num w:numId="19">
    <w:abstractNumId w:val="17"/>
  </w:num>
  <w:num w:numId="20">
    <w:abstractNumId w:val="23"/>
  </w:num>
  <w:num w:numId="21">
    <w:abstractNumId w:val="20"/>
  </w:num>
  <w:num w:numId="22">
    <w:abstractNumId w:val="18"/>
  </w:num>
  <w:num w:numId="23">
    <w:abstractNumId w:val="10"/>
  </w:num>
  <w:num w:numId="24">
    <w:abstractNumId w:val="25"/>
  </w:num>
  <w:num w:numId="25">
    <w:abstractNumId w:val="22"/>
  </w:num>
  <w:num w:numId="26">
    <w:abstractNumId w:val="16"/>
  </w:num>
  <w:num w:numId="27">
    <w:abstractNumId w:val="12"/>
  </w:num>
  <w:num w:numId="28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E94"/>
    <w:rsid w:val="00001411"/>
    <w:rsid w:val="00003687"/>
    <w:rsid w:val="00003A9E"/>
    <w:rsid w:val="00003C43"/>
    <w:rsid w:val="000047B7"/>
    <w:rsid w:val="00004BDD"/>
    <w:rsid w:val="00006CF8"/>
    <w:rsid w:val="00007498"/>
    <w:rsid w:val="0000767A"/>
    <w:rsid w:val="000104B9"/>
    <w:rsid w:val="00010702"/>
    <w:rsid w:val="0001159B"/>
    <w:rsid w:val="000118F0"/>
    <w:rsid w:val="00011ABE"/>
    <w:rsid w:val="00014DB4"/>
    <w:rsid w:val="00014F30"/>
    <w:rsid w:val="0001573E"/>
    <w:rsid w:val="0001593A"/>
    <w:rsid w:val="00017315"/>
    <w:rsid w:val="000173CC"/>
    <w:rsid w:val="000178A6"/>
    <w:rsid w:val="00017F05"/>
    <w:rsid w:val="0002016D"/>
    <w:rsid w:val="000202B9"/>
    <w:rsid w:val="000202C6"/>
    <w:rsid w:val="0002083E"/>
    <w:rsid w:val="00020946"/>
    <w:rsid w:val="000217F1"/>
    <w:rsid w:val="000226D1"/>
    <w:rsid w:val="000228E2"/>
    <w:rsid w:val="0002366A"/>
    <w:rsid w:val="00023777"/>
    <w:rsid w:val="00024887"/>
    <w:rsid w:val="00024B3C"/>
    <w:rsid w:val="00024CBA"/>
    <w:rsid w:val="000262EF"/>
    <w:rsid w:val="0002636A"/>
    <w:rsid w:val="00026396"/>
    <w:rsid w:val="000264DE"/>
    <w:rsid w:val="000266D2"/>
    <w:rsid w:val="00026998"/>
    <w:rsid w:val="0003066A"/>
    <w:rsid w:val="00030C7C"/>
    <w:rsid w:val="00031AEE"/>
    <w:rsid w:val="00032838"/>
    <w:rsid w:val="00032879"/>
    <w:rsid w:val="00032C12"/>
    <w:rsid w:val="00034B90"/>
    <w:rsid w:val="000353D4"/>
    <w:rsid w:val="000356F6"/>
    <w:rsid w:val="0003575B"/>
    <w:rsid w:val="00035FC6"/>
    <w:rsid w:val="00036889"/>
    <w:rsid w:val="00037667"/>
    <w:rsid w:val="000411E1"/>
    <w:rsid w:val="000434EF"/>
    <w:rsid w:val="00044171"/>
    <w:rsid w:val="000441DE"/>
    <w:rsid w:val="00045541"/>
    <w:rsid w:val="000458C6"/>
    <w:rsid w:val="0004694F"/>
    <w:rsid w:val="0004735A"/>
    <w:rsid w:val="0005077D"/>
    <w:rsid w:val="00050C11"/>
    <w:rsid w:val="00051D54"/>
    <w:rsid w:val="00052172"/>
    <w:rsid w:val="000548AB"/>
    <w:rsid w:val="00054B1C"/>
    <w:rsid w:val="00055059"/>
    <w:rsid w:val="000553E4"/>
    <w:rsid w:val="00056451"/>
    <w:rsid w:val="00060A26"/>
    <w:rsid w:val="00061443"/>
    <w:rsid w:val="00062922"/>
    <w:rsid w:val="00062EC5"/>
    <w:rsid w:val="00063BCF"/>
    <w:rsid w:val="00064256"/>
    <w:rsid w:val="00064D80"/>
    <w:rsid w:val="0006500C"/>
    <w:rsid w:val="00065809"/>
    <w:rsid w:val="000666E0"/>
    <w:rsid w:val="00067478"/>
    <w:rsid w:val="00067835"/>
    <w:rsid w:val="0006797C"/>
    <w:rsid w:val="000706A4"/>
    <w:rsid w:val="000708EE"/>
    <w:rsid w:val="00072118"/>
    <w:rsid w:val="000727C7"/>
    <w:rsid w:val="00072F46"/>
    <w:rsid w:val="00073039"/>
    <w:rsid w:val="00073173"/>
    <w:rsid w:val="00073AD9"/>
    <w:rsid w:val="0007406D"/>
    <w:rsid w:val="00075423"/>
    <w:rsid w:val="0007602A"/>
    <w:rsid w:val="00076196"/>
    <w:rsid w:val="00076210"/>
    <w:rsid w:val="00076B48"/>
    <w:rsid w:val="000774C1"/>
    <w:rsid w:val="000779AC"/>
    <w:rsid w:val="00077E6A"/>
    <w:rsid w:val="00080D93"/>
    <w:rsid w:val="0008193E"/>
    <w:rsid w:val="000821A7"/>
    <w:rsid w:val="00083803"/>
    <w:rsid w:val="000848F4"/>
    <w:rsid w:val="00085D2D"/>
    <w:rsid w:val="0008716A"/>
    <w:rsid w:val="00087634"/>
    <w:rsid w:val="0008794F"/>
    <w:rsid w:val="0008799E"/>
    <w:rsid w:val="000901CC"/>
    <w:rsid w:val="00090F47"/>
    <w:rsid w:val="00091237"/>
    <w:rsid w:val="000920EC"/>
    <w:rsid w:val="00092505"/>
    <w:rsid w:val="000927BC"/>
    <w:rsid w:val="00095ACB"/>
    <w:rsid w:val="00096B97"/>
    <w:rsid w:val="00096E46"/>
    <w:rsid w:val="000A00C9"/>
    <w:rsid w:val="000A0810"/>
    <w:rsid w:val="000A0CB7"/>
    <w:rsid w:val="000A0F46"/>
    <w:rsid w:val="000A1183"/>
    <w:rsid w:val="000A13D1"/>
    <w:rsid w:val="000A2121"/>
    <w:rsid w:val="000A2C3C"/>
    <w:rsid w:val="000A2EEB"/>
    <w:rsid w:val="000A3171"/>
    <w:rsid w:val="000A4B3E"/>
    <w:rsid w:val="000A55AA"/>
    <w:rsid w:val="000B1398"/>
    <w:rsid w:val="000B1CFE"/>
    <w:rsid w:val="000B210A"/>
    <w:rsid w:val="000B249B"/>
    <w:rsid w:val="000B3DB9"/>
    <w:rsid w:val="000B3F02"/>
    <w:rsid w:val="000B48E7"/>
    <w:rsid w:val="000B6162"/>
    <w:rsid w:val="000B7663"/>
    <w:rsid w:val="000C05C4"/>
    <w:rsid w:val="000C0E2B"/>
    <w:rsid w:val="000C11D3"/>
    <w:rsid w:val="000C12F5"/>
    <w:rsid w:val="000C152B"/>
    <w:rsid w:val="000C3408"/>
    <w:rsid w:val="000C776C"/>
    <w:rsid w:val="000C7825"/>
    <w:rsid w:val="000C783E"/>
    <w:rsid w:val="000D2E41"/>
    <w:rsid w:val="000D3F80"/>
    <w:rsid w:val="000D5D85"/>
    <w:rsid w:val="000D5E7A"/>
    <w:rsid w:val="000D5FAA"/>
    <w:rsid w:val="000D65A4"/>
    <w:rsid w:val="000D66B7"/>
    <w:rsid w:val="000D6AEF"/>
    <w:rsid w:val="000D7537"/>
    <w:rsid w:val="000E0EDF"/>
    <w:rsid w:val="000E0F3D"/>
    <w:rsid w:val="000E0FA4"/>
    <w:rsid w:val="000E19A8"/>
    <w:rsid w:val="000E2776"/>
    <w:rsid w:val="000E2A8A"/>
    <w:rsid w:val="000E3023"/>
    <w:rsid w:val="000E4C83"/>
    <w:rsid w:val="000E51B0"/>
    <w:rsid w:val="000E78D2"/>
    <w:rsid w:val="000F0029"/>
    <w:rsid w:val="000F195C"/>
    <w:rsid w:val="000F2D72"/>
    <w:rsid w:val="000F3332"/>
    <w:rsid w:val="000F33EE"/>
    <w:rsid w:val="000F401E"/>
    <w:rsid w:val="000F5445"/>
    <w:rsid w:val="000F5E7A"/>
    <w:rsid w:val="000F5FD3"/>
    <w:rsid w:val="000F67B2"/>
    <w:rsid w:val="000F7C11"/>
    <w:rsid w:val="00100014"/>
    <w:rsid w:val="001005B2"/>
    <w:rsid w:val="00100DAF"/>
    <w:rsid w:val="00102756"/>
    <w:rsid w:val="00102D79"/>
    <w:rsid w:val="00102E39"/>
    <w:rsid w:val="00102F02"/>
    <w:rsid w:val="0010333B"/>
    <w:rsid w:val="00103834"/>
    <w:rsid w:val="001041B6"/>
    <w:rsid w:val="001045E3"/>
    <w:rsid w:val="0010520A"/>
    <w:rsid w:val="001070EA"/>
    <w:rsid w:val="0011002A"/>
    <w:rsid w:val="0011026B"/>
    <w:rsid w:val="0011110A"/>
    <w:rsid w:val="001118AF"/>
    <w:rsid w:val="00111C6C"/>
    <w:rsid w:val="0011256E"/>
    <w:rsid w:val="001126BF"/>
    <w:rsid w:val="001157D5"/>
    <w:rsid w:val="00116DB9"/>
    <w:rsid w:val="00116FB3"/>
    <w:rsid w:val="00121167"/>
    <w:rsid w:val="001214CE"/>
    <w:rsid w:val="00121C39"/>
    <w:rsid w:val="00123255"/>
    <w:rsid w:val="001242CF"/>
    <w:rsid w:val="001247F5"/>
    <w:rsid w:val="00124ABC"/>
    <w:rsid w:val="00124D2D"/>
    <w:rsid w:val="001252F3"/>
    <w:rsid w:val="00126F9E"/>
    <w:rsid w:val="001306B1"/>
    <w:rsid w:val="001307BE"/>
    <w:rsid w:val="00130C8F"/>
    <w:rsid w:val="001314F2"/>
    <w:rsid w:val="001317DA"/>
    <w:rsid w:val="00131B66"/>
    <w:rsid w:val="001320DB"/>
    <w:rsid w:val="0013254D"/>
    <w:rsid w:val="00132665"/>
    <w:rsid w:val="00132CF6"/>
    <w:rsid w:val="00133A3B"/>
    <w:rsid w:val="00133AAC"/>
    <w:rsid w:val="00136561"/>
    <w:rsid w:val="00136CE4"/>
    <w:rsid w:val="001400E1"/>
    <w:rsid w:val="001405FA"/>
    <w:rsid w:val="001410A1"/>
    <w:rsid w:val="001422E9"/>
    <w:rsid w:val="001425C3"/>
    <w:rsid w:val="00142A26"/>
    <w:rsid w:val="00142F16"/>
    <w:rsid w:val="00143B81"/>
    <w:rsid w:val="00143E03"/>
    <w:rsid w:val="00143E93"/>
    <w:rsid w:val="00150943"/>
    <w:rsid w:val="00151AC0"/>
    <w:rsid w:val="00152046"/>
    <w:rsid w:val="0015232F"/>
    <w:rsid w:val="00154059"/>
    <w:rsid w:val="00155326"/>
    <w:rsid w:val="00156318"/>
    <w:rsid w:val="0015639A"/>
    <w:rsid w:val="00157931"/>
    <w:rsid w:val="00157990"/>
    <w:rsid w:val="0016081D"/>
    <w:rsid w:val="00160E53"/>
    <w:rsid w:val="00161312"/>
    <w:rsid w:val="00161EDA"/>
    <w:rsid w:val="001620D2"/>
    <w:rsid w:val="001620FA"/>
    <w:rsid w:val="00162853"/>
    <w:rsid w:val="00162EB2"/>
    <w:rsid w:val="00163793"/>
    <w:rsid w:val="001641E8"/>
    <w:rsid w:val="0016545C"/>
    <w:rsid w:val="00165598"/>
    <w:rsid w:val="00165A85"/>
    <w:rsid w:val="00167AC1"/>
    <w:rsid w:val="001707DE"/>
    <w:rsid w:val="00170B04"/>
    <w:rsid w:val="00170F47"/>
    <w:rsid w:val="001714F2"/>
    <w:rsid w:val="00171672"/>
    <w:rsid w:val="00171D29"/>
    <w:rsid w:val="00173485"/>
    <w:rsid w:val="00173642"/>
    <w:rsid w:val="00174CE8"/>
    <w:rsid w:val="00174FFB"/>
    <w:rsid w:val="0017635A"/>
    <w:rsid w:val="001764D8"/>
    <w:rsid w:val="00176A8F"/>
    <w:rsid w:val="0017789F"/>
    <w:rsid w:val="001779F0"/>
    <w:rsid w:val="001804ED"/>
    <w:rsid w:val="00181338"/>
    <w:rsid w:val="00181893"/>
    <w:rsid w:val="00181C9A"/>
    <w:rsid w:val="0018225A"/>
    <w:rsid w:val="00182981"/>
    <w:rsid w:val="00183760"/>
    <w:rsid w:val="00184CF9"/>
    <w:rsid w:val="00185010"/>
    <w:rsid w:val="00186164"/>
    <w:rsid w:val="00186915"/>
    <w:rsid w:val="0018724F"/>
    <w:rsid w:val="001873E2"/>
    <w:rsid w:val="001874CF"/>
    <w:rsid w:val="00187735"/>
    <w:rsid w:val="00187C76"/>
    <w:rsid w:val="00190381"/>
    <w:rsid w:val="0019073D"/>
    <w:rsid w:val="00190D9B"/>
    <w:rsid w:val="001918D3"/>
    <w:rsid w:val="00192CA8"/>
    <w:rsid w:val="001942A8"/>
    <w:rsid w:val="00194331"/>
    <w:rsid w:val="0019433E"/>
    <w:rsid w:val="0019492D"/>
    <w:rsid w:val="0019505A"/>
    <w:rsid w:val="00195444"/>
    <w:rsid w:val="001962A3"/>
    <w:rsid w:val="001964BC"/>
    <w:rsid w:val="001971D0"/>
    <w:rsid w:val="0019731C"/>
    <w:rsid w:val="001A0075"/>
    <w:rsid w:val="001A250D"/>
    <w:rsid w:val="001A2A44"/>
    <w:rsid w:val="001A2BDB"/>
    <w:rsid w:val="001A2D19"/>
    <w:rsid w:val="001A3CE2"/>
    <w:rsid w:val="001A443A"/>
    <w:rsid w:val="001A511C"/>
    <w:rsid w:val="001A552F"/>
    <w:rsid w:val="001A5DA4"/>
    <w:rsid w:val="001A7C15"/>
    <w:rsid w:val="001A7CD1"/>
    <w:rsid w:val="001B0AF0"/>
    <w:rsid w:val="001B1742"/>
    <w:rsid w:val="001B1D89"/>
    <w:rsid w:val="001B2964"/>
    <w:rsid w:val="001B3110"/>
    <w:rsid w:val="001B44BC"/>
    <w:rsid w:val="001B4721"/>
    <w:rsid w:val="001B50A0"/>
    <w:rsid w:val="001B51F8"/>
    <w:rsid w:val="001B6545"/>
    <w:rsid w:val="001B666A"/>
    <w:rsid w:val="001B681B"/>
    <w:rsid w:val="001B74FB"/>
    <w:rsid w:val="001B77A1"/>
    <w:rsid w:val="001C0422"/>
    <w:rsid w:val="001C0E0E"/>
    <w:rsid w:val="001C1219"/>
    <w:rsid w:val="001C3178"/>
    <w:rsid w:val="001C357A"/>
    <w:rsid w:val="001C38BC"/>
    <w:rsid w:val="001C3A37"/>
    <w:rsid w:val="001C3BAE"/>
    <w:rsid w:val="001C4384"/>
    <w:rsid w:val="001C44D4"/>
    <w:rsid w:val="001C4934"/>
    <w:rsid w:val="001C573E"/>
    <w:rsid w:val="001C65FF"/>
    <w:rsid w:val="001C6B05"/>
    <w:rsid w:val="001C6E5E"/>
    <w:rsid w:val="001C70BF"/>
    <w:rsid w:val="001D234F"/>
    <w:rsid w:val="001D408D"/>
    <w:rsid w:val="001D47E5"/>
    <w:rsid w:val="001D5088"/>
    <w:rsid w:val="001D54E7"/>
    <w:rsid w:val="001D584C"/>
    <w:rsid w:val="001D66C1"/>
    <w:rsid w:val="001D77D5"/>
    <w:rsid w:val="001E03A3"/>
    <w:rsid w:val="001E0533"/>
    <w:rsid w:val="001E0BE1"/>
    <w:rsid w:val="001E0C65"/>
    <w:rsid w:val="001E23E3"/>
    <w:rsid w:val="001E33B9"/>
    <w:rsid w:val="001E387A"/>
    <w:rsid w:val="001E3DA4"/>
    <w:rsid w:val="001E48E5"/>
    <w:rsid w:val="001E4A25"/>
    <w:rsid w:val="001E55E7"/>
    <w:rsid w:val="001E561F"/>
    <w:rsid w:val="001E5C6D"/>
    <w:rsid w:val="001E684C"/>
    <w:rsid w:val="001E701C"/>
    <w:rsid w:val="001E7969"/>
    <w:rsid w:val="001E7C03"/>
    <w:rsid w:val="001F02AF"/>
    <w:rsid w:val="001F037F"/>
    <w:rsid w:val="001F0406"/>
    <w:rsid w:val="001F0EC9"/>
    <w:rsid w:val="001F1756"/>
    <w:rsid w:val="001F274B"/>
    <w:rsid w:val="001F28F4"/>
    <w:rsid w:val="001F3C55"/>
    <w:rsid w:val="001F3C79"/>
    <w:rsid w:val="001F3E68"/>
    <w:rsid w:val="001F3E96"/>
    <w:rsid w:val="001F4597"/>
    <w:rsid w:val="001F55D7"/>
    <w:rsid w:val="001F5FA8"/>
    <w:rsid w:val="001F6451"/>
    <w:rsid w:val="001F66C3"/>
    <w:rsid w:val="001F7A31"/>
    <w:rsid w:val="002007DF"/>
    <w:rsid w:val="00200D15"/>
    <w:rsid w:val="00201F7D"/>
    <w:rsid w:val="002029EF"/>
    <w:rsid w:val="00203074"/>
    <w:rsid w:val="00205103"/>
    <w:rsid w:val="0020663B"/>
    <w:rsid w:val="00207730"/>
    <w:rsid w:val="00210400"/>
    <w:rsid w:val="00210CC2"/>
    <w:rsid w:val="00210F5B"/>
    <w:rsid w:val="00211036"/>
    <w:rsid w:val="00211262"/>
    <w:rsid w:val="002113A7"/>
    <w:rsid w:val="00211636"/>
    <w:rsid w:val="00211AC9"/>
    <w:rsid w:val="00212A98"/>
    <w:rsid w:val="00212CF4"/>
    <w:rsid w:val="0021355B"/>
    <w:rsid w:val="0021492B"/>
    <w:rsid w:val="00214C37"/>
    <w:rsid w:val="00214ED2"/>
    <w:rsid w:val="002155A9"/>
    <w:rsid w:val="002156B9"/>
    <w:rsid w:val="002200D8"/>
    <w:rsid w:val="002204A1"/>
    <w:rsid w:val="002205F2"/>
    <w:rsid w:val="0022080E"/>
    <w:rsid w:val="0022139E"/>
    <w:rsid w:val="0022160A"/>
    <w:rsid w:val="0022272B"/>
    <w:rsid w:val="00222A99"/>
    <w:rsid w:val="00223667"/>
    <w:rsid w:val="00223678"/>
    <w:rsid w:val="00223E00"/>
    <w:rsid w:val="00223F33"/>
    <w:rsid w:val="00224911"/>
    <w:rsid w:val="00224FEF"/>
    <w:rsid w:val="002252E0"/>
    <w:rsid w:val="002255F6"/>
    <w:rsid w:val="00226466"/>
    <w:rsid w:val="00227993"/>
    <w:rsid w:val="0023229C"/>
    <w:rsid w:val="00232351"/>
    <w:rsid w:val="00233472"/>
    <w:rsid w:val="0023392C"/>
    <w:rsid w:val="00234111"/>
    <w:rsid w:val="00234280"/>
    <w:rsid w:val="002350E3"/>
    <w:rsid w:val="00235AFB"/>
    <w:rsid w:val="00236443"/>
    <w:rsid w:val="00237819"/>
    <w:rsid w:val="00240654"/>
    <w:rsid w:val="00240A5B"/>
    <w:rsid w:val="00240B9D"/>
    <w:rsid w:val="00241B34"/>
    <w:rsid w:val="00241C02"/>
    <w:rsid w:val="0024261F"/>
    <w:rsid w:val="00243295"/>
    <w:rsid w:val="002436BA"/>
    <w:rsid w:val="00243BAE"/>
    <w:rsid w:val="00243E3B"/>
    <w:rsid w:val="002441B6"/>
    <w:rsid w:val="00244458"/>
    <w:rsid w:val="002444ED"/>
    <w:rsid w:val="00244A15"/>
    <w:rsid w:val="00244D40"/>
    <w:rsid w:val="002457A5"/>
    <w:rsid w:val="0024620F"/>
    <w:rsid w:val="002463D8"/>
    <w:rsid w:val="00246AE9"/>
    <w:rsid w:val="0024799E"/>
    <w:rsid w:val="00251716"/>
    <w:rsid w:val="00251879"/>
    <w:rsid w:val="00251D59"/>
    <w:rsid w:val="00252588"/>
    <w:rsid w:val="00252FDC"/>
    <w:rsid w:val="00253719"/>
    <w:rsid w:val="00254196"/>
    <w:rsid w:val="002544F5"/>
    <w:rsid w:val="002547A6"/>
    <w:rsid w:val="002550D9"/>
    <w:rsid w:val="0025540B"/>
    <w:rsid w:val="002555ED"/>
    <w:rsid w:val="002576B7"/>
    <w:rsid w:val="002601FC"/>
    <w:rsid w:val="00260FA6"/>
    <w:rsid w:val="00261E29"/>
    <w:rsid w:val="00261E5B"/>
    <w:rsid w:val="00261F81"/>
    <w:rsid w:val="0026335E"/>
    <w:rsid w:val="00263470"/>
    <w:rsid w:val="00263733"/>
    <w:rsid w:val="0026412D"/>
    <w:rsid w:val="002641A7"/>
    <w:rsid w:val="0026491E"/>
    <w:rsid w:val="00264F61"/>
    <w:rsid w:val="002650C1"/>
    <w:rsid w:val="00265536"/>
    <w:rsid w:val="00266591"/>
    <w:rsid w:val="00266F3E"/>
    <w:rsid w:val="002674F6"/>
    <w:rsid w:val="002705E8"/>
    <w:rsid w:val="0027227B"/>
    <w:rsid w:val="00272464"/>
    <w:rsid w:val="002727EA"/>
    <w:rsid w:val="00272F8B"/>
    <w:rsid w:val="00273DCD"/>
    <w:rsid w:val="002740B6"/>
    <w:rsid w:val="00274291"/>
    <w:rsid w:val="00276136"/>
    <w:rsid w:val="00276CFE"/>
    <w:rsid w:val="00276E12"/>
    <w:rsid w:val="00277071"/>
    <w:rsid w:val="0027786C"/>
    <w:rsid w:val="0028081E"/>
    <w:rsid w:val="00281416"/>
    <w:rsid w:val="00283D2E"/>
    <w:rsid w:val="00284270"/>
    <w:rsid w:val="002844CC"/>
    <w:rsid w:val="00284F79"/>
    <w:rsid w:val="002852C6"/>
    <w:rsid w:val="00285CD3"/>
    <w:rsid w:val="0028686A"/>
    <w:rsid w:val="00286E66"/>
    <w:rsid w:val="00290562"/>
    <w:rsid w:val="002907C3"/>
    <w:rsid w:val="00290910"/>
    <w:rsid w:val="002911C8"/>
    <w:rsid w:val="002919B5"/>
    <w:rsid w:val="00292C6D"/>
    <w:rsid w:val="00293441"/>
    <w:rsid w:val="00293FEA"/>
    <w:rsid w:val="002941D9"/>
    <w:rsid w:val="0029493E"/>
    <w:rsid w:val="00296C2E"/>
    <w:rsid w:val="002A1B05"/>
    <w:rsid w:val="002A216F"/>
    <w:rsid w:val="002A3BD5"/>
    <w:rsid w:val="002A4277"/>
    <w:rsid w:val="002A4360"/>
    <w:rsid w:val="002A43A2"/>
    <w:rsid w:val="002A4612"/>
    <w:rsid w:val="002A4FBE"/>
    <w:rsid w:val="002A5263"/>
    <w:rsid w:val="002A659A"/>
    <w:rsid w:val="002A6821"/>
    <w:rsid w:val="002A6841"/>
    <w:rsid w:val="002A74D2"/>
    <w:rsid w:val="002A7732"/>
    <w:rsid w:val="002B28A4"/>
    <w:rsid w:val="002B342C"/>
    <w:rsid w:val="002B36C8"/>
    <w:rsid w:val="002B3DAF"/>
    <w:rsid w:val="002B494C"/>
    <w:rsid w:val="002B58E0"/>
    <w:rsid w:val="002B7240"/>
    <w:rsid w:val="002B798E"/>
    <w:rsid w:val="002B79A0"/>
    <w:rsid w:val="002B7DDF"/>
    <w:rsid w:val="002B7EC1"/>
    <w:rsid w:val="002C055E"/>
    <w:rsid w:val="002C1F9D"/>
    <w:rsid w:val="002C43BD"/>
    <w:rsid w:val="002C5261"/>
    <w:rsid w:val="002C6091"/>
    <w:rsid w:val="002C69FA"/>
    <w:rsid w:val="002C6AE7"/>
    <w:rsid w:val="002D0562"/>
    <w:rsid w:val="002D1B5A"/>
    <w:rsid w:val="002D22B5"/>
    <w:rsid w:val="002D3EE3"/>
    <w:rsid w:val="002D5E94"/>
    <w:rsid w:val="002D61B1"/>
    <w:rsid w:val="002D632D"/>
    <w:rsid w:val="002D6473"/>
    <w:rsid w:val="002D7CA9"/>
    <w:rsid w:val="002E02A1"/>
    <w:rsid w:val="002E1C6A"/>
    <w:rsid w:val="002E1DE4"/>
    <w:rsid w:val="002E2CE4"/>
    <w:rsid w:val="002E518B"/>
    <w:rsid w:val="002E7C20"/>
    <w:rsid w:val="002F0609"/>
    <w:rsid w:val="002F1DB9"/>
    <w:rsid w:val="002F33F7"/>
    <w:rsid w:val="002F33FB"/>
    <w:rsid w:val="002F3C26"/>
    <w:rsid w:val="002F46A9"/>
    <w:rsid w:val="002F47F3"/>
    <w:rsid w:val="002F7C73"/>
    <w:rsid w:val="003009FC"/>
    <w:rsid w:val="00300B28"/>
    <w:rsid w:val="00300E9F"/>
    <w:rsid w:val="00301357"/>
    <w:rsid w:val="003016B0"/>
    <w:rsid w:val="00301D04"/>
    <w:rsid w:val="00302F1B"/>
    <w:rsid w:val="00303FCA"/>
    <w:rsid w:val="00304076"/>
    <w:rsid w:val="00304237"/>
    <w:rsid w:val="003046B3"/>
    <w:rsid w:val="00304771"/>
    <w:rsid w:val="003048B8"/>
    <w:rsid w:val="00305736"/>
    <w:rsid w:val="00306C5B"/>
    <w:rsid w:val="0030780B"/>
    <w:rsid w:val="003078E0"/>
    <w:rsid w:val="00307A3D"/>
    <w:rsid w:val="003103DA"/>
    <w:rsid w:val="003117E0"/>
    <w:rsid w:val="0031223A"/>
    <w:rsid w:val="00312C3D"/>
    <w:rsid w:val="00313320"/>
    <w:rsid w:val="00313694"/>
    <w:rsid w:val="00314331"/>
    <w:rsid w:val="00316344"/>
    <w:rsid w:val="003166E8"/>
    <w:rsid w:val="00316C55"/>
    <w:rsid w:val="00317C76"/>
    <w:rsid w:val="00320214"/>
    <w:rsid w:val="003209D6"/>
    <w:rsid w:val="0032109A"/>
    <w:rsid w:val="0032214F"/>
    <w:rsid w:val="00322164"/>
    <w:rsid w:val="003229E0"/>
    <w:rsid w:val="00322B77"/>
    <w:rsid w:val="00323C30"/>
    <w:rsid w:val="003247BB"/>
    <w:rsid w:val="00324F61"/>
    <w:rsid w:val="0032513D"/>
    <w:rsid w:val="00325ED2"/>
    <w:rsid w:val="00326251"/>
    <w:rsid w:val="0032697E"/>
    <w:rsid w:val="00327290"/>
    <w:rsid w:val="00327DEE"/>
    <w:rsid w:val="00331BAC"/>
    <w:rsid w:val="003329CF"/>
    <w:rsid w:val="003329F3"/>
    <w:rsid w:val="00332E05"/>
    <w:rsid w:val="0033352E"/>
    <w:rsid w:val="00333690"/>
    <w:rsid w:val="00333D20"/>
    <w:rsid w:val="003340EF"/>
    <w:rsid w:val="0033446A"/>
    <w:rsid w:val="00334A49"/>
    <w:rsid w:val="00334C45"/>
    <w:rsid w:val="0033585F"/>
    <w:rsid w:val="00335BB0"/>
    <w:rsid w:val="0033627B"/>
    <w:rsid w:val="00336EAA"/>
    <w:rsid w:val="003406BD"/>
    <w:rsid w:val="003409C9"/>
    <w:rsid w:val="00343D5B"/>
    <w:rsid w:val="00343F84"/>
    <w:rsid w:val="00344135"/>
    <w:rsid w:val="00347DF6"/>
    <w:rsid w:val="00350B0A"/>
    <w:rsid w:val="00350D01"/>
    <w:rsid w:val="00350DED"/>
    <w:rsid w:val="00351A67"/>
    <w:rsid w:val="00351B63"/>
    <w:rsid w:val="00352B72"/>
    <w:rsid w:val="00352D04"/>
    <w:rsid w:val="00352E57"/>
    <w:rsid w:val="00353160"/>
    <w:rsid w:val="00353A57"/>
    <w:rsid w:val="00353B70"/>
    <w:rsid w:val="00353E12"/>
    <w:rsid w:val="003541B0"/>
    <w:rsid w:val="00354366"/>
    <w:rsid w:val="0035453D"/>
    <w:rsid w:val="00355885"/>
    <w:rsid w:val="00356033"/>
    <w:rsid w:val="0035605E"/>
    <w:rsid w:val="00357449"/>
    <w:rsid w:val="00360712"/>
    <w:rsid w:val="00361918"/>
    <w:rsid w:val="0036238B"/>
    <w:rsid w:val="0036243E"/>
    <w:rsid w:val="0036282B"/>
    <w:rsid w:val="00364943"/>
    <w:rsid w:val="003653B8"/>
    <w:rsid w:val="00365680"/>
    <w:rsid w:val="003657F3"/>
    <w:rsid w:val="00365A32"/>
    <w:rsid w:val="00366F12"/>
    <w:rsid w:val="003701F7"/>
    <w:rsid w:val="00370362"/>
    <w:rsid w:val="00370C57"/>
    <w:rsid w:val="003723F7"/>
    <w:rsid w:val="0037397C"/>
    <w:rsid w:val="0037462E"/>
    <w:rsid w:val="00374B10"/>
    <w:rsid w:val="00374F1E"/>
    <w:rsid w:val="00375F77"/>
    <w:rsid w:val="00376DEC"/>
    <w:rsid w:val="003771E5"/>
    <w:rsid w:val="00377A5A"/>
    <w:rsid w:val="0038075E"/>
    <w:rsid w:val="00380E04"/>
    <w:rsid w:val="00382658"/>
    <w:rsid w:val="00382D10"/>
    <w:rsid w:val="00384D8F"/>
    <w:rsid w:val="00385839"/>
    <w:rsid w:val="00385D98"/>
    <w:rsid w:val="00385EC5"/>
    <w:rsid w:val="00386029"/>
    <w:rsid w:val="0038634F"/>
    <w:rsid w:val="00386BD0"/>
    <w:rsid w:val="0039066E"/>
    <w:rsid w:val="0039073D"/>
    <w:rsid w:val="00391689"/>
    <w:rsid w:val="0039184B"/>
    <w:rsid w:val="00391C95"/>
    <w:rsid w:val="0039268B"/>
    <w:rsid w:val="00393241"/>
    <w:rsid w:val="00394261"/>
    <w:rsid w:val="00394448"/>
    <w:rsid w:val="00394659"/>
    <w:rsid w:val="00394AB2"/>
    <w:rsid w:val="00395378"/>
    <w:rsid w:val="00395B68"/>
    <w:rsid w:val="00396593"/>
    <w:rsid w:val="00396DAC"/>
    <w:rsid w:val="00397B3E"/>
    <w:rsid w:val="003A0214"/>
    <w:rsid w:val="003A0D5B"/>
    <w:rsid w:val="003A180C"/>
    <w:rsid w:val="003A1D17"/>
    <w:rsid w:val="003A1D74"/>
    <w:rsid w:val="003A2708"/>
    <w:rsid w:val="003A2B4D"/>
    <w:rsid w:val="003A2D2B"/>
    <w:rsid w:val="003A30EF"/>
    <w:rsid w:val="003A3B1C"/>
    <w:rsid w:val="003A478C"/>
    <w:rsid w:val="003A49F1"/>
    <w:rsid w:val="003A4F82"/>
    <w:rsid w:val="003A52B4"/>
    <w:rsid w:val="003A5525"/>
    <w:rsid w:val="003A6209"/>
    <w:rsid w:val="003A6B38"/>
    <w:rsid w:val="003B0002"/>
    <w:rsid w:val="003B1109"/>
    <w:rsid w:val="003B125D"/>
    <w:rsid w:val="003B1454"/>
    <w:rsid w:val="003B2E63"/>
    <w:rsid w:val="003B3189"/>
    <w:rsid w:val="003B3932"/>
    <w:rsid w:val="003B39C4"/>
    <w:rsid w:val="003B3A9D"/>
    <w:rsid w:val="003B4102"/>
    <w:rsid w:val="003B4442"/>
    <w:rsid w:val="003B5031"/>
    <w:rsid w:val="003B50F0"/>
    <w:rsid w:val="003B5A32"/>
    <w:rsid w:val="003B5E1D"/>
    <w:rsid w:val="003B6105"/>
    <w:rsid w:val="003B6C43"/>
    <w:rsid w:val="003B7F51"/>
    <w:rsid w:val="003C03C7"/>
    <w:rsid w:val="003C04C4"/>
    <w:rsid w:val="003C0CB8"/>
    <w:rsid w:val="003C26F4"/>
    <w:rsid w:val="003C2D85"/>
    <w:rsid w:val="003C383F"/>
    <w:rsid w:val="003C4852"/>
    <w:rsid w:val="003C6715"/>
    <w:rsid w:val="003C6F0F"/>
    <w:rsid w:val="003C7D80"/>
    <w:rsid w:val="003D0125"/>
    <w:rsid w:val="003D10C7"/>
    <w:rsid w:val="003D34B4"/>
    <w:rsid w:val="003D3600"/>
    <w:rsid w:val="003D3825"/>
    <w:rsid w:val="003D4760"/>
    <w:rsid w:val="003D717B"/>
    <w:rsid w:val="003D78A5"/>
    <w:rsid w:val="003E0663"/>
    <w:rsid w:val="003E133F"/>
    <w:rsid w:val="003E193E"/>
    <w:rsid w:val="003E31B2"/>
    <w:rsid w:val="003E41E3"/>
    <w:rsid w:val="003E59FD"/>
    <w:rsid w:val="003E68BC"/>
    <w:rsid w:val="003E696D"/>
    <w:rsid w:val="003E699C"/>
    <w:rsid w:val="003E69F3"/>
    <w:rsid w:val="003E7136"/>
    <w:rsid w:val="003E7419"/>
    <w:rsid w:val="003E782E"/>
    <w:rsid w:val="003E7A0B"/>
    <w:rsid w:val="003E7B05"/>
    <w:rsid w:val="003F0686"/>
    <w:rsid w:val="003F0E4E"/>
    <w:rsid w:val="003F2B0A"/>
    <w:rsid w:val="003F313C"/>
    <w:rsid w:val="003F37FC"/>
    <w:rsid w:val="003F3FC2"/>
    <w:rsid w:val="003F49A6"/>
    <w:rsid w:val="003F4E1F"/>
    <w:rsid w:val="003F5098"/>
    <w:rsid w:val="003F5568"/>
    <w:rsid w:val="003F5A95"/>
    <w:rsid w:val="003F6D19"/>
    <w:rsid w:val="003F76D5"/>
    <w:rsid w:val="004000D5"/>
    <w:rsid w:val="00400571"/>
    <w:rsid w:val="00401716"/>
    <w:rsid w:val="00401B7F"/>
    <w:rsid w:val="00401CA8"/>
    <w:rsid w:val="00402C25"/>
    <w:rsid w:val="00403598"/>
    <w:rsid w:val="004050D7"/>
    <w:rsid w:val="00405E1A"/>
    <w:rsid w:val="00407373"/>
    <w:rsid w:val="004078BD"/>
    <w:rsid w:val="00410132"/>
    <w:rsid w:val="004109BF"/>
    <w:rsid w:val="0041187E"/>
    <w:rsid w:val="004123BE"/>
    <w:rsid w:val="004131C3"/>
    <w:rsid w:val="004138DE"/>
    <w:rsid w:val="00414CE5"/>
    <w:rsid w:val="00416673"/>
    <w:rsid w:val="004168FC"/>
    <w:rsid w:val="004170FE"/>
    <w:rsid w:val="00417C5B"/>
    <w:rsid w:val="00420A35"/>
    <w:rsid w:val="0042160D"/>
    <w:rsid w:val="00422179"/>
    <w:rsid w:val="004223D7"/>
    <w:rsid w:val="00422776"/>
    <w:rsid w:val="00422CBD"/>
    <w:rsid w:val="00426775"/>
    <w:rsid w:val="0042681B"/>
    <w:rsid w:val="00426CEE"/>
    <w:rsid w:val="004274DD"/>
    <w:rsid w:val="0043068A"/>
    <w:rsid w:val="004306E0"/>
    <w:rsid w:val="00431862"/>
    <w:rsid w:val="004329BE"/>
    <w:rsid w:val="00432BEA"/>
    <w:rsid w:val="00432C5E"/>
    <w:rsid w:val="00434FA3"/>
    <w:rsid w:val="00435D30"/>
    <w:rsid w:val="004360E1"/>
    <w:rsid w:val="00436125"/>
    <w:rsid w:val="00436694"/>
    <w:rsid w:val="0043752B"/>
    <w:rsid w:val="00437C76"/>
    <w:rsid w:val="00442AAC"/>
    <w:rsid w:val="004441A0"/>
    <w:rsid w:val="004443BF"/>
    <w:rsid w:val="004444CA"/>
    <w:rsid w:val="004463F7"/>
    <w:rsid w:val="00446892"/>
    <w:rsid w:val="00446EE5"/>
    <w:rsid w:val="00450C30"/>
    <w:rsid w:val="00451A03"/>
    <w:rsid w:val="00454492"/>
    <w:rsid w:val="004546B2"/>
    <w:rsid w:val="00455ECA"/>
    <w:rsid w:val="00460164"/>
    <w:rsid w:val="004601C1"/>
    <w:rsid w:val="0046039A"/>
    <w:rsid w:val="00461977"/>
    <w:rsid w:val="00461A44"/>
    <w:rsid w:val="004629FD"/>
    <w:rsid w:val="00463F4D"/>
    <w:rsid w:val="004643C6"/>
    <w:rsid w:val="00465019"/>
    <w:rsid w:val="0046613F"/>
    <w:rsid w:val="0046655D"/>
    <w:rsid w:val="00466B34"/>
    <w:rsid w:val="004672DC"/>
    <w:rsid w:val="00467606"/>
    <w:rsid w:val="0046765E"/>
    <w:rsid w:val="004676E2"/>
    <w:rsid w:val="00467F47"/>
    <w:rsid w:val="004701B6"/>
    <w:rsid w:val="00470CC7"/>
    <w:rsid w:val="00470CCA"/>
    <w:rsid w:val="00470F69"/>
    <w:rsid w:val="00471EDD"/>
    <w:rsid w:val="00473823"/>
    <w:rsid w:val="0047400C"/>
    <w:rsid w:val="004749D9"/>
    <w:rsid w:val="0047575B"/>
    <w:rsid w:val="00476D29"/>
    <w:rsid w:val="00477A06"/>
    <w:rsid w:val="00477EAF"/>
    <w:rsid w:val="00477EE0"/>
    <w:rsid w:val="004801DD"/>
    <w:rsid w:val="00480FAB"/>
    <w:rsid w:val="0048139F"/>
    <w:rsid w:val="004827FE"/>
    <w:rsid w:val="00483ABA"/>
    <w:rsid w:val="00484118"/>
    <w:rsid w:val="00486283"/>
    <w:rsid w:val="0048697B"/>
    <w:rsid w:val="004879E9"/>
    <w:rsid w:val="004902E2"/>
    <w:rsid w:val="00490988"/>
    <w:rsid w:val="00491218"/>
    <w:rsid w:val="00493362"/>
    <w:rsid w:val="00493907"/>
    <w:rsid w:val="00494583"/>
    <w:rsid w:val="00494D91"/>
    <w:rsid w:val="00494FA0"/>
    <w:rsid w:val="00495C38"/>
    <w:rsid w:val="00495D8B"/>
    <w:rsid w:val="00495EF3"/>
    <w:rsid w:val="00496C2F"/>
    <w:rsid w:val="0049740D"/>
    <w:rsid w:val="004A269A"/>
    <w:rsid w:val="004A29F2"/>
    <w:rsid w:val="004A30FB"/>
    <w:rsid w:val="004A332A"/>
    <w:rsid w:val="004A35DD"/>
    <w:rsid w:val="004A37D3"/>
    <w:rsid w:val="004A3E0F"/>
    <w:rsid w:val="004A48EE"/>
    <w:rsid w:val="004A5864"/>
    <w:rsid w:val="004A5865"/>
    <w:rsid w:val="004A5972"/>
    <w:rsid w:val="004A604A"/>
    <w:rsid w:val="004A6C74"/>
    <w:rsid w:val="004A77DF"/>
    <w:rsid w:val="004B0295"/>
    <w:rsid w:val="004B040D"/>
    <w:rsid w:val="004B097B"/>
    <w:rsid w:val="004B29CD"/>
    <w:rsid w:val="004B3555"/>
    <w:rsid w:val="004B3CB7"/>
    <w:rsid w:val="004B3D55"/>
    <w:rsid w:val="004B4B15"/>
    <w:rsid w:val="004B4B5B"/>
    <w:rsid w:val="004B55B7"/>
    <w:rsid w:val="004B5763"/>
    <w:rsid w:val="004B6337"/>
    <w:rsid w:val="004B65DD"/>
    <w:rsid w:val="004B7046"/>
    <w:rsid w:val="004B78E8"/>
    <w:rsid w:val="004C00A6"/>
    <w:rsid w:val="004C0BBB"/>
    <w:rsid w:val="004C3867"/>
    <w:rsid w:val="004C3A73"/>
    <w:rsid w:val="004C4CD0"/>
    <w:rsid w:val="004C4D26"/>
    <w:rsid w:val="004C5160"/>
    <w:rsid w:val="004C5568"/>
    <w:rsid w:val="004C557A"/>
    <w:rsid w:val="004C57B5"/>
    <w:rsid w:val="004C5C25"/>
    <w:rsid w:val="004C5EFF"/>
    <w:rsid w:val="004C6CFF"/>
    <w:rsid w:val="004C6ED6"/>
    <w:rsid w:val="004C70DC"/>
    <w:rsid w:val="004C7268"/>
    <w:rsid w:val="004C7326"/>
    <w:rsid w:val="004C7337"/>
    <w:rsid w:val="004D0211"/>
    <w:rsid w:val="004D04C0"/>
    <w:rsid w:val="004D1AEF"/>
    <w:rsid w:val="004D1C9C"/>
    <w:rsid w:val="004D504B"/>
    <w:rsid w:val="004D536E"/>
    <w:rsid w:val="004D5A97"/>
    <w:rsid w:val="004D726E"/>
    <w:rsid w:val="004D7B6B"/>
    <w:rsid w:val="004E0040"/>
    <w:rsid w:val="004E1494"/>
    <w:rsid w:val="004E18BB"/>
    <w:rsid w:val="004E2868"/>
    <w:rsid w:val="004E317A"/>
    <w:rsid w:val="004E4116"/>
    <w:rsid w:val="004E4A75"/>
    <w:rsid w:val="004E4AC0"/>
    <w:rsid w:val="004E541A"/>
    <w:rsid w:val="004E5A5C"/>
    <w:rsid w:val="004E5B4E"/>
    <w:rsid w:val="004E5FE8"/>
    <w:rsid w:val="004E762E"/>
    <w:rsid w:val="004E76D6"/>
    <w:rsid w:val="004E7AF6"/>
    <w:rsid w:val="004F03A7"/>
    <w:rsid w:val="004F06F5"/>
    <w:rsid w:val="004F0E46"/>
    <w:rsid w:val="004F11DB"/>
    <w:rsid w:val="004F146A"/>
    <w:rsid w:val="004F191F"/>
    <w:rsid w:val="004F2A73"/>
    <w:rsid w:val="004F33A0"/>
    <w:rsid w:val="004F447D"/>
    <w:rsid w:val="004F4853"/>
    <w:rsid w:val="004F4C28"/>
    <w:rsid w:val="004F5CC5"/>
    <w:rsid w:val="004F7D36"/>
    <w:rsid w:val="005016AC"/>
    <w:rsid w:val="00501ABE"/>
    <w:rsid w:val="0050286E"/>
    <w:rsid w:val="00504FF6"/>
    <w:rsid w:val="005058A8"/>
    <w:rsid w:val="00505923"/>
    <w:rsid w:val="00510189"/>
    <w:rsid w:val="0051032E"/>
    <w:rsid w:val="005108C0"/>
    <w:rsid w:val="00511873"/>
    <w:rsid w:val="0051266C"/>
    <w:rsid w:val="00512F27"/>
    <w:rsid w:val="00513818"/>
    <w:rsid w:val="00513B7E"/>
    <w:rsid w:val="00514474"/>
    <w:rsid w:val="00514E78"/>
    <w:rsid w:val="005172F4"/>
    <w:rsid w:val="005202E0"/>
    <w:rsid w:val="005215EF"/>
    <w:rsid w:val="00522CB5"/>
    <w:rsid w:val="00522FDA"/>
    <w:rsid w:val="005231C6"/>
    <w:rsid w:val="00523C8D"/>
    <w:rsid w:val="00525137"/>
    <w:rsid w:val="005251DD"/>
    <w:rsid w:val="005277C5"/>
    <w:rsid w:val="0053017A"/>
    <w:rsid w:val="00530492"/>
    <w:rsid w:val="00530D8D"/>
    <w:rsid w:val="00530FEF"/>
    <w:rsid w:val="005311D6"/>
    <w:rsid w:val="00531F2C"/>
    <w:rsid w:val="00532AB1"/>
    <w:rsid w:val="00532C18"/>
    <w:rsid w:val="00533796"/>
    <w:rsid w:val="005339BC"/>
    <w:rsid w:val="00533C24"/>
    <w:rsid w:val="0053448E"/>
    <w:rsid w:val="00534675"/>
    <w:rsid w:val="00535359"/>
    <w:rsid w:val="005357A2"/>
    <w:rsid w:val="00535A51"/>
    <w:rsid w:val="00535BCB"/>
    <w:rsid w:val="00535EF0"/>
    <w:rsid w:val="00537171"/>
    <w:rsid w:val="0053734B"/>
    <w:rsid w:val="00537AFD"/>
    <w:rsid w:val="00537CB4"/>
    <w:rsid w:val="00540A0C"/>
    <w:rsid w:val="00540BBC"/>
    <w:rsid w:val="00542686"/>
    <w:rsid w:val="0054268D"/>
    <w:rsid w:val="005426C1"/>
    <w:rsid w:val="005431DC"/>
    <w:rsid w:val="005444C6"/>
    <w:rsid w:val="00544EA1"/>
    <w:rsid w:val="00550B47"/>
    <w:rsid w:val="005513D5"/>
    <w:rsid w:val="005523B9"/>
    <w:rsid w:val="00552887"/>
    <w:rsid w:val="00553225"/>
    <w:rsid w:val="00553D09"/>
    <w:rsid w:val="005545E0"/>
    <w:rsid w:val="00554865"/>
    <w:rsid w:val="00554E57"/>
    <w:rsid w:val="00555182"/>
    <w:rsid w:val="00555944"/>
    <w:rsid w:val="00557D10"/>
    <w:rsid w:val="0056048E"/>
    <w:rsid w:val="0056105B"/>
    <w:rsid w:val="00561CBF"/>
    <w:rsid w:val="00562749"/>
    <w:rsid w:val="00562DE9"/>
    <w:rsid w:val="005638A5"/>
    <w:rsid w:val="00564286"/>
    <w:rsid w:val="00566381"/>
    <w:rsid w:val="0056667C"/>
    <w:rsid w:val="00566A03"/>
    <w:rsid w:val="00566C62"/>
    <w:rsid w:val="005718E3"/>
    <w:rsid w:val="00572DA2"/>
    <w:rsid w:val="00574240"/>
    <w:rsid w:val="0057459E"/>
    <w:rsid w:val="00574F14"/>
    <w:rsid w:val="00575BE3"/>
    <w:rsid w:val="00575CDC"/>
    <w:rsid w:val="0058053D"/>
    <w:rsid w:val="00580E2E"/>
    <w:rsid w:val="00582178"/>
    <w:rsid w:val="00582677"/>
    <w:rsid w:val="00583078"/>
    <w:rsid w:val="00583D5B"/>
    <w:rsid w:val="00583FFD"/>
    <w:rsid w:val="00587B35"/>
    <w:rsid w:val="00587CCD"/>
    <w:rsid w:val="00590528"/>
    <w:rsid w:val="005908AE"/>
    <w:rsid w:val="0059176E"/>
    <w:rsid w:val="00591A22"/>
    <w:rsid w:val="005925A8"/>
    <w:rsid w:val="00593152"/>
    <w:rsid w:val="00593CA3"/>
    <w:rsid w:val="00594161"/>
    <w:rsid w:val="005947A6"/>
    <w:rsid w:val="00594969"/>
    <w:rsid w:val="00594EAA"/>
    <w:rsid w:val="00595A95"/>
    <w:rsid w:val="00596C5E"/>
    <w:rsid w:val="00596F4F"/>
    <w:rsid w:val="005974BB"/>
    <w:rsid w:val="005977BA"/>
    <w:rsid w:val="00597827"/>
    <w:rsid w:val="0059787F"/>
    <w:rsid w:val="00597C5E"/>
    <w:rsid w:val="005A08BD"/>
    <w:rsid w:val="005A1C19"/>
    <w:rsid w:val="005A1CEC"/>
    <w:rsid w:val="005A21E0"/>
    <w:rsid w:val="005A23B5"/>
    <w:rsid w:val="005A33A1"/>
    <w:rsid w:val="005A5497"/>
    <w:rsid w:val="005A54EE"/>
    <w:rsid w:val="005A5884"/>
    <w:rsid w:val="005A6E4A"/>
    <w:rsid w:val="005A7500"/>
    <w:rsid w:val="005A785E"/>
    <w:rsid w:val="005B1BDB"/>
    <w:rsid w:val="005B310D"/>
    <w:rsid w:val="005B3247"/>
    <w:rsid w:val="005B3409"/>
    <w:rsid w:val="005B34D1"/>
    <w:rsid w:val="005B366C"/>
    <w:rsid w:val="005B3B37"/>
    <w:rsid w:val="005B4A14"/>
    <w:rsid w:val="005B55C6"/>
    <w:rsid w:val="005B6AFE"/>
    <w:rsid w:val="005B7B12"/>
    <w:rsid w:val="005C1495"/>
    <w:rsid w:val="005C1D5E"/>
    <w:rsid w:val="005C2412"/>
    <w:rsid w:val="005C3084"/>
    <w:rsid w:val="005C3588"/>
    <w:rsid w:val="005C3F9F"/>
    <w:rsid w:val="005C4A94"/>
    <w:rsid w:val="005C4B5D"/>
    <w:rsid w:val="005C53CB"/>
    <w:rsid w:val="005C59F6"/>
    <w:rsid w:val="005C760A"/>
    <w:rsid w:val="005C7F1E"/>
    <w:rsid w:val="005D1508"/>
    <w:rsid w:val="005D1AF2"/>
    <w:rsid w:val="005D4067"/>
    <w:rsid w:val="005D5802"/>
    <w:rsid w:val="005D5A35"/>
    <w:rsid w:val="005D5B8F"/>
    <w:rsid w:val="005D5D32"/>
    <w:rsid w:val="005D5F92"/>
    <w:rsid w:val="005D6CFC"/>
    <w:rsid w:val="005D71E0"/>
    <w:rsid w:val="005D73E2"/>
    <w:rsid w:val="005E04A2"/>
    <w:rsid w:val="005E0D10"/>
    <w:rsid w:val="005E0F80"/>
    <w:rsid w:val="005E1641"/>
    <w:rsid w:val="005E1E4B"/>
    <w:rsid w:val="005E24EF"/>
    <w:rsid w:val="005E362D"/>
    <w:rsid w:val="005E492C"/>
    <w:rsid w:val="005E4BAA"/>
    <w:rsid w:val="005E5724"/>
    <w:rsid w:val="005E5B56"/>
    <w:rsid w:val="005E5E2D"/>
    <w:rsid w:val="005E6B78"/>
    <w:rsid w:val="005E74B2"/>
    <w:rsid w:val="005F03D8"/>
    <w:rsid w:val="005F0BB0"/>
    <w:rsid w:val="005F2F28"/>
    <w:rsid w:val="005F358F"/>
    <w:rsid w:val="005F4057"/>
    <w:rsid w:val="005F4088"/>
    <w:rsid w:val="005F6119"/>
    <w:rsid w:val="00600A3D"/>
    <w:rsid w:val="0060107A"/>
    <w:rsid w:val="0060154D"/>
    <w:rsid w:val="006016B1"/>
    <w:rsid w:val="00601AFF"/>
    <w:rsid w:val="00602D1D"/>
    <w:rsid w:val="006031A6"/>
    <w:rsid w:val="006038F7"/>
    <w:rsid w:val="00604307"/>
    <w:rsid w:val="0060487F"/>
    <w:rsid w:val="006059EB"/>
    <w:rsid w:val="0060616C"/>
    <w:rsid w:val="00606B93"/>
    <w:rsid w:val="006118AA"/>
    <w:rsid w:val="006125CA"/>
    <w:rsid w:val="00612CCA"/>
    <w:rsid w:val="00613EF5"/>
    <w:rsid w:val="006143E7"/>
    <w:rsid w:val="00614460"/>
    <w:rsid w:val="006153E3"/>
    <w:rsid w:val="006158DF"/>
    <w:rsid w:val="00616CD8"/>
    <w:rsid w:val="00617557"/>
    <w:rsid w:val="00617D2D"/>
    <w:rsid w:val="00617D83"/>
    <w:rsid w:val="00617F45"/>
    <w:rsid w:val="00620AC5"/>
    <w:rsid w:val="00621575"/>
    <w:rsid w:val="006215FC"/>
    <w:rsid w:val="006216A3"/>
    <w:rsid w:val="00622166"/>
    <w:rsid w:val="0062290D"/>
    <w:rsid w:val="00623800"/>
    <w:rsid w:val="00624093"/>
    <w:rsid w:val="00626328"/>
    <w:rsid w:val="00626CE6"/>
    <w:rsid w:val="00627CE0"/>
    <w:rsid w:val="00627F84"/>
    <w:rsid w:val="00630F66"/>
    <w:rsid w:val="006311EF"/>
    <w:rsid w:val="0063332A"/>
    <w:rsid w:val="006347F9"/>
    <w:rsid w:val="00634C90"/>
    <w:rsid w:val="006350ED"/>
    <w:rsid w:val="00635E79"/>
    <w:rsid w:val="00637306"/>
    <w:rsid w:val="0063756F"/>
    <w:rsid w:val="006404A7"/>
    <w:rsid w:val="006407F3"/>
    <w:rsid w:val="00640C2B"/>
    <w:rsid w:val="00642977"/>
    <w:rsid w:val="00643175"/>
    <w:rsid w:val="006444E7"/>
    <w:rsid w:val="00644C5B"/>
    <w:rsid w:val="00644E74"/>
    <w:rsid w:val="006451E4"/>
    <w:rsid w:val="006460B8"/>
    <w:rsid w:val="00651D5D"/>
    <w:rsid w:val="006520C7"/>
    <w:rsid w:val="00652C32"/>
    <w:rsid w:val="006530B8"/>
    <w:rsid w:val="006535D6"/>
    <w:rsid w:val="00655F7D"/>
    <w:rsid w:val="006573BB"/>
    <w:rsid w:val="006578B8"/>
    <w:rsid w:val="00657E87"/>
    <w:rsid w:val="00660206"/>
    <w:rsid w:val="00660265"/>
    <w:rsid w:val="00660457"/>
    <w:rsid w:val="00660E1E"/>
    <w:rsid w:val="006625BA"/>
    <w:rsid w:val="00663662"/>
    <w:rsid w:val="006637B1"/>
    <w:rsid w:val="00663BFD"/>
    <w:rsid w:val="00664C40"/>
    <w:rsid w:val="00665D67"/>
    <w:rsid w:val="00665D77"/>
    <w:rsid w:val="006660CD"/>
    <w:rsid w:val="00667556"/>
    <w:rsid w:val="006676D0"/>
    <w:rsid w:val="00667C83"/>
    <w:rsid w:val="00670300"/>
    <w:rsid w:val="00670CA8"/>
    <w:rsid w:val="006710C9"/>
    <w:rsid w:val="00671437"/>
    <w:rsid w:val="006741D9"/>
    <w:rsid w:val="00674FAC"/>
    <w:rsid w:val="00675120"/>
    <w:rsid w:val="00675D35"/>
    <w:rsid w:val="00675E37"/>
    <w:rsid w:val="006762AC"/>
    <w:rsid w:val="00676531"/>
    <w:rsid w:val="00676E82"/>
    <w:rsid w:val="00680292"/>
    <w:rsid w:val="0068260E"/>
    <w:rsid w:val="006836E2"/>
    <w:rsid w:val="0068373D"/>
    <w:rsid w:val="00683BFE"/>
    <w:rsid w:val="0068416C"/>
    <w:rsid w:val="00685E66"/>
    <w:rsid w:val="0068672C"/>
    <w:rsid w:val="00686B72"/>
    <w:rsid w:val="00686D87"/>
    <w:rsid w:val="00690A09"/>
    <w:rsid w:val="00692418"/>
    <w:rsid w:val="00692D61"/>
    <w:rsid w:val="00693FEA"/>
    <w:rsid w:val="006945AA"/>
    <w:rsid w:val="006945DF"/>
    <w:rsid w:val="00694B93"/>
    <w:rsid w:val="00695170"/>
    <w:rsid w:val="00695BEF"/>
    <w:rsid w:val="006960D6"/>
    <w:rsid w:val="00696AA5"/>
    <w:rsid w:val="006977F6"/>
    <w:rsid w:val="00697A13"/>
    <w:rsid w:val="006A0A8D"/>
    <w:rsid w:val="006A109C"/>
    <w:rsid w:val="006A1A80"/>
    <w:rsid w:val="006A3B4D"/>
    <w:rsid w:val="006A456E"/>
    <w:rsid w:val="006A672B"/>
    <w:rsid w:val="006B05C6"/>
    <w:rsid w:val="006B0978"/>
    <w:rsid w:val="006B2EE3"/>
    <w:rsid w:val="006B38E0"/>
    <w:rsid w:val="006B3F8A"/>
    <w:rsid w:val="006B5CA3"/>
    <w:rsid w:val="006B6A7E"/>
    <w:rsid w:val="006B6CEE"/>
    <w:rsid w:val="006B78D8"/>
    <w:rsid w:val="006C090F"/>
    <w:rsid w:val="006C113F"/>
    <w:rsid w:val="006C23CB"/>
    <w:rsid w:val="006C2A26"/>
    <w:rsid w:val="006C38DD"/>
    <w:rsid w:val="006C437B"/>
    <w:rsid w:val="006C4BB5"/>
    <w:rsid w:val="006C5561"/>
    <w:rsid w:val="006C5577"/>
    <w:rsid w:val="006C559A"/>
    <w:rsid w:val="006C58FA"/>
    <w:rsid w:val="006D042D"/>
    <w:rsid w:val="006D06EF"/>
    <w:rsid w:val="006D07DB"/>
    <w:rsid w:val="006D090F"/>
    <w:rsid w:val="006D15EB"/>
    <w:rsid w:val="006D1D8E"/>
    <w:rsid w:val="006D41A6"/>
    <w:rsid w:val="006D4FC9"/>
    <w:rsid w:val="006D61F6"/>
    <w:rsid w:val="006D6AF7"/>
    <w:rsid w:val="006D704E"/>
    <w:rsid w:val="006E157B"/>
    <w:rsid w:val="006E15C0"/>
    <w:rsid w:val="006E15CB"/>
    <w:rsid w:val="006E1F4C"/>
    <w:rsid w:val="006E279A"/>
    <w:rsid w:val="006E2964"/>
    <w:rsid w:val="006E2F3F"/>
    <w:rsid w:val="006E313B"/>
    <w:rsid w:val="006E32B9"/>
    <w:rsid w:val="006E442A"/>
    <w:rsid w:val="006E5875"/>
    <w:rsid w:val="006E5CFD"/>
    <w:rsid w:val="006E5F51"/>
    <w:rsid w:val="006E62CA"/>
    <w:rsid w:val="006E6701"/>
    <w:rsid w:val="006E73B9"/>
    <w:rsid w:val="006F12A8"/>
    <w:rsid w:val="006F1411"/>
    <w:rsid w:val="006F1640"/>
    <w:rsid w:val="006F2BEE"/>
    <w:rsid w:val="006F3708"/>
    <w:rsid w:val="006F38BB"/>
    <w:rsid w:val="006F38C7"/>
    <w:rsid w:val="006F3E6B"/>
    <w:rsid w:val="006F4A59"/>
    <w:rsid w:val="006F4A60"/>
    <w:rsid w:val="006F4D1E"/>
    <w:rsid w:val="006F756C"/>
    <w:rsid w:val="006F75D2"/>
    <w:rsid w:val="00700B14"/>
    <w:rsid w:val="00700C69"/>
    <w:rsid w:val="00700F9B"/>
    <w:rsid w:val="007014C7"/>
    <w:rsid w:val="00701F7D"/>
    <w:rsid w:val="00702304"/>
    <w:rsid w:val="00702926"/>
    <w:rsid w:val="00702D6F"/>
    <w:rsid w:val="007039D1"/>
    <w:rsid w:val="007054B9"/>
    <w:rsid w:val="007058F0"/>
    <w:rsid w:val="00705D98"/>
    <w:rsid w:val="00706E5E"/>
    <w:rsid w:val="00707891"/>
    <w:rsid w:val="00707D58"/>
    <w:rsid w:val="007115E4"/>
    <w:rsid w:val="00711EF1"/>
    <w:rsid w:val="0071229A"/>
    <w:rsid w:val="007146CC"/>
    <w:rsid w:val="00714815"/>
    <w:rsid w:val="007168D3"/>
    <w:rsid w:val="007177F5"/>
    <w:rsid w:val="00717F72"/>
    <w:rsid w:val="00720FA2"/>
    <w:rsid w:val="007211F5"/>
    <w:rsid w:val="00721268"/>
    <w:rsid w:val="0072169E"/>
    <w:rsid w:val="00723C09"/>
    <w:rsid w:val="00723F20"/>
    <w:rsid w:val="0072459F"/>
    <w:rsid w:val="00724666"/>
    <w:rsid w:val="0072472C"/>
    <w:rsid w:val="007253C1"/>
    <w:rsid w:val="00725409"/>
    <w:rsid w:val="00725534"/>
    <w:rsid w:val="00726043"/>
    <w:rsid w:val="0072704A"/>
    <w:rsid w:val="00730AE8"/>
    <w:rsid w:val="00732475"/>
    <w:rsid w:val="00733482"/>
    <w:rsid w:val="00733D4F"/>
    <w:rsid w:val="00734321"/>
    <w:rsid w:val="00734D71"/>
    <w:rsid w:val="007351BA"/>
    <w:rsid w:val="0073572E"/>
    <w:rsid w:val="007363A9"/>
    <w:rsid w:val="00736EB6"/>
    <w:rsid w:val="00740652"/>
    <w:rsid w:val="00740F02"/>
    <w:rsid w:val="00740FEC"/>
    <w:rsid w:val="00741493"/>
    <w:rsid w:val="007422AE"/>
    <w:rsid w:val="007426B3"/>
    <w:rsid w:val="007426FD"/>
    <w:rsid w:val="00742D7C"/>
    <w:rsid w:val="00743AE1"/>
    <w:rsid w:val="00744376"/>
    <w:rsid w:val="007449EA"/>
    <w:rsid w:val="007457CF"/>
    <w:rsid w:val="00746426"/>
    <w:rsid w:val="00746DD9"/>
    <w:rsid w:val="00747567"/>
    <w:rsid w:val="0075023D"/>
    <w:rsid w:val="00750310"/>
    <w:rsid w:val="0075057A"/>
    <w:rsid w:val="00751771"/>
    <w:rsid w:val="00751BFF"/>
    <w:rsid w:val="00751D88"/>
    <w:rsid w:val="00751EA2"/>
    <w:rsid w:val="00752180"/>
    <w:rsid w:val="007521A1"/>
    <w:rsid w:val="0075245C"/>
    <w:rsid w:val="0075315D"/>
    <w:rsid w:val="00754253"/>
    <w:rsid w:val="00754A13"/>
    <w:rsid w:val="007558D3"/>
    <w:rsid w:val="00755D3A"/>
    <w:rsid w:val="00755E71"/>
    <w:rsid w:val="007563E7"/>
    <w:rsid w:val="00756B64"/>
    <w:rsid w:val="00760141"/>
    <w:rsid w:val="007609C6"/>
    <w:rsid w:val="007610A0"/>
    <w:rsid w:val="007620F2"/>
    <w:rsid w:val="00764561"/>
    <w:rsid w:val="00764664"/>
    <w:rsid w:val="007655B1"/>
    <w:rsid w:val="007657B9"/>
    <w:rsid w:val="00765CCE"/>
    <w:rsid w:val="00766FF7"/>
    <w:rsid w:val="007673B7"/>
    <w:rsid w:val="007674C6"/>
    <w:rsid w:val="00767EBF"/>
    <w:rsid w:val="00771236"/>
    <w:rsid w:val="00772F26"/>
    <w:rsid w:val="00774665"/>
    <w:rsid w:val="00774782"/>
    <w:rsid w:val="007751CB"/>
    <w:rsid w:val="00776527"/>
    <w:rsid w:val="007768E3"/>
    <w:rsid w:val="00777765"/>
    <w:rsid w:val="00780B8F"/>
    <w:rsid w:val="00781249"/>
    <w:rsid w:val="0078134E"/>
    <w:rsid w:val="00781834"/>
    <w:rsid w:val="00781FA0"/>
    <w:rsid w:val="007821DB"/>
    <w:rsid w:val="007824A8"/>
    <w:rsid w:val="007825C5"/>
    <w:rsid w:val="00782818"/>
    <w:rsid w:val="007835F2"/>
    <w:rsid w:val="0078406B"/>
    <w:rsid w:val="00784C4A"/>
    <w:rsid w:val="0078561F"/>
    <w:rsid w:val="00785CFB"/>
    <w:rsid w:val="00786DA5"/>
    <w:rsid w:val="00787432"/>
    <w:rsid w:val="007879F2"/>
    <w:rsid w:val="0079033C"/>
    <w:rsid w:val="007910AE"/>
    <w:rsid w:val="00791CF8"/>
    <w:rsid w:val="00793BAE"/>
    <w:rsid w:val="00794E0A"/>
    <w:rsid w:val="007958EA"/>
    <w:rsid w:val="00796187"/>
    <w:rsid w:val="00796642"/>
    <w:rsid w:val="00796BC7"/>
    <w:rsid w:val="007977D7"/>
    <w:rsid w:val="00797802"/>
    <w:rsid w:val="00797AD0"/>
    <w:rsid w:val="007A07C6"/>
    <w:rsid w:val="007A0F38"/>
    <w:rsid w:val="007A155D"/>
    <w:rsid w:val="007A28DB"/>
    <w:rsid w:val="007A2959"/>
    <w:rsid w:val="007A2C57"/>
    <w:rsid w:val="007A327B"/>
    <w:rsid w:val="007A4606"/>
    <w:rsid w:val="007A69E3"/>
    <w:rsid w:val="007A7353"/>
    <w:rsid w:val="007B3DCC"/>
    <w:rsid w:val="007B4518"/>
    <w:rsid w:val="007B5031"/>
    <w:rsid w:val="007B5182"/>
    <w:rsid w:val="007B573F"/>
    <w:rsid w:val="007B6FDA"/>
    <w:rsid w:val="007B7A79"/>
    <w:rsid w:val="007C2CBA"/>
    <w:rsid w:val="007C4691"/>
    <w:rsid w:val="007C471B"/>
    <w:rsid w:val="007C55AE"/>
    <w:rsid w:val="007C6743"/>
    <w:rsid w:val="007C6BAA"/>
    <w:rsid w:val="007C7BEA"/>
    <w:rsid w:val="007D2051"/>
    <w:rsid w:val="007D2AD8"/>
    <w:rsid w:val="007D2C47"/>
    <w:rsid w:val="007D2E0E"/>
    <w:rsid w:val="007D44C3"/>
    <w:rsid w:val="007D7588"/>
    <w:rsid w:val="007D7DD8"/>
    <w:rsid w:val="007E07B7"/>
    <w:rsid w:val="007E0F4B"/>
    <w:rsid w:val="007E1E50"/>
    <w:rsid w:val="007E386C"/>
    <w:rsid w:val="007E6455"/>
    <w:rsid w:val="007E67F8"/>
    <w:rsid w:val="007E770F"/>
    <w:rsid w:val="007E7E61"/>
    <w:rsid w:val="007F0845"/>
    <w:rsid w:val="007F141A"/>
    <w:rsid w:val="007F14BC"/>
    <w:rsid w:val="007F16F9"/>
    <w:rsid w:val="007F5F14"/>
    <w:rsid w:val="007F61B3"/>
    <w:rsid w:val="007F7B54"/>
    <w:rsid w:val="007F7B6A"/>
    <w:rsid w:val="00800200"/>
    <w:rsid w:val="008004B5"/>
    <w:rsid w:val="008005D7"/>
    <w:rsid w:val="00801FDD"/>
    <w:rsid w:val="0080255C"/>
    <w:rsid w:val="00803424"/>
    <w:rsid w:val="00804DDA"/>
    <w:rsid w:val="00805541"/>
    <w:rsid w:val="008056F7"/>
    <w:rsid w:val="008059A4"/>
    <w:rsid w:val="008064E9"/>
    <w:rsid w:val="0080673A"/>
    <w:rsid w:val="0080798B"/>
    <w:rsid w:val="00807A2C"/>
    <w:rsid w:val="008103D8"/>
    <w:rsid w:val="008109E4"/>
    <w:rsid w:val="00810A52"/>
    <w:rsid w:val="00811257"/>
    <w:rsid w:val="0081187C"/>
    <w:rsid w:val="00811E24"/>
    <w:rsid w:val="0081248B"/>
    <w:rsid w:val="008129BC"/>
    <w:rsid w:val="00812ACA"/>
    <w:rsid w:val="00812C6D"/>
    <w:rsid w:val="00812E2B"/>
    <w:rsid w:val="00813158"/>
    <w:rsid w:val="0081330F"/>
    <w:rsid w:val="00813A70"/>
    <w:rsid w:val="00813EB9"/>
    <w:rsid w:val="008155EA"/>
    <w:rsid w:val="00816259"/>
    <w:rsid w:val="0081645F"/>
    <w:rsid w:val="008178C2"/>
    <w:rsid w:val="008178CF"/>
    <w:rsid w:val="00817AE0"/>
    <w:rsid w:val="00817C98"/>
    <w:rsid w:val="00820C9F"/>
    <w:rsid w:val="00821FF6"/>
    <w:rsid w:val="00822495"/>
    <w:rsid w:val="0082409A"/>
    <w:rsid w:val="008241C2"/>
    <w:rsid w:val="008253B3"/>
    <w:rsid w:val="008254BD"/>
    <w:rsid w:val="008263CD"/>
    <w:rsid w:val="00826C6A"/>
    <w:rsid w:val="00826D34"/>
    <w:rsid w:val="00827181"/>
    <w:rsid w:val="00827746"/>
    <w:rsid w:val="0083143E"/>
    <w:rsid w:val="0083159D"/>
    <w:rsid w:val="008334C5"/>
    <w:rsid w:val="008336D8"/>
    <w:rsid w:val="008339C4"/>
    <w:rsid w:val="008341A6"/>
    <w:rsid w:val="00834996"/>
    <w:rsid w:val="00834F0A"/>
    <w:rsid w:val="00834FAA"/>
    <w:rsid w:val="00835172"/>
    <w:rsid w:val="008355C7"/>
    <w:rsid w:val="00835E23"/>
    <w:rsid w:val="00836086"/>
    <w:rsid w:val="008362FF"/>
    <w:rsid w:val="00837AE3"/>
    <w:rsid w:val="00841D9F"/>
    <w:rsid w:val="00842604"/>
    <w:rsid w:val="00843B81"/>
    <w:rsid w:val="00843D95"/>
    <w:rsid w:val="00843ECF"/>
    <w:rsid w:val="00846673"/>
    <w:rsid w:val="00846BD7"/>
    <w:rsid w:val="00847007"/>
    <w:rsid w:val="00850AC0"/>
    <w:rsid w:val="008518B7"/>
    <w:rsid w:val="008525DA"/>
    <w:rsid w:val="0085281A"/>
    <w:rsid w:val="0085317A"/>
    <w:rsid w:val="00853794"/>
    <w:rsid w:val="00853B1C"/>
    <w:rsid w:val="00853DA2"/>
    <w:rsid w:val="00853EAB"/>
    <w:rsid w:val="00853F4C"/>
    <w:rsid w:val="00853FFE"/>
    <w:rsid w:val="00854536"/>
    <w:rsid w:val="008545A1"/>
    <w:rsid w:val="00854865"/>
    <w:rsid w:val="008559FE"/>
    <w:rsid w:val="00855A99"/>
    <w:rsid w:val="00855C0D"/>
    <w:rsid w:val="0085695F"/>
    <w:rsid w:val="00857339"/>
    <w:rsid w:val="00860288"/>
    <w:rsid w:val="0086078C"/>
    <w:rsid w:val="008615C3"/>
    <w:rsid w:val="00862A7A"/>
    <w:rsid w:val="00863374"/>
    <w:rsid w:val="00863D9E"/>
    <w:rsid w:val="008645E0"/>
    <w:rsid w:val="008665C1"/>
    <w:rsid w:val="008666C3"/>
    <w:rsid w:val="0086759F"/>
    <w:rsid w:val="00867C4F"/>
    <w:rsid w:val="00867E29"/>
    <w:rsid w:val="00867FCE"/>
    <w:rsid w:val="008705E3"/>
    <w:rsid w:val="00870F2B"/>
    <w:rsid w:val="00871002"/>
    <w:rsid w:val="0087129A"/>
    <w:rsid w:val="008715FE"/>
    <w:rsid w:val="00873DE7"/>
    <w:rsid w:val="008746E6"/>
    <w:rsid w:val="008752D2"/>
    <w:rsid w:val="00876086"/>
    <w:rsid w:val="008768D6"/>
    <w:rsid w:val="00876C5B"/>
    <w:rsid w:val="00877329"/>
    <w:rsid w:val="008775D1"/>
    <w:rsid w:val="008777BB"/>
    <w:rsid w:val="008806AE"/>
    <w:rsid w:val="00880D25"/>
    <w:rsid w:val="008828CE"/>
    <w:rsid w:val="008852B1"/>
    <w:rsid w:val="0088555A"/>
    <w:rsid w:val="008866C2"/>
    <w:rsid w:val="0088733A"/>
    <w:rsid w:val="00887AEB"/>
    <w:rsid w:val="00891BE0"/>
    <w:rsid w:val="008945A1"/>
    <w:rsid w:val="00894A63"/>
    <w:rsid w:val="008950AF"/>
    <w:rsid w:val="008954FA"/>
    <w:rsid w:val="0089588C"/>
    <w:rsid w:val="00895F20"/>
    <w:rsid w:val="0089668D"/>
    <w:rsid w:val="00896BDE"/>
    <w:rsid w:val="0089783D"/>
    <w:rsid w:val="00897C0E"/>
    <w:rsid w:val="008A03E6"/>
    <w:rsid w:val="008A0861"/>
    <w:rsid w:val="008A0BB2"/>
    <w:rsid w:val="008A133B"/>
    <w:rsid w:val="008A1A90"/>
    <w:rsid w:val="008A1AB3"/>
    <w:rsid w:val="008A1D5C"/>
    <w:rsid w:val="008A27A7"/>
    <w:rsid w:val="008A3292"/>
    <w:rsid w:val="008A3A85"/>
    <w:rsid w:val="008A43E9"/>
    <w:rsid w:val="008A48AC"/>
    <w:rsid w:val="008A4CB1"/>
    <w:rsid w:val="008A4EAC"/>
    <w:rsid w:val="008A57BD"/>
    <w:rsid w:val="008A5942"/>
    <w:rsid w:val="008A60BD"/>
    <w:rsid w:val="008A615E"/>
    <w:rsid w:val="008A632B"/>
    <w:rsid w:val="008A6BFE"/>
    <w:rsid w:val="008A6C36"/>
    <w:rsid w:val="008A6DFF"/>
    <w:rsid w:val="008A7CE6"/>
    <w:rsid w:val="008B0683"/>
    <w:rsid w:val="008B06EF"/>
    <w:rsid w:val="008B0C8B"/>
    <w:rsid w:val="008B190E"/>
    <w:rsid w:val="008B1A8A"/>
    <w:rsid w:val="008B2CB6"/>
    <w:rsid w:val="008B50C7"/>
    <w:rsid w:val="008B568A"/>
    <w:rsid w:val="008B7306"/>
    <w:rsid w:val="008B775F"/>
    <w:rsid w:val="008B7C02"/>
    <w:rsid w:val="008B7EF5"/>
    <w:rsid w:val="008B7F9E"/>
    <w:rsid w:val="008C0368"/>
    <w:rsid w:val="008C07A9"/>
    <w:rsid w:val="008C0E88"/>
    <w:rsid w:val="008C0FE8"/>
    <w:rsid w:val="008C1AA8"/>
    <w:rsid w:val="008C2717"/>
    <w:rsid w:val="008C2E5B"/>
    <w:rsid w:val="008C41F7"/>
    <w:rsid w:val="008C5FBF"/>
    <w:rsid w:val="008C6CB8"/>
    <w:rsid w:val="008C6DE8"/>
    <w:rsid w:val="008C7593"/>
    <w:rsid w:val="008C7815"/>
    <w:rsid w:val="008D0171"/>
    <w:rsid w:val="008D0FEC"/>
    <w:rsid w:val="008D0FF8"/>
    <w:rsid w:val="008D2811"/>
    <w:rsid w:val="008D2A16"/>
    <w:rsid w:val="008D2ECF"/>
    <w:rsid w:val="008D39A6"/>
    <w:rsid w:val="008D3F3D"/>
    <w:rsid w:val="008D53E3"/>
    <w:rsid w:val="008E1A5A"/>
    <w:rsid w:val="008E30AD"/>
    <w:rsid w:val="008E31FF"/>
    <w:rsid w:val="008E33DD"/>
    <w:rsid w:val="008E4413"/>
    <w:rsid w:val="008E517B"/>
    <w:rsid w:val="008E6113"/>
    <w:rsid w:val="008E6AB3"/>
    <w:rsid w:val="008E6AD3"/>
    <w:rsid w:val="008E71A6"/>
    <w:rsid w:val="008E77B6"/>
    <w:rsid w:val="008F032E"/>
    <w:rsid w:val="008F0F14"/>
    <w:rsid w:val="008F2B5D"/>
    <w:rsid w:val="008F371B"/>
    <w:rsid w:val="008F3A22"/>
    <w:rsid w:val="008F3CAE"/>
    <w:rsid w:val="008F41F7"/>
    <w:rsid w:val="008F471F"/>
    <w:rsid w:val="008F4FCE"/>
    <w:rsid w:val="008F79E1"/>
    <w:rsid w:val="008F7D28"/>
    <w:rsid w:val="009003A8"/>
    <w:rsid w:val="00900873"/>
    <w:rsid w:val="00901236"/>
    <w:rsid w:val="009015BD"/>
    <w:rsid w:val="00901D1E"/>
    <w:rsid w:val="00902C13"/>
    <w:rsid w:val="00902CBE"/>
    <w:rsid w:val="00902EFF"/>
    <w:rsid w:val="00903E06"/>
    <w:rsid w:val="00904D96"/>
    <w:rsid w:val="00905425"/>
    <w:rsid w:val="009065B1"/>
    <w:rsid w:val="00910824"/>
    <w:rsid w:val="00910F93"/>
    <w:rsid w:val="00911F2B"/>
    <w:rsid w:val="00912324"/>
    <w:rsid w:val="00914426"/>
    <w:rsid w:val="00914EE3"/>
    <w:rsid w:val="0091580C"/>
    <w:rsid w:val="00915DFE"/>
    <w:rsid w:val="00915F5B"/>
    <w:rsid w:val="0091675F"/>
    <w:rsid w:val="00917709"/>
    <w:rsid w:val="00917918"/>
    <w:rsid w:val="00917FD4"/>
    <w:rsid w:val="00920D03"/>
    <w:rsid w:val="00921F14"/>
    <w:rsid w:val="00922562"/>
    <w:rsid w:val="009233EB"/>
    <w:rsid w:val="00923BAB"/>
    <w:rsid w:val="00923F10"/>
    <w:rsid w:val="009243A5"/>
    <w:rsid w:val="009251EE"/>
    <w:rsid w:val="00925217"/>
    <w:rsid w:val="00925FDB"/>
    <w:rsid w:val="00926283"/>
    <w:rsid w:val="00926E77"/>
    <w:rsid w:val="00931183"/>
    <w:rsid w:val="0093181C"/>
    <w:rsid w:val="009329C5"/>
    <w:rsid w:val="00932A93"/>
    <w:rsid w:val="00932B15"/>
    <w:rsid w:val="009348E3"/>
    <w:rsid w:val="00934AE3"/>
    <w:rsid w:val="00935835"/>
    <w:rsid w:val="00935B60"/>
    <w:rsid w:val="009362AF"/>
    <w:rsid w:val="0093781F"/>
    <w:rsid w:val="00937B11"/>
    <w:rsid w:val="00940F1F"/>
    <w:rsid w:val="00941250"/>
    <w:rsid w:val="0094143D"/>
    <w:rsid w:val="009417A2"/>
    <w:rsid w:val="00942629"/>
    <w:rsid w:val="00942A89"/>
    <w:rsid w:val="0094427A"/>
    <w:rsid w:val="00945578"/>
    <w:rsid w:val="009459C5"/>
    <w:rsid w:val="00945AA0"/>
    <w:rsid w:val="00946D52"/>
    <w:rsid w:val="0094750F"/>
    <w:rsid w:val="0094760E"/>
    <w:rsid w:val="0095013A"/>
    <w:rsid w:val="00953AEF"/>
    <w:rsid w:val="009540D9"/>
    <w:rsid w:val="009551E2"/>
    <w:rsid w:val="00955783"/>
    <w:rsid w:val="00955EA3"/>
    <w:rsid w:val="00955F37"/>
    <w:rsid w:val="009560B0"/>
    <w:rsid w:val="00957164"/>
    <w:rsid w:val="00957871"/>
    <w:rsid w:val="00960239"/>
    <w:rsid w:val="00960BD9"/>
    <w:rsid w:val="009631E0"/>
    <w:rsid w:val="00964498"/>
    <w:rsid w:val="0096650F"/>
    <w:rsid w:val="00967184"/>
    <w:rsid w:val="00967820"/>
    <w:rsid w:val="009700DB"/>
    <w:rsid w:val="009704BD"/>
    <w:rsid w:val="0097074C"/>
    <w:rsid w:val="009712F3"/>
    <w:rsid w:val="00971C65"/>
    <w:rsid w:val="00972263"/>
    <w:rsid w:val="00972D8D"/>
    <w:rsid w:val="00972E12"/>
    <w:rsid w:val="00972EB7"/>
    <w:rsid w:val="00973AAE"/>
    <w:rsid w:val="00974923"/>
    <w:rsid w:val="00974D48"/>
    <w:rsid w:val="00975655"/>
    <w:rsid w:val="009759B5"/>
    <w:rsid w:val="009773AE"/>
    <w:rsid w:val="00980621"/>
    <w:rsid w:val="00981EC7"/>
    <w:rsid w:val="00982072"/>
    <w:rsid w:val="00982718"/>
    <w:rsid w:val="009828EC"/>
    <w:rsid w:val="0098358E"/>
    <w:rsid w:val="00983CBF"/>
    <w:rsid w:val="00983ECF"/>
    <w:rsid w:val="009846A8"/>
    <w:rsid w:val="00984A20"/>
    <w:rsid w:val="00986485"/>
    <w:rsid w:val="00986745"/>
    <w:rsid w:val="00986971"/>
    <w:rsid w:val="00987109"/>
    <w:rsid w:val="0099012D"/>
    <w:rsid w:val="00991899"/>
    <w:rsid w:val="009919CF"/>
    <w:rsid w:val="009949FE"/>
    <w:rsid w:val="00996355"/>
    <w:rsid w:val="00996B72"/>
    <w:rsid w:val="00996E07"/>
    <w:rsid w:val="00997EEB"/>
    <w:rsid w:val="009A14F0"/>
    <w:rsid w:val="009A2390"/>
    <w:rsid w:val="009A2AB3"/>
    <w:rsid w:val="009A3909"/>
    <w:rsid w:val="009A4E12"/>
    <w:rsid w:val="009A4E89"/>
    <w:rsid w:val="009B052C"/>
    <w:rsid w:val="009B06E8"/>
    <w:rsid w:val="009B0AAA"/>
    <w:rsid w:val="009B0EF2"/>
    <w:rsid w:val="009B1FDF"/>
    <w:rsid w:val="009B23A3"/>
    <w:rsid w:val="009B521D"/>
    <w:rsid w:val="009B529C"/>
    <w:rsid w:val="009B61D0"/>
    <w:rsid w:val="009B6CCD"/>
    <w:rsid w:val="009B6FD3"/>
    <w:rsid w:val="009B70BD"/>
    <w:rsid w:val="009C2524"/>
    <w:rsid w:val="009C3690"/>
    <w:rsid w:val="009C42CD"/>
    <w:rsid w:val="009C4DA1"/>
    <w:rsid w:val="009C59D8"/>
    <w:rsid w:val="009C7388"/>
    <w:rsid w:val="009C764D"/>
    <w:rsid w:val="009C7AE1"/>
    <w:rsid w:val="009D0355"/>
    <w:rsid w:val="009D0F98"/>
    <w:rsid w:val="009D1551"/>
    <w:rsid w:val="009D2859"/>
    <w:rsid w:val="009D37B4"/>
    <w:rsid w:val="009D3B5E"/>
    <w:rsid w:val="009D4173"/>
    <w:rsid w:val="009D4F8A"/>
    <w:rsid w:val="009D5354"/>
    <w:rsid w:val="009D6095"/>
    <w:rsid w:val="009D6306"/>
    <w:rsid w:val="009D7385"/>
    <w:rsid w:val="009E0015"/>
    <w:rsid w:val="009E048A"/>
    <w:rsid w:val="009E16D0"/>
    <w:rsid w:val="009E1FBA"/>
    <w:rsid w:val="009E2C54"/>
    <w:rsid w:val="009E3710"/>
    <w:rsid w:val="009E3EB9"/>
    <w:rsid w:val="009E577B"/>
    <w:rsid w:val="009E7A19"/>
    <w:rsid w:val="009E7B1F"/>
    <w:rsid w:val="009F0A61"/>
    <w:rsid w:val="009F0A68"/>
    <w:rsid w:val="009F10EF"/>
    <w:rsid w:val="009F1131"/>
    <w:rsid w:val="009F18F2"/>
    <w:rsid w:val="009F19BA"/>
    <w:rsid w:val="009F3FD0"/>
    <w:rsid w:val="009F408C"/>
    <w:rsid w:val="009F41C4"/>
    <w:rsid w:val="009F4792"/>
    <w:rsid w:val="009F4F77"/>
    <w:rsid w:val="009F5846"/>
    <w:rsid w:val="009F7D77"/>
    <w:rsid w:val="00A01900"/>
    <w:rsid w:val="00A0259C"/>
    <w:rsid w:val="00A030BD"/>
    <w:rsid w:val="00A0348B"/>
    <w:rsid w:val="00A10927"/>
    <w:rsid w:val="00A10D66"/>
    <w:rsid w:val="00A117C1"/>
    <w:rsid w:val="00A11838"/>
    <w:rsid w:val="00A11C9D"/>
    <w:rsid w:val="00A12361"/>
    <w:rsid w:val="00A127F7"/>
    <w:rsid w:val="00A13714"/>
    <w:rsid w:val="00A1420C"/>
    <w:rsid w:val="00A14EDC"/>
    <w:rsid w:val="00A1582B"/>
    <w:rsid w:val="00A15AB6"/>
    <w:rsid w:val="00A2055B"/>
    <w:rsid w:val="00A219F3"/>
    <w:rsid w:val="00A2253C"/>
    <w:rsid w:val="00A23545"/>
    <w:rsid w:val="00A236D8"/>
    <w:rsid w:val="00A23A55"/>
    <w:rsid w:val="00A23E43"/>
    <w:rsid w:val="00A24F8C"/>
    <w:rsid w:val="00A255F7"/>
    <w:rsid w:val="00A25E57"/>
    <w:rsid w:val="00A262BF"/>
    <w:rsid w:val="00A271AD"/>
    <w:rsid w:val="00A276D5"/>
    <w:rsid w:val="00A30336"/>
    <w:rsid w:val="00A30529"/>
    <w:rsid w:val="00A305BD"/>
    <w:rsid w:val="00A30BB5"/>
    <w:rsid w:val="00A30E88"/>
    <w:rsid w:val="00A3128F"/>
    <w:rsid w:val="00A326D0"/>
    <w:rsid w:val="00A34BBF"/>
    <w:rsid w:val="00A35287"/>
    <w:rsid w:val="00A35CB9"/>
    <w:rsid w:val="00A36CDA"/>
    <w:rsid w:val="00A37441"/>
    <w:rsid w:val="00A378F8"/>
    <w:rsid w:val="00A40530"/>
    <w:rsid w:val="00A40B19"/>
    <w:rsid w:val="00A418B6"/>
    <w:rsid w:val="00A41F2C"/>
    <w:rsid w:val="00A424F8"/>
    <w:rsid w:val="00A440F9"/>
    <w:rsid w:val="00A44B0D"/>
    <w:rsid w:val="00A45899"/>
    <w:rsid w:val="00A46826"/>
    <w:rsid w:val="00A46DE0"/>
    <w:rsid w:val="00A4778A"/>
    <w:rsid w:val="00A47B64"/>
    <w:rsid w:val="00A5067F"/>
    <w:rsid w:val="00A5104A"/>
    <w:rsid w:val="00A538DC"/>
    <w:rsid w:val="00A53936"/>
    <w:rsid w:val="00A55301"/>
    <w:rsid w:val="00A557BF"/>
    <w:rsid w:val="00A57B3C"/>
    <w:rsid w:val="00A602D9"/>
    <w:rsid w:val="00A6128E"/>
    <w:rsid w:val="00A61850"/>
    <w:rsid w:val="00A62CE1"/>
    <w:rsid w:val="00A631FA"/>
    <w:rsid w:val="00A63E47"/>
    <w:rsid w:val="00A64143"/>
    <w:rsid w:val="00A64203"/>
    <w:rsid w:val="00A64348"/>
    <w:rsid w:val="00A650F4"/>
    <w:rsid w:val="00A651DB"/>
    <w:rsid w:val="00A653AB"/>
    <w:rsid w:val="00A667A3"/>
    <w:rsid w:val="00A66976"/>
    <w:rsid w:val="00A675C3"/>
    <w:rsid w:val="00A70FBC"/>
    <w:rsid w:val="00A7103D"/>
    <w:rsid w:val="00A721FB"/>
    <w:rsid w:val="00A72671"/>
    <w:rsid w:val="00A727BA"/>
    <w:rsid w:val="00A72D4B"/>
    <w:rsid w:val="00A732AE"/>
    <w:rsid w:val="00A74C7F"/>
    <w:rsid w:val="00A75744"/>
    <w:rsid w:val="00A75E40"/>
    <w:rsid w:val="00A77EB2"/>
    <w:rsid w:val="00A823B7"/>
    <w:rsid w:val="00A82A03"/>
    <w:rsid w:val="00A82B66"/>
    <w:rsid w:val="00A83934"/>
    <w:rsid w:val="00A83B58"/>
    <w:rsid w:val="00A841AC"/>
    <w:rsid w:val="00A851B6"/>
    <w:rsid w:val="00A85332"/>
    <w:rsid w:val="00A85729"/>
    <w:rsid w:val="00A8574B"/>
    <w:rsid w:val="00A857C0"/>
    <w:rsid w:val="00A86068"/>
    <w:rsid w:val="00A872CE"/>
    <w:rsid w:val="00A87DA4"/>
    <w:rsid w:val="00A90368"/>
    <w:rsid w:val="00A906AC"/>
    <w:rsid w:val="00A90A66"/>
    <w:rsid w:val="00A91893"/>
    <w:rsid w:val="00A92D0B"/>
    <w:rsid w:val="00A95A3A"/>
    <w:rsid w:val="00A96463"/>
    <w:rsid w:val="00A97E3F"/>
    <w:rsid w:val="00A97F75"/>
    <w:rsid w:val="00AA0A14"/>
    <w:rsid w:val="00AA23FB"/>
    <w:rsid w:val="00AA2632"/>
    <w:rsid w:val="00AA2B03"/>
    <w:rsid w:val="00AA42AB"/>
    <w:rsid w:val="00AA534F"/>
    <w:rsid w:val="00AA559A"/>
    <w:rsid w:val="00AA7738"/>
    <w:rsid w:val="00AA7B05"/>
    <w:rsid w:val="00AB02AE"/>
    <w:rsid w:val="00AB11AB"/>
    <w:rsid w:val="00AB2AF1"/>
    <w:rsid w:val="00AB440B"/>
    <w:rsid w:val="00AB454F"/>
    <w:rsid w:val="00AB5082"/>
    <w:rsid w:val="00AB50D4"/>
    <w:rsid w:val="00AB7037"/>
    <w:rsid w:val="00AB74C5"/>
    <w:rsid w:val="00AB76C0"/>
    <w:rsid w:val="00AB7BF4"/>
    <w:rsid w:val="00AB7DF2"/>
    <w:rsid w:val="00AC144D"/>
    <w:rsid w:val="00AC1DB7"/>
    <w:rsid w:val="00AC1E3F"/>
    <w:rsid w:val="00AC2F7B"/>
    <w:rsid w:val="00AC352D"/>
    <w:rsid w:val="00AC44CA"/>
    <w:rsid w:val="00AC4F18"/>
    <w:rsid w:val="00AC5926"/>
    <w:rsid w:val="00AC6A22"/>
    <w:rsid w:val="00AC6F62"/>
    <w:rsid w:val="00AD072E"/>
    <w:rsid w:val="00AD0B46"/>
    <w:rsid w:val="00AD11EF"/>
    <w:rsid w:val="00AD186B"/>
    <w:rsid w:val="00AD22B4"/>
    <w:rsid w:val="00AD2565"/>
    <w:rsid w:val="00AD27F2"/>
    <w:rsid w:val="00AD306C"/>
    <w:rsid w:val="00AD3424"/>
    <w:rsid w:val="00AD460D"/>
    <w:rsid w:val="00AD4F85"/>
    <w:rsid w:val="00AD59BB"/>
    <w:rsid w:val="00AD5D3A"/>
    <w:rsid w:val="00AD5D68"/>
    <w:rsid w:val="00AD6C73"/>
    <w:rsid w:val="00AD6D14"/>
    <w:rsid w:val="00AD7314"/>
    <w:rsid w:val="00AD799D"/>
    <w:rsid w:val="00AE06D0"/>
    <w:rsid w:val="00AE1A78"/>
    <w:rsid w:val="00AE1E4A"/>
    <w:rsid w:val="00AE39DC"/>
    <w:rsid w:val="00AE3EC2"/>
    <w:rsid w:val="00AE642B"/>
    <w:rsid w:val="00AE6D73"/>
    <w:rsid w:val="00AE721E"/>
    <w:rsid w:val="00AE7968"/>
    <w:rsid w:val="00AF128B"/>
    <w:rsid w:val="00AF14DC"/>
    <w:rsid w:val="00AF2632"/>
    <w:rsid w:val="00AF2852"/>
    <w:rsid w:val="00AF2E94"/>
    <w:rsid w:val="00AF3225"/>
    <w:rsid w:val="00AF5175"/>
    <w:rsid w:val="00AF518B"/>
    <w:rsid w:val="00AF5275"/>
    <w:rsid w:val="00AF55D3"/>
    <w:rsid w:val="00AF5878"/>
    <w:rsid w:val="00AF5F15"/>
    <w:rsid w:val="00AF5FC0"/>
    <w:rsid w:val="00AF6367"/>
    <w:rsid w:val="00AF648D"/>
    <w:rsid w:val="00AF659A"/>
    <w:rsid w:val="00AF6A79"/>
    <w:rsid w:val="00AF6F70"/>
    <w:rsid w:val="00AF724E"/>
    <w:rsid w:val="00AF73A9"/>
    <w:rsid w:val="00AF74FD"/>
    <w:rsid w:val="00AF7C2D"/>
    <w:rsid w:val="00AF7CD0"/>
    <w:rsid w:val="00B01C2C"/>
    <w:rsid w:val="00B01E8E"/>
    <w:rsid w:val="00B0231C"/>
    <w:rsid w:val="00B0247B"/>
    <w:rsid w:val="00B04828"/>
    <w:rsid w:val="00B05DF2"/>
    <w:rsid w:val="00B06DC2"/>
    <w:rsid w:val="00B06EE6"/>
    <w:rsid w:val="00B07952"/>
    <w:rsid w:val="00B07F24"/>
    <w:rsid w:val="00B106D8"/>
    <w:rsid w:val="00B12609"/>
    <w:rsid w:val="00B12998"/>
    <w:rsid w:val="00B13134"/>
    <w:rsid w:val="00B133F1"/>
    <w:rsid w:val="00B13619"/>
    <w:rsid w:val="00B149D8"/>
    <w:rsid w:val="00B155A3"/>
    <w:rsid w:val="00B15DCD"/>
    <w:rsid w:val="00B16102"/>
    <w:rsid w:val="00B16FDA"/>
    <w:rsid w:val="00B174DD"/>
    <w:rsid w:val="00B17567"/>
    <w:rsid w:val="00B17E71"/>
    <w:rsid w:val="00B17FCE"/>
    <w:rsid w:val="00B17FDE"/>
    <w:rsid w:val="00B208FC"/>
    <w:rsid w:val="00B20C65"/>
    <w:rsid w:val="00B23632"/>
    <w:rsid w:val="00B23CF0"/>
    <w:rsid w:val="00B2424E"/>
    <w:rsid w:val="00B24545"/>
    <w:rsid w:val="00B24707"/>
    <w:rsid w:val="00B24B73"/>
    <w:rsid w:val="00B24E42"/>
    <w:rsid w:val="00B24EA2"/>
    <w:rsid w:val="00B27293"/>
    <w:rsid w:val="00B274E0"/>
    <w:rsid w:val="00B27737"/>
    <w:rsid w:val="00B309F6"/>
    <w:rsid w:val="00B3117D"/>
    <w:rsid w:val="00B31336"/>
    <w:rsid w:val="00B3229E"/>
    <w:rsid w:val="00B326B3"/>
    <w:rsid w:val="00B32DDB"/>
    <w:rsid w:val="00B35BEA"/>
    <w:rsid w:val="00B35F07"/>
    <w:rsid w:val="00B3641E"/>
    <w:rsid w:val="00B37A71"/>
    <w:rsid w:val="00B40B04"/>
    <w:rsid w:val="00B41BE6"/>
    <w:rsid w:val="00B41D75"/>
    <w:rsid w:val="00B435EF"/>
    <w:rsid w:val="00B43871"/>
    <w:rsid w:val="00B450A5"/>
    <w:rsid w:val="00B457E7"/>
    <w:rsid w:val="00B47430"/>
    <w:rsid w:val="00B47436"/>
    <w:rsid w:val="00B4769E"/>
    <w:rsid w:val="00B47FCC"/>
    <w:rsid w:val="00B50F22"/>
    <w:rsid w:val="00B51604"/>
    <w:rsid w:val="00B52D2D"/>
    <w:rsid w:val="00B53BC1"/>
    <w:rsid w:val="00B56082"/>
    <w:rsid w:val="00B561A6"/>
    <w:rsid w:val="00B60AAB"/>
    <w:rsid w:val="00B60C8D"/>
    <w:rsid w:val="00B60DCD"/>
    <w:rsid w:val="00B61046"/>
    <w:rsid w:val="00B61F2D"/>
    <w:rsid w:val="00B62960"/>
    <w:rsid w:val="00B63A11"/>
    <w:rsid w:val="00B63FD0"/>
    <w:rsid w:val="00B64D5A"/>
    <w:rsid w:val="00B65845"/>
    <w:rsid w:val="00B658EA"/>
    <w:rsid w:val="00B65C84"/>
    <w:rsid w:val="00B6608F"/>
    <w:rsid w:val="00B662E3"/>
    <w:rsid w:val="00B66C89"/>
    <w:rsid w:val="00B71161"/>
    <w:rsid w:val="00B71C2D"/>
    <w:rsid w:val="00B71E5E"/>
    <w:rsid w:val="00B72B1E"/>
    <w:rsid w:val="00B737C7"/>
    <w:rsid w:val="00B74317"/>
    <w:rsid w:val="00B752FD"/>
    <w:rsid w:val="00B75A87"/>
    <w:rsid w:val="00B7638C"/>
    <w:rsid w:val="00B765F3"/>
    <w:rsid w:val="00B76D1E"/>
    <w:rsid w:val="00B812F0"/>
    <w:rsid w:val="00B822D2"/>
    <w:rsid w:val="00B832DF"/>
    <w:rsid w:val="00B83324"/>
    <w:rsid w:val="00B83D55"/>
    <w:rsid w:val="00B83DDF"/>
    <w:rsid w:val="00B83E78"/>
    <w:rsid w:val="00B848B8"/>
    <w:rsid w:val="00B84A41"/>
    <w:rsid w:val="00B84D57"/>
    <w:rsid w:val="00B84D64"/>
    <w:rsid w:val="00B856A2"/>
    <w:rsid w:val="00B86748"/>
    <w:rsid w:val="00B87EDC"/>
    <w:rsid w:val="00B90093"/>
    <w:rsid w:val="00B90784"/>
    <w:rsid w:val="00B90BAA"/>
    <w:rsid w:val="00B91EC9"/>
    <w:rsid w:val="00B924CA"/>
    <w:rsid w:val="00B93384"/>
    <w:rsid w:val="00B9381E"/>
    <w:rsid w:val="00B93A86"/>
    <w:rsid w:val="00B94417"/>
    <w:rsid w:val="00B95940"/>
    <w:rsid w:val="00B95EF8"/>
    <w:rsid w:val="00B95F50"/>
    <w:rsid w:val="00B96BD9"/>
    <w:rsid w:val="00B978CD"/>
    <w:rsid w:val="00BA00BE"/>
    <w:rsid w:val="00BA06CA"/>
    <w:rsid w:val="00BA2538"/>
    <w:rsid w:val="00BA452B"/>
    <w:rsid w:val="00BA4B2A"/>
    <w:rsid w:val="00BB04AD"/>
    <w:rsid w:val="00BB19EC"/>
    <w:rsid w:val="00BB1C96"/>
    <w:rsid w:val="00BB2116"/>
    <w:rsid w:val="00BB2C53"/>
    <w:rsid w:val="00BB32DA"/>
    <w:rsid w:val="00BB3972"/>
    <w:rsid w:val="00BB3A54"/>
    <w:rsid w:val="00BB40FD"/>
    <w:rsid w:val="00BB43F4"/>
    <w:rsid w:val="00BB4E21"/>
    <w:rsid w:val="00BB502A"/>
    <w:rsid w:val="00BB5CEB"/>
    <w:rsid w:val="00BB5E42"/>
    <w:rsid w:val="00BB7402"/>
    <w:rsid w:val="00BB7761"/>
    <w:rsid w:val="00BC1728"/>
    <w:rsid w:val="00BC2D43"/>
    <w:rsid w:val="00BC4CE0"/>
    <w:rsid w:val="00BC5111"/>
    <w:rsid w:val="00BC54E1"/>
    <w:rsid w:val="00BC682B"/>
    <w:rsid w:val="00BC6A12"/>
    <w:rsid w:val="00BC6B04"/>
    <w:rsid w:val="00BC706F"/>
    <w:rsid w:val="00BD053B"/>
    <w:rsid w:val="00BD0B9B"/>
    <w:rsid w:val="00BD0D8B"/>
    <w:rsid w:val="00BD0ED0"/>
    <w:rsid w:val="00BD1F94"/>
    <w:rsid w:val="00BD23CB"/>
    <w:rsid w:val="00BD3428"/>
    <w:rsid w:val="00BD366B"/>
    <w:rsid w:val="00BD3915"/>
    <w:rsid w:val="00BD4110"/>
    <w:rsid w:val="00BD5017"/>
    <w:rsid w:val="00BD56BC"/>
    <w:rsid w:val="00BD5832"/>
    <w:rsid w:val="00BD59D1"/>
    <w:rsid w:val="00BD5D91"/>
    <w:rsid w:val="00BD64E1"/>
    <w:rsid w:val="00BD6615"/>
    <w:rsid w:val="00BD6D50"/>
    <w:rsid w:val="00BD7413"/>
    <w:rsid w:val="00BE0261"/>
    <w:rsid w:val="00BE09E4"/>
    <w:rsid w:val="00BE0DB0"/>
    <w:rsid w:val="00BE1C59"/>
    <w:rsid w:val="00BE3F09"/>
    <w:rsid w:val="00BE572B"/>
    <w:rsid w:val="00BE5986"/>
    <w:rsid w:val="00BE670A"/>
    <w:rsid w:val="00BE6898"/>
    <w:rsid w:val="00BE6906"/>
    <w:rsid w:val="00BE6AAB"/>
    <w:rsid w:val="00BE795E"/>
    <w:rsid w:val="00BF18F4"/>
    <w:rsid w:val="00BF1A69"/>
    <w:rsid w:val="00BF1B37"/>
    <w:rsid w:val="00BF1C8D"/>
    <w:rsid w:val="00BF1D58"/>
    <w:rsid w:val="00BF36F6"/>
    <w:rsid w:val="00BF3BC8"/>
    <w:rsid w:val="00BF3DF1"/>
    <w:rsid w:val="00BF4C31"/>
    <w:rsid w:val="00BF59A0"/>
    <w:rsid w:val="00BF6C56"/>
    <w:rsid w:val="00BF6DE7"/>
    <w:rsid w:val="00BF7844"/>
    <w:rsid w:val="00BF7A9A"/>
    <w:rsid w:val="00C00F20"/>
    <w:rsid w:val="00C0118D"/>
    <w:rsid w:val="00C0165A"/>
    <w:rsid w:val="00C020FE"/>
    <w:rsid w:val="00C03388"/>
    <w:rsid w:val="00C034E6"/>
    <w:rsid w:val="00C0353A"/>
    <w:rsid w:val="00C06047"/>
    <w:rsid w:val="00C074F9"/>
    <w:rsid w:val="00C0784A"/>
    <w:rsid w:val="00C104F3"/>
    <w:rsid w:val="00C10982"/>
    <w:rsid w:val="00C10FAE"/>
    <w:rsid w:val="00C12A69"/>
    <w:rsid w:val="00C12B35"/>
    <w:rsid w:val="00C13DA3"/>
    <w:rsid w:val="00C150BE"/>
    <w:rsid w:val="00C15336"/>
    <w:rsid w:val="00C15A0C"/>
    <w:rsid w:val="00C15B71"/>
    <w:rsid w:val="00C15DCB"/>
    <w:rsid w:val="00C17DDE"/>
    <w:rsid w:val="00C20744"/>
    <w:rsid w:val="00C20B74"/>
    <w:rsid w:val="00C20C4D"/>
    <w:rsid w:val="00C21937"/>
    <w:rsid w:val="00C21D46"/>
    <w:rsid w:val="00C21F94"/>
    <w:rsid w:val="00C222A1"/>
    <w:rsid w:val="00C2250A"/>
    <w:rsid w:val="00C239E5"/>
    <w:rsid w:val="00C23D22"/>
    <w:rsid w:val="00C243B5"/>
    <w:rsid w:val="00C24E77"/>
    <w:rsid w:val="00C25608"/>
    <w:rsid w:val="00C26324"/>
    <w:rsid w:val="00C2696A"/>
    <w:rsid w:val="00C26F4C"/>
    <w:rsid w:val="00C2732D"/>
    <w:rsid w:val="00C273C6"/>
    <w:rsid w:val="00C27913"/>
    <w:rsid w:val="00C300C6"/>
    <w:rsid w:val="00C30530"/>
    <w:rsid w:val="00C3252C"/>
    <w:rsid w:val="00C32552"/>
    <w:rsid w:val="00C336F4"/>
    <w:rsid w:val="00C3432C"/>
    <w:rsid w:val="00C3462A"/>
    <w:rsid w:val="00C34D86"/>
    <w:rsid w:val="00C34FDE"/>
    <w:rsid w:val="00C35C16"/>
    <w:rsid w:val="00C363B2"/>
    <w:rsid w:val="00C373AC"/>
    <w:rsid w:val="00C4053A"/>
    <w:rsid w:val="00C408C3"/>
    <w:rsid w:val="00C41233"/>
    <w:rsid w:val="00C41463"/>
    <w:rsid w:val="00C417ED"/>
    <w:rsid w:val="00C41A72"/>
    <w:rsid w:val="00C42294"/>
    <w:rsid w:val="00C42E09"/>
    <w:rsid w:val="00C4365E"/>
    <w:rsid w:val="00C43DCA"/>
    <w:rsid w:val="00C4537B"/>
    <w:rsid w:val="00C4549D"/>
    <w:rsid w:val="00C45C2B"/>
    <w:rsid w:val="00C476C5"/>
    <w:rsid w:val="00C503B0"/>
    <w:rsid w:val="00C50863"/>
    <w:rsid w:val="00C511C2"/>
    <w:rsid w:val="00C51DA5"/>
    <w:rsid w:val="00C52D50"/>
    <w:rsid w:val="00C53D82"/>
    <w:rsid w:val="00C53F31"/>
    <w:rsid w:val="00C53F36"/>
    <w:rsid w:val="00C540C9"/>
    <w:rsid w:val="00C553F5"/>
    <w:rsid w:val="00C5552E"/>
    <w:rsid w:val="00C559DD"/>
    <w:rsid w:val="00C57FA7"/>
    <w:rsid w:val="00C60696"/>
    <w:rsid w:val="00C615F1"/>
    <w:rsid w:val="00C61627"/>
    <w:rsid w:val="00C626F2"/>
    <w:rsid w:val="00C62A6E"/>
    <w:rsid w:val="00C640C6"/>
    <w:rsid w:val="00C64E60"/>
    <w:rsid w:val="00C657A4"/>
    <w:rsid w:val="00C662C1"/>
    <w:rsid w:val="00C6736C"/>
    <w:rsid w:val="00C67B02"/>
    <w:rsid w:val="00C708C0"/>
    <w:rsid w:val="00C71247"/>
    <w:rsid w:val="00C72266"/>
    <w:rsid w:val="00C72CFC"/>
    <w:rsid w:val="00C7315B"/>
    <w:rsid w:val="00C732D0"/>
    <w:rsid w:val="00C74002"/>
    <w:rsid w:val="00C7548A"/>
    <w:rsid w:val="00C757AE"/>
    <w:rsid w:val="00C75C7E"/>
    <w:rsid w:val="00C7667A"/>
    <w:rsid w:val="00C76D8E"/>
    <w:rsid w:val="00C77833"/>
    <w:rsid w:val="00C80C9B"/>
    <w:rsid w:val="00C81DE5"/>
    <w:rsid w:val="00C82F0A"/>
    <w:rsid w:val="00C83333"/>
    <w:rsid w:val="00C8335E"/>
    <w:rsid w:val="00C839D7"/>
    <w:rsid w:val="00C84605"/>
    <w:rsid w:val="00C84CE3"/>
    <w:rsid w:val="00C84FE8"/>
    <w:rsid w:val="00C85705"/>
    <w:rsid w:val="00C860F2"/>
    <w:rsid w:val="00C86F05"/>
    <w:rsid w:val="00C87626"/>
    <w:rsid w:val="00C87D46"/>
    <w:rsid w:val="00C90CF4"/>
    <w:rsid w:val="00C91C19"/>
    <w:rsid w:val="00C91DC6"/>
    <w:rsid w:val="00C926BE"/>
    <w:rsid w:val="00C929A0"/>
    <w:rsid w:val="00C92F27"/>
    <w:rsid w:val="00C93389"/>
    <w:rsid w:val="00C93679"/>
    <w:rsid w:val="00C937DB"/>
    <w:rsid w:val="00C93823"/>
    <w:rsid w:val="00C93A94"/>
    <w:rsid w:val="00C94519"/>
    <w:rsid w:val="00C94E83"/>
    <w:rsid w:val="00C9531C"/>
    <w:rsid w:val="00C97768"/>
    <w:rsid w:val="00CA0CDD"/>
    <w:rsid w:val="00CA140F"/>
    <w:rsid w:val="00CA14AD"/>
    <w:rsid w:val="00CA37CA"/>
    <w:rsid w:val="00CA3CB2"/>
    <w:rsid w:val="00CA3D39"/>
    <w:rsid w:val="00CA4232"/>
    <w:rsid w:val="00CA48FB"/>
    <w:rsid w:val="00CA6BA1"/>
    <w:rsid w:val="00CA6CD5"/>
    <w:rsid w:val="00CA7734"/>
    <w:rsid w:val="00CB02DF"/>
    <w:rsid w:val="00CB0360"/>
    <w:rsid w:val="00CB0414"/>
    <w:rsid w:val="00CB0C6E"/>
    <w:rsid w:val="00CB154F"/>
    <w:rsid w:val="00CB2150"/>
    <w:rsid w:val="00CB28EE"/>
    <w:rsid w:val="00CB3ACB"/>
    <w:rsid w:val="00CB43A7"/>
    <w:rsid w:val="00CB43BC"/>
    <w:rsid w:val="00CB5996"/>
    <w:rsid w:val="00CB5B25"/>
    <w:rsid w:val="00CB7452"/>
    <w:rsid w:val="00CB7A5E"/>
    <w:rsid w:val="00CB7D09"/>
    <w:rsid w:val="00CC0922"/>
    <w:rsid w:val="00CC2642"/>
    <w:rsid w:val="00CC2E15"/>
    <w:rsid w:val="00CC2EB5"/>
    <w:rsid w:val="00CC30FE"/>
    <w:rsid w:val="00CC3908"/>
    <w:rsid w:val="00CC3C77"/>
    <w:rsid w:val="00CC42E7"/>
    <w:rsid w:val="00CC4DDF"/>
    <w:rsid w:val="00CC52A7"/>
    <w:rsid w:val="00CC5F24"/>
    <w:rsid w:val="00CC62AD"/>
    <w:rsid w:val="00CD00B4"/>
    <w:rsid w:val="00CD1484"/>
    <w:rsid w:val="00CD227A"/>
    <w:rsid w:val="00CD2B3C"/>
    <w:rsid w:val="00CD30F6"/>
    <w:rsid w:val="00CD4AD9"/>
    <w:rsid w:val="00CD4B29"/>
    <w:rsid w:val="00CD5242"/>
    <w:rsid w:val="00CD5912"/>
    <w:rsid w:val="00CD5BB2"/>
    <w:rsid w:val="00CD6EF1"/>
    <w:rsid w:val="00CD6F99"/>
    <w:rsid w:val="00CD6FC4"/>
    <w:rsid w:val="00CD70C9"/>
    <w:rsid w:val="00CE090E"/>
    <w:rsid w:val="00CE11A9"/>
    <w:rsid w:val="00CE21C7"/>
    <w:rsid w:val="00CE57D8"/>
    <w:rsid w:val="00CE617A"/>
    <w:rsid w:val="00CE77AA"/>
    <w:rsid w:val="00CE7AED"/>
    <w:rsid w:val="00CE7E17"/>
    <w:rsid w:val="00CF1152"/>
    <w:rsid w:val="00CF1A0A"/>
    <w:rsid w:val="00CF27AC"/>
    <w:rsid w:val="00CF289F"/>
    <w:rsid w:val="00CF28C2"/>
    <w:rsid w:val="00CF316F"/>
    <w:rsid w:val="00CF3E37"/>
    <w:rsid w:val="00CF42BD"/>
    <w:rsid w:val="00CF50FC"/>
    <w:rsid w:val="00CF51EC"/>
    <w:rsid w:val="00CF6CD7"/>
    <w:rsid w:val="00CF6ECE"/>
    <w:rsid w:val="00D0037A"/>
    <w:rsid w:val="00D0077F"/>
    <w:rsid w:val="00D00DAF"/>
    <w:rsid w:val="00D00F76"/>
    <w:rsid w:val="00D017EC"/>
    <w:rsid w:val="00D01CDA"/>
    <w:rsid w:val="00D02200"/>
    <w:rsid w:val="00D02924"/>
    <w:rsid w:val="00D036AB"/>
    <w:rsid w:val="00D03EC0"/>
    <w:rsid w:val="00D040DD"/>
    <w:rsid w:val="00D04A11"/>
    <w:rsid w:val="00D04E1B"/>
    <w:rsid w:val="00D04E99"/>
    <w:rsid w:val="00D05207"/>
    <w:rsid w:val="00D0533F"/>
    <w:rsid w:val="00D05407"/>
    <w:rsid w:val="00D05AB7"/>
    <w:rsid w:val="00D06281"/>
    <w:rsid w:val="00D06438"/>
    <w:rsid w:val="00D06E68"/>
    <w:rsid w:val="00D06FB4"/>
    <w:rsid w:val="00D0743A"/>
    <w:rsid w:val="00D1067C"/>
    <w:rsid w:val="00D124CF"/>
    <w:rsid w:val="00D128C8"/>
    <w:rsid w:val="00D136D4"/>
    <w:rsid w:val="00D1391B"/>
    <w:rsid w:val="00D13ECF"/>
    <w:rsid w:val="00D14148"/>
    <w:rsid w:val="00D142E5"/>
    <w:rsid w:val="00D1611E"/>
    <w:rsid w:val="00D1638D"/>
    <w:rsid w:val="00D16E69"/>
    <w:rsid w:val="00D17F4F"/>
    <w:rsid w:val="00D2002A"/>
    <w:rsid w:val="00D205A9"/>
    <w:rsid w:val="00D20710"/>
    <w:rsid w:val="00D20DE6"/>
    <w:rsid w:val="00D217EE"/>
    <w:rsid w:val="00D22468"/>
    <w:rsid w:val="00D2282B"/>
    <w:rsid w:val="00D245F0"/>
    <w:rsid w:val="00D24DA0"/>
    <w:rsid w:val="00D25220"/>
    <w:rsid w:val="00D2620E"/>
    <w:rsid w:val="00D26579"/>
    <w:rsid w:val="00D26923"/>
    <w:rsid w:val="00D26B20"/>
    <w:rsid w:val="00D27856"/>
    <w:rsid w:val="00D279D3"/>
    <w:rsid w:val="00D30740"/>
    <w:rsid w:val="00D30788"/>
    <w:rsid w:val="00D309A7"/>
    <w:rsid w:val="00D309E7"/>
    <w:rsid w:val="00D31075"/>
    <w:rsid w:val="00D31311"/>
    <w:rsid w:val="00D31445"/>
    <w:rsid w:val="00D31866"/>
    <w:rsid w:val="00D31932"/>
    <w:rsid w:val="00D32D31"/>
    <w:rsid w:val="00D34225"/>
    <w:rsid w:val="00D35A48"/>
    <w:rsid w:val="00D366D9"/>
    <w:rsid w:val="00D373D9"/>
    <w:rsid w:val="00D377ED"/>
    <w:rsid w:val="00D378CC"/>
    <w:rsid w:val="00D4042C"/>
    <w:rsid w:val="00D4171A"/>
    <w:rsid w:val="00D42312"/>
    <w:rsid w:val="00D429AE"/>
    <w:rsid w:val="00D4327D"/>
    <w:rsid w:val="00D43998"/>
    <w:rsid w:val="00D43C1F"/>
    <w:rsid w:val="00D45046"/>
    <w:rsid w:val="00D45EEE"/>
    <w:rsid w:val="00D4615E"/>
    <w:rsid w:val="00D478E2"/>
    <w:rsid w:val="00D47948"/>
    <w:rsid w:val="00D52401"/>
    <w:rsid w:val="00D5264C"/>
    <w:rsid w:val="00D52EC9"/>
    <w:rsid w:val="00D53362"/>
    <w:rsid w:val="00D547BA"/>
    <w:rsid w:val="00D54BC4"/>
    <w:rsid w:val="00D5561E"/>
    <w:rsid w:val="00D55626"/>
    <w:rsid w:val="00D556BC"/>
    <w:rsid w:val="00D5626D"/>
    <w:rsid w:val="00D56C22"/>
    <w:rsid w:val="00D5718D"/>
    <w:rsid w:val="00D57C38"/>
    <w:rsid w:val="00D57D60"/>
    <w:rsid w:val="00D60277"/>
    <w:rsid w:val="00D6083C"/>
    <w:rsid w:val="00D60E2D"/>
    <w:rsid w:val="00D60F44"/>
    <w:rsid w:val="00D611D3"/>
    <w:rsid w:val="00D62536"/>
    <w:rsid w:val="00D62901"/>
    <w:rsid w:val="00D6470C"/>
    <w:rsid w:val="00D64853"/>
    <w:rsid w:val="00D64B04"/>
    <w:rsid w:val="00D64CB5"/>
    <w:rsid w:val="00D64E9A"/>
    <w:rsid w:val="00D6524A"/>
    <w:rsid w:val="00D65B29"/>
    <w:rsid w:val="00D65C09"/>
    <w:rsid w:val="00D66CBA"/>
    <w:rsid w:val="00D66D48"/>
    <w:rsid w:val="00D70E41"/>
    <w:rsid w:val="00D712E0"/>
    <w:rsid w:val="00D71930"/>
    <w:rsid w:val="00D72379"/>
    <w:rsid w:val="00D73256"/>
    <w:rsid w:val="00D73A30"/>
    <w:rsid w:val="00D74941"/>
    <w:rsid w:val="00D74A6A"/>
    <w:rsid w:val="00D74C65"/>
    <w:rsid w:val="00D74E76"/>
    <w:rsid w:val="00D75DC2"/>
    <w:rsid w:val="00D76F27"/>
    <w:rsid w:val="00D8062F"/>
    <w:rsid w:val="00D82462"/>
    <w:rsid w:val="00D824CE"/>
    <w:rsid w:val="00D8422D"/>
    <w:rsid w:val="00D857AA"/>
    <w:rsid w:val="00D85A88"/>
    <w:rsid w:val="00D85A8C"/>
    <w:rsid w:val="00D868CE"/>
    <w:rsid w:val="00D86B73"/>
    <w:rsid w:val="00D87D8D"/>
    <w:rsid w:val="00D90C1E"/>
    <w:rsid w:val="00D91D7F"/>
    <w:rsid w:val="00D922B8"/>
    <w:rsid w:val="00D93A51"/>
    <w:rsid w:val="00D93F09"/>
    <w:rsid w:val="00D96473"/>
    <w:rsid w:val="00D97BB8"/>
    <w:rsid w:val="00DA0C01"/>
    <w:rsid w:val="00DA24BD"/>
    <w:rsid w:val="00DA2CE4"/>
    <w:rsid w:val="00DA39DC"/>
    <w:rsid w:val="00DA3FF9"/>
    <w:rsid w:val="00DA43AC"/>
    <w:rsid w:val="00DA43C2"/>
    <w:rsid w:val="00DA4AF6"/>
    <w:rsid w:val="00DA560B"/>
    <w:rsid w:val="00DA5CAB"/>
    <w:rsid w:val="00DA6F63"/>
    <w:rsid w:val="00DA7613"/>
    <w:rsid w:val="00DB016E"/>
    <w:rsid w:val="00DB01A2"/>
    <w:rsid w:val="00DB06E9"/>
    <w:rsid w:val="00DB1710"/>
    <w:rsid w:val="00DB31DE"/>
    <w:rsid w:val="00DB378E"/>
    <w:rsid w:val="00DB3CFB"/>
    <w:rsid w:val="00DB3DD4"/>
    <w:rsid w:val="00DB3E9D"/>
    <w:rsid w:val="00DB47B9"/>
    <w:rsid w:val="00DB4FB8"/>
    <w:rsid w:val="00DB4FEB"/>
    <w:rsid w:val="00DB5104"/>
    <w:rsid w:val="00DB53CE"/>
    <w:rsid w:val="00DB549D"/>
    <w:rsid w:val="00DB6361"/>
    <w:rsid w:val="00DB7969"/>
    <w:rsid w:val="00DC00D7"/>
    <w:rsid w:val="00DC0B1C"/>
    <w:rsid w:val="00DC0BB4"/>
    <w:rsid w:val="00DC257F"/>
    <w:rsid w:val="00DC344C"/>
    <w:rsid w:val="00DC3624"/>
    <w:rsid w:val="00DC408A"/>
    <w:rsid w:val="00DC472A"/>
    <w:rsid w:val="00DC4CBF"/>
    <w:rsid w:val="00DC53F9"/>
    <w:rsid w:val="00DC5B3B"/>
    <w:rsid w:val="00DC5B54"/>
    <w:rsid w:val="00DC65FC"/>
    <w:rsid w:val="00DC6796"/>
    <w:rsid w:val="00DC78DF"/>
    <w:rsid w:val="00DC7A73"/>
    <w:rsid w:val="00DD0821"/>
    <w:rsid w:val="00DD0E32"/>
    <w:rsid w:val="00DD1278"/>
    <w:rsid w:val="00DD1A36"/>
    <w:rsid w:val="00DD1BD3"/>
    <w:rsid w:val="00DD2130"/>
    <w:rsid w:val="00DD28A1"/>
    <w:rsid w:val="00DD3532"/>
    <w:rsid w:val="00DD373E"/>
    <w:rsid w:val="00DD57AD"/>
    <w:rsid w:val="00DE009B"/>
    <w:rsid w:val="00DE200E"/>
    <w:rsid w:val="00DE2ED9"/>
    <w:rsid w:val="00DE319A"/>
    <w:rsid w:val="00DE44F1"/>
    <w:rsid w:val="00DE4D6E"/>
    <w:rsid w:val="00DE5CC4"/>
    <w:rsid w:val="00DF053A"/>
    <w:rsid w:val="00DF0DC3"/>
    <w:rsid w:val="00DF0F9D"/>
    <w:rsid w:val="00DF4A7C"/>
    <w:rsid w:val="00DF4F01"/>
    <w:rsid w:val="00DF5343"/>
    <w:rsid w:val="00DF5578"/>
    <w:rsid w:val="00DF6134"/>
    <w:rsid w:val="00DF6619"/>
    <w:rsid w:val="00DF7FEC"/>
    <w:rsid w:val="00E00A57"/>
    <w:rsid w:val="00E01149"/>
    <w:rsid w:val="00E01C0E"/>
    <w:rsid w:val="00E021AF"/>
    <w:rsid w:val="00E026C3"/>
    <w:rsid w:val="00E03B27"/>
    <w:rsid w:val="00E03BFF"/>
    <w:rsid w:val="00E03E80"/>
    <w:rsid w:val="00E04694"/>
    <w:rsid w:val="00E04A40"/>
    <w:rsid w:val="00E05778"/>
    <w:rsid w:val="00E05B2B"/>
    <w:rsid w:val="00E05DDE"/>
    <w:rsid w:val="00E06773"/>
    <w:rsid w:val="00E07309"/>
    <w:rsid w:val="00E07F05"/>
    <w:rsid w:val="00E10497"/>
    <w:rsid w:val="00E12567"/>
    <w:rsid w:val="00E127E1"/>
    <w:rsid w:val="00E13411"/>
    <w:rsid w:val="00E13688"/>
    <w:rsid w:val="00E144D2"/>
    <w:rsid w:val="00E15346"/>
    <w:rsid w:val="00E1629D"/>
    <w:rsid w:val="00E20525"/>
    <w:rsid w:val="00E21367"/>
    <w:rsid w:val="00E215EA"/>
    <w:rsid w:val="00E227EC"/>
    <w:rsid w:val="00E22B14"/>
    <w:rsid w:val="00E22DF1"/>
    <w:rsid w:val="00E23239"/>
    <w:rsid w:val="00E244A4"/>
    <w:rsid w:val="00E24619"/>
    <w:rsid w:val="00E249D7"/>
    <w:rsid w:val="00E25223"/>
    <w:rsid w:val="00E2562A"/>
    <w:rsid w:val="00E2575A"/>
    <w:rsid w:val="00E2612E"/>
    <w:rsid w:val="00E268AC"/>
    <w:rsid w:val="00E27D52"/>
    <w:rsid w:val="00E30BEA"/>
    <w:rsid w:val="00E31764"/>
    <w:rsid w:val="00E31EDE"/>
    <w:rsid w:val="00E337D9"/>
    <w:rsid w:val="00E34E4A"/>
    <w:rsid w:val="00E3501D"/>
    <w:rsid w:val="00E365B3"/>
    <w:rsid w:val="00E37188"/>
    <w:rsid w:val="00E37C45"/>
    <w:rsid w:val="00E40AAA"/>
    <w:rsid w:val="00E40D33"/>
    <w:rsid w:val="00E40FF2"/>
    <w:rsid w:val="00E416D9"/>
    <w:rsid w:val="00E41D90"/>
    <w:rsid w:val="00E41F2B"/>
    <w:rsid w:val="00E430DC"/>
    <w:rsid w:val="00E438CF"/>
    <w:rsid w:val="00E43C41"/>
    <w:rsid w:val="00E43F41"/>
    <w:rsid w:val="00E44EFF"/>
    <w:rsid w:val="00E450CE"/>
    <w:rsid w:val="00E459D3"/>
    <w:rsid w:val="00E45A00"/>
    <w:rsid w:val="00E45CE7"/>
    <w:rsid w:val="00E4631F"/>
    <w:rsid w:val="00E47D22"/>
    <w:rsid w:val="00E50030"/>
    <w:rsid w:val="00E513F8"/>
    <w:rsid w:val="00E522BB"/>
    <w:rsid w:val="00E5293D"/>
    <w:rsid w:val="00E52CE8"/>
    <w:rsid w:val="00E53695"/>
    <w:rsid w:val="00E55BA4"/>
    <w:rsid w:val="00E571F2"/>
    <w:rsid w:val="00E57429"/>
    <w:rsid w:val="00E577FC"/>
    <w:rsid w:val="00E57D11"/>
    <w:rsid w:val="00E6020A"/>
    <w:rsid w:val="00E603A8"/>
    <w:rsid w:val="00E607E4"/>
    <w:rsid w:val="00E60B29"/>
    <w:rsid w:val="00E62585"/>
    <w:rsid w:val="00E62F7C"/>
    <w:rsid w:val="00E635DD"/>
    <w:rsid w:val="00E648B9"/>
    <w:rsid w:val="00E65FE2"/>
    <w:rsid w:val="00E66A76"/>
    <w:rsid w:val="00E6711F"/>
    <w:rsid w:val="00E6715B"/>
    <w:rsid w:val="00E67DD2"/>
    <w:rsid w:val="00E7056D"/>
    <w:rsid w:val="00E70960"/>
    <w:rsid w:val="00E71983"/>
    <w:rsid w:val="00E71A58"/>
    <w:rsid w:val="00E73018"/>
    <w:rsid w:val="00E736F5"/>
    <w:rsid w:val="00E73C92"/>
    <w:rsid w:val="00E744C3"/>
    <w:rsid w:val="00E75E97"/>
    <w:rsid w:val="00E760AD"/>
    <w:rsid w:val="00E767BA"/>
    <w:rsid w:val="00E7724B"/>
    <w:rsid w:val="00E77B8A"/>
    <w:rsid w:val="00E809D6"/>
    <w:rsid w:val="00E80FFE"/>
    <w:rsid w:val="00E8216E"/>
    <w:rsid w:val="00E82428"/>
    <w:rsid w:val="00E836A0"/>
    <w:rsid w:val="00E84F21"/>
    <w:rsid w:val="00E86860"/>
    <w:rsid w:val="00E874D3"/>
    <w:rsid w:val="00E87A29"/>
    <w:rsid w:val="00E900D3"/>
    <w:rsid w:val="00E9077B"/>
    <w:rsid w:val="00E90AD8"/>
    <w:rsid w:val="00E910FB"/>
    <w:rsid w:val="00E912C2"/>
    <w:rsid w:val="00E921C7"/>
    <w:rsid w:val="00E928ED"/>
    <w:rsid w:val="00E92995"/>
    <w:rsid w:val="00E94612"/>
    <w:rsid w:val="00E94870"/>
    <w:rsid w:val="00E94BE9"/>
    <w:rsid w:val="00E94C1F"/>
    <w:rsid w:val="00E94C99"/>
    <w:rsid w:val="00E94D06"/>
    <w:rsid w:val="00E9545D"/>
    <w:rsid w:val="00E95594"/>
    <w:rsid w:val="00E95797"/>
    <w:rsid w:val="00E9682F"/>
    <w:rsid w:val="00E96A8D"/>
    <w:rsid w:val="00E972BA"/>
    <w:rsid w:val="00E97535"/>
    <w:rsid w:val="00EA06CB"/>
    <w:rsid w:val="00EA0C68"/>
    <w:rsid w:val="00EA3EBE"/>
    <w:rsid w:val="00EA3FAC"/>
    <w:rsid w:val="00EA4153"/>
    <w:rsid w:val="00EA4370"/>
    <w:rsid w:val="00EA5CD6"/>
    <w:rsid w:val="00EA6DFB"/>
    <w:rsid w:val="00EA7135"/>
    <w:rsid w:val="00EB02BB"/>
    <w:rsid w:val="00EB0A71"/>
    <w:rsid w:val="00EB0BFB"/>
    <w:rsid w:val="00EB1B8D"/>
    <w:rsid w:val="00EB1C78"/>
    <w:rsid w:val="00EB20A0"/>
    <w:rsid w:val="00EB30B6"/>
    <w:rsid w:val="00EB4EDD"/>
    <w:rsid w:val="00EB4FA4"/>
    <w:rsid w:val="00EB5146"/>
    <w:rsid w:val="00EB5466"/>
    <w:rsid w:val="00EB55E9"/>
    <w:rsid w:val="00EB5641"/>
    <w:rsid w:val="00EB5846"/>
    <w:rsid w:val="00EB5CA9"/>
    <w:rsid w:val="00EB5ED4"/>
    <w:rsid w:val="00EB6406"/>
    <w:rsid w:val="00EB6537"/>
    <w:rsid w:val="00EB6A63"/>
    <w:rsid w:val="00EB6EF5"/>
    <w:rsid w:val="00EB70E1"/>
    <w:rsid w:val="00EB7EB5"/>
    <w:rsid w:val="00EC02CF"/>
    <w:rsid w:val="00EC1F4E"/>
    <w:rsid w:val="00EC454B"/>
    <w:rsid w:val="00EC5F73"/>
    <w:rsid w:val="00EC6153"/>
    <w:rsid w:val="00EC6972"/>
    <w:rsid w:val="00EC7F92"/>
    <w:rsid w:val="00ED0504"/>
    <w:rsid w:val="00ED0A79"/>
    <w:rsid w:val="00ED118D"/>
    <w:rsid w:val="00ED2915"/>
    <w:rsid w:val="00ED2CA5"/>
    <w:rsid w:val="00ED336F"/>
    <w:rsid w:val="00ED54D6"/>
    <w:rsid w:val="00ED5726"/>
    <w:rsid w:val="00ED64C6"/>
    <w:rsid w:val="00ED723D"/>
    <w:rsid w:val="00ED7EC3"/>
    <w:rsid w:val="00EE0384"/>
    <w:rsid w:val="00EE09C3"/>
    <w:rsid w:val="00EE10AA"/>
    <w:rsid w:val="00EE1637"/>
    <w:rsid w:val="00EE3358"/>
    <w:rsid w:val="00EE3E78"/>
    <w:rsid w:val="00EE4318"/>
    <w:rsid w:val="00EE58BF"/>
    <w:rsid w:val="00EE5E02"/>
    <w:rsid w:val="00EE617D"/>
    <w:rsid w:val="00EE61BF"/>
    <w:rsid w:val="00EE6563"/>
    <w:rsid w:val="00EE6748"/>
    <w:rsid w:val="00EE747C"/>
    <w:rsid w:val="00EF0E75"/>
    <w:rsid w:val="00EF10E5"/>
    <w:rsid w:val="00EF17BF"/>
    <w:rsid w:val="00EF1F5A"/>
    <w:rsid w:val="00EF3811"/>
    <w:rsid w:val="00EF385C"/>
    <w:rsid w:val="00EF466D"/>
    <w:rsid w:val="00EF4685"/>
    <w:rsid w:val="00EF48E7"/>
    <w:rsid w:val="00EF4AB0"/>
    <w:rsid w:val="00EF5397"/>
    <w:rsid w:val="00EF5B51"/>
    <w:rsid w:val="00EF623C"/>
    <w:rsid w:val="00EF6654"/>
    <w:rsid w:val="00EF7EB7"/>
    <w:rsid w:val="00F0129D"/>
    <w:rsid w:val="00F02E63"/>
    <w:rsid w:val="00F04811"/>
    <w:rsid w:val="00F0488C"/>
    <w:rsid w:val="00F0496E"/>
    <w:rsid w:val="00F04D10"/>
    <w:rsid w:val="00F05CBA"/>
    <w:rsid w:val="00F061D4"/>
    <w:rsid w:val="00F0625B"/>
    <w:rsid w:val="00F06769"/>
    <w:rsid w:val="00F078CB"/>
    <w:rsid w:val="00F07939"/>
    <w:rsid w:val="00F101FF"/>
    <w:rsid w:val="00F106E2"/>
    <w:rsid w:val="00F10A33"/>
    <w:rsid w:val="00F130A1"/>
    <w:rsid w:val="00F13374"/>
    <w:rsid w:val="00F1520B"/>
    <w:rsid w:val="00F15BEF"/>
    <w:rsid w:val="00F15F3F"/>
    <w:rsid w:val="00F165D7"/>
    <w:rsid w:val="00F16C0C"/>
    <w:rsid w:val="00F172BE"/>
    <w:rsid w:val="00F1776C"/>
    <w:rsid w:val="00F2037E"/>
    <w:rsid w:val="00F20586"/>
    <w:rsid w:val="00F20EF6"/>
    <w:rsid w:val="00F2103E"/>
    <w:rsid w:val="00F214FC"/>
    <w:rsid w:val="00F23FFF"/>
    <w:rsid w:val="00F2441D"/>
    <w:rsid w:val="00F24D2C"/>
    <w:rsid w:val="00F24F20"/>
    <w:rsid w:val="00F24FAA"/>
    <w:rsid w:val="00F25456"/>
    <w:rsid w:val="00F25568"/>
    <w:rsid w:val="00F256F6"/>
    <w:rsid w:val="00F26197"/>
    <w:rsid w:val="00F26426"/>
    <w:rsid w:val="00F26B9E"/>
    <w:rsid w:val="00F26CF5"/>
    <w:rsid w:val="00F3150F"/>
    <w:rsid w:val="00F31F76"/>
    <w:rsid w:val="00F3364D"/>
    <w:rsid w:val="00F34509"/>
    <w:rsid w:val="00F34B6F"/>
    <w:rsid w:val="00F35395"/>
    <w:rsid w:val="00F35ACD"/>
    <w:rsid w:val="00F36BF8"/>
    <w:rsid w:val="00F36F92"/>
    <w:rsid w:val="00F37760"/>
    <w:rsid w:val="00F378D9"/>
    <w:rsid w:val="00F37CC8"/>
    <w:rsid w:val="00F40185"/>
    <w:rsid w:val="00F403D1"/>
    <w:rsid w:val="00F4046E"/>
    <w:rsid w:val="00F40600"/>
    <w:rsid w:val="00F407AD"/>
    <w:rsid w:val="00F41C50"/>
    <w:rsid w:val="00F42AF8"/>
    <w:rsid w:val="00F43921"/>
    <w:rsid w:val="00F44C5D"/>
    <w:rsid w:val="00F4591F"/>
    <w:rsid w:val="00F45CB3"/>
    <w:rsid w:val="00F46E78"/>
    <w:rsid w:val="00F46FD1"/>
    <w:rsid w:val="00F4736B"/>
    <w:rsid w:val="00F47D05"/>
    <w:rsid w:val="00F50030"/>
    <w:rsid w:val="00F506B2"/>
    <w:rsid w:val="00F50854"/>
    <w:rsid w:val="00F51FC9"/>
    <w:rsid w:val="00F52B67"/>
    <w:rsid w:val="00F53631"/>
    <w:rsid w:val="00F5435A"/>
    <w:rsid w:val="00F54B31"/>
    <w:rsid w:val="00F54FD3"/>
    <w:rsid w:val="00F55CC2"/>
    <w:rsid w:val="00F56CF5"/>
    <w:rsid w:val="00F56D14"/>
    <w:rsid w:val="00F61083"/>
    <w:rsid w:val="00F62807"/>
    <w:rsid w:val="00F631EA"/>
    <w:rsid w:val="00F636E3"/>
    <w:rsid w:val="00F63855"/>
    <w:rsid w:val="00F63DDE"/>
    <w:rsid w:val="00F63FB7"/>
    <w:rsid w:val="00F6441A"/>
    <w:rsid w:val="00F64726"/>
    <w:rsid w:val="00F6519F"/>
    <w:rsid w:val="00F6561A"/>
    <w:rsid w:val="00F700C5"/>
    <w:rsid w:val="00F707FB"/>
    <w:rsid w:val="00F71BF5"/>
    <w:rsid w:val="00F727D5"/>
    <w:rsid w:val="00F7293D"/>
    <w:rsid w:val="00F72F44"/>
    <w:rsid w:val="00F739B6"/>
    <w:rsid w:val="00F73A0C"/>
    <w:rsid w:val="00F73C9E"/>
    <w:rsid w:val="00F740ED"/>
    <w:rsid w:val="00F76C87"/>
    <w:rsid w:val="00F771A5"/>
    <w:rsid w:val="00F80280"/>
    <w:rsid w:val="00F80EB9"/>
    <w:rsid w:val="00F81C3A"/>
    <w:rsid w:val="00F822CE"/>
    <w:rsid w:val="00F82F33"/>
    <w:rsid w:val="00F835FC"/>
    <w:rsid w:val="00F83E21"/>
    <w:rsid w:val="00F844AF"/>
    <w:rsid w:val="00F84E18"/>
    <w:rsid w:val="00F852E5"/>
    <w:rsid w:val="00F86C84"/>
    <w:rsid w:val="00F86CBF"/>
    <w:rsid w:val="00F90487"/>
    <w:rsid w:val="00F90D12"/>
    <w:rsid w:val="00F90FA0"/>
    <w:rsid w:val="00F9250A"/>
    <w:rsid w:val="00F92B4F"/>
    <w:rsid w:val="00F94123"/>
    <w:rsid w:val="00F95117"/>
    <w:rsid w:val="00F9668E"/>
    <w:rsid w:val="00FA05D7"/>
    <w:rsid w:val="00FA1C6C"/>
    <w:rsid w:val="00FA1C73"/>
    <w:rsid w:val="00FA3023"/>
    <w:rsid w:val="00FA309A"/>
    <w:rsid w:val="00FA51AB"/>
    <w:rsid w:val="00FA5557"/>
    <w:rsid w:val="00FA57FD"/>
    <w:rsid w:val="00FA5D63"/>
    <w:rsid w:val="00FA5FB4"/>
    <w:rsid w:val="00FA634D"/>
    <w:rsid w:val="00FA7644"/>
    <w:rsid w:val="00FA7871"/>
    <w:rsid w:val="00FB1324"/>
    <w:rsid w:val="00FB242B"/>
    <w:rsid w:val="00FB262B"/>
    <w:rsid w:val="00FB280C"/>
    <w:rsid w:val="00FB3C00"/>
    <w:rsid w:val="00FB3D7D"/>
    <w:rsid w:val="00FB48BD"/>
    <w:rsid w:val="00FB56F1"/>
    <w:rsid w:val="00FB5FD4"/>
    <w:rsid w:val="00FB67DD"/>
    <w:rsid w:val="00FB67F3"/>
    <w:rsid w:val="00FB6D5D"/>
    <w:rsid w:val="00FB7929"/>
    <w:rsid w:val="00FC09F4"/>
    <w:rsid w:val="00FC0AF4"/>
    <w:rsid w:val="00FC0D8A"/>
    <w:rsid w:val="00FC0E5F"/>
    <w:rsid w:val="00FC26DB"/>
    <w:rsid w:val="00FC3316"/>
    <w:rsid w:val="00FC35B9"/>
    <w:rsid w:val="00FC4660"/>
    <w:rsid w:val="00FC5454"/>
    <w:rsid w:val="00FC56DE"/>
    <w:rsid w:val="00FD04D7"/>
    <w:rsid w:val="00FD1627"/>
    <w:rsid w:val="00FD1FB0"/>
    <w:rsid w:val="00FD271B"/>
    <w:rsid w:val="00FD38B4"/>
    <w:rsid w:val="00FD473D"/>
    <w:rsid w:val="00FD49EB"/>
    <w:rsid w:val="00FD4B88"/>
    <w:rsid w:val="00FD4BAA"/>
    <w:rsid w:val="00FD57DE"/>
    <w:rsid w:val="00FD61C8"/>
    <w:rsid w:val="00FD63CE"/>
    <w:rsid w:val="00FD7D49"/>
    <w:rsid w:val="00FE0BA6"/>
    <w:rsid w:val="00FE11B6"/>
    <w:rsid w:val="00FE1251"/>
    <w:rsid w:val="00FE2A4F"/>
    <w:rsid w:val="00FE2F78"/>
    <w:rsid w:val="00FE375F"/>
    <w:rsid w:val="00FE44B3"/>
    <w:rsid w:val="00FE4FCB"/>
    <w:rsid w:val="00FE5A8A"/>
    <w:rsid w:val="00FE694F"/>
    <w:rsid w:val="00FF0B85"/>
    <w:rsid w:val="00FF1044"/>
    <w:rsid w:val="00FF21B9"/>
    <w:rsid w:val="00FF28E0"/>
    <w:rsid w:val="00FF2FB4"/>
    <w:rsid w:val="00FF30B3"/>
    <w:rsid w:val="00FF34FE"/>
    <w:rsid w:val="00FF35E3"/>
    <w:rsid w:val="00FF3DF3"/>
    <w:rsid w:val="00FF4027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9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uiPriority w:val="99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46039A"/>
    <w:pPr>
      <w:ind w:left="708"/>
    </w:pPr>
  </w:style>
  <w:style w:type="table" w:styleId="Mkatabulky">
    <w:name w:val="Table Grid"/>
    <w:basedOn w:val="Normlntabulka"/>
    <w:uiPriority w:val="9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locked/>
    <w:rsid w:val="00B31336"/>
    <w:rPr>
      <w:rFonts w:cs="Times New Roman"/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8103D8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03D8"/>
  </w:style>
  <w:style w:type="character" w:styleId="Odkaznavysvtlivky">
    <w:name w:val="endnote reference"/>
    <w:basedOn w:val="Standardnpsmoodstavce"/>
    <w:uiPriority w:val="99"/>
    <w:semiHidden/>
    <w:unhideWhenUsed/>
    <w:locked/>
    <w:rsid w:val="00810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3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2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5013-12-n_2012-14" TargetMode="External"/><Relationship Id="rId1" Type="http://schemas.openxmlformats.org/officeDocument/2006/relationships/hyperlink" Target="http://cepin.cz/docs/dokumenty/Transformace_holma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A54EB-627D-45B7-8EDE-48049CED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2</TotalTime>
  <Pages>12</Pages>
  <Words>5796</Words>
  <Characters>34198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</cp:revision>
  <cp:lastPrinted>2016-01-15T07:22:00Z</cp:lastPrinted>
  <dcterms:created xsi:type="dcterms:W3CDTF">2016-01-25T12:57:00Z</dcterms:created>
  <dcterms:modified xsi:type="dcterms:W3CDTF">2016-01-25T12:57:00Z</dcterms:modified>
</cp:coreProperties>
</file>