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D8A0A" w14:textId="77777777" w:rsidR="00481288" w:rsidRDefault="00481288" w:rsidP="008A4F26">
      <w:pPr>
        <w:pStyle w:val="Nzev"/>
        <w:jc w:val="left"/>
      </w:pPr>
      <w:bookmarkStart w:id="0" w:name="_GoBack"/>
      <w:bookmarkEnd w:id="0"/>
    </w:p>
    <w:p w14:paraId="47A2F6CA" w14:textId="44067970" w:rsidR="008A67C3" w:rsidRDefault="00BE48E7" w:rsidP="008A4F26">
      <w:pPr>
        <w:pStyle w:val="Nzev"/>
        <w:jc w:val="left"/>
      </w:pPr>
      <w:r>
        <w:t>Předmluva</w:t>
      </w:r>
    </w:p>
    <w:p w14:paraId="7A3B163F" w14:textId="77777777" w:rsidR="003819C5" w:rsidRDefault="003819C5">
      <w:pPr>
        <w:spacing w:line="240" w:lineRule="exact"/>
        <w:ind w:right="-110"/>
        <w:jc w:val="both"/>
        <w:rPr>
          <w:rFonts w:ascii="Arial" w:hAnsi="Arial" w:cs="Arial"/>
          <w:sz w:val="20"/>
        </w:rPr>
      </w:pPr>
    </w:p>
    <w:p w14:paraId="47D158D6" w14:textId="77777777" w:rsidR="008A67C3" w:rsidRDefault="008A67C3">
      <w:pPr>
        <w:spacing w:line="240" w:lineRule="exact"/>
        <w:ind w:right="-110"/>
        <w:jc w:val="both"/>
        <w:rPr>
          <w:rFonts w:ascii="Arial" w:hAnsi="Arial" w:cs="Arial"/>
          <w:sz w:val="20"/>
        </w:rPr>
      </w:pPr>
    </w:p>
    <w:p w14:paraId="3E1DA992" w14:textId="2E2F6881" w:rsidR="00C63803" w:rsidRPr="00055C75" w:rsidRDefault="00BE48E7" w:rsidP="00C63803">
      <w:pPr>
        <w:spacing w:line="240" w:lineRule="exac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Na základě statistických hlášení o narození a úmrtí a </w:t>
      </w:r>
      <w:r w:rsidR="00F54FD2">
        <w:rPr>
          <w:rFonts w:ascii="Arial" w:hAnsi="Arial" w:cs="Arial"/>
          <w:sz w:val="20"/>
        </w:rPr>
        <w:t xml:space="preserve">administrativních dat o </w:t>
      </w:r>
      <w:r>
        <w:rPr>
          <w:rFonts w:ascii="Arial" w:hAnsi="Arial" w:cs="Arial"/>
          <w:sz w:val="20"/>
        </w:rPr>
        <w:t xml:space="preserve">stěhování zpracovává Český statistický úřad v návaznosti na výsledky posledního sčítání lidu každoroční bilanci počtu obyvatel České republiky </w:t>
      </w:r>
      <w:r w:rsidR="00C520E3">
        <w:rPr>
          <w:rFonts w:ascii="Arial" w:hAnsi="Arial" w:cs="Arial"/>
          <w:sz w:val="20"/>
        </w:rPr>
        <w:t xml:space="preserve">za všechny obce. </w:t>
      </w:r>
      <w:r w:rsidR="00C63803" w:rsidRPr="00055C75">
        <w:rPr>
          <w:rFonts w:ascii="Arial" w:hAnsi="Arial" w:cs="Arial"/>
          <w:b/>
          <w:sz w:val="20"/>
        </w:rPr>
        <w:t>Upozorňujeme, že uvedené stavy jsou přepočtené na výsledky SLDB 2021.</w:t>
      </w:r>
    </w:p>
    <w:p w14:paraId="66EADB6B" w14:textId="77777777" w:rsidR="00C63803" w:rsidRDefault="00C63803" w:rsidP="008A4F26">
      <w:pPr>
        <w:spacing w:line="240" w:lineRule="exact"/>
        <w:rPr>
          <w:rFonts w:ascii="Arial" w:hAnsi="Arial" w:cs="Arial"/>
          <w:sz w:val="20"/>
        </w:rPr>
      </w:pPr>
    </w:p>
    <w:p w14:paraId="4549DD96" w14:textId="17C7CC07" w:rsidR="00C520E3" w:rsidRDefault="00AD5B73" w:rsidP="008A4F26">
      <w:pPr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roce</w:t>
      </w:r>
      <w:r w:rsidR="00C520E3">
        <w:rPr>
          <w:rFonts w:ascii="Arial" w:hAnsi="Arial" w:cs="Arial"/>
          <w:sz w:val="20"/>
        </w:rPr>
        <w:t xml:space="preserve"> 20</w:t>
      </w:r>
      <w:r w:rsidR="002629E1">
        <w:rPr>
          <w:rFonts w:ascii="Arial" w:hAnsi="Arial" w:cs="Arial"/>
          <w:sz w:val="20"/>
        </w:rPr>
        <w:t>20</w:t>
      </w:r>
      <w:r w:rsidR="00C520E3">
        <w:rPr>
          <w:rFonts w:ascii="Arial" w:hAnsi="Arial" w:cs="Arial"/>
          <w:sz w:val="20"/>
        </w:rPr>
        <w:t xml:space="preserve"> došlo k </w:t>
      </w:r>
      <w:r w:rsidR="000F532A">
        <w:rPr>
          <w:rFonts w:ascii="Arial" w:hAnsi="Arial" w:cs="Arial"/>
          <w:sz w:val="20"/>
        </w:rPr>
        <w:t>těmto</w:t>
      </w:r>
      <w:r w:rsidR="00C520E3">
        <w:rPr>
          <w:rFonts w:ascii="Arial" w:hAnsi="Arial" w:cs="Arial"/>
          <w:sz w:val="20"/>
        </w:rPr>
        <w:t xml:space="preserve"> </w:t>
      </w:r>
      <w:r w:rsidR="00A134D3">
        <w:rPr>
          <w:rFonts w:ascii="Arial" w:hAnsi="Arial" w:cs="Arial"/>
          <w:sz w:val="20"/>
        </w:rPr>
        <w:t xml:space="preserve">územním </w:t>
      </w:r>
      <w:r w:rsidR="000F532A">
        <w:rPr>
          <w:rFonts w:ascii="Arial" w:hAnsi="Arial" w:cs="Arial"/>
          <w:sz w:val="20"/>
        </w:rPr>
        <w:t>změnám:</w:t>
      </w:r>
    </w:p>
    <w:p w14:paraId="0907269D" w14:textId="77777777" w:rsidR="000F532A" w:rsidRDefault="000F532A" w:rsidP="008A4F26">
      <w:pPr>
        <w:spacing w:line="240" w:lineRule="exact"/>
        <w:rPr>
          <w:rFonts w:ascii="Arial" w:hAnsi="Arial" w:cs="Arial"/>
          <w:sz w:val="20"/>
        </w:rPr>
      </w:pPr>
    </w:p>
    <w:p w14:paraId="72610549" w14:textId="77777777" w:rsidR="000F532A" w:rsidRPr="00C87E9D" w:rsidRDefault="000F532A" w:rsidP="002629E1">
      <w:pPr>
        <w:jc w:val="center"/>
        <w:rPr>
          <w:rFonts w:ascii="Arial" w:hAnsi="Arial" w:cs="Arial"/>
          <w:sz w:val="20"/>
          <w:szCs w:val="20"/>
        </w:rPr>
      </w:pPr>
      <w:r w:rsidRPr="00C87E9D">
        <w:rPr>
          <w:rFonts w:ascii="Arial" w:hAnsi="Arial" w:cs="Arial"/>
          <w:sz w:val="20"/>
          <w:szCs w:val="20"/>
        </w:rPr>
        <w:t>přesun obc</w:t>
      </w:r>
      <w:r w:rsidR="002629E1">
        <w:rPr>
          <w:rFonts w:ascii="Arial" w:hAnsi="Arial" w:cs="Arial"/>
          <w:sz w:val="20"/>
          <w:szCs w:val="20"/>
        </w:rPr>
        <w:t>í mezi okresy</w:t>
      </w:r>
      <w:r w:rsidRPr="00C87E9D">
        <w:rPr>
          <w:rFonts w:ascii="Arial" w:hAnsi="Arial" w:cs="Arial"/>
          <w:sz w:val="20"/>
          <w:szCs w:val="20"/>
        </w:rPr>
        <w:t xml:space="preserve"> k 1.</w:t>
      </w:r>
      <w:r w:rsidR="002629E1">
        <w:rPr>
          <w:rFonts w:ascii="Arial" w:hAnsi="Arial" w:cs="Arial"/>
          <w:sz w:val="20"/>
          <w:szCs w:val="20"/>
        </w:rPr>
        <w:t xml:space="preserve"> </w:t>
      </w:r>
      <w:r w:rsidRPr="00C87E9D">
        <w:rPr>
          <w:rFonts w:ascii="Arial" w:hAnsi="Arial" w:cs="Arial"/>
          <w:sz w:val="20"/>
          <w:szCs w:val="20"/>
        </w:rPr>
        <w:t>1.</w:t>
      </w:r>
      <w:r w:rsidR="002629E1">
        <w:rPr>
          <w:rFonts w:ascii="Arial" w:hAnsi="Arial" w:cs="Arial"/>
          <w:sz w:val="20"/>
          <w:szCs w:val="20"/>
        </w:rPr>
        <w:t xml:space="preserve"> </w:t>
      </w:r>
      <w:r w:rsidRPr="00C87E9D">
        <w:rPr>
          <w:rFonts w:ascii="Arial" w:hAnsi="Arial" w:cs="Arial"/>
          <w:sz w:val="20"/>
          <w:szCs w:val="20"/>
        </w:rPr>
        <w:t>20</w:t>
      </w:r>
      <w:r w:rsidR="002629E1">
        <w:rPr>
          <w:rFonts w:ascii="Arial" w:hAnsi="Arial" w:cs="Arial"/>
          <w:sz w:val="20"/>
          <w:szCs w:val="20"/>
        </w:rPr>
        <w:t>21</w:t>
      </w:r>
      <w:r w:rsidRPr="00C87E9D">
        <w:rPr>
          <w:rFonts w:ascii="Arial" w:hAnsi="Arial" w:cs="Arial"/>
          <w:sz w:val="20"/>
          <w:szCs w:val="20"/>
        </w:rPr>
        <w:t>:</w:t>
      </w:r>
    </w:p>
    <w:p w14:paraId="0F14C0D3" w14:textId="77777777" w:rsidR="000F532A" w:rsidRPr="00C87E9D" w:rsidRDefault="000F532A" w:rsidP="000F532A">
      <w:pPr>
        <w:jc w:val="both"/>
        <w:rPr>
          <w:rFonts w:ascii="Arial" w:hAnsi="Arial" w:cs="Arial"/>
          <w:sz w:val="20"/>
          <w:szCs w:val="20"/>
        </w:rPr>
      </w:pPr>
    </w:p>
    <w:p w14:paraId="2A362982" w14:textId="77777777" w:rsidR="000F532A" w:rsidRDefault="002629E1" w:rsidP="000F532A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Černíky,</w:t>
      </w:r>
      <w:r w:rsidR="000F532A" w:rsidRPr="00BF7A7C">
        <w:rPr>
          <w:rFonts w:ascii="Arial" w:hAnsi="Arial" w:cs="Arial"/>
          <w:sz w:val="20"/>
          <w:szCs w:val="20"/>
        </w:rPr>
        <w:t xml:space="preserve"> přesunut</w:t>
      </w:r>
      <w:r w:rsidR="00745B84">
        <w:rPr>
          <w:rFonts w:ascii="Arial" w:hAnsi="Arial" w:cs="Arial"/>
          <w:sz w:val="20"/>
          <w:szCs w:val="20"/>
        </w:rPr>
        <w:t>á</w:t>
      </w:r>
      <w:r w:rsidR="000F532A" w:rsidRPr="00BF7A7C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> </w:t>
      </w:r>
      <w:r w:rsidR="000F532A" w:rsidRPr="00BF7A7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kresu Nymburk do okresu Kolín</w:t>
      </w:r>
    </w:p>
    <w:p w14:paraId="7AE3254F" w14:textId="77777777" w:rsidR="002629E1" w:rsidRDefault="002629E1" w:rsidP="000F532A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Bukovec, přesunutá z okresu Domažlice do okresu Plzeň-jih</w:t>
      </w:r>
    </w:p>
    <w:p w14:paraId="771B33AB" w14:textId="77777777" w:rsidR="002629E1" w:rsidRDefault="002629E1" w:rsidP="000F532A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Čečovice, přesunutá z okresu Domažlice do okresu Plzeň-jih</w:t>
      </w:r>
    </w:p>
    <w:p w14:paraId="699A1D95" w14:textId="77777777" w:rsidR="002629E1" w:rsidRDefault="002629E1" w:rsidP="000F532A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Černovice, přesunutá z okresu Domažlice do okresu Plzeň-jih</w:t>
      </w:r>
    </w:p>
    <w:p w14:paraId="586DBDB6" w14:textId="77777777" w:rsidR="002629E1" w:rsidRDefault="002629E1" w:rsidP="000F532A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Holýšov, přesunutá z okresu Domažlice do okresu Plzeň-jih</w:t>
      </w:r>
    </w:p>
    <w:p w14:paraId="0513CE21" w14:textId="77777777" w:rsidR="002629E1" w:rsidRDefault="002629E1" w:rsidP="000F532A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Horní Kamenice, přesunutá z okresu Domažlice do okresu Plzeň-jih</w:t>
      </w:r>
    </w:p>
    <w:p w14:paraId="63D787C0" w14:textId="77777777" w:rsidR="002629E1" w:rsidRDefault="002629E1" w:rsidP="000F532A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Kvíčovice, přesunutá z okresu Domažlice do okresu Plzeň-jih</w:t>
      </w:r>
    </w:p>
    <w:p w14:paraId="5E7FC0B1" w14:textId="77777777" w:rsidR="002629E1" w:rsidRDefault="002629E1" w:rsidP="000F532A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Neuměř, přesunutá z okresu Domažlice do okresu Plzeň-jih</w:t>
      </w:r>
    </w:p>
    <w:p w14:paraId="66102E60" w14:textId="77777777" w:rsidR="002629E1" w:rsidRDefault="002629E1" w:rsidP="000F532A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Štichov, přesunutá z okresu Domažlice do okresu Plzeň-jih</w:t>
      </w:r>
    </w:p>
    <w:p w14:paraId="15CFFE2E" w14:textId="77777777" w:rsidR="002629E1" w:rsidRDefault="002629E1" w:rsidP="000F532A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Všekary, přesunutá z okresu Domažlice do okresu Plzeň-jih</w:t>
      </w:r>
    </w:p>
    <w:p w14:paraId="6756F45D" w14:textId="77777777" w:rsidR="002629E1" w:rsidRDefault="002629E1" w:rsidP="000F532A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Harrachov, přesunutá z okresu </w:t>
      </w:r>
      <w:r w:rsidR="00181D60">
        <w:rPr>
          <w:rFonts w:ascii="Arial" w:hAnsi="Arial" w:cs="Arial"/>
          <w:sz w:val="20"/>
          <w:szCs w:val="20"/>
        </w:rPr>
        <w:t>Semily</w:t>
      </w:r>
      <w:r>
        <w:rPr>
          <w:rFonts w:ascii="Arial" w:hAnsi="Arial" w:cs="Arial"/>
          <w:sz w:val="20"/>
          <w:szCs w:val="20"/>
        </w:rPr>
        <w:t xml:space="preserve"> do okresu Jablonec nad Nisou</w:t>
      </w:r>
    </w:p>
    <w:p w14:paraId="0DE982D5" w14:textId="77777777" w:rsidR="002629E1" w:rsidRDefault="002629E1" w:rsidP="000F532A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Študlov, přesunutá z okresu Vsetín do okresu Zlín</w:t>
      </w:r>
    </w:p>
    <w:p w14:paraId="524CE032" w14:textId="77777777" w:rsidR="002629E1" w:rsidRDefault="002629E1" w:rsidP="000F532A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Valašské Příkazy, přesunutá z okresu Vsetín do okresu Zlín</w:t>
      </w:r>
    </w:p>
    <w:p w14:paraId="6A41CE8E" w14:textId="77777777" w:rsidR="000F532A" w:rsidRPr="00BF7A7C" w:rsidRDefault="000F532A" w:rsidP="000F532A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99E091B" w14:textId="7AF5BC8C" w:rsidR="000F532A" w:rsidRDefault="0015556B" w:rsidP="008A4F26">
      <w:pPr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roce 2021 nedošlo k žádným územním změnám</w:t>
      </w:r>
      <w:r w:rsidR="00481288">
        <w:rPr>
          <w:rFonts w:ascii="Arial" w:hAnsi="Arial" w:cs="Arial"/>
          <w:sz w:val="20"/>
        </w:rPr>
        <w:t>.</w:t>
      </w:r>
    </w:p>
    <w:p w14:paraId="3ED043C0" w14:textId="77777777" w:rsidR="003819C5" w:rsidRDefault="003819C5" w:rsidP="008A4F26">
      <w:pPr>
        <w:spacing w:line="240" w:lineRule="exact"/>
        <w:rPr>
          <w:rFonts w:ascii="Arial" w:hAnsi="Arial" w:cs="Arial"/>
          <w:sz w:val="20"/>
        </w:rPr>
      </w:pPr>
    </w:p>
    <w:p w14:paraId="56C3E8CD" w14:textId="77777777" w:rsidR="008A67C3" w:rsidRPr="00BF7A7C" w:rsidRDefault="00A134D3" w:rsidP="008A4F26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8C4F83" w:rsidRPr="00BF7A7C">
        <w:rPr>
          <w:rFonts w:ascii="Arial" w:hAnsi="Arial" w:cs="Arial"/>
          <w:sz w:val="20"/>
        </w:rPr>
        <w:t> publikaci jsou uvedeny i všechny čtyři vojenské újezdy s nulovým počtem obyvatel.</w:t>
      </w:r>
    </w:p>
    <w:p w14:paraId="34C6E853" w14:textId="77777777" w:rsidR="002040EB" w:rsidRPr="00BF7A7C" w:rsidRDefault="002040EB">
      <w:pPr>
        <w:spacing w:line="240" w:lineRule="exact"/>
        <w:jc w:val="both"/>
        <w:rPr>
          <w:rFonts w:ascii="Arial" w:hAnsi="Arial" w:cs="Arial"/>
          <w:sz w:val="20"/>
        </w:rPr>
      </w:pPr>
    </w:p>
    <w:p w14:paraId="4DCB888D" w14:textId="55F355D3" w:rsidR="008A67C3" w:rsidRDefault="00BE48E7" w:rsidP="008A4F26">
      <w:pPr>
        <w:pStyle w:val="Zkladntextodsazen2"/>
        <w:spacing w:line="240" w:lineRule="exact"/>
        <w:ind w:firstLine="0"/>
        <w:jc w:val="left"/>
        <w:rPr>
          <w:sz w:val="20"/>
        </w:rPr>
      </w:pPr>
      <w:r w:rsidRPr="00BF7A7C">
        <w:rPr>
          <w:sz w:val="20"/>
        </w:rPr>
        <w:t>Považujeme za nutné upozornit na možné, objektivně nutné odchylky uvedených počtů</w:t>
      </w:r>
      <w:r>
        <w:rPr>
          <w:sz w:val="20"/>
        </w:rPr>
        <w:t xml:space="preserve"> obyvatel </w:t>
      </w:r>
      <w:r w:rsidR="00481288">
        <w:rPr>
          <w:sz w:val="20"/>
        </w:rPr>
        <w:t>z </w:t>
      </w:r>
      <w:r w:rsidR="00F54FD2" w:rsidRPr="00F54FD2">
        <w:rPr>
          <w:sz w:val="20"/>
        </w:rPr>
        <w:t xml:space="preserve">registru obyvatel </w:t>
      </w:r>
      <w:r w:rsidR="007969F6">
        <w:rPr>
          <w:sz w:val="20"/>
        </w:rPr>
        <w:t>(</w:t>
      </w:r>
      <w:r w:rsidR="00F54FD2" w:rsidRPr="00F54FD2">
        <w:rPr>
          <w:sz w:val="20"/>
        </w:rPr>
        <w:t>a z</w:t>
      </w:r>
      <w:r w:rsidR="007969F6">
        <w:rPr>
          <w:sz w:val="20"/>
        </w:rPr>
        <w:t xml:space="preserve"> jeho </w:t>
      </w:r>
      <w:r w:rsidR="00F54FD2" w:rsidRPr="00F54FD2">
        <w:rPr>
          <w:sz w:val="20"/>
        </w:rPr>
        <w:t>agendov</w:t>
      </w:r>
      <w:r w:rsidR="007969F6">
        <w:rPr>
          <w:sz w:val="20"/>
        </w:rPr>
        <w:t>ých</w:t>
      </w:r>
      <w:r w:rsidR="00F54FD2" w:rsidRPr="00F54FD2">
        <w:rPr>
          <w:sz w:val="20"/>
        </w:rPr>
        <w:t xml:space="preserve"> informační</w:t>
      </w:r>
      <w:r w:rsidR="007969F6">
        <w:rPr>
          <w:sz w:val="20"/>
        </w:rPr>
        <w:t>ch</w:t>
      </w:r>
      <w:r w:rsidR="00F54FD2" w:rsidRPr="00F54FD2">
        <w:rPr>
          <w:sz w:val="20"/>
        </w:rPr>
        <w:t xml:space="preserve"> systém</w:t>
      </w:r>
      <w:r w:rsidR="007969F6">
        <w:rPr>
          <w:sz w:val="20"/>
        </w:rPr>
        <w:t>ů</w:t>
      </w:r>
      <w:r w:rsidR="00F54FD2" w:rsidRPr="00F54FD2">
        <w:rPr>
          <w:sz w:val="20"/>
        </w:rPr>
        <w:t xml:space="preserve"> evidence obyvatel</w:t>
      </w:r>
      <w:r w:rsidR="007969F6">
        <w:rPr>
          <w:sz w:val="20"/>
        </w:rPr>
        <w:t xml:space="preserve"> a informačního systému cizinců)</w:t>
      </w:r>
      <w:r>
        <w:rPr>
          <w:sz w:val="20"/>
        </w:rPr>
        <w:t>. ČSÚ nemá evidenci obyvatel a zpracování bilance je založené na jiných dokladech než evidence obyvatel, vedená podle zákona č.</w:t>
      </w:r>
      <w:r w:rsidR="007C25BD">
        <w:rPr>
          <w:sz w:val="20"/>
        </w:rPr>
        <w:t> </w:t>
      </w:r>
      <w:r>
        <w:rPr>
          <w:sz w:val="20"/>
        </w:rPr>
        <w:t>133/2000 Sb., o evidenci obyvatel a rodných číslech, v platném znění.</w:t>
      </w:r>
    </w:p>
    <w:p w14:paraId="14425F3E" w14:textId="77777777" w:rsidR="008A67C3" w:rsidRDefault="008A67C3" w:rsidP="007969F6">
      <w:pPr>
        <w:pStyle w:val="Zkladntextodsazen2"/>
        <w:spacing w:line="240" w:lineRule="exact"/>
        <w:ind w:firstLine="0"/>
        <w:jc w:val="left"/>
        <w:rPr>
          <w:sz w:val="20"/>
        </w:rPr>
      </w:pPr>
    </w:p>
    <w:p w14:paraId="514C9514" w14:textId="77777777" w:rsidR="008A67C3" w:rsidRDefault="00BE48E7" w:rsidP="008A4F26">
      <w:pPr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2"/>
        </w:rPr>
        <w:t xml:space="preserve">Veškeré údaje se týkají </w:t>
      </w:r>
      <w:r w:rsidR="00713C03">
        <w:rPr>
          <w:rFonts w:ascii="Arial" w:hAnsi="Arial" w:cs="Arial"/>
          <w:sz w:val="20"/>
          <w:szCs w:val="22"/>
        </w:rPr>
        <w:t>občanů České republiky a cizinců s</w:t>
      </w:r>
      <w:r w:rsidR="00713C03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trval</w:t>
      </w:r>
      <w:r w:rsidR="00713C03">
        <w:rPr>
          <w:rFonts w:ascii="Arial" w:hAnsi="Arial" w:cs="Arial"/>
          <w:sz w:val="20"/>
        </w:rPr>
        <w:t xml:space="preserve">ým pobytem v České republice, občanů </w:t>
      </w:r>
      <w:r w:rsidR="00713C03" w:rsidRPr="00713C03">
        <w:rPr>
          <w:rFonts w:ascii="Arial" w:hAnsi="Arial" w:cs="Arial"/>
          <w:sz w:val="20"/>
        </w:rPr>
        <w:t>třetích zemí s přechodným pobytem na území České republiky na základě dlouhodobého víza (nad 90 dnů) nebo povolení k dlouhodobému pobytu, občanů zemí EU, Norska, Švýcarska, Islandu, Lichtenštejnska a jejich rodinných příslušníků s hlášeným přechodným pobytem na území České republiky a cizinců s platným azylem v České republice.</w:t>
      </w:r>
    </w:p>
    <w:p w14:paraId="02000C04" w14:textId="77777777" w:rsidR="008A67C3" w:rsidRDefault="008A67C3">
      <w:pPr>
        <w:spacing w:line="240" w:lineRule="exact"/>
        <w:jc w:val="both"/>
        <w:rPr>
          <w:rFonts w:ascii="Arial" w:hAnsi="Arial" w:cs="Arial"/>
          <w:sz w:val="20"/>
        </w:rPr>
      </w:pPr>
    </w:p>
    <w:p w14:paraId="7857B6F1" w14:textId="77777777" w:rsidR="005D5DD2" w:rsidRDefault="005D5DD2">
      <w:pPr>
        <w:spacing w:line="240" w:lineRule="exact"/>
        <w:jc w:val="both"/>
        <w:rPr>
          <w:rFonts w:ascii="Arial" w:hAnsi="Arial" w:cs="Arial"/>
          <w:sz w:val="20"/>
        </w:rPr>
      </w:pPr>
    </w:p>
    <w:p w14:paraId="58122D97" w14:textId="77777777" w:rsidR="003819C5" w:rsidRDefault="003819C5">
      <w:pPr>
        <w:spacing w:line="240" w:lineRule="exact"/>
        <w:jc w:val="both"/>
        <w:rPr>
          <w:rFonts w:ascii="Arial" w:hAnsi="Arial" w:cs="Arial"/>
          <w:sz w:val="20"/>
        </w:rPr>
      </w:pPr>
    </w:p>
    <w:p w14:paraId="4C6BE561" w14:textId="77777777" w:rsidR="0075357A" w:rsidRDefault="0075357A">
      <w:pPr>
        <w:spacing w:line="240" w:lineRule="exact"/>
        <w:jc w:val="both"/>
        <w:rPr>
          <w:rFonts w:ascii="Arial" w:hAnsi="Arial" w:cs="Arial"/>
          <w:sz w:val="20"/>
        </w:rPr>
      </w:pPr>
    </w:p>
    <w:p w14:paraId="624B86D0" w14:textId="77777777" w:rsidR="008A67C3" w:rsidRDefault="008A67C3">
      <w:pPr>
        <w:spacing w:line="240" w:lineRule="exact"/>
        <w:jc w:val="both"/>
        <w:rPr>
          <w:rFonts w:ascii="Arial" w:hAnsi="Arial" w:cs="Arial"/>
          <w:sz w:val="20"/>
        </w:rPr>
      </w:pPr>
    </w:p>
    <w:p w14:paraId="067FCBD5" w14:textId="77777777" w:rsidR="008A67C3" w:rsidRDefault="00BE48E7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Praze dne </w:t>
      </w:r>
      <w:r w:rsidR="00F3654E">
        <w:rPr>
          <w:rFonts w:ascii="Arial" w:hAnsi="Arial" w:cs="Arial"/>
          <w:sz w:val="20"/>
        </w:rPr>
        <w:t>29</w:t>
      </w:r>
      <w:r>
        <w:rPr>
          <w:rFonts w:ascii="Arial" w:hAnsi="Arial" w:cs="Arial"/>
          <w:sz w:val="20"/>
        </w:rPr>
        <w:t>. dubna 20</w:t>
      </w:r>
      <w:r w:rsidR="000F532A">
        <w:rPr>
          <w:rFonts w:ascii="Arial" w:hAnsi="Arial" w:cs="Arial"/>
          <w:sz w:val="20"/>
        </w:rPr>
        <w:t>2</w:t>
      </w:r>
      <w:r w:rsidR="00F3654E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134D3">
        <w:rPr>
          <w:rFonts w:ascii="Arial" w:hAnsi="Arial" w:cs="Arial"/>
          <w:sz w:val="20"/>
        </w:rPr>
        <w:t>Mgr</w:t>
      </w:r>
      <w:r>
        <w:rPr>
          <w:rFonts w:ascii="Arial" w:hAnsi="Arial" w:cs="Arial"/>
          <w:sz w:val="20"/>
        </w:rPr>
        <w:t xml:space="preserve">. </w:t>
      </w:r>
      <w:r w:rsidR="00A134D3">
        <w:rPr>
          <w:rFonts w:ascii="Arial" w:hAnsi="Arial" w:cs="Arial"/>
          <w:sz w:val="20"/>
        </w:rPr>
        <w:t>Robert Šanda</w:t>
      </w:r>
    </w:p>
    <w:p w14:paraId="6FBB5DED" w14:textId="77777777" w:rsidR="008A67C3" w:rsidRPr="003819C5" w:rsidRDefault="00BE48E7" w:rsidP="003819C5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ředitel odboru</w:t>
      </w:r>
    </w:p>
    <w:sectPr w:rsidR="008A67C3" w:rsidRPr="003819C5" w:rsidSect="00481288">
      <w:headerReference w:type="default" r:id="rId7"/>
      <w:footerReference w:type="default" r:id="rId8"/>
      <w:pgSz w:w="11906" w:h="16838"/>
      <w:pgMar w:top="1134" w:right="1418" w:bottom="1134" w:left="1418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45515" w14:textId="77777777" w:rsidR="006D4D1C" w:rsidRDefault="006D4D1C" w:rsidP="00481288">
      <w:r>
        <w:separator/>
      </w:r>
    </w:p>
  </w:endnote>
  <w:endnote w:type="continuationSeparator" w:id="0">
    <w:p w14:paraId="4B4DEAE1" w14:textId="77777777" w:rsidR="006D4D1C" w:rsidRDefault="006D4D1C" w:rsidP="0048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D3830" w14:textId="6A6D0F62" w:rsidR="00481288" w:rsidRDefault="00481288">
    <w:pPr>
      <w:pStyle w:val="Zpat"/>
    </w:pPr>
    <w:r>
      <w:rPr>
        <w:noProof/>
      </w:rPr>
      <w:drawing>
        <wp:inline distT="0" distB="0" distL="0" distR="0" wp14:anchorId="2C783FE3" wp14:editId="410ABBBA">
          <wp:extent cx="512064" cy="271272"/>
          <wp:effectExtent l="0" t="0" r="254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ČSÚ logo do 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271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481288">
      <w:rPr>
        <w:rFonts w:ascii="Arial" w:hAnsi="Arial" w:cs="Arial"/>
        <w:sz w:val="16"/>
        <w:szCs w:val="16"/>
      </w:rPr>
      <w:t>2021</w:t>
    </w:r>
    <w:r>
      <w:t>–</w:t>
    </w:r>
    <w:r w:rsidRPr="00481288">
      <w:rPr>
        <w:rFonts w:ascii="Arial" w:hAnsi="Arial" w:cs="Arial"/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9B002" w14:textId="77777777" w:rsidR="006D4D1C" w:rsidRDefault="006D4D1C" w:rsidP="00481288">
      <w:r>
        <w:separator/>
      </w:r>
    </w:p>
  </w:footnote>
  <w:footnote w:type="continuationSeparator" w:id="0">
    <w:p w14:paraId="6C5DB701" w14:textId="77777777" w:rsidR="006D4D1C" w:rsidRDefault="006D4D1C" w:rsidP="00481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48736" w14:textId="7E35E6AB" w:rsidR="00481288" w:rsidRPr="00481288" w:rsidRDefault="00481288">
    <w:pPr>
      <w:pStyle w:val="Zhlav"/>
      <w:rPr>
        <w:rFonts w:ascii="Arial" w:hAnsi="Arial" w:cs="Arial"/>
        <w:sz w:val="16"/>
        <w:szCs w:val="16"/>
      </w:rPr>
    </w:pPr>
    <w:r w:rsidRPr="00481288">
      <w:rPr>
        <w:rFonts w:ascii="Arial" w:hAnsi="Arial" w:cs="Arial"/>
        <w:sz w:val="16"/>
        <w:szCs w:val="16"/>
      </w:rPr>
      <w:t>Počet obyvatel v</w:t>
    </w:r>
    <w:r>
      <w:rPr>
        <w:rFonts w:ascii="Arial" w:hAnsi="Arial" w:cs="Arial"/>
        <w:sz w:val="16"/>
        <w:szCs w:val="16"/>
      </w:rPr>
      <w:t> </w:t>
    </w:r>
    <w:r w:rsidRPr="00481288">
      <w:rPr>
        <w:rFonts w:ascii="Arial" w:hAnsi="Arial" w:cs="Arial"/>
        <w:sz w:val="16"/>
        <w:szCs w:val="16"/>
      </w:rPr>
      <w:t>obcích, Předmluva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DB6"/>
    <w:multiLevelType w:val="hybridMultilevel"/>
    <w:tmpl w:val="076AC394"/>
    <w:lvl w:ilvl="0" w:tplc="3FDC3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605E"/>
    <w:multiLevelType w:val="hybridMultilevel"/>
    <w:tmpl w:val="5EAC5084"/>
    <w:lvl w:ilvl="0" w:tplc="6F323E7A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7EB7758"/>
    <w:multiLevelType w:val="hybridMultilevel"/>
    <w:tmpl w:val="7BDE8640"/>
    <w:lvl w:ilvl="0" w:tplc="271A8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D257E"/>
    <w:multiLevelType w:val="hybridMultilevel"/>
    <w:tmpl w:val="5868F9C0"/>
    <w:lvl w:ilvl="0" w:tplc="CC789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9C07C1"/>
    <w:multiLevelType w:val="hybridMultilevel"/>
    <w:tmpl w:val="5AC0E626"/>
    <w:lvl w:ilvl="0" w:tplc="ED4C16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E60A1"/>
    <w:multiLevelType w:val="hybridMultilevel"/>
    <w:tmpl w:val="7DF484BC"/>
    <w:lvl w:ilvl="0" w:tplc="AD7046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43D65"/>
    <w:multiLevelType w:val="hybridMultilevel"/>
    <w:tmpl w:val="2438E6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C1558E"/>
    <w:multiLevelType w:val="hybridMultilevel"/>
    <w:tmpl w:val="CDFCE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25C08"/>
    <w:multiLevelType w:val="hybridMultilevel"/>
    <w:tmpl w:val="FBFC8E4E"/>
    <w:lvl w:ilvl="0" w:tplc="128CC1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406D6"/>
    <w:multiLevelType w:val="hybridMultilevel"/>
    <w:tmpl w:val="03F05C7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7E92CE1"/>
    <w:multiLevelType w:val="hybridMultilevel"/>
    <w:tmpl w:val="C3309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244F3"/>
    <w:multiLevelType w:val="hybridMultilevel"/>
    <w:tmpl w:val="B1D0E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413F0"/>
    <w:multiLevelType w:val="hybridMultilevel"/>
    <w:tmpl w:val="4D507B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431902"/>
    <w:multiLevelType w:val="hybridMultilevel"/>
    <w:tmpl w:val="94A62866"/>
    <w:lvl w:ilvl="0" w:tplc="22740B0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48256820"/>
    <w:multiLevelType w:val="hybridMultilevel"/>
    <w:tmpl w:val="6B88D0F4"/>
    <w:lvl w:ilvl="0" w:tplc="0D6645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A32EF"/>
    <w:multiLevelType w:val="hybridMultilevel"/>
    <w:tmpl w:val="50787F14"/>
    <w:lvl w:ilvl="0" w:tplc="F386F4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12D94"/>
    <w:multiLevelType w:val="hybridMultilevel"/>
    <w:tmpl w:val="6C743FE0"/>
    <w:lvl w:ilvl="0" w:tplc="524EE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C46CC"/>
    <w:multiLevelType w:val="hybridMultilevel"/>
    <w:tmpl w:val="D53AA2FC"/>
    <w:lvl w:ilvl="0" w:tplc="ACE8BE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F6948"/>
    <w:multiLevelType w:val="hybridMultilevel"/>
    <w:tmpl w:val="C4A45214"/>
    <w:lvl w:ilvl="0" w:tplc="9E8C10C6"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87"/>
        </w:tabs>
        <w:ind w:left="39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27"/>
        </w:tabs>
        <w:ind w:left="54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47"/>
        </w:tabs>
        <w:ind w:left="61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67"/>
        </w:tabs>
        <w:ind w:left="6867" w:hanging="360"/>
      </w:pPr>
      <w:rPr>
        <w:rFonts w:ascii="Wingdings" w:hAnsi="Wingdings" w:hint="default"/>
      </w:rPr>
    </w:lvl>
  </w:abstractNum>
  <w:abstractNum w:abstractNumId="19" w15:restartNumberingAfterBreak="0">
    <w:nsid w:val="62047037"/>
    <w:multiLevelType w:val="hybridMultilevel"/>
    <w:tmpl w:val="C07267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DD3F3B"/>
    <w:multiLevelType w:val="hybridMultilevel"/>
    <w:tmpl w:val="1FC05934"/>
    <w:lvl w:ilvl="0" w:tplc="196EE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3"/>
  </w:num>
  <w:num w:numId="4">
    <w:abstractNumId w:val="3"/>
  </w:num>
  <w:num w:numId="5">
    <w:abstractNumId w:val="19"/>
  </w:num>
  <w:num w:numId="6">
    <w:abstractNumId w:val="8"/>
  </w:num>
  <w:num w:numId="7">
    <w:abstractNumId w:val="1"/>
  </w:num>
  <w:num w:numId="8">
    <w:abstractNumId w:val="16"/>
  </w:num>
  <w:num w:numId="9">
    <w:abstractNumId w:val="0"/>
  </w:num>
  <w:num w:numId="10">
    <w:abstractNumId w:val="14"/>
  </w:num>
  <w:num w:numId="11">
    <w:abstractNumId w:val="15"/>
  </w:num>
  <w:num w:numId="12">
    <w:abstractNumId w:val="17"/>
  </w:num>
  <w:num w:numId="13">
    <w:abstractNumId w:val="4"/>
  </w:num>
  <w:num w:numId="14">
    <w:abstractNumId w:val="5"/>
  </w:num>
  <w:num w:numId="15">
    <w:abstractNumId w:val="18"/>
  </w:num>
  <w:num w:numId="16">
    <w:abstractNumId w:val="2"/>
  </w:num>
  <w:num w:numId="17">
    <w:abstractNumId w:val="6"/>
  </w:num>
  <w:num w:numId="18">
    <w:abstractNumId w:val="9"/>
  </w:num>
  <w:num w:numId="19">
    <w:abstractNumId w:val="10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19"/>
    <w:rsid w:val="00055C75"/>
    <w:rsid w:val="000C040C"/>
    <w:rsid w:val="000F532A"/>
    <w:rsid w:val="00100E85"/>
    <w:rsid w:val="00110B2F"/>
    <w:rsid w:val="0015556B"/>
    <w:rsid w:val="00167FF1"/>
    <w:rsid w:val="00181D60"/>
    <w:rsid w:val="001D6AC2"/>
    <w:rsid w:val="002040EB"/>
    <w:rsid w:val="002629E1"/>
    <w:rsid w:val="00287CF3"/>
    <w:rsid w:val="002D45C3"/>
    <w:rsid w:val="00355319"/>
    <w:rsid w:val="003819C5"/>
    <w:rsid w:val="00481288"/>
    <w:rsid w:val="005A015B"/>
    <w:rsid w:val="005D5DD2"/>
    <w:rsid w:val="005E3511"/>
    <w:rsid w:val="00612642"/>
    <w:rsid w:val="00635F2A"/>
    <w:rsid w:val="006D4D1C"/>
    <w:rsid w:val="00706462"/>
    <w:rsid w:val="00713C03"/>
    <w:rsid w:val="00745B84"/>
    <w:rsid w:val="0075357A"/>
    <w:rsid w:val="0078752B"/>
    <w:rsid w:val="007969F6"/>
    <w:rsid w:val="007C25BD"/>
    <w:rsid w:val="008A4F26"/>
    <w:rsid w:val="008A67C3"/>
    <w:rsid w:val="008C4F83"/>
    <w:rsid w:val="00904C76"/>
    <w:rsid w:val="009D1399"/>
    <w:rsid w:val="00A134D3"/>
    <w:rsid w:val="00A62639"/>
    <w:rsid w:val="00AC0FAF"/>
    <w:rsid w:val="00AD282E"/>
    <w:rsid w:val="00AD56EE"/>
    <w:rsid w:val="00AD5B73"/>
    <w:rsid w:val="00B51BD4"/>
    <w:rsid w:val="00B61598"/>
    <w:rsid w:val="00BE48E7"/>
    <w:rsid w:val="00BF7A7C"/>
    <w:rsid w:val="00C07573"/>
    <w:rsid w:val="00C520E3"/>
    <w:rsid w:val="00C63803"/>
    <w:rsid w:val="00C87E9D"/>
    <w:rsid w:val="00EC227D"/>
    <w:rsid w:val="00EC466A"/>
    <w:rsid w:val="00EC79E0"/>
    <w:rsid w:val="00F166EB"/>
    <w:rsid w:val="00F3654E"/>
    <w:rsid w:val="00F54FD2"/>
    <w:rsid w:val="00F8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8BE648"/>
  <w15:docId w15:val="{64448120-2826-4328-AFFD-DA5DB6ED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i/>
      <w:iCs/>
      <w:sz w:val="28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semiHidden/>
    <w:pPr>
      <w:ind w:firstLine="348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semiHidden/>
    <w:pPr>
      <w:ind w:left="180" w:hanging="180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7F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67FF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54F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4F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4FD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4F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4F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812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128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812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12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E T O D I K A</vt:lpstr>
    </vt:vector>
  </TitlesOfParts>
  <Company>CSU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T O D I K A</dc:title>
  <dc:creator>havel</dc:creator>
  <cp:lastModifiedBy>Štyglerová Terezie</cp:lastModifiedBy>
  <cp:revision>8</cp:revision>
  <cp:lastPrinted>2019-04-11T11:04:00Z</cp:lastPrinted>
  <dcterms:created xsi:type="dcterms:W3CDTF">2022-04-12T08:44:00Z</dcterms:created>
  <dcterms:modified xsi:type="dcterms:W3CDTF">2022-04-14T09:48:00Z</dcterms:modified>
</cp:coreProperties>
</file>