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C1" w:rsidRDefault="00C62EC1">
      <w:pPr>
        <w:jc w:val="both"/>
        <w:rPr>
          <w:rFonts w:ascii="Arial" w:hAnsi="Arial"/>
          <w:b/>
          <w:bCs/>
          <w:snapToGrid w:val="0"/>
          <w:color w:val="00000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napToGrid w:val="0"/>
          <w:color w:val="000000"/>
          <w:szCs w:val="20"/>
        </w:rPr>
        <w:t>Metodik</w:t>
      </w:r>
      <w:r w:rsidR="00FC1B6C">
        <w:rPr>
          <w:rFonts w:ascii="Arial" w:hAnsi="Arial"/>
          <w:b/>
          <w:bCs/>
          <w:snapToGrid w:val="0"/>
          <w:color w:val="000000"/>
          <w:szCs w:val="20"/>
        </w:rPr>
        <w:t>a</w:t>
      </w:r>
      <w:r w:rsidR="006F387F">
        <w:rPr>
          <w:rFonts w:ascii="Arial" w:hAnsi="Arial"/>
          <w:b/>
          <w:bCs/>
          <w:snapToGrid w:val="0"/>
          <w:color w:val="000000"/>
          <w:szCs w:val="20"/>
        </w:rPr>
        <w:t xml:space="preserve"> </w:t>
      </w:r>
    </w:p>
    <w:p w:rsidR="00C62EC1" w:rsidRDefault="00C62EC1">
      <w:pPr>
        <w:jc w:val="both"/>
        <w:rPr>
          <w:rFonts w:ascii="Arial" w:hAnsi="Arial"/>
          <w:b/>
          <w:bCs/>
          <w:snapToGrid w:val="0"/>
          <w:color w:val="000000"/>
          <w:szCs w:val="20"/>
        </w:rPr>
      </w:pPr>
    </w:p>
    <w:p w:rsidR="00C62EC1" w:rsidRDefault="00C62EC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/>
          <w:b/>
          <w:bCs/>
          <w:sz w:val="20"/>
        </w:rPr>
        <w:t xml:space="preserve">Výdaje na ochranu životního prostředí </w:t>
      </w:r>
      <w:r>
        <w:rPr>
          <w:rFonts w:ascii="Arial" w:hAnsi="Arial"/>
          <w:sz w:val="20"/>
        </w:rPr>
        <w:t>zahrnují výdaje na pořízení dlouhodobého hmotného majetku na ochranu životního prostředí a neinvestiční náklady na ochranu životního prostředí,</w:t>
      </w:r>
      <w:r>
        <w:rPr>
          <w:rFonts w:ascii="Arial" w:hAnsi="Arial" w:cs="Arial"/>
          <w:sz w:val="20"/>
        </w:rPr>
        <w:t xml:space="preserve"> které se vztahují k aktivitám na ochranu životního prostředí (technologie, procesy, zařízení nebo jejich části), jejichž hlavním účelem je zachycení, odstranění, monitorování, kontrola, snižování, prevence nebo eliminace znečišťujících látek a znečištění nebo jakékoliv jiné poškození životního prostředí, ke kterému dochází </w:t>
      </w:r>
      <w:r>
        <w:rPr>
          <w:rFonts w:ascii="Arial" w:hAnsi="Arial" w:cs="Arial"/>
          <w:sz w:val="20"/>
        </w:rPr>
        <w:br/>
        <w:t>při činnosti podniků.</w:t>
      </w:r>
    </w:p>
    <w:p w:rsidR="00C62EC1" w:rsidRDefault="00C62EC1">
      <w:pPr>
        <w:ind w:firstLine="708"/>
        <w:jc w:val="both"/>
        <w:rPr>
          <w:rFonts w:ascii="Arial" w:hAnsi="Arial" w:cs="Arial"/>
          <w:b/>
          <w:bCs/>
          <w:sz w:val="20"/>
        </w:rPr>
      </w:pPr>
    </w:p>
    <w:p w:rsidR="00C62EC1" w:rsidRDefault="00C62EC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Výdaje na pořízení dlouhodobého hmotného majetku (DHM) na ochranu životního prostředí </w:t>
      </w:r>
      <w:r>
        <w:rPr>
          <w:rFonts w:ascii="Arial" w:hAnsi="Arial" w:cs="Arial"/>
          <w:sz w:val="20"/>
        </w:rPr>
        <w:t>zahrnují všechny výdaje na pořízení DHM, které vykazující jednotky vynaložily na pořízení DHM (koupí nebo vlastní činností), spolu s celkovou hodnotou DHM získaného formou bezúplatného nabytí, nebo převodu podle příslušných legislativních předpisů, nebo přeřazením z osobního užívání do podnikání.</w:t>
      </w:r>
      <w:r>
        <w:rPr>
          <w:rFonts w:ascii="Arial" w:hAnsi="Arial" w:cs="Arial"/>
          <w:sz w:val="20"/>
        </w:rPr>
        <w:tab/>
      </w:r>
    </w:p>
    <w:p w:rsidR="00C62EC1" w:rsidRDefault="00C62EC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výdajů na pořízení dlouhodobého hmotného majetku na ochranu životního prostředí se zahrnují samostatné movité věci a soubory movitých věcí se samostatným technicko ekonomickým určením s dobou použitelnosti delší než jeden rok a v ocenění stanoveném účetní jednotkou, povinně však od částky stanovené zákonem o daních z příjmů pro tento majetek (od roku 2001 je stanovena částka 40 000 Kč).</w:t>
      </w:r>
    </w:p>
    <w:p w:rsidR="00C62EC1" w:rsidRDefault="00C62EC1"/>
    <w:p w:rsidR="00C62EC1" w:rsidRDefault="00C62EC1">
      <w:pPr>
        <w:pStyle w:val="Nadpis1"/>
        <w:ind w:firstLine="708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Neinvestiční náklady na ochranu životního prostředí </w:t>
      </w:r>
      <w:r>
        <w:rPr>
          <w:rFonts w:ascii="Arial" w:hAnsi="Arial" w:cs="Arial"/>
          <w:b w:val="0"/>
          <w:bCs/>
          <w:sz w:val="20"/>
        </w:rPr>
        <w:t xml:space="preserve">zahrnují mzdové náklady, platby nájemného, energie a ostatní materiál a platby za služby, u kterých je hlavním účelem prevence, snížení, úprava nebo eliminace znečišťujících látek a znečištění nebo jakákoliv další degradace životního prostředí </w:t>
      </w:r>
      <w:r>
        <w:rPr>
          <w:rFonts w:ascii="Arial" w:hAnsi="Arial" w:cs="Arial"/>
          <w:b w:val="0"/>
          <w:bCs/>
          <w:sz w:val="20"/>
        </w:rPr>
        <w:br/>
        <w:t>a jsou výsledkem provozních aktivit podniku.</w:t>
      </w:r>
    </w:p>
    <w:p w:rsidR="00C62EC1" w:rsidRDefault="00C62EC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62EC1" w:rsidRDefault="00C62EC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Tržby z prodeje služeb na ochranu ŽP</w:t>
      </w:r>
      <w:r>
        <w:rPr>
          <w:rFonts w:ascii="Arial" w:hAnsi="Arial" w:cs="Arial"/>
          <w:sz w:val="20"/>
        </w:rPr>
        <w:t xml:space="preserve"> jsou tržby z prodeje služeb, poskytovaných </w:t>
      </w:r>
      <w:r>
        <w:rPr>
          <w:rFonts w:ascii="Arial" w:hAnsi="Arial" w:cs="Arial"/>
          <w:sz w:val="20"/>
        </w:rPr>
        <w:br/>
        <w:t>za účelem ochrany životního prostředí.</w:t>
      </w:r>
    </w:p>
    <w:p w:rsidR="00C62EC1" w:rsidRDefault="00C62EC1">
      <w:pPr>
        <w:ind w:firstLine="708"/>
        <w:jc w:val="both"/>
        <w:rPr>
          <w:rFonts w:ascii="Arial" w:hAnsi="Arial" w:cs="Arial"/>
          <w:b/>
          <w:bCs/>
          <w:sz w:val="20"/>
        </w:rPr>
      </w:pPr>
    </w:p>
    <w:p w:rsidR="00C62EC1" w:rsidRDefault="00C62EC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Tržby z prodeje vedlejších produktů</w:t>
      </w:r>
      <w:r>
        <w:rPr>
          <w:rFonts w:ascii="Arial" w:hAnsi="Arial" w:cs="Arial"/>
          <w:sz w:val="20"/>
        </w:rPr>
        <w:t xml:space="preserve"> představují tržby z prodeje vedlejších produktů, které vznikly při činnostech spojených s ochranou životního prostředí. </w:t>
      </w:r>
    </w:p>
    <w:p w:rsidR="00C62EC1" w:rsidRDefault="00C62EC1">
      <w:pPr>
        <w:ind w:firstLine="708"/>
        <w:jc w:val="both"/>
        <w:rPr>
          <w:rFonts w:ascii="Arial" w:hAnsi="Arial" w:cs="Arial"/>
          <w:b/>
          <w:bCs/>
          <w:sz w:val="20"/>
        </w:rPr>
      </w:pPr>
    </w:p>
    <w:p w:rsidR="00C62EC1" w:rsidRDefault="00C62EC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Úspory z využití vedlejších produktů</w:t>
      </w:r>
      <w:r>
        <w:rPr>
          <w:rFonts w:ascii="Arial" w:hAnsi="Arial" w:cs="Arial"/>
          <w:sz w:val="20"/>
        </w:rPr>
        <w:t xml:space="preserve"> zah</w:t>
      </w:r>
      <w:r w:rsidR="00357C6D">
        <w:rPr>
          <w:rFonts w:ascii="Arial" w:hAnsi="Arial" w:cs="Arial"/>
          <w:sz w:val="20"/>
        </w:rPr>
        <w:t xml:space="preserve">rnují jednak úspory z vlastního </w:t>
      </w:r>
      <w:r>
        <w:rPr>
          <w:rFonts w:ascii="Arial" w:hAnsi="Arial" w:cs="Arial"/>
          <w:sz w:val="20"/>
        </w:rPr>
        <w:t>využití vedlejších produktů a dále se jako přínos zahrnují také úspory nákladů, kterých podnik dosáhl díky opatřením na ochranu životního prostředí v daném roce.</w:t>
      </w:r>
    </w:p>
    <w:p w:rsidR="00C62EC1" w:rsidRDefault="00C62EC1">
      <w:pPr>
        <w:ind w:firstLine="708"/>
        <w:jc w:val="both"/>
        <w:rPr>
          <w:rFonts w:ascii="Arial" w:hAnsi="Arial" w:cs="Arial"/>
          <w:sz w:val="20"/>
        </w:rPr>
      </w:pPr>
    </w:p>
    <w:p w:rsidR="00C62EC1" w:rsidRDefault="00C62EC1">
      <w:pPr>
        <w:pStyle w:val="Zkladntext2"/>
        <w:suppressAutoHyphens/>
        <w:spacing w:before="120" w:after="0"/>
        <w:rPr>
          <w:b/>
          <w:bCs/>
        </w:rPr>
      </w:pPr>
      <w:r>
        <w:rPr>
          <w:b/>
          <w:bCs/>
        </w:rPr>
        <w:t>Programové zaměření ochrany životního prostředí:</w:t>
      </w:r>
    </w:p>
    <w:p w:rsidR="00C62EC1" w:rsidRDefault="00C62EC1">
      <w:pPr>
        <w:pStyle w:val="Zkladntext2"/>
        <w:spacing w:before="120" w:after="0"/>
        <w:ind w:firstLine="709"/>
      </w:pPr>
      <w:bookmarkStart w:id="1" w:name="OLE_LINK1"/>
      <w:r>
        <w:rPr>
          <w:b/>
          <w:bCs/>
        </w:rPr>
        <w:t xml:space="preserve">Ochrana ovzduší a klimatu </w:t>
      </w:r>
      <w:r>
        <w:t>zahrnuje např. úpravu technologických procesů</w:t>
      </w:r>
      <w:r>
        <w:rPr>
          <w:b/>
          <w:bCs/>
        </w:rPr>
        <w:t xml:space="preserve"> </w:t>
      </w:r>
      <w:r>
        <w:t>z důvodu</w:t>
      </w:r>
      <w:r>
        <w:rPr>
          <w:b/>
          <w:bCs/>
        </w:rPr>
        <w:t xml:space="preserve"> </w:t>
      </w:r>
      <w:r>
        <w:t xml:space="preserve">prevence vzniku znečištění (na ochranu ovzduší, klimatu a ozónové vrstvy), odstraňování odpadních plynů </w:t>
      </w:r>
      <w:r>
        <w:br/>
        <w:t xml:space="preserve">a odvětrávaného vzduchu, odstraňování tuhých a plynných emisí, monitorovací zařízení pro sledování čistoty ovzduší. </w:t>
      </w:r>
    </w:p>
    <w:p w:rsidR="00C62EC1" w:rsidRDefault="00C62EC1">
      <w:pPr>
        <w:pStyle w:val="Zkladntext2"/>
        <w:spacing w:before="120" w:after="0"/>
        <w:ind w:firstLine="709"/>
      </w:pPr>
      <w:bookmarkStart w:id="2" w:name="OLE_LINK2"/>
      <w:bookmarkEnd w:id="1"/>
      <w:r>
        <w:rPr>
          <w:b/>
          <w:bCs/>
        </w:rPr>
        <w:t>Nakládání s odpadními vodami</w:t>
      </w:r>
      <w:r>
        <w:t xml:space="preserve"> zahrnuje např. úpravu technologických procesů z důvodu prevence vzniku znečištění, výstavbu čistíren odpadních vod, výstavbu kanalizačních sítí se zajištěným napojením na čistírnu odpadních vod, nakládání s chladícími vodami, monitorovací zařízení ke sledování jakosti vody.</w:t>
      </w:r>
    </w:p>
    <w:p w:rsidR="00C62EC1" w:rsidRDefault="00C62EC1">
      <w:pPr>
        <w:pStyle w:val="Zkladntext2"/>
        <w:spacing w:before="120" w:after="0"/>
        <w:ind w:firstLine="709"/>
      </w:pPr>
      <w:bookmarkStart w:id="3" w:name="OLE_LINK3"/>
      <w:bookmarkEnd w:id="2"/>
      <w:r>
        <w:rPr>
          <w:b/>
          <w:bCs/>
        </w:rPr>
        <w:t>Nakládání s odpady</w:t>
      </w:r>
      <w:r>
        <w:t xml:space="preserve"> zahrnuje např. úpravu technologických procesů z důvodu prevence vzniku odpadů, zařízení a vybavení pro sběr, svoz, přepravu, třídění a úpravu odpadů, výstavba spaloven, recyklačních závodů, řízených skládek, kompostáren, asanace starých skládek, zařízení pro monitoring odpadů.</w:t>
      </w:r>
    </w:p>
    <w:p w:rsidR="00C62EC1" w:rsidRDefault="00C62EC1">
      <w:pPr>
        <w:pStyle w:val="Zkladntext2"/>
        <w:spacing w:before="120" w:after="0"/>
        <w:ind w:firstLine="709"/>
      </w:pPr>
      <w:bookmarkStart w:id="4" w:name="OLE_LINK6"/>
      <w:r>
        <w:rPr>
          <w:b/>
          <w:bCs/>
        </w:rPr>
        <w:t xml:space="preserve">Ochrana krajiny a biodiverzity (druhová rozmanitost) </w:t>
      </w:r>
      <w:r>
        <w:t xml:space="preserve">zahrnuje např. ochranu a rehabilitaci stanovišť a druhů, ochranu přírodních a polopřírodních typů krajiny, ochranu a obnovu prvků ekologické stability, revitalizaci hydrologické sítě, náklady na řešení povinností vyplývajících z § 35 a § 32 </w:t>
      </w:r>
      <w:r>
        <w:br/>
        <w:t>zák. 44/1988 Sb., o ochraně a využití nerostného bohatství (horní zákon).</w:t>
      </w:r>
    </w:p>
    <w:p w:rsidR="00C62EC1" w:rsidRDefault="00C62EC1">
      <w:pPr>
        <w:pStyle w:val="Zkladntext2"/>
        <w:spacing w:before="120" w:after="0"/>
        <w:ind w:firstLine="709"/>
      </w:pPr>
      <w:bookmarkStart w:id="5" w:name="OLE_LINK4"/>
      <w:bookmarkEnd w:id="3"/>
      <w:bookmarkEnd w:id="4"/>
      <w:r>
        <w:rPr>
          <w:b/>
          <w:bCs/>
        </w:rPr>
        <w:t>Ochrana a sanace půdy, podzemních a povrchových vod</w:t>
      </w:r>
      <w:r>
        <w:t xml:space="preserve"> zahrnuje např. prevenci depozice znečišťujících látek do půdy vč. následné infiltrace do vod, předcházení kontaminace a degradace půd chemickými vlivy a její následná sanace, ochrana půdy před erozí, svahovými pohyby a ostatní degradací způsobenou fyzikálními jevy, včetně nákladů na řešení problematiky sesuvů, náklady na úkoly geologických průzkumů s účelem ochrany půdy a podzemní a povrchové vody.</w:t>
      </w:r>
    </w:p>
    <w:p w:rsidR="00C62EC1" w:rsidRDefault="00C62EC1">
      <w:pPr>
        <w:pStyle w:val="Zkladntext2"/>
        <w:spacing w:before="120" w:after="0"/>
        <w:ind w:firstLine="709"/>
      </w:pPr>
      <w:bookmarkStart w:id="6" w:name="OLE_LINK5"/>
      <w:bookmarkEnd w:id="5"/>
      <w:r>
        <w:rPr>
          <w:b/>
          <w:bCs/>
        </w:rPr>
        <w:lastRenderedPageBreak/>
        <w:t>Omezování hluku a vibrací (kromě ochrany pracovišť)</w:t>
      </w:r>
      <w:r>
        <w:t xml:space="preserve"> zahrnuje např. prevenci vzniku hluku </w:t>
      </w:r>
      <w:r>
        <w:br/>
        <w:t>a vibrací úpravou technologie, konstrukce a uplatnění protihlukových a antivibračních zařízení v silniční, železniční a letecké dopravě a průmyslu, měřící zařízení</w:t>
      </w:r>
      <w:bookmarkEnd w:id="6"/>
      <w:r>
        <w:t>.</w:t>
      </w:r>
    </w:p>
    <w:p w:rsidR="00C62EC1" w:rsidRDefault="00C62EC1">
      <w:pPr>
        <w:pStyle w:val="Zkladntext2"/>
        <w:spacing w:before="120" w:after="0"/>
        <w:ind w:firstLine="709"/>
      </w:pPr>
      <w:bookmarkStart w:id="7" w:name="OLE_LINK7"/>
      <w:r>
        <w:rPr>
          <w:b/>
          <w:bCs/>
        </w:rPr>
        <w:t>Ochrana proti záření</w:t>
      </w:r>
      <w:r>
        <w:t xml:space="preserve"> zahrnuje např. protiradonová opatření, geologické práce spojené s problematikou lokalizací hlubinných úložišť jaderného odpadu, měřící zařízení, přepravu a nakládání s vysoce radioaktivním odpadem</w:t>
      </w:r>
      <w:bookmarkEnd w:id="7"/>
      <w:r>
        <w:t>.</w:t>
      </w:r>
    </w:p>
    <w:p w:rsidR="00C62EC1" w:rsidRDefault="00C62EC1">
      <w:pPr>
        <w:pStyle w:val="Zkladntext2"/>
        <w:spacing w:before="120" w:after="0"/>
        <w:ind w:firstLine="709"/>
      </w:pPr>
      <w:bookmarkStart w:id="8" w:name="OLE_LINK8"/>
      <w:r>
        <w:rPr>
          <w:b/>
          <w:bCs/>
        </w:rPr>
        <w:t>Výzkum a vývoj</w:t>
      </w:r>
      <w:r>
        <w:t xml:space="preserve"> zahrnuje výzkum a vývoj zaměřený na ochranu ovzduší, klimatu a ozónové vrstvy, ochranu vod, nakládání s odpady, ochranu půdy a podzemní vody, omezování hluku a vibrací, ochranu biodiverzity a krajiny, ochranu před zářením a ostatní výzkum životního prostředí</w:t>
      </w:r>
      <w:bookmarkEnd w:id="8"/>
      <w:r>
        <w:t>.</w:t>
      </w:r>
    </w:p>
    <w:p w:rsidR="00C62EC1" w:rsidRDefault="00C62EC1">
      <w:pPr>
        <w:pStyle w:val="Zkladntext2"/>
        <w:spacing w:before="120" w:after="0"/>
        <w:ind w:firstLine="709"/>
      </w:pPr>
      <w:bookmarkStart w:id="9" w:name="OLE_LINK9"/>
      <w:r>
        <w:rPr>
          <w:b/>
          <w:bCs/>
        </w:rPr>
        <w:t>Ostatní aktivity</w:t>
      </w:r>
      <w:r>
        <w:t xml:space="preserve"> na ochranu životního prostředí zahrnují např. pořízení dlouhodobého hmotného majetku na prevenci před povodněmi, vzdělávání v problematice ochrany životního prostředí, školení </w:t>
      </w:r>
      <w:r>
        <w:br/>
        <w:t xml:space="preserve">a instruktáže. </w:t>
      </w:r>
      <w:bookmarkEnd w:id="9"/>
    </w:p>
    <w:p w:rsidR="00C62EC1" w:rsidRDefault="00C62EC1">
      <w:pPr>
        <w:pStyle w:val="Zkladntext2"/>
        <w:spacing w:before="120" w:after="0"/>
        <w:ind w:firstLine="709"/>
      </w:pPr>
    </w:p>
    <w:p w:rsidR="00C62EC1" w:rsidRDefault="00C62EC1">
      <w:pPr>
        <w:pStyle w:val="Zkladntextodsazen"/>
        <w:rPr>
          <w:b/>
          <w:bCs/>
        </w:rPr>
      </w:pPr>
      <w:bookmarkStart w:id="10" w:name="OLE_LINK10"/>
      <w:r>
        <w:t xml:space="preserve">Údaje o výdajích na ochranu životního prostředí zjišťuje ČSÚ od roku 1986. Oddíl o pořízení dlouhodobého hmotného majetku (DHM) byl do roku 2001 součástí výkazu o investicích. V roce 2002 byl tento výkaz nahrazen jinými výkazy a data o pořízení DHM na ochranu životního prostředí byla získána z průřezového výkazu P 5-01 a výkazu pro veřejný sektor VI 1-01. Požadavek na zavedení zjišťování neinvestičních nákladů vedl v roce 2003 ke vzniku samostatného výkazu ŽP 1-01, který byl určen podnikatelské sféře. Data z veřejného sektoru byla nadále získávána výkazem VI 1-01 a jednalo se pouze o údaje o pořízení DHM na ochranu ŽP.   </w:t>
      </w:r>
    </w:p>
    <w:p w:rsidR="00C62EC1" w:rsidRDefault="00C62EC1">
      <w:pPr>
        <w:pStyle w:val="Zkladntextodsazen3"/>
      </w:pPr>
      <w:r>
        <w:t xml:space="preserve">Od roku 2006 došlo k sjednocení výkaznické povinnosti pro podnikatelský a veřejný sektor a oba sektory jsou obesílány stejným výkazem ŽP 1-01. Tento výkaz byl rozesílán vybraným ekonomickým subjektům (OKEČ 01, 02, 10-40, 41, 60 a 62 s počtem zaměstnanců 20 a více a OKEČ 37 a 90 bez ohledu na počet zaměstnanců), obcím nad 500 obyvatel, rozpočtovým organizacím, organizačním složkám státu </w:t>
      </w:r>
      <w:r>
        <w:br/>
        <w:t xml:space="preserve">a státním fondům. </w:t>
      </w:r>
    </w:p>
    <w:bookmarkEnd w:id="10"/>
    <w:p w:rsidR="00C62EC1" w:rsidRDefault="00C62EC1">
      <w:pPr>
        <w:pStyle w:val="Zkladntext2"/>
        <w:spacing w:before="120" w:after="0"/>
        <w:ind w:firstLine="709"/>
      </w:pPr>
      <w:r>
        <w:t xml:space="preserve">V roce 2008 byla klasifikace podniků podle OKEČ nahrazena novou klasifikací podle CZ-NACE. Podle této nové klasifikace je výkaz ŽP 1-01 zasílán vybraným ekonomickým subjektům s CZ-NACE 01, 02, 03, 05-33, 35, 36, 49, 51, 52, 58 s počtem zaměstnanců 50 a více a CZ-NACE 37, 38 a 39 bez ohledu na počet zaměstnanců, obcím nad 500 obyvatel, rozpočtovým organizacím, organizačním složkám státu </w:t>
      </w:r>
      <w:r>
        <w:br/>
        <w:t>a státním fondům.</w:t>
      </w:r>
    </w:p>
    <w:p w:rsidR="00C62EC1" w:rsidRDefault="00C62EC1">
      <w:pPr>
        <w:pStyle w:val="Zkladntext2"/>
        <w:spacing w:before="120" w:after="0"/>
        <w:ind w:firstLine="709"/>
      </w:pPr>
    </w:p>
    <w:p w:rsidR="00C62EC1" w:rsidRDefault="00C62EC1">
      <w:pPr>
        <w:tabs>
          <w:tab w:val="left" w:pos="-1586"/>
          <w:tab w:val="left" w:pos="-1092"/>
          <w:tab w:val="left" w:pos="-372"/>
          <w:tab w:val="left" w:pos="0"/>
          <w:tab w:val="left" w:pos="1068"/>
          <w:tab w:val="left" w:pos="1788"/>
          <w:tab w:val="left" w:pos="2508"/>
          <w:tab w:val="left" w:pos="3228"/>
          <w:tab w:val="left" w:pos="3948"/>
          <w:tab w:val="left" w:pos="4668"/>
          <w:tab w:val="left" w:pos="5388"/>
          <w:tab w:val="left" w:pos="6108"/>
          <w:tab w:val="left" w:pos="6828"/>
          <w:tab w:val="left" w:pos="7548"/>
          <w:tab w:val="left" w:pos="7932"/>
          <w:tab w:val="left" w:pos="8988"/>
          <w:tab w:val="left" w:pos="9524"/>
          <w:tab w:val="left" w:pos="9708"/>
        </w:tabs>
        <w:ind w:left="372" w:hanging="372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Poznámka</w:t>
      </w:r>
      <w:r>
        <w:rPr>
          <w:rFonts w:ascii="Arial" w:hAnsi="Arial"/>
          <w:sz w:val="20"/>
        </w:rPr>
        <w:t>:</w:t>
      </w:r>
    </w:p>
    <w:p w:rsidR="00C62EC1" w:rsidRDefault="00C62EC1">
      <w:pPr>
        <w:numPr>
          <w:ilvl w:val="0"/>
          <w:numId w:val="1"/>
        </w:numPr>
        <w:tabs>
          <w:tab w:val="left" w:pos="-1586"/>
          <w:tab w:val="left" w:pos="-1092"/>
          <w:tab w:val="left" w:pos="-372"/>
          <w:tab w:val="left" w:pos="0"/>
          <w:tab w:val="left" w:pos="1068"/>
          <w:tab w:val="left" w:pos="1788"/>
          <w:tab w:val="left" w:pos="2508"/>
          <w:tab w:val="left" w:pos="3228"/>
          <w:tab w:val="left" w:pos="3948"/>
          <w:tab w:val="left" w:pos="4668"/>
          <w:tab w:val="left" w:pos="5388"/>
          <w:tab w:val="left" w:pos="6108"/>
          <w:tab w:val="left" w:pos="6828"/>
          <w:tab w:val="left" w:pos="7548"/>
          <w:tab w:val="left" w:pos="7932"/>
          <w:tab w:val="left" w:pos="8988"/>
          <w:tab w:val="left" w:pos="9524"/>
          <w:tab w:val="left" w:pos="970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ležatá čárka (</w:t>
      </w:r>
      <w:r>
        <w:rPr>
          <w:rFonts w:ascii="Arial" w:hAnsi="Arial"/>
          <w:sz w:val="20"/>
        </w:rPr>
        <w:noBreakHyphen/>
        <w:t>) v tabulce značí, že se jev nevyskytoval</w:t>
      </w:r>
    </w:p>
    <w:p w:rsidR="00C62EC1" w:rsidRDefault="00C62EC1">
      <w:pPr>
        <w:numPr>
          <w:ilvl w:val="0"/>
          <w:numId w:val="1"/>
        </w:numPr>
        <w:tabs>
          <w:tab w:val="left" w:pos="-1573"/>
          <w:tab w:val="left" w:pos="-1093"/>
          <w:tab w:val="left" w:pos="-372"/>
          <w:tab w:val="left" w:pos="0"/>
          <w:tab w:val="left" w:pos="1066"/>
          <w:tab w:val="left" w:pos="1786"/>
          <w:tab w:val="left" w:pos="2506"/>
          <w:tab w:val="left" w:pos="3226"/>
          <w:tab w:val="left" w:pos="3946"/>
          <w:tab w:val="left" w:pos="4666"/>
          <w:tab w:val="left" w:pos="5386"/>
          <w:tab w:val="left" w:pos="6106"/>
          <w:tab w:val="left" w:pos="6826"/>
          <w:tab w:val="left" w:pos="7546"/>
          <w:tab w:val="left" w:pos="8266"/>
          <w:tab w:val="left" w:pos="8314"/>
          <w:tab w:val="left" w:pos="9706"/>
          <w:tab w:val="left" w:pos="1042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nula (0 nebo 0,0) se v tabulce používá pro označení číselných údajů menších než polovina zvolené</w:t>
      </w:r>
    </w:p>
    <w:p w:rsidR="00C62EC1" w:rsidRDefault="00C62EC1">
      <w:pPr>
        <w:tabs>
          <w:tab w:val="left" w:pos="-1573"/>
          <w:tab w:val="left" w:pos="-1093"/>
          <w:tab w:val="left" w:pos="-372"/>
          <w:tab w:val="left" w:pos="0"/>
          <w:tab w:val="left" w:pos="720"/>
          <w:tab w:val="left" w:pos="1786"/>
          <w:tab w:val="left" w:pos="2506"/>
          <w:tab w:val="left" w:pos="3226"/>
          <w:tab w:val="left" w:pos="3946"/>
          <w:tab w:val="left" w:pos="4666"/>
          <w:tab w:val="left" w:pos="5386"/>
          <w:tab w:val="left" w:pos="6106"/>
          <w:tab w:val="left" w:pos="6826"/>
          <w:tab w:val="left" w:pos="7546"/>
          <w:tab w:val="left" w:pos="8266"/>
          <w:tab w:val="left" w:pos="8314"/>
          <w:tab w:val="left" w:pos="9706"/>
          <w:tab w:val="left" w:pos="10426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měřicí jednotky</w:t>
      </w:r>
    </w:p>
    <w:p w:rsidR="00C62EC1" w:rsidRDefault="00C62EC1">
      <w:pPr>
        <w:numPr>
          <w:ilvl w:val="0"/>
          <w:numId w:val="1"/>
        </w:numPr>
        <w:tabs>
          <w:tab w:val="left" w:pos="-1573"/>
          <w:tab w:val="left" w:pos="-1093"/>
          <w:tab w:val="left" w:pos="-372"/>
          <w:tab w:val="left" w:pos="0"/>
          <w:tab w:val="left" w:pos="1066"/>
          <w:tab w:val="left" w:pos="1786"/>
          <w:tab w:val="left" w:pos="2506"/>
          <w:tab w:val="left" w:pos="3226"/>
          <w:tab w:val="left" w:pos="3946"/>
          <w:tab w:val="left" w:pos="4666"/>
          <w:tab w:val="left" w:pos="5386"/>
          <w:tab w:val="left" w:pos="6106"/>
          <w:tab w:val="left" w:pos="6826"/>
          <w:tab w:val="left" w:pos="7546"/>
          <w:tab w:val="left" w:pos="8266"/>
          <w:tab w:val="left" w:pos="8314"/>
          <w:tab w:val="left" w:pos="9706"/>
          <w:tab w:val="left" w:pos="10426"/>
        </w:tabs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tečka (.) na</w:t>
      </w:r>
      <w:proofErr w:type="gramEnd"/>
      <w:r>
        <w:rPr>
          <w:rFonts w:ascii="Arial" w:hAnsi="Arial"/>
          <w:sz w:val="20"/>
        </w:rPr>
        <w:t xml:space="preserve"> místě čísla značí, že údaj není k dispozici nebo je nespolehlivý</w:t>
      </w:r>
    </w:p>
    <w:p w:rsidR="00C62EC1" w:rsidRDefault="00C62EC1">
      <w:pPr>
        <w:numPr>
          <w:ilvl w:val="0"/>
          <w:numId w:val="1"/>
        </w:numPr>
        <w:tabs>
          <w:tab w:val="left" w:pos="-1573"/>
          <w:tab w:val="left" w:pos="-1093"/>
          <w:tab w:val="left" w:pos="-372"/>
          <w:tab w:val="left" w:pos="0"/>
          <w:tab w:val="left" w:pos="1066"/>
          <w:tab w:val="left" w:pos="1786"/>
          <w:tab w:val="left" w:pos="2506"/>
          <w:tab w:val="left" w:pos="3226"/>
          <w:tab w:val="left" w:pos="3946"/>
          <w:tab w:val="left" w:pos="4666"/>
          <w:tab w:val="left" w:pos="5386"/>
          <w:tab w:val="left" w:pos="6106"/>
          <w:tab w:val="left" w:pos="6826"/>
          <w:tab w:val="left" w:pos="7546"/>
          <w:tab w:val="left" w:pos="8266"/>
          <w:tab w:val="left" w:pos="8314"/>
          <w:tab w:val="left" w:pos="9706"/>
          <w:tab w:val="left" w:pos="1042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křížek (x) na místě čísla značí, že zápis není možný z logických důvodů</w:t>
      </w:r>
    </w:p>
    <w:p w:rsidR="00C62EC1" w:rsidRDefault="00C62EC1">
      <w:pPr>
        <w:numPr>
          <w:ilvl w:val="0"/>
          <w:numId w:val="1"/>
        </w:numPr>
        <w:tabs>
          <w:tab w:val="left" w:pos="-1573"/>
          <w:tab w:val="left" w:pos="-1093"/>
          <w:tab w:val="left" w:pos="-372"/>
          <w:tab w:val="left" w:pos="0"/>
          <w:tab w:val="left" w:pos="1066"/>
          <w:tab w:val="left" w:pos="1786"/>
          <w:tab w:val="left" w:pos="2506"/>
          <w:tab w:val="left" w:pos="3226"/>
          <w:tab w:val="left" w:pos="3946"/>
          <w:tab w:val="left" w:pos="4666"/>
          <w:tab w:val="left" w:pos="5386"/>
          <w:tab w:val="left" w:pos="6106"/>
          <w:tab w:val="left" w:pos="6826"/>
          <w:tab w:val="left" w:pos="7546"/>
          <w:tab w:val="left" w:pos="8266"/>
          <w:tab w:val="left" w:pos="8314"/>
          <w:tab w:val="left" w:pos="9706"/>
          <w:tab w:val="left" w:pos="10426"/>
        </w:tabs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i.d. značí</w:t>
      </w:r>
      <w:proofErr w:type="gramEnd"/>
      <w:r>
        <w:rPr>
          <w:rFonts w:ascii="Arial" w:hAnsi="Arial"/>
          <w:sz w:val="20"/>
        </w:rPr>
        <w:t xml:space="preserve"> individuální data</w:t>
      </w:r>
    </w:p>
    <w:p w:rsidR="00C62EC1" w:rsidRDefault="00ED0694" w:rsidP="00ED0694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:rsidR="00C62EC1" w:rsidRDefault="00C62EC1"/>
    <w:sectPr w:rsidR="00C62EC1">
      <w:footerReference w:type="even" r:id="rId7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E7" w:rsidRDefault="00CB02E7">
      <w:r>
        <w:separator/>
      </w:r>
    </w:p>
  </w:endnote>
  <w:endnote w:type="continuationSeparator" w:id="0">
    <w:p w:rsidR="00CB02E7" w:rsidRDefault="00CB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C1" w:rsidRDefault="00C62EC1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E7" w:rsidRDefault="00CB02E7">
      <w:r>
        <w:separator/>
      </w:r>
    </w:p>
  </w:footnote>
  <w:footnote w:type="continuationSeparator" w:id="0">
    <w:p w:rsidR="00CB02E7" w:rsidRDefault="00CB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5D3"/>
    <w:multiLevelType w:val="hybridMultilevel"/>
    <w:tmpl w:val="54A0E148"/>
    <w:lvl w:ilvl="0" w:tplc="31C81FF6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374CE0"/>
    <w:multiLevelType w:val="hybridMultilevel"/>
    <w:tmpl w:val="DC9CE0DE"/>
    <w:lvl w:ilvl="0" w:tplc="31C81F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9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6D"/>
    <w:rsid w:val="0029079C"/>
    <w:rsid w:val="00357C6D"/>
    <w:rsid w:val="00612B19"/>
    <w:rsid w:val="006F387F"/>
    <w:rsid w:val="0074208A"/>
    <w:rsid w:val="00780ECC"/>
    <w:rsid w:val="00923E90"/>
    <w:rsid w:val="00C62EC1"/>
    <w:rsid w:val="00C83AA0"/>
    <w:rsid w:val="00CB02E7"/>
    <w:rsid w:val="00E35E1A"/>
    <w:rsid w:val="00ED0694"/>
    <w:rsid w:val="00F623A4"/>
    <w:rsid w:val="00FC1B6C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8B4B9D-84EA-4B23-8025-23CEA160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8280"/>
        <w:tab w:val="left" w:pos="9180"/>
        <w:tab w:val="left" w:pos="9360"/>
      </w:tabs>
      <w:ind w:left="360" w:right="720"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bCs/>
      <w:sz w:val="14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color w:val="FF0000"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9180"/>
      </w:tabs>
      <w:ind w:left="-180"/>
      <w:jc w:val="center"/>
      <w:outlineLvl w:val="4"/>
    </w:pPr>
    <w:rPr>
      <w:rFonts w:ascii="Arial" w:hAnsi="Arial" w:cs="Arial"/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i/>
      <w:sz w:val="3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12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pPr>
      <w:tabs>
        <w:tab w:val="left" w:pos="8789"/>
      </w:tabs>
    </w:pPr>
    <w:rPr>
      <w:rFonts w:ascii="Arial" w:hAnsi="Arial"/>
      <w:snapToGrid w:val="0"/>
      <w:color w:val="000000"/>
      <w:sz w:val="20"/>
      <w:szCs w:val="20"/>
    </w:rPr>
  </w:style>
  <w:style w:type="paragraph" w:styleId="Podtitul">
    <w:name w:val="Podtitul"/>
    <w:basedOn w:val="Normln"/>
    <w:qFormat/>
    <w:pPr>
      <w:ind w:left="426"/>
    </w:pPr>
    <w:rPr>
      <w:rFonts w:ascii="Arial" w:hAnsi="Arial"/>
      <w:b/>
      <w:snapToGrid w:val="0"/>
      <w:color w:val="000000"/>
      <w:sz w:val="20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 w:cs="Arial"/>
      <w:i/>
      <w:iCs/>
      <w:sz w:val="19"/>
      <w:lang w:val="en-GB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3">
    <w:name w:val="Body Text Indent 3"/>
    <w:basedOn w:val="Normln"/>
    <w:semiHidden/>
    <w:pPr>
      <w:spacing w:before="120"/>
      <w:ind w:firstLine="709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ŽIVOTNÍ PROSTŘEDÍ, ZEMĚDĚLSTVÍ </vt:lpstr>
    </vt:vector>
  </TitlesOfParts>
  <Company>CSU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ŽIVOTNÍ PROSTŘEDÍ, ZEMĚDĚLSTVÍ</dc:title>
  <dc:subject/>
  <dc:creator>System Service</dc:creator>
  <cp:keywords/>
  <dc:description/>
  <cp:lastModifiedBy>Valterová Tůmová Mirka</cp:lastModifiedBy>
  <cp:revision>2</cp:revision>
  <cp:lastPrinted>2010-09-21T10:38:00Z</cp:lastPrinted>
  <dcterms:created xsi:type="dcterms:W3CDTF">2024-09-19T09:49:00Z</dcterms:created>
  <dcterms:modified xsi:type="dcterms:W3CDTF">2024-09-19T09:49:00Z</dcterms:modified>
</cp:coreProperties>
</file>