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59" w:rsidRPr="000732DB" w:rsidRDefault="00597C59" w:rsidP="00514E0B">
      <w:pPr>
        <w:pStyle w:val="Nadpis1"/>
        <w:numPr>
          <w:ilvl w:val="0"/>
          <w:numId w:val="24"/>
        </w:numPr>
        <w:jc w:val="both"/>
      </w:pPr>
      <w:bookmarkStart w:id="0" w:name="_Toc436211339"/>
      <w:r>
        <w:t>Reálný hrubý domácí důchod</w:t>
      </w:r>
      <w:bookmarkEnd w:id="0"/>
    </w:p>
    <w:tbl>
      <w:tblPr>
        <w:tblW w:w="5000" w:type="pct"/>
        <w:tblLayout w:type="fixed"/>
        <w:tblLook w:val="00A0"/>
      </w:tblPr>
      <w:tblGrid>
        <w:gridCol w:w="9854"/>
      </w:tblGrid>
      <w:tr w:rsidR="00597C59" w:rsidRPr="004F7A66" w:rsidTr="00640999">
        <w:trPr>
          <w:trHeight w:val="1072"/>
        </w:trPr>
        <w:tc>
          <w:tcPr>
            <w:tcW w:w="5000" w:type="pct"/>
          </w:tcPr>
          <w:p w:rsidR="00597C59" w:rsidRPr="005C5887" w:rsidRDefault="00597C59" w:rsidP="00C10FEB">
            <w:pPr>
              <w:pStyle w:val="Textpoznpodarou"/>
              <w:jc w:val="both"/>
            </w:pPr>
            <w:r w:rsidRPr="005C5887">
              <w:t>Otevřenost české ekonomiky</w:t>
            </w:r>
            <w:r w:rsidR="00EA0880" w:rsidRPr="005C5887">
              <w:t xml:space="preserve"> </w:t>
            </w:r>
            <w:r w:rsidRPr="005C5887">
              <w:t>je nadprůměrná a proto</w:t>
            </w:r>
            <w:r w:rsidR="008906E4" w:rsidRPr="005C5887">
              <w:t xml:space="preserve"> i malá</w:t>
            </w:r>
            <w:r w:rsidRPr="005C5887">
              <w:t xml:space="preserve"> změna cen v zahraničním obchodě</w:t>
            </w:r>
            <w:r w:rsidR="00A04ACE" w:rsidRPr="005C5887">
              <w:t xml:space="preserve"> se zbožím a</w:t>
            </w:r>
            <w:r w:rsidR="00F70F53" w:rsidRPr="005C5887">
              <w:t> </w:t>
            </w:r>
            <w:r w:rsidR="00A04ACE" w:rsidRPr="005C5887">
              <w:t>službami</w:t>
            </w:r>
            <w:r w:rsidRPr="005C5887">
              <w:t xml:space="preserve"> má významný vliv </w:t>
            </w:r>
            <w:r w:rsidR="00EA0880" w:rsidRPr="005C5887">
              <w:t>na její výkonnost</w:t>
            </w:r>
            <w:r w:rsidR="008C29DD" w:rsidRPr="005C5887">
              <w:t xml:space="preserve">. Pokud se ceny vyvíjí </w:t>
            </w:r>
            <w:r w:rsidR="00967B9A">
              <w:t>příznivě</w:t>
            </w:r>
            <w:r w:rsidR="008C29DD" w:rsidRPr="005C5887">
              <w:t>, to znamená, že</w:t>
            </w:r>
            <w:r w:rsidRPr="005C5887">
              <w:t xml:space="preserve"> směnné relace jsou</w:t>
            </w:r>
            <w:r w:rsidR="00EA0880" w:rsidRPr="005C5887">
              <w:t xml:space="preserve"> </w:t>
            </w:r>
            <w:r w:rsidRPr="005C5887">
              <w:t>pozitivní, pak ekonomika na změně cen</w:t>
            </w:r>
            <w:r w:rsidR="00EA0880" w:rsidRPr="005C5887">
              <w:t xml:space="preserve"> v zahraničním obchodě</w:t>
            </w:r>
            <w:r w:rsidRPr="005C5887">
              <w:t xml:space="preserve"> </w:t>
            </w:r>
            <w:r w:rsidR="00C10FEB">
              <w:t>získává</w:t>
            </w:r>
            <w:r w:rsidRPr="005C5887">
              <w:t xml:space="preserve">. Pokud jsou směnné relace naopak negativní, ekonomika </w:t>
            </w:r>
            <w:r w:rsidR="00C10FEB">
              <w:t>ztrácí</w:t>
            </w:r>
            <w:r w:rsidRPr="005C5887">
              <w:t xml:space="preserve">. Tyto zisky nebo ztráty nejsou </w:t>
            </w:r>
            <w:r w:rsidR="00967B9A">
              <w:t>reflektovány v reálné dynamice hrubého domácího produktu</w:t>
            </w:r>
            <w:r w:rsidRPr="005C5887">
              <w:t xml:space="preserve">, </w:t>
            </w:r>
            <w:r w:rsidR="00A62C1D" w:rsidRPr="005C5887">
              <w:t>protože</w:t>
            </w:r>
            <w:r w:rsidR="00967B9A">
              <w:t xml:space="preserve"> ta</w:t>
            </w:r>
            <w:r w:rsidRPr="005C5887">
              <w:t xml:space="preserve"> je očištěn</w:t>
            </w:r>
            <w:r w:rsidR="00967B9A">
              <w:t>a</w:t>
            </w:r>
            <w:r w:rsidRPr="005C5887">
              <w:t xml:space="preserve"> od jakýchkoli cenových</w:t>
            </w:r>
            <w:r w:rsidR="00EA0880" w:rsidRPr="005C5887">
              <w:t xml:space="preserve"> </w:t>
            </w:r>
            <w:r w:rsidR="00F70F53" w:rsidRPr="005C5887">
              <w:t>pohybů</w:t>
            </w:r>
            <w:r w:rsidR="008C29DD" w:rsidRPr="005C5887">
              <w:t xml:space="preserve">. </w:t>
            </w:r>
            <w:r w:rsidR="00B73530" w:rsidRPr="005C5887">
              <w:t>Vývoj</w:t>
            </w:r>
            <w:r w:rsidRPr="005C5887">
              <w:t xml:space="preserve"> reálné</w:t>
            </w:r>
            <w:r w:rsidR="00B73530" w:rsidRPr="005C5887">
              <w:t>ho hrubého domácího</w:t>
            </w:r>
            <w:r w:rsidRPr="005C5887">
              <w:t xml:space="preserve"> důchodu</w:t>
            </w:r>
            <w:r w:rsidR="00B73530" w:rsidRPr="005C5887">
              <w:t xml:space="preserve"> je však </w:t>
            </w:r>
            <w:r w:rsidR="00967B9A">
              <w:t>zohledňuje</w:t>
            </w:r>
            <w:r w:rsidRPr="005C5887">
              <w:t>.</w:t>
            </w:r>
          </w:p>
        </w:tc>
      </w:tr>
    </w:tbl>
    <w:p w:rsidR="00597C59" w:rsidRPr="00B67C3E" w:rsidRDefault="00597C59" w:rsidP="00597C59">
      <w:pPr>
        <w:rPr>
          <w:sz w:val="16"/>
          <w:szCs w:val="16"/>
          <w:lang w:eastAsia="ar-SA"/>
        </w:rPr>
      </w:pPr>
    </w:p>
    <w:p w:rsidR="00597C59" w:rsidRPr="00B85FE0" w:rsidRDefault="00597C59" w:rsidP="00514E0B">
      <w:pPr>
        <w:pStyle w:val="Nadpis2"/>
        <w:numPr>
          <w:ilvl w:val="1"/>
          <w:numId w:val="24"/>
        </w:numPr>
      </w:pPr>
      <w:bookmarkStart w:id="1" w:name="_Toc436211340"/>
      <w:r>
        <w:t>Otevřenost ekonomiky</w:t>
      </w:r>
      <w:r>
        <w:rPr>
          <w:rStyle w:val="Znakapoznpodarou"/>
        </w:rPr>
        <w:footnoteReference w:id="1"/>
      </w:r>
      <w:bookmarkEnd w:id="1"/>
    </w:p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EA0880" w:rsidRPr="004F7A66" w:rsidTr="006C32C5">
        <w:tc>
          <w:tcPr>
            <w:tcW w:w="1054" w:type="pct"/>
          </w:tcPr>
          <w:p w:rsidR="00EA0880" w:rsidRPr="004F7A66" w:rsidRDefault="006D7096" w:rsidP="006D7096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Otevřenost ekonomiky roste především po roce 2003. Zvyšuje se výrazně poměr vývozu k HDP, …</w:t>
            </w:r>
          </w:p>
        </w:tc>
        <w:tc>
          <w:tcPr>
            <w:tcW w:w="143" w:type="pct"/>
          </w:tcPr>
          <w:p w:rsidR="00EA0880" w:rsidRPr="004F7A66" w:rsidRDefault="00EA0880" w:rsidP="0095324D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A13396" w:rsidRPr="004F7A66" w:rsidRDefault="0095324D" w:rsidP="00D44C8E">
            <w:pPr>
              <w:pStyle w:val="Textpoznpodarou"/>
              <w:jc w:val="both"/>
            </w:pPr>
            <w:r w:rsidRPr="004F7A66">
              <w:t>Otevřenost ekonomiky, měřená poměrem vývozu</w:t>
            </w:r>
            <w:r w:rsidR="00640999" w:rsidRPr="004F7A66">
              <w:t xml:space="preserve"> zboží a služeb</w:t>
            </w:r>
            <w:r w:rsidR="00727D07" w:rsidRPr="004F7A66">
              <w:t xml:space="preserve"> </w:t>
            </w:r>
            <w:r w:rsidRPr="004F7A66">
              <w:t>k HDP, se</w:t>
            </w:r>
            <w:r w:rsidR="00727D07" w:rsidRPr="004F7A66">
              <w:t xml:space="preserve"> v případě </w:t>
            </w:r>
            <w:r w:rsidR="00640999" w:rsidRPr="004F7A66">
              <w:t>ČR</w:t>
            </w:r>
            <w:r w:rsidRPr="004F7A66">
              <w:t xml:space="preserve"> zvy</w:t>
            </w:r>
            <w:r w:rsidR="003136E7" w:rsidRPr="004F7A66">
              <w:t>šovala</w:t>
            </w:r>
            <w:r w:rsidR="00727D07" w:rsidRPr="004F7A66">
              <w:t xml:space="preserve"> dlouhod</w:t>
            </w:r>
            <w:r w:rsidR="00395D42">
              <w:t>obě. N</w:t>
            </w:r>
            <w:r w:rsidR="006B7EB4" w:rsidRPr="004F7A66">
              <w:t>ejrychleji však narůstala</w:t>
            </w:r>
            <w:r w:rsidR="006C32C5" w:rsidRPr="004F7A66">
              <w:t xml:space="preserve"> </w:t>
            </w:r>
            <w:r w:rsidR="00727D07" w:rsidRPr="004F7A66">
              <w:t xml:space="preserve">po </w:t>
            </w:r>
            <w:r w:rsidR="00D44C8E" w:rsidRPr="004F7A66">
              <w:t xml:space="preserve">roce 2003. </w:t>
            </w:r>
            <w:r w:rsidR="00A13396" w:rsidRPr="004F7A66">
              <w:t>Byla</w:t>
            </w:r>
            <w:r w:rsidR="00640999" w:rsidRPr="004F7A66">
              <w:t xml:space="preserve"> logickým</w:t>
            </w:r>
            <w:r w:rsidR="00A13396" w:rsidRPr="004F7A66">
              <w:t xml:space="preserve"> důsledkem </w:t>
            </w:r>
            <w:r w:rsidR="00640999" w:rsidRPr="004F7A66">
              <w:t>přílivu zahraničního kapitálu</w:t>
            </w:r>
            <w:r w:rsidR="00A13396" w:rsidRPr="004F7A66">
              <w:t xml:space="preserve"> do zpraco</w:t>
            </w:r>
            <w:r w:rsidR="00640999" w:rsidRPr="004F7A66">
              <w:t xml:space="preserve">vatelského průmyslu, ten totiž do </w:t>
            </w:r>
            <w:r w:rsidR="00895E6F" w:rsidRPr="004F7A66">
              <w:t>tohoto odvětví</w:t>
            </w:r>
            <w:r w:rsidR="00640999" w:rsidRPr="004F7A66">
              <w:t xml:space="preserve"> přicházel s tím, že zboží vyráběné v tuzemsku bude </w:t>
            </w:r>
            <w:r w:rsidR="00C10FEB">
              <w:t>vyváženo</w:t>
            </w:r>
            <w:r w:rsidR="00D44C8E" w:rsidRPr="004F7A66">
              <w:t> </w:t>
            </w:r>
            <w:r w:rsidR="00640999" w:rsidRPr="004F7A66">
              <w:t>na zahraniční trhy</w:t>
            </w:r>
            <w:r w:rsidR="00395D42">
              <w:t>, k čemuž mu dopomůže</w:t>
            </w:r>
            <w:r w:rsidR="00640999" w:rsidRPr="004F7A66">
              <w:t xml:space="preserve"> i</w:t>
            </w:r>
            <w:r w:rsidR="00895E6F" w:rsidRPr="004F7A66">
              <w:t> </w:t>
            </w:r>
            <w:r w:rsidR="00640999" w:rsidRPr="004F7A66">
              <w:t>geografické umístění ČR ve středu Evropy</w:t>
            </w:r>
            <w:r w:rsidR="00D44C8E" w:rsidRPr="004F7A66">
              <w:t xml:space="preserve">. </w:t>
            </w:r>
            <w:r w:rsidR="00471539" w:rsidRPr="004F7A66">
              <w:t>O</w:t>
            </w:r>
            <w:r w:rsidR="00D44C8E" w:rsidRPr="004F7A66">
              <w:t xml:space="preserve">tevřenost ekonomiky </w:t>
            </w:r>
            <w:r w:rsidR="00395D42">
              <w:t xml:space="preserve">zvyšovalo </w:t>
            </w:r>
            <w:r w:rsidR="00395D42" w:rsidRPr="00395D42">
              <w:rPr>
                <w:spacing w:val="-2"/>
              </w:rPr>
              <w:t>rovněž</w:t>
            </w:r>
            <w:r w:rsidR="00895E6F" w:rsidRPr="00395D42">
              <w:rPr>
                <w:spacing w:val="-2"/>
              </w:rPr>
              <w:t> </w:t>
            </w:r>
            <w:r w:rsidR="006A2BFE" w:rsidRPr="00395D42">
              <w:rPr>
                <w:spacing w:val="-2"/>
              </w:rPr>
              <w:t>lepší nahlíž</w:t>
            </w:r>
            <w:r w:rsidR="00395D42" w:rsidRPr="00395D42">
              <w:rPr>
                <w:spacing w:val="-2"/>
              </w:rPr>
              <w:t>ení na české společnosti jako</w:t>
            </w:r>
            <w:r w:rsidR="00B67C3E" w:rsidRPr="00395D42">
              <w:rPr>
                <w:spacing w:val="-2"/>
              </w:rPr>
              <w:t xml:space="preserve"> na</w:t>
            </w:r>
            <w:r w:rsidR="006A2BFE" w:rsidRPr="00395D42">
              <w:rPr>
                <w:spacing w:val="-2"/>
              </w:rPr>
              <w:t xml:space="preserve"> dodavatele po začlenění</w:t>
            </w:r>
            <w:r w:rsidR="006A2BFE" w:rsidRPr="004F7A66">
              <w:t xml:space="preserve"> Česka do Evropské unie</w:t>
            </w:r>
            <w:r w:rsidR="00395D42">
              <w:t>.</w:t>
            </w:r>
            <w:r w:rsidR="006A2BFE" w:rsidRPr="004F7A66">
              <w:t> </w:t>
            </w:r>
            <w:r w:rsidR="00395D42">
              <w:t>N</w:t>
            </w:r>
            <w:r w:rsidR="00471539" w:rsidRPr="004F7A66">
              <w:t>elze opomenout, že také</w:t>
            </w:r>
            <w:r w:rsidR="00D44C8E" w:rsidRPr="004F7A66">
              <w:t xml:space="preserve"> konjunkturní období v</w:t>
            </w:r>
            <w:r w:rsidR="00B67C3E" w:rsidRPr="004F7A66">
              <w:t> </w:t>
            </w:r>
            <w:r w:rsidR="00D44C8E" w:rsidRPr="004F7A66">
              <w:t>Evropě</w:t>
            </w:r>
            <w:r w:rsidR="00B63E6D" w:rsidRPr="004F7A66">
              <w:t xml:space="preserve"> v letech 2004 až 2007</w:t>
            </w:r>
            <w:r w:rsidR="00E6248A" w:rsidRPr="004F7A66">
              <w:t xml:space="preserve"> </w:t>
            </w:r>
            <w:r w:rsidR="00C10FEB">
              <w:t>se na hodnotě</w:t>
            </w:r>
            <w:r w:rsidR="00471539" w:rsidRPr="004F7A66">
              <w:t xml:space="preserve"> českého vývozu podepsalo</w:t>
            </w:r>
            <w:r w:rsidR="006A2BFE" w:rsidRPr="004F7A66">
              <w:t xml:space="preserve"> výrazně</w:t>
            </w:r>
            <w:r w:rsidR="00471539" w:rsidRPr="004F7A66">
              <w:t xml:space="preserve"> pozitivně</w:t>
            </w:r>
            <w:r w:rsidR="00640999" w:rsidRPr="004F7A66">
              <w:t xml:space="preserve">. </w:t>
            </w:r>
            <w:r w:rsidRPr="004F7A66">
              <w:t>Jestliže v roce 1995</w:t>
            </w:r>
            <w:r w:rsidR="00D44C8E" w:rsidRPr="004F7A66">
              <w:t> </w:t>
            </w:r>
            <w:r w:rsidRPr="004F7A66">
              <w:t>činil poměr vývozu zboží a služeb k HDP 40,6</w:t>
            </w:r>
            <w:r w:rsidR="00727D07" w:rsidRPr="004F7A66">
              <w:t> </w:t>
            </w:r>
            <w:r w:rsidRPr="004F7A66">
              <w:t>% a</w:t>
            </w:r>
            <w:r w:rsidR="00895E6F" w:rsidRPr="004F7A66">
              <w:t> </w:t>
            </w:r>
            <w:r w:rsidR="00D44C8E" w:rsidRPr="004F7A66">
              <w:t>v roce</w:t>
            </w:r>
            <w:r w:rsidR="00727D07" w:rsidRPr="004F7A66">
              <w:t xml:space="preserve"> 2003</w:t>
            </w:r>
            <w:r w:rsidR="00D44C8E" w:rsidRPr="004F7A66">
              <w:t xml:space="preserve"> byl vyšší pouze o</w:t>
            </w:r>
            <w:r w:rsidR="006A2BFE" w:rsidRPr="004F7A66">
              <w:t> </w:t>
            </w:r>
            <w:r w:rsidR="00D44C8E" w:rsidRPr="004F7A66">
              <w:t>6,5</w:t>
            </w:r>
            <w:r w:rsidR="006A2BFE" w:rsidRPr="004F7A66">
              <w:t> </w:t>
            </w:r>
            <w:proofErr w:type="spellStart"/>
            <w:r w:rsidR="00D44C8E" w:rsidRPr="004F7A66">
              <w:t>pb</w:t>
            </w:r>
            <w:proofErr w:type="spellEnd"/>
            <w:r w:rsidR="00D44C8E" w:rsidRPr="004F7A66">
              <w:t>. (</w:t>
            </w:r>
            <w:r w:rsidR="00727D07" w:rsidRPr="004F7A66">
              <w:t>47,1</w:t>
            </w:r>
            <w:r w:rsidR="00640999" w:rsidRPr="004F7A66">
              <w:t> </w:t>
            </w:r>
            <w:r w:rsidR="00727D07" w:rsidRPr="004F7A66">
              <w:t>%</w:t>
            </w:r>
            <w:r w:rsidR="00D44C8E" w:rsidRPr="004F7A66">
              <w:t>)</w:t>
            </w:r>
            <w:r w:rsidR="00727D07" w:rsidRPr="004F7A66">
              <w:t>,</w:t>
            </w:r>
            <w:r w:rsidRPr="004F7A66">
              <w:t xml:space="preserve"> </w:t>
            </w:r>
            <w:r w:rsidR="00D44C8E" w:rsidRPr="004F7A66">
              <w:t>do roku</w:t>
            </w:r>
            <w:r w:rsidRPr="004F7A66">
              <w:t xml:space="preserve"> 2014 </w:t>
            </w:r>
            <w:r w:rsidR="00D44C8E" w:rsidRPr="004F7A66">
              <w:t>narostl na</w:t>
            </w:r>
            <w:r w:rsidRPr="004F7A66">
              <w:t xml:space="preserve"> 83,8 %</w:t>
            </w:r>
            <w:r w:rsidR="00640999" w:rsidRPr="004F7A66">
              <w:t>.</w:t>
            </w:r>
          </w:p>
          <w:p w:rsidR="00D44C8E" w:rsidRPr="004F7A66" w:rsidRDefault="00D44C8E" w:rsidP="00D44C8E">
            <w:pPr>
              <w:pStyle w:val="Textpoznpodarou"/>
              <w:jc w:val="both"/>
              <w:rPr>
                <w:sz w:val="16"/>
                <w:szCs w:val="16"/>
              </w:rPr>
            </w:pPr>
          </w:p>
        </w:tc>
      </w:tr>
      <w:tr w:rsidR="00D44C8E" w:rsidRPr="004F7A66" w:rsidTr="00B67C3E">
        <w:trPr>
          <w:trHeight w:val="1155"/>
        </w:trPr>
        <w:tc>
          <w:tcPr>
            <w:tcW w:w="1054" w:type="pct"/>
          </w:tcPr>
          <w:p w:rsidR="00D44C8E" w:rsidRPr="004F7A66" w:rsidRDefault="006D7096" w:rsidP="006D7096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…ale i poměr dovozu k HDP</w:t>
            </w:r>
          </w:p>
        </w:tc>
        <w:tc>
          <w:tcPr>
            <w:tcW w:w="143" w:type="pct"/>
          </w:tcPr>
          <w:p w:rsidR="00D44C8E" w:rsidRPr="004F7A66" w:rsidRDefault="00D44C8E" w:rsidP="0095324D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D44C8E" w:rsidRPr="004F7A66" w:rsidRDefault="00D44C8E" w:rsidP="00A13396">
            <w:pPr>
              <w:pStyle w:val="Textpoznpodarou"/>
              <w:jc w:val="both"/>
            </w:pPr>
            <w:r w:rsidRPr="004F7A66">
              <w:t>Podobně se vyvíjela i otevřenost ekonomiky</w:t>
            </w:r>
            <w:r w:rsidR="00B67C3E" w:rsidRPr="004F7A66">
              <w:t xml:space="preserve"> ČR</w:t>
            </w:r>
            <w:r w:rsidR="00A6037E">
              <w:t xml:space="preserve"> z hlediska</w:t>
            </w:r>
            <w:r w:rsidRPr="004F7A66">
              <w:t xml:space="preserve"> dovozu,</w:t>
            </w:r>
            <w:r w:rsidR="006A2BFE" w:rsidRPr="004F7A66">
              <w:t xml:space="preserve"> </w:t>
            </w:r>
            <w:r w:rsidR="00B63E6D" w:rsidRPr="004F7A66">
              <w:t>protože</w:t>
            </w:r>
            <w:r w:rsidRPr="004F7A66">
              <w:t xml:space="preserve"> s nárůstem vývozu</w:t>
            </w:r>
            <w:r w:rsidR="00895E6F" w:rsidRPr="004F7A66">
              <w:t xml:space="preserve"> zboží</w:t>
            </w:r>
            <w:r w:rsidRPr="004F7A66">
              <w:t xml:space="preserve"> rostla </w:t>
            </w:r>
            <w:r w:rsidR="00E6248A" w:rsidRPr="004F7A66">
              <w:t xml:space="preserve">logicky </w:t>
            </w:r>
            <w:r w:rsidRPr="004F7A66">
              <w:t>i potřeba dovážet suroviny</w:t>
            </w:r>
            <w:r w:rsidR="00E6248A" w:rsidRPr="004F7A66">
              <w:t>, polotovary</w:t>
            </w:r>
            <w:r w:rsidRPr="004F7A66">
              <w:t xml:space="preserve"> a meziprodukty ke zpracování. Zatímco v roce 1995 činil poměr </w:t>
            </w:r>
            <w:r w:rsidRPr="004F7A66">
              <w:rPr>
                <w:spacing w:val="-2"/>
              </w:rPr>
              <w:t>dovozu zboží a</w:t>
            </w:r>
            <w:r w:rsidR="006A2BFE" w:rsidRPr="004F7A66">
              <w:rPr>
                <w:spacing w:val="-2"/>
              </w:rPr>
              <w:t> </w:t>
            </w:r>
            <w:r w:rsidRPr="004F7A66">
              <w:rPr>
                <w:spacing w:val="-2"/>
              </w:rPr>
              <w:t>služeb k HDP 43,7 % a</w:t>
            </w:r>
            <w:r w:rsidR="006A2BFE" w:rsidRPr="004F7A66">
              <w:rPr>
                <w:spacing w:val="-2"/>
              </w:rPr>
              <w:t xml:space="preserve"> do roku</w:t>
            </w:r>
            <w:r w:rsidRPr="004F7A66">
              <w:rPr>
                <w:spacing w:val="-2"/>
              </w:rPr>
              <w:t xml:space="preserve">  2003 </w:t>
            </w:r>
            <w:r w:rsidR="006A2BFE" w:rsidRPr="004F7A66">
              <w:rPr>
                <w:spacing w:val="-2"/>
              </w:rPr>
              <w:t>narostl jen mírně</w:t>
            </w:r>
            <w:r w:rsidRPr="004F7A66">
              <w:rPr>
                <w:spacing w:val="-2"/>
              </w:rPr>
              <w:t xml:space="preserve"> </w:t>
            </w:r>
            <w:r w:rsidR="006A2BFE" w:rsidRPr="004F7A66">
              <w:rPr>
                <w:spacing w:val="-2"/>
              </w:rPr>
              <w:t>(</w:t>
            </w:r>
            <w:r w:rsidR="00B67C3E" w:rsidRPr="004F7A66">
              <w:rPr>
                <w:spacing w:val="-2"/>
              </w:rPr>
              <w:t xml:space="preserve">na </w:t>
            </w:r>
            <w:r w:rsidRPr="004F7A66">
              <w:rPr>
                <w:spacing w:val="-2"/>
              </w:rPr>
              <w:t>48,</w:t>
            </w:r>
            <w:r w:rsidRPr="004F7A66">
              <w:t>3 %</w:t>
            </w:r>
            <w:r w:rsidR="006A2BFE" w:rsidRPr="004F7A66">
              <w:t>)</w:t>
            </w:r>
            <w:r w:rsidRPr="004F7A66">
              <w:t xml:space="preserve">, </w:t>
            </w:r>
            <w:r w:rsidR="006A2BFE" w:rsidRPr="004F7A66">
              <w:t>v roce 2014 byla takto pojatá otevřenost ekonomiky již výrazná</w:t>
            </w:r>
            <w:r w:rsidRPr="004F7A66">
              <w:t xml:space="preserve"> </w:t>
            </w:r>
            <w:r w:rsidR="006A2BFE" w:rsidRPr="004F7A66">
              <w:t>(</w:t>
            </w:r>
            <w:r w:rsidRPr="004F7A66">
              <w:t>77,1 %</w:t>
            </w:r>
            <w:r w:rsidR="006A2BFE" w:rsidRPr="004F7A66">
              <w:t>)</w:t>
            </w:r>
            <w:r w:rsidRPr="004F7A66">
              <w:t>.</w:t>
            </w:r>
          </w:p>
          <w:p w:rsidR="00D44C8E" w:rsidRPr="004F7A66" w:rsidRDefault="00D44C8E" w:rsidP="00A13396">
            <w:pPr>
              <w:pStyle w:val="Textpoznpodarou"/>
              <w:jc w:val="both"/>
              <w:rPr>
                <w:sz w:val="16"/>
                <w:szCs w:val="16"/>
              </w:rPr>
            </w:pPr>
          </w:p>
        </w:tc>
      </w:tr>
      <w:tr w:rsidR="00EA0880" w:rsidRPr="004F7A66" w:rsidTr="00A00981">
        <w:tc>
          <w:tcPr>
            <w:tcW w:w="1054" w:type="pct"/>
          </w:tcPr>
          <w:p w:rsidR="00EA0880" w:rsidRPr="004F7A66" w:rsidRDefault="00EC13E4" w:rsidP="006D7096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Otevřenost české</w:t>
            </w:r>
            <w:r w:rsidR="006D7096" w:rsidRPr="004F7A66">
              <w:rPr>
                <w:sz w:val="16"/>
                <w:szCs w:val="16"/>
              </w:rPr>
              <w:t>ho</w:t>
            </w:r>
            <w:r w:rsidRPr="004F7A66">
              <w:rPr>
                <w:sz w:val="16"/>
                <w:szCs w:val="16"/>
              </w:rPr>
              <w:t xml:space="preserve"> </w:t>
            </w:r>
            <w:r w:rsidR="006D7096" w:rsidRPr="004F7A66">
              <w:rPr>
                <w:sz w:val="16"/>
                <w:szCs w:val="16"/>
              </w:rPr>
              <w:t xml:space="preserve">hospodářství </w:t>
            </w:r>
            <w:r w:rsidRPr="004F7A66">
              <w:rPr>
                <w:sz w:val="16"/>
                <w:szCs w:val="16"/>
              </w:rPr>
              <w:t>mezi zeměmi EU nadprůměrná, …</w:t>
            </w:r>
          </w:p>
        </w:tc>
        <w:tc>
          <w:tcPr>
            <w:tcW w:w="143" w:type="pct"/>
          </w:tcPr>
          <w:p w:rsidR="00EA0880" w:rsidRPr="004F7A66" w:rsidRDefault="00EA0880" w:rsidP="0095324D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B67C3E" w:rsidRPr="004F7A66" w:rsidRDefault="00A00981" w:rsidP="00B67C3E">
            <w:pPr>
              <w:pStyle w:val="Textpoznpodarou"/>
              <w:jc w:val="both"/>
            </w:pPr>
            <w:r w:rsidRPr="004F7A66">
              <w:t>O</w:t>
            </w:r>
            <w:r w:rsidR="00E6248A" w:rsidRPr="004F7A66">
              <w:t>tevřenost české</w:t>
            </w:r>
            <w:r w:rsidR="00B67C3E" w:rsidRPr="004F7A66">
              <w:t>ho hospodářství</w:t>
            </w:r>
            <w:r w:rsidR="00E6248A" w:rsidRPr="004F7A66">
              <w:t xml:space="preserve"> </w:t>
            </w:r>
            <w:r w:rsidRPr="004F7A66">
              <w:t xml:space="preserve">je </w:t>
            </w:r>
            <w:r w:rsidR="00C817CF" w:rsidRPr="004F7A66">
              <w:t xml:space="preserve">nadprůměrná a v porovnání s velkými </w:t>
            </w:r>
            <w:r w:rsidR="006B2C72">
              <w:t>méně otevřenými</w:t>
            </w:r>
            <w:r w:rsidR="00C817CF" w:rsidRPr="004F7A66">
              <w:t xml:space="preserve"> ekonomikami</w:t>
            </w:r>
            <w:r w:rsidR="00F439B2" w:rsidRPr="004F7A66">
              <w:t xml:space="preserve"> Evropské unie</w:t>
            </w:r>
            <w:r w:rsidR="00C817CF" w:rsidRPr="004F7A66">
              <w:t xml:space="preserve"> (</w:t>
            </w:r>
            <w:r w:rsidR="000B1886" w:rsidRPr="004F7A66">
              <w:t xml:space="preserve">Velká Británie, </w:t>
            </w:r>
            <w:r w:rsidR="00C817CF" w:rsidRPr="004F7A66">
              <w:t xml:space="preserve">Francie, Itálie, Španělsko) </w:t>
            </w:r>
            <w:r w:rsidR="005F20C3" w:rsidRPr="004F7A66">
              <w:t>téměř trojnásobná</w:t>
            </w:r>
            <w:r w:rsidR="00C817CF" w:rsidRPr="004F7A66">
              <w:t>. V</w:t>
            </w:r>
            <w:r w:rsidR="00E6248A" w:rsidRPr="004F7A66">
              <w:t>yšší poměr vývozu</w:t>
            </w:r>
            <w:r w:rsidR="006A2BFE" w:rsidRPr="004F7A66">
              <w:t xml:space="preserve"> zboží a služeb</w:t>
            </w:r>
            <w:r w:rsidR="00E6248A" w:rsidRPr="004F7A66">
              <w:t xml:space="preserve"> k HDP </w:t>
            </w:r>
            <w:r w:rsidRPr="004F7A66">
              <w:t xml:space="preserve">v roce </w:t>
            </w:r>
            <w:r w:rsidR="00E6248A" w:rsidRPr="004F7A66">
              <w:t>2014 vykazovalo</w:t>
            </w:r>
            <w:r w:rsidRPr="004F7A66">
              <w:t xml:space="preserve"> už jen</w:t>
            </w:r>
            <w:r w:rsidR="00E6248A" w:rsidRPr="004F7A66">
              <w:t xml:space="preserve"> sedm zemí</w:t>
            </w:r>
            <w:r w:rsidR="00A6037E">
              <w:t>. P</w:t>
            </w:r>
            <w:r w:rsidRPr="004F7A66">
              <w:t>oměr dovozu</w:t>
            </w:r>
            <w:r w:rsidR="00F439B2" w:rsidRPr="004F7A66">
              <w:t xml:space="preserve"> zboží a služeb</w:t>
            </w:r>
            <w:r w:rsidRPr="004F7A66">
              <w:t xml:space="preserve"> k HDP převyšoval tento ukazatel v Česku v případě </w:t>
            </w:r>
            <w:r w:rsidR="00E6248A" w:rsidRPr="004F7A66">
              <w:t>osmi</w:t>
            </w:r>
            <w:r w:rsidRPr="004F7A66">
              <w:t xml:space="preserve"> </w:t>
            </w:r>
            <w:r w:rsidR="000B1886" w:rsidRPr="004F7A66">
              <w:t xml:space="preserve">ekonomik </w:t>
            </w:r>
            <w:r w:rsidR="00F439B2" w:rsidRPr="004F7A66">
              <w:t>Unie</w:t>
            </w:r>
            <w:r w:rsidRPr="004F7A66">
              <w:t>.</w:t>
            </w:r>
          </w:p>
          <w:p w:rsidR="00B67C3E" w:rsidRPr="004F7A66" w:rsidRDefault="00B67C3E" w:rsidP="00B67C3E">
            <w:pPr>
              <w:pStyle w:val="Textpoznpodarou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B67C3E" w:rsidRPr="004F7A66" w:rsidTr="00E26555">
        <w:trPr>
          <w:trHeight w:val="541"/>
        </w:trPr>
        <w:tc>
          <w:tcPr>
            <w:tcW w:w="1054" w:type="pct"/>
          </w:tcPr>
          <w:p w:rsidR="00EC13E4" w:rsidRPr="004F7A66" w:rsidRDefault="00EC13E4" w:rsidP="006B7EB4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…</w:t>
            </w:r>
            <w:r w:rsidR="006D7096" w:rsidRPr="004F7A66">
              <w:rPr>
                <w:sz w:val="16"/>
                <w:szCs w:val="16"/>
              </w:rPr>
              <w:t xml:space="preserve">rychlost jeho provazování </w:t>
            </w:r>
            <w:r w:rsidRPr="004F7A66">
              <w:rPr>
                <w:sz w:val="16"/>
                <w:szCs w:val="16"/>
              </w:rPr>
              <w:t>s</w:t>
            </w:r>
            <w:r w:rsidR="006D7096" w:rsidRPr="004F7A66">
              <w:rPr>
                <w:sz w:val="16"/>
                <w:szCs w:val="16"/>
              </w:rPr>
              <w:t>e</w:t>
            </w:r>
            <w:r w:rsidR="006B7EB4" w:rsidRPr="004F7A66">
              <w:rPr>
                <w:sz w:val="16"/>
                <w:szCs w:val="16"/>
              </w:rPr>
              <w:t> </w:t>
            </w:r>
            <w:r w:rsidR="006D7096" w:rsidRPr="004F7A66">
              <w:rPr>
                <w:sz w:val="16"/>
                <w:szCs w:val="16"/>
              </w:rPr>
              <w:t>zahraničím</w:t>
            </w:r>
            <w:r w:rsidR="006B7EB4" w:rsidRPr="004F7A66">
              <w:rPr>
                <w:sz w:val="16"/>
                <w:szCs w:val="16"/>
              </w:rPr>
              <w:t xml:space="preserve"> v letech 2004–2014</w:t>
            </w:r>
            <w:r w:rsidR="006D7096" w:rsidRPr="004F7A66">
              <w:rPr>
                <w:sz w:val="16"/>
                <w:szCs w:val="16"/>
              </w:rPr>
              <w:t xml:space="preserve"> </w:t>
            </w:r>
            <w:r w:rsidRPr="004F7A66">
              <w:rPr>
                <w:sz w:val="16"/>
                <w:szCs w:val="16"/>
              </w:rPr>
              <w:t>dokonce</w:t>
            </w:r>
            <w:r w:rsidR="006D7096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mimořádná</w:t>
            </w:r>
          </w:p>
        </w:tc>
        <w:tc>
          <w:tcPr>
            <w:tcW w:w="143" w:type="pct"/>
          </w:tcPr>
          <w:p w:rsidR="00B67C3E" w:rsidRPr="004F7A66" w:rsidRDefault="00B67C3E" w:rsidP="0095324D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B67C3E" w:rsidRPr="00C10FEB" w:rsidRDefault="00EC13E4" w:rsidP="00C10FEB">
            <w:pPr>
              <w:pStyle w:val="Textpoznpodarou"/>
              <w:jc w:val="both"/>
              <w:rPr>
                <w:spacing w:val="-4"/>
              </w:rPr>
            </w:pPr>
            <w:r w:rsidRPr="00C10FEB">
              <w:rPr>
                <w:spacing w:val="-4"/>
              </w:rPr>
              <w:t>R</w:t>
            </w:r>
            <w:r w:rsidR="00B67C3E" w:rsidRPr="00C10FEB">
              <w:rPr>
                <w:spacing w:val="-4"/>
              </w:rPr>
              <w:t>ychlost, s jakou se česká ekonomika se zahraničím provazovala</w:t>
            </w:r>
            <w:r w:rsidRPr="00C10FEB">
              <w:rPr>
                <w:spacing w:val="-4"/>
              </w:rPr>
              <w:t xml:space="preserve"> v letech 2004</w:t>
            </w:r>
            <w:r w:rsidR="00C10FEB">
              <w:rPr>
                <w:spacing w:val="-4"/>
              </w:rPr>
              <w:t xml:space="preserve"> až </w:t>
            </w:r>
            <w:r w:rsidRPr="00C10FEB">
              <w:rPr>
                <w:spacing w:val="-4"/>
              </w:rPr>
              <w:t>2014, byla nejen nadprůměrná, ale dokonce mimořádná</w:t>
            </w:r>
            <w:r w:rsidR="00B67C3E" w:rsidRPr="00C10FEB">
              <w:rPr>
                <w:spacing w:val="-4"/>
              </w:rPr>
              <w:t xml:space="preserve">. Poměr vývozu </w:t>
            </w:r>
            <w:r w:rsidR="00E26555" w:rsidRPr="00C10FEB">
              <w:rPr>
                <w:spacing w:val="-4"/>
              </w:rPr>
              <w:t>k HDP se rychleji než</w:t>
            </w:r>
            <w:r w:rsidRPr="00C10FEB">
              <w:rPr>
                <w:spacing w:val="-4"/>
              </w:rPr>
              <w:t> </w:t>
            </w:r>
            <w:r w:rsidR="00E26555" w:rsidRPr="00C10FEB">
              <w:rPr>
                <w:spacing w:val="-4"/>
              </w:rPr>
              <w:t xml:space="preserve">v ČR </w:t>
            </w:r>
            <w:r w:rsidR="00A00981" w:rsidRPr="00C10FEB">
              <w:rPr>
                <w:spacing w:val="-4"/>
              </w:rPr>
              <w:t>v</w:t>
            </w:r>
            <w:r w:rsidRPr="00C10FEB">
              <w:rPr>
                <w:spacing w:val="-4"/>
              </w:rPr>
              <w:t> tomto období</w:t>
            </w:r>
            <w:r w:rsidR="00A00981" w:rsidRPr="00C10FEB">
              <w:rPr>
                <w:spacing w:val="-4"/>
              </w:rPr>
              <w:t xml:space="preserve"> </w:t>
            </w:r>
            <w:r w:rsidR="00FA630A" w:rsidRPr="00C10FEB">
              <w:rPr>
                <w:spacing w:val="-4"/>
              </w:rPr>
              <w:t>navýšil</w:t>
            </w:r>
            <w:r w:rsidR="00B67C3E" w:rsidRPr="00C10FEB">
              <w:rPr>
                <w:spacing w:val="-4"/>
              </w:rPr>
              <w:t xml:space="preserve"> </w:t>
            </w:r>
            <w:r w:rsidR="00E26555" w:rsidRPr="00C10FEB">
              <w:rPr>
                <w:spacing w:val="-4"/>
              </w:rPr>
              <w:t>jen v Lucembursku a na Maltě</w:t>
            </w:r>
            <w:r w:rsidR="00A6037E">
              <w:rPr>
                <w:spacing w:val="-4"/>
              </w:rPr>
              <w:t>.</w:t>
            </w:r>
            <w:r w:rsidR="00B67C3E" w:rsidRPr="00C10FEB">
              <w:rPr>
                <w:spacing w:val="-4"/>
              </w:rPr>
              <w:t xml:space="preserve"> </w:t>
            </w:r>
            <w:r w:rsidR="00A6037E">
              <w:rPr>
                <w:spacing w:val="-4"/>
              </w:rPr>
              <w:t>P</w:t>
            </w:r>
            <w:r w:rsidR="00E26555" w:rsidRPr="00C10FEB">
              <w:rPr>
                <w:spacing w:val="-4"/>
              </w:rPr>
              <w:t>oměr dovozu k</w:t>
            </w:r>
            <w:r w:rsidRPr="00C10FEB">
              <w:rPr>
                <w:spacing w:val="-4"/>
              </w:rPr>
              <w:t> </w:t>
            </w:r>
            <w:r w:rsidR="00E26555" w:rsidRPr="00C10FEB">
              <w:rPr>
                <w:spacing w:val="-4"/>
              </w:rPr>
              <w:t>HDP</w:t>
            </w:r>
            <w:r w:rsidRPr="00C10FEB">
              <w:rPr>
                <w:spacing w:val="-4"/>
              </w:rPr>
              <w:t> </w:t>
            </w:r>
            <w:r w:rsidR="00E26555" w:rsidRPr="00C10FEB">
              <w:rPr>
                <w:spacing w:val="-4"/>
              </w:rPr>
              <w:t>narostl</w:t>
            </w:r>
            <w:r w:rsidR="00A00981" w:rsidRPr="00C10FEB">
              <w:rPr>
                <w:spacing w:val="-4"/>
              </w:rPr>
              <w:t xml:space="preserve"> v porovnání s Č</w:t>
            </w:r>
            <w:r w:rsidR="00C10FEB" w:rsidRPr="00C10FEB">
              <w:rPr>
                <w:spacing w:val="-4"/>
              </w:rPr>
              <w:t>R</w:t>
            </w:r>
            <w:r w:rsidR="00E26555" w:rsidRPr="00C10FEB">
              <w:rPr>
                <w:spacing w:val="-4"/>
              </w:rPr>
              <w:t xml:space="preserve"> rychleji </w:t>
            </w:r>
            <w:r w:rsidR="00A00981" w:rsidRPr="00C10FEB">
              <w:rPr>
                <w:spacing w:val="-4"/>
              </w:rPr>
              <w:t>v Lucembursku, na Maltě a v Irsku.</w:t>
            </w:r>
          </w:p>
        </w:tc>
      </w:tr>
    </w:tbl>
    <w:p w:rsidR="006F12E2" w:rsidRPr="00A00981" w:rsidRDefault="006F12E2" w:rsidP="001760E5">
      <w:pPr>
        <w:rPr>
          <w:sz w:val="18"/>
          <w:szCs w:val="18"/>
          <w:lang w:eastAsia="ar-SA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"/>
        <w:gridCol w:w="3254"/>
        <w:gridCol w:w="712"/>
        <w:gridCol w:w="856"/>
        <w:gridCol w:w="4069"/>
      </w:tblGrid>
      <w:tr w:rsidR="001760E5" w:rsidRPr="004F7A66" w:rsidTr="006F12E2">
        <w:tc>
          <w:tcPr>
            <w:tcW w:w="488" w:type="pct"/>
          </w:tcPr>
          <w:p w:rsidR="001760E5" w:rsidRPr="004F7A66" w:rsidRDefault="001760E5" w:rsidP="0095324D">
            <w:pPr>
              <w:pStyle w:val="Textpoznpodarou"/>
            </w:pPr>
            <w:r w:rsidRPr="004F7A66">
              <w:t>Graf č. 4</w:t>
            </w:r>
            <w:r w:rsidR="00BE2C2A" w:rsidRPr="004F7A66">
              <w:t>2</w:t>
            </w:r>
          </w:p>
        </w:tc>
        <w:tc>
          <w:tcPr>
            <w:tcW w:w="2013" w:type="pct"/>
            <w:gridSpan w:val="2"/>
          </w:tcPr>
          <w:p w:rsidR="00033C42" w:rsidRPr="004F7A66" w:rsidRDefault="00AA2AFC" w:rsidP="001760E5">
            <w:pPr>
              <w:pStyle w:val="Textpoznpodarou"/>
              <w:rPr>
                <w:spacing w:val="-4"/>
              </w:rPr>
            </w:pPr>
            <w:r>
              <w:rPr>
                <w:b/>
              </w:rPr>
              <w:t>Poměr</w:t>
            </w:r>
            <w:r w:rsidR="001760E5" w:rsidRPr="004F7A66">
              <w:rPr>
                <w:b/>
              </w:rPr>
              <w:t xml:space="preserve"> vývozu a dovozu k HDP v ČR</w:t>
            </w:r>
            <w:r w:rsidR="001760E5" w:rsidRPr="004F7A66">
              <w:rPr>
                <w:b/>
                <w:spacing w:val="-4"/>
              </w:rPr>
              <w:t xml:space="preserve"> v letech 1995–2014</w:t>
            </w:r>
            <w:r w:rsidR="001760E5" w:rsidRPr="004F7A66">
              <w:rPr>
                <w:spacing w:val="-4"/>
              </w:rPr>
              <w:t xml:space="preserve"> </w:t>
            </w:r>
          </w:p>
          <w:p w:rsidR="001760E5" w:rsidRPr="004F7A66" w:rsidRDefault="001760E5" w:rsidP="001760E5">
            <w:pPr>
              <w:pStyle w:val="Textpoznpodarou"/>
              <w:rPr>
                <w:spacing w:val="-4"/>
              </w:rPr>
            </w:pPr>
            <w:r w:rsidRPr="004F7A66">
              <w:rPr>
                <w:spacing w:val="-4"/>
              </w:rPr>
              <w:t>(v %, z</w:t>
            </w:r>
            <w:r w:rsidR="00033C42" w:rsidRPr="004F7A66">
              <w:rPr>
                <w:spacing w:val="-4"/>
              </w:rPr>
              <w:t> údajů v</w:t>
            </w:r>
            <w:r w:rsidRPr="004F7A66">
              <w:rPr>
                <w:spacing w:val="-4"/>
              </w:rPr>
              <w:t> běžných cen</w:t>
            </w:r>
            <w:r w:rsidR="00033C42" w:rsidRPr="004F7A66">
              <w:rPr>
                <w:spacing w:val="-4"/>
              </w:rPr>
              <w:t>ách</w:t>
            </w:r>
            <w:r w:rsidRPr="004F7A66">
              <w:rPr>
                <w:spacing w:val="-4"/>
              </w:rPr>
              <w:t>)</w:t>
            </w:r>
          </w:p>
        </w:tc>
        <w:tc>
          <w:tcPr>
            <w:tcW w:w="433" w:type="pct"/>
          </w:tcPr>
          <w:p w:rsidR="001760E5" w:rsidRPr="004F7A66" w:rsidRDefault="001760E5" w:rsidP="0095324D">
            <w:pPr>
              <w:pStyle w:val="Textpoznpodarou"/>
            </w:pPr>
            <w:r w:rsidRPr="004F7A66">
              <w:t>Graf č. 4</w:t>
            </w:r>
            <w:r w:rsidR="00BE2C2A" w:rsidRPr="004F7A66">
              <w:t>3</w:t>
            </w:r>
          </w:p>
        </w:tc>
        <w:tc>
          <w:tcPr>
            <w:tcW w:w="2066" w:type="pct"/>
          </w:tcPr>
          <w:p w:rsidR="001760E5" w:rsidRPr="004F7A66" w:rsidRDefault="001760E5" w:rsidP="00033C42">
            <w:pPr>
              <w:pStyle w:val="Textpoznpodarou"/>
              <w:rPr>
                <w:spacing w:val="-6"/>
              </w:rPr>
            </w:pPr>
            <w:r w:rsidRPr="004F7A66">
              <w:rPr>
                <w:b/>
                <w:spacing w:val="-4"/>
              </w:rPr>
              <w:t>Poměr vývozu a dovozu k HDP v zemích</w:t>
            </w:r>
            <w:r w:rsidRPr="004F7A66">
              <w:rPr>
                <w:b/>
                <w:spacing w:val="-6"/>
              </w:rPr>
              <w:t xml:space="preserve"> </w:t>
            </w:r>
            <w:r w:rsidRPr="004F7A66">
              <w:rPr>
                <w:b/>
              </w:rPr>
              <w:t>EU a v</w:t>
            </w:r>
            <w:r w:rsidR="00184831">
              <w:rPr>
                <w:b/>
              </w:rPr>
              <w:t xml:space="preserve">ybraných </w:t>
            </w:r>
            <w:proofErr w:type="spellStart"/>
            <w:r w:rsidR="00184831">
              <w:rPr>
                <w:b/>
              </w:rPr>
              <w:t>mimo</w:t>
            </w:r>
            <w:r w:rsidR="00033C42" w:rsidRPr="004F7A66">
              <w:rPr>
                <w:b/>
              </w:rPr>
              <w:t>unijních</w:t>
            </w:r>
            <w:proofErr w:type="spellEnd"/>
            <w:r w:rsidR="00033C42" w:rsidRPr="004F7A66">
              <w:rPr>
                <w:b/>
              </w:rPr>
              <w:t xml:space="preserve"> zemích </w:t>
            </w:r>
            <w:r w:rsidR="00033C42" w:rsidRPr="004F7A66">
              <w:rPr>
                <w:b/>
                <w:spacing w:val="-6"/>
              </w:rPr>
              <w:t>v </w:t>
            </w:r>
            <w:r w:rsidRPr="004F7A66">
              <w:rPr>
                <w:b/>
                <w:spacing w:val="-6"/>
              </w:rPr>
              <w:t>roce 2014</w:t>
            </w:r>
            <w:r w:rsidR="00AC0F7A" w:rsidRPr="004F7A66">
              <w:rPr>
                <w:b/>
                <w:spacing w:val="-6"/>
              </w:rPr>
              <w:t>*</w:t>
            </w:r>
            <w:r w:rsidRPr="004F7A66">
              <w:rPr>
                <w:b/>
                <w:spacing w:val="-6"/>
              </w:rPr>
              <w:t xml:space="preserve"> </w:t>
            </w:r>
            <w:r w:rsidR="00B32537" w:rsidRPr="004F7A66">
              <w:rPr>
                <w:spacing w:val="-6"/>
              </w:rPr>
              <w:t>(v %, z</w:t>
            </w:r>
            <w:r w:rsidR="00033C42" w:rsidRPr="004F7A66">
              <w:rPr>
                <w:spacing w:val="-6"/>
              </w:rPr>
              <w:t> údajů v běžných cenách</w:t>
            </w:r>
            <w:r w:rsidR="00B32537" w:rsidRPr="004F7A66">
              <w:rPr>
                <w:spacing w:val="-6"/>
              </w:rPr>
              <w:t>)</w:t>
            </w:r>
          </w:p>
        </w:tc>
      </w:tr>
      <w:tr w:rsidR="001760E5" w:rsidRPr="004F7A66" w:rsidTr="001760E5">
        <w:tc>
          <w:tcPr>
            <w:tcW w:w="2501" w:type="pct"/>
            <w:gridSpan w:val="3"/>
          </w:tcPr>
          <w:p w:rsidR="001760E5" w:rsidRPr="004F7A66" w:rsidRDefault="006F12E2" w:rsidP="0095324D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43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pct"/>
            <w:gridSpan w:val="2"/>
          </w:tcPr>
          <w:p w:rsidR="001760E5" w:rsidRPr="004F7A66" w:rsidRDefault="006F12E2" w:rsidP="0095324D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59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0E5" w:rsidRPr="004F7A66" w:rsidTr="006F12E2">
        <w:tc>
          <w:tcPr>
            <w:tcW w:w="2141" w:type="pct"/>
            <w:gridSpan w:val="2"/>
          </w:tcPr>
          <w:p w:rsidR="001760E5" w:rsidRPr="004F7A66" w:rsidRDefault="006F12E2" w:rsidP="006F12E2">
            <w:pPr>
              <w:pStyle w:val="Textpoznpodarou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>*Pozn.: Údaj za Švýcarsko odpovídá roku 2013.</w:t>
            </w:r>
          </w:p>
        </w:tc>
        <w:tc>
          <w:tcPr>
            <w:tcW w:w="2859" w:type="pct"/>
            <w:gridSpan w:val="3"/>
          </w:tcPr>
          <w:p w:rsidR="001760E5" w:rsidRPr="004F7A66" w:rsidRDefault="006D00DB" w:rsidP="0095324D">
            <w:pPr>
              <w:pStyle w:val="Textpoznpodarou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Zdroj: ČSÚ, </w:t>
            </w:r>
            <w:proofErr w:type="spellStart"/>
            <w:r>
              <w:rPr>
                <w:sz w:val="18"/>
                <w:szCs w:val="18"/>
              </w:rPr>
              <w:t>Eurostat</w:t>
            </w:r>
            <w:proofErr w:type="spellEnd"/>
            <w:r w:rsidR="001760E5" w:rsidRPr="004F7A66">
              <w:rPr>
                <w:sz w:val="18"/>
                <w:szCs w:val="18"/>
              </w:rPr>
              <w:t>, vlastní výpočty</w:t>
            </w:r>
          </w:p>
        </w:tc>
      </w:tr>
    </w:tbl>
    <w:p w:rsidR="00622224" w:rsidRPr="00B85FE0" w:rsidRDefault="00622224" w:rsidP="00514E0B">
      <w:pPr>
        <w:pStyle w:val="Nadpis2"/>
        <w:numPr>
          <w:ilvl w:val="1"/>
          <w:numId w:val="24"/>
        </w:numPr>
      </w:pPr>
      <w:bookmarkStart w:id="2" w:name="_Toc436211341"/>
      <w:r>
        <w:lastRenderedPageBreak/>
        <w:t>Dlouhodobý vývoj reálného hrubého domácího důchodu</w:t>
      </w:r>
      <w:bookmarkEnd w:id="2"/>
    </w:p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130FF8" w:rsidRPr="004F7A66" w:rsidTr="001B636E">
        <w:tc>
          <w:tcPr>
            <w:tcW w:w="1054" w:type="pct"/>
          </w:tcPr>
          <w:p w:rsidR="00130FF8" w:rsidRPr="004F7A66" w:rsidRDefault="00476D70" w:rsidP="003064DE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 xml:space="preserve">Nejdelší období, kdy české ekonomice plynuly z příznivého vývoje cen v zahraničním obchodě zisky, </w:t>
            </w:r>
            <w:r w:rsidR="003064DE" w:rsidRPr="004F7A66">
              <w:rPr>
                <w:sz w:val="16"/>
                <w:szCs w:val="16"/>
              </w:rPr>
              <w:t>bylo dlouhé</w:t>
            </w:r>
            <w:r w:rsidRPr="004F7A66">
              <w:rPr>
                <w:sz w:val="16"/>
                <w:szCs w:val="16"/>
              </w:rPr>
              <w:t xml:space="preserve"> čtyři roky. Nepříznivý vývoj cen promítající se do ztrát trval maximálně tři roky</w:t>
            </w:r>
          </w:p>
        </w:tc>
        <w:tc>
          <w:tcPr>
            <w:tcW w:w="143" w:type="pct"/>
          </w:tcPr>
          <w:p w:rsidR="00130FF8" w:rsidRPr="004F7A66" w:rsidRDefault="00130FF8" w:rsidP="00130FF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130FF8" w:rsidRPr="004F7A66" w:rsidRDefault="00DB6572" w:rsidP="00130FF8">
            <w:pPr>
              <w:pStyle w:val="Textpoznpodarou"/>
              <w:jc w:val="both"/>
            </w:pPr>
            <w:r w:rsidRPr="004F7A66">
              <w:t>Vývoj cen v zahraničním obchodě</w:t>
            </w:r>
            <w:r w:rsidR="00F15FD9" w:rsidRPr="004F7A66">
              <w:t xml:space="preserve"> se zbožím a službami</w:t>
            </w:r>
            <w:r w:rsidRPr="004F7A66">
              <w:t xml:space="preserve"> je rozkolísaný</w:t>
            </w:r>
            <w:r w:rsidR="00D16060" w:rsidRPr="004F7A66">
              <w:t xml:space="preserve"> a směnné rela</w:t>
            </w:r>
            <w:r w:rsidR="00A039E5" w:rsidRPr="004F7A66">
              <w:t xml:space="preserve">ce se </w:t>
            </w:r>
            <w:r w:rsidR="00454A2C" w:rsidRPr="004F7A66">
              <w:t>tak</w:t>
            </w:r>
            <w:r w:rsidR="00D16060" w:rsidRPr="004F7A66">
              <w:t xml:space="preserve"> </w:t>
            </w:r>
            <w:r w:rsidR="00454A2C" w:rsidRPr="004F7A66">
              <w:t>výrazně</w:t>
            </w:r>
            <w:r w:rsidR="00D16060" w:rsidRPr="004F7A66">
              <w:t xml:space="preserve"> mění.</w:t>
            </w:r>
            <w:r w:rsidRPr="004F7A66">
              <w:t xml:space="preserve"> </w:t>
            </w:r>
            <w:r w:rsidR="0078264F" w:rsidRPr="004F7A66">
              <w:t>Dodatečné z</w:t>
            </w:r>
            <w:r w:rsidRPr="004F7A66">
              <w:t>isky</w:t>
            </w:r>
            <w:r w:rsidR="00D16060" w:rsidRPr="004F7A66">
              <w:t>, které ekonomika</w:t>
            </w:r>
            <w:r w:rsidR="0078264F" w:rsidRPr="004F7A66">
              <w:t xml:space="preserve"> ze směnných relací</w:t>
            </w:r>
            <w:r w:rsidRPr="004F7A66">
              <w:t xml:space="preserve"> realizovala,</w:t>
            </w:r>
            <w:r w:rsidR="00D16060" w:rsidRPr="004F7A66">
              <w:t xml:space="preserve"> a stejně tak ztráty,</w:t>
            </w:r>
            <w:r w:rsidRPr="004F7A66">
              <w:t xml:space="preserve"> nebyly</w:t>
            </w:r>
            <w:r w:rsidR="00D16060" w:rsidRPr="004F7A66">
              <w:t xml:space="preserve"> proto</w:t>
            </w:r>
            <w:r w:rsidRPr="004F7A66">
              <w:t xml:space="preserve"> koncentrovány do </w:t>
            </w:r>
            <w:r w:rsidR="001B636E" w:rsidRPr="004F7A66">
              <w:t>dlouhých</w:t>
            </w:r>
            <w:r w:rsidR="00D16060" w:rsidRPr="004F7A66">
              <w:t xml:space="preserve"> časových</w:t>
            </w:r>
            <w:r w:rsidR="00C551F9">
              <w:t xml:space="preserve"> období. Je to patrné z G</w:t>
            </w:r>
            <w:r w:rsidRPr="004F7A66">
              <w:t xml:space="preserve">rafu </w:t>
            </w:r>
            <w:r w:rsidR="001E0E16">
              <w:t>č.</w:t>
            </w:r>
            <w:r w:rsidR="00476D70" w:rsidRPr="004F7A66">
              <w:t xml:space="preserve"> </w:t>
            </w:r>
            <w:r w:rsidR="00BE2C2A" w:rsidRPr="004F7A66">
              <w:t>45</w:t>
            </w:r>
            <w:r w:rsidRPr="004F7A66">
              <w:t>, kde je zachycen vývoj směnných relací</w:t>
            </w:r>
            <w:r w:rsidR="00454A2C" w:rsidRPr="004F7A66">
              <w:t xml:space="preserve"> </w:t>
            </w:r>
            <w:r w:rsidRPr="004F7A66">
              <w:t>a příslušných zisků nebo ztrát</w:t>
            </w:r>
            <w:r w:rsidR="00454A2C" w:rsidRPr="004F7A66">
              <w:t xml:space="preserve"> v </w:t>
            </w:r>
            <w:r w:rsidR="00454A2C" w:rsidRPr="004F7A66">
              <w:rPr>
                <w:spacing w:val="-2"/>
              </w:rPr>
              <w:t>letech 1996 až 2014</w:t>
            </w:r>
            <w:r w:rsidRPr="004F7A66">
              <w:rPr>
                <w:spacing w:val="-2"/>
              </w:rPr>
              <w:t>.</w:t>
            </w:r>
            <w:r w:rsidR="00D16060" w:rsidRPr="004F7A66">
              <w:rPr>
                <w:spacing w:val="-2"/>
              </w:rPr>
              <w:t xml:space="preserve"> Nejdelší období, kdy české ekonomice plynuly</w:t>
            </w:r>
            <w:r w:rsidR="00D16060" w:rsidRPr="004F7A66">
              <w:t xml:space="preserve"> z příznivého vývoje cen v zahraničním obchodě zisky, trvalo čtyři roky (</w:t>
            </w:r>
            <w:r w:rsidR="001B636E" w:rsidRPr="004F7A66">
              <w:t>2001–</w:t>
            </w:r>
            <w:r w:rsidR="00D16060" w:rsidRPr="004F7A66">
              <w:t>2004)</w:t>
            </w:r>
            <w:r w:rsidR="00F15FD9" w:rsidRPr="004F7A66">
              <w:t>. N</w:t>
            </w:r>
            <w:r w:rsidR="00D16060" w:rsidRPr="004F7A66">
              <w:t>epříznivý vývoj cen promítající se do ztrát ze směnných relací trval maximálně tři roky (</w:t>
            </w:r>
            <w:r w:rsidR="001B636E" w:rsidRPr="004F7A66">
              <w:t>2010–</w:t>
            </w:r>
            <w:r w:rsidR="00D16060" w:rsidRPr="004F7A66">
              <w:t>2012).</w:t>
            </w:r>
          </w:p>
          <w:p w:rsidR="00DB6572" w:rsidRPr="004F7A66" w:rsidRDefault="00DB6572" w:rsidP="00130FF8">
            <w:pPr>
              <w:pStyle w:val="Textpoznpodarou"/>
              <w:jc w:val="both"/>
            </w:pPr>
          </w:p>
        </w:tc>
      </w:tr>
      <w:tr w:rsidR="00130FF8" w:rsidRPr="004F7A66" w:rsidTr="00A039E5">
        <w:tc>
          <w:tcPr>
            <w:tcW w:w="1054" w:type="pct"/>
          </w:tcPr>
          <w:p w:rsidR="00130FF8" w:rsidRPr="004F7A66" w:rsidRDefault="00476D70" w:rsidP="00476D70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Zatímco HDP narostl v kumulaci za roky 1996 až 2014</w:t>
            </w:r>
            <w:r w:rsidR="003064DE" w:rsidRPr="004F7A66">
              <w:rPr>
                <w:sz w:val="16"/>
                <w:szCs w:val="16"/>
              </w:rPr>
              <w:t xml:space="preserve"> v reálném vyjádření</w:t>
            </w:r>
            <w:r w:rsidRPr="004F7A66">
              <w:rPr>
                <w:sz w:val="16"/>
                <w:szCs w:val="16"/>
              </w:rPr>
              <w:t xml:space="preserve"> o 53,1 %, reálný hrubý domácí důchod </w:t>
            </w:r>
            <w:r w:rsidR="000910C6" w:rsidRPr="004F7A66">
              <w:rPr>
                <w:sz w:val="16"/>
                <w:szCs w:val="16"/>
              </w:rPr>
              <w:t xml:space="preserve">posílil </w:t>
            </w:r>
            <w:r w:rsidRPr="004F7A66">
              <w:rPr>
                <w:sz w:val="16"/>
                <w:szCs w:val="16"/>
              </w:rPr>
              <w:t>o 59,4 %</w:t>
            </w:r>
          </w:p>
        </w:tc>
        <w:tc>
          <w:tcPr>
            <w:tcW w:w="143" w:type="pct"/>
          </w:tcPr>
          <w:p w:rsidR="00130FF8" w:rsidRPr="004F7A66" w:rsidRDefault="00130FF8" w:rsidP="00130FF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130FF8" w:rsidRPr="004F7A66" w:rsidRDefault="004E2046" w:rsidP="00DB6572">
            <w:pPr>
              <w:pStyle w:val="Textpoznpodarou"/>
              <w:jc w:val="both"/>
            </w:pPr>
            <w:r w:rsidRPr="004F7A66">
              <w:rPr>
                <w:spacing w:val="-2"/>
              </w:rPr>
              <w:t>V úhrnu za celých devatenáct</w:t>
            </w:r>
            <w:r w:rsidR="00DB6572" w:rsidRPr="004F7A66">
              <w:rPr>
                <w:spacing w:val="-2"/>
              </w:rPr>
              <w:t xml:space="preserve"> let </w:t>
            </w:r>
            <w:r w:rsidR="00D16060" w:rsidRPr="004F7A66">
              <w:rPr>
                <w:spacing w:val="-2"/>
              </w:rPr>
              <w:t>dosáhly</w:t>
            </w:r>
            <w:r w:rsidR="00DB6572" w:rsidRPr="004F7A66">
              <w:rPr>
                <w:spacing w:val="-2"/>
              </w:rPr>
              <w:t xml:space="preserve"> směnné relace </w:t>
            </w:r>
            <w:r w:rsidR="00D16060" w:rsidRPr="004F7A66">
              <w:rPr>
                <w:spacing w:val="-2"/>
              </w:rPr>
              <w:t xml:space="preserve">hodnoty </w:t>
            </w:r>
            <w:r w:rsidR="00DB6572" w:rsidRPr="004F7A66">
              <w:rPr>
                <w:spacing w:val="-2"/>
              </w:rPr>
              <w:t>110,0 %</w:t>
            </w:r>
            <w:r w:rsidR="001E15CE" w:rsidRPr="004F7A66">
              <w:rPr>
                <w:spacing w:val="-2"/>
              </w:rPr>
              <w:t xml:space="preserve"> (v</w:t>
            </w:r>
            <w:r w:rsidRPr="004F7A66">
              <w:rPr>
                <w:spacing w:val="-2"/>
              </w:rPr>
              <w:t> </w:t>
            </w:r>
            <w:r w:rsidR="001E15CE" w:rsidRPr="004F7A66">
              <w:t>případě</w:t>
            </w:r>
            <w:r w:rsidR="003064DE" w:rsidRPr="004F7A66">
              <w:t xml:space="preserve"> samotného</w:t>
            </w:r>
            <w:r w:rsidR="00AF4D29" w:rsidRPr="004F7A66">
              <w:t xml:space="preserve"> zboží šlo o 103,7 %, u služeb činily</w:t>
            </w:r>
            <w:r w:rsidR="001E15CE" w:rsidRPr="004F7A66">
              <w:t xml:space="preserve"> 128,5 %)</w:t>
            </w:r>
            <w:r w:rsidR="00DB6572" w:rsidRPr="004F7A66">
              <w:t xml:space="preserve"> a jejich vliv na</w:t>
            </w:r>
            <w:r w:rsidR="00AF4D29" w:rsidRPr="004F7A66">
              <w:t> </w:t>
            </w:r>
            <w:r w:rsidR="00533B26" w:rsidRPr="004F7A66">
              <w:t xml:space="preserve"> výkonnost</w:t>
            </w:r>
            <w:r w:rsidR="00DB6572" w:rsidRPr="004F7A66">
              <w:t xml:space="preserve"> české ekonomiky tak byl pozitivní. Je to </w:t>
            </w:r>
            <w:r w:rsidR="00D16060" w:rsidRPr="004F7A66">
              <w:t xml:space="preserve">zřejmé </w:t>
            </w:r>
            <w:r w:rsidR="00DA200F">
              <w:t>i z G</w:t>
            </w:r>
            <w:r w:rsidR="00DB6572" w:rsidRPr="004F7A66">
              <w:t>raf</w:t>
            </w:r>
            <w:r w:rsidR="00BE2C2A" w:rsidRPr="004F7A66">
              <w:t xml:space="preserve">u </w:t>
            </w:r>
            <w:r w:rsidR="001E0E16">
              <w:t>č.</w:t>
            </w:r>
            <w:r w:rsidR="00BE2C2A" w:rsidRPr="004F7A66">
              <w:t xml:space="preserve"> 44</w:t>
            </w:r>
            <w:r w:rsidR="00DB6572" w:rsidRPr="004F7A66">
              <w:t>, který ukazuje, že</w:t>
            </w:r>
            <w:r w:rsidR="001E15CE" w:rsidRPr="004F7A66">
              <w:t> </w:t>
            </w:r>
            <w:r w:rsidR="00C654F9" w:rsidRPr="004F7A66">
              <w:t>ná</w:t>
            </w:r>
            <w:r w:rsidR="00DB6572" w:rsidRPr="004F7A66">
              <w:t>růst reálného hrubého domácího důchodu byl v těchto letech rychlejší než</w:t>
            </w:r>
            <w:r w:rsidR="003064DE" w:rsidRPr="004F7A66">
              <w:t xml:space="preserve"> reálný</w:t>
            </w:r>
            <w:r w:rsidR="00DB6572" w:rsidRPr="004F7A66">
              <w:t xml:space="preserve"> růst HDP. Zatímco HDP narostl mezi rokem 1995 a 2014 o</w:t>
            </w:r>
            <w:r w:rsidR="00533B26" w:rsidRPr="004F7A66">
              <w:t> </w:t>
            </w:r>
            <w:r w:rsidR="00DB6572" w:rsidRPr="004F7A66">
              <w:t>53,1 %</w:t>
            </w:r>
            <w:r w:rsidR="0078264F" w:rsidRPr="004F7A66">
              <w:t xml:space="preserve"> reálně</w:t>
            </w:r>
            <w:r w:rsidR="00DB6572" w:rsidRPr="004F7A66">
              <w:t>, reálný hrubý domácí důchod posílil o 59,4 %.</w:t>
            </w:r>
          </w:p>
          <w:p w:rsidR="00DB6572" w:rsidRPr="004F7A66" w:rsidRDefault="00DB6572" w:rsidP="00DB6572">
            <w:pPr>
              <w:pStyle w:val="Textpoznpodarou"/>
              <w:jc w:val="both"/>
            </w:pPr>
          </w:p>
        </w:tc>
      </w:tr>
      <w:tr w:rsidR="00DB6572" w:rsidRPr="004F7A66" w:rsidTr="00A039E5">
        <w:trPr>
          <w:trHeight w:val="1305"/>
        </w:trPr>
        <w:tc>
          <w:tcPr>
            <w:tcW w:w="1054" w:type="pct"/>
          </w:tcPr>
          <w:p w:rsidR="00DB6572" w:rsidRPr="004F7A66" w:rsidRDefault="00476D70" w:rsidP="00AF4D29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 xml:space="preserve">Stejná výše směnných relací přináší různé zisky nebo ztráty v závislosti na tom, jak </w:t>
            </w:r>
            <w:r w:rsidR="00AF4D29" w:rsidRPr="004F7A66">
              <w:rPr>
                <w:sz w:val="16"/>
                <w:szCs w:val="16"/>
              </w:rPr>
              <w:t>vysoký je vývoz a dovoz</w:t>
            </w:r>
            <w:r w:rsidRPr="004F7A66">
              <w:rPr>
                <w:sz w:val="16"/>
                <w:szCs w:val="16"/>
              </w:rPr>
              <w:t>, …</w:t>
            </w:r>
          </w:p>
        </w:tc>
        <w:tc>
          <w:tcPr>
            <w:tcW w:w="143" w:type="pct"/>
          </w:tcPr>
          <w:p w:rsidR="00DB6572" w:rsidRPr="004F7A66" w:rsidRDefault="00DB6572" w:rsidP="00130FF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F15FD9" w:rsidRPr="004F7A66" w:rsidRDefault="00DB6572" w:rsidP="001B636E">
            <w:pPr>
              <w:pStyle w:val="Textpoznpodarou"/>
              <w:jc w:val="both"/>
            </w:pPr>
            <w:r w:rsidRPr="004F7A66">
              <w:t>Směnné relace samy o sob</w:t>
            </w:r>
            <w:r w:rsidR="00DA200F">
              <w:t>ě jsou zdrojem zisků nebo ztrát. P</w:t>
            </w:r>
            <w:r w:rsidRPr="004F7A66">
              <w:t xml:space="preserve">ro jejich </w:t>
            </w:r>
            <w:r w:rsidR="00F15FD9" w:rsidRPr="004F7A66">
              <w:t>výši</w:t>
            </w:r>
            <w:r w:rsidRPr="004F7A66">
              <w:t xml:space="preserve"> je </w:t>
            </w:r>
            <w:r w:rsidR="00595D57" w:rsidRPr="004F7A66">
              <w:t>ale</w:t>
            </w:r>
            <w:r w:rsidRPr="004F7A66">
              <w:t xml:space="preserve"> </w:t>
            </w:r>
            <w:r w:rsidR="00F15FD9" w:rsidRPr="004F7A66">
              <w:t>důležitá</w:t>
            </w:r>
            <w:r w:rsidRPr="004F7A66">
              <w:t xml:space="preserve"> </w:t>
            </w:r>
            <w:r w:rsidR="00C1419E" w:rsidRPr="004F7A66">
              <w:t xml:space="preserve">také </w:t>
            </w:r>
            <w:r w:rsidR="00F15FD9" w:rsidRPr="004F7A66">
              <w:t>velikost toků</w:t>
            </w:r>
            <w:r w:rsidRPr="004F7A66">
              <w:t xml:space="preserve"> v zahraničním obchodě se zbožím a</w:t>
            </w:r>
            <w:r w:rsidR="00D16060" w:rsidRPr="004F7A66">
              <w:t> </w:t>
            </w:r>
            <w:r w:rsidRPr="004F7A66">
              <w:t xml:space="preserve">službami. </w:t>
            </w:r>
            <w:r w:rsidR="00D16060" w:rsidRPr="004F7A66">
              <w:t>To znamená</w:t>
            </w:r>
            <w:r w:rsidRPr="004F7A66">
              <w:t xml:space="preserve">, že </w:t>
            </w:r>
            <w:r w:rsidR="001B636E" w:rsidRPr="004F7A66">
              <w:t>tatáž kladná hodnota</w:t>
            </w:r>
            <w:r w:rsidRPr="004F7A66">
              <w:t xml:space="preserve"> směnných relací </w:t>
            </w:r>
            <w:r w:rsidR="00163D05" w:rsidRPr="004F7A66">
              <w:t>vytváří</w:t>
            </w:r>
            <w:r w:rsidRPr="004F7A66">
              <w:t xml:space="preserve"> odlišné </w:t>
            </w:r>
            <w:r w:rsidR="001B636E" w:rsidRPr="004F7A66">
              <w:t>zisky</w:t>
            </w:r>
            <w:r w:rsidRPr="004F7A66">
              <w:t xml:space="preserve"> v různých letech</w:t>
            </w:r>
            <w:r w:rsidR="00595D57" w:rsidRPr="004F7A66">
              <w:t xml:space="preserve"> v závislosti na velikosti vývozu a dovozu</w:t>
            </w:r>
            <w:r w:rsidR="001B636E" w:rsidRPr="004F7A66">
              <w:t xml:space="preserve">, a totéž platí i </w:t>
            </w:r>
            <w:r w:rsidR="00F15FD9" w:rsidRPr="004F7A66">
              <w:t>opačně</w:t>
            </w:r>
            <w:r w:rsidR="001B636E" w:rsidRPr="004F7A66">
              <w:t xml:space="preserve"> – </w:t>
            </w:r>
            <w:r w:rsidR="00F15FD9" w:rsidRPr="004F7A66">
              <w:t xml:space="preserve">stejná záporná hodnota směnných relací </w:t>
            </w:r>
            <w:r w:rsidR="001B636E" w:rsidRPr="004F7A66">
              <w:t xml:space="preserve">generuje </w:t>
            </w:r>
            <w:r w:rsidR="00F15FD9" w:rsidRPr="004F7A66">
              <w:t xml:space="preserve">v různých letech </w:t>
            </w:r>
            <w:r w:rsidR="001B636E" w:rsidRPr="004F7A66">
              <w:t>odlišné ztráty</w:t>
            </w:r>
            <w:r w:rsidR="00595D57" w:rsidRPr="004F7A66">
              <w:t>.</w:t>
            </w:r>
          </w:p>
          <w:p w:rsidR="001B636E" w:rsidRPr="004F7A66" w:rsidRDefault="001B636E" w:rsidP="001B636E">
            <w:pPr>
              <w:pStyle w:val="Textpoznpodarou"/>
              <w:jc w:val="both"/>
            </w:pPr>
          </w:p>
        </w:tc>
      </w:tr>
      <w:tr w:rsidR="00A039E5" w:rsidRPr="004F7A66" w:rsidTr="00A039E5">
        <w:tc>
          <w:tcPr>
            <w:tcW w:w="1054" w:type="pct"/>
          </w:tcPr>
          <w:p w:rsidR="00A039E5" w:rsidRPr="004F7A66" w:rsidRDefault="00476D70" w:rsidP="00476D70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… a bylo to patrné i v případě ČR. Vliv směnných relací s růstem vývozu a dovozu sílil </w:t>
            </w:r>
          </w:p>
        </w:tc>
        <w:tc>
          <w:tcPr>
            <w:tcW w:w="143" w:type="pct"/>
          </w:tcPr>
          <w:p w:rsidR="00A039E5" w:rsidRPr="004F7A66" w:rsidRDefault="00A039E5" w:rsidP="00130FF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A039E5" w:rsidRPr="004F7A66" w:rsidRDefault="00A039E5" w:rsidP="00DA200F">
            <w:pPr>
              <w:pStyle w:val="Textpoznpodarou"/>
              <w:jc w:val="both"/>
            </w:pPr>
            <w:r w:rsidRPr="004F7A66">
              <w:t>V případě ekonomiky ČR toky v zahraničním obchodě dlouhodobě posilovaly, a </w:t>
            </w:r>
            <w:r w:rsidR="003064DE" w:rsidRPr="004F7A66">
              <w:t>tudíž</w:t>
            </w:r>
            <w:r w:rsidRPr="004F7A66">
              <w:t xml:space="preserve"> vliv směnných relací v průběhu času sílil. Tuto skutečnost lze </w:t>
            </w:r>
            <w:r w:rsidR="00471A8F" w:rsidRPr="004F7A66">
              <w:t>doložit</w:t>
            </w:r>
            <w:r w:rsidRPr="004F7A66">
              <w:t xml:space="preserve"> i na</w:t>
            </w:r>
            <w:r w:rsidR="00471A8F" w:rsidRPr="004F7A66">
              <w:t> </w:t>
            </w:r>
            <w:r w:rsidRPr="004F7A66">
              <w:t xml:space="preserve">datech. V roce 1996 dosáhly směnné relace hodnoty 104,1 % a s výjimkou roku 1998 byly nejvyšší za celé sledované období. Zisky, které z nich plynuly, činily 28,9 mld. korun. V roce 2014 byly </w:t>
            </w:r>
            <w:r w:rsidR="00DA200F" w:rsidRPr="004F7A66">
              <w:t xml:space="preserve">směnné relace </w:t>
            </w:r>
            <w:r w:rsidRPr="004F7A66">
              <w:t xml:space="preserve">také pozitivní, avšak pouze ve výši 101,5 %. Zisky, které z příznivého vývoje cen v tomto roce </w:t>
            </w:r>
            <w:r w:rsidR="00454A2C" w:rsidRPr="004F7A66">
              <w:t>ekonomika realizovala</w:t>
            </w:r>
            <w:r w:rsidRPr="004F7A66">
              <w:t xml:space="preserve">, </w:t>
            </w:r>
            <w:r w:rsidR="00DA200F" w:rsidRPr="004F7A66">
              <w:t xml:space="preserve">však </w:t>
            </w:r>
            <w:r w:rsidRPr="004F7A66">
              <w:t xml:space="preserve">dosáhly 48,4 mld. korun a byly rekordní. </w:t>
            </w:r>
            <w:r w:rsidR="00DA200F">
              <w:t>Záporné směnné relace</w:t>
            </w:r>
            <w:r w:rsidRPr="004F7A66">
              <w:t xml:space="preserve"> byly nejhlubší v roce 2000 (97,0 %). Ekonomika na</w:t>
            </w:r>
            <w:r w:rsidR="003064DE" w:rsidRPr="004F7A66">
              <w:t> </w:t>
            </w:r>
            <w:r w:rsidRPr="004F7A66">
              <w:t xml:space="preserve">nepříznivém vývoji cen v zahraničním obchodě tratila 33,9 mld. korun. V roce 2010 </w:t>
            </w:r>
            <w:r w:rsidR="00DA200F" w:rsidRPr="004F7A66">
              <w:t xml:space="preserve">činily </w:t>
            </w:r>
            <w:r w:rsidRPr="004F7A66">
              <w:t>směnné relace 98,0 %, vedly však k</w:t>
            </w:r>
            <w:r w:rsidR="003064DE" w:rsidRPr="004F7A66">
              <w:t> </w:t>
            </w:r>
            <w:r w:rsidRPr="004F7A66">
              <w:t>nejv</w:t>
            </w:r>
            <w:r w:rsidR="003064DE" w:rsidRPr="004F7A66">
              <w:t xml:space="preserve">ětší </w:t>
            </w:r>
            <w:r w:rsidRPr="004F7A66">
              <w:t xml:space="preserve">ztrátě v </w:t>
            </w:r>
            <w:r w:rsidR="00454A2C" w:rsidRPr="004F7A66">
              <w:t>historii (šlo o</w:t>
            </w:r>
            <w:r w:rsidR="008C5EFB">
              <w:t> </w:t>
            </w:r>
            <w:r w:rsidR="00454A2C" w:rsidRPr="004F7A66">
              <w:t xml:space="preserve">ztrátu ve výši </w:t>
            </w:r>
            <w:r w:rsidRPr="004F7A66">
              <w:t>51,0 mld. korun).</w:t>
            </w:r>
          </w:p>
        </w:tc>
      </w:tr>
    </w:tbl>
    <w:p w:rsidR="000021E3" w:rsidRPr="001B636E" w:rsidRDefault="000021E3" w:rsidP="00130FF8">
      <w:pPr>
        <w:rPr>
          <w:szCs w:val="20"/>
          <w:lang w:eastAsia="ar-SA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2678"/>
        <w:gridCol w:w="1430"/>
        <w:gridCol w:w="852"/>
        <w:gridCol w:w="4074"/>
      </w:tblGrid>
      <w:tr w:rsidR="00130FF8" w:rsidRPr="004F7A66" w:rsidTr="003064DE">
        <w:tc>
          <w:tcPr>
            <w:tcW w:w="416" w:type="pct"/>
          </w:tcPr>
          <w:p w:rsidR="00130FF8" w:rsidRPr="004F7A66" w:rsidRDefault="00130FF8" w:rsidP="00130FF8">
            <w:pPr>
              <w:pStyle w:val="Textpoznpodarou"/>
            </w:pPr>
            <w:r w:rsidRPr="004F7A66">
              <w:t>Graf č. 4</w:t>
            </w:r>
            <w:r w:rsidR="00BE2C2A" w:rsidRPr="004F7A66">
              <w:t>4</w:t>
            </w:r>
          </w:p>
        </w:tc>
        <w:tc>
          <w:tcPr>
            <w:tcW w:w="2085" w:type="pct"/>
            <w:gridSpan w:val="2"/>
          </w:tcPr>
          <w:p w:rsidR="00130FF8" w:rsidRPr="004F7A66" w:rsidRDefault="00130FF8" w:rsidP="003064DE">
            <w:pPr>
              <w:pStyle w:val="Textpoznpodarou"/>
              <w:rPr>
                <w:spacing w:val="-4"/>
              </w:rPr>
            </w:pPr>
            <w:r w:rsidRPr="004F7A66">
              <w:rPr>
                <w:b/>
              </w:rPr>
              <w:t>Hrubý domácí produkt</w:t>
            </w:r>
            <w:r w:rsidR="003064DE" w:rsidRPr="004F7A66">
              <w:rPr>
                <w:b/>
              </w:rPr>
              <w:t xml:space="preserve"> </w:t>
            </w:r>
            <w:r w:rsidR="003064DE" w:rsidRPr="004F7A66">
              <w:t>(1995=100, reálně)</w:t>
            </w:r>
            <w:r w:rsidRPr="004F7A66">
              <w:rPr>
                <w:b/>
              </w:rPr>
              <w:t xml:space="preserve"> a reálný hrubý domácí důchod </w:t>
            </w:r>
            <w:r w:rsidRPr="004F7A66">
              <w:rPr>
                <w:spacing w:val="-4"/>
              </w:rPr>
              <w:t>(</w:t>
            </w:r>
            <w:r w:rsidR="003064DE" w:rsidRPr="004F7A66">
              <w:rPr>
                <w:spacing w:val="-4"/>
              </w:rPr>
              <w:t>1995=100</w:t>
            </w:r>
            <w:r w:rsidRPr="004F7A66">
              <w:rPr>
                <w:spacing w:val="-4"/>
              </w:rPr>
              <w:t>)</w:t>
            </w:r>
            <w:r w:rsidR="003064DE" w:rsidRPr="004F7A66">
              <w:rPr>
                <w:b/>
              </w:rPr>
              <w:t xml:space="preserve"> v letech</w:t>
            </w:r>
            <w:r w:rsidR="003064DE" w:rsidRPr="004F7A66">
              <w:rPr>
                <w:b/>
                <w:spacing w:val="-4"/>
              </w:rPr>
              <w:t xml:space="preserve"> 1995–2014</w:t>
            </w:r>
          </w:p>
        </w:tc>
        <w:tc>
          <w:tcPr>
            <w:tcW w:w="431" w:type="pct"/>
          </w:tcPr>
          <w:p w:rsidR="00130FF8" w:rsidRPr="004F7A66" w:rsidRDefault="00130FF8" w:rsidP="00130FF8">
            <w:pPr>
              <w:pStyle w:val="Textpoznpodarou"/>
            </w:pPr>
            <w:r w:rsidRPr="004F7A66">
              <w:t>Graf č. 4</w:t>
            </w:r>
            <w:r w:rsidR="00BE2C2A" w:rsidRPr="004F7A66">
              <w:t>5</w:t>
            </w:r>
          </w:p>
        </w:tc>
        <w:tc>
          <w:tcPr>
            <w:tcW w:w="2068" w:type="pct"/>
          </w:tcPr>
          <w:p w:rsidR="00130FF8" w:rsidRPr="004F7A66" w:rsidRDefault="00130FF8" w:rsidP="00130FF8">
            <w:pPr>
              <w:pStyle w:val="Textpoznpodarou"/>
              <w:rPr>
                <w:spacing w:val="-6"/>
              </w:rPr>
            </w:pPr>
            <w:r w:rsidRPr="004F7A66">
              <w:rPr>
                <w:b/>
                <w:spacing w:val="-4"/>
              </w:rPr>
              <w:t>Směnné relace v zahraničním obchodě se zbožím a službami</w:t>
            </w:r>
            <w:r w:rsidRPr="004F7A66">
              <w:rPr>
                <w:b/>
              </w:rPr>
              <w:t xml:space="preserve"> </w:t>
            </w:r>
            <w:r w:rsidRPr="004F7A66">
              <w:rPr>
                <w:spacing w:val="-4"/>
              </w:rPr>
              <w:t>(v %)</w:t>
            </w:r>
            <w:r w:rsidR="00C94229" w:rsidRPr="004F7A66">
              <w:rPr>
                <w:spacing w:val="-4"/>
              </w:rPr>
              <w:t>,</w:t>
            </w:r>
            <w:r w:rsidRPr="004F7A66">
              <w:rPr>
                <w:b/>
                <w:spacing w:val="-4"/>
              </w:rPr>
              <w:t xml:space="preserve"> zisky nebo ztráty ze směnných relací</w:t>
            </w:r>
            <w:r w:rsidRPr="004F7A66">
              <w:rPr>
                <w:spacing w:val="-4"/>
              </w:rPr>
              <w:t xml:space="preserve"> (v mld. korun)</w:t>
            </w:r>
          </w:p>
        </w:tc>
      </w:tr>
      <w:tr w:rsidR="00130FF8" w:rsidRPr="004F7A66" w:rsidTr="00130FF8">
        <w:tc>
          <w:tcPr>
            <w:tcW w:w="2501" w:type="pct"/>
            <w:gridSpan w:val="3"/>
          </w:tcPr>
          <w:p w:rsidR="00130FF8" w:rsidRPr="004F7A66" w:rsidRDefault="000021E3" w:rsidP="00130FF8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2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pct"/>
            <w:gridSpan w:val="2"/>
          </w:tcPr>
          <w:p w:rsidR="00130FF8" w:rsidRPr="004F7A66" w:rsidRDefault="000021E3" w:rsidP="00130FF8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30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F8" w:rsidRPr="004F7A66" w:rsidTr="003064DE">
        <w:tc>
          <w:tcPr>
            <w:tcW w:w="1776" w:type="pct"/>
            <w:gridSpan w:val="2"/>
          </w:tcPr>
          <w:p w:rsidR="00130FF8" w:rsidRPr="004F7A66" w:rsidRDefault="00130FF8" w:rsidP="00130FF8">
            <w:pPr>
              <w:pStyle w:val="Textpoznpodarou"/>
              <w:rPr>
                <w:sz w:val="18"/>
                <w:szCs w:val="18"/>
              </w:rPr>
            </w:pPr>
          </w:p>
        </w:tc>
        <w:tc>
          <w:tcPr>
            <w:tcW w:w="3224" w:type="pct"/>
            <w:gridSpan w:val="3"/>
          </w:tcPr>
          <w:p w:rsidR="00130FF8" w:rsidRPr="004F7A66" w:rsidRDefault="006D00DB" w:rsidP="00130FF8">
            <w:pPr>
              <w:pStyle w:val="Textpoznpodarou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Zdroj: ČSÚ</w:t>
            </w:r>
            <w:r w:rsidR="00130FF8" w:rsidRPr="004F7A66">
              <w:rPr>
                <w:sz w:val="18"/>
                <w:szCs w:val="18"/>
              </w:rPr>
              <w:t>, vlastní výpočty</w:t>
            </w:r>
          </w:p>
        </w:tc>
      </w:tr>
    </w:tbl>
    <w:p w:rsidR="00A039E5" w:rsidRDefault="00A039E5" w:rsidP="00A039E5">
      <w:pPr>
        <w:rPr>
          <w:sz w:val="18"/>
          <w:szCs w:val="1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77"/>
        <w:gridCol w:w="282"/>
        <w:gridCol w:w="7495"/>
      </w:tblGrid>
      <w:tr w:rsidR="00A039E5" w:rsidRPr="004F7A66" w:rsidTr="00E309EA"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</w:tcPr>
          <w:p w:rsidR="00A039E5" w:rsidRPr="004F7A66" w:rsidRDefault="000F6AFA" w:rsidP="004824DB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Na směnné relace má vliv i kurzový vývoj koruny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A039E5" w:rsidRPr="004F7A66" w:rsidRDefault="00A039E5" w:rsidP="004824DB">
            <w:pPr>
              <w:pStyle w:val="Textpoznpodarou"/>
              <w:jc w:val="both"/>
            </w:pPr>
          </w:p>
        </w:tc>
        <w:tc>
          <w:tcPr>
            <w:tcW w:w="3803" w:type="pct"/>
            <w:tcBorders>
              <w:top w:val="nil"/>
              <w:left w:val="nil"/>
              <w:bottom w:val="nil"/>
              <w:right w:val="nil"/>
            </w:tcBorders>
          </w:tcPr>
          <w:p w:rsidR="00A039E5" w:rsidRPr="004F7A66" w:rsidRDefault="00A039E5" w:rsidP="00A039E5">
            <w:pPr>
              <w:pStyle w:val="Textpoznpodarou"/>
              <w:jc w:val="both"/>
            </w:pPr>
            <w:r w:rsidRPr="004F7A66">
              <w:t>Můžeme si položit otázku, jak se pod vývojem cen v zahraničním obchodě se zbožím a službami</w:t>
            </w:r>
            <w:r w:rsidR="002E4F0F">
              <w:t>,</w:t>
            </w:r>
            <w:r w:rsidRPr="004F7A66">
              <w:t xml:space="preserve"> a </w:t>
            </w:r>
            <w:r w:rsidR="004F0E22" w:rsidRPr="004F7A66">
              <w:t>tedy</w:t>
            </w:r>
            <w:r w:rsidRPr="004F7A66">
              <w:t xml:space="preserve"> i pod</w:t>
            </w:r>
            <w:r w:rsidR="00782ACB" w:rsidRPr="004F7A66">
              <w:t xml:space="preserve"> směnnými relacemi </w:t>
            </w:r>
            <w:r w:rsidR="00EB645A" w:rsidRPr="004F7A66">
              <w:t>podepisoval</w:t>
            </w:r>
            <w:r w:rsidRPr="004F7A66">
              <w:t xml:space="preserve"> kurzový vývoj koruny k euru a</w:t>
            </w:r>
            <w:r w:rsidR="00897DD6" w:rsidRPr="004F7A66">
              <w:t xml:space="preserve"> </w:t>
            </w:r>
            <w:r w:rsidRPr="004F7A66">
              <w:t>k americkému dolaru. Pokud se</w:t>
            </w:r>
            <w:r w:rsidR="00033C42" w:rsidRPr="004F7A66">
              <w:t> </w:t>
            </w:r>
            <w:r w:rsidRPr="004F7A66">
              <w:t>zaměříme na</w:t>
            </w:r>
            <w:r w:rsidR="00EB645A" w:rsidRPr="004F7A66">
              <w:t> </w:t>
            </w:r>
            <w:r w:rsidR="003A1CE5" w:rsidRPr="004F7A66">
              <w:t>teritoriální</w:t>
            </w:r>
            <w:r w:rsidRPr="004F7A66">
              <w:t xml:space="preserve"> </w:t>
            </w:r>
            <w:r w:rsidR="004824DB" w:rsidRPr="004F7A66">
              <w:t xml:space="preserve">strukturu vývozu a </w:t>
            </w:r>
            <w:r w:rsidR="004824DB" w:rsidRPr="008C5EFB">
              <w:t>dovozu zboží</w:t>
            </w:r>
            <w:r w:rsidR="002E4F0F">
              <w:t>,</w:t>
            </w:r>
            <w:r w:rsidR="004824DB" w:rsidRPr="008C5EFB">
              <w:t xml:space="preserve"> a přitom</w:t>
            </w:r>
            <w:r w:rsidR="004824DB" w:rsidRPr="004F7A66">
              <w:t xml:space="preserve"> </w:t>
            </w:r>
            <w:r w:rsidR="004F0E22" w:rsidRPr="004F7A66">
              <w:t>nám půjde pouze o</w:t>
            </w:r>
            <w:r w:rsidR="004824DB" w:rsidRPr="004F7A66">
              <w:t xml:space="preserve"> roky 1999</w:t>
            </w:r>
            <w:r w:rsidR="00EB645A" w:rsidRPr="004F7A66">
              <w:t xml:space="preserve"> až </w:t>
            </w:r>
            <w:r w:rsidR="004824DB" w:rsidRPr="004F7A66">
              <w:t>2014 (euro před rokem 1999 neexistovalo</w:t>
            </w:r>
            <w:r w:rsidR="004F0E22" w:rsidRPr="004F7A66">
              <w:t xml:space="preserve">, tudíž nemá smysl v těchto letech rozebírat </w:t>
            </w:r>
            <w:r w:rsidR="004F0E22" w:rsidRPr="004F7A66">
              <w:lastRenderedPageBreak/>
              <w:t>teritoriální strukturu</w:t>
            </w:r>
            <w:r w:rsidR="004824DB" w:rsidRPr="004F7A66">
              <w:t>),</w:t>
            </w:r>
            <w:r w:rsidR="003A1CE5" w:rsidRPr="004F7A66">
              <w:t xml:space="preserve"> </w:t>
            </w:r>
            <w:r w:rsidRPr="004F7A66">
              <w:t xml:space="preserve">pak je z ní patrné, </w:t>
            </w:r>
            <w:r w:rsidR="004F0E22" w:rsidRPr="004F7A66">
              <w:t>že</w:t>
            </w:r>
            <w:r w:rsidRPr="004F7A66">
              <w:t xml:space="preserve"> větší </w:t>
            </w:r>
            <w:r w:rsidR="004F0E22" w:rsidRPr="004F7A66">
              <w:t>váhu</w:t>
            </w:r>
            <w:r w:rsidRPr="004F7A66">
              <w:t xml:space="preserve"> </w:t>
            </w:r>
            <w:r w:rsidR="004F0E22" w:rsidRPr="004F7A66">
              <w:t>měly transakce se zeměmi Evropské unie</w:t>
            </w:r>
            <w:r w:rsidRPr="004F7A66">
              <w:t xml:space="preserve"> </w:t>
            </w:r>
            <w:r w:rsidR="00D267F5" w:rsidRPr="004F7A66">
              <w:t>v případě</w:t>
            </w:r>
            <w:r w:rsidRPr="004F7A66">
              <w:t xml:space="preserve"> vývozu</w:t>
            </w:r>
            <w:r w:rsidR="00782ACB" w:rsidRPr="004F7A66">
              <w:t xml:space="preserve"> </w:t>
            </w:r>
            <w:r w:rsidR="002E4F0F">
              <w:t>(G</w:t>
            </w:r>
            <w:r w:rsidRPr="004F7A66">
              <w:t>raf</w:t>
            </w:r>
            <w:r w:rsidR="00BE2C2A" w:rsidRPr="004F7A66">
              <w:t xml:space="preserve"> </w:t>
            </w:r>
            <w:r w:rsidR="001E0E16">
              <w:t>č.</w:t>
            </w:r>
            <w:r w:rsidR="00BE2C2A" w:rsidRPr="004F7A66">
              <w:t xml:space="preserve"> 46</w:t>
            </w:r>
            <w:r w:rsidRPr="004F7A66">
              <w:t xml:space="preserve">). Z toho lze soudit, že </w:t>
            </w:r>
            <w:r w:rsidR="004F0E22" w:rsidRPr="004F7A66">
              <w:t>kurz</w:t>
            </w:r>
            <w:r w:rsidRPr="004F7A66">
              <w:t xml:space="preserve"> koruny k euru se </w:t>
            </w:r>
            <w:r w:rsidRPr="008C5EFB">
              <w:t>intenzivněji promít</w:t>
            </w:r>
            <w:r w:rsidR="003A1CE5" w:rsidRPr="008C5EFB">
              <w:t>a</w:t>
            </w:r>
            <w:r w:rsidR="004F0E22" w:rsidRPr="008C5EFB">
              <w:t>l</w:t>
            </w:r>
            <w:r w:rsidRPr="008C5EFB">
              <w:t xml:space="preserve"> v</w:t>
            </w:r>
            <w:r w:rsidR="00D267F5" w:rsidRPr="008C5EFB">
              <w:t> </w:t>
            </w:r>
            <w:r w:rsidRPr="008C5EFB">
              <w:t>cenách vývozu</w:t>
            </w:r>
            <w:r w:rsidR="00782ACB" w:rsidRPr="008C5EFB">
              <w:t xml:space="preserve"> zboží</w:t>
            </w:r>
            <w:r w:rsidRPr="008C5EFB">
              <w:t xml:space="preserve"> a </w:t>
            </w:r>
            <w:r w:rsidR="004F0E22" w:rsidRPr="008C5EFB">
              <w:t>kurz</w:t>
            </w:r>
            <w:r w:rsidRPr="008C5EFB">
              <w:t xml:space="preserve"> koruny k americkému dolaru v</w:t>
            </w:r>
            <w:r w:rsidR="00E408A8" w:rsidRPr="008C5EFB">
              <w:t> </w:t>
            </w:r>
            <w:r w:rsidRPr="008C5EFB">
              <w:t>cenách dovozu</w:t>
            </w:r>
            <w:r w:rsidR="00782ACB" w:rsidRPr="008C5EFB">
              <w:t xml:space="preserve"> zboží</w:t>
            </w:r>
            <w:r w:rsidRPr="008C5EFB">
              <w:t xml:space="preserve">. </w:t>
            </w:r>
            <w:r w:rsidR="003A1CE5" w:rsidRPr="008C5EFB">
              <w:t>Co se týče</w:t>
            </w:r>
            <w:r w:rsidRPr="008C5EFB">
              <w:t xml:space="preserve"> </w:t>
            </w:r>
            <w:r w:rsidR="003A1CE5" w:rsidRPr="008C5EFB">
              <w:t>teritoriální struktury zahraničního obchodu se služ</w:t>
            </w:r>
            <w:r w:rsidRPr="008C5EFB">
              <w:t>b</w:t>
            </w:r>
            <w:r w:rsidR="003A1CE5" w:rsidRPr="008C5EFB">
              <w:t>ami</w:t>
            </w:r>
            <w:r w:rsidRPr="008C5EFB">
              <w:t>,</w:t>
            </w:r>
            <w:r w:rsidR="003A1CE5" w:rsidRPr="008C5EFB">
              <w:t xml:space="preserve"> </w:t>
            </w:r>
            <w:r w:rsidR="00782ACB" w:rsidRPr="008C5EFB">
              <w:t>která je k dispozici</w:t>
            </w:r>
            <w:r w:rsidR="004824DB" w:rsidRPr="008C5EFB">
              <w:t xml:space="preserve"> od roku 2008</w:t>
            </w:r>
            <w:r w:rsidR="003A1CE5" w:rsidRPr="008C5EFB">
              <w:t>,</w:t>
            </w:r>
            <w:r w:rsidRPr="008C5EFB">
              <w:t xml:space="preserve"> </w:t>
            </w:r>
            <w:r w:rsidR="004F0E22" w:rsidRPr="008C5EFB">
              <w:t>váha transakcí s </w:t>
            </w:r>
            <w:r w:rsidR="003A1CE5" w:rsidRPr="008C5EFB">
              <w:t>U</w:t>
            </w:r>
            <w:r w:rsidR="004F0E22" w:rsidRPr="008C5EFB">
              <w:t xml:space="preserve">nií </w:t>
            </w:r>
            <w:r w:rsidR="00C654F9" w:rsidRPr="008C5EFB">
              <w:t>na straně vývozu zhruba odpovídala</w:t>
            </w:r>
            <w:r w:rsidR="004F0E22" w:rsidRPr="008C5EFB">
              <w:t xml:space="preserve"> váze na straně dovozu</w:t>
            </w:r>
            <w:r w:rsidR="00E408A8" w:rsidRPr="008C5EFB">
              <w:t>. Kurz koruny k euru se promítal v cenách vývozu</w:t>
            </w:r>
            <w:r w:rsidR="008C5EFB">
              <w:t xml:space="preserve"> služeb</w:t>
            </w:r>
            <w:r w:rsidR="00E408A8" w:rsidRPr="004F7A66">
              <w:t xml:space="preserve"> zhruba stejně jako v cenách dovozu služeb a</w:t>
            </w:r>
            <w:r w:rsidR="002E4F0F">
              <w:t> </w:t>
            </w:r>
            <w:r w:rsidR="00E408A8" w:rsidRPr="004F7A66">
              <w:t>totéž platilo i pro kurz koruny k americkému dolaru</w:t>
            </w:r>
            <w:r w:rsidRPr="004F7A66">
              <w:t xml:space="preserve">. </w:t>
            </w:r>
            <w:r w:rsidR="002E4F0F">
              <w:t>Celkově lze soudit</w:t>
            </w:r>
            <w:r w:rsidR="003A1CE5" w:rsidRPr="004F7A66">
              <w:t xml:space="preserve"> s ohledem na skutečnost, že na celkovém zahraničním obchodě</w:t>
            </w:r>
            <w:r w:rsidR="001C1B89" w:rsidRPr="004F7A66">
              <w:t> </w:t>
            </w:r>
            <w:r w:rsidR="003A1CE5" w:rsidRPr="004F7A66">
              <w:t>se zbožím a</w:t>
            </w:r>
            <w:r w:rsidR="002E4F0F">
              <w:t> </w:t>
            </w:r>
            <w:r w:rsidR="003A1CE5" w:rsidRPr="004F7A66">
              <w:t xml:space="preserve">službami participuje </w:t>
            </w:r>
            <w:r w:rsidR="00AB346D" w:rsidRPr="004F7A66">
              <w:t>z větší části obchod se zbožím</w:t>
            </w:r>
            <w:r w:rsidR="002E4F0F">
              <w:t>,</w:t>
            </w:r>
            <w:r w:rsidR="003A1CE5" w:rsidRPr="004F7A66">
              <w:t xml:space="preserve"> že</w:t>
            </w:r>
            <w:r w:rsidR="001C1B89" w:rsidRPr="004F7A66">
              <w:t> </w:t>
            </w:r>
            <w:r w:rsidR="003A1CE5" w:rsidRPr="004F7A66">
              <w:t>změna kurzu koruny k euru měla vliv především na změnu cen vývozu a</w:t>
            </w:r>
            <w:r w:rsidR="001C1B89" w:rsidRPr="004F7A66">
              <w:t> </w:t>
            </w:r>
            <w:r w:rsidR="003A1CE5" w:rsidRPr="004F7A66">
              <w:t>změna</w:t>
            </w:r>
            <w:r w:rsidR="001C1B89" w:rsidRPr="004F7A66">
              <w:t> </w:t>
            </w:r>
            <w:r w:rsidR="003A1CE5" w:rsidRPr="004F7A66">
              <w:t>kurzu koruny k americkému dolaru zejména na změnu cen dovozu.</w:t>
            </w:r>
          </w:p>
          <w:p w:rsidR="00A039E5" w:rsidRPr="006D00DB" w:rsidRDefault="00A039E5" w:rsidP="00A039E5">
            <w:pPr>
              <w:pStyle w:val="Textpoznpodarou"/>
              <w:jc w:val="both"/>
            </w:pPr>
          </w:p>
        </w:tc>
      </w:tr>
      <w:tr w:rsidR="00A039E5" w:rsidRPr="004F7A66" w:rsidTr="00E309EA"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</w:tcPr>
          <w:p w:rsidR="00A039E5" w:rsidRPr="004F7A66" w:rsidRDefault="000F6AFA" w:rsidP="000F6AFA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lastRenderedPageBreak/>
              <w:t xml:space="preserve">V období </w:t>
            </w:r>
            <w:r w:rsidR="007333CD" w:rsidRPr="004F7A66">
              <w:rPr>
                <w:sz w:val="16"/>
                <w:szCs w:val="16"/>
              </w:rPr>
              <w:t>2002–</w:t>
            </w:r>
            <w:r w:rsidRPr="004F7A66">
              <w:rPr>
                <w:sz w:val="16"/>
                <w:szCs w:val="16"/>
              </w:rPr>
              <w:t xml:space="preserve">2008 působil kurzový vývoj z hlediska dopadu na směnné </w:t>
            </w:r>
            <w:r w:rsidR="007333CD" w:rsidRPr="004F7A66">
              <w:rPr>
                <w:sz w:val="16"/>
                <w:szCs w:val="16"/>
              </w:rPr>
              <w:t>relace pozitivně, v letech 2009–</w:t>
            </w:r>
            <w:r w:rsidRPr="004F7A66">
              <w:rPr>
                <w:sz w:val="16"/>
                <w:szCs w:val="16"/>
              </w:rPr>
              <w:t>2014 naopak negativně, …</w:t>
            </w:r>
          </w:p>
          <w:p w:rsidR="007333CD" w:rsidRPr="004F7A66" w:rsidRDefault="007333CD" w:rsidP="000F6AFA">
            <w:pPr>
              <w:spacing w:line="240" w:lineRule="auto"/>
              <w:rPr>
                <w:sz w:val="18"/>
                <w:szCs w:val="18"/>
              </w:rPr>
            </w:pPr>
          </w:p>
          <w:p w:rsidR="007333CD" w:rsidRPr="004F7A66" w:rsidRDefault="007333CD" w:rsidP="000F6AFA">
            <w:pPr>
              <w:spacing w:line="240" w:lineRule="auto"/>
              <w:rPr>
                <w:sz w:val="18"/>
                <w:szCs w:val="18"/>
              </w:rPr>
            </w:pPr>
          </w:p>
          <w:p w:rsidR="007333CD" w:rsidRPr="006D00DB" w:rsidRDefault="007333CD" w:rsidP="000F6AFA">
            <w:pPr>
              <w:spacing w:line="240" w:lineRule="auto"/>
              <w:rPr>
                <w:sz w:val="18"/>
                <w:szCs w:val="18"/>
              </w:rPr>
            </w:pPr>
          </w:p>
          <w:p w:rsidR="007333CD" w:rsidRPr="006D00DB" w:rsidRDefault="007333CD" w:rsidP="000F6AFA">
            <w:pPr>
              <w:spacing w:line="240" w:lineRule="auto"/>
              <w:rPr>
                <w:sz w:val="18"/>
                <w:szCs w:val="18"/>
              </w:rPr>
            </w:pPr>
          </w:p>
          <w:p w:rsidR="007333CD" w:rsidRPr="004F7A66" w:rsidRDefault="005D0116" w:rsidP="005D0116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…ze skutečných</w:t>
            </w:r>
            <w:r w:rsidR="007333CD" w:rsidRPr="004F7A66">
              <w:rPr>
                <w:sz w:val="16"/>
                <w:szCs w:val="16"/>
              </w:rPr>
              <w:t xml:space="preserve"> směnných relací je však patrné, že nad kurzovým vývojem převážil vývoj cen zboží a služeb jako takových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A039E5" w:rsidRPr="004F7A66" w:rsidRDefault="00A039E5" w:rsidP="004824DB">
            <w:pPr>
              <w:pStyle w:val="Textpoznpodarou"/>
              <w:jc w:val="both"/>
            </w:pPr>
          </w:p>
        </w:tc>
        <w:tc>
          <w:tcPr>
            <w:tcW w:w="3803" w:type="pct"/>
            <w:tcBorders>
              <w:top w:val="nil"/>
              <w:left w:val="nil"/>
              <w:bottom w:val="nil"/>
              <w:right w:val="nil"/>
            </w:tcBorders>
          </w:tcPr>
          <w:p w:rsidR="00C94229" w:rsidRPr="004F7A66" w:rsidRDefault="00E309EA" w:rsidP="00782ACB">
            <w:pPr>
              <w:pStyle w:val="Textpoznpodarou"/>
              <w:jc w:val="both"/>
              <w:rPr>
                <w:spacing w:val="-2"/>
              </w:rPr>
            </w:pPr>
            <w:r w:rsidRPr="004F7A66">
              <w:rPr>
                <w:spacing w:val="-2"/>
              </w:rPr>
              <w:t>V letech 2002–</w:t>
            </w:r>
            <w:r w:rsidR="00897DD6" w:rsidRPr="004F7A66">
              <w:rPr>
                <w:spacing w:val="-2"/>
              </w:rPr>
              <w:t xml:space="preserve">2008 posilovala koruna k oběma hlavním světovým měnám, výrazněji </w:t>
            </w:r>
            <w:r w:rsidR="007333CD" w:rsidRPr="004F7A66">
              <w:rPr>
                <w:spacing w:val="-2"/>
              </w:rPr>
              <w:t>přitom</w:t>
            </w:r>
            <w:r w:rsidR="00897DD6" w:rsidRPr="004F7A66">
              <w:rPr>
                <w:spacing w:val="-2"/>
              </w:rPr>
              <w:t xml:space="preserve"> k americkému dolaru.</w:t>
            </w:r>
            <w:r w:rsidRPr="004F7A66">
              <w:rPr>
                <w:spacing w:val="-2"/>
              </w:rPr>
              <w:t xml:space="preserve"> K euru posílila celkově o</w:t>
            </w:r>
            <w:r w:rsidR="004616DE" w:rsidRPr="004F7A66">
              <w:rPr>
                <w:spacing w:val="-2"/>
              </w:rPr>
              <w:t xml:space="preserve"> 26,8</w:t>
            </w:r>
            <w:r w:rsidRPr="004F7A66">
              <w:rPr>
                <w:spacing w:val="-2"/>
              </w:rPr>
              <w:t xml:space="preserve"> %, k americkému dolaru o</w:t>
            </w:r>
            <w:r w:rsidR="004616DE" w:rsidRPr="004F7A66">
              <w:rPr>
                <w:spacing w:val="-2"/>
              </w:rPr>
              <w:t xml:space="preserve"> více než</w:t>
            </w:r>
            <w:r w:rsidRPr="004F7A66">
              <w:rPr>
                <w:spacing w:val="-2"/>
              </w:rPr>
              <w:t xml:space="preserve"> </w:t>
            </w:r>
            <w:r w:rsidR="004F0E22" w:rsidRPr="004F7A66">
              <w:rPr>
                <w:spacing w:val="-2"/>
              </w:rPr>
              <w:t>50 %</w:t>
            </w:r>
            <w:r w:rsidRPr="004F7A66">
              <w:rPr>
                <w:spacing w:val="-2"/>
              </w:rPr>
              <w:t>. Z hlediska dopadu na směnné relace se tak jednalo o vývoj příznivý</w:t>
            </w:r>
            <w:r w:rsidR="00B05A93" w:rsidRPr="004F7A66">
              <w:rPr>
                <w:spacing w:val="-2"/>
              </w:rPr>
              <w:t>, neboť tlačil na výraznější pokles cen dovozu v porovnání s poklesem cen vývozu</w:t>
            </w:r>
            <w:r w:rsidR="00C654F9" w:rsidRPr="004F7A66">
              <w:rPr>
                <w:spacing w:val="-2"/>
              </w:rPr>
              <w:t>. V letech 2009–</w:t>
            </w:r>
            <w:r w:rsidRPr="004F7A66">
              <w:rPr>
                <w:spacing w:val="-2"/>
              </w:rPr>
              <w:t>2</w:t>
            </w:r>
            <w:r w:rsidR="00412FF3">
              <w:rPr>
                <w:spacing w:val="-2"/>
              </w:rPr>
              <w:t>014 docházelo k opačnému vývoji. K</w:t>
            </w:r>
            <w:r w:rsidRPr="004F7A66">
              <w:rPr>
                <w:spacing w:val="-2"/>
              </w:rPr>
              <w:t xml:space="preserve">oruna měla tendenci oslabovat, výrazněji přitom k americkému dolaru. Celkově za těchto šest let </w:t>
            </w:r>
            <w:r w:rsidR="00782ACB" w:rsidRPr="004F7A66">
              <w:rPr>
                <w:spacing w:val="-2"/>
              </w:rPr>
              <w:t>oslabila</w:t>
            </w:r>
            <w:r w:rsidRPr="004F7A66">
              <w:rPr>
                <w:spacing w:val="-2"/>
              </w:rPr>
              <w:t xml:space="preserve"> k</w:t>
            </w:r>
            <w:r w:rsidR="0078264F" w:rsidRPr="004F7A66">
              <w:rPr>
                <w:spacing w:val="-2"/>
              </w:rPr>
              <w:t> </w:t>
            </w:r>
            <w:r w:rsidRPr="004F7A66">
              <w:rPr>
                <w:spacing w:val="-2"/>
              </w:rPr>
              <w:t>euru</w:t>
            </w:r>
            <w:r w:rsidR="0078264F" w:rsidRPr="004F7A66">
              <w:rPr>
                <w:spacing w:val="-2"/>
              </w:rPr>
              <w:t xml:space="preserve"> o</w:t>
            </w:r>
            <w:r w:rsidRPr="004F7A66">
              <w:rPr>
                <w:spacing w:val="-2"/>
              </w:rPr>
              <w:t xml:space="preserve"> 10,3 %, </w:t>
            </w:r>
            <w:r w:rsidR="00782ACB" w:rsidRPr="004F7A66">
              <w:rPr>
                <w:spacing w:val="-2"/>
              </w:rPr>
              <w:t>vůči</w:t>
            </w:r>
            <w:r w:rsidRPr="004F7A66">
              <w:rPr>
                <w:spacing w:val="-2"/>
              </w:rPr>
              <w:t xml:space="preserve"> americkému dolaru </w:t>
            </w:r>
            <w:r w:rsidR="00782ACB" w:rsidRPr="004F7A66">
              <w:rPr>
                <w:spacing w:val="-2"/>
              </w:rPr>
              <w:t xml:space="preserve">ztratila </w:t>
            </w:r>
            <w:r w:rsidRPr="004F7A66">
              <w:rPr>
                <w:spacing w:val="-2"/>
              </w:rPr>
              <w:t>více</w:t>
            </w:r>
            <w:r w:rsidR="005D0116" w:rsidRPr="004F7A66">
              <w:rPr>
                <w:spacing w:val="-2"/>
              </w:rPr>
              <w:t xml:space="preserve"> než </w:t>
            </w:r>
            <w:r w:rsidR="004F0E22" w:rsidRPr="004F7A66">
              <w:rPr>
                <w:spacing w:val="-2"/>
              </w:rPr>
              <w:t>20 % své</w:t>
            </w:r>
            <w:r w:rsidRPr="004F7A66">
              <w:rPr>
                <w:spacing w:val="-2"/>
              </w:rPr>
              <w:t xml:space="preserve"> hodnoty. Kurzový vývoj tak tlačil na</w:t>
            </w:r>
            <w:r w:rsidR="00B05A93" w:rsidRPr="004F7A66">
              <w:rPr>
                <w:spacing w:val="-2"/>
              </w:rPr>
              <w:t xml:space="preserve"> rychlejší růst cen dovozu než vývozu</w:t>
            </w:r>
            <w:r w:rsidR="00412FF3">
              <w:rPr>
                <w:spacing w:val="-2"/>
              </w:rPr>
              <w:t>,</w:t>
            </w:r>
            <w:r w:rsidR="00B05A93" w:rsidRPr="004F7A66">
              <w:rPr>
                <w:spacing w:val="-2"/>
              </w:rPr>
              <w:t xml:space="preserve"> a</w:t>
            </w:r>
            <w:r w:rsidR="0098047A" w:rsidRPr="004F7A66">
              <w:rPr>
                <w:spacing w:val="-2"/>
              </w:rPr>
              <w:t xml:space="preserve"> </w:t>
            </w:r>
            <w:r w:rsidR="005D0116" w:rsidRPr="004F7A66">
              <w:rPr>
                <w:spacing w:val="-2"/>
              </w:rPr>
              <w:t>z hlediska dopadu na směnné relace se tedy jednalo o vývoj nepříznivý</w:t>
            </w:r>
            <w:r w:rsidRPr="004F7A66">
              <w:rPr>
                <w:spacing w:val="-2"/>
              </w:rPr>
              <w:t>.</w:t>
            </w:r>
          </w:p>
          <w:p w:rsidR="007333CD" w:rsidRPr="006D00DB" w:rsidRDefault="007333CD" w:rsidP="00782ACB">
            <w:pPr>
              <w:pStyle w:val="Textpoznpodarou"/>
              <w:jc w:val="both"/>
            </w:pPr>
          </w:p>
          <w:p w:rsidR="00B05A93" w:rsidRPr="004F7A66" w:rsidRDefault="007333CD" w:rsidP="007333CD">
            <w:pPr>
              <w:pStyle w:val="Textpoznpodarou"/>
              <w:jc w:val="both"/>
            </w:pPr>
            <w:r w:rsidRPr="004F7A66">
              <w:rPr>
                <w:spacing w:val="-2"/>
              </w:rPr>
              <w:t>Jak je patrné ze skutečných směnných relací, které v kumulaci za roky 2002–</w:t>
            </w:r>
            <w:r w:rsidRPr="004F7A66">
              <w:t>2008 dosáhly hodnoty 100,2 % a v úhrnu za roky 2009–2014 hodnoty 100,5 %, směnné relace kurzovému vývoji neodpovídaly. Nad kurzovým vývojem převážil vývoj cen zboží a služeb jako takových.</w:t>
            </w:r>
          </w:p>
        </w:tc>
      </w:tr>
    </w:tbl>
    <w:p w:rsidR="00AC6131" w:rsidRPr="006D00DB" w:rsidRDefault="00AC6131" w:rsidP="00A039E5">
      <w:pPr>
        <w:rPr>
          <w:szCs w:val="20"/>
          <w:lang w:eastAsia="ar-SA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5"/>
        <w:gridCol w:w="4070"/>
        <w:gridCol w:w="427"/>
        <w:gridCol w:w="320"/>
        <w:gridCol w:w="4182"/>
      </w:tblGrid>
      <w:tr w:rsidR="00F52B32" w:rsidRPr="004F7A66" w:rsidTr="006D00DB">
        <w:tc>
          <w:tcPr>
            <w:tcW w:w="433" w:type="pct"/>
          </w:tcPr>
          <w:p w:rsidR="00A039E5" w:rsidRPr="004F7A66" w:rsidRDefault="00A039E5" w:rsidP="004824DB">
            <w:pPr>
              <w:pStyle w:val="Textpoznpodarou"/>
            </w:pPr>
            <w:r w:rsidRPr="004F7A66">
              <w:t>Graf č. </w:t>
            </w:r>
            <w:r w:rsidR="00BE2C2A" w:rsidRPr="004F7A66">
              <w:t>46</w:t>
            </w:r>
          </w:p>
        </w:tc>
        <w:tc>
          <w:tcPr>
            <w:tcW w:w="2068" w:type="pct"/>
          </w:tcPr>
          <w:p w:rsidR="00C94229" w:rsidRPr="004F7A66" w:rsidRDefault="00C94229" w:rsidP="00033C42">
            <w:pPr>
              <w:pStyle w:val="Textpoznpodarou"/>
              <w:rPr>
                <w:b/>
                <w:spacing w:val="-6"/>
              </w:rPr>
            </w:pPr>
            <w:r w:rsidRPr="004F7A66">
              <w:rPr>
                <w:b/>
                <w:spacing w:val="-6"/>
              </w:rPr>
              <w:t>Teritoriální s</w:t>
            </w:r>
            <w:r w:rsidR="00033C42" w:rsidRPr="004F7A66">
              <w:rPr>
                <w:b/>
                <w:spacing w:val="-6"/>
              </w:rPr>
              <w:t>truktura zahraničního obchodu se zbožím a</w:t>
            </w:r>
            <w:r w:rsidRPr="004F7A66">
              <w:rPr>
                <w:b/>
                <w:spacing w:val="-6"/>
              </w:rPr>
              <w:t xml:space="preserve"> teritoriální</w:t>
            </w:r>
            <w:r w:rsidR="00033C42" w:rsidRPr="004F7A66">
              <w:rPr>
                <w:b/>
                <w:spacing w:val="-6"/>
              </w:rPr>
              <w:t xml:space="preserve"> struktura zahraničního obchodu se službami</w:t>
            </w:r>
          </w:p>
          <w:p w:rsidR="00A039E5" w:rsidRPr="004F7A66" w:rsidRDefault="00A039E5" w:rsidP="00033C42">
            <w:pPr>
              <w:pStyle w:val="Textpoznpodarou"/>
              <w:rPr>
                <w:spacing w:val="-6"/>
              </w:rPr>
            </w:pPr>
            <w:r w:rsidRPr="004F7A66">
              <w:rPr>
                <w:spacing w:val="-6"/>
              </w:rPr>
              <w:t>(</w:t>
            </w:r>
            <w:r w:rsidR="005D0116" w:rsidRPr="004F7A66">
              <w:rPr>
                <w:spacing w:val="-6"/>
              </w:rPr>
              <w:t xml:space="preserve">podíly </w:t>
            </w:r>
            <w:r w:rsidR="00033C42" w:rsidRPr="004F7A66">
              <w:rPr>
                <w:spacing w:val="-6"/>
              </w:rPr>
              <w:t>v %, z údajů v běžných cenách</w:t>
            </w:r>
            <w:r w:rsidRPr="004F7A66">
              <w:rPr>
                <w:spacing w:val="-6"/>
              </w:rPr>
              <w:t>)</w:t>
            </w:r>
          </w:p>
        </w:tc>
        <w:tc>
          <w:tcPr>
            <w:tcW w:w="376" w:type="pct"/>
            <w:gridSpan w:val="2"/>
          </w:tcPr>
          <w:p w:rsidR="00A039E5" w:rsidRPr="004F7A66" w:rsidRDefault="00A039E5" w:rsidP="004824DB">
            <w:pPr>
              <w:pStyle w:val="Textpoznpodarou"/>
            </w:pPr>
            <w:r w:rsidRPr="004F7A66">
              <w:t>Graf č.</w:t>
            </w:r>
            <w:r w:rsidR="00033C42" w:rsidRPr="004F7A66">
              <w:t> </w:t>
            </w:r>
            <w:r w:rsidR="00BE2C2A" w:rsidRPr="004F7A66">
              <w:t>47</w:t>
            </w:r>
          </w:p>
        </w:tc>
        <w:tc>
          <w:tcPr>
            <w:tcW w:w="2122" w:type="pct"/>
          </w:tcPr>
          <w:p w:rsidR="00A039E5" w:rsidRPr="004F7A66" w:rsidRDefault="00F52B32" w:rsidP="00897DD6">
            <w:pPr>
              <w:pStyle w:val="Textpoznpodarou"/>
              <w:rPr>
                <w:spacing w:val="-6"/>
              </w:rPr>
            </w:pPr>
            <w:r w:rsidRPr="004F7A66">
              <w:rPr>
                <w:b/>
                <w:spacing w:val="-4"/>
              </w:rPr>
              <w:t xml:space="preserve">Průměrný kurz </w:t>
            </w:r>
            <w:r w:rsidR="00897DD6" w:rsidRPr="004F7A66">
              <w:rPr>
                <w:b/>
                <w:spacing w:val="-4"/>
              </w:rPr>
              <w:t>koruny k euru</w:t>
            </w:r>
            <w:r w:rsidRPr="004F7A66">
              <w:rPr>
                <w:b/>
                <w:spacing w:val="-4"/>
              </w:rPr>
              <w:t xml:space="preserve">, </w:t>
            </w:r>
            <w:r w:rsidR="00897DD6" w:rsidRPr="004F7A66">
              <w:rPr>
                <w:b/>
                <w:spacing w:val="-4"/>
              </w:rPr>
              <w:t>koruny k americkému dolaru, eura k americkému dolaru*</w:t>
            </w:r>
          </w:p>
        </w:tc>
      </w:tr>
      <w:tr w:rsidR="00A039E5" w:rsidRPr="004F7A66" w:rsidTr="006D00DB">
        <w:tc>
          <w:tcPr>
            <w:tcW w:w="2501" w:type="pct"/>
            <w:gridSpan w:val="2"/>
          </w:tcPr>
          <w:p w:rsidR="00A039E5" w:rsidRPr="004F7A66" w:rsidRDefault="00AC6131" w:rsidP="004824DB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3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pct"/>
            <w:gridSpan w:val="3"/>
          </w:tcPr>
          <w:p w:rsidR="00A039E5" w:rsidRPr="004F7A66" w:rsidRDefault="00AC6131" w:rsidP="004824DB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38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229" w:rsidRPr="004F7A66" w:rsidTr="006D00DB">
        <w:tc>
          <w:tcPr>
            <w:tcW w:w="2716" w:type="pct"/>
            <w:gridSpan w:val="3"/>
          </w:tcPr>
          <w:p w:rsidR="00C94229" w:rsidRPr="004F7A66" w:rsidRDefault="00C94229" w:rsidP="00897DD6">
            <w:pPr>
              <w:pStyle w:val="Textpoznpodarou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 xml:space="preserve">*Pozn.: </w:t>
            </w:r>
            <w:r w:rsidR="00897DD6" w:rsidRPr="004F7A66">
              <w:rPr>
                <w:sz w:val="18"/>
                <w:szCs w:val="18"/>
              </w:rPr>
              <w:t>Snížení hodnoty kurzu znamená posílení měny uvedené v kotaci na prvním místě</w:t>
            </w:r>
            <w:r w:rsidR="00AC6131" w:rsidRPr="004F7A66">
              <w:rPr>
                <w:sz w:val="18"/>
                <w:szCs w:val="18"/>
              </w:rPr>
              <w:t>, zvýšení hodnoty kurzu</w:t>
            </w:r>
            <w:r w:rsidR="00897DD6" w:rsidRPr="004F7A66">
              <w:rPr>
                <w:sz w:val="18"/>
                <w:szCs w:val="18"/>
              </w:rPr>
              <w:t xml:space="preserve"> značí opak.</w:t>
            </w:r>
          </w:p>
        </w:tc>
        <w:tc>
          <w:tcPr>
            <w:tcW w:w="2284" w:type="pct"/>
            <w:gridSpan w:val="2"/>
          </w:tcPr>
          <w:p w:rsidR="00C94229" w:rsidRPr="004F7A66" w:rsidRDefault="006D00DB" w:rsidP="006D00DB">
            <w:pPr>
              <w:pStyle w:val="Textpoznpodarou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Zdroj: ČSÚ, </w:t>
            </w:r>
            <w:proofErr w:type="spellStart"/>
            <w:r>
              <w:rPr>
                <w:sz w:val="18"/>
                <w:szCs w:val="18"/>
              </w:rPr>
              <w:t>Eurostat</w:t>
            </w:r>
            <w:proofErr w:type="spellEnd"/>
            <w:r>
              <w:rPr>
                <w:sz w:val="18"/>
                <w:szCs w:val="18"/>
              </w:rPr>
              <w:t>, ČNB</w:t>
            </w:r>
            <w:r w:rsidR="00C94229" w:rsidRPr="004F7A66">
              <w:rPr>
                <w:sz w:val="18"/>
                <w:szCs w:val="18"/>
              </w:rPr>
              <w:t>, vlastní výpočty</w:t>
            </w:r>
          </w:p>
        </w:tc>
      </w:tr>
    </w:tbl>
    <w:p w:rsidR="0078264F" w:rsidRPr="006D00DB" w:rsidRDefault="0078264F" w:rsidP="0078264F">
      <w:pPr>
        <w:rPr>
          <w:szCs w:val="20"/>
          <w:lang w:eastAsia="ar-SA"/>
        </w:rPr>
      </w:pPr>
    </w:p>
    <w:p w:rsidR="00E91889" w:rsidRDefault="0078264F" w:rsidP="00514E0B">
      <w:pPr>
        <w:pStyle w:val="Nadpis2"/>
        <w:numPr>
          <w:ilvl w:val="1"/>
          <w:numId w:val="24"/>
        </w:numPr>
      </w:pPr>
      <w:bookmarkStart w:id="3" w:name="_Toc436211342"/>
      <w:r>
        <w:t>Směnné relace v zahraničním obchodě se zbožím</w:t>
      </w:r>
      <w:bookmarkEnd w:id="3"/>
    </w:p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8E17D7" w:rsidRPr="004F7A66" w:rsidTr="00250FA9">
        <w:tc>
          <w:tcPr>
            <w:tcW w:w="1054" w:type="pct"/>
          </w:tcPr>
          <w:p w:rsidR="008E17D7" w:rsidRPr="004F7A66" w:rsidRDefault="00250FA9" w:rsidP="004D7F9E">
            <w:pPr>
              <w:spacing w:line="240" w:lineRule="auto"/>
              <w:rPr>
                <w:spacing w:val="-2"/>
                <w:sz w:val="16"/>
                <w:szCs w:val="16"/>
              </w:rPr>
            </w:pPr>
            <w:r w:rsidRPr="004F7A66">
              <w:rPr>
                <w:spacing w:val="-2"/>
                <w:sz w:val="16"/>
                <w:szCs w:val="16"/>
              </w:rPr>
              <w:t>Statistika cen</w:t>
            </w:r>
            <w:r w:rsidR="004D7F9E">
              <w:rPr>
                <w:spacing w:val="-2"/>
                <w:sz w:val="16"/>
                <w:szCs w:val="16"/>
              </w:rPr>
              <w:t xml:space="preserve"> zahraničního obchodu n</w:t>
            </w:r>
            <w:r w:rsidRPr="004F7A66">
              <w:rPr>
                <w:spacing w:val="-2"/>
                <w:sz w:val="16"/>
                <w:szCs w:val="16"/>
              </w:rPr>
              <w:t>abízí údaje o</w:t>
            </w:r>
            <w:r w:rsidR="004D7F9E">
              <w:rPr>
                <w:spacing w:val="-2"/>
                <w:sz w:val="16"/>
                <w:szCs w:val="16"/>
              </w:rPr>
              <w:t> </w:t>
            </w:r>
            <w:r w:rsidRPr="004F7A66">
              <w:rPr>
                <w:spacing w:val="-2"/>
                <w:sz w:val="16"/>
                <w:szCs w:val="16"/>
              </w:rPr>
              <w:t>vývoji cen jednotlivých komodit</w:t>
            </w:r>
          </w:p>
        </w:tc>
        <w:tc>
          <w:tcPr>
            <w:tcW w:w="143" w:type="pct"/>
          </w:tcPr>
          <w:p w:rsidR="008E17D7" w:rsidRPr="004F7A66" w:rsidRDefault="008E17D7" w:rsidP="001E15CE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8E17D7" w:rsidRPr="004F7A66" w:rsidRDefault="001E15CE" w:rsidP="004D7F9E">
            <w:pPr>
              <w:pStyle w:val="Textpoznpodarou"/>
              <w:jc w:val="both"/>
            </w:pPr>
            <w:r w:rsidRPr="004F7A66">
              <w:t xml:space="preserve">Ze statistiky cen zahraničního obchodu je patrné, že ceny vývozu zboží vzrostly mezi roky 1995 a 2014 o 17,0 % a ceny dovozu zboží za nimi s růstem o 12,1 % </w:t>
            </w:r>
            <w:r w:rsidR="002C7ACC" w:rsidRPr="004F7A66">
              <w:t>zaostávaly. S</w:t>
            </w:r>
            <w:r w:rsidRPr="004F7A66">
              <w:t>měnné relace</w:t>
            </w:r>
            <w:r w:rsidR="00250FA9" w:rsidRPr="004F7A66">
              <w:t xml:space="preserve"> </w:t>
            </w:r>
            <w:r w:rsidR="002C7ACC" w:rsidRPr="004F7A66">
              <w:t xml:space="preserve">tedy </w:t>
            </w:r>
            <w:r w:rsidR="008457AF" w:rsidRPr="004F7A66">
              <w:t xml:space="preserve">byly pozitivní </w:t>
            </w:r>
            <w:r w:rsidR="002C7ACC" w:rsidRPr="004F7A66">
              <w:t>a dosáhly výše</w:t>
            </w:r>
            <w:r w:rsidRPr="004F7A66">
              <w:t xml:space="preserve"> 104,3</w:t>
            </w:r>
            <w:r w:rsidR="00235302" w:rsidRPr="004F7A66">
              <w:t> </w:t>
            </w:r>
            <w:r w:rsidRPr="004F7A66">
              <w:t>%</w:t>
            </w:r>
            <w:r w:rsidR="008457AF" w:rsidRPr="004F7A66">
              <w:t xml:space="preserve">. </w:t>
            </w:r>
            <w:r w:rsidRPr="004F7A66">
              <w:t xml:space="preserve">Tedy i tato statistika </w:t>
            </w:r>
            <w:r w:rsidR="002C7ACC" w:rsidRPr="004F7A66">
              <w:t>ukazuje</w:t>
            </w:r>
            <w:r w:rsidRPr="004F7A66">
              <w:t xml:space="preserve">, že vývoj cen v zahraničním obchodě se zbožím byl </w:t>
            </w:r>
            <w:r w:rsidR="005B6E3F" w:rsidRPr="004F7A66">
              <w:t>v letech 1996–2014 příznivý a působil</w:t>
            </w:r>
            <w:r w:rsidRPr="004F7A66">
              <w:t xml:space="preserve"> </w:t>
            </w:r>
            <w:r w:rsidR="00A409F3" w:rsidRPr="004F7A66">
              <w:t>ve směru růstu</w:t>
            </w:r>
            <w:r w:rsidRPr="004F7A66">
              <w:t xml:space="preserve"> výkonnost</w:t>
            </w:r>
            <w:r w:rsidR="00A409F3" w:rsidRPr="004F7A66">
              <w:t>i</w:t>
            </w:r>
            <w:r w:rsidRPr="004F7A66">
              <w:t xml:space="preserve"> české ekonomiky. </w:t>
            </w:r>
            <w:r w:rsidR="00250FA9" w:rsidRPr="004F7A66">
              <w:t xml:space="preserve">Statistika cen zahraničního obchodu může ale </w:t>
            </w:r>
            <w:r w:rsidR="008457AF" w:rsidRPr="004F7A66">
              <w:t xml:space="preserve">pohled </w:t>
            </w:r>
            <w:r w:rsidR="00235302" w:rsidRPr="004F7A66">
              <w:t xml:space="preserve">na </w:t>
            </w:r>
            <w:r w:rsidR="008457AF" w:rsidRPr="004F7A66">
              <w:t>směnn</w:t>
            </w:r>
            <w:r w:rsidR="00235302" w:rsidRPr="004F7A66">
              <w:t>é</w:t>
            </w:r>
            <w:r w:rsidR="008457AF" w:rsidRPr="004F7A66">
              <w:t xml:space="preserve"> relac</w:t>
            </w:r>
            <w:r w:rsidR="00235302" w:rsidRPr="004F7A66">
              <w:t>e</w:t>
            </w:r>
            <w:r w:rsidR="008457AF" w:rsidRPr="004F7A66">
              <w:t xml:space="preserve"> </w:t>
            </w:r>
            <w:r w:rsidR="002C7ACC" w:rsidRPr="004F7A66">
              <w:t>i dále</w:t>
            </w:r>
            <w:r w:rsidR="008457AF" w:rsidRPr="004F7A66">
              <w:t xml:space="preserve"> obohatit</w:t>
            </w:r>
            <w:r w:rsidR="004D7F9E">
              <w:t>.</w:t>
            </w:r>
            <w:r w:rsidR="00250FA9" w:rsidRPr="004F7A66">
              <w:t xml:space="preserve"> </w:t>
            </w:r>
            <w:r w:rsidR="004D7F9E">
              <w:t>N</w:t>
            </w:r>
            <w:r w:rsidR="008457AF" w:rsidRPr="004F7A66">
              <w:t>abízí totiž údaje o vývoji cen jednotlivých komodit</w:t>
            </w:r>
            <w:r w:rsidR="004D7F9E">
              <w:t>.</w:t>
            </w:r>
            <w:r w:rsidR="004D7F9E">
              <w:rPr>
                <w:rStyle w:val="Znakapoznpodarou"/>
              </w:rPr>
              <w:footnoteReference w:id="2"/>
            </w:r>
          </w:p>
        </w:tc>
      </w:tr>
    </w:tbl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5"/>
        <w:gridCol w:w="2509"/>
        <w:gridCol w:w="1565"/>
        <w:gridCol w:w="747"/>
        <w:gridCol w:w="4178"/>
      </w:tblGrid>
      <w:tr w:rsidR="00E91889" w:rsidRPr="004F7A66" w:rsidTr="00250FA9">
        <w:tc>
          <w:tcPr>
            <w:tcW w:w="433" w:type="pct"/>
          </w:tcPr>
          <w:p w:rsidR="00E91889" w:rsidRPr="004F7A66" w:rsidRDefault="00E91889" w:rsidP="00E91889">
            <w:pPr>
              <w:pStyle w:val="Textpoznpodarou"/>
            </w:pPr>
            <w:r w:rsidRPr="004F7A66">
              <w:lastRenderedPageBreak/>
              <w:t>Graf č. </w:t>
            </w:r>
            <w:r w:rsidR="00BE2C2A" w:rsidRPr="004F7A66">
              <w:t>48</w:t>
            </w:r>
          </w:p>
        </w:tc>
        <w:tc>
          <w:tcPr>
            <w:tcW w:w="2068" w:type="pct"/>
            <w:gridSpan w:val="2"/>
          </w:tcPr>
          <w:p w:rsidR="00E91889" w:rsidRPr="004F7A66" w:rsidRDefault="00E91889" w:rsidP="00123F72">
            <w:pPr>
              <w:pStyle w:val="Textpoznpodarou"/>
              <w:rPr>
                <w:spacing w:val="-6"/>
              </w:rPr>
            </w:pPr>
            <w:r w:rsidRPr="004F7A66">
              <w:rPr>
                <w:b/>
                <w:spacing w:val="-6"/>
              </w:rPr>
              <w:t>Kumulativní nárůst cen vývozu</w:t>
            </w:r>
            <w:r w:rsidR="005D0116" w:rsidRPr="004F7A66">
              <w:rPr>
                <w:b/>
                <w:spacing w:val="-6"/>
              </w:rPr>
              <w:t xml:space="preserve"> zboží</w:t>
            </w:r>
            <w:r w:rsidRPr="004F7A66">
              <w:rPr>
                <w:b/>
                <w:spacing w:val="-6"/>
              </w:rPr>
              <w:t xml:space="preserve"> a dovozu</w:t>
            </w:r>
            <w:r w:rsidR="005D0116" w:rsidRPr="004F7A66">
              <w:rPr>
                <w:b/>
                <w:spacing w:val="-6"/>
              </w:rPr>
              <w:t xml:space="preserve"> zboží</w:t>
            </w:r>
            <w:r w:rsidRPr="004F7A66">
              <w:rPr>
                <w:b/>
                <w:spacing w:val="-6"/>
              </w:rPr>
              <w:t xml:space="preserve"> </w:t>
            </w:r>
            <w:r w:rsidR="00123F72" w:rsidRPr="004F7A66">
              <w:rPr>
                <w:b/>
                <w:spacing w:val="-6"/>
              </w:rPr>
              <w:t>v letech 1996</w:t>
            </w:r>
            <w:r w:rsidR="00123F72" w:rsidRPr="004F7A66">
              <w:rPr>
                <w:b/>
                <w:spacing w:val="-2"/>
              </w:rPr>
              <w:t>–</w:t>
            </w:r>
            <w:r w:rsidR="00123F72" w:rsidRPr="004F7A66">
              <w:rPr>
                <w:b/>
                <w:spacing w:val="-6"/>
              </w:rPr>
              <w:t>2014</w:t>
            </w:r>
            <w:r w:rsidRPr="004F7A66">
              <w:rPr>
                <w:b/>
                <w:spacing w:val="-6"/>
              </w:rPr>
              <w:t xml:space="preserve">, kumulativní směnné relace </w:t>
            </w:r>
            <w:r w:rsidRPr="004F7A66">
              <w:rPr>
                <w:spacing w:val="-6"/>
              </w:rPr>
              <w:t>(v %)</w:t>
            </w:r>
          </w:p>
        </w:tc>
        <w:tc>
          <w:tcPr>
            <w:tcW w:w="378" w:type="pct"/>
          </w:tcPr>
          <w:p w:rsidR="00E91889" w:rsidRPr="004F7A66" w:rsidRDefault="00E91889" w:rsidP="00E91889">
            <w:pPr>
              <w:pStyle w:val="Textpoznpodarou"/>
            </w:pPr>
            <w:r w:rsidRPr="004F7A66">
              <w:t>Graf č. </w:t>
            </w:r>
            <w:r w:rsidR="00BE2C2A" w:rsidRPr="004F7A66">
              <w:t>49</w:t>
            </w:r>
          </w:p>
        </w:tc>
        <w:tc>
          <w:tcPr>
            <w:tcW w:w="2121" w:type="pct"/>
          </w:tcPr>
          <w:p w:rsidR="00E91889" w:rsidRPr="004F7A66" w:rsidRDefault="00E91889" w:rsidP="00E91889">
            <w:pPr>
              <w:pStyle w:val="Textpoznpodarou"/>
              <w:rPr>
                <w:spacing w:val="-6"/>
              </w:rPr>
            </w:pPr>
            <w:r w:rsidRPr="004F7A66">
              <w:rPr>
                <w:b/>
                <w:spacing w:val="-6"/>
              </w:rPr>
              <w:t xml:space="preserve">Ceny vývozu a dovozu minerálních paliv, směnné relace v zahraničním obchodě s minerálními palivy </w:t>
            </w:r>
            <w:r w:rsidRPr="004F7A66">
              <w:rPr>
                <w:spacing w:val="-6"/>
              </w:rPr>
              <w:t>(y/y v %)</w:t>
            </w:r>
          </w:p>
        </w:tc>
      </w:tr>
      <w:tr w:rsidR="00E91889" w:rsidRPr="004F7A66" w:rsidTr="00250FA9">
        <w:tc>
          <w:tcPr>
            <w:tcW w:w="2501" w:type="pct"/>
            <w:gridSpan w:val="3"/>
          </w:tcPr>
          <w:p w:rsidR="00E91889" w:rsidRPr="004F7A66" w:rsidRDefault="00123F72" w:rsidP="00E91889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24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pct"/>
            <w:gridSpan w:val="2"/>
          </w:tcPr>
          <w:p w:rsidR="00E91889" w:rsidRPr="004F7A66" w:rsidRDefault="00123F72" w:rsidP="00E91889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42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889" w:rsidRPr="004F7A66" w:rsidTr="00250FA9">
        <w:trPr>
          <w:trHeight w:val="118"/>
        </w:trPr>
        <w:tc>
          <w:tcPr>
            <w:tcW w:w="1707" w:type="pct"/>
            <w:gridSpan w:val="2"/>
          </w:tcPr>
          <w:p w:rsidR="00E91889" w:rsidRPr="004F7A66" w:rsidRDefault="00E91889" w:rsidP="00E91889">
            <w:pPr>
              <w:pStyle w:val="Textpoznpodarou"/>
              <w:rPr>
                <w:sz w:val="18"/>
                <w:szCs w:val="18"/>
              </w:rPr>
            </w:pPr>
          </w:p>
        </w:tc>
        <w:tc>
          <w:tcPr>
            <w:tcW w:w="3293" w:type="pct"/>
            <w:gridSpan w:val="3"/>
          </w:tcPr>
          <w:p w:rsidR="00E91889" w:rsidRPr="004F7A66" w:rsidRDefault="00E91889" w:rsidP="00BB4AE1">
            <w:pPr>
              <w:pStyle w:val="Textpoznpodarou"/>
              <w:jc w:val="right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>Zdroj: ČSÚ, vlastní výpočty</w:t>
            </w:r>
          </w:p>
        </w:tc>
      </w:tr>
    </w:tbl>
    <w:p w:rsidR="00255343" w:rsidRDefault="00255343" w:rsidP="00255343"/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2C7ACC" w:rsidRPr="004F7A66" w:rsidTr="00A87635">
        <w:tc>
          <w:tcPr>
            <w:tcW w:w="1054" w:type="pct"/>
          </w:tcPr>
          <w:p w:rsidR="002C7ACC" w:rsidRPr="004F7A66" w:rsidRDefault="00A118EC" w:rsidP="00012FE4">
            <w:pPr>
              <w:spacing w:line="240" w:lineRule="auto"/>
              <w:rPr>
                <w:spacing w:val="-2"/>
                <w:sz w:val="16"/>
                <w:szCs w:val="16"/>
              </w:rPr>
            </w:pPr>
            <w:r w:rsidRPr="004F7A66">
              <w:rPr>
                <w:spacing w:val="-2"/>
                <w:sz w:val="16"/>
                <w:szCs w:val="16"/>
              </w:rPr>
              <w:t>Směnné relace kladné v případě dvou nejvýznamnějších tříd na</w:t>
            </w:r>
            <w:r w:rsidR="00012FE4" w:rsidRPr="004F7A66">
              <w:rPr>
                <w:spacing w:val="-2"/>
                <w:sz w:val="16"/>
                <w:szCs w:val="16"/>
              </w:rPr>
              <w:t> </w:t>
            </w:r>
            <w:r w:rsidRPr="004F7A66">
              <w:rPr>
                <w:spacing w:val="-2"/>
                <w:sz w:val="16"/>
                <w:szCs w:val="16"/>
              </w:rPr>
              <w:t>straně vývozu i dovozu, tj. strojů a dopravních prostředků</w:t>
            </w:r>
            <w:r w:rsidR="00012FE4" w:rsidRPr="004F7A66">
              <w:rPr>
                <w:spacing w:val="-2"/>
                <w:sz w:val="16"/>
                <w:szCs w:val="16"/>
              </w:rPr>
              <w:t xml:space="preserve"> a polotovarů. Nepříznivý vývoj cen zasáhl především minerální paliva</w:t>
            </w:r>
            <w:r w:rsidR="00542566" w:rsidRPr="004F7A66">
              <w:rPr>
                <w:spacing w:val="-2"/>
                <w:sz w:val="16"/>
                <w:szCs w:val="16"/>
              </w:rPr>
              <w:t xml:space="preserve">, </w:t>
            </w:r>
            <w:r w:rsidR="00012FE4" w:rsidRPr="004F7A66">
              <w:rPr>
                <w:spacing w:val="-2"/>
                <w:sz w:val="16"/>
                <w:szCs w:val="16"/>
              </w:rPr>
              <w:t>…</w:t>
            </w:r>
          </w:p>
        </w:tc>
        <w:tc>
          <w:tcPr>
            <w:tcW w:w="143" w:type="pct"/>
          </w:tcPr>
          <w:p w:rsidR="002C7ACC" w:rsidRPr="004F7A66" w:rsidRDefault="002C7ACC" w:rsidP="003064DE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2C7ACC" w:rsidRPr="004F7A66" w:rsidRDefault="00B20590" w:rsidP="00662166">
            <w:pPr>
              <w:pStyle w:val="Textpoznpodarou"/>
              <w:jc w:val="both"/>
            </w:pPr>
            <w:r w:rsidRPr="004F7A66">
              <w:t>S</w:t>
            </w:r>
            <w:r w:rsidR="002C7ACC" w:rsidRPr="004F7A66">
              <w:t xml:space="preserve">měnné relace byly v úhrnu </w:t>
            </w:r>
            <w:r w:rsidR="00662166" w:rsidRPr="004F7A66">
              <w:t>za roky 1996–</w:t>
            </w:r>
            <w:r w:rsidR="002C7ACC" w:rsidRPr="004F7A66">
              <w:t xml:space="preserve">2014 </w:t>
            </w:r>
            <w:r w:rsidR="00235302" w:rsidRPr="004F7A66">
              <w:t>pozitivní</w:t>
            </w:r>
            <w:r w:rsidR="002C7ACC" w:rsidRPr="004F7A66">
              <w:t xml:space="preserve"> v případě </w:t>
            </w:r>
            <w:r w:rsidR="003C5E0A" w:rsidRPr="004F7A66">
              <w:t>ob</w:t>
            </w:r>
            <w:r w:rsidR="002C7ACC" w:rsidRPr="004F7A66">
              <w:t xml:space="preserve">ou nejvýznamnějších </w:t>
            </w:r>
            <w:r w:rsidR="008F5C40" w:rsidRPr="004F7A66">
              <w:t>tříd</w:t>
            </w:r>
            <w:r w:rsidR="00662166" w:rsidRPr="004F7A66">
              <w:t xml:space="preserve"> na straně vývozu</w:t>
            </w:r>
            <w:r w:rsidR="005A4F0A" w:rsidRPr="004F7A66">
              <w:t xml:space="preserve"> zboží</w:t>
            </w:r>
            <w:r w:rsidR="00662166" w:rsidRPr="004F7A66">
              <w:t xml:space="preserve"> i dovozu</w:t>
            </w:r>
            <w:r w:rsidR="005A4F0A" w:rsidRPr="004F7A66">
              <w:t xml:space="preserve"> zboží</w:t>
            </w:r>
            <w:r w:rsidR="00662166" w:rsidRPr="004F7A66">
              <w:t xml:space="preserve">, </w:t>
            </w:r>
            <w:r w:rsidR="003C5E0A" w:rsidRPr="004F7A66">
              <w:t>tedy</w:t>
            </w:r>
            <w:r w:rsidR="00662166" w:rsidRPr="004F7A66">
              <w:t xml:space="preserve"> stroj</w:t>
            </w:r>
            <w:r w:rsidR="003C5E0A" w:rsidRPr="004F7A66">
              <w:t>ů</w:t>
            </w:r>
            <w:r w:rsidR="00662166" w:rsidRPr="004F7A66">
              <w:t xml:space="preserve"> a</w:t>
            </w:r>
            <w:r w:rsidR="008F5C40" w:rsidRPr="004F7A66">
              <w:t> </w:t>
            </w:r>
            <w:r w:rsidR="00662166" w:rsidRPr="004F7A66">
              <w:t>dopravní</w:t>
            </w:r>
            <w:r w:rsidR="003C5E0A" w:rsidRPr="004F7A66">
              <w:t>ch</w:t>
            </w:r>
            <w:r w:rsidR="00662166" w:rsidRPr="004F7A66">
              <w:t xml:space="preserve"> prostředk</w:t>
            </w:r>
            <w:r w:rsidR="003C5E0A" w:rsidRPr="004F7A66">
              <w:t>ů</w:t>
            </w:r>
            <w:r w:rsidR="002C7ACC" w:rsidRPr="004F7A66">
              <w:t xml:space="preserve"> a </w:t>
            </w:r>
            <w:r w:rsidR="00662166" w:rsidRPr="004F7A66">
              <w:t>polotovar</w:t>
            </w:r>
            <w:r w:rsidR="003C5E0A" w:rsidRPr="004F7A66">
              <w:t>ů</w:t>
            </w:r>
            <w:r w:rsidR="008F5C40" w:rsidRPr="004F7A66">
              <w:t xml:space="preserve">. Zatímco u polotovarů dosáhly hodnoty 113,9 %, u strojů a dopravních prostředků </w:t>
            </w:r>
            <w:r w:rsidR="00A118EC" w:rsidRPr="004F7A66">
              <w:t xml:space="preserve">dokonce </w:t>
            </w:r>
            <w:r w:rsidR="008F5C40" w:rsidRPr="004F7A66">
              <w:t>131,7 %</w:t>
            </w:r>
            <w:r w:rsidR="00A118EC" w:rsidRPr="004F7A66">
              <w:t xml:space="preserve"> a</w:t>
            </w:r>
            <w:r w:rsidR="008F5C40" w:rsidRPr="004F7A66">
              <w:t xml:space="preserve"> byly nejvyšší </w:t>
            </w:r>
            <w:r w:rsidR="008F5C40" w:rsidRPr="004F7A66">
              <w:rPr>
                <w:spacing w:val="-4"/>
              </w:rPr>
              <w:t>ze všech tříd SITC</w:t>
            </w:r>
            <w:r w:rsidR="00662166" w:rsidRPr="004F7A66">
              <w:rPr>
                <w:spacing w:val="-4"/>
              </w:rPr>
              <w:t>.</w:t>
            </w:r>
            <w:r w:rsidR="002C7ACC" w:rsidRPr="004F7A66">
              <w:rPr>
                <w:spacing w:val="-4"/>
              </w:rPr>
              <w:t xml:space="preserve"> </w:t>
            </w:r>
            <w:r w:rsidR="00A118EC" w:rsidRPr="004F7A66">
              <w:rPr>
                <w:spacing w:val="-4"/>
              </w:rPr>
              <w:t>Pozitivní směnné relace vykázal ovšem i obchod s</w:t>
            </w:r>
            <w:r w:rsidR="00A118EC" w:rsidRPr="004F7A66">
              <w:t xml:space="preserve"> průmyslovým spotřebním</w:t>
            </w:r>
            <w:r w:rsidR="002C7ACC" w:rsidRPr="004F7A66">
              <w:t xml:space="preserve"> zboží</w:t>
            </w:r>
            <w:r w:rsidR="00A118EC" w:rsidRPr="004F7A66">
              <w:t>m</w:t>
            </w:r>
            <w:r w:rsidR="00662166" w:rsidRPr="004F7A66">
              <w:t xml:space="preserve"> (128,1 %)</w:t>
            </w:r>
            <w:r w:rsidR="005A4F0A" w:rsidRPr="004F7A66">
              <w:t>, chemikálie</w:t>
            </w:r>
            <w:r w:rsidR="00A118EC" w:rsidRPr="004F7A66">
              <w:t>mi</w:t>
            </w:r>
            <w:r w:rsidR="00662166" w:rsidRPr="004F7A66">
              <w:t xml:space="preserve"> (123,3</w:t>
            </w:r>
            <w:r w:rsidR="005A4F0A" w:rsidRPr="004F7A66">
              <w:t> </w:t>
            </w:r>
            <w:r w:rsidR="00662166" w:rsidRPr="004F7A66">
              <w:t>%)</w:t>
            </w:r>
            <w:r w:rsidR="005A4F0A" w:rsidRPr="004F7A66">
              <w:t>, ostatní</w:t>
            </w:r>
            <w:r w:rsidR="00A118EC" w:rsidRPr="004F7A66">
              <w:t>mi</w:t>
            </w:r>
            <w:r w:rsidR="002C7ACC" w:rsidRPr="004F7A66">
              <w:t xml:space="preserve"> surovin</w:t>
            </w:r>
            <w:r w:rsidR="00A118EC" w:rsidRPr="004F7A66">
              <w:t>ami</w:t>
            </w:r>
            <w:r w:rsidR="00662166" w:rsidRPr="004F7A66">
              <w:t xml:space="preserve"> (111,1 %)</w:t>
            </w:r>
            <w:r w:rsidR="002C7ACC" w:rsidRPr="004F7A66">
              <w:t xml:space="preserve"> a</w:t>
            </w:r>
            <w:r w:rsidR="008F5C40" w:rsidRPr="004F7A66">
              <w:t> </w:t>
            </w:r>
            <w:r w:rsidR="002C7ACC" w:rsidRPr="004F7A66">
              <w:t xml:space="preserve">mírně </w:t>
            </w:r>
            <w:r w:rsidR="00662166" w:rsidRPr="004F7A66">
              <w:t>pozitivní</w:t>
            </w:r>
            <w:r w:rsidR="002C7ACC" w:rsidRPr="004F7A66">
              <w:t xml:space="preserve"> byly</w:t>
            </w:r>
            <w:r w:rsidR="00662166" w:rsidRPr="004F7A66">
              <w:t xml:space="preserve"> směnné relace</w:t>
            </w:r>
            <w:r w:rsidR="00A118EC" w:rsidRPr="004F7A66">
              <w:t xml:space="preserve"> v tomto období</w:t>
            </w:r>
            <w:r w:rsidR="003C5E0A" w:rsidRPr="004F7A66">
              <w:t xml:space="preserve"> také</w:t>
            </w:r>
            <w:r w:rsidR="002C7ACC" w:rsidRPr="004F7A66">
              <w:t xml:space="preserve"> </w:t>
            </w:r>
            <w:r w:rsidR="00662166" w:rsidRPr="004F7A66">
              <w:t>u</w:t>
            </w:r>
            <w:r w:rsidR="00A118EC" w:rsidRPr="004F7A66">
              <w:t> </w:t>
            </w:r>
            <w:r w:rsidR="002C7ACC" w:rsidRPr="004F7A66">
              <w:t>nápojů a</w:t>
            </w:r>
            <w:r w:rsidR="00662166" w:rsidRPr="004F7A66">
              <w:t> </w:t>
            </w:r>
            <w:r w:rsidR="002C7ACC" w:rsidRPr="004F7A66">
              <w:t>tabáku</w:t>
            </w:r>
            <w:r w:rsidR="00662166" w:rsidRPr="004F7A66">
              <w:t xml:space="preserve"> (100,8 %)</w:t>
            </w:r>
            <w:r w:rsidR="002C7ACC" w:rsidRPr="004F7A66">
              <w:t>.</w:t>
            </w:r>
            <w:r w:rsidR="00662166" w:rsidRPr="004F7A66">
              <w:t xml:space="preserve"> Nepříznivý vývoj cen zasáhl zbývající komodity, zejména</w:t>
            </w:r>
            <w:r w:rsidR="008F5C40" w:rsidRPr="004F7A66">
              <w:t xml:space="preserve"> pak</w:t>
            </w:r>
            <w:r w:rsidR="00662166" w:rsidRPr="004F7A66">
              <w:t xml:space="preserve"> minerální paliva (58,9</w:t>
            </w:r>
            <w:r w:rsidR="005B6E3F" w:rsidRPr="004F7A66">
              <w:t> </w:t>
            </w:r>
            <w:r w:rsidR="00662166" w:rsidRPr="004F7A66">
              <w:t xml:space="preserve">%). V případě </w:t>
            </w:r>
            <w:r w:rsidR="00D848DD" w:rsidRPr="004F7A66">
              <w:t>váhově</w:t>
            </w:r>
            <w:r w:rsidR="00460FB3" w:rsidRPr="004F7A66">
              <w:t xml:space="preserve"> málo významné třídy </w:t>
            </w:r>
            <w:r w:rsidR="00662166" w:rsidRPr="004F7A66">
              <w:t>živočišných a</w:t>
            </w:r>
            <w:r w:rsidR="00A118EC" w:rsidRPr="004F7A66">
              <w:t> </w:t>
            </w:r>
            <w:r w:rsidR="00662166" w:rsidRPr="004F7A66">
              <w:t>rostlinných olejů dosáhly směnné relace hodnoty 84,0</w:t>
            </w:r>
            <w:r w:rsidRPr="004F7A66">
              <w:t xml:space="preserve"> %,</w:t>
            </w:r>
            <w:r w:rsidR="00662166" w:rsidRPr="004F7A66">
              <w:t xml:space="preserve"> u potravin a živých zvířat </w:t>
            </w:r>
            <w:r w:rsidRPr="004F7A66">
              <w:t xml:space="preserve">činily </w:t>
            </w:r>
            <w:r w:rsidR="00662166" w:rsidRPr="004F7A66">
              <w:t>95,2</w:t>
            </w:r>
            <w:r w:rsidR="008F5C40" w:rsidRPr="004F7A66">
              <w:t> </w:t>
            </w:r>
            <w:r w:rsidR="00662166" w:rsidRPr="004F7A66">
              <w:t>%.</w:t>
            </w:r>
          </w:p>
          <w:p w:rsidR="00662166" w:rsidRPr="004F7A66" w:rsidRDefault="00662166" w:rsidP="00662166">
            <w:pPr>
              <w:pStyle w:val="Textpoznpodarou"/>
              <w:jc w:val="both"/>
            </w:pPr>
          </w:p>
        </w:tc>
      </w:tr>
      <w:tr w:rsidR="004E2046" w:rsidRPr="004F7A66" w:rsidTr="00A87635">
        <w:tc>
          <w:tcPr>
            <w:tcW w:w="1054" w:type="pct"/>
          </w:tcPr>
          <w:p w:rsidR="004E2046" w:rsidRPr="004F7A66" w:rsidRDefault="00012FE4" w:rsidP="00012FE4">
            <w:pPr>
              <w:spacing w:line="240" w:lineRule="auto"/>
              <w:rPr>
                <w:spacing w:val="-2"/>
                <w:sz w:val="16"/>
                <w:szCs w:val="16"/>
              </w:rPr>
            </w:pPr>
            <w:r w:rsidRPr="004F7A66">
              <w:rPr>
                <w:spacing w:val="-2"/>
                <w:sz w:val="16"/>
                <w:szCs w:val="16"/>
              </w:rPr>
              <w:t>… cena ropy se totiž mezi rokem 1995 a 2014 zvýšila téměř na šestinásobek</w:t>
            </w:r>
          </w:p>
        </w:tc>
        <w:tc>
          <w:tcPr>
            <w:tcW w:w="143" w:type="pct"/>
          </w:tcPr>
          <w:p w:rsidR="004E2046" w:rsidRPr="004F7A66" w:rsidRDefault="004E2046" w:rsidP="003064DE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4E2046" w:rsidRPr="004F7A66" w:rsidRDefault="004E2046" w:rsidP="00AD1159">
            <w:pPr>
              <w:pStyle w:val="Textpoznpodarou"/>
              <w:jc w:val="both"/>
            </w:pPr>
            <w:r w:rsidRPr="004F7A66">
              <w:t xml:space="preserve">Přestože </w:t>
            </w:r>
            <w:r w:rsidR="005A4F0A" w:rsidRPr="004F7A66">
              <w:t xml:space="preserve">se </w:t>
            </w:r>
            <w:r w:rsidRPr="004F7A66">
              <w:t>ceny vývozu minerálních paliv za posledních devatenáct let zvýšily</w:t>
            </w:r>
            <w:r w:rsidR="005A4F0A" w:rsidRPr="004F7A66">
              <w:t xml:space="preserve"> celkově</w:t>
            </w:r>
            <w:r w:rsidRPr="004F7A66">
              <w:t xml:space="preserve"> o</w:t>
            </w:r>
            <w:r w:rsidR="00AC3A8B" w:rsidRPr="004F7A66">
              <w:t> </w:t>
            </w:r>
            <w:r w:rsidRPr="004F7A66">
              <w:t xml:space="preserve">více než 120 % a </w:t>
            </w:r>
            <w:r w:rsidR="00A409F3" w:rsidRPr="004F7A66">
              <w:t>na</w:t>
            </w:r>
            <w:r w:rsidRPr="004F7A66">
              <w:t xml:space="preserve">rostly tak zdaleka nejrychleji ze všech </w:t>
            </w:r>
            <w:r w:rsidR="005A4F0A" w:rsidRPr="004F7A66">
              <w:t>tříd</w:t>
            </w:r>
            <w:r w:rsidRPr="004F7A66">
              <w:t xml:space="preserve"> SITC, dovozní ceny </w:t>
            </w:r>
            <w:r w:rsidR="00AD1159" w:rsidRPr="004F7A66">
              <w:t>těchto komodit</w:t>
            </w:r>
            <w:r w:rsidRPr="004F7A66">
              <w:t xml:space="preserve"> </w:t>
            </w:r>
            <w:r w:rsidR="00A409F3" w:rsidRPr="004F7A66">
              <w:t>se zvýšily</w:t>
            </w:r>
            <w:r w:rsidRPr="004F7A66">
              <w:t xml:space="preserve"> </w:t>
            </w:r>
            <w:r w:rsidR="00AC3A8B" w:rsidRPr="004F7A66">
              <w:t xml:space="preserve">bezmála na </w:t>
            </w:r>
            <w:r w:rsidR="00160D65" w:rsidRPr="004F7A66">
              <w:t>čtyřnásobek</w:t>
            </w:r>
            <w:r w:rsidR="00AC3A8B" w:rsidRPr="004F7A66">
              <w:t>. Příčinou této</w:t>
            </w:r>
            <w:r w:rsidR="00C84B5E" w:rsidRPr="004F7A66">
              <w:t xml:space="preserve"> výrazné</w:t>
            </w:r>
            <w:r w:rsidR="00AC3A8B" w:rsidRPr="004F7A66">
              <w:t xml:space="preserve"> disproporce byl markantní nárůst ceny ropy n</w:t>
            </w:r>
            <w:r w:rsidR="005B6E3F" w:rsidRPr="004F7A66">
              <w:t>a světovém komoditním trhu</w:t>
            </w:r>
            <w:r w:rsidR="00FF3284">
              <w:rPr>
                <w:rStyle w:val="Znakapoznpodarou"/>
              </w:rPr>
              <w:footnoteReference w:id="3"/>
            </w:r>
            <w:r w:rsidR="00FF3284">
              <w:t xml:space="preserve"> </w:t>
            </w:r>
            <w:r w:rsidR="00AC3A8B" w:rsidRPr="004F7A66">
              <w:t xml:space="preserve">ve spojení s výrazně vyšším podílem </w:t>
            </w:r>
            <w:r w:rsidR="00B20590" w:rsidRPr="004F7A66">
              <w:t>ropy</w:t>
            </w:r>
            <w:r w:rsidR="00AC3A8B" w:rsidRPr="004F7A66">
              <w:t>, respektive výrobků z ropy pocházejících, na straně dovozu oproti vývozu.</w:t>
            </w:r>
          </w:p>
          <w:p w:rsidR="00AD1159" w:rsidRPr="004F7A66" w:rsidRDefault="00AD1159" w:rsidP="00AD1159">
            <w:pPr>
              <w:pStyle w:val="Textpoznpodarou"/>
              <w:jc w:val="both"/>
            </w:pPr>
          </w:p>
        </w:tc>
      </w:tr>
      <w:tr w:rsidR="000D53B9" w:rsidRPr="004F7A66" w:rsidTr="00A87635">
        <w:tc>
          <w:tcPr>
            <w:tcW w:w="1054" w:type="pct"/>
          </w:tcPr>
          <w:p w:rsidR="000D53B9" w:rsidRPr="004F7A66" w:rsidRDefault="00012FE4" w:rsidP="00076DDC">
            <w:pPr>
              <w:spacing w:line="240" w:lineRule="auto"/>
              <w:rPr>
                <w:spacing w:val="-2"/>
                <w:sz w:val="16"/>
                <w:szCs w:val="16"/>
              </w:rPr>
            </w:pPr>
            <w:r w:rsidRPr="004F7A66">
              <w:rPr>
                <w:spacing w:val="-2"/>
                <w:sz w:val="16"/>
                <w:szCs w:val="16"/>
              </w:rPr>
              <w:t>Směnné relace v</w:t>
            </w:r>
            <w:r w:rsidR="00076DDC" w:rsidRPr="004F7A66">
              <w:rPr>
                <w:spacing w:val="-2"/>
                <w:sz w:val="16"/>
                <w:szCs w:val="16"/>
              </w:rPr>
              <w:t> </w:t>
            </w:r>
            <w:r w:rsidRPr="004F7A66">
              <w:rPr>
                <w:spacing w:val="-2"/>
                <w:sz w:val="16"/>
                <w:szCs w:val="16"/>
              </w:rPr>
              <w:t>obchodě</w:t>
            </w:r>
            <w:r w:rsidR="00076DDC" w:rsidRPr="004F7A66">
              <w:rPr>
                <w:spacing w:val="-2"/>
                <w:sz w:val="16"/>
                <w:szCs w:val="16"/>
              </w:rPr>
              <w:t> </w:t>
            </w:r>
            <w:r w:rsidRPr="004F7A66">
              <w:rPr>
                <w:spacing w:val="-2"/>
                <w:sz w:val="16"/>
                <w:szCs w:val="16"/>
              </w:rPr>
              <w:t>s potravinami a</w:t>
            </w:r>
            <w:r w:rsidR="00076DDC" w:rsidRPr="004F7A66">
              <w:rPr>
                <w:spacing w:val="-2"/>
                <w:sz w:val="16"/>
                <w:szCs w:val="16"/>
              </w:rPr>
              <w:t> </w:t>
            </w:r>
            <w:r w:rsidRPr="004F7A66">
              <w:rPr>
                <w:spacing w:val="-2"/>
                <w:sz w:val="16"/>
                <w:szCs w:val="16"/>
              </w:rPr>
              <w:t>živými zvířaty negativní vlivem</w:t>
            </w:r>
            <w:r w:rsidR="00076DDC" w:rsidRPr="004F7A66">
              <w:rPr>
                <w:spacing w:val="-2"/>
                <w:sz w:val="16"/>
                <w:szCs w:val="16"/>
              </w:rPr>
              <w:t> </w:t>
            </w:r>
            <w:r w:rsidRPr="004F7A66">
              <w:rPr>
                <w:spacing w:val="-2"/>
                <w:sz w:val="16"/>
                <w:szCs w:val="16"/>
              </w:rPr>
              <w:t>nepříznivého vývoje</w:t>
            </w:r>
            <w:r w:rsidR="00076DDC" w:rsidRPr="004F7A66">
              <w:rPr>
                <w:spacing w:val="-2"/>
                <w:sz w:val="16"/>
                <w:szCs w:val="16"/>
              </w:rPr>
              <w:t> </w:t>
            </w:r>
            <w:r w:rsidRPr="004F7A66">
              <w:rPr>
                <w:spacing w:val="-2"/>
                <w:sz w:val="16"/>
                <w:szCs w:val="16"/>
              </w:rPr>
              <w:t>cen v</w:t>
            </w:r>
            <w:r w:rsidR="00076DDC" w:rsidRPr="004F7A66">
              <w:rPr>
                <w:spacing w:val="-2"/>
                <w:sz w:val="16"/>
                <w:szCs w:val="16"/>
              </w:rPr>
              <w:t> </w:t>
            </w:r>
            <w:r w:rsidRPr="004F7A66">
              <w:rPr>
                <w:spacing w:val="-2"/>
                <w:sz w:val="16"/>
                <w:szCs w:val="16"/>
              </w:rPr>
              <w:t>posledních</w:t>
            </w:r>
            <w:r w:rsidR="00076DDC" w:rsidRPr="004F7A66">
              <w:rPr>
                <w:spacing w:val="-2"/>
                <w:sz w:val="16"/>
                <w:szCs w:val="16"/>
              </w:rPr>
              <w:t> </w:t>
            </w:r>
            <w:r w:rsidRPr="004F7A66">
              <w:rPr>
                <w:spacing w:val="-2"/>
                <w:sz w:val="16"/>
                <w:szCs w:val="16"/>
              </w:rPr>
              <w:t>třech letech</w:t>
            </w:r>
          </w:p>
        </w:tc>
        <w:tc>
          <w:tcPr>
            <w:tcW w:w="143" w:type="pct"/>
          </w:tcPr>
          <w:p w:rsidR="000D53B9" w:rsidRPr="004F7A66" w:rsidRDefault="000D53B9" w:rsidP="003064DE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A87635" w:rsidRPr="004F7A66" w:rsidRDefault="000D53B9" w:rsidP="008F5C40">
            <w:pPr>
              <w:pStyle w:val="Textpoznpodarou"/>
              <w:jc w:val="both"/>
            </w:pPr>
            <w:r w:rsidRPr="004F7A66">
              <w:t>Výsledné</w:t>
            </w:r>
            <w:r w:rsidR="00C84B5E" w:rsidRPr="004F7A66">
              <w:t xml:space="preserve"> záporné</w:t>
            </w:r>
            <w:r w:rsidRPr="004F7A66">
              <w:t xml:space="preserve"> směnné relace v zahraničním obchodě s potravinami a živými zvířaty (95,2 %) byly </w:t>
            </w:r>
            <w:r w:rsidR="00C84B5E" w:rsidRPr="004F7A66">
              <w:t>z velké části důsledkem nepříznivého cenového vývoje v posledních třech letech, kdy směnné relace dosahovaly nejen negativních hodnot, ale hodnot, které se</w:t>
            </w:r>
            <w:r w:rsidR="00A87635" w:rsidRPr="004F7A66">
              <w:t xml:space="preserve"> v jednotlivých letech 2012, 2013 a 2014</w:t>
            </w:r>
            <w:r w:rsidR="000E0B3D" w:rsidRPr="004F7A66">
              <w:t xml:space="preserve"> postupně</w:t>
            </w:r>
            <w:r w:rsidR="00550725" w:rsidRPr="004F7A66">
              <w:t xml:space="preserve"> snižovaly (97,4 %, 96,9</w:t>
            </w:r>
            <w:r w:rsidR="00C84B5E" w:rsidRPr="004F7A66">
              <w:t xml:space="preserve"> %, 95,6 %). </w:t>
            </w:r>
            <w:r w:rsidR="002546E3" w:rsidRPr="004F7A66">
              <w:t>Ukazovalo se</w:t>
            </w:r>
            <w:r w:rsidR="00A87635" w:rsidRPr="004F7A66">
              <w:t xml:space="preserve">, že cenový vývoj výrobků s vyšší </w:t>
            </w:r>
            <w:r w:rsidR="00320673">
              <w:t>přidanou hodnotou,</w:t>
            </w:r>
            <w:r w:rsidR="00A87635" w:rsidRPr="004F7A66">
              <w:t xml:space="preserve"> které</w:t>
            </w:r>
            <w:r w:rsidR="002546E3" w:rsidRPr="004F7A66">
              <w:t xml:space="preserve"> jsou více zastoupeny na dovozu do </w:t>
            </w:r>
            <w:r w:rsidR="008F5C40" w:rsidRPr="004F7A66">
              <w:t>ČR</w:t>
            </w:r>
            <w:r w:rsidR="00320673">
              <w:t>,</w:t>
            </w:r>
            <w:r w:rsidR="00A87635" w:rsidRPr="004F7A66">
              <w:t xml:space="preserve"> byl příznivější než cenový vývoj produktů s nižší přidanou hodnotou, které jsou významné naopak na vývozu.</w:t>
            </w:r>
          </w:p>
        </w:tc>
      </w:tr>
    </w:tbl>
    <w:p w:rsidR="00E52393" w:rsidRDefault="00E52393" w:rsidP="00255343"/>
    <w:p w:rsidR="00E52393" w:rsidRPr="00E52393" w:rsidRDefault="00E52393" w:rsidP="00E52393"/>
    <w:p w:rsidR="00E52393" w:rsidRDefault="00E52393" w:rsidP="00E52393"/>
    <w:p w:rsidR="00E91889" w:rsidRPr="00E52393" w:rsidRDefault="00E91889" w:rsidP="00E52393"/>
    <w:sectPr w:rsidR="00E91889" w:rsidRPr="00E52393" w:rsidSect="00514E0B">
      <w:headerReference w:type="even" r:id="rId16"/>
      <w:headerReference w:type="default" r:id="rId17"/>
      <w:footerReference w:type="even" r:id="rId18"/>
      <w:footerReference w:type="default" r:id="rId19"/>
      <w:pgSz w:w="11906" w:h="16838" w:code="9"/>
      <w:pgMar w:top="1134" w:right="1134" w:bottom="1418" w:left="1134" w:header="680" w:footer="680" w:gutter="0"/>
      <w:pgNumType w:start="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9DF" w:rsidRDefault="002A69DF" w:rsidP="00BA4E17">
      <w:pPr>
        <w:spacing w:line="240" w:lineRule="auto"/>
      </w:pPr>
      <w:r>
        <w:separator/>
      </w:r>
    </w:p>
  </w:endnote>
  <w:endnote w:type="continuationSeparator" w:id="0">
    <w:p w:rsidR="002A69DF" w:rsidRDefault="002A69DF" w:rsidP="00BA4E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Default="00F852DD" w:rsidP="00432B88">
    <w:pPr>
      <w:pStyle w:val="Zpat"/>
      <w:tabs>
        <w:tab w:val="clear" w:pos="4536"/>
        <w:tab w:val="clear" w:pos="9072"/>
        <w:tab w:val="center" w:pos="4820"/>
        <w:tab w:val="right" w:pos="9639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5660390</wp:posOffset>
          </wp:positionH>
          <wp:positionV relativeFrom="paragraph">
            <wp:posOffset>-52070</wp:posOffset>
          </wp:positionV>
          <wp:extent cx="466725" cy="219075"/>
          <wp:effectExtent l="0" t="0" r="9525" b="9525"/>
          <wp:wrapNone/>
          <wp:docPr id="28" name="obrázek 4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57FE1" w:rsidRPr="005A21E0">
      <w:rPr>
        <w:rFonts w:ascii="Arial" w:hAnsi="Arial" w:cs="Arial"/>
        <w:sz w:val="16"/>
        <w:szCs w:val="16"/>
      </w:rPr>
      <w:fldChar w:fldCharType="begin"/>
    </w:r>
    <w:r w:rsidRPr="005A21E0">
      <w:rPr>
        <w:rFonts w:ascii="Arial" w:hAnsi="Arial" w:cs="Arial"/>
        <w:sz w:val="16"/>
        <w:szCs w:val="16"/>
      </w:rPr>
      <w:instrText>PAGE   \* MERGEFORMAT</w:instrText>
    </w:r>
    <w:r w:rsidR="00157FE1" w:rsidRPr="005A21E0">
      <w:rPr>
        <w:rFonts w:ascii="Arial" w:hAnsi="Arial" w:cs="Arial"/>
        <w:sz w:val="16"/>
        <w:szCs w:val="16"/>
      </w:rPr>
      <w:fldChar w:fldCharType="separate"/>
    </w:r>
    <w:r w:rsidR="00514E0B">
      <w:rPr>
        <w:rFonts w:ascii="Arial" w:hAnsi="Arial" w:cs="Arial"/>
        <w:noProof/>
        <w:sz w:val="16"/>
        <w:szCs w:val="16"/>
      </w:rPr>
      <w:t>32</w:t>
    </w:r>
    <w:r w:rsidR="00157FE1" w:rsidRPr="005A21E0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>2015</w:t>
    </w: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Default="00F852DD" w:rsidP="00432B8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right" w:pos="9639"/>
      </w:tabs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90170</wp:posOffset>
          </wp:positionV>
          <wp:extent cx="495300" cy="266700"/>
          <wp:effectExtent l="0" t="0" r="0" b="0"/>
          <wp:wrapNone/>
          <wp:docPr id="29" name="obrázek 142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 w:rsidRPr="00DC5B3B">
      <w:t xml:space="preserve">                              </w:t>
    </w:r>
  </w:p>
  <w:p w:rsidR="00F852DD" w:rsidRPr="00223E00" w:rsidRDefault="00F852DD" w:rsidP="00432B8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left" w:pos="9262"/>
        <w:tab w:val="left" w:pos="9495"/>
        <w:tab w:val="right" w:pos="9639"/>
      </w:tabs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2015</w:t>
    </w:r>
    <w:r>
      <w:rPr>
        <w:rFonts w:ascii="Arial" w:hAnsi="Arial" w:cs="Arial"/>
        <w:sz w:val="16"/>
        <w:szCs w:val="16"/>
      </w:rPr>
      <w:tab/>
    </w:r>
    <w:r w:rsidR="00157FE1" w:rsidRPr="00223E00">
      <w:rPr>
        <w:rFonts w:ascii="Arial" w:hAnsi="Arial" w:cs="Arial"/>
        <w:sz w:val="16"/>
        <w:szCs w:val="16"/>
      </w:rPr>
      <w:fldChar w:fldCharType="begin"/>
    </w:r>
    <w:r w:rsidRPr="00223E00">
      <w:rPr>
        <w:rFonts w:ascii="Arial" w:hAnsi="Arial" w:cs="Arial"/>
        <w:sz w:val="16"/>
        <w:szCs w:val="16"/>
      </w:rPr>
      <w:instrText xml:space="preserve"> PAGE   \* MERGEFORMAT </w:instrText>
    </w:r>
    <w:r w:rsidR="00157FE1" w:rsidRPr="00223E00">
      <w:rPr>
        <w:rFonts w:ascii="Arial" w:hAnsi="Arial" w:cs="Arial"/>
        <w:sz w:val="16"/>
        <w:szCs w:val="16"/>
      </w:rPr>
      <w:fldChar w:fldCharType="separate"/>
    </w:r>
    <w:r w:rsidR="00514E0B">
      <w:rPr>
        <w:rFonts w:ascii="Arial" w:hAnsi="Arial" w:cs="Arial"/>
        <w:noProof/>
        <w:sz w:val="16"/>
        <w:szCs w:val="16"/>
      </w:rPr>
      <w:t>33</w:t>
    </w:r>
    <w:r w:rsidR="00157FE1" w:rsidRPr="00223E0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9DF" w:rsidRDefault="002A69DF" w:rsidP="00BA4E17">
      <w:pPr>
        <w:spacing w:line="240" w:lineRule="auto"/>
      </w:pPr>
      <w:r>
        <w:separator/>
      </w:r>
    </w:p>
  </w:footnote>
  <w:footnote w:type="continuationSeparator" w:id="0">
    <w:p w:rsidR="002A69DF" w:rsidRDefault="002A69DF" w:rsidP="00BA4E17">
      <w:pPr>
        <w:spacing w:line="240" w:lineRule="auto"/>
      </w:pPr>
      <w:r>
        <w:continuationSeparator/>
      </w:r>
    </w:p>
  </w:footnote>
  <w:footnote w:id="1">
    <w:p w:rsidR="00F852DD" w:rsidRPr="004F7A66" w:rsidRDefault="00F852DD" w:rsidP="00597C59">
      <w:pPr>
        <w:pStyle w:val="Textpoznpodarou"/>
      </w:pPr>
      <w:r w:rsidRPr="004F7A66">
        <w:rPr>
          <w:rStyle w:val="Znakapoznpodarou"/>
        </w:rPr>
        <w:footnoteRef/>
      </w:r>
      <w:r w:rsidRPr="004F7A66">
        <w:t xml:space="preserve"> </w:t>
      </w:r>
      <w:r w:rsidRPr="004F7A66">
        <w:rPr>
          <w:sz w:val="16"/>
          <w:szCs w:val="16"/>
        </w:rPr>
        <w:t xml:space="preserve">Údaje používané v kapitole </w:t>
      </w:r>
      <w:proofErr w:type="gramStart"/>
      <w:r w:rsidRPr="004F7A66">
        <w:rPr>
          <w:sz w:val="16"/>
          <w:szCs w:val="16"/>
        </w:rPr>
        <w:t>5.1. jsou</w:t>
      </w:r>
      <w:proofErr w:type="gramEnd"/>
      <w:r w:rsidRPr="004F7A66">
        <w:rPr>
          <w:sz w:val="16"/>
          <w:szCs w:val="16"/>
        </w:rPr>
        <w:t xml:space="preserve"> v běžných cenách, pokud není uvedeno jinak.</w:t>
      </w:r>
    </w:p>
  </w:footnote>
  <w:footnote w:id="2">
    <w:p w:rsidR="00F852DD" w:rsidRDefault="00F85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D7F9E">
        <w:rPr>
          <w:sz w:val="16"/>
          <w:szCs w:val="16"/>
        </w:rPr>
        <w:t xml:space="preserve">Z hlediska klasifikace SITC, tj. Standard </w:t>
      </w:r>
      <w:proofErr w:type="spellStart"/>
      <w:r w:rsidRPr="004D7F9E">
        <w:rPr>
          <w:sz w:val="16"/>
          <w:szCs w:val="16"/>
        </w:rPr>
        <w:t>International</w:t>
      </w:r>
      <w:proofErr w:type="spellEnd"/>
      <w:r w:rsidRPr="004D7F9E">
        <w:rPr>
          <w:sz w:val="16"/>
          <w:szCs w:val="16"/>
        </w:rPr>
        <w:t xml:space="preserve"> </w:t>
      </w:r>
      <w:proofErr w:type="spellStart"/>
      <w:r w:rsidRPr="004D7F9E">
        <w:rPr>
          <w:sz w:val="16"/>
          <w:szCs w:val="16"/>
        </w:rPr>
        <w:t>Trade</w:t>
      </w:r>
      <w:proofErr w:type="spellEnd"/>
      <w:r w:rsidRPr="004D7F9E">
        <w:rPr>
          <w:sz w:val="16"/>
          <w:szCs w:val="16"/>
        </w:rPr>
        <w:t xml:space="preserve"> </w:t>
      </w:r>
      <w:proofErr w:type="spellStart"/>
      <w:r w:rsidRPr="004D7F9E">
        <w:rPr>
          <w:sz w:val="16"/>
          <w:szCs w:val="16"/>
        </w:rPr>
        <w:t>Classification</w:t>
      </w:r>
      <w:proofErr w:type="spellEnd"/>
      <w:r w:rsidRPr="004D7F9E">
        <w:rPr>
          <w:sz w:val="16"/>
          <w:szCs w:val="16"/>
        </w:rPr>
        <w:t>.</w:t>
      </w:r>
    </w:p>
  </w:footnote>
  <w:footnote w:id="3">
    <w:p w:rsidR="00F852DD" w:rsidRDefault="00F85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F3284">
        <w:rPr>
          <w:sz w:val="16"/>
          <w:szCs w:val="16"/>
        </w:rPr>
        <w:t>Cena ropy Brent se zvýšila ze 17 amerických dolarů za barel v roce 1995 na 99 dolarů v roce 2014.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Pr="00D97985" w:rsidRDefault="00F852DD" w:rsidP="00D97985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rPr>
        <w:szCs w:val="16"/>
      </w:rPr>
    </w:pPr>
    <w:r>
      <w:rPr>
        <w:rFonts w:ascii="Arial" w:hAnsi="Arial" w:cs="Arial"/>
        <w:sz w:val="16"/>
        <w:szCs w:val="16"/>
      </w:rPr>
      <w:t>Hodnocení výkonnosti ekonomiky České republiky v širším kontextu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Pr="00DC5B3B" w:rsidRDefault="00F852DD" w:rsidP="00432B88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Hodnocení výkonnosti ekonomiky České republiky v širším kontextu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17C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>
    <w:nsid w:val="1E5E3AA8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>
    <w:nsid w:val="326802CE"/>
    <w:multiLevelType w:val="multilevel"/>
    <w:tmpl w:val="2924BE9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43F041A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>
    <w:nsid w:val="37057DEB"/>
    <w:multiLevelType w:val="hybridMultilevel"/>
    <w:tmpl w:val="622E0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8100B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>
    <w:nsid w:val="465B4E67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>
    <w:nsid w:val="4EB24CFA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>
    <w:nsid w:val="56B51CDB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>
    <w:nsid w:val="56B652AE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>
    <w:nsid w:val="58A458F7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>
    <w:nsid w:val="5D4D0FE2"/>
    <w:multiLevelType w:val="hybridMultilevel"/>
    <w:tmpl w:val="03541CA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5087C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3">
    <w:nsid w:val="63306B51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4">
    <w:nsid w:val="696F0669"/>
    <w:multiLevelType w:val="hybridMultilevel"/>
    <w:tmpl w:val="6B98091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C246295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6">
    <w:nsid w:val="7299397C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7">
    <w:nsid w:val="7338708F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>
    <w:nsid w:val="73945730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9">
    <w:nsid w:val="74995201"/>
    <w:multiLevelType w:val="multilevel"/>
    <w:tmpl w:val="6004F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0">
    <w:nsid w:val="7C550A0F"/>
    <w:multiLevelType w:val="hybridMultilevel"/>
    <w:tmpl w:val="A6E66A4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C925109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2">
    <w:nsid w:val="7F1F0EA7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3">
    <w:nsid w:val="7F9E2B83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5"/>
  </w:num>
  <w:num w:numId="5">
    <w:abstractNumId w:val="18"/>
  </w:num>
  <w:num w:numId="6">
    <w:abstractNumId w:val="8"/>
  </w:num>
  <w:num w:numId="7">
    <w:abstractNumId w:val="15"/>
  </w:num>
  <w:num w:numId="8">
    <w:abstractNumId w:val="13"/>
  </w:num>
  <w:num w:numId="9">
    <w:abstractNumId w:val="1"/>
  </w:num>
  <w:num w:numId="10">
    <w:abstractNumId w:val="6"/>
  </w:num>
  <w:num w:numId="11">
    <w:abstractNumId w:val="21"/>
  </w:num>
  <w:num w:numId="12">
    <w:abstractNumId w:val="22"/>
  </w:num>
  <w:num w:numId="13">
    <w:abstractNumId w:val="0"/>
  </w:num>
  <w:num w:numId="14">
    <w:abstractNumId w:val="3"/>
  </w:num>
  <w:num w:numId="15">
    <w:abstractNumId w:val="7"/>
  </w:num>
  <w:num w:numId="16">
    <w:abstractNumId w:val="23"/>
  </w:num>
  <w:num w:numId="17">
    <w:abstractNumId w:val="17"/>
  </w:num>
  <w:num w:numId="18">
    <w:abstractNumId w:val="9"/>
  </w:num>
  <w:num w:numId="19">
    <w:abstractNumId w:val="10"/>
  </w:num>
  <w:num w:numId="20">
    <w:abstractNumId w:val="16"/>
  </w:num>
  <w:num w:numId="21">
    <w:abstractNumId w:val="14"/>
  </w:num>
  <w:num w:numId="22">
    <w:abstractNumId w:val="20"/>
  </w:num>
  <w:num w:numId="23">
    <w:abstractNumId w:val="4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470018"/>
  </w:hdrShapeDefaults>
  <w:footnotePr>
    <w:footnote w:id="-1"/>
    <w:footnote w:id="0"/>
  </w:footnotePr>
  <w:endnotePr>
    <w:endnote w:id="-1"/>
    <w:endnote w:id="0"/>
  </w:endnotePr>
  <w:compat/>
  <w:rsids>
    <w:rsidRoot w:val="00BA4E17"/>
    <w:rsid w:val="000021E3"/>
    <w:rsid w:val="000024FE"/>
    <w:rsid w:val="0000498D"/>
    <w:rsid w:val="00004EA1"/>
    <w:rsid w:val="00006322"/>
    <w:rsid w:val="00006C78"/>
    <w:rsid w:val="0001032E"/>
    <w:rsid w:val="00010F2C"/>
    <w:rsid w:val="000112C3"/>
    <w:rsid w:val="00012A3C"/>
    <w:rsid w:val="00012FE4"/>
    <w:rsid w:val="0001371A"/>
    <w:rsid w:val="00016CE7"/>
    <w:rsid w:val="00017E85"/>
    <w:rsid w:val="00020F01"/>
    <w:rsid w:val="0002195D"/>
    <w:rsid w:val="00022C0F"/>
    <w:rsid w:val="00022F95"/>
    <w:rsid w:val="00023288"/>
    <w:rsid w:val="00024B3D"/>
    <w:rsid w:val="00024C25"/>
    <w:rsid w:val="00025674"/>
    <w:rsid w:val="00026A02"/>
    <w:rsid w:val="00026B7C"/>
    <w:rsid w:val="00026D91"/>
    <w:rsid w:val="0002715E"/>
    <w:rsid w:val="00027746"/>
    <w:rsid w:val="00032F7E"/>
    <w:rsid w:val="000339DC"/>
    <w:rsid w:val="00033C42"/>
    <w:rsid w:val="0003423E"/>
    <w:rsid w:val="00034B95"/>
    <w:rsid w:val="00035903"/>
    <w:rsid w:val="00040B3C"/>
    <w:rsid w:val="000412EE"/>
    <w:rsid w:val="00042DD5"/>
    <w:rsid w:val="00043526"/>
    <w:rsid w:val="00044987"/>
    <w:rsid w:val="000453DC"/>
    <w:rsid w:val="00045E4E"/>
    <w:rsid w:val="00046BBD"/>
    <w:rsid w:val="0005214C"/>
    <w:rsid w:val="000522A2"/>
    <w:rsid w:val="000562AC"/>
    <w:rsid w:val="00060019"/>
    <w:rsid w:val="00061556"/>
    <w:rsid w:val="00062AFB"/>
    <w:rsid w:val="00063714"/>
    <w:rsid w:val="000659B1"/>
    <w:rsid w:val="00065F3C"/>
    <w:rsid w:val="0006614E"/>
    <w:rsid w:val="00066282"/>
    <w:rsid w:val="000664CD"/>
    <w:rsid w:val="000669D9"/>
    <w:rsid w:val="00067940"/>
    <w:rsid w:val="000704A2"/>
    <w:rsid w:val="000704B8"/>
    <w:rsid w:val="00070B44"/>
    <w:rsid w:val="000710E1"/>
    <w:rsid w:val="000713B0"/>
    <w:rsid w:val="0007334E"/>
    <w:rsid w:val="00073C8C"/>
    <w:rsid w:val="00073D8E"/>
    <w:rsid w:val="0007400A"/>
    <w:rsid w:val="00074D20"/>
    <w:rsid w:val="00075615"/>
    <w:rsid w:val="00076DDC"/>
    <w:rsid w:val="0007715A"/>
    <w:rsid w:val="00080EAB"/>
    <w:rsid w:val="00080EC7"/>
    <w:rsid w:val="00081246"/>
    <w:rsid w:val="00081CCC"/>
    <w:rsid w:val="0008276D"/>
    <w:rsid w:val="00083641"/>
    <w:rsid w:val="00083BCA"/>
    <w:rsid w:val="00084B6D"/>
    <w:rsid w:val="00084BD5"/>
    <w:rsid w:val="00085988"/>
    <w:rsid w:val="000860CA"/>
    <w:rsid w:val="000867AA"/>
    <w:rsid w:val="00090C32"/>
    <w:rsid w:val="000910C6"/>
    <w:rsid w:val="00094408"/>
    <w:rsid w:val="000A1AEA"/>
    <w:rsid w:val="000A20DE"/>
    <w:rsid w:val="000A2325"/>
    <w:rsid w:val="000A2512"/>
    <w:rsid w:val="000A288A"/>
    <w:rsid w:val="000A3337"/>
    <w:rsid w:val="000A3D46"/>
    <w:rsid w:val="000A41A6"/>
    <w:rsid w:val="000A43AA"/>
    <w:rsid w:val="000A5514"/>
    <w:rsid w:val="000B0081"/>
    <w:rsid w:val="000B1432"/>
    <w:rsid w:val="000B1886"/>
    <w:rsid w:val="000B1F92"/>
    <w:rsid w:val="000B7853"/>
    <w:rsid w:val="000C1910"/>
    <w:rsid w:val="000C25FD"/>
    <w:rsid w:val="000C2605"/>
    <w:rsid w:val="000C4902"/>
    <w:rsid w:val="000C5185"/>
    <w:rsid w:val="000C7B0A"/>
    <w:rsid w:val="000D05C4"/>
    <w:rsid w:val="000D24DE"/>
    <w:rsid w:val="000D290E"/>
    <w:rsid w:val="000D2D24"/>
    <w:rsid w:val="000D38B0"/>
    <w:rsid w:val="000D3C9D"/>
    <w:rsid w:val="000D4AE7"/>
    <w:rsid w:val="000D4F0E"/>
    <w:rsid w:val="000D4F11"/>
    <w:rsid w:val="000D53B9"/>
    <w:rsid w:val="000D675E"/>
    <w:rsid w:val="000E0B3D"/>
    <w:rsid w:val="000E12D1"/>
    <w:rsid w:val="000E2418"/>
    <w:rsid w:val="000E2E07"/>
    <w:rsid w:val="000E31F9"/>
    <w:rsid w:val="000E3DA2"/>
    <w:rsid w:val="000E5E55"/>
    <w:rsid w:val="000E6B86"/>
    <w:rsid w:val="000E7062"/>
    <w:rsid w:val="000F0219"/>
    <w:rsid w:val="000F0C5F"/>
    <w:rsid w:val="000F0DAE"/>
    <w:rsid w:val="000F3D8C"/>
    <w:rsid w:val="000F5567"/>
    <w:rsid w:val="000F5815"/>
    <w:rsid w:val="000F674A"/>
    <w:rsid w:val="000F6AFA"/>
    <w:rsid w:val="000F6BA9"/>
    <w:rsid w:val="000F6FB5"/>
    <w:rsid w:val="001006DA"/>
    <w:rsid w:val="00101689"/>
    <w:rsid w:val="00101E84"/>
    <w:rsid w:val="0010330B"/>
    <w:rsid w:val="00105BDF"/>
    <w:rsid w:val="00106F67"/>
    <w:rsid w:val="00107ABB"/>
    <w:rsid w:val="0011305E"/>
    <w:rsid w:val="00115188"/>
    <w:rsid w:val="00115B40"/>
    <w:rsid w:val="00115BCF"/>
    <w:rsid w:val="00116AA7"/>
    <w:rsid w:val="0012227B"/>
    <w:rsid w:val="00122952"/>
    <w:rsid w:val="00123F72"/>
    <w:rsid w:val="00124745"/>
    <w:rsid w:val="00124CF6"/>
    <w:rsid w:val="00124FDD"/>
    <w:rsid w:val="00125853"/>
    <w:rsid w:val="0012640B"/>
    <w:rsid w:val="00127A56"/>
    <w:rsid w:val="00127B13"/>
    <w:rsid w:val="0013059C"/>
    <w:rsid w:val="00130FF8"/>
    <w:rsid w:val="00131BEB"/>
    <w:rsid w:val="00132DB4"/>
    <w:rsid w:val="001350B2"/>
    <w:rsid w:val="00135A97"/>
    <w:rsid w:val="00136F0A"/>
    <w:rsid w:val="001378B4"/>
    <w:rsid w:val="001416A8"/>
    <w:rsid w:val="00142593"/>
    <w:rsid w:val="00142D80"/>
    <w:rsid w:val="001433B7"/>
    <w:rsid w:val="00145396"/>
    <w:rsid w:val="001470A5"/>
    <w:rsid w:val="0014747A"/>
    <w:rsid w:val="0014771B"/>
    <w:rsid w:val="00151538"/>
    <w:rsid w:val="00151C8E"/>
    <w:rsid w:val="00151EAF"/>
    <w:rsid w:val="00152290"/>
    <w:rsid w:val="00152569"/>
    <w:rsid w:val="00152724"/>
    <w:rsid w:val="001547AB"/>
    <w:rsid w:val="00154CFC"/>
    <w:rsid w:val="0015537A"/>
    <w:rsid w:val="00155A49"/>
    <w:rsid w:val="00155DE7"/>
    <w:rsid w:val="00157FE1"/>
    <w:rsid w:val="00160D65"/>
    <w:rsid w:val="001632D1"/>
    <w:rsid w:val="001638B3"/>
    <w:rsid w:val="00163D05"/>
    <w:rsid w:val="00167AA1"/>
    <w:rsid w:val="0017021E"/>
    <w:rsid w:val="00170920"/>
    <w:rsid w:val="00171E67"/>
    <w:rsid w:val="0017308D"/>
    <w:rsid w:val="00173407"/>
    <w:rsid w:val="0017384F"/>
    <w:rsid w:val="001738DE"/>
    <w:rsid w:val="00173C02"/>
    <w:rsid w:val="00173F12"/>
    <w:rsid w:val="0017483A"/>
    <w:rsid w:val="00174D31"/>
    <w:rsid w:val="00174D69"/>
    <w:rsid w:val="00175215"/>
    <w:rsid w:val="001760E5"/>
    <w:rsid w:val="00180851"/>
    <w:rsid w:val="00181E0A"/>
    <w:rsid w:val="0018450B"/>
    <w:rsid w:val="00184831"/>
    <w:rsid w:val="00185638"/>
    <w:rsid w:val="001874ED"/>
    <w:rsid w:val="00187FBD"/>
    <w:rsid w:val="00191151"/>
    <w:rsid w:val="00191421"/>
    <w:rsid w:val="00193FBE"/>
    <w:rsid w:val="00195C75"/>
    <w:rsid w:val="0019607E"/>
    <w:rsid w:val="00196D3F"/>
    <w:rsid w:val="001A1AD8"/>
    <w:rsid w:val="001A1EE0"/>
    <w:rsid w:val="001A208C"/>
    <w:rsid w:val="001A21D3"/>
    <w:rsid w:val="001A4D53"/>
    <w:rsid w:val="001A5656"/>
    <w:rsid w:val="001A6F4F"/>
    <w:rsid w:val="001A7550"/>
    <w:rsid w:val="001B128C"/>
    <w:rsid w:val="001B23F5"/>
    <w:rsid w:val="001B25A3"/>
    <w:rsid w:val="001B33CC"/>
    <w:rsid w:val="001B3F37"/>
    <w:rsid w:val="001B58B7"/>
    <w:rsid w:val="001B636E"/>
    <w:rsid w:val="001B72CE"/>
    <w:rsid w:val="001C0AB2"/>
    <w:rsid w:val="001C1B89"/>
    <w:rsid w:val="001C1F79"/>
    <w:rsid w:val="001C29C9"/>
    <w:rsid w:val="001C715F"/>
    <w:rsid w:val="001D0BF6"/>
    <w:rsid w:val="001D20FC"/>
    <w:rsid w:val="001D301D"/>
    <w:rsid w:val="001D35AD"/>
    <w:rsid w:val="001D44B2"/>
    <w:rsid w:val="001D44C7"/>
    <w:rsid w:val="001D5495"/>
    <w:rsid w:val="001D7B90"/>
    <w:rsid w:val="001E0E16"/>
    <w:rsid w:val="001E13AD"/>
    <w:rsid w:val="001E15CE"/>
    <w:rsid w:val="001E179D"/>
    <w:rsid w:val="001E30F6"/>
    <w:rsid w:val="001E457E"/>
    <w:rsid w:val="001E487B"/>
    <w:rsid w:val="001E64BF"/>
    <w:rsid w:val="001E6A2B"/>
    <w:rsid w:val="001F222C"/>
    <w:rsid w:val="001F25B4"/>
    <w:rsid w:val="001F3E61"/>
    <w:rsid w:val="001F434D"/>
    <w:rsid w:val="001F5129"/>
    <w:rsid w:val="001F53A9"/>
    <w:rsid w:val="001F5422"/>
    <w:rsid w:val="001F687D"/>
    <w:rsid w:val="0020067B"/>
    <w:rsid w:val="00201BEC"/>
    <w:rsid w:val="00203011"/>
    <w:rsid w:val="00203199"/>
    <w:rsid w:val="002057AF"/>
    <w:rsid w:val="00205DB8"/>
    <w:rsid w:val="002068D4"/>
    <w:rsid w:val="00206D91"/>
    <w:rsid w:val="00207826"/>
    <w:rsid w:val="0021155D"/>
    <w:rsid w:val="00211BD9"/>
    <w:rsid w:val="00212018"/>
    <w:rsid w:val="0021214D"/>
    <w:rsid w:val="00214494"/>
    <w:rsid w:val="0021637A"/>
    <w:rsid w:val="00216DF8"/>
    <w:rsid w:val="00216E26"/>
    <w:rsid w:val="0021732A"/>
    <w:rsid w:val="002208A7"/>
    <w:rsid w:val="002229E3"/>
    <w:rsid w:val="00222FAE"/>
    <w:rsid w:val="00225B3B"/>
    <w:rsid w:val="00226681"/>
    <w:rsid w:val="00226DBD"/>
    <w:rsid w:val="00226DD6"/>
    <w:rsid w:val="00226DF2"/>
    <w:rsid w:val="00227773"/>
    <w:rsid w:val="00227EC8"/>
    <w:rsid w:val="002316DD"/>
    <w:rsid w:val="00231764"/>
    <w:rsid w:val="00232752"/>
    <w:rsid w:val="00232EB0"/>
    <w:rsid w:val="0023422D"/>
    <w:rsid w:val="0023485F"/>
    <w:rsid w:val="00235302"/>
    <w:rsid w:val="00237726"/>
    <w:rsid w:val="002401D9"/>
    <w:rsid w:val="00241C92"/>
    <w:rsid w:val="002429B0"/>
    <w:rsid w:val="00243166"/>
    <w:rsid w:val="00244CA7"/>
    <w:rsid w:val="0024515F"/>
    <w:rsid w:val="00245EB3"/>
    <w:rsid w:val="00247AE3"/>
    <w:rsid w:val="00250FA9"/>
    <w:rsid w:val="00251526"/>
    <w:rsid w:val="002546C9"/>
    <w:rsid w:val="002546E3"/>
    <w:rsid w:val="002547E2"/>
    <w:rsid w:val="00255343"/>
    <w:rsid w:val="00255451"/>
    <w:rsid w:val="0026114F"/>
    <w:rsid w:val="00265F03"/>
    <w:rsid w:val="002664BD"/>
    <w:rsid w:val="00266DFE"/>
    <w:rsid w:val="00266FD4"/>
    <w:rsid w:val="002673E1"/>
    <w:rsid w:val="002674CE"/>
    <w:rsid w:val="00267D9A"/>
    <w:rsid w:val="002724B5"/>
    <w:rsid w:val="00272583"/>
    <w:rsid w:val="002726FE"/>
    <w:rsid w:val="002730B4"/>
    <w:rsid w:val="00273359"/>
    <w:rsid w:val="002733CD"/>
    <w:rsid w:val="0027526A"/>
    <w:rsid w:val="002756F9"/>
    <w:rsid w:val="00275DC0"/>
    <w:rsid w:val="00276BF7"/>
    <w:rsid w:val="00277962"/>
    <w:rsid w:val="00277B48"/>
    <w:rsid w:val="00281035"/>
    <w:rsid w:val="00281DA0"/>
    <w:rsid w:val="002822D5"/>
    <w:rsid w:val="002842DB"/>
    <w:rsid w:val="0028442C"/>
    <w:rsid w:val="002847D9"/>
    <w:rsid w:val="0028523A"/>
    <w:rsid w:val="002862C8"/>
    <w:rsid w:val="002873DA"/>
    <w:rsid w:val="00290A38"/>
    <w:rsid w:val="00291024"/>
    <w:rsid w:val="00292F2E"/>
    <w:rsid w:val="00295C88"/>
    <w:rsid w:val="00296756"/>
    <w:rsid w:val="002968C2"/>
    <w:rsid w:val="00296C8D"/>
    <w:rsid w:val="00297461"/>
    <w:rsid w:val="00297EEA"/>
    <w:rsid w:val="002A06BB"/>
    <w:rsid w:val="002A0D0D"/>
    <w:rsid w:val="002A264A"/>
    <w:rsid w:val="002A26C5"/>
    <w:rsid w:val="002A3349"/>
    <w:rsid w:val="002A37B9"/>
    <w:rsid w:val="002A3A36"/>
    <w:rsid w:val="002A3C99"/>
    <w:rsid w:val="002A4142"/>
    <w:rsid w:val="002A437E"/>
    <w:rsid w:val="002A45A8"/>
    <w:rsid w:val="002A47EE"/>
    <w:rsid w:val="002A5DC4"/>
    <w:rsid w:val="002A69DF"/>
    <w:rsid w:val="002B1612"/>
    <w:rsid w:val="002B176B"/>
    <w:rsid w:val="002B303B"/>
    <w:rsid w:val="002B4269"/>
    <w:rsid w:val="002B426E"/>
    <w:rsid w:val="002B4CDE"/>
    <w:rsid w:val="002B6167"/>
    <w:rsid w:val="002B7735"/>
    <w:rsid w:val="002C0FF5"/>
    <w:rsid w:val="002C1146"/>
    <w:rsid w:val="002C11C3"/>
    <w:rsid w:val="002C1E42"/>
    <w:rsid w:val="002C2071"/>
    <w:rsid w:val="002C2329"/>
    <w:rsid w:val="002C2829"/>
    <w:rsid w:val="002C36BC"/>
    <w:rsid w:val="002C4D82"/>
    <w:rsid w:val="002C64F5"/>
    <w:rsid w:val="002C7ACC"/>
    <w:rsid w:val="002D1A33"/>
    <w:rsid w:val="002D2928"/>
    <w:rsid w:val="002D2A39"/>
    <w:rsid w:val="002D2F4F"/>
    <w:rsid w:val="002D442D"/>
    <w:rsid w:val="002D475A"/>
    <w:rsid w:val="002D4EB5"/>
    <w:rsid w:val="002D7A36"/>
    <w:rsid w:val="002D7D2D"/>
    <w:rsid w:val="002E0794"/>
    <w:rsid w:val="002E0944"/>
    <w:rsid w:val="002E4F0F"/>
    <w:rsid w:val="002E505B"/>
    <w:rsid w:val="002E5876"/>
    <w:rsid w:val="002F0CB6"/>
    <w:rsid w:val="002F3C37"/>
    <w:rsid w:val="002F4462"/>
    <w:rsid w:val="002F4AD6"/>
    <w:rsid w:val="00303204"/>
    <w:rsid w:val="00303214"/>
    <w:rsid w:val="00303324"/>
    <w:rsid w:val="003042C1"/>
    <w:rsid w:val="003047AA"/>
    <w:rsid w:val="003064DE"/>
    <w:rsid w:val="00307641"/>
    <w:rsid w:val="003102EF"/>
    <w:rsid w:val="003107D9"/>
    <w:rsid w:val="00312461"/>
    <w:rsid w:val="00313209"/>
    <w:rsid w:val="003136E7"/>
    <w:rsid w:val="00314B90"/>
    <w:rsid w:val="0031774F"/>
    <w:rsid w:val="0031779B"/>
    <w:rsid w:val="0032051D"/>
    <w:rsid w:val="00320673"/>
    <w:rsid w:val="0032119D"/>
    <w:rsid w:val="0032486E"/>
    <w:rsid w:val="003260EF"/>
    <w:rsid w:val="00326491"/>
    <w:rsid w:val="00330243"/>
    <w:rsid w:val="00331017"/>
    <w:rsid w:val="003335EE"/>
    <w:rsid w:val="00335B23"/>
    <w:rsid w:val="00336297"/>
    <w:rsid w:val="003372EB"/>
    <w:rsid w:val="00340E36"/>
    <w:rsid w:val="003418FA"/>
    <w:rsid w:val="003430E7"/>
    <w:rsid w:val="003433EB"/>
    <w:rsid w:val="00343BEE"/>
    <w:rsid w:val="00344699"/>
    <w:rsid w:val="0034491A"/>
    <w:rsid w:val="00345DAF"/>
    <w:rsid w:val="0034738B"/>
    <w:rsid w:val="0035143A"/>
    <w:rsid w:val="00351AB0"/>
    <w:rsid w:val="00351AC4"/>
    <w:rsid w:val="00352344"/>
    <w:rsid w:val="00355CC4"/>
    <w:rsid w:val="00355E94"/>
    <w:rsid w:val="00356191"/>
    <w:rsid w:val="00356579"/>
    <w:rsid w:val="003602B3"/>
    <w:rsid w:val="0036203A"/>
    <w:rsid w:val="003621CE"/>
    <w:rsid w:val="0036247C"/>
    <w:rsid w:val="003636D9"/>
    <w:rsid w:val="00364932"/>
    <w:rsid w:val="0036568D"/>
    <w:rsid w:val="003709AF"/>
    <w:rsid w:val="00370C01"/>
    <w:rsid w:val="00370C14"/>
    <w:rsid w:val="00371126"/>
    <w:rsid w:val="0037207E"/>
    <w:rsid w:val="003740C4"/>
    <w:rsid w:val="003748E9"/>
    <w:rsid w:val="00375053"/>
    <w:rsid w:val="003756A7"/>
    <w:rsid w:val="00375F6C"/>
    <w:rsid w:val="003777CC"/>
    <w:rsid w:val="00381F6F"/>
    <w:rsid w:val="00382172"/>
    <w:rsid w:val="00382F2D"/>
    <w:rsid w:val="0039044D"/>
    <w:rsid w:val="003909C9"/>
    <w:rsid w:val="00391EC3"/>
    <w:rsid w:val="00395856"/>
    <w:rsid w:val="00395D42"/>
    <w:rsid w:val="003978A5"/>
    <w:rsid w:val="003A028E"/>
    <w:rsid w:val="003A1CE5"/>
    <w:rsid w:val="003A1F3F"/>
    <w:rsid w:val="003A2009"/>
    <w:rsid w:val="003A32B3"/>
    <w:rsid w:val="003A37B4"/>
    <w:rsid w:val="003A48B8"/>
    <w:rsid w:val="003A517E"/>
    <w:rsid w:val="003A5D15"/>
    <w:rsid w:val="003A6BFA"/>
    <w:rsid w:val="003A71DF"/>
    <w:rsid w:val="003B25BE"/>
    <w:rsid w:val="003B284E"/>
    <w:rsid w:val="003B3A3F"/>
    <w:rsid w:val="003B3A90"/>
    <w:rsid w:val="003B4077"/>
    <w:rsid w:val="003B45E4"/>
    <w:rsid w:val="003B5533"/>
    <w:rsid w:val="003B5A06"/>
    <w:rsid w:val="003B742F"/>
    <w:rsid w:val="003C0EA1"/>
    <w:rsid w:val="003C326B"/>
    <w:rsid w:val="003C4A80"/>
    <w:rsid w:val="003C574A"/>
    <w:rsid w:val="003C5E0A"/>
    <w:rsid w:val="003C7CE6"/>
    <w:rsid w:val="003C7EDC"/>
    <w:rsid w:val="003D0B0B"/>
    <w:rsid w:val="003D0E15"/>
    <w:rsid w:val="003D2140"/>
    <w:rsid w:val="003D49F8"/>
    <w:rsid w:val="003D51FD"/>
    <w:rsid w:val="003D53DC"/>
    <w:rsid w:val="003D61EA"/>
    <w:rsid w:val="003D66FE"/>
    <w:rsid w:val="003D69F1"/>
    <w:rsid w:val="003D72C8"/>
    <w:rsid w:val="003E0321"/>
    <w:rsid w:val="003E2CE5"/>
    <w:rsid w:val="003E3617"/>
    <w:rsid w:val="003F02B3"/>
    <w:rsid w:val="003F1EC7"/>
    <w:rsid w:val="003F1FC4"/>
    <w:rsid w:val="003F3326"/>
    <w:rsid w:val="003F3B2F"/>
    <w:rsid w:val="003F4CE1"/>
    <w:rsid w:val="003F5161"/>
    <w:rsid w:val="003F5795"/>
    <w:rsid w:val="003F674E"/>
    <w:rsid w:val="0040170B"/>
    <w:rsid w:val="00401859"/>
    <w:rsid w:val="004025B1"/>
    <w:rsid w:val="00402EA7"/>
    <w:rsid w:val="0040491C"/>
    <w:rsid w:val="004064BC"/>
    <w:rsid w:val="00407FDB"/>
    <w:rsid w:val="004103C7"/>
    <w:rsid w:val="004105F2"/>
    <w:rsid w:val="00412FF3"/>
    <w:rsid w:val="004142CD"/>
    <w:rsid w:val="00414F8B"/>
    <w:rsid w:val="00416AE4"/>
    <w:rsid w:val="00420838"/>
    <w:rsid w:val="00420C4E"/>
    <w:rsid w:val="00420DD6"/>
    <w:rsid w:val="0042164D"/>
    <w:rsid w:val="00421717"/>
    <w:rsid w:val="00421973"/>
    <w:rsid w:val="00424E49"/>
    <w:rsid w:val="00424EB4"/>
    <w:rsid w:val="004268A1"/>
    <w:rsid w:val="00426D4C"/>
    <w:rsid w:val="00426E6A"/>
    <w:rsid w:val="00427143"/>
    <w:rsid w:val="0043219F"/>
    <w:rsid w:val="004327D9"/>
    <w:rsid w:val="00432B88"/>
    <w:rsid w:val="00432C93"/>
    <w:rsid w:val="004336CD"/>
    <w:rsid w:val="004358F9"/>
    <w:rsid w:val="00436BEF"/>
    <w:rsid w:val="00437939"/>
    <w:rsid w:val="00440CA3"/>
    <w:rsid w:val="004434CE"/>
    <w:rsid w:val="00444734"/>
    <w:rsid w:val="00444BA5"/>
    <w:rsid w:val="00444F39"/>
    <w:rsid w:val="004452E5"/>
    <w:rsid w:val="004456C2"/>
    <w:rsid w:val="00446DFD"/>
    <w:rsid w:val="00450978"/>
    <w:rsid w:val="004512DF"/>
    <w:rsid w:val="00451370"/>
    <w:rsid w:val="00451913"/>
    <w:rsid w:val="004524F5"/>
    <w:rsid w:val="00453072"/>
    <w:rsid w:val="00453552"/>
    <w:rsid w:val="00454A2C"/>
    <w:rsid w:val="00460D07"/>
    <w:rsid w:val="00460FB3"/>
    <w:rsid w:val="004616DE"/>
    <w:rsid w:val="00462D58"/>
    <w:rsid w:val="00466542"/>
    <w:rsid w:val="00466B6D"/>
    <w:rsid w:val="00467508"/>
    <w:rsid w:val="00470566"/>
    <w:rsid w:val="00471539"/>
    <w:rsid w:val="00471578"/>
    <w:rsid w:val="00471657"/>
    <w:rsid w:val="00471A8F"/>
    <w:rsid w:val="00472682"/>
    <w:rsid w:val="00472B38"/>
    <w:rsid w:val="0047498F"/>
    <w:rsid w:val="00475519"/>
    <w:rsid w:val="004757D9"/>
    <w:rsid w:val="004760D7"/>
    <w:rsid w:val="0047688F"/>
    <w:rsid w:val="00476D70"/>
    <w:rsid w:val="004772FA"/>
    <w:rsid w:val="00477F84"/>
    <w:rsid w:val="004800E0"/>
    <w:rsid w:val="00480A01"/>
    <w:rsid w:val="004824DB"/>
    <w:rsid w:val="00482A5D"/>
    <w:rsid w:val="00483965"/>
    <w:rsid w:val="00483FA9"/>
    <w:rsid w:val="0048578E"/>
    <w:rsid w:val="00486E6D"/>
    <w:rsid w:val="004875AA"/>
    <w:rsid w:val="00492601"/>
    <w:rsid w:val="00492891"/>
    <w:rsid w:val="00492EFB"/>
    <w:rsid w:val="00494687"/>
    <w:rsid w:val="00495756"/>
    <w:rsid w:val="00496F4B"/>
    <w:rsid w:val="004975B3"/>
    <w:rsid w:val="004A0F23"/>
    <w:rsid w:val="004A2DBE"/>
    <w:rsid w:val="004A3435"/>
    <w:rsid w:val="004A3805"/>
    <w:rsid w:val="004A4C44"/>
    <w:rsid w:val="004A4D50"/>
    <w:rsid w:val="004A71D6"/>
    <w:rsid w:val="004B0413"/>
    <w:rsid w:val="004B16AD"/>
    <w:rsid w:val="004B1AB4"/>
    <w:rsid w:val="004B1DAA"/>
    <w:rsid w:val="004B1DDA"/>
    <w:rsid w:val="004B22DC"/>
    <w:rsid w:val="004B260E"/>
    <w:rsid w:val="004B2EA0"/>
    <w:rsid w:val="004B38C8"/>
    <w:rsid w:val="004B3992"/>
    <w:rsid w:val="004B548A"/>
    <w:rsid w:val="004B6D6A"/>
    <w:rsid w:val="004C1713"/>
    <w:rsid w:val="004C1864"/>
    <w:rsid w:val="004C2919"/>
    <w:rsid w:val="004C2E0D"/>
    <w:rsid w:val="004C5E97"/>
    <w:rsid w:val="004D151F"/>
    <w:rsid w:val="004D194F"/>
    <w:rsid w:val="004D6507"/>
    <w:rsid w:val="004D6936"/>
    <w:rsid w:val="004D73F5"/>
    <w:rsid w:val="004D7F9E"/>
    <w:rsid w:val="004E059C"/>
    <w:rsid w:val="004E2046"/>
    <w:rsid w:val="004E339E"/>
    <w:rsid w:val="004E3720"/>
    <w:rsid w:val="004E550C"/>
    <w:rsid w:val="004E5CE2"/>
    <w:rsid w:val="004E66FB"/>
    <w:rsid w:val="004F05D9"/>
    <w:rsid w:val="004F0E22"/>
    <w:rsid w:val="004F1809"/>
    <w:rsid w:val="004F2060"/>
    <w:rsid w:val="004F2487"/>
    <w:rsid w:val="004F2AD3"/>
    <w:rsid w:val="004F2C30"/>
    <w:rsid w:val="004F326F"/>
    <w:rsid w:val="004F5006"/>
    <w:rsid w:val="004F560C"/>
    <w:rsid w:val="004F5650"/>
    <w:rsid w:val="004F5F41"/>
    <w:rsid w:val="004F70C2"/>
    <w:rsid w:val="004F7A66"/>
    <w:rsid w:val="004F7E60"/>
    <w:rsid w:val="00500D12"/>
    <w:rsid w:val="00501DC4"/>
    <w:rsid w:val="00501E00"/>
    <w:rsid w:val="005021C8"/>
    <w:rsid w:val="00503628"/>
    <w:rsid w:val="005044C9"/>
    <w:rsid w:val="00505037"/>
    <w:rsid w:val="005071E1"/>
    <w:rsid w:val="00510018"/>
    <w:rsid w:val="005117A1"/>
    <w:rsid w:val="0051290A"/>
    <w:rsid w:val="005130D8"/>
    <w:rsid w:val="00513F2F"/>
    <w:rsid w:val="0051434F"/>
    <w:rsid w:val="00514E0B"/>
    <w:rsid w:val="00516747"/>
    <w:rsid w:val="005168D3"/>
    <w:rsid w:val="0051767B"/>
    <w:rsid w:val="00521A54"/>
    <w:rsid w:val="00522712"/>
    <w:rsid w:val="005229CD"/>
    <w:rsid w:val="00522AE9"/>
    <w:rsid w:val="00524729"/>
    <w:rsid w:val="00524C0C"/>
    <w:rsid w:val="005250AD"/>
    <w:rsid w:val="00527469"/>
    <w:rsid w:val="00533986"/>
    <w:rsid w:val="00533B26"/>
    <w:rsid w:val="00533E63"/>
    <w:rsid w:val="00534A8E"/>
    <w:rsid w:val="00536004"/>
    <w:rsid w:val="00537011"/>
    <w:rsid w:val="005405B5"/>
    <w:rsid w:val="00540B4E"/>
    <w:rsid w:val="005419EB"/>
    <w:rsid w:val="00541CB1"/>
    <w:rsid w:val="00542566"/>
    <w:rsid w:val="00543260"/>
    <w:rsid w:val="00546C02"/>
    <w:rsid w:val="00550725"/>
    <w:rsid w:val="00551646"/>
    <w:rsid w:val="005521C5"/>
    <w:rsid w:val="00553F7F"/>
    <w:rsid w:val="00553FFC"/>
    <w:rsid w:val="00554C90"/>
    <w:rsid w:val="00557D90"/>
    <w:rsid w:val="00557F0D"/>
    <w:rsid w:val="005609D3"/>
    <w:rsid w:val="00562377"/>
    <w:rsid w:val="00563842"/>
    <w:rsid w:val="00565C81"/>
    <w:rsid w:val="00570428"/>
    <w:rsid w:val="00573147"/>
    <w:rsid w:val="00573F97"/>
    <w:rsid w:val="00574B8F"/>
    <w:rsid w:val="00577F63"/>
    <w:rsid w:val="005828C5"/>
    <w:rsid w:val="00586620"/>
    <w:rsid w:val="00586692"/>
    <w:rsid w:val="00590010"/>
    <w:rsid w:val="00591351"/>
    <w:rsid w:val="005915BE"/>
    <w:rsid w:val="00591D0C"/>
    <w:rsid w:val="00592376"/>
    <w:rsid w:val="00592B64"/>
    <w:rsid w:val="005946EC"/>
    <w:rsid w:val="00594929"/>
    <w:rsid w:val="005952E8"/>
    <w:rsid w:val="0059597C"/>
    <w:rsid w:val="00595D57"/>
    <w:rsid w:val="00596106"/>
    <w:rsid w:val="00597B9F"/>
    <w:rsid w:val="00597C59"/>
    <w:rsid w:val="00597D21"/>
    <w:rsid w:val="005A0522"/>
    <w:rsid w:val="005A0A2A"/>
    <w:rsid w:val="005A1D5E"/>
    <w:rsid w:val="005A2DB9"/>
    <w:rsid w:val="005A31B6"/>
    <w:rsid w:val="005A3E13"/>
    <w:rsid w:val="005A4F0A"/>
    <w:rsid w:val="005A539D"/>
    <w:rsid w:val="005A740B"/>
    <w:rsid w:val="005B0BD0"/>
    <w:rsid w:val="005B0D8E"/>
    <w:rsid w:val="005B162B"/>
    <w:rsid w:val="005B16B6"/>
    <w:rsid w:val="005B4702"/>
    <w:rsid w:val="005B5AA3"/>
    <w:rsid w:val="005B6E3F"/>
    <w:rsid w:val="005B766D"/>
    <w:rsid w:val="005C2C30"/>
    <w:rsid w:val="005C49FC"/>
    <w:rsid w:val="005C4EAB"/>
    <w:rsid w:val="005C5887"/>
    <w:rsid w:val="005C6047"/>
    <w:rsid w:val="005D0116"/>
    <w:rsid w:val="005D0D4B"/>
    <w:rsid w:val="005D1291"/>
    <w:rsid w:val="005D406B"/>
    <w:rsid w:val="005D5135"/>
    <w:rsid w:val="005D52B1"/>
    <w:rsid w:val="005D7048"/>
    <w:rsid w:val="005D75A7"/>
    <w:rsid w:val="005E115A"/>
    <w:rsid w:val="005E206B"/>
    <w:rsid w:val="005E24C3"/>
    <w:rsid w:val="005E59CD"/>
    <w:rsid w:val="005E5BE9"/>
    <w:rsid w:val="005E65FD"/>
    <w:rsid w:val="005E7E98"/>
    <w:rsid w:val="005F20C3"/>
    <w:rsid w:val="005F61BD"/>
    <w:rsid w:val="005F66CB"/>
    <w:rsid w:val="00600E57"/>
    <w:rsid w:val="006058E7"/>
    <w:rsid w:val="006063C2"/>
    <w:rsid w:val="0061241C"/>
    <w:rsid w:val="00613101"/>
    <w:rsid w:val="00615CEC"/>
    <w:rsid w:val="00617EE7"/>
    <w:rsid w:val="006201E9"/>
    <w:rsid w:val="00622224"/>
    <w:rsid w:val="006253DC"/>
    <w:rsid w:val="00625CD7"/>
    <w:rsid w:val="00626209"/>
    <w:rsid w:val="006269C1"/>
    <w:rsid w:val="00626DE9"/>
    <w:rsid w:val="006302F7"/>
    <w:rsid w:val="00631CB9"/>
    <w:rsid w:val="00631E22"/>
    <w:rsid w:val="00631EF9"/>
    <w:rsid w:val="006332E0"/>
    <w:rsid w:val="00634E53"/>
    <w:rsid w:val="006363C5"/>
    <w:rsid w:val="006369E2"/>
    <w:rsid w:val="006406C5"/>
    <w:rsid w:val="00640999"/>
    <w:rsid w:val="00644418"/>
    <w:rsid w:val="00645E6C"/>
    <w:rsid w:val="00646137"/>
    <w:rsid w:val="00646BE2"/>
    <w:rsid w:val="00647F73"/>
    <w:rsid w:val="00651AB0"/>
    <w:rsid w:val="00652D99"/>
    <w:rsid w:val="00652E4F"/>
    <w:rsid w:val="006536DB"/>
    <w:rsid w:val="00654D86"/>
    <w:rsid w:val="00656082"/>
    <w:rsid w:val="0065616A"/>
    <w:rsid w:val="00657B2B"/>
    <w:rsid w:val="00660130"/>
    <w:rsid w:val="0066190A"/>
    <w:rsid w:val="00662166"/>
    <w:rsid w:val="006628E9"/>
    <w:rsid w:val="00663C92"/>
    <w:rsid w:val="00663E0C"/>
    <w:rsid w:val="00666136"/>
    <w:rsid w:val="006712DF"/>
    <w:rsid w:val="00674164"/>
    <w:rsid w:val="0067495D"/>
    <w:rsid w:val="00674D4B"/>
    <w:rsid w:val="006753DF"/>
    <w:rsid w:val="00677269"/>
    <w:rsid w:val="00680419"/>
    <w:rsid w:val="00681F26"/>
    <w:rsid w:val="0068203C"/>
    <w:rsid w:val="00682E1C"/>
    <w:rsid w:val="00683628"/>
    <w:rsid w:val="006839B1"/>
    <w:rsid w:val="00684282"/>
    <w:rsid w:val="00684D9C"/>
    <w:rsid w:val="006875BF"/>
    <w:rsid w:val="006901D9"/>
    <w:rsid w:val="00690420"/>
    <w:rsid w:val="00690E73"/>
    <w:rsid w:val="00692D2A"/>
    <w:rsid w:val="00694263"/>
    <w:rsid w:val="0069456E"/>
    <w:rsid w:val="006952EB"/>
    <w:rsid w:val="00697247"/>
    <w:rsid w:val="00697ED8"/>
    <w:rsid w:val="006A0589"/>
    <w:rsid w:val="006A0CEE"/>
    <w:rsid w:val="006A1271"/>
    <w:rsid w:val="006A141D"/>
    <w:rsid w:val="006A236A"/>
    <w:rsid w:val="006A2BFE"/>
    <w:rsid w:val="006A5B08"/>
    <w:rsid w:val="006B18F7"/>
    <w:rsid w:val="006B1AD8"/>
    <w:rsid w:val="006B1AEB"/>
    <w:rsid w:val="006B1FF3"/>
    <w:rsid w:val="006B20E0"/>
    <w:rsid w:val="006B2A0F"/>
    <w:rsid w:val="006B2C72"/>
    <w:rsid w:val="006B4C20"/>
    <w:rsid w:val="006B52BD"/>
    <w:rsid w:val="006B55DC"/>
    <w:rsid w:val="006B641D"/>
    <w:rsid w:val="006B680B"/>
    <w:rsid w:val="006B6F23"/>
    <w:rsid w:val="006B771A"/>
    <w:rsid w:val="006B7EB4"/>
    <w:rsid w:val="006C00CB"/>
    <w:rsid w:val="006C0701"/>
    <w:rsid w:val="006C0797"/>
    <w:rsid w:val="006C0819"/>
    <w:rsid w:val="006C0D8A"/>
    <w:rsid w:val="006C32C5"/>
    <w:rsid w:val="006C3D2F"/>
    <w:rsid w:val="006C4706"/>
    <w:rsid w:val="006C62C2"/>
    <w:rsid w:val="006C7BB0"/>
    <w:rsid w:val="006D00DB"/>
    <w:rsid w:val="006D21D0"/>
    <w:rsid w:val="006D29A9"/>
    <w:rsid w:val="006D4B79"/>
    <w:rsid w:val="006D5F64"/>
    <w:rsid w:val="006D7096"/>
    <w:rsid w:val="006D775E"/>
    <w:rsid w:val="006E42F1"/>
    <w:rsid w:val="006E4606"/>
    <w:rsid w:val="006E74F4"/>
    <w:rsid w:val="006E793C"/>
    <w:rsid w:val="006F12E2"/>
    <w:rsid w:val="006F2B57"/>
    <w:rsid w:val="006F44AA"/>
    <w:rsid w:val="006F4FE4"/>
    <w:rsid w:val="006F54F6"/>
    <w:rsid w:val="006F67B9"/>
    <w:rsid w:val="00700105"/>
    <w:rsid w:val="00701587"/>
    <w:rsid w:val="00701740"/>
    <w:rsid w:val="00701DFB"/>
    <w:rsid w:val="00702FB6"/>
    <w:rsid w:val="007039DB"/>
    <w:rsid w:val="00704887"/>
    <w:rsid w:val="00705C0A"/>
    <w:rsid w:val="00706142"/>
    <w:rsid w:val="007078AB"/>
    <w:rsid w:val="00707CB0"/>
    <w:rsid w:val="00711489"/>
    <w:rsid w:val="0071662B"/>
    <w:rsid w:val="00716789"/>
    <w:rsid w:val="00720508"/>
    <w:rsid w:val="00720A4E"/>
    <w:rsid w:val="00721180"/>
    <w:rsid w:val="0072157B"/>
    <w:rsid w:val="00721784"/>
    <w:rsid w:val="00722077"/>
    <w:rsid w:val="0072218D"/>
    <w:rsid w:val="0072668C"/>
    <w:rsid w:val="007271DA"/>
    <w:rsid w:val="00727D07"/>
    <w:rsid w:val="007304F9"/>
    <w:rsid w:val="00730BAB"/>
    <w:rsid w:val="00731EBB"/>
    <w:rsid w:val="007327A5"/>
    <w:rsid w:val="007333CD"/>
    <w:rsid w:val="0073385C"/>
    <w:rsid w:val="00733BE7"/>
    <w:rsid w:val="007343A2"/>
    <w:rsid w:val="007348AB"/>
    <w:rsid w:val="0073621E"/>
    <w:rsid w:val="00737A41"/>
    <w:rsid w:val="007405F0"/>
    <w:rsid w:val="00742CA5"/>
    <w:rsid w:val="00742F09"/>
    <w:rsid w:val="00743B2A"/>
    <w:rsid w:val="0074419A"/>
    <w:rsid w:val="0074465D"/>
    <w:rsid w:val="00746238"/>
    <w:rsid w:val="00747628"/>
    <w:rsid w:val="00747A16"/>
    <w:rsid w:val="0075100B"/>
    <w:rsid w:val="00754082"/>
    <w:rsid w:val="00755093"/>
    <w:rsid w:val="00755898"/>
    <w:rsid w:val="00756693"/>
    <w:rsid w:val="007566D3"/>
    <w:rsid w:val="007569E2"/>
    <w:rsid w:val="00761C9B"/>
    <w:rsid w:val="00762119"/>
    <w:rsid w:val="00762CC3"/>
    <w:rsid w:val="00763789"/>
    <w:rsid w:val="00765211"/>
    <w:rsid w:val="007654F0"/>
    <w:rsid w:val="007657A2"/>
    <w:rsid w:val="0076588C"/>
    <w:rsid w:val="007668F0"/>
    <w:rsid w:val="00766B86"/>
    <w:rsid w:val="0077494C"/>
    <w:rsid w:val="0077517B"/>
    <w:rsid w:val="007775AE"/>
    <w:rsid w:val="0077771F"/>
    <w:rsid w:val="00780C92"/>
    <w:rsid w:val="00781344"/>
    <w:rsid w:val="007814FC"/>
    <w:rsid w:val="0078264F"/>
    <w:rsid w:val="00782ACB"/>
    <w:rsid w:val="00782D67"/>
    <w:rsid w:val="00784466"/>
    <w:rsid w:val="0078478C"/>
    <w:rsid w:val="007849F4"/>
    <w:rsid w:val="007869FE"/>
    <w:rsid w:val="00790389"/>
    <w:rsid w:val="007934B1"/>
    <w:rsid w:val="007939BE"/>
    <w:rsid w:val="00794106"/>
    <w:rsid w:val="0079482E"/>
    <w:rsid w:val="00795B9D"/>
    <w:rsid w:val="007963AC"/>
    <w:rsid w:val="007967DF"/>
    <w:rsid w:val="00796D43"/>
    <w:rsid w:val="007971FE"/>
    <w:rsid w:val="007A11DF"/>
    <w:rsid w:val="007A4293"/>
    <w:rsid w:val="007A4F41"/>
    <w:rsid w:val="007A5031"/>
    <w:rsid w:val="007A555B"/>
    <w:rsid w:val="007A75E3"/>
    <w:rsid w:val="007B06FA"/>
    <w:rsid w:val="007B16F7"/>
    <w:rsid w:val="007B224F"/>
    <w:rsid w:val="007B28FD"/>
    <w:rsid w:val="007B305D"/>
    <w:rsid w:val="007B34A7"/>
    <w:rsid w:val="007B37A7"/>
    <w:rsid w:val="007B3F7A"/>
    <w:rsid w:val="007B45D7"/>
    <w:rsid w:val="007B5F49"/>
    <w:rsid w:val="007C0B65"/>
    <w:rsid w:val="007C1F8E"/>
    <w:rsid w:val="007C2359"/>
    <w:rsid w:val="007C286F"/>
    <w:rsid w:val="007C64A9"/>
    <w:rsid w:val="007C6541"/>
    <w:rsid w:val="007C7F73"/>
    <w:rsid w:val="007D0BA4"/>
    <w:rsid w:val="007D2D3C"/>
    <w:rsid w:val="007D2F37"/>
    <w:rsid w:val="007D4A71"/>
    <w:rsid w:val="007D4C44"/>
    <w:rsid w:val="007D4E41"/>
    <w:rsid w:val="007D5D34"/>
    <w:rsid w:val="007D60F2"/>
    <w:rsid w:val="007D7F60"/>
    <w:rsid w:val="007E0094"/>
    <w:rsid w:val="007E41DF"/>
    <w:rsid w:val="007E475B"/>
    <w:rsid w:val="007E4E37"/>
    <w:rsid w:val="007E589E"/>
    <w:rsid w:val="007E634E"/>
    <w:rsid w:val="007E70F6"/>
    <w:rsid w:val="007F1C75"/>
    <w:rsid w:val="007F2835"/>
    <w:rsid w:val="007F37B5"/>
    <w:rsid w:val="007F46A5"/>
    <w:rsid w:val="007F4BBB"/>
    <w:rsid w:val="007F5DAE"/>
    <w:rsid w:val="007F7331"/>
    <w:rsid w:val="007F7B78"/>
    <w:rsid w:val="008015A0"/>
    <w:rsid w:val="00801F6C"/>
    <w:rsid w:val="0080246F"/>
    <w:rsid w:val="008024B4"/>
    <w:rsid w:val="00802867"/>
    <w:rsid w:val="00805AF9"/>
    <w:rsid w:val="008111BB"/>
    <w:rsid w:val="00811653"/>
    <w:rsid w:val="008136A2"/>
    <w:rsid w:val="00813E6F"/>
    <w:rsid w:val="00814813"/>
    <w:rsid w:val="00816486"/>
    <w:rsid w:val="0081783C"/>
    <w:rsid w:val="00817D6B"/>
    <w:rsid w:val="00821B64"/>
    <w:rsid w:val="00822934"/>
    <w:rsid w:val="00824BAF"/>
    <w:rsid w:val="00824E6E"/>
    <w:rsid w:val="00824FE2"/>
    <w:rsid w:val="00826100"/>
    <w:rsid w:val="00827233"/>
    <w:rsid w:val="008276E1"/>
    <w:rsid w:val="00827752"/>
    <w:rsid w:val="00827E7D"/>
    <w:rsid w:val="00827F9F"/>
    <w:rsid w:val="00833686"/>
    <w:rsid w:val="008353A6"/>
    <w:rsid w:val="008357C8"/>
    <w:rsid w:val="00837E21"/>
    <w:rsid w:val="00840EFA"/>
    <w:rsid w:val="0084178C"/>
    <w:rsid w:val="00841F8C"/>
    <w:rsid w:val="0084219D"/>
    <w:rsid w:val="00843038"/>
    <w:rsid w:val="00844A65"/>
    <w:rsid w:val="008457AF"/>
    <w:rsid w:val="00846C5B"/>
    <w:rsid w:val="00852F2A"/>
    <w:rsid w:val="00853DF1"/>
    <w:rsid w:val="00853EE1"/>
    <w:rsid w:val="00855456"/>
    <w:rsid w:val="00855483"/>
    <w:rsid w:val="00856640"/>
    <w:rsid w:val="00856F6F"/>
    <w:rsid w:val="008573A4"/>
    <w:rsid w:val="00862748"/>
    <w:rsid w:val="00862FF4"/>
    <w:rsid w:val="00866806"/>
    <w:rsid w:val="00866CA3"/>
    <w:rsid w:val="008674A4"/>
    <w:rsid w:val="0086756E"/>
    <w:rsid w:val="008702E6"/>
    <w:rsid w:val="00870575"/>
    <w:rsid w:val="0087125E"/>
    <w:rsid w:val="00871262"/>
    <w:rsid w:val="00873A45"/>
    <w:rsid w:val="0087401F"/>
    <w:rsid w:val="008754AC"/>
    <w:rsid w:val="00880224"/>
    <w:rsid w:val="00881581"/>
    <w:rsid w:val="00883DEC"/>
    <w:rsid w:val="008841A2"/>
    <w:rsid w:val="0088485F"/>
    <w:rsid w:val="0088496E"/>
    <w:rsid w:val="00887715"/>
    <w:rsid w:val="00887AD8"/>
    <w:rsid w:val="00890284"/>
    <w:rsid w:val="008906E4"/>
    <w:rsid w:val="00892BB1"/>
    <w:rsid w:val="0089385F"/>
    <w:rsid w:val="00894554"/>
    <w:rsid w:val="0089581D"/>
    <w:rsid w:val="00895E6F"/>
    <w:rsid w:val="00897166"/>
    <w:rsid w:val="00897DD6"/>
    <w:rsid w:val="008A0552"/>
    <w:rsid w:val="008A08BF"/>
    <w:rsid w:val="008A213A"/>
    <w:rsid w:val="008A241A"/>
    <w:rsid w:val="008A2B9E"/>
    <w:rsid w:val="008A35D6"/>
    <w:rsid w:val="008A4E15"/>
    <w:rsid w:val="008A5B68"/>
    <w:rsid w:val="008B510F"/>
    <w:rsid w:val="008B54B3"/>
    <w:rsid w:val="008C0525"/>
    <w:rsid w:val="008C079E"/>
    <w:rsid w:val="008C13BF"/>
    <w:rsid w:val="008C29DD"/>
    <w:rsid w:val="008C4BFD"/>
    <w:rsid w:val="008C5972"/>
    <w:rsid w:val="008C5EFB"/>
    <w:rsid w:val="008C77BC"/>
    <w:rsid w:val="008D0829"/>
    <w:rsid w:val="008D1884"/>
    <w:rsid w:val="008D2BED"/>
    <w:rsid w:val="008D3C41"/>
    <w:rsid w:val="008D4620"/>
    <w:rsid w:val="008D4C76"/>
    <w:rsid w:val="008D4D7E"/>
    <w:rsid w:val="008D5837"/>
    <w:rsid w:val="008D5C17"/>
    <w:rsid w:val="008D65A0"/>
    <w:rsid w:val="008D76CF"/>
    <w:rsid w:val="008D7ABA"/>
    <w:rsid w:val="008E0248"/>
    <w:rsid w:val="008E17D7"/>
    <w:rsid w:val="008E2263"/>
    <w:rsid w:val="008E2611"/>
    <w:rsid w:val="008E591D"/>
    <w:rsid w:val="008E63AF"/>
    <w:rsid w:val="008E6A0C"/>
    <w:rsid w:val="008E72E7"/>
    <w:rsid w:val="008F0EB9"/>
    <w:rsid w:val="008F1EFC"/>
    <w:rsid w:val="008F28E5"/>
    <w:rsid w:val="008F3FF9"/>
    <w:rsid w:val="008F5C40"/>
    <w:rsid w:val="008F5E9E"/>
    <w:rsid w:val="008F6038"/>
    <w:rsid w:val="008F6B36"/>
    <w:rsid w:val="008F75A0"/>
    <w:rsid w:val="00900F83"/>
    <w:rsid w:val="0090163C"/>
    <w:rsid w:val="009019A0"/>
    <w:rsid w:val="009025F5"/>
    <w:rsid w:val="009028D2"/>
    <w:rsid w:val="00903D4A"/>
    <w:rsid w:val="009107F3"/>
    <w:rsid w:val="0091169C"/>
    <w:rsid w:val="00911777"/>
    <w:rsid w:val="00912106"/>
    <w:rsid w:val="009133D9"/>
    <w:rsid w:val="00913503"/>
    <w:rsid w:val="0091602A"/>
    <w:rsid w:val="00916637"/>
    <w:rsid w:val="009166B7"/>
    <w:rsid w:val="0092270A"/>
    <w:rsid w:val="00922889"/>
    <w:rsid w:val="00923B73"/>
    <w:rsid w:val="00925FE2"/>
    <w:rsid w:val="00926F5A"/>
    <w:rsid w:val="00927C66"/>
    <w:rsid w:val="00930746"/>
    <w:rsid w:val="00930C1E"/>
    <w:rsid w:val="0093134F"/>
    <w:rsid w:val="0093172C"/>
    <w:rsid w:val="00931F71"/>
    <w:rsid w:val="00932162"/>
    <w:rsid w:val="0093252E"/>
    <w:rsid w:val="00937AC1"/>
    <w:rsid w:val="0094088C"/>
    <w:rsid w:val="00940EA9"/>
    <w:rsid w:val="0094185A"/>
    <w:rsid w:val="00942C32"/>
    <w:rsid w:val="00943904"/>
    <w:rsid w:val="009447B0"/>
    <w:rsid w:val="009457E9"/>
    <w:rsid w:val="00946F0E"/>
    <w:rsid w:val="00947751"/>
    <w:rsid w:val="0094780A"/>
    <w:rsid w:val="00951A24"/>
    <w:rsid w:val="0095324D"/>
    <w:rsid w:val="00956B94"/>
    <w:rsid w:val="00957AA1"/>
    <w:rsid w:val="00961BDF"/>
    <w:rsid w:val="00962029"/>
    <w:rsid w:val="00962419"/>
    <w:rsid w:val="009626EA"/>
    <w:rsid w:val="0096293C"/>
    <w:rsid w:val="00963B30"/>
    <w:rsid w:val="00963B87"/>
    <w:rsid w:val="00964459"/>
    <w:rsid w:val="009661FF"/>
    <w:rsid w:val="00967085"/>
    <w:rsid w:val="00967B9A"/>
    <w:rsid w:val="00967EF9"/>
    <w:rsid w:val="00972272"/>
    <w:rsid w:val="009722A9"/>
    <w:rsid w:val="00974BED"/>
    <w:rsid w:val="00974F98"/>
    <w:rsid w:val="0098047A"/>
    <w:rsid w:val="009808C7"/>
    <w:rsid w:val="00982EC6"/>
    <w:rsid w:val="00984A78"/>
    <w:rsid w:val="00985CE0"/>
    <w:rsid w:val="00987384"/>
    <w:rsid w:val="009900F2"/>
    <w:rsid w:val="009912C9"/>
    <w:rsid w:val="00992591"/>
    <w:rsid w:val="00992ACA"/>
    <w:rsid w:val="00992F63"/>
    <w:rsid w:val="00993DAD"/>
    <w:rsid w:val="0099481D"/>
    <w:rsid w:val="00995887"/>
    <w:rsid w:val="00995A20"/>
    <w:rsid w:val="00995C04"/>
    <w:rsid w:val="009964E0"/>
    <w:rsid w:val="0099746E"/>
    <w:rsid w:val="00997718"/>
    <w:rsid w:val="009A135D"/>
    <w:rsid w:val="009A1C1B"/>
    <w:rsid w:val="009A1CC5"/>
    <w:rsid w:val="009A2545"/>
    <w:rsid w:val="009A3ADE"/>
    <w:rsid w:val="009A455E"/>
    <w:rsid w:val="009A59F1"/>
    <w:rsid w:val="009A5CBF"/>
    <w:rsid w:val="009A6B25"/>
    <w:rsid w:val="009B053F"/>
    <w:rsid w:val="009B0596"/>
    <w:rsid w:val="009B20F2"/>
    <w:rsid w:val="009B4A4F"/>
    <w:rsid w:val="009C10A6"/>
    <w:rsid w:val="009C122A"/>
    <w:rsid w:val="009C1336"/>
    <w:rsid w:val="009C1960"/>
    <w:rsid w:val="009C6313"/>
    <w:rsid w:val="009C675E"/>
    <w:rsid w:val="009D01A9"/>
    <w:rsid w:val="009D22D9"/>
    <w:rsid w:val="009D49EC"/>
    <w:rsid w:val="009D4FC3"/>
    <w:rsid w:val="009D7ABC"/>
    <w:rsid w:val="009E1CC0"/>
    <w:rsid w:val="009E3335"/>
    <w:rsid w:val="009E3A8F"/>
    <w:rsid w:val="009E520D"/>
    <w:rsid w:val="009E5761"/>
    <w:rsid w:val="009E72D8"/>
    <w:rsid w:val="009F04A4"/>
    <w:rsid w:val="009F1595"/>
    <w:rsid w:val="009F1E4F"/>
    <w:rsid w:val="009F276E"/>
    <w:rsid w:val="009F2C69"/>
    <w:rsid w:val="009F71C2"/>
    <w:rsid w:val="009F7DE5"/>
    <w:rsid w:val="00A00981"/>
    <w:rsid w:val="00A01FFC"/>
    <w:rsid w:val="00A024DC"/>
    <w:rsid w:val="00A02CBA"/>
    <w:rsid w:val="00A039E5"/>
    <w:rsid w:val="00A042DE"/>
    <w:rsid w:val="00A046C1"/>
    <w:rsid w:val="00A04ACE"/>
    <w:rsid w:val="00A06B31"/>
    <w:rsid w:val="00A1108A"/>
    <w:rsid w:val="00A118EC"/>
    <w:rsid w:val="00A1202F"/>
    <w:rsid w:val="00A127AC"/>
    <w:rsid w:val="00A12C0F"/>
    <w:rsid w:val="00A13396"/>
    <w:rsid w:val="00A1474C"/>
    <w:rsid w:val="00A150B9"/>
    <w:rsid w:val="00A16DAE"/>
    <w:rsid w:val="00A16FA6"/>
    <w:rsid w:val="00A177D4"/>
    <w:rsid w:val="00A17BF4"/>
    <w:rsid w:val="00A200EE"/>
    <w:rsid w:val="00A21518"/>
    <w:rsid w:val="00A216A1"/>
    <w:rsid w:val="00A2314D"/>
    <w:rsid w:val="00A231BD"/>
    <w:rsid w:val="00A237A0"/>
    <w:rsid w:val="00A24A58"/>
    <w:rsid w:val="00A24AB6"/>
    <w:rsid w:val="00A24C3C"/>
    <w:rsid w:val="00A25CA8"/>
    <w:rsid w:val="00A25DFC"/>
    <w:rsid w:val="00A27B58"/>
    <w:rsid w:val="00A33AF8"/>
    <w:rsid w:val="00A3725C"/>
    <w:rsid w:val="00A409F3"/>
    <w:rsid w:val="00A43D41"/>
    <w:rsid w:val="00A4474D"/>
    <w:rsid w:val="00A44B24"/>
    <w:rsid w:val="00A5012C"/>
    <w:rsid w:val="00A509C1"/>
    <w:rsid w:val="00A51A8C"/>
    <w:rsid w:val="00A51C48"/>
    <w:rsid w:val="00A564BD"/>
    <w:rsid w:val="00A56616"/>
    <w:rsid w:val="00A6013A"/>
    <w:rsid w:val="00A6037E"/>
    <w:rsid w:val="00A60653"/>
    <w:rsid w:val="00A60902"/>
    <w:rsid w:val="00A61061"/>
    <w:rsid w:val="00A62C1D"/>
    <w:rsid w:val="00A640D5"/>
    <w:rsid w:val="00A64780"/>
    <w:rsid w:val="00A65161"/>
    <w:rsid w:val="00A6519D"/>
    <w:rsid w:val="00A67AD1"/>
    <w:rsid w:val="00A67EC5"/>
    <w:rsid w:val="00A70BE8"/>
    <w:rsid w:val="00A71154"/>
    <w:rsid w:val="00A75C5A"/>
    <w:rsid w:val="00A76054"/>
    <w:rsid w:val="00A760F1"/>
    <w:rsid w:val="00A766C4"/>
    <w:rsid w:val="00A76930"/>
    <w:rsid w:val="00A77778"/>
    <w:rsid w:val="00A77B03"/>
    <w:rsid w:val="00A77C8C"/>
    <w:rsid w:val="00A8113C"/>
    <w:rsid w:val="00A82D4A"/>
    <w:rsid w:val="00A82E85"/>
    <w:rsid w:val="00A856BF"/>
    <w:rsid w:val="00A85BA4"/>
    <w:rsid w:val="00A85E77"/>
    <w:rsid w:val="00A873FD"/>
    <w:rsid w:val="00A87635"/>
    <w:rsid w:val="00A8764F"/>
    <w:rsid w:val="00A91C76"/>
    <w:rsid w:val="00A92C90"/>
    <w:rsid w:val="00A936FB"/>
    <w:rsid w:val="00A93B77"/>
    <w:rsid w:val="00A96B92"/>
    <w:rsid w:val="00A96EDA"/>
    <w:rsid w:val="00AA2AFC"/>
    <w:rsid w:val="00AA3232"/>
    <w:rsid w:val="00AA44E3"/>
    <w:rsid w:val="00AA46D2"/>
    <w:rsid w:val="00AA47D2"/>
    <w:rsid w:val="00AA67F4"/>
    <w:rsid w:val="00AA6E39"/>
    <w:rsid w:val="00AA7C62"/>
    <w:rsid w:val="00AB0F36"/>
    <w:rsid w:val="00AB346D"/>
    <w:rsid w:val="00AB35C8"/>
    <w:rsid w:val="00AB688D"/>
    <w:rsid w:val="00AB6AD2"/>
    <w:rsid w:val="00AB73E7"/>
    <w:rsid w:val="00AB75FE"/>
    <w:rsid w:val="00AC012D"/>
    <w:rsid w:val="00AC082E"/>
    <w:rsid w:val="00AC0F7A"/>
    <w:rsid w:val="00AC3A8B"/>
    <w:rsid w:val="00AC3F74"/>
    <w:rsid w:val="00AC406E"/>
    <w:rsid w:val="00AC4A08"/>
    <w:rsid w:val="00AC4B93"/>
    <w:rsid w:val="00AC6131"/>
    <w:rsid w:val="00AC7837"/>
    <w:rsid w:val="00AD1159"/>
    <w:rsid w:val="00AD2681"/>
    <w:rsid w:val="00AD3B24"/>
    <w:rsid w:val="00AD3F40"/>
    <w:rsid w:val="00AD4435"/>
    <w:rsid w:val="00AD7884"/>
    <w:rsid w:val="00AD7FE4"/>
    <w:rsid w:val="00AE0BD4"/>
    <w:rsid w:val="00AE4100"/>
    <w:rsid w:val="00AE53BD"/>
    <w:rsid w:val="00AF0279"/>
    <w:rsid w:val="00AF0950"/>
    <w:rsid w:val="00AF1F5F"/>
    <w:rsid w:val="00AF4042"/>
    <w:rsid w:val="00AF4D29"/>
    <w:rsid w:val="00AF51DD"/>
    <w:rsid w:val="00AF56C5"/>
    <w:rsid w:val="00AF6DAE"/>
    <w:rsid w:val="00AF722C"/>
    <w:rsid w:val="00AF7FD9"/>
    <w:rsid w:val="00B00128"/>
    <w:rsid w:val="00B00310"/>
    <w:rsid w:val="00B003A4"/>
    <w:rsid w:val="00B0207E"/>
    <w:rsid w:val="00B0297F"/>
    <w:rsid w:val="00B03BF6"/>
    <w:rsid w:val="00B0410B"/>
    <w:rsid w:val="00B04844"/>
    <w:rsid w:val="00B04B26"/>
    <w:rsid w:val="00B0525D"/>
    <w:rsid w:val="00B059D5"/>
    <w:rsid w:val="00B05A93"/>
    <w:rsid w:val="00B05AAF"/>
    <w:rsid w:val="00B05B3F"/>
    <w:rsid w:val="00B0767B"/>
    <w:rsid w:val="00B07837"/>
    <w:rsid w:val="00B114E9"/>
    <w:rsid w:val="00B125E6"/>
    <w:rsid w:val="00B12812"/>
    <w:rsid w:val="00B12B89"/>
    <w:rsid w:val="00B14456"/>
    <w:rsid w:val="00B15F8F"/>
    <w:rsid w:val="00B20590"/>
    <w:rsid w:val="00B2446D"/>
    <w:rsid w:val="00B25B47"/>
    <w:rsid w:val="00B277AF"/>
    <w:rsid w:val="00B311E2"/>
    <w:rsid w:val="00B32537"/>
    <w:rsid w:val="00B333AC"/>
    <w:rsid w:val="00B35B94"/>
    <w:rsid w:val="00B35E8D"/>
    <w:rsid w:val="00B36ED0"/>
    <w:rsid w:val="00B42A94"/>
    <w:rsid w:val="00B44B6A"/>
    <w:rsid w:val="00B44EBA"/>
    <w:rsid w:val="00B5023E"/>
    <w:rsid w:val="00B5064D"/>
    <w:rsid w:val="00B50DE4"/>
    <w:rsid w:val="00B50E46"/>
    <w:rsid w:val="00B51FEE"/>
    <w:rsid w:val="00B55569"/>
    <w:rsid w:val="00B566E9"/>
    <w:rsid w:val="00B56D8E"/>
    <w:rsid w:val="00B57487"/>
    <w:rsid w:val="00B57C9C"/>
    <w:rsid w:val="00B6296B"/>
    <w:rsid w:val="00B62A00"/>
    <w:rsid w:val="00B632AE"/>
    <w:rsid w:val="00B63E6D"/>
    <w:rsid w:val="00B653DA"/>
    <w:rsid w:val="00B67C3E"/>
    <w:rsid w:val="00B7016D"/>
    <w:rsid w:val="00B72108"/>
    <w:rsid w:val="00B72503"/>
    <w:rsid w:val="00B72974"/>
    <w:rsid w:val="00B72E34"/>
    <w:rsid w:val="00B73530"/>
    <w:rsid w:val="00B760CF"/>
    <w:rsid w:val="00B762D4"/>
    <w:rsid w:val="00B7757A"/>
    <w:rsid w:val="00B80CBD"/>
    <w:rsid w:val="00B811AC"/>
    <w:rsid w:val="00B83BDC"/>
    <w:rsid w:val="00B85FE0"/>
    <w:rsid w:val="00B867D8"/>
    <w:rsid w:val="00B86EAD"/>
    <w:rsid w:val="00B87BA1"/>
    <w:rsid w:val="00B94E3A"/>
    <w:rsid w:val="00B960BF"/>
    <w:rsid w:val="00B9754A"/>
    <w:rsid w:val="00BA0042"/>
    <w:rsid w:val="00BA0D58"/>
    <w:rsid w:val="00BA2B0E"/>
    <w:rsid w:val="00BA35DD"/>
    <w:rsid w:val="00BA438D"/>
    <w:rsid w:val="00BA4E17"/>
    <w:rsid w:val="00BA6EF8"/>
    <w:rsid w:val="00BA6F9E"/>
    <w:rsid w:val="00BA7D71"/>
    <w:rsid w:val="00BA7E01"/>
    <w:rsid w:val="00BB005D"/>
    <w:rsid w:val="00BB07DD"/>
    <w:rsid w:val="00BB0A66"/>
    <w:rsid w:val="00BB2720"/>
    <w:rsid w:val="00BB2F15"/>
    <w:rsid w:val="00BB312C"/>
    <w:rsid w:val="00BB48F6"/>
    <w:rsid w:val="00BB4AE1"/>
    <w:rsid w:val="00BB5C0D"/>
    <w:rsid w:val="00BB5F1E"/>
    <w:rsid w:val="00BB7CAB"/>
    <w:rsid w:val="00BC29F8"/>
    <w:rsid w:val="00BC4FEF"/>
    <w:rsid w:val="00BC5517"/>
    <w:rsid w:val="00BC6A43"/>
    <w:rsid w:val="00BC6CBD"/>
    <w:rsid w:val="00BD1698"/>
    <w:rsid w:val="00BD44A0"/>
    <w:rsid w:val="00BE092F"/>
    <w:rsid w:val="00BE114D"/>
    <w:rsid w:val="00BE117D"/>
    <w:rsid w:val="00BE1685"/>
    <w:rsid w:val="00BE2C2A"/>
    <w:rsid w:val="00BE33DD"/>
    <w:rsid w:val="00BE3AEF"/>
    <w:rsid w:val="00BE4448"/>
    <w:rsid w:val="00BE4A7B"/>
    <w:rsid w:val="00BF2477"/>
    <w:rsid w:val="00BF2C50"/>
    <w:rsid w:val="00BF2DAA"/>
    <w:rsid w:val="00BF3053"/>
    <w:rsid w:val="00BF4005"/>
    <w:rsid w:val="00BF5330"/>
    <w:rsid w:val="00BF7F4D"/>
    <w:rsid w:val="00C002B0"/>
    <w:rsid w:val="00C0333C"/>
    <w:rsid w:val="00C03527"/>
    <w:rsid w:val="00C03CB8"/>
    <w:rsid w:val="00C04787"/>
    <w:rsid w:val="00C05DA1"/>
    <w:rsid w:val="00C0654E"/>
    <w:rsid w:val="00C07E6C"/>
    <w:rsid w:val="00C07FBC"/>
    <w:rsid w:val="00C10FEB"/>
    <w:rsid w:val="00C1135C"/>
    <w:rsid w:val="00C113E2"/>
    <w:rsid w:val="00C122A8"/>
    <w:rsid w:val="00C13B08"/>
    <w:rsid w:val="00C1419E"/>
    <w:rsid w:val="00C1591F"/>
    <w:rsid w:val="00C16426"/>
    <w:rsid w:val="00C16ED6"/>
    <w:rsid w:val="00C226C9"/>
    <w:rsid w:val="00C312AE"/>
    <w:rsid w:val="00C404A3"/>
    <w:rsid w:val="00C413E8"/>
    <w:rsid w:val="00C414B9"/>
    <w:rsid w:val="00C41E54"/>
    <w:rsid w:val="00C42BEB"/>
    <w:rsid w:val="00C449DC"/>
    <w:rsid w:val="00C47AF4"/>
    <w:rsid w:val="00C503A5"/>
    <w:rsid w:val="00C5063B"/>
    <w:rsid w:val="00C51B8F"/>
    <w:rsid w:val="00C53E1B"/>
    <w:rsid w:val="00C5484F"/>
    <w:rsid w:val="00C551F9"/>
    <w:rsid w:val="00C5564D"/>
    <w:rsid w:val="00C6107A"/>
    <w:rsid w:val="00C62D1F"/>
    <w:rsid w:val="00C632CD"/>
    <w:rsid w:val="00C63720"/>
    <w:rsid w:val="00C63CE7"/>
    <w:rsid w:val="00C654F9"/>
    <w:rsid w:val="00C65934"/>
    <w:rsid w:val="00C66735"/>
    <w:rsid w:val="00C67DFD"/>
    <w:rsid w:val="00C721C3"/>
    <w:rsid w:val="00C721F8"/>
    <w:rsid w:val="00C72256"/>
    <w:rsid w:val="00C72615"/>
    <w:rsid w:val="00C73052"/>
    <w:rsid w:val="00C817CF"/>
    <w:rsid w:val="00C819A8"/>
    <w:rsid w:val="00C81D9D"/>
    <w:rsid w:val="00C84134"/>
    <w:rsid w:val="00C84B5E"/>
    <w:rsid w:val="00C85E4A"/>
    <w:rsid w:val="00C909E2"/>
    <w:rsid w:val="00C93274"/>
    <w:rsid w:val="00C93DAD"/>
    <w:rsid w:val="00C94229"/>
    <w:rsid w:val="00C94BE6"/>
    <w:rsid w:val="00C94DAC"/>
    <w:rsid w:val="00C9612D"/>
    <w:rsid w:val="00C97AD6"/>
    <w:rsid w:val="00CA0E56"/>
    <w:rsid w:val="00CA135C"/>
    <w:rsid w:val="00CA2A85"/>
    <w:rsid w:val="00CA4658"/>
    <w:rsid w:val="00CA4BAD"/>
    <w:rsid w:val="00CA522E"/>
    <w:rsid w:val="00CA594F"/>
    <w:rsid w:val="00CA688F"/>
    <w:rsid w:val="00CA7257"/>
    <w:rsid w:val="00CB0951"/>
    <w:rsid w:val="00CB0BE0"/>
    <w:rsid w:val="00CB1152"/>
    <w:rsid w:val="00CB2766"/>
    <w:rsid w:val="00CB3257"/>
    <w:rsid w:val="00CB3C65"/>
    <w:rsid w:val="00CB51C7"/>
    <w:rsid w:val="00CB54AB"/>
    <w:rsid w:val="00CB778D"/>
    <w:rsid w:val="00CB7E37"/>
    <w:rsid w:val="00CC0B98"/>
    <w:rsid w:val="00CC26A2"/>
    <w:rsid w:val="00CC33CB"/>
    <w:rsid w:val="00CC3504"/>
    <w:rsid w:val="00CC4BEB"/>
    <w:rsid w:val="00CC5573"/>
    <w:rsid w:val="00CC5D74"/>
    <w:rsid w:val="00CC6DBA"/>
    <w:rsid w:val="00CD00E1"/>
    <w:rsid w:val="00CD0C51"/>
    <w:rsid w:val="00CD0EA3"/>
    <w:rsid w:val="00CD1083"/>
    <w:rsid w:val="00CD2745"/>
    <w:rsid w:val="00CD38F7"/>
    <w:rsid w:val="00CD3C05"/>
    <w:rsid w:val="00CD4750"/>
    <w:rsid w:val="00CD5DCC"/>
    <w:rsid w:val="00CD7F18"/>
    <w:rsid w:val="00CE2E55"/>
    <w:rsid w:val="00CE35B7"/>
    <w:rsid w:val="00CE49AD"/>
    <w:rsid w:val="00CE4B22"/>
    <w:rsid w:val="00CE4E10"/>
    <w:rsid w:val="00CE578F"/>
    <w:rsid w:val="00CE5B19"/>
    <w:rsid w:val="00CE68B8"/>
    <w:rsid w:val="00CE7014"/>
    <w:rsid w:val="00CE79EE"/>
    <w:rsid w:val="00CE7F94"/>
    <w:rsid w:val="00CF1564"/>
    <w:rsid w:val="00CF21D5"/>
    <w:rsid w:val="00CF35FE"/>
    <w:rsid w:val="00CF626B"/>
    <w:rsid w:val="00CF62EE"/>
    <w:rsid w:val="00CF765E"/>
    <w:rsid w:val="00CF7D0A"/>
    <w:rsid w:val="00D0032D"/>
    <w:rsid w:val="00D0080A"/>
    <w:rsid w:val="00D02638"/>
    <w:rsid w:val="00D029B9"/>
    <w:rsid w:val="00D03369"/>
    <w:rsid w:val="00D0393D"/>
    <w:rsid w:val="00D04B6B"/>
    <w:rsid w:val="00D04C0F"/>
    <w:rsid w:val="00D0598D"/>
    <w:rsid w:val="00D05AF5"/>
    <w:rsid w:val="00D0688D"/>
    <w:rsid w:val="00D068F8"/>
    <w:rsid w:val="00D07712"/>
    <w:rsid w:val="00D10983"/>
    <w:rsid w:val="00D10FD8"/>
    <w:rsid w:val="00D14FDB"/>
    <w:rsid w:val="00D16060"/>
    <w:rsid w:val="00D17512"/>
    <w:rsid w:val="00D21E1E"/>
    <w:rsid w:val="00D21FF5"/>
    <w:rsid w:val="00D23FA1"/>
    <w:rsid w:val="00D267B5"/>
    <w:rsid w:val="00D267F5"/>
    <w:rsid w:val="00D30FDD"/>
    <w:rsid w:val="00D3401A"/>
    <w:rsid w:val="00D34D97"/>
    <w:rsid w:val="00D3650F"/>
    <w:rsid w:val="00D37891"/>
    <w:rsid w:val="00D40E6D"/>
    <w:rsid w:val="00D42793"/>
    <w:rsid w:val="00D44C8E"/>
    <w:rsid w:val="00D45089"/>
    <w:rsid w:val="00D4701E"/>
    <w:rsid w:val="00D471C1"/>
    <w:rsid w:val="00D508C1"/>
    <w:rsid w:val="00D50A07"/>
    <w:rsid w:val="00D52A23"/>
    <w:rsid w:val="00D54569"/>
    <w:rsid w:val="00D546A8"/>
    <w:rsid w:val="00D56C2C"/>
    <w:rsid w:val="00D57C05"/>
    <w:rsid w:val="00D63670"/>
    <w:rsid w:val="00D6384D"/>
    <w:rsid w:val="00D645F3"/>
    <w:rsid w:val="00D64750"/>
    <w:rsid w:val="00D64CA0"/>
    <w:rsid w:val="00D67481"/>
    <w:rsid w:val="00D678A5"/>
    <w:rsid w:val="00D705AB"/>
    <w:rsid w:val="00D71A60"/>
    <w:rsid w:val="00D71BDC"/>
    <w:rsid w:val="00D71E20"/>
    <w:rsid w:val="00D724A1"/>
    <w:rsid w:val="00D73CB5"/>
    <w:rsid w:val="00D80370"/>
    <w:rsid w:val="00D81431"/>
    <w:rsid w:val="00D81990"/>
    <w:rsid w:val="00D821B5"/>
    <w:rsid w:val="00D848DD"/>
    <w:rsid w:val="00D90092"/>
    <w:rsid w:val="00D90CBB"/>
    <w:rsid w:val="00D912CD"/>
    <w:rsid w:val="00D926E2"/>
    <w:rsid w:val="00D93CBF"/>
    <w:rsid w:val="00D940C1"/>
    <w:rsid w:val="00D97985"/>
    <w:rsid w:val="00DA0368"/>
    <w:rsid w:val="00DA1606"/>
    <w:rsid w:val="00DA1937"/>
    <w:rsid w:val="00DA1E77"/>
    <w:rsid w:val="00DA200F"/>
    <w:rsid w:val="00DA28D1"/>
    <w:rsid w:val="00DA70C9"/>
    <w:rsid w:val="00DB049A"/>
    <w:rsid w:val="00DB4B12"/>
    <w:rsid w:val="00DB5B71"/>
    <w:rsid w:val="00DB6572"/>
    <w:rsid w:val="00DB773F"/>
    <w:rsid w:val="00DB7E91"/>
    <w:rsid w:val="00DC123A"/>
    <w:rsid w:val="00DC1E0D"/>
    <w:rsid w:val="00DC3167"/>
    <w:rsid w:val="00DC4072"/>
    <w:rsid w:val="00DD0AEF"/>
    <w:rsid w:val="00DD0DFB"/>
    <w:rsid w:val="00DD36C1"/>
    <w:rsid w:val="00DD41B2"/>
    <w:rsid w:val="00DD5D07"/>
    <w:rsid w:val="00DD6132"/>
    <w:rsid w:val="00DD6E5F"/>
    <w:rsid w:val="00DD7D74"/>
    <w:rsid w:val="00DE1DE4"/>
    <w:rsid w:val="00DE229C"/>
    <w:rsid w:val="00DE2732"/>
    <w:rsid w:val="00DE35B8"/>
    <w:rsid w:val="00DE3F53"/>
    <w:rsid w:val="00DE5DEC"/>
    <w:rsid w:val="00DE716C"/>
    <w:rsid w:val="00DF0708"/>
    <w:rsid w:val="00DF1155"/>
    <w:rsid w:val="00DF28C3"/>
    <w:rsid w:val="00DF2B9F"/>
    <w:rsid w:val="00DF48FF"/>
    <w:rsid w:val="00DF52B5"/>
    <w:rsid w:val="00DF74CC"/>
    <w:rsid w:val="00E0108B"/>
    <w:rsid w:val="00E01F01"/>
    <w:rsid w:val="00E022B7"/>
    <w:rsid w:val="00E0553F"/>
    <w:rsid w:val="00E061C3"/>
    <w:rsid w:val="00E07586"/>
    <w:rsid w:val="00E075F9"/>
    <w:rsid w:val="00E07654"/>
    <w:rsid w:val="00E0779F"/>
    <w:rsid w:val="00E10072"/>
    <w:rsid w:val="00E1067F"/>
    <w:rsid w:val="00E109CD"/>
    <w:rsid w:val="00E112B6"/>
    <w:rsid w:val="00E13500"/>
    <w:rsid w:val="00E137D5"/>
    <w:rsid w:val="00E154CF"/>
    <w:rsid w:val="00E15AB3"/>
    <w:rsid w:val="00E15D6E"/>
    <w:rsid w:val="00E16229"/>
    <w:rsid w:val="00E2194C"/>
    <w:rsid w:val="00E23693"/>
    <w:rsid w:val="00E2541A"/>
    <w:rsid w:val="00E254E6"/>
    <w:rsid w:val="00E26555"/>
    <w:rsid w:val="00E2670E"/>
    <w:rsid w:val="00E2741D"/>
    <w:rsid w:val="00E275E4"/>
    <w:rsid w:val="00E27CD1"/>
    <w:rsid w:val="00E308C0"/>
    <w:rsid w:val="00E309EA"/>
    <w:rsid w:val="00E320B5"/>
    <w:rsid w:val="00E32509"/>
    <w:rsid w:val="00E32822"/>
    <w:rsid w:val="00E33268"/>
    <w:rsid w:val="00E37132"/>
    <w:rsid w:val="00E371B3"/>
    <w:rsid w:val="00E408A8"/>
    <w:rsid w:val="00E41317"/>
    <w:rsid w:val="00E42DB3"/>
    <w:rsid w:val="00E43B9F"/>
    <w:rsid w:val="00E44EDB"/>
    <w:rsid w:val="00E44F01"/>
    <w:rsid w:val="00E52393"/>
    <w:rsid w:val="00E54321"/>
    <w:rsid w:val="00E54751"/>
    <w:rsid w:val="00E550E7"/>
    <w:rsid w:val="00E55ED0"/>
    <w:rsid w:val="00E56743"/>
    <w:rsid w:val="00E575AE"/>
    <w:rsid w:val="00E60457"/>
    <w:rsid w:val="00E62208"/>
    <w:rsid w:val="00E6248A"/>
    <w:rsid w:val="00E63021"/>
    <w:rsid w:val="00E63831"/>
    <w:rsid w:val="00E675BF"/>
    <w:rsid w:val="00E678F6"/>
    <w:rsid w:val="00E72395"/>
    <w:rsid w:val="00E735E1"/>
    <w:rsid w:val="00E742BD"/>
    <w:rsid w:val="00E744BE"/>
    <w:rsid w:val="00E7484C"/>
    <w:rsid w:val="00E758CC"/>
    <w:rsid w:val="00E76033"/>
    <w:rsid w:val="00E7788D"/>
    <w:rsid w:val="00E81209"/>
    <w:rsid w:val="00E816E9"/>
    <w:rsid w:val="00E81B18"/>
    <w:rsid w:val="00E82290"/>
    <w:rsid w:val="00E82D5F"/>
    <w:rsid w:val="00E852E1"/>
    <w:rsid w:val="00E85F30"/>
    <w:rsid w:val="00E87BF7"/>
    <w:rsid w:val="00E90829"/>
    <w:rsid w:val="00E91889"/>
    <w:rsid w:val="00E921F7"/>
    <w:rsid w:val="00E95D44"/>
    <w:rsid w:val="00E9656F"/>
    <w:rsid w:val="00E96640"/>
    <w:rsid w:val="00E9669D"/>
    <w:rsid w:val="00E976D8"/>
    <w:rsid w:val="00EA0880"/>
    <w:rsid w:val="00EA1870"/>
    <w:rsid w:val="00EA1899"/>
    <w:rsid w:val="00EA2C95"/>
    <w:rsid w:val="00EA3AB4"/>
    <w:rsid w:val="00EA42A3"/>
    <w:rsid w:val="00EA72B7"/>
    <w:rsid w:val="00EA7830"/>
    <w:rsid w:val="00EB0E20"/>
    <w:rsid w:val="00EB187F"/>
    <w:rsid w:val="00EB3654"/>
    <w:rsid w:val="00EB418E"/>
    <w:rsid w:val="00EB4C56"/>
    <w:rsid w:val="00EB4D33"/>
    <w:rsid w:val="00EB645A"/>
    <w:rsid w:val="00EC09F9"/>
    <w:rsid w:val="00EC0A28"/>
    <w:rsid w:val="00EC0DCA"/>
    <w:rsid w:val="00EC13E4"/>
    <w:rsid w:val="00EC2AD3"/>
    <w:rsid w:val="00EC2CBA"/>
    <w:rsid w:val="00EC2CCB"/>
    <w:rsid w:val="00EC3E43"/>
    <w:rsid w:val="00EC71E0"/>
    <w:rsid w:val="00ED1066"/>
    <w:rsid w:val="00ED1819"/>
    <w:rsid w:val="00ED1FE8"/>
    <w:rsid w:val="00ED2680"/>
    <w:rsid w:val="00ED364C"/>
    <w:rsid w:val="00ED51FC"/>
    <w:rsid w:val="00ED5D37"/>
    <w:rsid w:val="00ED6AD8"/>
    <w:rsid w:val="00EE02F4"/>
    <w:rsid w:val="00EE1400"/>
    <w:rsid w:val="00EE18A7"/>
    <w:rsid w:val="00EE1E27"/>
    <w:rsid w:val="00EE31CB"/>
    <w:rsid w:val="00EE53B9"/>
    <w:rsid w:val="00EE5ED8"/>
    <w:rsid w:val="00EE63A7"/>
    <w:rsid w:val="00EE7690"/>
    <w:rsid w:val="00EF0322"/>
    <w:rsid w:val="00EF0DE5"/>
    <w:rsid w:val="00EF1FAC"/>
    <w:rsid w:val="00EF21EF"/>
    <w:rsid w:val="00EF2613"/>
    <w:rsid w:val="00EF4215"/>
    <w:rsid w:val="00EF4C57"/>
    <w:rsid w:val="00EF5551"/>
    <w:rsid w:val="00EF6D08"/>
    <w:rsid w:val="00EF71BB"/>
    <w:rsid w:val="00F02E8B"/>
    <w:rsid w:val="00F051F0"/>
    <w:rsid w:val="00F0533E"/>
    <w:rsid w:val="00F056FD"/>
    <w:rsid w:val="00F06BA0"/>
    <w:rsid w:val="00F07157"/>
    <w:rsid w:val="00F07202"/>
    <w:rsid w:val="00F07232"/>
    <w:rsid w:val="00F10192"/>
    <w:rsid w:val="00F1037B"/>
    <w:rsid w:val="00F127EA"/>
    <w:rsid w:val="00F12B21"/>
    <w:rsid w:val="00F13DA0"/>
    <w:rsid w:val="00F15EAF"/>
    <w:rsid w:val="00F15FD9"/>
    <w:rsid w:val="00F169BF"/>
    <w:rsid w:val="00F203C8"/>
    <w:rsid w:val="00F20E56"/>
    <w:rsid w:val="00F2116F"/>
    <w:rsid w:val="00F21F6E"/>
    <w:rsid w:val="00F24FCD"/>
    <w:rsid w:val="00F2778F"/>
    <w:rsid w:val="00F27FB4"/>
    <w:rsid w:val="00F30470"/>
    <w:rsid w:val="00F307CB"/>
    <w:rsid w:val="00F31F2E"/>
    <w:rsid w:val="00F32AF6"/>
    <w:rsid w:val="00F32D61"/>
    <w:rsid w:val="00F339AF"/>
    <w:rsid w:val="00F343F7"/>
    <w:rsid w:val="00F34EEC"/>
    <w:rsid w:val="00F35645"/>
    <w:rsid w:val="00F361AF"/>
    <w:rsid w:val="00F375B2"/>
    <w:rsid w:val="00F403B6"/>
    <w:rsid w:val="00F40448"/>
    <w:rsid w:val="00F4173B"/>
    <w:rsid w:val="00F42574"/>
    <w:rsid w:val="00F42C0F"/>
    <w:rsid w:val="00F439B2"/>
    <w:rsid w:val="00F44D57"/>
    <w:rsid w:val="00F4593F"/>
    <w:rsid w:val="00F464B8"/>
    <w:rsid w:val="00F505AD"/>
    <w:rsid w:val="00F51D4C"/>
    <w:rsid w:val="00F51DDF"/>
    <w:rsid w:val="00F51E82"/>
    <w:rsid w:val="00F52697"/>
    <w:rsid w:val="00F529CE"/>
    <w:rsid w:val="00F52B32"/>
    <w:rsid w:val="00F52C3B"/>
    <w:rsid w:val="00F5459F"/>
    <w:rsid w:val="00F55CF2"/>
    <w:rsid w:val="00F57541"/>
    <w:rsid w:val="00F57667"/>
    <w:rsid w:val="00F60B70"/>
    <w:rsid w:val="00F60F7A"/>
    <w:rsid w:val="00F63873"/>
    <w:rsid w:val="00F63876"/>
    <w:rsid w:val="00F63F96"/>
    <w:rsid w:val="00F64067"/>
    <w:rsid w:val="00F64DEF"/>
    <w:rsid w:val="00F6530A"/>
    <w:rsid w:val="00F653D8"/>
    <w:rsid w:val="00F655FC"/>
    <w:rsid w:val="00F65758"/>
    <w:rsid w:val="00F66B58"/>
    <w:rsid w:val="00F70F53"/>
    <w:rsid w:val="00F71213"/>
    <w:rsid w:val="00F7261B"/>
    <w:rsid w:val="00F737CD"/>
    <w:rsid w:val="00F740B0"/>
    <w:rsid w:val="00F75660"/>
    <w:rsid w:val="00F75C5D"/>
    <w:rsid w:val="00F760E0"/>
    <w:rsid w:val="00F76A3E"/>
    <w:rsid w:val="00F770C3"/>
    <w:rsid w:val="00F77980"/>
    <w:rsid w:val="00F81BC3"/>
    <w:rsid w:val="00F82FC3"/>
    <w:rsid w:val="00F83CB6"/>
    <w:rsid w:val="00F84317"/>
    <w:rsid w:val="00F852DD"/>
    <w:rsid w:val="00F861B5"/>
    <w:rsid w:val="00F87A39"/>
    <w:rsid w:val="00F9054D"/>
    <w:rsid w:val="00F91518"/>
    <w:rsid w:val="00F937CE"/>
    <w:rsid w:val="00F93CF4"/>
    <w:rsid w:val="00F975D8"/>
    <w:rsid w:val="00F977A0"/>
    <w:rsid w:val="00F97826"/>
    <w:rsid w:val="00FA004C"/>
    <w:rsid w:val="00FA0295"/>
    <w:rsid w:val="00FA04F9"/>
    <w:rsid w:val="00FA0B29"/>
    <w:rsid w:val="00FA27C2"/>
    <w:rsid w:val="00FA315E"/>
    <w:rsid w:val="00FA3A6E"/>
    <w:rsid w:val="00FA464A"/>
    <w:rsid w:val="00FA55A0"/>
    <w:rsid w:val="00FA5B67"/>
    <w:rsid w:val="00FA630A"/>
    <w:rsid w:val="00FA6946"/>
    <w:rsid w:val="00FA6AD3"/>
    <w:rsid w:val="00FB0B10"/>
    <w:rsid w:val="00FB1D1D"/>
    <w:rsid w:val="00FB2856"/>
    <w:rsid w:val="00FB29F8"/>
    <w:rsid w:val="00FB3352"/>
    <w:rsid w:val="00FB3B34"/>
    <w:rsid w:val="00FB3B77"/>
    <w:rsid w:val="00FB7DBA"/>
    <w:rsid w:val="00FB7F51"/>
    <w:rsid w:val="00FC0D01"/>
    <w:rsid w:val="00FC2519"/>
    <w:rsid w:val="00FC446C"/>
    <w:rsid w:val="00FC49B9"/>
    <w:rsid w:val="00FC533E"/>
    <w:rsid w:val="00FC6E09"/>
    <w:rsid w:val="00FD0893"/>
    <w:rsid w:val="00FD1723"/>
    <w:rsid w:val="00FD3381"/>
    <w:rsid w:val="00FD365A"/>
    <w:rsid w:val="00FD7BD7"/>
    <w:rsid w:val="00FE0F54"/>
    <w:rsid w:val="00FE0F81"/>
    <w:rsid w:val="00FE29C8"/>
    <w:rsid w:val="00FE355D"/>
    <w:rsid w:val="00FE3996"/>
    <w:rsid w:val="00FE3F2F"/>
    <w:rsid w:val="00FE4808"/>
    <w:rsid w:val="00FE7944"/>
    <w:rsid w:val="00FF033A"/>
    <w:rsid w:val="00FF052A"/>
    <w:rsid w:val="00FF3284"/>
    <w:rsid w:val="00FF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0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E17"/>
    <w:pPr>
      <w:spacing w:after="0" w:line="288" w:lineRule="auto"/>
    </w:pPr>
    <w:rPr>
      <w:rFonts w:ascii="Arial" w:eastAsia="Calibri" w:hAnsi="Arial" w:cs="Times New Roman"/>
      <w:sz w:val="20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A4E17"/>
    <w:pPr>
      <w:keepNext/>
      <w:keepLines/>
      <w:spacing w:line="288" w:lineRule="auto"/>
      <w:outlineLvl w:val="0"/>
    </w:pPr>
    <w:rPr>
      <w:rFonts w:ascii="Arial" w:eastAsia="MS Gothic" w:hAnsi="Arial" w:cs="Times New Roman"/>
      <w:b/>
      <w:bCs/>
      <w:color w:val="71818C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85FE0"/>
    <w:pPr>
      <w:keepNext/>
      <w:keepLines/>
      <w:spacing w:after="0" w:line="288" w:lineRule="auto"/>
      <w:outlineLvl w:val="1"/>
    </w:pPr>
    <w:rPr>
      <w:rFonts w:ascii="Arial" w:eastAsia="MS Gothic" w:hAnsi="Arial" w:cs="Times New Roman"/>
      <w:b/>
      <w:bCs/>
      <w:color w:val="71818C"/>
      <w:sz w:val="28"/>
      <w:szCs w:val="26"/>
      <w:lang w:eastAsia="cs-CZ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003A4"/>
    <w:pPr>
      <w:numPr>
        <w:ilvl w:val="2"/>
        <w:numId w:val="2"/>
      </w:numPr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E17"/>
    <w:rPr>
      <w:rFonts w:ascii="Arial" w:eastAsia="MS Gothic" w:hAnsi="Arial" w:cs="Times New Roman"/>
      <w:b/>
      <w:bCs/>
      <w:color w:val="71818C"/>
      <w:sz w:val="32"/>
      <w:szCs w:val="28"/>
      <w:lang w:eastAsia="cs-CZ"/>
    </w:rPr>
  </w:style>
  <w:style w:type="paragraph" w:styleId="Zhlav">
    <w:name w:val="header"/>
    <w:basedOn w:val="Normln"/>
    <w:link w:val="ZhlavChar"/>
    <w:unhideWhenUsed/>
    <w:rsid w:val="00BA4E17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BA4E1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A4E17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4E17"/>
    <w:rPr>
      <w:rFonts w:ascii="Calibri" w:eastAsia="Calibri" w:hAnsi="Calibri" w:cs="Times New Roman"/>
    </w:rPr>
  </w:style>
  <w:style w:type="paragraph" w:styleId="Textpoznpodarou">
    <w:name w:val="footnote text"/>
    <w:aliases w:val="Text pozn. pod čarou_martin_ang"/>
    <w:basedOn w:val="Normln"/>
    <w:link w:val="TextpoznpodarouChar"/>
    <w:rsid w:val="00BA4E17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rsid w:val="00BA4E17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rsid w:val="00BA4E17"/>
    <w:rPr>
      <w:vertAlign w:val="superscript"/>
    </w:rPr>
  </w:style>
  <w:style w:type="table" w:styleId="Mkatabulky">
    <w:name w:val="Table Grid"/>
    <w:basedOn w:val="Normlntabulka"/>
    <w:uiPriority w:val="59"/>
    <w:rsid w:val="00BA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BA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4E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4E17"/>
    <w:rPr>
      <w:rFonts w:ascii="Tahoma" w:eastAsia="Calibri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85FE0"/>
    <w:rPr>
      <w:rFonts w:ascii="Arial" w:eastAsia="MS Gothic" w:hAnsi="Arial" w:cs="Times New Roman"/>
      <w:b/>
      <w:bCs/>
      <w:color w:val="71818C"/>
      <w:sz w:val="28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605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43BEE"/>
    <w:rPr>
      <w:color w:val="800080" w:themeColor="followedHyperlink"/>
      <w:u w:val="single"/>
    </w:rPr>
  </w:style>
  <w:style w:type="paragraph" w:customStyle="1" w:styleId="Styl1">
    <w:name w:val="Styl1"/>
    <w:rsid w:val="0028442C"/>
    <w:pPr>
      <w:suppressAutoHyphens/>
      <w:autoSpaceDE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Zkladnodstavec">
    <w:name w:val="[Základní odstavec]"/>
    <w:basedOn w:val="Normln"/>
    <w:link w:val="ZkladnodstavecChar"/>
    <w:uiPriority w:val="99"/>
    <w:rsid w:val="0028442C"/>
    <w:pPr>
      <w:autoSpaceDE w:val="0"/>
      <w:autoSpaceDN w:val="0"/>
      <w:adjustRightInd w:val="0"/>
      <w:textAlignment w:val="center"/>
    </w:pPr>
    <w:rPr>
      <w:rFonts w:ascii="Minion Pro" w:hAnsi="Minion Pro"/>
      <w:color w:val="000000"/>
      <w:sz w:val="24"/>
      <w:szCs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28442C"/>
    <w:pPr>
      <w:numPr>
        <w:ilvl w:val="1"/>
      </w:numPr>
    </w:pPr>
    <w:rPr>
      <w:rFonts w:eastAsia="MS Gothic"/>
      <w:b/>
      <w:iCs/>
      <w:color w:val="71818C"/>
      <w:sz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8442C"/>
    <w:rPr>
      <w:rFonts w:ascii="Arial" w:eastAsia="MS Gothic" w:hAnsi="Arial" w:cs="Times New Roman"/>
      <w:b/>
      <w:iCs/>
      <w:color w:val="71818C"/>
      <w:sz w:val="28"/>
      <w:szCs w:val="24"/>
      <w:lang w:eastAsia="cs-CZ"/>
    </w:rPr>
  </w:style>
  <w:style w:type="paragraph" w:customStyle="1" w:styleId="TL-Kontakty">
    <w:name w:val="TL - Kontakty"/>
    <w:next w:val="Normln"/>
    <w:link w:val="TL-KontaktyChar"/>
    <w:qFormat/>
    <w:rsid w:val="0028442C"/>
    <w:pPr>
      <w:spacing w:after="80" w:line="240" w:lineRule="auto"/>
    </w:pPr>
    <w:rPr>
      <w:rFonts w:ascii="Arial" w:eastAsia="Calibri" w:hAnsi="Arial" w:cs="Times New Roman"/>
      <w:b/>
      <w:caps/>
      <w:color w:val="BD1B21"/>
      <w:lang w:eastAsia="cs-CZ"/>
    </w:rPr>
  </w:style>
  <w:style w:type="character" w:customStyle="1" w:styleId="ZkladnodstavecChar">
    <w:name w:val="[Základní odstavec] Char"/>
    <w:link w:val="Zkladnodstavec"/>
    <w:uiPriority w:val="99"/>
    <w:locked/>
    <w:rsid w:val="0028442C"/>
    <w:rPr>
      <w:rFonts w:ascii="Minion Pro" w:eastAsia="Calibri" w:hAnsi="Minion Pro" w:cs="Times New Roman"/>
      <w:color w:val="000000"/>
      <w:sz w:val="24"/>
      <w:szCs w:val="20"/>
      <w:lang w:eastAsia="cs-CZ"/>
    </w:rPr>
  </w:style>
  <w:style w:type="character" w:customStyle="1" w:styleId="TL-KontaktyChar">
    <w:name w:val="TL - Kontakty Char"/>
    <w:link w:val="TL-Kontakty"/>
    <w:locked/>
    <w:rsid w:val="0028442C"/>
    <w:rPr>
      <w:rFonts w:ascii="Arial" w:eastAsia="Calibri" w:hAnsi="Arial" w:cs="Times New Roman"/>
      <w:b/>
      <w:caps/>
      <w:color w:val="BD1B21"/>
      <w:lang w:eastAsia="cs-CZ"/>
    </w:rPr>
  </w:style>
  <w:style w:type="paragraph" w:customStyle="1" w:styleId="TL-identifikace-sted">
    <w:name w:val="TL - identifikace - střed"/>
    <w:basedOn w:val="Normln"/>
    <w:link w:val="TL-identifikace-stedChar"/>
    <w:qFormat/>
    <w:rsid w:val="0028442C"/>
    <w:pPr>
      <w:spacing w:after="200"/>
    </w:pPr>
    <w:rPr>
      <w:sz w:val="24"/>
      <w:szCs w:val="20"/>
    </w:rPr>
  </w:style>
  <w:style w:type="paragraph" w:customStyle="1" w:styleId="TL-Identifikace-dole">
    <w:name w:val="TL - Identifikace - dole"/>
    <w:basedOn w:val="Normln"/>
    <w:link w:val="TL-Identifikace-doleChar"/>
    <w:qFormat/>
    <w:rsid w:val="0028442C"/>
    <w:pPr>
      <w:spacing w:after="200"/>
    </w:pPr>
    <w:rPr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locked/>
    <w:rsid w:val="0028442C"/>
    <w:rPr>
      <w:rFonts w:ascii="Arial" w:eastAsia="Calibri" w:hAnsi="Arial" w:cs="Times New Roman"/>
      <w:sz w:val="24"/>
      <w:szCs w:val="20"/>
      <w:lang w:eastAsia="cs-CZ"/>
    </w:rPr>
  </w:style>
  <w:style w:type="character" w:customStyle="1" w:styleId="TL-Identifikace-doleChar">
    <w:name w:val="TL - Identifikace - dole Char"/>
    <w:link w:val="TL-Identifikace-dole"/>
    <w:locked/>
    <w:rsid w:val="0028442C"/>
    <w:rPr>
      <w:rFonts w:ascii="Arial" w:eastAsia="Calibri" w:hAnsi="Arial" w:cs="Times New Roman"/>
      <w:sz w:val="20"/>
      <w:szCs w:val="20"/>
      <w:lang w:eastAsia="ar-SA"/>
    </w:rPr>
  </w:style>
  <w:style w:type="paragraph" w:styleId="Obsah1">
    <w:name w:val="toc 1"/>
    <w:basedOn w:val="Normln"/>
    <w:next w:val="Normln"/>
    <w:autoRedefine/>
    <w:uiPriority w:val="39"/>
    <w:qFormat/>
    <w:rsid w:val="0028442C"/>
    <w:pPr>
      <w:tabs>
        <w:tab w:val="left" w:pos="660"/>
        <w:tab w:val="right" w:leader="dot" w:pos="9628"/>
      </w:tabs>
      <w:spacing w:after="100" w:line="360" w:lineRule="auto"/>
      <w:jc w:val="both"/>
    </w:pPr>
    <w:rPr>
      <w:rFonts w:cs="Arial"/>
      <w:b/>
      <w:noProof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28442C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28442C"/>
    <w:pPr>
      <w:ind w:left="400"/>
    </w:pPr>
  </w:style>
  <w:style w:type="paragraph" w:styleId="Odstavecseseznamem">
    <w:name w:val="List Paragraph"/>
    <w:basedOn w:val="Normln"/>
    <w:uiPriority w:val="34"/>
    <w:qFormat/>
    <w:rsid w:val="0028442C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B003A4"/>
    <w:rPr>
      <w:rFonts w:ascii="Arial" w:eastAsia="MS Gothic" w:hAnsi="Arial" w:cs="Times New Roman"/>
      <w:b/>
      <w:bCs/>
      <w:color w:val="71818C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21B57-7118-4973-8979-9A131DC5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1763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kucera4376</dc:creator>
  <cp:lastModifiedBy>kucera4376</cp:lastModifiedBy>
  <cp:revision>98</cp:revision>
  <dcterms:created xsi:type="dcterms:W3CDTF">2015-11-24T09:38:00Z</dcterms:created>
  <dcterms:modified xsi:type="dcterms:W3CDTF">2015-11-26T11:24:00Z</dcterms:modified>
</cp:coreProperties>
</file>