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35D64" w14:textId="62AE45E8" w:rsidR="0080527C" w:rsidRPr="00531339" w:rsidRDefault="0080527C" w:rsidP="0080527C">
      <w:pPr>
        <w:pStyle w:val="Nadpis2"/>
        <w:jc w:val="left"/>
      </w:pPr>
      <w:r w:rsidRPr="00531339">
        <w:t xml:space="preserve">Methodological notes </w:t>
      </w:r>
    </w:p>
    <w:p w14:paraId="4062ADB4" w14:textId="77777777" w:rsidR="00A20088" w:rsidRPr="00531339" w:rsidRDefault="00A20088" w:rsidP="00C67783">
      <w:pPr>
        <w:spacing w:after="120"/>
        <w:rPr>
          <w:rFonts w:ascii="Arial" w:hAnsi="Arial" w:cs="Arial"/>
          <w:color w:val="FF0000"/>
          <w:sz w:val="22"/>
          <w:szCs w:val="22"/>
          <w:lang w:val="en-GB"/>
        </w:rPr>
      </w:pPr>
    </w:p>
    <w:p w14:paraId="4BB9786B" w14:textId="3B0B84B7" w:rsidR="00F62944" w:rsidRPr="00F62944" w:rsidRDefault="00F62944" w:rsidP="00480DA4">
      <w:pPr>
        <w:spacing w:after="120"/>
        <w:jc w:val="both"/>
        <w:rPr>
          <w:rFonts w:ascii="Arial" w:hAnsi="Arial" w:cs="Arial"/>
          <w:sz w:val="18"/>
          <w:szCs w:val="18"/>
          <w:lang w:val="en-GB"/>
        </w:rPr>
      </w:pPr>
      <w:r w:rsidRPr="00F62944">
        <w:rPr>
          <w:rFonts w:ascii="Arial" w:hAnsi="Arial" w:cs="Arial"/>
          <w:sz w:val="18"/>
          <w:szCs w:val="18"/>
          <w:lang w:val="en-GB"/>
        </w:rPr>
        <w:t>Starting with the year 2020, the Czech Statistical Office has changed the terminology a</w:t>
      </w:r>
      <w:r w:rsidR="00682088">
        <w:rPr>
          <w:rFonts w:ascii="Arial" w:hAnsi="Arial" w:cs="Arial"/>
          <w:sz w:val="18"/>
          <w:szCs w:val="18"/>
          <w:lang w:val="en-GB"/>
        </w:rPr>
        <w:t>nd the way it presents data for </w:t>
      </w:r>
      <w:r w:rsidRPr="00F62944">
        <w:rPr>
          <w:rFonts w:ascii="Arial" w:hAnsi="Arial" w:cs="Arial"/>
          <w:sz w:val="18"/>
          <w:szCs w:val="18"/>
          <w:lang w:val="en-GB"/>
        </w:rPr>
        <w:t xml:space="preserve">international trade statistics in the Czech Republic. </w:t>
      </w:r>
      <w:r w:rsidRPr="00F62944">
        <w:rPr>
          <w:rFonts w:ascii="Arial" w:hAnsi="Arial" w:cs="Arial"/>
          <w:b/>
          <w:bCs/>
          <w:sz w:val="18"/>
          <w:szCs w:val="18"/>
          <w:lang w:val="en-GB"/>
        </w:rPr>
        <w:t>The international trade in goods (change of ownership) refers only to data based on a change of ownership between residents and non-residents</w:t>
      </w:r>
      <w:r w:rsidRPr="00F62944">
        <w:rPr>
          <w:rFonts w:ascii="Arial" w:hAnsi="Arial" w:cs="Arial"/>
          <w:sz w:val="18"/>
          <w:szCs w:val="18"/>
          <w:lang w:val="en-GB"/>
        </w:rPr>
        <w:t xml:space="preserve"> (formerly called the national concept of external trade). As regards the cross-border concept of external trade, this is now referred to as “cross-border movements of goods”. </w:t>
      </w:r>
    </w:p>
    <w:p w14:paraId="5C3A634B" w14:textId="4F705A50" w:rsidR="008A7F74" w:rsidRPr="00531339" w:rsidRDefault="008A7F74" w:rsidP="00480DA4">
      <w:pPr>
        <w:spacing w:after="120"/>
        <w:jc w:val="both"/>
        <w:rPr>
          <w:rStyle w:val="Hypertextovodkaz"/>
          <w:rFonts w:ascii="Arial" w:hAnsi="Arial" w:cs="Arial"/>
          <w:i/>
          <w:iCs/>
          <w:sz w:val="18"/>
          <w:szCs w:val="18"/>
          <w:lang w:val="en-GB"/>
        </w:rPr>
      </w:pPr>
      <w:r w:rsidRPr="004A07F5">
        <w:rPr>
          <w:rStyle w:val="Zdraznn"/>
          <w:rFonts w:ascii="Arial" w:hAnsi="Arial" w:cs="Arial"/>
          <w:i w:val="0"/>
          <w:sz w:val="18"/>
          <w:szCs w:val="18"/>
          <w:lang w:val="en-GB"/>
        </w:rPr>
        <w:t>Further information:</w:t>
      </w:r>
      <w:r w:rsidR="003262F8">
        <w:rPr>
          <w:rStyle w:val="Zdraznn"/>
          <w:rFonts w:ascii="Arial" w:hAnsi="Arial" w:cs="Arial"/>
          <w:i w:val="0"/>
          <w:sz w:val="18"/>
          <w:szCs w:val="18"/>
          <w:lang w:val="en-GB"/>
        </w:rPr>
        <w:t xml:space="preserve"> </w:t>
      </w:r>
      <w:hyperlink r:id="rId8" w:history="1">
        <w:r w:rsidR="003262F8" w:rsidRPr="003262F8">
          <w:rPr>
            <w:rStyle w:val="Hypertextovodkaz"/>
            <w:rFonts w:ascii="Arial" w:hAnsi="Arial" w:cs="Arial"/>
            <w:sz w:val="18"/>
            <w:szCs w:val="18"/>
            <w:lang w:val="en-GB"/>
          </w:rPr>
          <w:t>changes in international trade statistics</w:t>
        </w:r>
      </w:hyperlink>
      <w:r w:rsidR="003262F8">
        <w:rPr>
          <w:rStyle w:val="Zdraznn"/>
          <w:rFonts w:ascii="Arial" w:hAnsi="Arial" w:cs="Arial"/>
          <w:sz w:val="18"/>
          <w:szCs w:val="18"/>
          <w:lang w:val="en-GB"/>
        </w:rPr>
        <w:t>.</w:t>
      </w:r>
    </w:p>
    <w:p w14:paraId="3F1ABEE7" w14:textId="70D895F3" w:rsidR="00C67783" w:rsidRDefault="00C67783" w:rsidP="00F62944">
      <w:pPr>
        <w:pStyle w:val="Textkomente"/>
        <w:spacing w:after="120"/>
        <w:jc w:val="both"/>
        <w:rPr>
          <w:rFonts w:ascii="Arial" w:hAnsi="Arial" w:cs="Arial"/>
          <w:bCs/>
          <w:sz w:val="18"/>
          <w:szCs w:val="18"/>
          <w:lang w:val="en-GB"/>
        </w:rPr>
      </w:pPr>
      <w:r w:rsidRPr="00F53005">
        <w:rPr>
          <w:rStyle w:val="Zdraznn"/>
          <w:rFonts w:ascii="Arial" w:hAnsi="Arial"/>
          <w:b/>
          <w:bCs/>
          <w:i w:val="0"/>
          <w:sz w:val="18"/>
          <w:szCs w:val="18"/>
          <w:lang w:val="en-GB"/>
        </w:rPr>
        <w:t>International trade in goods (change of ownership)</w:t>
      </w:r>
      <w:r w:rsidRPr="00F53005">
        <w:rPr>
          <w:rStyle w:val="Zdraznn"/>
          <w:rFonts w:ascii="Arial" w:hAnsi="Arial"/>
          <w:i w:val="0"/>
          <w:sz w:val="18"/>
          <w:szCs w:val="18"/>
          <w:lang w:val="en-GB"/>
        </w:rPr>
        <w:t xml:space="preserve"> reflects export and import performance of the Czech economy, i.e. the </w:t>
      </w:r>
      <w:r w:rsidR="002850CA" w:rsidRPr="00F53005">
        <w:rPr>
          <w:rStyle w:val="Zdraznn"/>
          <w:rFonts w:ascii="Arial" w:hAnsi="Arial"/>
          <w:i w:val="0"/>
          <w:sz w:val="18"/>
          <w:szCs w:val="18"/>
          <w:lang w:val="en-GB"/>
        </w:rPr>
        <w:t>international</w:t>
      </w:r>
      <w:r w:rsidRPr="00F53005">
        <w:rPr>
          <w:rStyle w:val="Zdraznn"/>
          <w:rFonts w:ascii="Arial" w:hAnsi="Arial"/>
          <w:i w:val="0"/>
          <w:sz w:val="18"/>
          <w:szCs w:val="18"/>
          <w:lang w:val="en-GB"/>
        </w:rPr>
        <w:t xml:space="preserve"> trade balance of the Czech Republic as well. </w:t>
      </w:r>
      <w:r w:rsidR="00F53005" w:rsidRPr="00F53005">
        <w:rPr>
          <w:rFonts w:ascii="Arial" w:hAnsi="Arial" w:cs="Arial"/>
          <w:bCs/>
          <w:sz w:val="18"/>
          <w:szCs w:val="18"/>
          <w:lang w:val="en-GB"/>
        </w:rPr>
        <w:t>International trade in line with this notion takes place at</w:t>
      </w:r>
      <w:r w:rsidR="004A07F5">
        <w:rPr>
          <w:rFonts w:ascii="Arial" w:hAnsi="Arial" w:cs="Arial"/>
          <w:bCs/>
          <w:sz w:val="18"/>
          <w:szCs w:val="18"/>
          <w:lang w:val="en-GB"/>
        </w:rPr>
        <w:t> </w:t>
      </w:r>
      <w:r w:rsidR="00F53005" w:rsidRPr="00F53005">
        <w:rPr>
          <w:rFonts w:ascii="Arial" w:hAnsi="Arial" w:cs="Arial"/>
          <w:bCs/>
          <w:sz w:val="18"/>
          <w:szCs w:val="18"/>
          <w:lang w:val="en-GB"/>
        </w:rPr>
        <w:t xml:space="preserve">the moment when Czech residents and non-residents) trade with each other and from this perspective, cross-border movements of goods as such may not be the deciding factor. </w:t>
      </w:r>
    </w:p>
    <w:p w14:paraId="07DF74A0" w14:textId="234298CE" w:rsidR="00F62944" w:rsidRPr="00F62944" w:rsidRDefault="00F62944" w:rsidP="00F629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Arial" w:hAnsi="Arial" w:cs="Arial"/>
          <w:bCs/>
          <w:sz w:val="18"/>
          <w:szCs w:val="18"/>
          <w:lang w:val="en-GB"/>
        </w:rPr>
      </w:pPr>
      <w:r w:rsidRPr="00F62944">
        <w:rPr>
          <w:rFonts w:ascii="Arial" w:hAnsi="Arial" w:cs="Arial"/>
          <w:bCs/>
          <w:sz w:val="18"/>
          <w:szCs w:val="18"/>
          <w:lang w:val="en-GB"/>
        </w:rPr>
        <w:t>Information on cross-border movements of goods, supplemented by other data sources,</w:t>
      </w:r>
      <w:r w:rsidR="00102C59">
        <w:rPr>
          <w:rFonts w:ascii="Arial" w:hAnsi="Arial" w:cs="Arial"/>
          <w:bCs/>
          <w:sz w:val="18"/>
          <w:szCs w:val="18"/>
          <w:lang w:val="en-GB"/>
        </w:rPr>
        <w:t xml:space="preserve"> </w:t>
      </w:r>
      <w:r w:rsidRPr="00F62944">
        <w:rPr>
          <w:rFonts w:ascii="Arial" w:hAnsi="Arial" w:cs="Arial"/>
          <w:bCs/>
          <w:sz w:val="18"/>
          <w:szCs w:val="18"/>
          <w:lang w:val="en-GB"/>
        </w:rPr>
        <w:t xml:space="preserve">such as VAT tax returns and industrial statistics data, is </w:t>
      </w:r>
      <w:r w:rsidRPr="00F62944">
        <w:rPr>
          <w:rFonts w:ascii="Arial" w:hAnsi="Arial" w:cs="Arial"/>
          <w:b/>
          <w:bCs/>
          <w:sz w:val="18"/>
          <w:szCs w:val="18"/>
          <w:lang w:val="en-GB"/>
        </w:rPr>
        <w:t>the source for international trade in goods (change of ownership) calculations</w:t>
      </w:r>
      <w:r w:rsidRPr="00F62944">
        <w:rPr>
          <w:rFonts w:ascii="Arial" w:hAnsi="Arial" w:cs="Arial"/>
          <w:bCs/>
          <w:sz w:val="18"/>
          <w:szCs w:val="18"/>
          <w:lang w:val="en-GB"/>
        </w:rPr>
        <w:t>. The goods, which are moved from the territory of the Czech Republic or onto it by non-residents</w:t>
      </w:r>
      <w:r w:rsidR="004A07F5">
        <w:rPr>
          <w:rFonts w:ascii="Arial" w:hAnsi="Arial" w:cs="Arial"/>
          <w:bCs/>
          <w:sz w:val="18"/>
          <w:szCs w:val="18"/>
          <w:lang w:val="en-GB"/>
        </w:rPr>
        <w:t xml:space="preserve"> </w:t>
      </w:r>
      <w:r w:rsidRPr="00F62944">
        <w:rPr>
          <w:rFonts w:ascii="Arial" w:hAnsi="Arial" w:cs="Arial"/>
          <w:bCs/>
          <w:sz w:val="18"/>
          <w:szCs w:val="18"/>
          <w:lang w:val="en-GB"/>
        </w:rPr>
        <w:t>are not understood as exports and imports. Conversely, trade carried out between residents and non-residents on the territory of the Czech Republic is considered as exports and imports, which is possible due to the involvement of the Czech Republic in</w:t>
      </w:r>
      <w:r>
        <w:rPr>
          <w:rFonts w:ascii="Arial" w:hAnsi="Arial" w:cs="Arial"/>
          <w:bCs/>
          <w:sz w:val="18"/>
          <w:szCs w:val="18"/>
          <w:lang w:val="en-GB"/>
        </w:rPr>
        <w:t> </w:t>
      </w:r>
      <w:r w:rsidRPr="00F62944">
        <w:rPr>
          <w:rFonts w:ascii="Arial" w:hAnsi="Arial" w:cs="Arial"/>
          <w:bCs/>
          <w:sz w:val="18"/>
          <w:szCs w:val="18"/>
          <w:lang w:val="en-GB"/>
        </w:rPr>
        <w:t>the European single market.</w:t>
      </w:r>
    </w:p>
    <w:p w14:paraId="5B15E73C" w14:textId="77777777" w:rsidR="002B4BC8" w:rsidRPr="00753F93" w:rsidRDefault="002B4BC8" w:rsidP="002B4BC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bCs/>
          <w:sz w:val="18"/>
          <w:szCs w:val="18"/>
          <w:lang w:val="en-GB"/>
        </w:rPr>
      </w:pPr>
      <w:r w:rsidRPr="00753F93">
        <w:rPr>
          <w:rFonts w:ascii="Arial" w:hAnsi="Arial" w:cs="Arial"/>
          <w:b/>
          <w:bCs/>
          <w:sz w:val="18"/>
          <w:szCs w:val="18"/>
          <w:lang w:val="en-GB"/>
        </w:rPr>
        <w:t>The information on cross-border movements of goods</w:t>
      </w:r>
      <w:r w:rsidRPr="00753F93">
        <w:rPr>
          <w:rFonts w:ascii="Arial" w:hAnsi="Arial" w:cs="Arial"/>
          <w:bCs/>
          <w:sz w:val="18"/>
          <w:szCs w:val="18"/>
          <w:lang w:val="en-GB"/>
        </w:rPr>
        <w:t xml:space="preserve"> is a total of physical flows of goods to/from EU Member States and to/from non-EU countries. Data on goods, which are the subject of cross-border movements of goods between EU Member States are submitted by the reporting units to the Customs Office on the </w:t>
      </w:r>
      <w:r w:rsidRPr="00753F93">
        <w:rPr>
          <w:rFonts w:ascii="Arial" w:hAnsi="Arial" w:cs="Arial"/>
          <w:b/>
          <w:bCs/>
          <w:sz w:val="18"/>
          <w:szCs w:val="18"/>
          <w:lang w:val="en-GB"/>
        </w:rPr>
        <w:t>Intrastat</w:t>
      </w:r>
      <w:r w:rsidRPr="00753F93">
        <w:rPr>
          <w:rFonts w:ascii="Arial" w:hAnsi="Arial" w:cs="Arial"/>
          <w:bCs/>
          <w:sz w:val="18"/>
          <w:szCs w:val="18"/>
          <w:lang w:val="en-GB"/>
        </w:rPr>
        <w:t xml:space="preserve"> form along with data on </w:t>
      </w:r>
      <w:r>
        <w:rPr>
          <w:rFonts w:ascii="Arial" w:hAnsi="Arial" w:cs="Arial"/>
          <w:bCs/>
          <w:sz w:val="18"/>
          <w:szCs w:val="18"/>
          <w:lang w:val="en-GB"/>
        </w:rPr>
        <w:t>intra-Union imports or intra-Union exports</w:t>
      </w:r>
      <w:r w:rsidRPr="00753F93">
        <w:rPr>
          <w:rFonts w:ascii="Arial" w:hAnsi="Arial" w:cs="Arial"/>
          <w:bCs/>
          <w:sz w:val="18"/>
          <w:szCs w:val="18"/>
          <w:lang w:val="en-GB"/>
        </w:rPr>
        <w:t xml:space="preserve"> of the goods. Data on movements of goods with non-EU countries </w:t>
      </w:r>
      <w:r w:rsidRPr="00753F93">
        <w:rPr>
          <w:rFonts w:ascii="Arial" w:hAnsi="Arial" w:cs="Arial"/>
          <w:b/>
          <w:bCs/>
          <w:sz w:val="18"/>
          <w:szCs w:val="18"/>
          <w:lang w:val="en-GB"/>
        </w:rPr>
        <w:t>(Extrastat)</w:t>
      </w:r>
      <w:r w:rsidRPr="00753F93">
        <w:rPr>
          <w:rFonts w:ascii="Arial" w:hAnsi="Arial" w:cs="Arial"/>
          <w:bCs/>
          <w:sz w:val="18"/>
          <w:szCs w:val="18"/>
          <w:lang w:val="en-GB"/>
        </w:rPr>
        <w:t xml:space="preserve"> are reported in customs declarations. The collection of such data and primary</w:t>
      </w:r>
      <w:r>
        <w:rPr>
          <w:rFonts w:ascii="Arial" w:hAnsi="Arial" w:cs="Arial"/>
          <w:bCs/>
          <w:sz w:val="18"/>
          <w:szCs w:val="18"/>
          <w:lang w:val="en-GB"/>
        </w:rPr>
        <w:t xml:space="preserve"> checks thereof are provided by </w:t>
      </w:r>
      <w:r w:rsidRPr="00753F93">
        <w:rPr>
          <w:rFonts w:ascii="Arial" w:hAnsi="Arial" w:cs="Arial"/>
          <w:bCs/>
          <w:sz w:val="18"/>
          <w:szCs w:val="18"/>
          <w:lang w:val="en-GB"/>
        </w:rPr>
        <w:t>the General Directorate of Customs in the Czech Republic.</w:t>
      </w:r>
    </w:p>
    <w:p w14:paraId="176485D3" w14:textId="77777777" w:rsidR="00856CA0" w:rsidRPr="00BA0627" w:rsidRDefault="00856CA0" w:rsidP="00856CA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bCs/>
          <w:sz w:val="18"/>
          <w:szCs w:val="18"/>
          <w:lang w:val="en-GB"/>
        </w:rPr>
      </w:pPr>
      <w:r w:rsidRPr="00CA2788">
        <w:rPr>
          <w:rFonts w:ascii="Arial" w:hAnsi="Arial" w:cs="Arial"/>
          <w:bCs/>
          <w:sz w:val="18"/>
          <w:szCs w:val="18"/>
          <w:lang w:val="en-GB"/>
        </w:rPr>
        <w:t>In compliance with binding EU regulations, the surveying of data on international trade is regulated by the Act No 242/2016 Coll., the Customs Act, as amended. For data collection in the Intrastat system, the surveying is governed by the Order of the Government of the Czech Republic No 333/2021 Coll. implementing certain provisions of the Customs Act in statistics, as amended by Government Regulation No 442/2023 Coll.</w:t>
      </w:r>
    </w:p>
    <w:p w14:paraId="002FD3CA" w14:textId="6FDB9F60" w:rsidR="00F62944" w:rsidRPr="00F62944" w:rsidRDefault="00F62944" w:rsidP="00F629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Arial" w:hAnsi="Arial" w:cs="Arial"/>
          <w:bCs/>
          <w:sz w:val="18"/>
          <w:szCs w:val="18"/>
          <w:lang w:val="en-GB"/>
        </w:rPr>
      </w:pPr>
      <w:r w:rsidRPr="00F62944">
        <w:rPr>
          <w:rFonts w:ascii="Arial" w:hAnsi="Arial" w:cs="Arial"/>
          <w:b/>
          <w:bCs/>
          <w:sz w:val="18"/>
          <w:szCs w:val="18"/>
          <w:lang w:val="en-GB"/>
        </w:rPr>
        <w:t>From the statistics of international trade in goods (change of ownership) perspective,</w:t>
      </w:r>
      <w:r w:rsidRPr="00F62944">
        <w:rPr>
          <w:rFonts w:ascii="Arial" w:hAnsi="Arial" w:cs="Arial"/>
          <w:bCs/>
          <w:sz w:val="18"/>
          <w:szCs w:val="18"/>
          <w:lang w:val="en-GB"/>
        </w:rPr>
        <w:t xml:space="preserve"> the values of exported goods declared at the border crossing directly by residents and taken from Intrastat and Extrastat data and the values of goods purchased by foreign entities on the territory of the Czech Republic and taken from VAT tax returns</w:t>
      </w:r>
      <w:r w:rsidR="004A07F5">
        <w:rPr>
          <w:rFonts w:ascii="Arial" w:hAnsi="Arial" w:cs="Arial"/>
          <w:bCs/>
          <w:sz w:val="18"/>
          <w:szCs w:val="18"/>
          <w:lang w:val="en-GB"/>
        </w:rPr>
        <w:t xml:space="preserve"> submitted by </w:t>
      </w:r>
      <w:r w:rsidR="00396CD0">
        <w:rPr>
          <w:rFonts w:ascii="Arial" w:hAnsi="Arial" w:cs="Arial"/>
          <w:bCs/>
          <w:sz w:val="18"/>
          <w:szCs w:val="18"/>
          <w:lang w:val="en-GB"/>
        </w:rPr>
        <w:t>non</w:t>
      </w:r>
      <w:r w:rsidR="00396CD0">
        <w:rPr>
          <w:rFonts w:ascii="Arial" w:hAnsi="Arial" w:cs="Arial"/>
          <w:bCs/>
          <w:sz w:val="18"/>
          <w:szCs w:val="18"/>
          <w:lang w:val="en-GB"/>
        </w:rPr>
        <w:noBreakHyphen/>
      </w:r>
      <w:r w:rsidRPr="00F62944">
        <w:rPr>
          <w:rFonts w:ascii="Arial" w:hAnsi="Arial" w:cs="Arial"/>
          <w:bCs/>
          <w:sz w:val="18"/>
          <w:szCs w:val="18"/>
          <w:lang w:val="en-GB"/>
        </w:rPr>
        <w:t xml:space="preserve">residents in the Czech Republic are considered </w:t>
      </w:r>
      <w:r w:rsidRPr="00F62944">
        <w:rPr>
          <w:rFonts w:ascii="Arial" w:hAnsi="Arial" w:cs="Arial"/>
          <w:b/>
          <w:bCs/>
          <w:sz w:val="18"/>
          <w:szCs w:val="18"/>
          <w:lang w:val="en-GB"/>
        </w:rPr>
        <w:t>exports</w:t>
      </w:r>
      <w:r w:rsidRPr="00F62944">
        <w:rPr>
          <w:rFonts w:ascii="Arial" w:hAnsi="Arial" w:cs="Arial"/>
          <w:bCs/>
          <w:sz w:val="18"/>
          <w:szCs w:val="18"/>
          <w:lang w:val="en-GB"/>
        </w:rPr>
        <w:t>.</w:t>
      </w:r>
    </w:p>
    <w:p w14:paraId="45DCA507" w14:textId="77777777" w:rsidR="00F62944" w:rsidRPr="00F62944" w:rsidRDefault="00F62944" w:rsidP="00F629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Arial" w:hAnsi="Arial" w:cs="Arial"/>
          <w:bCs/>
          <w:sz w:val="18"/>
          <w:szCs w:val="18"/>
          <w:lang w:val="en-GB"/>
        </w:rPr>
      </w:pPr>
      <w:r w:rsidRPr="00F62944">
        <w:rPr>
          <w:rFonts w:ascii="Arial" w:hAnsi="Arial" w:cs="Arial"/>
          <w:bCs/>
          <w:sz w:val="18"/>
          <w:szCs w:val="18"/>
          <w:lang w:val="en-GB"/>
        </w:rPr>
        <w:t xml:space="preserve">The values of imported goods declared at the border crossing directly by residents and taken from Intrastat and Extrastat data and the values of goods sold by foreign entities on the territory of the Czech Republic and taken from VAT tax returns submitted by non-residents in the Czech Republic are considered </w:t>
      </w:r>
      <w:r w:rsidRPr="00F62944">
        <w:rPr>
          <w:rFonts w:ascii="Arial" w:hAnsi="Arial" w:cs="Arial"/>
          <w:b/>
          <w:bCs/>
          <w:sz w:val="18"/>
          <w:szCs w:val="18"/>
          <w:lang w:val="en-GB"/>
        </w:rPr>
        <w:t>imports</w:t>
      </w:r>
      <w:r w:rsidRPr="00F62944">
        <w:rPr>
          <w:rFonts w:ascii="Arial" w:hAnsi="Arial" w:cs="Arial"/>
          <w:bCs/>
          <w:sz w:val="18"/>
          <w:szCs w:val="18"/>
          <w:lang w:val="en-GB"/>
        </w:rPr>
        <w:t>.</w:t>
      </w:r>
    </w:p>
    <w:p w14:paraId="3CB3E3AC" w14:textId="225B0A1E" w:rsidR="00F62944" w:rsidRPr="00F62944" w:rsidRDefault="00F62944" w:rsidP="00F629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Arial" w:hAnsi="Arial" w:cs="Arial"/>
          <w:b/>
          <w:bCs/>
          <w:sz w:val="18"/>
          <w:szCs w:val="18"/>
          <w:lang w:val="en-GB"/>
        </w:rPr>
      </w:pPr>
      <w:r w:rsidRPr="00F62944">
        <w:rPr>
          <w:rFonts w:ascii="Arial" w:hAnsi="Arial" w:cs="Arial"/>
          <w:bCs/>
          <w:sz w:val="18"/>
          <w:szCs w:val="18"/>
          <w:lang w:val="en-GB"/>
        </w:rPr>
        <w:t>This way, solely the data for non-residents are adjusted when translating from data o</w:t>
      </w:r>
      <w:r w:rsidR="00396CD0">
        <w:rPr>
          <w:rFonts w:ascii="Arial" w:hAnsi="Arial" w:cs="Arial"/>
          <w:bCs/>
          <w:sz w:val="18"/>
          <w:szCs w:val="18"/>
          <w:lang w:val="en-GB"/>
        </w:rPr>
        <w:t>n the cross-border movements of </w:t>
      </w:r>
      <w:r w:rsidRPr="00F62944">
        <w:rPr>
          <w:rFonts w:ascii="Arial" w:hAnsi="Arial" w:cs="Arial"/>
          <w:bCs/>
          <w:sz w:val="18"/>
          <w:szCs w:val="18"/>
          <w:lang w:val="en-GB"/>
        </w:rPr>
        <w:t xml:space="preserve">goods to the concept of international trade in goods (change of ownership). </w:t>
      </w:r>
      <w:r w:rsidRPr="00F62944">
        <w:rPr>
          <w:rFonts w:ascii="Arial" w:hAnsi="Arial" w:cs="Arial"/>
          <w:b/>
          <w:bCs/>
          <w:sz w:val="18"/>
          <w:szCs w:val="18"/>
          <w:lang w:val="en-GB"/>
        </w:rPr>
        <w:t>Values of exports and imports of goods reported by Czech entities remain unchanged and therefore they are identical in both statistics.</w:t>
      </w:r>
    </w:p>
    <w:p w14:paraId="5C321573" w14:textId="11EE2D66" w:rsidR="00F62944" w:rsidRDefault="00F62944" w:rsidP="00F62944">
      <w:pPr>
        <w:spacing w:before="120" w:after="120"/>
        <w:jc w:val="both"/>
        <w:rPr>
          <w:rFonts w:ascii="Arial" w:hAnsi="Arial" w:cs="Arial"/>
          <w:bCs/>
          <w:sz w:val="18"/>
          <w:szCs w:val="18"/>
          <w:lang w:val="en-GB"/>
        </w:rPr>
      </w:pPr>
      <w:r w:rsidRPr="00F62944">
        <w:rPr>
          <w:rFonts w:ascii="Arial" w:hAnsi="Arial" w:cs="Arial"/>
          <w:bCs/>
          <w:sz w:val="18"/>
          <w:szCs w:val="18"/>
          <w:lang w:val="en-GB"/>
        </w:rPr>
        <w:t xml:space="preserve">Since data in VAT tax returns do not include information on the commodity structure of </w:t>
      </w:r>
      <w:r w:rsidR="00396CD0">
        <w:rPr>
          <w:rFonts w:ascii="Arial" w:hAnsi="Arial" w:cs="Arial"/>
          <w:bCs/>
          <w:sz w:val="18"/>
          <w:szCs w:val="18"/>
          <w:lang w:val="en-GB"/>
        </w:rPr>
        <w:t>purchases and sales of </w:t>
      </w:r>
      <w:r w:rsidR="004A07F5">
        <w:rPr>
          <w:rFonts w:ascii="Arial" w:hAnsi="Arial" w:cs="Arial"/>
          <w:bCs/>
          <w:sz w:val="18"/>
          <w:szCs w:val="18"/>
          <w:lang w:val="en-GB"/>
        </w:rPr>
        <w:t>non</w:t>
      </w:r>
      <w:r w:rsidR="004A07F5">
        <w:rPr>
          <w:rFonts w:ascii="Arial" w:hAnsi="Arial" w:cs="Arial"/>
          <w:bCs/>
          <w:sz w:val="18"/>
          <w:szCs w:val="18"/>
          <w:lang w:val="en-GB"/>
        </w:rPr>
        <w:noBreakHyphen/>
      </w:r>
      <w:r w:rsidRPr="00F62944">
        <w:rPr>
          <w:rFonts w:ascii="Arial" w:hAnsi="Arial" w:cs="Arial"/>
          <w:bCs/>
          <w:sz w:val="18"/>
          <w:szCs w:val="18"/>
          <w:lang w:val="en-GB"/>
        </w:rPr>
        <w:t>residents in the Czech Republic, the commodity structure is derived from the commodity structure of cross-border transactions of non-residents and from industrial statistics data (i.e. of entities, which sell their</w:t>
      </w:r>
      <w:r w:rsidR="004A07F5">
        <w:rPr>
          <w:rFonts w:ascii="Arial" w:hAnsi="Arial" w:cs="Arial"/>
          <w:bCs/>
          <w:sz w:val="18"/>
          <w:szCs w:val="18"/>
          <w:lang w:val="en-GB"/>
        </w:rPr>
        <w:t xml:space="preserve"> production to non</w:t>
      </w:r>
      <w:r w:rsidR="004A07F5">
        <w:rPr>
          <w:rFonts w:ascii="Arial" w:hAnsi="Arial" w:cs="Arial"/>
          <w:bCs/>
          <w:sz w:val="18"/>
          <w:szCs w:val="18"/>
          <w:lang w:val="en-GB"/>
        </w:rPr>
        <w:noBreakHyphen/>
      </w:r>
      <w:r w:rsidRPr="00F62944">
        <w:rPr>
          <w:rFonts w:ascii="Arial" w:hAnsi="Arial" w:cs="Arial"/>
          <w:bCs/>
          <w:sz w:val="18"/>
          <w:szCs w:val="18"/>
          <w:lang w:val="en-GB"/>
        </w:rPr>
        <w:t>residents already on the territory of the Czech Republic).</w:t>
      </w:r>
    </w:p>
    <w:p w14:paraId="7950681C" w14:textId="6BE83461" w:rsidR="003B5FE2" w:rsidRPr="003B5FE2" w:rsidRDefault="003B5FE2" w:rsidP="00F62944">
      <w:pPr>
        <w:spacing w:before="120" w:after="120"/>
        <w:jc w:val="both"/>
        <w:rPr>
          <w:rFonts w:ascii="Arial" w:hAnsi="Arial" w:cs="Arial"/>
          <w:bCs/>
          <w:i/>
          <w:sz w:val="18"/>
          <w:szCs w:val="18"/>
          <w:lang w:val="en-GB"/>
        </w:rPr>
      </w:pPr>
      <w:r w:rsidRPr="003B5FE2">
        <w:rPr>
          <w:rStyle w:val="Zdraznn"/>
          <w:rFonts w:ascii="Arial" w:hAnsi="Arial" w:cs="Arial"/>
          <w:i w:val="0"/>
          <w:sz w:val="18"/>
          <w:szCs w:val="18"/>
          <w:lang w:val="en-US"/>
        </w:rPr>
        <w:t>Data for companies, which are subject to the reporting duty and which failed to report data (non-response), has been imputed according to exports and imports these companies reported in the previous period. Data for companies exempted from the reporting duty were estimated on the basis of the data given in the VAT return forms. The data, which were not available from the VAT return forms, are estimated on the basis of the values for previous periods.</w:t>
      </w:r>
    </w:p>
    <w:p w14:paraId="01BA385F" w14:textId="5BCEB69E" w:rsidR="00F62944" w:rsidRDefault="00F62944" w:rsidP="00F62944">
      <w:pPr>
        <w:pStyle w:val="Textkomente"/>
        <w:spacing w:after="120"/>
        <w:jc w:val="both"/>
        <w:rPr>
          <w:rStyle w:val="Zdraznn"/>
          <w:rFonts w:ascii="Arial" w:hAnsi="Arial" w:cs="Arial"/>
          <w:sz w:val="18"/>
          <w:szCs w:val="18"/>
          <w:lang w:val="en-GB"/>
        </w:rPr>
      </w:pPr>
      <w:r w:rsidRPr="004A07F5">
        <w:rPr>
          <w:rStyle w:val="Zdraznn"/>
          <w:rFonts w:ascii="Arial" w:hAnsi="Arial" w:cs="Arial"/>
          <w:i w:val="0"/>
          <w:sz w:val="18"/>
          <w:szCs w:val="18"/>
          <w:lang w:val="en-GB"/>
        </w:rPr>
        <w:t>Further information:</w:t>
      </w:r>
      <w:r w:rsidR="003262F8">
        <w:rPr>
          <w:rStyle w:val="Zdraznn"/>
          <w:rFonts w:ascii="Arial" w:hAnsi="Arial" w:cs="Arial"/>
          <w:i w:val="0"/>
          <w:sz w:val="18"/>
          <w:szCs w:val="18"/>
          <w:lang w:val="en-GB"/>
        </w:rPr>
        <w:t xml:space="preserve"> </w:t>
      </w:r>
      <w:hyperlink r:id="rId9" w:history="1">
        <w:r w:rsidR="003262F8" w:rsidRPr="003262F8">
          <w:rPr>
            <w:rStyle w:val="Hypertextovodkaz"/>
            <w:rFonts w:ascii="Arial" w:hAnsi="Arial" w:cs="Arial"/>
            <w:sz w:val="18"/>
            <w:szCs w:val="18"/>
            <w:lang w:val="en-GB"/>
          </w:rPr>
          <w:t>International trade in goods (change of ownership) - methodology</w:t>
        </w:r>
      </w:hyperlink>
      <w:r w:rsidR="003262F8">
        <w:rPr>
          <w:rStyle w:val="Zdraznn"/>
          <w:rFonts w:ascii="Arial" w:hAnsi="Arial" w:cs="Arial"/>
          <w:i w:val="0"/>
          <w:sz w:val="18"/>
          <w:szCs w:val="18"/>
          <w:lang w:val="en-GB"/>
        </w:rPr>
        <w:t>.</w:t>
      </w:r>
      <w:r w:rsidR="003262F8">
        <w:rPr>
          <w:rStyle w:val="Zdraznn"/>
          <w:rFonts w:ascii="Arial" w:hAnsi="Arial" w:cs="Arial"/>
          <w:sz w:val="18"/>
          <w:szCs w:val="18"/>
          <w:lang w:val="en-GB"/>
        </w:rPr>
        <w:t xml:space="preserve"> </w:t>
      </w:r>
    </w:p>
    <w:p w14:paraId="1B3D1F0F" w14:textId="1D5278A2" w:rsidR="00F62944" w:rsidRPr="008861A3" w:rsidRDefault="008861A3" w:rsidP="00F62944">
      <w:pPr>
        <w:pStyle w:val="Textkomente"/>
        <w:spacing w:after="120"/>
        <w:jc w:val="both"/>
        <w:rPr>
          <w:rFonts w:ascii="Arial" w:hAnsi="Arial" w:cs="Arial"/>
          <w:b/>
          <w:bCs/>
          <w:i/>
          <w:sz w:val="18"/>
          <w:szCs w:val="18"/>
          <w:lang w:val="en-GB"/>
        </w:rPr>
      </w:pPr>
      <w:r w:rsidRPr="008861A3">
        <w:rPr>
          <w:rStyle w:val="Zdraznn"/>
          <w:rFonts w:ascii="Arial" w:hAnsi="Arial" w:cs="Arial"/>
          <w:b/>
          <w:i w:val="0"/>
          <w:sz w:val="18"/>
          <w:szCs w:val="18"/>
          <w:lang w:val="en-US"/>
        </w:rPr>
        <w:t xml:space="preserve">From 2020 onwards, data for International trade in goods (change of ownership) are subject to recalculation using an updated method, based on a higher level of detail. See </w:t>
      </w:r>
      <w:hyperlink r:id="rId10" w:history="1">
        <w:r w:rsidR="003262F8" w:rsidRPr="003262F8">
          <w:rPr>
            <w:rStyle w:val="Hypertextovodkaz"/>
            <w:rFonts w:ascii="Arial" w:hAnsi="Arial" w:cs="Arial"/>
            <w:b/>
            <w:sz w:val="18"/>
            <w:szCs w:val="18"/>
            <w:lang w:val="en-US"/>
          </w:rPr>
          <w:t>Update of the compilation method – International trade in goods (change of ownership)</w:t>
        </w:r>
      </w:hyperlink>
      <w:r w:rsidR="003262F8">
        <w:rPr>
          <w:rStyle w:val="Zdraznn"/>
          <w:rFonts w:ascii="Arial" w:hAnsi="Arial" w:cs="Arial"/>
          <w:b/>
          <w:i w:val="0"/>
          <w:sz w:val="18"/>
          <w:szCs w:val="18"/>
          <w:lang w:val="en-US"/>
        </w:rPr>
        <w:t xml:space="preserve"> .</w:t>
      </w:r>
    </w:p>
    <w:p w14:paraId="3BF32B55" w14:textId="20DED59D" w:rsidR="002A7AA3" w:rsidRPr="002A7AA3" w:rsidRDefault="002A7AA3" w:rsidP="002A7AA3">
      <w:pPr>
        <w:jc w:val="both"/>
        <w:rPr>
          <w:rStyle w:val="Zdraznn"/>
          <w:rFonts w:ascii="Arial" w:hAnsi="Arial" w:cs="Arial"/>
          <w:i w:val="0"/>
          <w:sz w:val="18"/>
          <w:szCs w:val="18"/>
          <w:lang w:val="en-GB"/>
        </w:rPr>
      </w:pPr>
      <w:r w:rsidRPr="002A7AA3">
        <w:rPr>
          <w:rStyle w:val="Zdraznn"/>
          <w:rFonts w:ascii="Arial" w:hAnsi="Arial" w:cs="Arial"/>
          <w:i w:val="0"/>
          <w:sz w:val="18"/>
          <w:szCs w:val="18"/>
          <w:lang w:val="en-GB"/>
        </w:rPr>
        <w:t>Since March 2022, in accordance with the methodology of Eurostat, selected data for exports and imports of military equipment and weapons are for safety reasons included in other goods codes and another te</w:t>
      </w:r>
      <w:r>
        <w:rPr>
          <w:rStyle w:val="Zdraznn"/>
          <w:rFonts w:ascii="Arial" w:hAnsi="Arial" w:cs="Arial"/>
          <w:i w:val="0"/>
          <w:sz w:val="18"/>
          <w:szCs w:val="18"/>
          <w:lang w:val="en-GB"/>
        </w:rPr>
        <w:t>rritorial structure so that the </w:t>
      </w:r>
      <w:r w:rsidRPr="002A7AA3">
        <w:rPr>
          <w:rStyle w:val="Zdraznn"/>
          <w:rFonts w:ascii="Arial" w:hAnsi="Arial" w:cs="Arial"/>
          <w:i w:val="0"/>
          <w:sz w:val="18"/>
          <w:szCs w:val="18"/>
          <w:lang w:val="en-GB"/>
        </w:rPr>
        <w:t>macroeconomic aggregate of international trade in goods is not influenced.</w:t>
      </w:r>
    </w:p>
    <w:p w14:paraId="53A15B86" w14:textId="7040F4E6" w:rsidR="004A07F5" w:rsidRPr="002A7AA3" w:rsidRDefault="004A07F5" w:rsidP="002A7AA3">
      <w:pPr>
        <w:jc w:val="both"/>
        <w:rPr>
          <w:rStyle w:val="Zdraznn"/>
          <w:rFonts w:cs="Arial"/>
        </w:rPr>
      </w:pPr>
    </w:p>
    <w:p w14:paraId="070017DD" w14:textId="29A039F3" w:rsidR="004A07F5" w:rsidRPr="002A7AA3" w:rsidRDefault="004A07F5">
      <w:pPr>
        <w:jc w:val="both"/>
        <w:rPr>
          <w:rStyle w:val="Zdraznn"/>
          <w:rFonts w:cs="Arial"/>
          <w:lang w:val="en-US"/>
        </w:rPr>
      </w:pPr>
    </w:p>
    <w:p w14:paraId="02DBEFC1" w14:textId="4A8975BC" w:rsidR="004A07F5" w:rsidRDefault="004A07F5">
      <w:pPr>
        <w:jc w:val="both"/>
        <w:rPr>
          <w:rFonts w:ascii="Arial" w:hAnsi="Arial"/>
          <w:b/>
          <w:bCs/>
          <w:color w:val="FF0000"/>
          <w:sz w:val="18"/>
          <w:szCs w:val="18"/>
          <w:lang w:val="en-GB"/>
        </w:rPr>
      </w:pPr>
    </w:p>
    <w:p w14:paraId="1676971A" w14:textId="5E8F76D7" w:rsidR="004A07F5" w:rsidRDefault="004A07F5">
      <w:pPr>
        <w:jc w:val="both"/>
        <w:rPr>
          <w:rFonts w:ascii="Arial" w:hAnsi="Arial"/>
          <w:b/>
          <w:bCs/>
          <w:color w:val="FF0000"/>
          <w:sz w:val="18"/>
          <w:szCs w:val="18"/>
          <w:lang w:val="en-GB"/>
        </w:rPr>
      </w:pPr>
    </w:p>
    <w:p w14:paraId="40CF115D" w14:textId="62D9EEE8" w:rsidR="004A07F5" w:rsidRDefault="004A07F5">
      <w:pPr>
        <w:jc w:val="both"/>
        <w:rPr>
          <w:rFonts w:ascii="Arial" w:hAnsi="Arial"/>
          <w:b/>
          <w:bCs/>
          <w:color w:val="FF0000"/>
          <w:sz w:val="18"/>
          <w:szCs w:val="18"/>
          <w:lang w:val="en-GB"/>
        </w:rPr>
      </w:pPr>
    </w:p>
    <w:p w14:paraId="13011108" w14:textId="77777777" w:rsidR="002C2B4A" w:rsidRPr="00531339" w:rsidRDefault="002C2B4A">
      <w:pPr>
        <w:jc w:val="both"/>
        <w:rPr>
          <w:rFonts w:ascii="Arial" w:hAnsi="Arial"/>
          <w:b/>
          <w:bCs/>
          <w:sz w:val="18"/>
          <w:lang w:val="en-GB"/>
        </w:rPr>
      </w:pPr>
      <w:r w:rsidRPr="00531339">
        <w:rPr>
          <w:rFonts w:ascii="Arial" w:hAnsi="Arial"/>
          <w:b/>
          <w:bCs/>
          <w:sz w:val="18"/>
          <w:lang w:val="en-GB"/>
        </w:rPr>
        <w:lastRenderedPageBreak/>
        <w:t>_______________________</w:t>
      </w:r>
    </w:p>
    <w:p w14:paraId="2AF71B7A" w14:textId="702587DE" w:rsidR="002134DC" w:rsidRPr="00A53A68" w:rsidRDefault="00D445CE" w:rsidP="00A90B5D">
      <w:pPr>
        <w:spacing w:before="120" w:after="80"/>
        <w:jc w:val="both"/>
        <w:rPr>
          <w:rFonts w:ascii="Arial" w:hAnsi="Arial" w:cs="Arial"/>
          <w:b/>
          <w:sz w:val="18"/>
          <w:szCs w:val="18"/>
          <w:lang w:val="en-GB"/>
        </w:rPr>
      </w:pPr>
      <w:r w:rsidRPr="00A53A68">
        <w:rPr>
          <w:rFonts w:ascii="Arial" w:hAnsi="Arial" w:cs="Arial"/>
          <w:b/>
          <w:sz w:val="18"/>
          <w:szCs w:val="18"/>
          <w:lang w:val="en-GB"/>
        </w:rPr>
        <w:t>The data for individual months of 20</w:t>
      </w:r>
      <w:r w:rsidR="00E44FE5" w:rsidRPr="00A53A68">
        <w:rPr>
          <w:rFonts w:ascii="Arial" w:hAnsi="Arial" w:cs="Arial"/>
          <w:b/>
          <w:sz w:val="18"/>
          <w:szCs w:val="18"/>
          <w:lang w:val="en-GB"/>
        </w:rPr>
        <w:t>2</w:t>
      </w:r>
      <w:r w:rsidR="00A2391E">
        <w:rPr>
          <w:rFonts w:ascii="Arial" w:hAnsi="Arial" w:cs="Arial"/>
          <w:b/>
          <w:sz w:val="18"/>
          <w:szCs w:val="18"/>
          <w:lang w:val="en-GB"/>
        </w:rPr>
        <w:t>3</w:t>
      </w:r>
      <w:r w:rsidRPr="00A53A68">
        <w:rPr>
          <w:rFonts w:ascii="Arial" w:hAnsi="Arial" w:cs="Arial"/>
          <w:b/>
          <w:sz w:val="18"/>
          <w:szCs w:val="18"/>
          <w:lang w:val="en-GB"/>
        </w:rPr>
        <w:t xml:space="preserve"> </w:t>
      </w:r>
      <w:r w:rsidR="004F653C" w:rsidRPr="00A53A68">
        <w:rPr>
          <w:rFonts w:ascii="Arial" w:hAnsi="Arial" w:cs="Arial"/>
          <w:b/>
          <w:sz w:val="18"/>
          <w:szCs w:val="18"/>
          <w:lang w:val="en-GB"/>
        </w:rPr>
        <w:t>and 20</w:t>
      </w:r>
      <w:r w:rsidR="008101D7" w:rsidRPr="00A53A68">
        <w:rPr>
          <w:rFonts w:ascii="Arial" w:hAnsi="Arial" w:cs="Arial"/>
          <w:b/>
          <w:sz w:val="18"/>
          <w:szCs w:val="18"/>
          <w:lang w:val="en-GB"/>
        </w:rPr>
        <w:t>2</w:t>
      </w:r>
      <w:r w:rsidR="00A2391E">
        <w:rPr>
          <w:rFonts w:ascii="Arial" w:hAnsi="Arial" w:cs="Arial"/>
          <w:b/>
          <w:sz w:val="18"/>
          <w:szCs w:val="18"/>
          <w:lang w:val="en-GB"/>
        </w:rPr>
        <w:t>4</w:t>
      </w:r>
      <w:r w:rsidR="004F653C" w:rsidRPr="00A53A68">
        <w:rPr>
          <w:rFonts w:ascii="Arial" w:hAnsi="Arial" w:cs="Arial"/>
          <w:b/>
          <w:sz w:val="18"/>
          <w:szCs w:val="18"/>
          <w:lang w:val="en-GB"/>
        </w:rPr>
        <w:t xml:space="preserve"> </w:t>
      </w:r>
      <w:r w:rsidRPr="00A53A68">
        <w:rPr>
          <w:rFonts w:ascii="Arial" w:hAnsi="Arial" w:cs="Arial"/>
          <w:b/>
          <w:sz w:val="18"/>
          <w:szCs w:val="18"/>
          <w:lang w:val="en-GB"/>
        </w:rPr>
        <w:t xml:space="preserve">are final. </w:t>
      </w:r>
    </w:p>
    <w:p w14:paraId="64E5E8AC" w14:textId="77AC3167" w:rsidR="00CB79E0" w:rsidRPr="00A53A68" w:rsidRDefault="0080527C" w:rsidP="00B73E4B">
      <w:pPr>
        <w:spacing w:after="80"/>
        <w:jc w:val="both"/>
        <w:rPr>
          <w:rFonts w:ascii="Arial" w:hAnsi="Arial" w:cs="Arial"/>
          <w:sz w:val="18"/>
          <w:szCs w:val="18"/>
          <w:lang w:val="en-GB"/>
        </w:rPr>
      </w:pPr>
      <w:r w:rsidRPr="00A53A68">
        <w:rPr>
          <w:rFonts w:ascii="Arial" w:hAnsi="Arial" w:cs="Arial"/>
          <w:sz w:val="18"/>
          <w:szCs w:val="18"/>
          <w:lang w:val="en-GB"/>
        </w:rPr>
        <w:t xml:space="preserve">Casual differences on the last digit position arise from rounding off the </w:t>
      </w:r>
      <w:r w:rsidR="00980FE1" w:rsidRPr="00A53A68">
        <w:rPr>
          <w:rFonts w:ascii="Arial" w:hAnsi="Arial" w:cs="Arial"/>
          <w:sz w:val="18"/>
          <w:szCs w:val="18"/>
          <w:lang w:val="en-GB"/>
        </w:rPr>
        <w:t>figures</w:t>
      </w:r>
      <w:r w:rsidRPr="00A53A68">
        <w:rPr>
          <w:rFonts w:ascii="Arial" w:hAnsi="Arial" w:cs="Arial"/>
          <w:sz w:val="18"/>
          <w:szCs w:val="18"/>
          <w:lang w:val="en-GB"/>
        </w:rPr>
        <w:t>.</w:t>
      </w:r>
    </w:p>
    <w:p w14:paraId="7F619009" w14:textId="48851648" w:rsidR="00F53005" w:rsidRPr="00A53A68" w:rsidRDefault="00D13D88" w:rsidP="00F53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Arial" w:hAnsi="Arial" w:cs="Arial"/>
          <w:sz w:val="18"/>
          <w:szCs w:val="18"/>
          <w:lang w:val="en-GB"/>
        </w:rPr>
      </w:pPr>
      <w:r w:rsidRPr="00A53A68">
        <w:rPr>
          <w:rFonts w:ascii="Arial" w:hAnsi="Arial" w:cs="Arial"/>
          <w:sz w:val="18"/>
          <w:szCs w:val="18"/>
          <w:lang w:val="en-GB"/>
        </w:rPr>
        <w:t>Data on international trade in goods (change of ownership)</w:t>
      </w:r>
      <w:r w:rsidR="00F53005" w:rsidRPr="00A53A68">
        <w:rPr>
          <w:rFonts w:ascii="Arial" w:hAnsi="Arial" w:cs="Arial"/>
          <w:sz w:val="18"/>
          <w:szCs w:val="18"/>
          <w:lang w:val="en-GB"/>
        </w:rPr>
        <w:t xml:space="preserve"> are compiled and published according to the breakdown of the national version of the European Classification of Products by Activity (CZ-CPA).</w:t>
      </w:r>
    </w:p>
    <w:p w14:paraId="5AEC2465" w14:textId="612C028D" w:rsidR="00DD0B51" w:rsidRPr="00A53A68" w:rsidRDefault="00DD0B51" w:rsidP="00DD0B51">
      <w:pPr>
        <w:spacing w:after="120"/>
        <w:jc w:val="both"/>
        <w:rPr>
          <w:rFonts w:ascii="Arial" w:hAnsi="Arial" w:cs="Arial"/>
          <w:sz w:val="18"/>
          <w:szCs w:val="18"/>
          <w:lang w:val="en-GB"/>
        </w:rPr>
      </w:pPr>
      <w:r w:rsidRPr="00A53A68">
        <w:rPr>
          <w:rFonts w:ascii="Arial" w:hAnsi="Arial" w:cs="Arial"/>
          <w:sz w:val="18"/>
          <w:szCs w:val="18"/>
          <w:lang w:val="en-GB"/>
        </w:rPr>
        <w:t>Data on exports are compiled by country of destination and data on imports are compiled by country of origin.</w:t>
      </w:r>
    </w:p>
    <w:p w14:paraId="47D169BE" w14:textId="77777777" w:rsidR="00F53005" w:rsidRPr="00A53A68" w:rsidRDefault="00F53005" w:rsidP="00F53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p>
    <w:p w14:paraId="1A9B49E1" w14:textId="4578D6B3" w:rsidR="00F53005" w:rsidRPr="00A53A68" w:rsidRDefault="00F53005" w:rsidP="00F53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A53A68">
        <w:rPr>
          <w:rFonts w:ascii="Arial" w:hAnsi="Arial" w:cs="Arial"/>
          <w:sz w:val="18"/>
          <w:szCs w:val="18"/>
        </w:rPr>
        <w:t>________________________________</w:t>
      </w:r>
    </w:p>
    <w:p w14:paraId="526E0112" w14:textId="77777777" w:rsidR="00F53005" w:rsidRPr="00A53A68" w:rsidRDefault="00F53005" w:rsidP="00F53005">
      <w:pPr>
        <w:rPr>
          <w:rFonts w:ascii="Arial" w:hAnsi="Arial" w:cs="Arial"/>
          <w:bCs/>
          <w:sz w:val="18"/>
          <w:szCs w:val="18"/>
        </w:rPr>
      </w:pPr>
    </w:p>
    <w:p w14:paraId="175A1CF4" w14:textId="282B3691" w:rsidR="00CB79E0" w:rsidRPr="00A53A68" w:rsidRDefault="00CB79E0" w:rsidP="00CB79E0">
      <w:pPr>
        <w:pStyle w:val="Zkladntext"/>
        <w:spacing w:after="120"/>
        <w:rPr>
          <w:rFonts w:cs="Arial"/>
          <w:iCs/>
          <w:sz w:val="18"/>
          <w:szCs w:val="18"/>
        </w:rPr>
      </w:pPr>
      <w:r w:rsidRPr="00A53A68">
        <w:rPr>
          <w:rFonts w:cs="Arial"/>
          <w:iCs/>
          <w:sz w:val="18"/>
          <w:szCs w:val="18"/>
        </w:rPr>
        <w:t>Since 1999, following a regulation of Eurostat, the Czech Statistical Office has been using the territorial breakdown according to the Geonomenclature (GEONOM). The international standard of GEONOM is binding for the internat</w:t>
      </w:r>
      <w:r w:rsidR="00D13D88" w:rsidRPr="00A53A68">
        <w:rPr>
          <w:rFonts w:cs="Arial"/>
          <w:iCs/>
          <w:sz w:val="18"/>
          <w:szCs w:val="18"/>
        </w:rPr>
        <w:t>ional trade statistics both for </w:t>
      </w:r>
      <w:r w:rsidRPr="00A53A68">
        <w:rPr>
          <w:rFonts w:cs="Arial"/>
          <w:iCs/>
          <w:sz w:val="18"/>
          <w:szCs w:val="18"/>
        </w:rPr>
        <w:t>the trade between the EU Member States and with non-EU countries.</w:t>
      </w:r>
    </w:p>
    <w:p w14:paraId="631BFA3B" w14:textId="749818EE" w:rsidR="008A7F74" w:rsidRPr="00A53A68" w:rsidRDefault="008A7F74" w:rsidP="008A7F74">
      <w:pPr>
        <w:jc w:val="both"/>
        <w:rPr>
          <w:rFonts w:ascii="Arial" w:hAnsi="Arial" w:cs="Arial"/>
          <w:sz w:val="18"/>
          <w:szCs w:val="18"/>
          <w:lang w:val="en-GB"/>
        </w:rPr>
      </w:pPr>
      <w:r w:rsidRPr="00A53A68">
        <w:rPr>
          <w:rFonts w:ascii="Arial" w:hAnsi="Arial" w:cs="Arial"/>
          <w:sz w:val="18"/>
          <w:szCs w:val="18"/>
          <w:lang w:val="en-GB"/>
        </w:rPr>
        <w:t>EU2</w:t>
      </w:r>
      <w:r w:rsidR="008101D7" w:rsidRPr="00A53A68">
        <w:rPr>
          <w:rFonts w:ascii="Arial" w:hAnsi="Arial" w:cs="Arial"/>
          <w:sz w:val="18"/>
          <w:szCs w:val="18"/>
          <w:lang w:val="en-GB"/>
        </w:rPr>
        <w:t>7</w:t>
      </w:r>
      <w:r w:rsidR="0037263B" w:rsidRPr="00A53A68">
        <w:rPr>
          <w:rFonts w:ascii="Arial" w:hAnsi="Arial" w:cs="Arial"/>
          <w:sz w:val="18"/>
          <w:szCs w:val="18"/>
          <w:lang w:val="en-GB"/>
        </w:rPr>
        <w:t xml:space="preserve"> - </w:t>
      </w:r>
      <w:r w:rsidRPr="00A53A68">
        <w:rPr>
          <w:rFonts w:ascii="Arial" w:hAnsi="Arial" w:cs="Arial"/>
          <w:sz w:val="18"/>
          <w:szCs w:val="18"/>
          <w:lang w:val="en-GB"/>
        </w:rPr>
        <w:t>European Union</w:t>
      </w:r>
      <w:r w:rsidR="0037263B" w:rsidRPr="00A53A68">
        <w:rPr>
          <w:rFonts w:ascii="Arial" w:hAnsi="Arial" w:cs="Arial"/>
          <w:sz w:val="18"/>
          <w:szCs w:val="18"/>
          <w:lang w:val="en-GB"/>
        </w:rPr>
        <w:t xml:space="preserve"> (</w:t>
      </w:r>
      <w:r w:rsidR="00CB79E0" w:rsidRPr="00A53A68">
        <w:rPr>
          <w:rFonts w:ascii="Arial" w:hAnsi="Arial" w:cs="Arial"/>
          <w:sz w:val="18"/>
          <w:szCs w:val="18"/>
          <w:lang w:val="en-GB"/>
        </w:rPr>
        <w:t>2</w:t>
      </w:r>
      <w:r w:rsidR="008101D7" w:rsidRPr="00A53A68">
        <w:rPr>
          <w:rFonts w:ascii="Arial" w:hAnsi="Arial" w:cs="Arial"/>
          <w:sz w:val="18"/>
          <w:szCs w:val="18"/>
          <w:lang w:val="en-GB"/>
        </w:rPr>
        <w:t>7</w:t>
      </w:r>
      <w:r w:rsidRPr="00A53A68">
        <w:rPr>
          <w:rFonts w:ascii="Arial" w:hAnsi="Arial" w:cs="Arial"/>
          <w:sz w:val="18"/>
          <w:szCs w:val="18"/>
          <w:lang w:val="en-GB"/>
        </w:rPr>
        <w:t xml:space="preserve"> </w:t>
      </w:r>
      <w:r w:rsidR="00102C59" w:rsidRPr="00A53A68">
        <w:rPr>
          <w:rFonts w:ascii="Arial" w:hAnsi="Arial" w:cs="Arial"/>
          <w:sz w:val="18"/>
          <w:szCs w:val="18"/>
          <w:lang w:val="en-GB"/>
        </w:rPr>
        <w:t>M</w:t>
      </w:r>
      <w:r w:rsidRPr="00A53A68">
        <w:rPr>
          <w:rFonts w:ascii="Arial" w:hAnsi="Arial" w:cs="Arial"/>
          <w:sz w:val="18"/>
          <w:szCs w:val="18"/>
          <w:lang w:val="en-GB"/>
        </w:rPr>
        <w:t xml:space="preserve">ember </w:t>
      </w:r>
      <w:r w:rsidR="00102C59" w:rsidRPr="00A53A68">
        <w:rPr>
          <w:rFonts w:ascii="Arial" w:hAnsi="Arial" w:cs="Arial"/>
          <w:sz w:val="18"/>
          <w:szCs w:val="18"/>
          <w:lang w:val="en-GB"/>
        </w:rPr>
        <w:t>S</w:t>
      </w:r>
      <w:r w:rsidRPr="00A53A68">
        <w:rPr>
          <w:rFonts w:ascii="Arial" w:hAnsi="Arial" w:cs="Arial"/>
          <w:sz w:val="18"/>
          <w:szCs w:val="18"/>
          <w:lang w:val="en-GB"/>
        </w:rPr>
        <w:t>tates of the European Union</w:t>
      </w:r>
      <w:r w:rsidR="0037263B" w:rsidRPr="00A53A68">
        <w:rPr>
          <w:rFonts w:ascii="Arial" w:hAnsi="Arial" w:cs="Arial"/>
          <w:sz w:val="18"/>
          <w:szCs w:val="18"/>
          <w:lang w:val="en-GB"/>
        </w:rPr>
        <w:t>)</w:t>
      </w:r>
      <w:r w:rsidRPr="00A53A68">
        <w:rPr>
          <w:rFonts w:ascii="Arial" w:hAnsi="Arial" w:cs="Arial"/>
          <w:sz w:val="18"/>
          <w:szCs w:val="18"/>
          <w:lang w:val="en-GB"/>
        </w:rPr>
        <w:t xml:space="preserve">: </w:t>
      </w:r>
    </w:p>
    <w:p w14:paraId="435B8AEA" w14:textId="69F39E78" w:rsidR="008A7F74" w:rsidRPr="00A53A68" w:rsidRDefault="008A7F74" w:rsidP="008A7F74">
      <w:pPr>
        <w:spacing w:after="120"/>
        <w:jc w:val="both"/>
        <w:rPr>
          <w:rFonts w:ascii="Arial" w:hAnsi="Arial" w:cs="Arial"/>
          <w:sz w:val="18"/>
          <w:szCs w:val="18"/>
          <w:lang w:val="en-GB"/>
        </w:rPr>
      </w:pPr>
      <w:r w:rsidRPr="00A53A68">
        <w:rPr>
          <w:rFonts w:ascii="Arial" w:hAnsi="Arial" w:cs="Arial"/>
          <w:sz w:val="18"/>
          <w:szCs w:val="18"/>
          <w:lang w:val="en-GB"/>
        </w:rPr>
        <w:t>Austria, Belgium, Bulgaria, Croatia, Cyprus, Czech Republic, Denmark, Estonia, Finland, France, Germany, Greece, Hungary, Ireland, Italy, Latvia, Lithuania, Luxembourg, Malta, Netherlands, Poland, Portugal, Romania, Slovakia, Slovenia, Spain, Sweden</w:t>
      </w:r>
      <w:r w:rsidR="008101D7" w:rsidRPr="00A53A68">
        <w:rPr>
          <w:rFonts w:ascii="Arial" w:hAnsi="Arial" w:cs="Arial"/>
          <w:sz w:val="18"/>
          <w:szCs w:val="18"/>
          <w:lang w:val="en-GB"/>
        </w:rPr>
        <w:t>.</w:t>
      </w:r>
      <w:r w:rsidRPr="00A53A68">
        <w:rPr>
          <w:rFonts w:ascii="Arial" w:hAnsi="Arial" w:cs="Arial"/>
          <w:sz w:val="18"/>
          <w:szCs w:val="18"/>
          <w:lang w:val="en-GB"/>
        </w:rPr>
        <w:t xml:space="preserve"> </w:t>
      </w:r>
    </w:p>
    <w:p w14:paraId="6AE0B03E" w14:textId="7B7FFF7F" w:rsidR="00DD0B51" w:rsidRPr="00A53A68" w:rsidRDefault="00DD0B51" w:rsidP="00DD0B51">
      <w:pPr>
        <w:jc w:val="both"/>
        <w:rPr>
          <w:rFonts w:ascii="Arial" w:hAnsi="Arial" w:cs="Arial"/>
          <w:sz w:val="18"/>
          <w:szCs w:val="18"/>
          <w:lang w:val="en-GB"/>
        </w:rPr>
      </w:pPr>
      <w:r w:rsidRPr="00A53A68">
        <w:rPr>
          <w:rFonts w:ascii="Arial" w:hAnsi="Arial" w:cs="Arial"/>
          <w:sz w:val="18"/>
          <w:szCs w:val="18"/>
          <w:lang w:val="en-GB"/>
        </w:rPr>
        <w:t>Neighbouring countries: Austria, Germany, Poland and Slovakia</w:t>
      </w:r>
    </w:p>
    <w:p w14:paraId="7879A1F8" w14:textId="77777777" w:rsidR="00F53005" w:rsidRPr="00A53A68" w:rsidRDefault="00F53005" w:rsidP="00DD0B51">
      <w:pPr>
        <w:jc w:val="both"/>
        <w:rPr>
          <w:rFonts w:ascii="Arial" w:hAnsi="Arial" w:cs="Arial"/>
          <w:sz w:val="18"/>
          <w:szCs w:val="18"/>
          <w:lang w:val="en-GB"/>
        </w:rPr>
      </w:pPr>
    </w:p>
    <w:p w14:paraId="1FAB2340" w14:textId="0374106A" w:rsidR="00DD0B51" w:rsidRPr="00A53A68" w:rsidRDefault="00DD0B51" w:rsidP="00DD0B51">
      <w:pPr>
        <w:jc w:val="both"/>
        <w:rPr>
          <w:rFonts w:ascii="Arial" w:hAnsi="Arial" w:cs="Arial"/>
          <w:sz w:val="18"/>
          <w:szCs w:val="18"/>
          <w:lang w:val="en-GB"/>
        </w:rPr>
      </w:pPr>
    </w:p>
    <w:p w14:paraId="0ADF4C7D" w14:textId="77777777" w:rsidR="00DD0B51" w:rsidRPr="00A53A68" w:rsidRDefault="00DD0B51" w:rsidP="00DD0B51">
      <w:pPr>
        <w:spacing w:after="40"/>
        <w:jc w:val="both"/>
        <w:rPr>
          <w:rFonts w:ascii="Arial" w:hAnsi="Arial" w:cs="Arial"/>
          <w:sz w:val="18"/>
          <w:szCs w:val="18"/>
          <w:lang w:val="en-GB"/>
        </w:rPr>
      </w:pPr>
      <w:r w:rsidRPr="00A53A68">
        <w:rPr>
          <w:rFonts w:ascii="Arial" w:hAnsi="Arial" w:cs="Arial"/>
          <w:sz w:val="18"/>
          <w:szCs w:val="18"/>
          <w:lang w:val="en-GB"/>
        </w:rPr>
        <w:t>Statistical symbols:</w:t>
      </w:r>
    </w:p>
    <w:p w14:paraId="423EBAC7" w14:textId="77777777" w:rsidR="00DD0B51" w:rsidRPr="00A53A68" w:rsidRDefault="00DD0B51" w:rsidP="00DD0B51">
      <w:pPr>
        <w:tabs>
          <w:tab w:val="left" w:pos="284"/>
          <w:tab w:val="left" w:pos="426"/>
          <w:tab w:val="left" w:pos="993"/>
        </w:tabs>
        <w:ind w:left="284"/>
        <w:jc w:val="both"/>
        <w:rPr>
          <w:rFonts w:ascii="Arial" w:hAnsi="Arial" w:cs="Arial"/>
          <w:sz w:val="18"/>
          <w:szCs w:val="18"/>
          <w:lang w:val="en-GB"/>
        </w:rPr>
      </w:pPr>
    </w:p>
    <w:p w14:paraId="02037347" w14:textId="77777777" w:rsidR="00A5791D" w:rsidRPr="00A53A68" w:rsidRDefault="00A5791D" w:rsidP="007B68AD">
      <w:pPr>
        <w:ind w:left="284"/>
        <w:jc w:val="both"/>
        <w:rPr>
          <w:rFonts w:ascii="Arial" w:hAnsi="Arial" w:cs="Arial"/>
          <w:sz w:val="18"/>
          <w:szCs w:val="18"/>
          <w:lang w:val="en-GB"/>
        </w:rPr>
      </w:pPr>
      <w:r w:rsidRPr="00A53A68">
        <w:rPr>
          <w:rFonts w:ascii="Arial" w:hAnsi="Arial" w:cs="Arial"/>
          <w:sz w:val="18"/>
          <w:szCs w:val="18"/>
          <w:lang w:val="en-GB"/>
        </w:rPr>
        <w:t>0</w:t>
      </w:r>
      <w:r w:rsidRPr="00A53A68">
        <w:rPr>
          <w:rFonts w:ascii="Arial" w:hAnsi="Arial" w:cs="Arial"/>
          <w:sz w:val="18"/>
          <w:szCs w:val="18"/>
          <w:lang w:val="en-GB"/>
        </w:rPr>
        <w:tab/>
        <w:t>the value of exports (imports) is smaller than half of the unit of measure</w:t>
      </w:r>
    </w:p>
    <w:p w14:paraId="596A11C1" w14:textId="77777777" w:rsidR="00A5791D" w:rsidRPr="00A53A68" w:rsidRDefault="00A5791D" w:rsidP="007B68AD">
      <w:pPr>
        <w:ind w:left="284"/>
        <w:jc w:val="both"/>
        <w:rPr>
          <w:rFonts w:ascii="Arial" w:hAnsi="Arial" w:cs="Arial"/>
          <w:sz w:val="18"/>
          <w:szCs w:val="18"/>
          <w:lang w:val="en-GB"/>
        </w:rPr>
      </w:pPr>
      <w:r w:rsidRPr="00A53A68">
        <w:rPr>
          <w:rFonts w:ascii="Arial" w:hAnsi="Arial" w:cs="Arial"/>
          <w:sz w:val="18"/>
          <w:szCs w:val="18"/>
          <w:lang w:val="en-GB"/>
        </w:rPr>
        <w:t>-</w:t>
      </w:r>
      <w:r w:rsidRPr="00A53A68">
        <w:rPr>
          <w:rFonts w:ascii="Arial" w:hAnsi="Arial" w:cs="Arial"/>
          <w:sz w:val="18"/>
          <w:szCs w:val="18"/>
          <w:lang w:val="en-GB"/>
        </w:rPr>
        <w:tab/>
        <w:t>data did not occur in the reference period</w:t>
      </w:r>
    </w:p>
    <w:p w14:paraId="55380456" w14:textId="77777777" w:rsidR="00A5791D" w:rsidRPr="00A53A68" w:rsidRDefault="00A5791D" w:rsidP="007B68AD">
      <w:pPr>
        <w:ind w:left="284"/>
        <w:jc w:val="both"/>
        <w:rPr>
          <w:rFonts w:ascii="Arial" w:hAnsi="Arial" w:cs="Arial"/>
          <w:sz w:val="18"/>
          <w:szCs w:val="18"/>
          <w:lang w:val="en-GB"/>
        </w:rPr>
      </w:pPr>
      <w:r w:rsidRPr="00A53A68">
        <w:rPr>
          <w:rFonts w:ascii="Arial" w:hAnsi="Arial" w:cs="Arial"/>
          <w:sz w:val="18"/>
          <w:szCs w:val="18"/>
          <w:lang w:val="en-GB"/>
        </w:rPr>
        <w:t>.</w:t>
      </w:r>
      <w:r w:rsidRPr="00A53A68">
        <w:rPr>
          <w:rFonts w:ascii="Arial" w:hAnsi="Arial" w:cs="Arial"/>
          <w:sz w:val="18"/>
          <w:szCs w:val="18"/>
          <w:lang w:val="en-GB"/>
        </w:rPr>
        <w:tab/>
        <w:t>data unavailable or inapplicable</w:t>
      </w:r>
    </w:p>
    <w:p w14:paraId="610B454F" w14:textId="77777777" w:rsidR="00A5791D" w:rsidRPr="00A53A68" w:rsidRDefault="00A5791D" w:rsidP="007B68AD">
      <w:pPr>
        <w:ind w:left="284"/>
        <w:jc w:val="both"/>
        <w:rPr>
          <w:rFonts w:ascii="Arial" w:hAnsi="Arial" w:cs="Arial"/>
          <w:sz w:val="18"/>
          <w:szCs w:val="18"/>
          <w:lang w:val="en-GB"/>
        </w:rPr>
      </w:pPr>
      <w:r w:rsidRPr="00A53A68">
        <w:rPr>
          <w:rFonts w:ascii="Arial" w:hAnsi="Arial" w:cs="Arial"/>
          <w:sz w:val="18"/>
          <w:szCs w:val="18"/>
          <w:lang w:val="en-GB"/>
        </w:rPr>
        <w:t>*</w:t>
      </w:r>
      <w:r w:rsidRPr="00A53A68">
        <w:rPr>
          <w:rFonts w:ascii="Arial" w:hAnsi="Arial" w:cs="Arial"/>
          <w:sz w:val="18"/>
          <w:szCs w:val="18"/>
          <w:lang w:val="en-GB"/>
        </w:rPr>
        <w:tab/>
        <w:t>individual data</w:t>
      </w:r>
    </w:p>
    <w:p w14:paraId="16A674E6" w14:textId="086EE163" w:rsidR="00DD0B51" w:rsidRPr="00A53A68" w:rsidRDefault="00A5791D" w:rsidP="007B68AD">
      <w:pPr>
        <w:ind w:left="284"/>
        <w:jc w:val="both"/>
        <w:rPr>
          <w:rFonts w:ascii="Arial" w:hAnsi="Arial" w:cs="Arial"/>
          <w:sz w:val="18"/>
          <w:szCs w:val="18"/>
          <w:lang w:val="en-GB"/>
        </w:rPr>
      </w:pPr>
      <w:r w:rsidRPr="00A53A68">
        <w:rPr>
          <w:rFonts w:ascii="Arial" w:hAnsi="Arial" w:cs="Arial"/>
          <w:sz w:val="18"/>
          <w:szCs w:val="18"/>
          <w:lang w:val="en-GB"/>
        </w:rPr>
        <w:t>x</w:t>
      </w:r>
      <w:r w:rsidRPr="00A53A68">
        <w:rPr>
          <w:rFonts w:ascii="Arial" w:hAnsi="Arial" w:cs="Arial"/>
          <w:sz w:val="18"/>
          <w:szCs w:val="18"/>
          <w:lang w:val="en-GB"/>
        </w:rPr>
        <w:tab/>
        <w:t>with indices, indicates the 100 multiple of the resulting value</w:t>
      </w:r>
    </w:p>
    <w:p w14:paraId="60BC5751" w14:textId="77777777" w:rsidR="008159B4" w:rsidRPr="00396CD0" w:rsidRDefault="008159B4" w:rsidP="008159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7"/>
          <w:szCs w:val="17"/>
        </w:rPr>
      </w:pPr>
      <w:r w:rsidRPr="00396CD0">
        <w:rPr>
          <w:rFonts w:ascii="Arial" w:hAnsi="Arial" w:cs="Arial"/>
          <w:sz w:val="17"/>
          <w:szCs w:val="17"/>
        </w:rPr>
        <w:t>________________________________</w:t>
      </w:r>
    </w:p>
    <w:p w14:paraId="58EEEB0E" w14:textId="77777777" w:rsidR="008159B4" w:rsidRPr="00531339" w:rsidRDefault="008159B4" w:rsidP="00D445CE">
      <w:pPr>
        <w:jc w:val="both"/>
        <w:rPr>
          <w:rFonts w:ascii="Arial" w:hAnsi="Arial" w:cs="Arial"/>
          <w:sz w:val="17"/>
          <w:lang w:val="en-GB"/>
        </w:rPr>
      </w:pPr>
    </w:p>
    <w:p w14:paraId="071E330A" w14:textId="45C50AD8" w:rsidR="00102C59" w:rsidRPr="00102C59" w:rsidRDefault="00102C59" w:rsidP="00D445CE">
      <w:pPr>
        <w:jc w:val="both"/>
        <w:rPr>
          <w:rFonts w:ascii="Arial" w:hAnsi="Arial" w:cs="Arial"/>
          <w:bCs/>
          <w:i/>
          <w:iCs/>
          <w:sz w:val="17"/>
          <w:szCs w:val="17"/>
          <w:lang w:val="en-GB"/>
        </w:rPr>
      </w:pPr>
      <w:bookmarkStart w:id="0" w:name="_GoBack"/>
      <w:bookmarkEnd w:id="0"/>
    </w:p>
    <w:sectPr w:rsidR="00102C59" w:rsidRPr="00102C59" w:rsidSect="008A7F74">
      <w:headerReference w:type="even" r:id="rId11"/>
      <w:footnotePr>
        <w:numRestart w:val="eachPage"/>
      </w:footnotePr>
      <w:pgSz w:w="11906" w:h="16838" w:code="9"/>
      <w:pgMar w:top="1418" w:right="1134" w:bottom="1418" w:left="113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BD476" w14:textId="77777777" w:rsidR="001B471C" w:rsidRDefault="001B471C">
      <w:r>
        <w:separator/>
      </w:r>
    </w:p>
  </w:endnote>
  <w:endnote w:type="continuationSeparator" w:id="0">
    <w:p w14:paraId="6443054B" w14:textId="77777777" w:rsidR="001B471C" w:rsidRDefault="001B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CE oby_ejné">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2703A" w14:textId="77777777" w:rsidR="001B471C" w:rsidRDefault="001B471C">
      <w:r>
        <w:separator/>
      </w:r>
    </w:p>
  </w:footnote>
  <w:footnote w:type="continuationSeparator" w:id="0">
    <w:p w14:paraId="6BCB9DA2" w14:textId="77777777" w:rsidR="001B471C" w:rsidRDefault="001B4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EFA59" w14:textId="77777777" w:rsidR="002C2B4A" w:rsidRDefault="00DF2DF6">
    <w:pPr>
      <w:pStyle w:val="Zhlav"/>
      <w:framePr w:wrap="around" w:vAnchor="text" w:hAnchor="margin" w:xAlign="center" w:y="1"/>
      <w:rPr>
        <w:rStyle w:val="slostrnky"/>
      </w:rPr>
    </w:pPr>
    <w:r>
      <w:rPr>
        <w:rStyle w:val="slostrnky"/>
      </w:rPr>
      <w:fldChar w:fldCharType="begin"/>
    </w:r>
    <w:r w:rsidR="002C2B4A">
      <w:rPr>
        <w:rStyle w:val="slostrnky"/>
      </w:rPr>
      <w:instrText xml:space="preserve">PAGE  </w:instrText>
    </w:r>
    <w:r>
      <w:rPr>
        <w:rStyle w:val="slostrnky"/>
      </w:rPr>
      <w:fldChar w:fldCharType="end"/>
    </w:r>
  </w:p>
  <w:p w14:paraId="4C770C96" w14:textId="77777777" w:rsidR="002C2B4A" w:rsidRDefault="002C2B4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59AE"/>
    <w:multiLevelType w:val="hybridMultilevel"/>
    <w:tmpl w:val="48AED296"/>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15C2598C"/>
    <w:multiLevelType w:val="hybridMultilevel"/>
    <w:tmpl w:val="1654EE9E"/>
    <w:lvl w:ilvl="0" w:tplc="4F2A708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7E9469D"/>
    <w:multiLevelType w:val="hybridMultilevel"/>
    <w:tmpl w:val="D73CA5C4"/>
    <w:lvl w:ilvl="0" w:tplc="F5AEAAA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C4112C5"/>
    <w:multiLevelType w:val="hybridMultilevel"/>
    <w:tmpl w:val="5F966BBC"/>
    <w:lvl w:ilvl="0" w:tplc="5484C1C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defaultTabStop w:val="708"/>
  <w:hyphenationZone w:val="425"/>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F41"/>
    <w:rsid w:val="0000248C"/>
    <w:rsid w:val="00045225"/>
    <w:rsid w:val="000A2C40"/>
    <w:rsid w:val="000B55D7"/>
    <w:rsid w:val="000F4BC6"/>
    <w:rsid w:val="00102C59"/>
    <w:rsid w:val="001146D2"/>
    <w:rsid w:val="00120738"/>
    <w:rsid w:val="0013104C"/>
    <w:rsid w:val="00186B38"/>
    <w:rsid w:val="00191038"/>
    <w:rsid w:val="001A7959"/>
    <w:rsid w:val="001B471C"/>
    <w:rsid w:val="001B5220"/>
    <w:rsid w:val="001D0D59"/>
    <w:rsid w:val="001F5B55"/>
    <w:rsid w:val="002134DC"/>
    <w:rsid w:val="00232F75"/>
    <w:rsid w:val="002850CA"/>
    <w:rsid w:val="002A7AA3"/>
    <w:rsid w:val="002B4BC8"/>
    <w:rsid w:val="002C2B4A"/>
    <w:rsid w:val="002D7806"/>
    <w:rsid w:val="002F5E38"/>
    <w:rsid w:val="003262F8"/>
    <w:rsid w:val="00330EBC"/>
    <w:rsid w:val="00362096"/>
    <w:rsid w:val="0037263B"/>
    <w:rsid w:val="00387F8A"/>
    <w:rsid w:val="003917A8"/>
    <w:rsid w:val="00396CD0"/>
    <w:rsid w:val="003B5FE2"/>
    <w:rsid w:val="003C4594"/>
    <w:rsid w:val="003E274E"/>
    <w:rsid w:val="0043587F"/>
    <w:rsid w:val="00480DA4"/>
    <w:rsid w:val="00487145"/>
    <w:rsid w:val="00487BDF"/>
    <w:rsid w:val="004A07F5"/>
    <w:rsid w:val="004D624A"/>
    <w:rsid w:val="004D6982"/>
    <w:rsid w:val="004F653C"/>
    <w:rsid w:val="00507872"/>
    <w:rsid w:val="005248FF"/>
    <w:rsid w:val="00530488"/>
    <w:rsid w:val="00531339"/>
    <w:rsid w:val="00532165"/>
    <w:rsid w:val="005D55B5"/>
    <w:rsid w:val="005D74AA"/>
    <w:rsid w:val="005E6E6B"/>
    <w:rsid w:val="00601211"/>
    <w:rsid w:val="00635499"/>
    <w:rsid w:val="0064454E"/>
    <w:rsid w:val="00677773"/>
    <w:rsid w:val="00682088"/>
    <w:rsid w:val="006A0405"/>
    <w:rsid w:val="006A6694"/>
    <w:rsid w:val="006D0512"/>
    <w:rsid w:val="006D34B5"/>
    <w:rsid w:val="006D7565"/>
    <w:rsid w:val="00751077"/>
    <w:rsid w:val="00783DF1"/>
    <w:rsid w:val="007B68AD"/>
    <w:rsid w:val="007C6D81"/>
    <w:rsid w:val="00803C77"/>
    <w:rsid w:val="0080527C"/>
    <w:rsid w:val="008070F8"/>
    <w:rsid w:val="0080785A"/>
    <w:rsid w:val="00807A83"/>
    <w:rsid w:val="008101D7"/>
    <w:rsid w:val="00813871"/>
    <w:rsid w:val="00814FAE"/>
    <w:rsid w:val="008158B3"/>
    <w:rsid w:val="008159B4"/>
    <w:rsid w:val="00856CA0"/>
    <w:rsid w:val="00871168"/>
    <w:rsid w:val="008861A3"/>
    <w:rsid w:val="008A13BB"/>
    <w:rsid w:val="008A7F74"/>
    <w:rsid w:val="008B7857"/>
    <w:rsid w:val="008F3F58"/>
    <w:rsid w:val="00914887"/>
    <w:rsid w:val="0095353A"/>
    <w:rsid w:val="009543A4"/>
    <w:rsid w:val="00980FE1"/>
    <w:rsid w:val="009C29B3"/>
    <w:rsid w:val="009D59DD"/>
    <w:rsid w:val="00A1388A"/>
    <w:rsid w:val="00A20088"/>
    <w:rsid w:val="00A218E4"/>
    <w:rsid w:val="00A2391E"/>
    <w:rsid w:val="00A26727"/>
    <w:rsid w:val="00A34C3A"/>
    <w:rsid w:val="00A53A68"/>
    <w:rsid w:val="00A5791D"/>
    <w:rsid w:val="00A6234E"/>
    <w:rsid w:val="00A70F28"/>
    <w:rsid w:val="00A90B5D"/>
    <w:rsid w:val="00AD37B5"/>
    <w:rsid w:val="00AE4F41"/>
    <w:rsid w:val="00AE6A9C"/>
    <w:rsid w:val="00AF65C6"/>
    <w:rsid w:val="00B35F96"/>
    <w:rsid w:val="00B73E4B"/>
    <w:rsid w:val="00B75EB6"/>
    <w:rsid w:val="00BC6FFB"/>
    <w:rsid w:val="00BF2555"/>
    <w:rsid w:val="00C07C2C"/>
    <w:rsid w:val="00C36BE2"/>
    <w:rsid w:val="00C67783"/>
    <w:rsid w:val="00CA28F8"/>
    <w:rsid w:val="00CB79E0"/>
    <w:rsid w:val="00CC1090"/>
    <w:rsid w:val="00CE67E4"/>
    <w:rsid w:val="00D13D88"/>
    <w:rsid w:val="00D24434"/>
    <w:rsid w:val="00D368BD"/>
    <w:rsid w:val="00D445CE"/>
    <w:rsid w:val="00D567DE"/>
    <w:rsid w:val="00DA1D1C"/>
    <w:rsid w:val="00DB688B"/>
    <w:rsid w:val="00DD0B51"/>
    <w:rsid w:val="00DD6AC9"/>
    <w:rsid w:val="00DE35D4"/>
    <w:rsid w:val="00DE3779"/>
    <w:rsid w:val="00DF1EF4"/>
    <w:rsid w:val="00DF2DF6"/>
    <w:rsid w:val="00E1745E"/>
    <w:rsid w:val="00E44FE5"/>
    <w:rsid w:val="00E61392"/>
    <w:rsid w:val="00EA37F1"/>
    <w:rsid w:val="00EC3527"/>
    <w:rsid w:val="00EC4F2A"/>
    <w:rsid w:val="00EE7308"/>
    <w:rsid w:val="00F51A01"/>
    <w:rsid w:val="00F53005"/>
    <w:rsid w:val="00F62944"/>
    <w:rsid w:val="00FC5D25"/>
    <w:rsid w:val="00FE0A47"/>
    <w:rsid w:val="00FF55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A5952"/>
  <w15:docId w15:val="{7AAC4BF9-5895-4C2A-93AB-17B4189B5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51A01"/>
    <w:rPr>
      <w:sz w:val="24"/>
      <w:szCs w:val="24"/>
    </w:rPr>
  </w:style>
  <w:style w:type="paragraph" w:styleId="Nadpis1">
    <w:name w:val="heading 1"/>
    <w:basedOn w:val="Normln"/>
    <w:next w:val="Normln"/>
    <w:qFormat/>
    <w:rsid w:val="00F51A01"/>
    <w:pPr>
      <w:keepNext/>
      <w:outlineLvl w:val="0"/>
    </w:pPr>
    <w:rPr>
      <w:rFonts w:ascii="Arial" w:eastAsia="Batang" w:hAnsi="Arial"/>
      <w:b/>
      <w:bCs/>
      <w:sz w:val="18"/>
    </w:rPr>
  </w:style>
  <w:style w:type="paragraph" w:styleId="Nadpis2">
    <w:name w:val="heading 2"/>
    <w:basedOn w:val="Normln"/>
    <w:next w:val="Normln"/>
    <w:qFormat/>
    <w:rsid w:val="00F51A01"/>
    <w:pPr>
      <w:keepNext/>
      <w:jc w:val="center"/>
      <w:outlineLvl w:val="1"/>
    </w:pPr>
    <w:rPr>
      <w:rFonts w:ascii="Arial" w:hAnsi="Arial"/>
      <w:b/>
      <w:bCs/>
      <w:sz w:val="22"/>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semiHidden/>
    <w:rsid w:val="00F51A01"/>
    <w:rPr>
      <w:sz w:val="20"/>
      <w:szCs w:val="20"/>
    </w:rPr>
  </w:style>
  <w:style w:type="character" w:styleId="Znakapoznpodarou">
    <w:name w:val="footnote reference"/>
    <w:semiHidden/>
    <w:rsid w:val="00F51A01"/>
    <w:rPr>
      <w:vertAlign w:val="superscript"/>
    </w:rPr>
  </w:style>
  <w:style w:type="paragraph" w:styleId="Nzev">
    <w:name w:val="Title"/>
    <w:basedOn w:val="Normln"/>
    <w:qFormat/>
    <w:rsid w:val="00F51A0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pPr>
    <w:rPr>
      <w:rFonts w:ascii="Times New Roman CE oby_ejné" w:hAnsi="Times New Roman CE oby_ejné"/>
      <w:b/>
      <w:bCs/>
      <w:sz w:val="30"/>
      <w:szCs w:val="30"/>
      <w:lang w:val="en-GB"/>
    </w:rPr>
  </w:style>
  <w:style w:type="paragraph" w:styleId="Zkladntext">
    <w:name w:val="Body Text"/>
    <w:basedOn w:val="Normln"/>
    <w:semiHidden/>
    <w:rsid w:val="00F51A01"/>
    <w:pPr>
      <w:jc w:val="both"/>
    </w:pPr>
    <w:rPr>
      <w:rFonts w:ascii="Arial" w:hAnsi="Arial"/>
      <w:sz w:val="22"/>
      <w:lang w:val="en-GB"/>
    </w:rPr>
  </w:style>
  <w:style w:type="paragraph" w:styleId="Zkladntextodsazen">
    <w:name w:val="Body Text Indent"/>
    <w:basedOn w:val="Normln"/>
    <w:semiHidden/>
    <w:rsid w:val="00F51A01"/>
    <w:pPr>
      <w:spacing w:line="360" w:lineRule="auto"/>
      <w:ind w:firstLine="708"/>
      <w:jc w:val="both"/>
    </w:pPr>
    <w:rPr>
      <w:rFonts w:ascii="Arial" w:hAnsi="Arial"/>
      <w:sz w:val="19"/>
    </w:rPr>
  </w:style>
  <w:style w:type="paragraph" w:styleId="Zkladntextodsazen2">
    <w:name w:val="Body Text Indent 2"/>
    <w:basedOn w:val="Normln"/>
    <w:semiHidden/>
    <w:rsid w:val="00F51A01"/>
    <w:pPr>
      <w:spacing w:line="360" w:lineRule="auto"/>
      <w:ind w:firstLine="708"/>
      <w:jc w:val="both"/>
    </w:pPr>
    <w:rPr>
      <w:rFonts w:ascii="Arial" w:hAnsi="Arial"/>
      <w:sz w:val="20"/>
      <w:lang w:val="en-GB"/>
    </w:rPr>
  </w:style>
  <w:style w:type="paragraph" w:styleId="Zhlav">
    <w:name w:val="header"/>
    <w:basedOn w:val="Normln"/>
    <w:semiHidden/>
    <w:rsid w:val="00F51A01"/>
    <w:pPr>
      <w:tabs>
        <w:tab w:val="center" w:pos="4536"/>
        <w:tab w:val="right" w:pos="9072"/>
      </w:tabs>
    </w:pPr>
  </w:style>
  <w:style w:type="character" w:styleId="slostrnky">
    <w:name w:val="page number"/>
    <w:basedOn w:val="Standardnpsmoodstavce"/>
    <w:semiHidden/>
    <w:rsid w:val="00F51A01"/>
  </w:style>
  <w:style w:type="paragraph" w:styleId="Zpat">
    <w:name w:val="footer"/>
    <w:basedOn w:val="Normln"/>
    <w:semiHidden/>
    <w:rsid w:val="00F51A01"/>
    <w:pPr>
      <w:tabs>
        <w:tab w:val="center" w:pos="4536"/>
        <w:tab w:val="right" w:pos="9072"/>
      </w:tabs>
    </w:pPr>
  </w:style>
  <w:style w:type="paragraph" w:styleId="Zkladntextodsazen3">
    <w:name w:val="Body Text Indent 3"/>
    <w:basedOn w:val="Normln"/>
    <w:semiHidden/>
    <w:rsid w:val="00F51A01"/>
    <w:pPr>
      <w:ind w:firstLine="708"/>
      <w:jc w:val="both"/>
    </w:pPr>
    <w:rPr>
      <w:rFonts w:ascii="Arial" w:hAnsi="Arial"/>
      <w:sz w:val="16"/>
      <w:szCs w:val="20"/>
    </w:rPr>
  </w:style>
  <w:style w:type="paragraph" w:styleId="Zkladntext2">
    <w:name w:val="Body Text 2"/>
    <w:basedOn w:val="Normln"/>
    <w:semiHidden/>
    <w:rsid w:val="00F51A01"/>
    <w:pPr>
      <w:jc w:val="both"/>
    </w:pPr>
    <w:rPr>
      <w:rFonts w:ascii="Arial" w:hAnsi="Arial"/>
      <w:sz w:val="20"/>
    </w:rPr>
  </w:style>
  <w:style w:type="paragraph" w:styleId="Zkladntext3">
    <w:name w:val="Body Text 3"/>
    <w:basedOn w:val="Normln"/>
    <w:semiHidden/>
    <w:rsid w:val="00F51A01"/>
    <w:pPr>
      <w:autoSpaceDE w:val="0"/>
      <w:autoSpaceDN w:val="0"/>
      <w:adjustRightInd w:val="0"/>
    </w:pPr>
    <w:rPr>
      <w:rFonts w:ascii="Arial" w:hAnsi="Arial"/>
      <w:sz w:val="18"/>
      <w:szCs w:val="20"/>
      <w:lang w:val="en-GB"/>
    </w:rPr>
  </w:style>
  <w:style w:type="character" w:styleId="Hypertextovodkaz">
    <w:name w:val="Hyperlink"/>
    <w:uiPriority w:val="99"/>
    <w:unhideWhenUsed/>
    <w:rsid w:val="00DE3779"/>
    <w:rPr>
      <w:color w:val="0000FF"/>
      <w:u w:val="single"/>
    </w:rPr>
  </w:style>
  <w:style w:type="character" w:styleId="Zdraznn">
    <w:name w:val="Emphasis"/>
    <w:uiPriority w:val="20"/>
    <w:qFormat/>
    <w:rsid w:val="00DE3779"/>
    <w:rPr>
      <w:i/>
      <w:iCs/>
    </w:rPr>
  </w:style>
  <w:style w:type="paragraph" w:customStyle="1" w:styleId="poznamkytexty">
    <w:name w:val="poznamkytexty"/>
    <w:basedOn w:val="Normln"/>
    <w:rsid w:val="00DE3779"/>
    <w:pPr>
      <w:spacing w:before="100" w:beforeAutospacing="1" w:after="100" w:afterAutospacing="1"/>
    </w:pPr>
  </w:style>
  <w:style w:type="paragraph" w:styleId="Odstavecseseznamem">
    <w:name w:val="List Paragraph"/>
    <w:basedOn w:val="Normln"/>
    <w:uiPriority w:val="34"/>
    <w:qFormat/>
    <w:rsid w:val="00DE3779"/>
    <w:pPr>
      <w:ind w:left="708"/>
    </w:pPr>
  </w:style>
  <w:style w:type="paragraph" w:customStyle="1" w:styleId="poznmky0">
    <w:name w:val="poznmky0"/>
    <w:basedOn w:val="Normln"/>
    <w:rsid w:val="008A7F74"/>
    <w:pPr>
      <w:spacing w:before="100" w:beforeAutospacing="1" w:after="100" w:afterAutospacing="1"/>
    </w:pPr>
  </w:style>
  <w:style w:type="character" w:styleId="Siln">
    <w:name w:val="Strong"/>
    <w:uiPriority w:val="22"/>
    <w:qFormat/>
    <w:rsid w:val="00C67783"/>
    <w:rPr>
      <w:b/>
      <w:bCs/>
    </w:rPr>
  </w:style>
  <w:style w:type="paragraph" w:styleId="Textbubliny">
    <w:name w:val="Balloon Text"/>
    <w:basedOn w:val="Normln"/>
    <w:link w:val="TextbublinyChar"/>
    <w:uiPriority w:val="99"/>
    <w:semiHidden/>
    <w:unhideWhenUsed/>
    <w:rsid w:val="00A2672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26727"/>
    <w:rPr>
      <w:rFonts w:ascii="Segoe UI" w:hAnsi="Segoe UI" w:cs="Segoe UI"/>
      <w:sz w:val="18"/>
      <w:szCs w:val="18"/>
    </w:rPr>
  </w:style>
  <w:style w:type="character" w:styleId="Odkaznakoment">
    <w:name w:val="annotation reference"/>
    <w:basedOn w:val="Standardnpsmoodstavce"/>
    <w:uiPriority w:val="99"/>
    <w:semiHidden/>
    <w:unhideWhenUsed/>
    <w:rsid w:val="005D55B5"/>
    <w:rPr>
      <w:sz w:val="16"/>
      <w:szCs w:val="16"/>
    </w:rPr>
  </w:style>
  <w:style w:type="paragraph" w:styleId="Textkomente">
    <w:name w:val="annotation text"/>
    <w:basedOn w:val="Normln"/>
    <w:link w:val="TextkomenteChar"/>
    <w:uiPriority w:val="99"/>
    <w:unhideWhenUsed/>
    <w:rsid w:val="005D55B5"/>
    <w:rPr>
      <w:sz w:val="20"/>
      <w:szCs w:val="20"/>
    </w:rPr>
  </w:style>
  <w:style w:type="character" w:customStyle="1" w:styleId="TextkomenteChar">
    <w:name w:val="Text komentáře Char"/>
    <w:basedOn w:val="Standardnpsmoodstavce"/>
    <w:link w:val="Textkomente"/>
    <w:uiPriority w:val="99"/>
    <w:rsid w:val="005D55B5"/>
  </w:style>
  <w:style w:type="paragraph" w:styleId="Pedmtkomente">
    <w:name w:val="annotation subject"/>
    <w:basedOn w:val="Textkomente"/>
    <w:next w:val="Textkomente"/>
    <w:link w:val="PedmtkomenteChar"/>
    <w:uiPriority w:val="99"/>
    <w:semiHidden/>
    <w:unhideWhenUsed/>
    <w:rsid w:val="005D55B5"/>
    <w:rPr>
      <w:b/>
      <w:bCs/>
    </w:rPr>
  </w:style>
  <w:style w:type="character" w:customStyle="1" w:styleId="PedmtkomenteChar">
    <w:name w:val="Předmět komentáře Char"/>
    <w:basedOn w:val="TextkomenteChar"/>
    <w:link w:val="Pedmtkomente"/>
    <w:uiPriority w:val="99"/>
    <w:semiHidden/>
    <w:rsid w:val="005D55B5"/>
    <w:rPr>
      <w:b/>
      <w:bCs/>
    </w:rPr>
  </w:style>
  <w:style w:type="character" w:styleId="Sledovanodkaz">
    <w:name w:val="FollowedHyperlink"/>
    <w:basedOn w:val="Standardnpsmoodstavce"/>
    <w:uiPriority w:val="99"/>
    <w:semiHidden/>
    <w:unhideWhenUsed/>
    <w:rsid w:val="003262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00759">
      <w:bodyDiv w:val="1"/>
      <w:marLeft w:val="0"/>
      <w:marRight w:val="0"/>
      <w:marTop w:val="0"/>
      <w:marBottom w:val="0"/>
      <w:divBdr>
        <w:top w:val="none" w:sz="0" w:space="0" w:color="auto"/>
        <w:left w:val="none" w:sz="0" w:space="0" w:color="auto"/>
        <w:bottom w:val="none" w:sz="0" w:space="0" w:color="auto"/>
        <w:right w:val="none" w:sz="0" w:space="0" w:color="auto"/>
      </w:divBdr>
    </w:div>
    <w:div w:id="536504204">
      <w:bodyDiv w:val="1"/>
      <w:marLeft w:val="0"/>
      <w:marRight w:val="0"/>
      <w:marTop w:val="0"/>
      <w:marBottom w:val="0"/>
      <w:divBdr>
        <w:top w:val="none" w:sz="0" w:space="0" w:color="auto"/>
        <w:left w:val="none" w:sz="0" w:space="0" w:color="auto"/>
        <w:bottom w:val="none" w:sz="0" w:space="0" w:color="auto"/>
        <w:right w:val="none" w:sz="0" w:space="0" w:color="auto"/>
      </w:divBdr>
      <w:divsChild>
        <w:div w:id="1609464775">
          <w:marLeft w:val="0"/>
          <w:marRight w:val="0"/>
          <w:marTop w:val="0"/>
          <w:marBottom w:val="0"/>
          <w:divBdr>
            <w:top w:val="none" w:sz="0" w:space="0" w:color="auto"/>
            <w:left w:val="none" w:sz="0" w:space="0" w:color="auto"/>
            <w:bottom w:val="none" w:sz="0" w:space="0" w:color="auto"/>
            <w:right w:val="none" w:sz="0" w:space="0" w:color="auto"/>
          </w:divBdr>
          <w:divsChild>
            <w:div w:id="240405952">
              <w:marLeft w:val="0"/>
              <w:marRight w:val="0"/>
              <w:marTop w:val="0"/>
              <w:marBottom w:val="0"/>
              <w:divBdr>
                <w:top w:val="none" w:sz="0" w:space="0" w:color="auto"/>
                <w:left w:val="none" w:sz="0" w:space="0" w:color="auto"/>
                <w:bottom w:val="none" w:sz="0" w:space="0" w:color="auto"/>
                <w:right w:val="none" w:sz="0" w:space="0" w:color="auto"/>
              </w:divBdr>
              <w:divsChild>
                <w:div w:id="885799160">
                  <w:marLeft w:val="0"/>
                  <w:marRight w:val="0"/>
                  <w:marTop w:val="0"/>
                  <w:marBottom w:val="0"/>
                  <w:divBdr>
                    <w:top w:val="none" w:sz="0" w:space="0" w:color="auto"/>
                    <w:left w:val="none" w:sz="0" w:space="0" w:color="auto"/>
                    <w:bottom w:val="none" w:sz="0" w:space="0" w:color="auto"/>
                    <w:right w:val="none" w:sz="0" w:space="0" w:color="auto"/>
                  </w:divBdr>
                  <w:divsChild>
                    <w:div w:id="875855539">
                      <w:marLeft w:val="0"/>
                      <w:marRight w:val="0"/>
                      <w:marTop w:val="0"/>
                      <w:marBottom w:val="0"/>
                      <w:divBdr>
                        <w:top w:val="none" w:sz="0" w:space="0" w:color="auto"/>
                        <w:left w:val="none" w:sz="0" w:space="0" w:color="auto"/>
                        <w:bottom w:val="none" w:sz="0" w:space="0" w:color="auto"/>
                        <w:right w:val="none" w:sz="0" w:space="0" w:color="auto"/>
                      </w:divBdr>
                      <w:divsChild>
                        <w:div w:id="1247956725">
                          <w:marLeft w:val="0"/>
                          <w:marRight w:val="0"/>
                          <w:marTop w:val="0"/>
                          <w:marBottom w:val="0"/>
                          <w:divBdr>
                            <w:top w:val="none" w:sz="0" w:space="0" w:color="auto"/>
                            <w:left w:val="none" w:sz="0" w:space="0" w:color="auto"/>
                            <w:bottom w:val="none" w:sz="0" w:space="0" w:color="auto"/>
                            <w:right w:val="none" w:sz="0" w:space="0" w:color="auto"/>
                          </w:divBdr>
                          <w:divsChild>
                            <w:div w:id="1052774980">
                              <w:marLeft w:val="0"/>
                              <w:marRight w:val="0"/>
                              <w:marTop w:val="0"/>
                              <w:marBottom w:val="0"/>
                              <w:divBdr>
                                <w:top w:val="none" w:sz="0" w:space="0" w:color="auto"/>
                                <w:left w:val="none" w:sz="0" w:space="0" w:color="auto"/>
                                <w:bottom w:val="none" w:sz="0" w:space="0" w:color="auto"/>
                                <w:right w:val="none" w:sz="0" w:space="0" w:color="auto"/>
                              </w:divBdr>
                              <w:divsChild>
                                <w:div w:id="4927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1035041">
      <w:bodyDiv w:val="1"/>
      <w:marLeft w:val="0"/>
      <w:marRight w:val="0"/>
      <w:marTop w:val="0"/>
      <w:marBottom w:val="0"/>
      <w:divBdr>
        <w:top w:val="none" w:sz="0" w:space="0" w:color="auto"/>
        <w:left w:val="none" w:sz="0" w:space="0" w:color="auto"/>
        <w:bottom w:val="none" w:sz="0" w:space="0" w:color="auto"/>
        <w:right w:val="none" w:sz="0" w:space="0" w:color="auto"/>
      </w:divBdr>
    </w:div>
    <w:div w:id="148859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su.gov.cz/produkty/changes-in-international-trade-statistic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su.gov.cz/update-of-the-compilation-method-international-trade-in-goods-change-of-ownership" TargetMode="External"/><Relationship Id="rId4" Type="http://schemas.openxmlformats.org/officeDocument/2006/relationships/settings" Target="settings.xml"/><Relationship Id="rId9" Type="http://schemas.openxmlformats.org/officeDocument/2006/relationships/hyperlink" Target="https://csu.gov.cz/2-vzonu_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A36FA-D197-4C25-93D5-64116DDE4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1012</Words>
  <Characters>5975</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Metodická poznámka ke statistice</vt:lpstr>
    </vt:vector>
  </TitlesOfParts>
  <Company>csu</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Metodická poznámka ke statistice</dc:title>
  <dc:creator>csu</dc:creator>
  <cp:lastModifiedBy>Bartlová Monika</cp:lastModifiedBy>
  <cp:revision>23</cp:revision>
  <cp:lastPrinted>2017-01-30T08:27:00Z</cp:lastPrinted>
  <dcterms:created xsi:type="dcterms:W3CDTF">2020-09-23T08:55:00Z</dcterms:created>
  <dcterms:modified xsi:type="dcterms:W3CDTF">2025-09-15T12:59:00Z</dcterms:modified>
</cp:coreProperties>
</file>