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97" w:rsidRDefault="00965797" w:rsidP="00965797">
      <w:pPr>
        <w:pStyle w:val="Nadpis11"/>
      </w:pPr>
      <w:bookmarkStart w:id="0" w:name="_Toc5708396"/>
      <w:r w:rsidRPr="009110F7">
        <w:t>8. Státní rozpočet</w:t>
      </w:r>
      <w:bookmarkEnd w:id="0"/>
    </w:p>
    <w:tbl>
      <w:tblPr>
        <w:tblW w:w="9644" w:type="dxa"/>
        <w:tblInd w:w="-20" w:type="dxa"/>
        <w:tblCellMar>
          <w:left w:w="0" w:type="dxa"/>
          <w:right w:w="0" w:type="dxa"/>
        </w:tblCellMar>
        <w:tblLook w:val="00A0"/>
      </w:tblPr>
      <w:tblGrid>
        <w:gridCol w:w="1816"/>
        <w:gridCol w:w="21"/>
        <w:gridCol w:w="206"/>
        <w:gridCol w:w="28"/>
        <w:gridCol w:w="7573"/>
      </w:tblGrid>
      <w:tr w:rsidR="0074499B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Statní rozpočet vykázal celoroční přebytek hospodaření teprve podruhé po roce 1995.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200"/>
              <w:rPr>
                <w:spacing w:val="-2"/>
              </w:rPr>
            </w:pPr>
            <w:r>
              <w:rPr>
                <w:spacing w:val="-2"/>
              </w:rPr>
              <w:t xml:space="preserve">Saldo hospodaření </w:t>
            </w:r>
            <w:r w:rsidRPr="000C638B">
              <w:rPr>
                <w:spacing w:val="-2"/>
              </w:rPr>
              <w:t>státní</w:t>
            </w:r>
            <w:r>
              <w:rPr>
                <w:spacing w:val="-2"/>
              </w:rPr>
              <w:t>ho rozpoč</w:t>
            </w:r>
            <w:r w:rsidRPr="000C638B">
              <w:rPr>
                <w:spacing w:val="-2"/>
              </w:rPr>
              <w:t>t</w:t>
            </w:r>
            <w:r>
              <w:rPr>
                <w:spacing w:val="-2"/>
              </w:rPr>
              <w:t>u</w:t>
            </w:r>
            <w:r w:rsidRPr="000C638B">
              <w:rPr>
                <w:spacing w:val="-2"/>
              </w:rPr>
              <w:t xml:space="preserve"> (SR)</w:t>
            </w:r>
            <w:r w:rsidRPr="000C638B">
              <w:rPr>
                <w:rStyle w:val="Znakapoznpodarou"/>
                <w:spacing w:val="-2"/>
              </w:rPr>
              <w:footnoteReference w:id="1"/>
            </w:r>
            <w:r>
              <w:rPr>
                <w:spacing w:val="-2"/>
              </w:rPr>
              <w:t xml:space="preserve"> dosáhlo v roce 2018 výše +2,9 mld. korun. Šlo o druhý nejlepší výsledek po roce 1995 a zároveň pátý celoroční přebytek v historii samostatné ČR. Výsledné saldo loni – podobně jako v letech 2016 i 2017 – výrazně předčilo rozpočtové očekávání (o více než 50 mld. korun). Na hospodaření státu měl i</w:t>
            </w:r>
            <w:r w:rsidRPr="000C638B">
              <w:rPr>
                <w:spacing w:val="-2"/>
              </w:rPr>
              <w:t xml:space="preserve"> přes náznaky zpomalování </w:t>
            </w:r>
            <w:r>
              <w:rPr>
                <w:spacing w:val="-2"/>
              </w:rPr>
              <w:t xml:space="preserve">stále </w:t>
            </w:r>
            <w:r w:rsidRPr="000C638B">
              <w:rPr>
                <w:spacing w:val="-2"/>
              </w:rPr>
              <w:t xml:space="preserve">klíčový vliv </w:t>
            </w:r>
            <w:r>
              <w:rPr>
                <w:spacing w:val="-2"/>
              </w:rPr>
              <w:t xml:space="preserve">ekonomický růst, v druhé polovině roku posílil i význam veřejných investic (nejprve orientovaných hlavně na evropské projekty, na sklonku roku více i na výhradně národní projekty). Celkové příjmy SR loni proti roku 2017 posílily o 130 mld. korun, výdaje o 121 mld. – obě složky rozpočtu rostly svižněji, než činilo jejich rozpočtové očekávání (o 5,8 p. </w:t>
            </w:r>
            <w:proofErr w:type="spellStart"/>
            <w:r>
              <w:rPr>
                <w:spacing w:val="-2"/>
              </w:rPr>
              <w:t>b</w:t>
            </w:r>
            <w:proofErr w:type="spellEnd"/>
            <w:r>
              <w:rPr>
                <w:spacing w:val="-2"/>
              </w:rPr>
              <w:t xml:space="preserve">., </w:t>
            </w:r>
            <w:proofErr w:type="spellStart"/>
            <w:r>
              <w:rPr>
                <w:spacing w:val="-2"/>
              </w:rPr>
              <w:t>resp</w:t>
            </w:r>
            <w:proofErr w:type="spellEnd"/>
            <w:r>
              <w:rPr>
                <w:spacing w:val="-2"/>
              </w:rPr>
              <w:t xml:space="preserve"> o 1,8 p. </w:t>
            </w:r>
            <w:proofErr w:type="spellStart"/>
            <w:r>
              <w:rPr>
                <w:spacing w:val="-2"/>
              </w:rPr>
              <w:t>b</w:t>
            </w:r>
            <w:proofErr w:type="spellEnd"/>
            <w:r>
              <w:rPr>
                <w:spacing w:val="-2"/>
              </w:rPr>
              <w:t>.).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Saldo SR, jež představuje dominantní pol</w:t>
            </w:r>
            <w:r w:rsidRPr="000C638B">
              <w:rPr>
                <w:rFonts w:cs="Arial"/>
                <w:color w:val="0D0D0D" w:themeColor="text1" w:themeTint="F2"/>
                <w:spacing w:val="-2"/>
              </w:rPr>
              <w:t>ožku deficitu či přebytku hospodaření sektoru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vládních institucí, čítalo v</w:t>
            </w:r>
            <w:r w:rsidRPr="000C638B">
              <w:rPr>
                <w:color w:val="0D0D0D" w:themeColor="text1" w:themeTint="F2"/>
                <w:spacing w:val="-2"/>
              </w:rPr>
              <w:t> </w:t>
            </w:r>
            <w:r w:rsidRPr="000C638B">
              <w:rPr>
                <w:rFonts w:cs="Arial"/>
                <w:color w:val="0D0D0D" w:themeColor="text1" w:themeTint="F2"/>
                <w:spacing w:val="-2"/>
              </w:rPr>
              <w:t>relaci k</w:t>
            </w:r>
            <w:r w:rsidRPr="000C638B">
              <w:rPr>
                <w:color w:val="0D0D0D" w:themeColor="text1" w:themeTint="F2"/>
                <w:spacing w:val="-2"/>
              </w:rPr>
              <w:t> </w:t>
            </w:r>
            <w:r w:rsidRPr="000C638B">
              <w:rPr>
                <w:rFonts w:cs="Arial"/>
                <w:color w:val="000000" w:themeColor="text1"/>
                <w:spacing w:val="-2"/>
              </w:rPr>
              <w:t xml:space="preserve">nominálnímu </w:t>
            </w:r>
            <w:r>
              <w:rPr>
                <w:rFonts w:cs="Arial"/>
                <w:color w:val="000000" w:themeColor="text1"/>
                <w:spacing w:val="-2"/>
              </w:rPr>
              <w:t>HDP za první tři letošní čtvrtletí</w:t>
            </w:r>
            <w:r w:rsidRPr="000C638B">
              <w:rPr>
                <w:rFonts w:cs="Arial"/>
                <w:color w:val="000000" w:themeColor="text1"/>
                <w:spacing w:val="-2"/>
              </w:rPr>
              <w:t xml:space="preserve"> </w:t>
            </w:r>
            <w:r>
              <w:rPr>
                <w:rFonts w:cs="Arial"/>
                <w:color w:val="000000" w:themeColor="text1"/>
                <w:spacing w:val="-2"/>
              </w:rPr>
              <w:t>+0,1</w:t>
            </w:r>
            <w:r w:rsidRPr="000C638B">
              <w:rPr>
                <w:rFonts w:cs="Arial"/>
                <w:color w:val="000000" w:themeColor="text1"/>
                <w:spacing w:val="-2"/>
              </w:rPr>
              <w:t> %</w:t>
            </w:r>
            <w:r>
              <w:rPr>
                <w:rFonts w:cs="Arial"/>
                <w:color w:val="000000" w:themeColor="text1"/>
                <w:spacing w:val="-2"/>
              </w:rPr>
              <w:t>.</w:t>
            </w:r>
          </w:p>
        </w:tc>
      </w:tr>
      <w:tr w:rsidR="0074499B" w:rsidRPr="000B394E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Celostátní výběr všech daňových příjmů rostl nejsilnějším tempem od konjunkturního roku 2007.</w:t>
            </w: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  <w:r>
              <w:t>Výběr většiny hlavních daňových příjmů kopíroval rozpočtové očekávání, výrazněji ho ale překonal u inkasa pojistného na SZ.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Pr="000B394E" w:rsidRDefault="00BB453F" w:rsidP="00BB453F">
            <w:pPr>
              <w:spacing w:after="200"/>
              <w:rPr>
                <w:spacing w:val="-4"/>
              </w:rPr>
            </w:pPr>
            <w:r>
              <w:rPr>
                <w:spacing w:val="-2"/>
              </w:rPr>
              <w:t>K meziročnímu růstu příjmů SR přispěly loni z více než třetiny</w:t>
            </w:r>
            <w:r w:rsidRPr="00A22B93">
              <w:rPr>
                <w:spacing w:val="-2"/>
              </w:rPr>
              <w:t xml:space="preserve"> </w:t>
            </w:r>
            <w:r>
              <w:rPr>
                <w:bCs/>
              </w:rPr>
              <w:t>nedaňové a</w:t>
            </w:r>
            <w:r w:rsidRPr="000C638B">
              <w:rPr>
                <w:spacing w:val="-2"/>
              </w:rPr>
              <w:t> </w:t>
            </w:r>
            <w:r>
              <w:rPr>
                <w:bCs/>
              </w:rPr>
              <w:t>kapitálové příjmy a</w:t>
            </w:r>
            <w:r w:rsidRPr="000C638B">
              <w:rPr>
                <w:spacing w:val="-2"/>
              </w:rPr>
              <w:t> </w:t>
            </w:r>
            <w:r>
              <w:rPr>
                <w:bCs/>
              </w:rPr>
              <w:t>přijaté transfery (+47 mld. korun</w:t>
            </w:r>
            <w:r>
              <w:rPr>
                <w:rStyle w:val="Znakapoznpodarou"/>
                <w:bCs/>
              </w:rPr>
              <w:footnoteReference w:id="2"/>
            </w:r>
            <w:r>
              <w:rPr>
                <w:bCs/>
              </w:rPr>
              <w:t>). Dominantně ale působily</w:t>
            </w:r>
            <w:r>
              <w:rPr>
                <w:spacing w:val="-2"/>
              </w:rPr>
              <w:t xml:space="preserve"> daňové příjmy, jež </w:t>
            </w:r>
            <w:r>
              <w:rPr>
                <w:spacing w:val="-4"/>
              </w:rPr>
              <w:t>vzrostly meziročně o 7,2</w:t>
            </w:r>
            <w:r w:rsidRPr="00DF56DC">
              <w:rPr>
                <w:spacing w:val="-4"/>
              </w:rPr>
              <w:t xml:space="preserve"> </w:t>
            </w:r>
            <w:r>
              <w:rPr>
                <w:spacing w:val="-4"/>
              </w:rPr>
              <w:t>% (bez zahrnutí pojistného na sociální zabezpečení</w:t>
            </w:r>
            <w:r w:rsidRPr="00DF56DC">
              <w:rPr>
                <w:spacing w:val="-4"/>
              </w:rPr>
              <w:t xml:space="preserve"> </w:t>
            </w:r>
            <w:r>
              <w:rPr>
                <w:spacing w:val="-4"/>
              </w:rPr>
              <w:t>– SZ o</w:t>
            </w:r>
            <w:r>
              <w:rPr>
                <w:spacing w:val="-2"/>
              </w:rPr>
              <w:t xml:space="preserve"> </w:t>
            </w:r>
            <w:r w:rsidR="00CE47B8">
              <w:rPr>
                <w:spacing w:val="2"/>
              </w:rPr>
              <w:t> </w:t>
            </w:r>
            <w:r>
              <w:rPr>
                <w:spacing w:val="-4"/>
              </w:rPr>
              <w:t>5,8 %).</w:t>
            </w:r>
            <w:r w:rsidRPr="00DF56DC">
              <w:rPr>
                <w:spacing w:val="-4"/>
              </w:rPr>
              <w:t xml:space="preserve"> Vzhledem ke změně rozpočtového určení daní, je</w:t>
            </w:r>
            <w:r>
              <w:rPr>
                <w:spacing w:val="-4"/>
              </w:rPr>
              <w:t>ž</w:t>
            </w:r>
            <w:r w:rsidRPr="00DF56DC">
              <w:rPr>
                <w:spacing w:val="-4"/>
              </w:rPr>
              <w:t xml:space="preserve"> od ledna </w:t>
            </w:r>
            <w:r>
              <w:rPr>
                <w:spacing w:val="-4"/>
              </w:rPr>
              <w:t xml:space="preserve">2018 </w:t>
            </w:r>
            <w:r w:rsidRPr="00272095">
              <w:rPr>
                <w:spacing w:val="-4"/>
              </w:rPr>
              <w:t xml:space="preserve">přesměrovala </w:t>
            </w:r>
            <w:r>
              <w:rPr>
                <w:spacing w:val="-4"/>
              </w:rPr>
              <w:t xml:space="preserve">další </w:t>
            </w:r>
            <w:r w:rsidRPr="00272095">
              <w:rPr>
                <w:spacing w:val="-4"/>
              </w:rPr>
              <w:t>část celkového</w:t>
            </w:r>
            <w:r w:rsidRPr="00DF56DC">
              <w:rPr>
                <w:spacing w:val="-4"/>
              </w:rPr>
              <w:t xml:space="preserve"> inkasa (u DPH) místním rozpočtům na úkor SR, vypovídá o</w:t>
            </w:r>
            <w:r>
              <w:rPr>
                <w:spacing w:val="-2"/>
              </w:rPr>
              <w:t> </w:t>
            </w:r>
            <w:r w:rsidRPr="00DF56DC">
              <w:rPr>
                <w:spacing w:val="-4"/>
              </w:rPr>
              <w:t>skutečné dynamice výb</w:t>
            </w:r>
            <w:r>
              <w:rPr>
                <w:spacing w:val="-4"/>
              </w:rPr>
              <w:t>ěru daní lépe</w:t>
            </w:r>
            <w:r w:rsidRPr="00DF56DC">
              <w:rPr>
                <w:spacing w:val="-4"/>
              </w:rPr>
              <w:t xml:space="preserve"> jeho celostátní tempo</w:t>
            </w:r>
            <w:r>
              <w:rPr>
                <w:spacing w:val="-4"/>
              </w:rPr>
              <w:t>. Dle něj posílilo celkové daňové inkaso o 8,2 %, nejsilněji od konjunkturního roku 2007. Projevila se dlouhodobě dobrá kondice tuzemské ekonomiky (reflektovaná na trhu práce), z menší části patrně i</w:t>
            </w:r>
            <w:r w:rsidRPr="000C638B">
              <w:rPr>
                <w:spacing w:val="-2"/>
              </w:rPr>
              <w:t> </w:t>
            </w:r>
            <w:r>
              <w:rPr>
                <w:spacing w:val="-4"/>
              </w:rPr>
              <w:t xml:space="preserve">efektivita výběru daní. K </w:t>
            </w:r>
            <w:r w:rsidRPr="00DF56DC">
              <w:rPr>
                <w:spacing w:val="-4"/>
              </w:rPr>
              <w:t xml:space="preserve">růstu </w:t>
            </w:r>
            <w:r>
              <w:rPr>
                <w:spacing w:val="-4"/>
              </w:rPr>
              <w:t xml:space="preserve">příjmů SR loni </w:t>
            </w:r>
            <w:r w:rsidRPr="00DF56DC">
              <w:rPr>
                <w:spacing w:val="-4"/>
              </w:rPr>
              <w:t>nejvíce přispěly vyšší výběr pojistnéh</w:t>
            </w:r>
            <w:r>
              <w:rPr>
                <w:spacing w:val="-4"/>
              </w:rPr>
              <w:t>o na SZ (+46,9</w:t>
            </w:r>
            <w:r w:rsidRPr="000C638B">
              <w:rPr>
                <w:spacing w:val="-2"/>
              </w:rPr>
              <w:t> </w:t>
            </w:r>
            <w:r>
              <w:rPr>
                <w:spacing w:val="-4"/>
              </w:rPr>
              <w:t>mld. korun),</w:t>
            </w:r>
            <w:r w:rsidRPr="00DF56DC">
              <w:rPr>
                <w:spacing w:val="-4"/>
              </w:rPr>
              <w:t xml:space="preserve"> </w:t>
            </w:r>
            <w:r>
              <w:rPr>
                <w:spacing w:val="-4"/>
              </w:rPr>
              <w:t>daň z příjmů fyzických osob (+17,9 mld.) a DPH (+13,0</w:t>
            </w:r>
            <w:r w:rsidRPr="00DF56DC">
              <w:rPr>
                <w:spacing w:val="-4"/>
              </w:rPr>
              <w:t xml:space="preserve"> mld.)</w:t>
            </w:r>
            <w:r>
              <w:rPr>
                <w:spacing w:val="-4"/>
              </w:rPr>
              <w:t xml:space="preserve">. Zatímco inkaso daňových příjmů (bez pojistného na SZ) skončilo dle rozpočtového očekávání, výběr pojistného na SZ jej předčilo o 16,2 mld. korun, resp. 3,3 p. </w:t>
            </w:r>
            <w:proofErr w:type="spellStart"/>
            <w:r>
              <w:rPr>
                <w:spacing w:val="-4"/>
              </w:rPr>
              <w:t>b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74499B" w:rsidRPr="00F704D2" w:rsidTr="00723435">
        <w:trPr>
          <w:trHeight w:val="170"/>
        </w:trPr>
        <w:tc>
          <w:tcPr>
            <w:tcW w:w="1816" w:type="dxa"/>
            <w:vMerge w:val="restart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0" w:line="240" w:lineRule="auto"/>
              <w:rPr>
                <w:rFonts w:cs="Arial"/>
                <w:bCs/>
              </w:rPr>
            </w:pPr>
            <w:r w:rsidRPr="00C06323">
              <w:rPr>
                <w:rFonts w:cs="Arial"/>
                <w:b/>
                <w:bCs/>
                <w:color w:val="000000"/>
                <w:szCs w:val="20"/>
              </w:rPr>
              <w:t xml:space="preserve">Graf č. </w:t>
            </w:r>
            <w:proofErr w:type="gramStart"/>
            <w:r>
              <w:rPr>
                <w:rFonts w:cs="Arial"/>
                <w:b/>
                <w:bCs/>
                <w:color w:val="000000"/>
                <w:szCs w:val="20"/>
              </w:rPr>
              <w:t>1</w:t>
            </w:r>
            <w:r w:rsidR="00E378B1">
              <w:rPr>
                <w:rFonts w:cs="Arial"/>
                <w:b/>
                <w:bCs/>
                <w:color w:val="000000"/>
                <w:szCs w:val="20"/>
              </w:rPr>
              <w:t>8</w:t>
            </w:r>
            <w:r w:rsidRPr="00631BC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</w:rPr>
              <w:t>Celostátní</w:t>
            </w:r>
            <w:proofErr w:type="gramEnd"/>
            <w:r>
              <w:rPr>
                <w:rFonts w:cs="Arial"/>
                <w:b/>
                <w:bCs/>
              </w:rPr>
              <w:t xml:space="preserve"> inkasa vybraných daňových příjmů </w:t>
            </w:r>
            <w:r>
              <w:rPr>
                <w:rFonts w:cs="Arial"/>
                <w:bCs/>
              </w:rPr>
              <w:t>(</w:t>
            </w:r>
            <w:r w:rsidRPr="00E62A33">
              <w:rPr>
                <w:spacing w:val="-2"/>
              </w:rPr>
              <w:t>meziročně</w:t>
            </w:r>
            <w:r w:rsidRPr="00E62A33">
              <w:rPr>
                <w:bCs/>
                <w:spacing w:val="-2"/>
              </w:rPr>
              <w:t xml:space="preserve"> v</w:t>
            </w:r>
            <w:r>
              <w:rPr>
                <w:bCs/>
                <w:spacing w:val="-2"/>
              </w:rPr>
              <w:t> %</w:t>
            </w:r>
            <w:r w:rsidRPr="00E62A33">
              <w:rPr>
                <w:bCs/>
                <w:spacing w:val="-2"/>
              </w:rPr>
              <w:t>)</w:t>
            </w:r>
          </w:p>
          <w:p w:rsidR="0074499B" w:rsidRPr="00F704D2" w:rsidRDefault="0074499B" w:rsidP="00723435">
            <w:pPr>
              <w:spacing w:after="0" w:line="24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a saldo státního rozpočtu</w:t>
            </w:r>
            <w:r>
              <w:t xml:space="preserve"> </w:t>
            </w:r>
            <w:r>
              <w:rPr>
                <w:rFonts w:cs="Arial"/>
                <w:bCs/>
              </w:rPr>
              <w:t>(v mld. korun)</w:t>
            </w:r>
          </w:p>
        </w:tc>
      </w:tr>
      <w:tr w:rsidR="0074499B" w:rsidTr="00723435">
        <w:trPr>
          <w:trHeight w:val="170"/>
        </w:trPr>
        <w:tc>
          <w:tcPr>
            <w:tcW w:w="1816" w:type="dxa"/>
            <w:vMerge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vMerge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0"/>
            </w:pPr>
            <w:r w:rsidRPr="000339DE">
              <w:rPr>
                <w:noProof/>
              </w:rPr>
              <w:drawing>
                <wp:inline distT="0" distB="0" distL="0" distR="0">
                  <wp:extent cx="4741960" cy="3388037"/>
                  <wp:effectExtent l="19050" t="0" r="1490" b="0"/>
                  <wp:docPr id="2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74499B" w:rsidRPr="007B3A78" w:rsidTr="00723435">
        <w:trPr>
          <w:trHeight w:val="170"/>
        </w:trPr>
        <w:tc>
          <w:tcPr>
            <w:tcW w:w="1816" w:type="dxa"/>
            <w:vMerge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vMerge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Pr="007B3A78" w:rsidRDefault="0074499B" w:rsidP="00723435">
            <w:pPr>
              <w:spacing w:after="0" w:line="240" w:lineRule="auto"/>
              <w:jc w:val="left"/>
              <w:rPr>
                <w:rFonts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Zdroj: MF ČR</w:t>
            </w:r>
          </w:p>
        </w:tc>
      </w:tr>
      <w:tr w:rsidR="0074499B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lastRenderedPageBreak/>
              <w:t>Meziroční navýšení inkasa DPH loni mírně předčilo tempo růstu výdajů na konečnou spotřebu v celé ekonomice.</w:t>
            </w: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  <w:r>
              <w:t>Vyšší inkaso spotřebních daní bylo taženo hlavně výběrem daně z tabákových výrobků.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220"/>
              <w:rPr>
                <w:spacing w:val="-4"/>
              </w:rPr>
            </w:pPr>
            <w:r>
              <w:rPr>
                <w:spacing w:val="-4"/>
              </w:rPr>
              <w:t>V případě DPH, představující váhově dominantní daň, činil loni meziroční růst celostátního inkasa 8,3 % (na úrovni SR 4,9 %). Byť růstové tempo proti roku 2017 zv</w:t>
            </w:r>
            <w:r w:rsidRPr="00616414">
              <w:rPr>
                <w:color w:val="0D0D0D" w:themeColor="text1" w:themeTint="F2"/>
                <w:spacing w:val="-4"/>
              </w:rPr>
              <w:t xml:space="preserve">olnilo, stále mírně převyšovalo dynamiku </w:t>
            </w:r>
            <w:r w:rsidRPr="00616414">
              <w:rPr>
                <w:rFonts w:cs="Arial"/>
                <w:color w:val="0D0D0D" w:themeColor="text1" w:themeTint="F2"/>
                <w:spacing w:val="-4"/>
              </w:rPr>
              <w:t>výdajů na konečnou spotřebu v ekonomice, která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v roce 2018</w:t>
            </w:r>
            <w:r w:rsidRPr="00616414">
              <w:rPr>
                <w:rFonts w:cs="Arial"/>
                <w:color w:val="0D0D0D" w:themeColor="text1" w:themeTint="F2"/>
                <w:spacing w:val="-4"/>
              </w:rPr>
              <w:t xml:space="preserve"> posílila nominálně o </w:t>
            </w:r>
            <w:r w:rsidRPr="006422EB">
              <w:rPr>
                <w:rFonts w:cs="Arial"/>
                <w:color w:val="0D0D0D" w:themeColor="text1" w:themeTint="F2"/>
                <w:spacing w:val="-4"/>
              </w:rPr>
              <w:t>6,7 %</w:t>
            </w:r>
            <w:r w:rsidRPr="00616414">
              <w:rPr>
                <w:rFonts w:cs="Arial"/>
                <w:color w:val="0D0D0D" w:themeColor="text1" w:themeTint="F2"/>
                <w:spacing w:val="-4"/>
              </w:rPr>
              <w:t>).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Růstové tempo výběru spotřebních daní zůstalo loni (stejně jako v předešlém roce) těsně pod 3% hranicí. K vyššímu inkasu přispěl zejména svižně rostoucí výběr daně z tabákových výrobků (+6 %). Rozpočtem očekávaný negativní dopad</w:t>
            </w:r>
            <w:r w:rsidRPr="009D4D1C">
              <w:rPr>
                <w:rFonts w:cs="Arial"/>
                <w:color w:val="000000" w:themeColor="text1"/>
                <w:spacing w:val="-4"/>
                <w:szCs w:val="20"/>
              </w:rPr>
              <w:t xml:space="preserve"> přijetí protikuřáckého zákona (platného od června 2017</w:t>
            </w:r>
            <w:r>
              <w:rPr>
                <w:rFonts w:cs="Arial"/>
                <w:color w:val="000000" w:themeColor="text1"/>
                <w:spacing w:val="-4"/>
                <w:szCs w:val="20"/>
              </w:rPr>
              <w:t xml:space="preserve">) </w:t>
            </w:r>
            <w:r w:rsidR="00A468E7">
              <w:rPr>
                <w:rFonts w:cs="Arial"/>
                <w:color w:val="000000" w:themeColor="text1"/>
                <w:spacing w:val="-4"/>
                <w:szCs w:val="20"/>
              </w:rPr>
              <w:br/>
            </w:r>
            <w:r>
              <w:rPr>
                <w:rFonts w:cs="Arial"/>
                <w:color w:val="000000" w:themeColor="text1"/>
                <w:spacing w:val="-4"/>
                <w:szCs w:val="20"/>
              </w:rPr>
              <w:t>se ukázal jako</w:t>
            </w:r>
            <w:r w:rsidRPr="009D4D1C">
              <w:rPr>
                <w:rFonts w:cs="Arial"/>
                <w:color w:val="000000" w:themeColor="text1"/>
                <w:spacing w:val="-4"/>
                <w:szCs w:val="20"/>
              </w:rPr>
              <w:t xml:space="preserve"> méně </w:t>
            </w:r>
            <w:r>
              <w:rPr>
                <w:rFonts w:cs="Arial"/>
                <w:color w:val="000000" w:themeColor="text1"/>
                <w:spacing w:val="-4"/>
                <w:szCs w:val="20"/>
              </w:rPr>
              <w:t>významný než</w:t>
            </w:r>
            <w:r w:rsidRPr="009D4D1C">
              <w:rPr>
                <w:rFonts w:cs="Arial"/>
                <w:color w:val="000000" w:themeColor="text1"/>
                <w:spacing w:val="-4"/>
                <w:szCs w:val="20"/>
              </w:rPr>
              <w:t xml:space="preserve"> vliv opětovného navýšení sazeb </w:t>
            </w:r>
            <w:r>
              <w:rPr>
                <w:rFonts w:cs="Arial"/>
                <w:color w:val="000000" w:themeColor="text1"/>
                <w:spacing w:val="-4"/>
                <w:szCs w:val="20"/>
              </w:rPr>
              <w:t>u tabákových výrobků (</w:t>
            </w:r>
            <w:r w:rsidRPr="009D4D1C">
              <w:rPr>
                <w:rFonts w:cs="Arial"/>
                <w:color w:val="000000" w:themeColor="text1"/>
                <w:spacing w:val="-4"/>
                <w:szCs w:val="20"/>
              </w:rPr>
              <w:t>od ledna 2018).</w:t>
            </w:r>
            <w:r>
              <w:rPr>
                <w:rFonts w:cs="Arial"/>
                <w:color w:val="000000" w:themeColor="text1"/>
                <w:spacing w:val="-4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pacing w:val="-4"/>
              </w:rPr>
              <w:t>Výběr váhově dominantn</w:t>
            </w:r>
            <w:r w:rsidRPr="009D4D1C">
              <w:rPr>
                <w:rFonts w:cs="Arial"/>
                <w:color w:val="000000" w:themeColor="text1"/>
                <w:spacing w:val="-4"/>
              </w:rPr>
              <w:t>í skupiny – daně z minerálních ole</w:t>
            </w:r>
            <w:r>
              <w:rPr>
                <w:rFonts w:cs="Arial"/>
                <w:color w:val="000000" w:themeColor="text1"/>
                <w:spacing w:val="-4"/>
              </w:rPr>
              <w:t>jů – se navýšil jen o 1,2 %</w:t>
            </w:r>
            <w:r>
              <w:rPr>
                <w:rStyle w:val="Znakapoznpodarou"/>
                <w:color w:val="000000" w:themeColor="text1"/>
                <w:spacing w:val="-4"/>
              </w:rPr>
              <w:footnoteReference w:id="3"/>
            </w:r>
            <w:r>
              <w:rPr>
                <w:rFonts w:cs="Arial"/>
                <w:color w:val="000000" w:themeColor="text1"/>
                <w:spacing w:val="-4"/>
              </w:rPr>
              <w:t xml:space="preserve"> a dosáhl nejslabšího růstu za posledních pět let. V</w:t>
            </w:r>
            <w:r w:rsidRPr="009D4D1C">
              <w:rPr>
                <w:rFonts w:cs="Arial"/>
                <w:color w:val="000000" w:themeColor="text1"/>
                <w:spacing w:val="-4"/>
              </w:rPr>
              <w:t xml:space="preserve">liv pozitivního dopadu hospodářského růstu na osobní </w:t>
            </w:r>
            <w:r>
              <w:rPr>
                <w:rFonts w:cs="Arial"/>
                <w:color w:val="000000" w:themeColor="text1"/>
                <w:spacing w:val="-4"/>
              </w:rPr>
              <w:t>i</w:t>
            </w:r>
            <w:r w:rsidRPr="009D4D1C">
              <w:rPr>
                <w:rFonts w:cs="Arial"/>
                <w:color w:val="000000" w:themeColor="text1"/>
                <w:spacing w:val="-4"/>
              </w:rPr>
              <w:t> </w:t>
            </w:r>
            <w:r>
              <w:rPr>
                <w:rFonts w:cs="Arial"/>
                <w:color w:val="000000" w:themeColor="text1"/>
                <w:spacing w:val="-4"/>
              </w:rPr>
              <w:t>nákladní dopravu byl tlumen</w:t>
            </w:r>
            <w:r w:rsidRPr="009D4D1C">
              <w:rPr>
                <w:rFonts w:cs="Arial"/>
                <w:color w:val="000000" w:themeColor="text1"/>
                <w:spacing w:val="-4"/>
              </w:rPr>
              <w:t xml:space="preserve"> negativní</w:t>
            </w:r>
            <w:r>
              <w:rPr>
                <w:rFonts w:cs="Arial"/>
                <w:color w:val="000000" w:themeColor="text1"/>
                <w:spacing w:val="-4"/>
              </w:rPr>
              <w:t>m</w:t>
            </w:r>
            <w:r w:rsidRPr="009D4D1C">
              <w:rPr>
                <w:rFonts w:cs="Arial"/>
                <w:color w:val="000000" w:themeColor="text1"/>
                <w:spacing w:val="-4"/>
              </w:rPr>
              <w:t xml:space="preserve"> efekt</w:t>
            </w:r>
            <w:r>
              <w:rPr>
                <w:rFonts w:cs="Arial"/>
                <w:color w:val="000000" w:themeColor="text1"/>
                <w:spacing w:val="-4"/>
              </w:rPr>
              <w:t>em</w:t>
            </w:r>
            <w:r w:rsidRPr="009D4D1C">
              <w:rPr>
                <w:rFonts w:cs="Arial"/>
                <w:color w:val="000000" w:themeColor="text1"/>
                <w:spacing w:val="-4"/>
              </w:rPr>
              <w:t xml:space="preserve"> spojený</w:t>
            </w:r>
            <w:r>
              <w:rPr>
                <w:rFonts w:cs="Arial"/>
                <w:color w:val="000000" w:themeColor="text1"/>
                <w:spacing w:val="-4"/>
              </w:rPr>
              <w:t>m</w:t>
            </w:r>
            <w:r w:rsidRPr="009D4D1C">
              <w:rPr>
                <w:rFonts w:cs="Arial"/>
                <w:color w:val="000000" w:themeColor="text1"/>
                <w:spacing w:val="-4"/>
              </w:rPr>
              <w:t xml:space="preserve"> s administrativními a cenovými vlivy</w:t>
            </w:r>
            <w:r w:rsidRPr="009D4D1C">
              <w:rPr>
                <w:rStyle w:val="Znakapoznpodarou"/>
                <w:color w:val="000000" w:themeColor="text1"/>
                <w:spacing w:val="-4"/>
              </w:rPr>
              <w:footnoteReference w:id="4"/>
            </w:r>
            <w:r w:rsidRPr="009D4D1C">
              <w:rPr>
                <w:rFonts w:cs="Arial"/>
                <w:color w:val="000000" w:themeColor="text1"/>
                <w:spacing w:val="-4"/>
              </w:rPr>
              <w:t>.</w:t>
            </w:r>
          </w:p>
        </w:tc>
      </w:tr>
      <w:tr w:rsidR="0074499B" w:rsidRPr="008E4F8A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Tempo výběru daně z příjmů fyzických osob ze závislé činnosti (DPFO) dále posilovalo.</w:t>
            </w: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  <w:r>
              <w:t xml:space="preserve">Naopak růst inkasa DPFO </w:t>
            </w:r>
            <w:r w:rsidRPr="00E12BB3">
              <w:rPr>
                <w:rFonts w:cs="Arial"/>
                <w:spacing w:val="-4"/>
              </w:rPr>
              <w:t>ze sam</w:t>
            </w:r>
            <w:r>
              <w:rPr>
                <w:rFonts w:cs="Arial"/>
                <w:spacing w:val="-4"/>
              </w:rPr>
              <w:t xml:space="preserve">ostatné výdělečné činnosti, jakož i </w:t>
            </w:r>
            <w:proofErr w:type="spellStart"/>
            <w:r>
              <w:rPr>
                <w:rFonts w:cs="Arial"/>
                <w:spacing w:val="-4"/>
              </w:rPr>
              <w:t>korporátní</w:t>
            </w:r>
            <w:proofErr w:type="spellEnd"/>
            <w:r>
              <w:rPr>
                <w:rFonts w:cs="Arial"/>
                <w:spacing w:val="-4"/>
              </w:rPr>
              <w:t xml:space="preserve"> daně zvolnily</w:t>
            </w:r>
            <w:r>
              <w:t xml:space="preserve"> a rozpočtová očekávání nenaplnily.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Pr="008E4F8A" w:rsidRDefault="0074499B" w:rsidP="00723435">
            <w:pPr>
              <w:spacing w:after="200"/>
              <w:rPr>
                <w:spacing w:val="-2"/>
              </w:rPr>
            </w:pPr>
            <w:r>
              <w:rPr>
                <w:rFonts w:cs="Arial"/>
                <w:color w:val="000000" w:themeColor="text1"/>
                <w:spacing w:val="-4"/>
              </w:rPr>
              <w:t xml:space="preserve">K růstu celostátního výběru přímých daní přispěly loni všechny jejich hlavní druhy </w:t>
            </w:r>
            <w:r w:rsidR="00767777">
              <w:rPr>
                <w:rFonts w:cs="Arial"/>
                <w:color w:val="000000" w:themeColor="text1"/>
                <w:spacing w:val="-4"/>
              </w:rPr>
              <w:br/>
            </w:r>
            <w:r w:rsidRPr="009D4D1C">
              <w:rPr>
                <w:rFonts w:cs="Arial"/>
                <w:color w:val="000000" w:themeColor="text1"/>
                <w:spacing w:val="-4"/>
              </w:rPr>
              <w:t>–</w:t>
            </w:r>
            <w:r>
              <w:rPr>
                <w:rFonts w:cs="Arial"/>
                <w:color w:val="000000" w:themeColor="text1"/>
                <w:spacing w:val="-4"/>
              </w:rPr>
              <w:t xml:space="preserve"> nejvíce daň </w:t>
            </w:r>
            <w:r w:rsidRPr="00E12BB3">
              <w:rPr>
                <w:rFonts w:cs="Arial"/>
                <w:color w:val="0D0D0D" w:themeColor="text1" w:themeTint="F2"/>
                <w:spacing w:val="-4"/>
              </w:rPr>
              <w:t>z příjmů fyzických osob (DPFO) ze závislé činnosti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Její meziroční růst vyšplhal na 14,4 % (navzdory vysoké základně roku 2017) a docílil vyššího tempa než v konjunkturním období minulé dekády. Přestože výběr této daně dosahoval dvouciferného tempa již osm kvartálů v řadě, v posledním loňském čtvrtletí jeho dynamika lehce oslabila (na +12,8 %). To patrně souviselo se zvolňujícím tempem růstu zaměstnanosti. Zatímco celoroční inkaso DPFO ze závislé činnosti sílilo již čtvrtým rokem v řadě, růstové tempo výběru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korporátní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daně loni zvolnilo na pětileté minimum (+2,0 %). To odráželo klesající ziskovost podniků zejména působením sílících mzdových nákladů v letech 2017 i 2018. Inkaso </w:t>
            </w:r>
            <w:r w:rsidRPr="00E12BB3">
              <w:rPr>
                <w:rFonts w:cs="Arial"/>
                <w:spacing w:val="-4"/>
              </w:rPr>
              <w:t>DPFO ze sam</w:t>
            </w:r>
            <w:r>
              <w:rPr>
                <w:rFonts w:cs="Arial"/>
                <w:spacing w:val="-4"/>
              </w:rPr>
              <w:t xml:space="preserve">ostatné výdělečné činnosti loni vzrostlo </w:t>
            </w:r>
            <w:r w:rsidRPr="00A570AE">
              <w:rPr>
                <w:rFonts w:cs="Arial"/>
                <w:spacing w:val="-4"/>
                <w:szCs w:val="20"/>
              </w:rPr>
              <w:t>o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 w:rsidRPr="00A570AE">
              <w:rPr>
                <w:rFonts w:cs="Arial"/>
                <w:spacing w:val="-4"/>
                <w:szCs w:val="20"/>
              </w:rPr>
              <w:t>2,9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 w:rsidRPr="00A570AE">
              <w:rPr>
                <w:rFonts w:cs="Arial"/>
                <w:spacing w:val="-4"/>
                <w:szCs w:val="20"/>
              </w:rPr>
              <w:t xml:space="preserve">% (o rok dříve o 11,2 %). Navzdory </w:t>
            </w:r>
            <w:r w:rsidRPr="00A570AE">
              <w:rPr>
                <w:szCs w:val="20"/>
              </w:rPr>
              <w:t xml:space="preserve">mírnému posilování počtu podnikajících osob i </w:t>
            </w:r>
            <w:r w:rsidRPr="00A570AE">
              <w:rPr>
                <w:rFonts w:cs="Arial"/>
                <w:spacing w:val="-4"/>
                <w:szCs w:val="20"/>
              </w:rPr>
              <w:t>opatřením směřujícím k vyšší efektivitě výběru daně zůstalo loňské inkaso (na rozdíl od roku 2017) za rozpočtovým očekáváním. Proti silnějšímu růstu</w:t>
            </w:r>
            <w:r>
              <w:rPr>
                <w:rFonts w:cs="Arial"/>
                <w:spacing w:val="-4"/>
                <w:szCs w:val="20"/>
              </w:rPr>
              <w:t xml:space="preserve"> inkasa</w:t>
            </w:r>
            <w:r w:rsidRPr="00A570AE">
              <w:rPr>
                <w:rFonts w:cs="Arial"/>
                <w:spacing w:val="-4"/>
                <w:szCs w:val="20"/>
              </w:rPr>
              <w:t xml:space="preserve"> působily</w:t>
            </w:r>
            <w:r>
              <w:rPr>
                <w:rFonts w:cs="Arial"/>
                <w:spacing w:val="-4"/>
                <w:szCs w:val="20"/>
              </w:rPr>
              <w:t xml:space="preserve"> </w:t>
            </w:r>
            <w:r w:rsidRPr="00A570AE">
              <w:rPr>
                <w:rFonts w:cs="Arial"/>
                <w:spacing w:val="-4"/>
                <w:szCs w:val="20"/>
              </w:rPr>
              <w:t>změny v možnostech daňových odpočtů (</w:t>
            </w:r>
            <w:r w:rsidRPr="00A570AE">
              <w:rPr>
                <w:szCs w:val="20"/>
              </w:rPr>
              <w:t>slevy na druhého z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 w:rsidRPr="00A570AE">
              <w:rPr>
                <w:szCs w:val="20"/>
              </w:rPr>
              <w:t>manželů a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 w:rsidRPr="00A570AE">
              <w:rPr>
                <w:szCs w:val="20"/>
              </w:rPr>
              <w:t>daňového zvýhodnění na děti).</w:t>
            </w:r>
            <w:r>
              <w:rPr>
                <w:rFonts w:cs="Arial"/>
                <w:spacing w:val="-4"/>
              </w:rPr>
              <w:t xml:space="preserve"> </w:t>
            </w:r>
            <w:r>
              <w:rPr>
                <w:szCs w:val="20"/>
              </w:rPr>
              <w:t>Příznivě se naopak vyvíjelo i</w:t>
            </w:r>
            <w:r w:rsidRPr="00F9009F">
              <w:rPr>
                <w:szCs w:val="20"/>
              </w:rPr>
              <w:t>nkaso DPFO z kapitálových výnosů</w:t>
            </w:r>
            <w:r>
              <w:rPr>
                <w:szCs w:val="20"/>
              </w:rPr>
              <w:t>,</w:t>
            </w:r>
            <w:r w:rsidRPr="00F9009F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jež loni vzrostlo o 15,1 % </w:t>
            </w:r>
            <w:r w:rsidRPr="009D4D1C">
              <w:rPr>
                <w:rFonts w:cs="Arial"/>
                <w:color w:val="000000" w:themeColor="text1"/>
                <w:spacing w:val="-4"/>
              </w:rPr>
              <w:t>–</w:t>
            </w:r>
            <w:r>
              <w:rPr>
                <w:szCs w:val="20"/>
              </w:rPr>
              <w:t xml:space="preserve"> nejvyšším tempem za poslední čtyři roky.</w:t>
            </w:r>
          </w:p>
        </w:tc>
      </w:tr>
      <w:tr w:rsidR="0074499B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 xml:space="preserve">Čistá pozice ČR vůči rozpočtu EU loni klesla na sedmileté minimum. Posílily příjmy ze strukturálních fondů i na rozvoj venkova. 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220"/>
              <w:rPr>
                <w:spacing w:val="-4"/>
              </w:rPr>
            </w:pPr>
            <w:r>
              <w:rPr>
                <w:spacing w:val="-4"/>
              </w:rPr>
              <w:t>Veřejné finance ČR jsou významně ovlivňovány i finančními vztahy s EU. V roce 2018 získalo Česko z rozpočtu EU (dle údajů MF) 94,8 mld. korun. V meziročním srovnání se tento objem významně nezměnil (-3,5 %), k posunům ale došlo ve struktuře. Vzrostl objem prostředků ze strukturálních fondů (+8,3 mld. korun) a na rozvoj venkova (+1,6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>
              <w:rPr>
                <w:spacing w:val="-4"/>
              </w:rPr>
              <w:t>mld.), oslabila naopak role kohezních fondů (-12,3 mld.). Čistá pozice ČR vůči rozpočtu EU se loni snížila na sedmileté minimum (+45,3 mld. korun). To souviselo s</w:t>
            </w:r>
            <w:r w:rsidRPr="00A570AE">
              <w:rPr>
                <w:rFonts w:cs="Arial"/>
                <w:color w:val="0D0D0D" w:themeColor="text1" w:themeTint="F2"/>
                <w:spacing w:val="-4"/>
                <w:szCs w:val="20"/>
              </w:rPr>
              <w:t> </w:t>
            </w:r>
            <w:r>
              <w:rPr>
                <w:spacing w:val="-4"/>
              </w:rPr>
              <w:t>rychlostí čerpání prostředků, jejich relativně nižším celkovým objemem (ve srovnání s minulým programovým obdobím 2007</w:t>
            </w:r>
            <w:r w:rsidRPr="009D4D1C">
              <w:rPr>
                <w:rFonts w:cs="Arial"/>
                <w:color w:val="000000" w:themeColor="text1"/>
                <w:spacing w:val="-4"/>
              </w:rPr>
              <w:t>–</w:t>
            </w:r>
            <w:r>
              <w:rPr>
                <w:spacing w:val="-4"/>
              </w:rPr>
              <w:t>2013) i rostoucími příspěvky ČR do rozpočtu EU (loni 49,6 mld. korun, meziročně o šestinu více).</w:t>
            </w:r>
          </w:p>
        </w:tc>
      </w:tr>
      <w:tr w:rsidR="0074499B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Svižný růst výdajů SR byl loni tažen jak běžnými výdaji, tak i investicemi.</w:t>
            </w: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</w:p>
          <w:p w:rsidR="0074499B" w:rsidRDefault="0074499B" w:rsidP="00723435">
            <w:pPr>
              <w:pStyle w:val="Marginlie"/>
            </w:pPr>
            <w:r>
              <w:lastRenderedPageBreak/>
              <w:t>Investice loni významně předčily rozpočtové očekávání jen díky zrychlenému předfinancování „evropských projektů“.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220"/>
              <w:rPr>
                <w:spacing w:val="-4"/>
              </w:rPr>
            </w:pPr>
            <w:r>
              <w:rPr>
                <w:spacing w:val="-4"/>
              </w:rPr>
              <w:t xml:space="preserve">Růst celkových výdajů SR dosáhl loni meziročně 9,5 % a zrychloval již druhým rokem v řadě. Z více než dvou třetin byl tažen běžnými výdaji, na rozdíl od let 2016 i 2017 se ale projevil i vliv vyšších kapitálových výdajů. Státní rozpočet loni proinvestoval 119,6 mld. korun, meziročně o bezmála polovinu více. Podobně jako v roce 2017 byla patrná výrazná nepravidelnost čerpání investic v průběhu roku, neboť polovina jejich celoročního objemu připadala na 4. čtvrtletí. Na rozdíl od let 2016 i 2017 loňský objem investic předčil rozpočtové očekávání (o více než čtvrtinu). Mírně nadpoloviční podíl investic (64,7 mld. </w:t>
            </w:r>
            <w:r>
              <w:rPr>
                <w:spacing w:val="-4"/>
              </w:rPr>
              <w:lastRenderedPageBreak/>
              <w:t>korun) směřoval na předfinancování společných programů ČR a EU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 xml:space="preserve"> (meziročně o</w:t>
            </w:r>
            <w:r w:rsidR="00CE47B8">
              <w:rPr>
                <w:spacing w:val="2"/>
              </w:rPr>
              <w:t> </w:t>
            </w:r>
            <w:r>
              <w:rPr>
                <w:spacing w:val="-4"/>
              </w:rPr>
              <w:t>27,3</w:t>
            </w:r>
            <w:r w:rsidR="00CE47B8">
              <w:rPr>
                <w:spacing w:val="2"/>
              </w:rPr>
              <w:t> </w:t>
            </w:r>
            <w:r>
              <w:rPr>
                <w:spacing w:val="-4"/>
              </w:rPr>
              <w:t>mld. více).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Zatímco ve 3. čtvrtletí 2018 bylo zrychlení růstu investic SR taženo oživením čerpání prostředků z evropských fondů, v poslední části roku výrazněji přispěly hlavně vyšší výdaje na </w:t>
            </w:r>
            <w:r w:rsidRPr="006D18B3">
              <w:rPr>
                <w:spacing w:val="-4"/>
              </w:rPr>
              <w:t>výhradně národní projekty (bez vztahu k EU)</w:t>
            </w:r>
            <w:r w:rsidRPr="006D18B3">
              <w:rPr>
                <w:rStyle w:val="Znakapoznpodarou"/>
                <w:spacing w:val="-4"/>
              </w:rPr>
              <w:footnoteReference w:id="6"/>
            </w:r>
            <w:r>
              <w:rPr>
                <w:spacing w:val="-4"/>
              </w:rPr>
              <w:t>. Navzdory tomuto zlepšení činil v roce 2018 podíl investic na celkových výdajích SR „jen“ 8,5 %. Šlo o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>nejvyšší hodnotu za poslední tři roky, ale zároveň i třetí nejnižší za posledních 14 let.</w:t>
            </w:r>
          </w:p>
        </w:tc>
      </w:tr>
      <w:tr w:rsidR="0074499B" w:rsidRPr="00DC43A2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Pr="00DC43A2" w:rsidRDefault="00E378B1" w:rsidP="00723435">
            <w:pPr>
              <w:pStyle w:val="Textpoznpodarou"/>
              <w:rPr>
                <w:spacing w:val="-2"/>
              </w:rPr>
            </w:pPr>
            <w:r>
              <w:rPr>
                <w:b/>
                <w:spacing w:val="-2"/>
              </w:rPr>
              <w:t>Graf č. 19</w:t>
            </w:r>
            <w:r w:rsidR="0074499B" w:rsidRPr="00DC43A2">
              <w:rPr>
                <w:b/>
                <w:spacing w:val="-2"/>
              </w:rPr>
              <w:t xml:space="preserve"> </w:t>
            </w:r>
            <w:r w:rsidR="0074499B" w:rsidRPr="00DC43A2">
              <w:rPr>
                <w:rFonts w:cs="Arial"/>
                <w:b/>
                <w:bCs/>
                <w:spacing w:val="-2"/>
              </w:rPr>
              <w:t>Vybrané výdaje státního rozpočtu</w:t>
            </w:r>
            <w:r w:rsidR="0074499B" w:rsidRPr="00DC43A2">
              <w:rPr>
                <w:rFonts w:cs="Arial"/>
                <w:bCs/>
                <w:spacing w:val="-2"/>
              </w:rPr>
              <w:t xml:space="preserve"> (v mld. korun)</w:t>
            </w:r>
          </w:p>
        </w:tc>
      </w:tr>
      <w:tr w:rsidR="0074499B" w:rsidRPr="00970E6F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Pr="00970E6F" w:rsidRDefault="0074499B" w:rsidP="00723435">
            <w:pPr>
              <w:spacing w:after="0" w:line="240" w:lineRule="auto"/>
              <w:rPr>
                <w:spacing w:val="-2"/>
                <w:szCs w:val="20"/>
              </w:rPr>
            </w:pPr>
            <w:r w:rsidRPr="0043026B">
              <w:rPr>
                <w:noProof/>
                <w:spacing w:val="-2"/>
                <w:szCs w:val="20"/>
              </w:rPr>
              <w:drawing>
                <wp:inline distT="0" distB="0" distL="0" distR="0">
                  <wp:extent cx="4800572" cy="3567164"/>
                  <wp:effectExtent l="19050" t="0" r="28" b="0"/>
                  <wp:docPr id="2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74499B" w:rsidRPr="00343AC1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Bez výdajů na obsluhu státního dluhu a výdajů na realizaci záruk.</w:t>
            </w:r>
          </w:p>
          <w:p w:rsidR="0074499B" w:rsidRDefault="0074499B" w:rsidP="00723435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**Zahrnuje i dávky pěstounské péče.</w:t>
            </w:r>
          </w:p>
          <w:p w:rsidR="0074499B" w:rsidRDefault="0074499B" w:rsidP="00723435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***Zahrnuje d</w:t>
            </w:r>
            <w:r w:rsidRPr="007E5880">
              <w:rPr>
                <w:sz w:val="14"/>
                <w:szCs w:val="14"/>
              </w:rPr>
              <w:t>ávky pomoci</w:t>
            </w:r>
            <w:r>
              <w:rPr>
                <w:sz w:val="14"/>
                <w:szCs w:val="14"/>
              </w:rPr>
              <w:t xml:space="preserve"> v hmotné</w:t>
            </w:r>
            <w:r w:rsidRPr="007E588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</w:t>
            </w:r>
            <w:r w:rsidRPr="007E5880">
              <w:rPr>
                <w:sz w:val="14"/>
                <w:szCs w:val="14"/>
              </w:rPr>
              <w:t>ouzi,</w:t>
            </w:r>
            <w:r>
              <w:rPr>
                <w:sz w:val="14"/>
                <w:szCs w:val="14"/>
              </w:rPr>
              <w:t xml:space="preserve"> dávky osobám se zdravotním</w:t>
            </w:r>
            <w:r w:rsidRPr="007E588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</w:t>
            </w:r>
            <w:r w:rsidRPr="007E5880">
              <w:rPr>
                <w:sz w:val="14"/>
                <w:szCs w:val="14"/>
              </w:rPr>
              <w:t>ostižením, pří</w:t>
            </w:r>
            <w:r>
              <w:rPr>
                <w:sz w:val="14"/>
                <w:szCs w:val="14"/>
              </w:rPr>
              <w:t>spěvek na péči dle zákona o sociálních službách.</w:t>
            </w:r>
          </w:p>
          <w:p w:rsidR="0074499B" w:rsidRPr="00E7331D" w:rsidRDefault="0074499B" w:rsidP="00723435">
            <w:pPr>
              <w:pStyle w:val="Textpoznpodarou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*** V čistých výdajích jsou započítány i příjmy kapitoly Státní dluh.</w:t>
            </w:r>
          </w:p>
          <w:p w:rsidR="0074499B" w:rsidRPr="00343AC1" w:rsidRDefault="0074499B" w:rsidP="00723435">
            <w:pPr>
              <w:spacing w:after="220" w:line="240" w:lineRule="auto"/>
              <w:rPr>
                <w:rFonts w:cs="Arial"/>
                <w:color w:val="0D0D0D" w:themeColor="text1" w:themeTint="F2"/>
                <w:sz w:val="14"/>
                <w:szCs w:val="14"/>
              </w:rPr>
            </w:pPr>
            <w:r>
              <w:rPr>
                <w:sz w:val="14"/>
                <w:szCs w:val="14"/>
              </w:rPr>
              <w:t>Zdroj: MF ČR, MPSV</w:t>
            </w:r>
          </w:p>
        </w:tc>
      </w:tr>
      <w:tr w:rsidR="0074499B" w:rsidTr="00723435">
        <w:trPr>
          <w:trHeight w:val="145"/>
        </w:trPr>
        <w:tc>
          <w:tcPr>
            <w:tcW w:w="1816" w:type="dxa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Běžné výdaje rostly nejrychleji po roce 2006. Z více než poloviny byly taženy vyššími výdaji na platy a důchody.</w:t>
            </w:r>
          </w:p>
        </w:tc>
        <w:tc>
          <w:tcPr>
            <w:tcW w:w="227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spacing w:after="220"/>
              <w:rPr>
                <w:spacing w:val="-3"/>
              </w:rPr>
            </w:pPr>
            <w:r>
              <w:rPr>
                <w:spacing w:val="-3"/>
              </w:rPr>
              <w:t>Běžné výdaje SR loni posílily meziročně o 7,0 %, nejvyšším tempem po roce 2006. I přesto zůstalo jejich čerpání těsně za rozpočtovým očekáváním</w:t>
            </w:r>
            <w:r>
              <w:rPr>
                <w:rStyle w:val="Znakapoznpodarou"/>
                <w:spacing w:val="-3"/>
              </w:rPr>
              <w:footnoteReference w:id="7"/>
            </w:r>
            <w:r>
              <w:rPr>
                <w:spacing w:val="-3"/>
              </w:rPr>
              <w:t xml:space="preserve">. Růst celkových výdajů (+83 mld. korun) souvisel více než z poloviny s posílením průměrné výše důchodů a také navýšením platů zaměstnanců působících v odvětvích s dominancí státu. </w:t>
            </w:r>
            <w:r>
              <w:t>Výdaje na platy v ústředních orgánech státní správy (</w:t>
            </w:r>
            <w:r>
              <w:rPr>
                <w:spacing w:val="-2"/>
              </w:rPr>
              <w:t>primárně vázáné na</w:t>
            </w:r>
            <w:r w:rsidRPr="00D35F87">
              <w:rPr>
                <w:spacing w:val="-2"/>
              </w:rPr>
              <w:t xml:space="preserve"> </w:t>
            </w:r>
            <w:r>
              <w:rPr>
                <w:bCs/>
                <w:spacing w:val="-2"/>
              </w:rPr>
              <w:t>navýšení</w:t>
            </w:r>
            <w:r w:rsidRPr="00D35F87">
              <w:rPr>
                <w:bCs/>
                <w:spacing w:val="-2"/>
              </w:rPr>
              <w:t xml:space="preserve"> platových tarifů</w:t>
            </w:r>
            <w:r>
              <w:rPr>
                <w:bCs/>
                <w:spacing w:val="-2"/>
              </w:rPr>
              <w:t>, nikoliv na rostoucí zaměstnanost) vzrostly o 11 %. Svižně posilovaly také nein</w:t>
            </w:r>
            <w:r w:rsidRPr="00D35F87">
              <w:rPr>
                <w:spacing w:val="-2"/>
              </w:rPr>
              <w:t>vestiční transfery územním rozpočtům</w:t>
            </w:r>
            <w:r>
              <w:rPr>
                <w:spacing w:val="-2"/>
              </w:rPr>
              <w:t xml:space="preserve"> (+13 %, shodně jako v roce 2017) alokované primárně </w:t>
            </w:r>
            <w:r>
              <w:rPr>
                <w:szCs w:val="20"/>
              </w:rPr>
              <w:t>na</w:t>
            </w:r>
            <w:r w:rsidRPr="00734E37">
              <w:rPr>
                <w:szCs w:val="20"/>
              </w:rPr>
              <w:t xml:space="preserve"> přímé náklady zákl</w:t>
            </w:r>
            <w:r>
              <w:rPr>
                <w:szCs w:val="20"/>
              </w:rPr>
              <w:t>adních a</w:t>
            </w:r>
            <w:r w:rsidRPr="00D35F87">
              <w:rPr>
                <w:spacing w:val="-2"/>
              </w:rPr>
              <w:t> </w:t>
            </w:r>
            <w:r w:rsidRPr="00734E37">
              <w:rPr>
                <w:szCs w:val="20"/>
              </w:rPr>
              <w:t xml:space="preserve">středních škol a také </w:t>
            </w:r>
            <w:r>
              <w:rPr>
                <w:szCs w:val="20"/>
              </w:rPr>
              <w:t xml:space="preserve">na </w:t>
            </w:r>
            <w:r w:rsidRPr="00734E37">
              <w:rPr>
                <w:szCs w:val="20"/>
              </w:rPr>
              <w:t>transfery obcím a krajům dle z</w:t>
            </w:r>
            <w:r>
              <w:rPr>
                <w:szCs w:val="20"/>
              </w:rPr>
              <w:t>ákona o</w:t>
            </w:r>
            <w:r w:rsidRPr="00D35F87">
              <w:rPr>
                <w:spacing w:val="-2"/>
              </w:rPr>
              <w:t> </w:t>
            </w:r>
            <w:r w:rsidRPr="00734E37">
              <w:rPr>
                <w:szCs w:val="20"/>
              </w:rPr>
              <w:t>sociálních službách</w:t>
            </w:r>
            <w:r>
              <w:rPr>
                <w:szCs w:val="20"/>
              </w:rPr>
              <w:t xml:space="preserve">. K posílení běžných výdajů dále významně přispěly jak </w:t>
            </w:r>
            <w:r>
              <w:rPr>
                <w:bCs/>
                <w:spacing w:val="-2"/>
              </w:rPr>
              <w:t>neinvestiční transfery podnikatelským subjektům (+9 mld. korun), kde šlo především o prostředky na podporu obnovitelných zdrojů energie, tak i</w:t>
            </w:r>
            <w:r>
              <w:rPr>
                <w:spacing w:val="-3"/>
              </w:rPr>
              <w:t> </w:t>
            </w:r>
            <w:r>
              <w:rPr>
                <w:bCs/>
                <w:spacing w:val="-2"/>
              </w:rPr>
              <w:t xml:space="preserve">vyšší povinné odvody ČR do rozpočtu EU (+7,4 mld. korun). </w:t>
            </w:r>
          </w:p>
        </w:tc>
      </w:tr>
      <w:tr w:rsidR="0074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E378B1" w:rsidP="00723435">
            <w:pPr>
              <w:spacing w:after="0" w:line="240" w:lineRule="auto"/>
              <w:rPr>
                <w:rFonts w:cs="Arial"/>
                <w:bCs/>
                <w:spacing w:val="-4"/>
              </w:rPr>
            </w:pPr>
            <w:r>
              <w:rPr>
                <w:b/>
              </w:rPr>
              <w:t>Graf č. 20</w:t>
            </w:r>
            <w:r w:rsidR="0074499B" w:rsidRPr="00F704D2">
              <w:rPr>
                <w:b/>
              </w:rPr>
              <w:t xml:space="preserve">: </w:t>
            </w:r>
            <w:r w:rsidR="0074499B" w:rsidRPr="00F704D2">
              <w:rPr>
                <w:rFonts w:cs="Arial"/>
                <w:b/>
                <w:bCs/>
                <w:spacing w:val="-4"/>
              </w:rPr>
              <w:t>Příjemci</w:t>
            </w:r>
            <w:r w:rsidR="0074499B" w:rsidRPr="001356FC">
              <w:rPr>
                <w:rFonts w:cs="Arial"/>
                <w:b/>
                <w:bCs/>
                <w:spacing w:val="-4"/>
              </w:rPr>
              <w:t xml:space="preserve"> důchodů</w:t>
            </w:r>
            <w:r w:rsidR="0074499B" w:rsidRPr="001356FC">
              <w:rPr>
                <w:rFonts w:cs="Arial"/>
                <w:bCs/>
                <w:spacing w:val="-4"/>
              </w:rPr>
              <w:t>,</w:t>
            </w:r>
            <w:r w:rsidR="0074499B" w:rsidRPr="001356FC">
              <w:rPr>
                <w:rFonts w:cs="Arial"/>
                <w:b/>
                <w:bCs/>
                <w:spacing w:val="-4"/>
              </w:rPr>
              <w:t xml:space="preserve"> příjmy i výdaje na důchody ze SR </w:t>
            </w:r>
            <w:r w:rsidR="0074499B" w:rsidRPr="001356FC">
              <w:rPr>
                <w:rFonts w:cs="Arial"/>
                <w:bCs/>
                <w:spacing w:val="-4"/>
              </w:rPr>
              <w:t>(</w:t>
            </w:r>
            <w:r w:rsidR="0074499B" w:rsidRPr="001356FC">
              <w:rPr>
                <w:spacing w:val="-4"/>
              </w:rPr>
              <w:t>meziročně</w:t>
            </w:r>
            <w:r w:rsidR="0074499B" w:rsidRPr="001356FC">
              <w:rPr>
                <w:bCs/>
                <w:spacing w:val="-4"/>
              </w:rPr>
              <w:t xml:space="preserve"> v %)</w:t>
            </w:r>
          </w:p>
          <w:p w:rsidR="0074499B" w:rsidRDefault="0074499B" w:rsidP="00723435">
            <w:pPr>
              <w:pStyle w:val="Textpoznpodarou"/>
              <w:jc w:val="both"/>
            </w:pPr>
            <w:r>
              <w:rPr>
                <w:rFonts w:cs="Arial"/>
                <w:b/>
                <w:bCs/>
                <w:spacing w:val="-4"/>
              </w:rPr>
              <w:t>a jejich saldo</w:t>
            </w:r>
            <w:r w:rsidRPr="001356FC">
              <w:rPr>
                <w:rFonts w:cs="Arial"/>
                <w:b/>
                <w:bCs/>
                <w:spacing w:val="-4"/>
              </w:rPr>
              <w:t xml:space="preserve"> </w:t>
            </w:r>
            <w:r w:rsidRPr="001356FC">
              <w:rPr>
                <w:rFonts w:cs="Arial"/>
                <w:bCs/>
                <w:spacing w:val="-4"/>
              </w:rPr>
              <w:t>(v mld. korun)</w:t>
            </w:r>
          </w:p>
        </w:tc>
      </w:tr>
      <w:tr w:rsidR="0074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</w:pPr>
            <w:r w:rsidRPr="008C7D39">
              <w:rPr>
                <w:noProof/>
              </w:rPr>
              <w:drawing>
                <wp:inline distT="0" distB="0" distL="0" distR="0">
                  <wp:extent cx="4752000" cy="3528000"/>
                  <wp:effectExtent l="19050" t="0" r="0" b="0"/>
                  <wp:docPr id="23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74499B" w:rsidRPr="008C7D39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38786D" w:rsidRDefault="0074499B" w:rsidP="00723435">
            <w:pPr>
              <w:spacing w:after="0" w:line="240" w:lineRule="auto"/>
              <w:rPr>
                <w:sz w:val="14"/>
                <w:szCs w:val="14"/>
              </w:rPr>
            </w:pPr>
            <w:r w:rsidRPr="0038786D">
              <w:rPr>
                <w:sz w:val="14"/>
                <w:szCs w:val="14"/>
              </w:rPr>
              <w:t xml:space="preserve">* Vyjadřuje </w:t>
            </w:r>
            <w:r w:rsidRPr="0038786D"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>rozdíl mezi příjmy a výdaji na důchody ze státníh</w:t>
            </w:r>
            <w:r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>o rozpočtu</w:t>
            </w:r>
            <w:r w:rsidRPr="0038786D"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 xml:space="preserve">. </w:t>
            </w:r>
            <w:r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>V saldu příjmů a výdajů jsou zahrnuty také náklady</w:t>
            </w:r>
            <w:r w:rsidRPr="0038786D"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 xml:space="preserve"> na správu </w:t>
            </w:r>
            <w:r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 xml:space="preserve">systému </w:t>
            </w:r>
            <w:r w:rsidRPr="0038786D">
              <w:rPr>
                <w:rFonts w:cs="Arial"/>
                <w:color w:val="000000" w:themeColor="text1"/>
                <w:spacing w:val="-4"/>
                <w:sz w:val="14"/>
                <w:szCs w:val="14"/>
              </w:rPr>
              <w:t>důchodového pojištění.</w:t>
            </w:r>
          </w:p>
          <w:p w:rsidR="0074499B" w:rsidRPr="008C7D39" w:rsidRDefault="0074499B" w:rsidP="00723435">
            <w:pPr>
              <w:spacing w:after="140" w:line="240" w:lineRule="auto"/>
              <w:rPr>
                <w:sz w:val="14"/>
                <w:szCs w:val="14"/>
              </w:rPr>
            </w:pPr>
            <w:r w:rsidRPr="00B3757E">
              <w:rPr>
                <w:sz w:val="14"/>
                <w:szCs w:val="14"/>
              </w:rPr>
              <w:t>*</w:t>
            </w:r>
            <w:r>
              <w:rPr>
                <w:sz w:val="14"/>
                <w:szCs w:val="14"/>
              </w:rPr>
              <w:t>*</w:t>
            </w:r>
            <w:r w:rsidRPr="00B3757E">
              <w:rPr>
                <w:sz w:val="14"/>
                <w:szCs w:val="14"/>
              </w:rPr>
              <w:t>Jde o starobní důchod přiznaný před dosažením důchodového věku a krácený za předčasnost po celou dobu</w:t>
            </w:r>
            <w:r>
              <w:rPr>
                <w:sz w:val="14"/>
                <w:szCs w:val="14"/>
              </w:rPr>
              <w:t xml:space="preserve"> </w:t>
            </w:r>
            <w:r w:rsidRPr="00B3757E">
              <w:rPr>
                <w:sz w:val="14"/>
                <w:szCs w:val="14"/>
              </w:rPr>
              <w:t xml:space="preserve">pobírání </w:t>
            </w:r>
            <w:r>
              <w:rPr>
                <w:sz w:val="14"/>
                <w:szCs w:val="14"/>
              </w:rPr>
              <w:t xml:space="preserve">důchodu.                                                                                                                                                        </w:t>
            </w:r>
            <w:r w:rsidRPr="007E5880">
              <w:rPr>
                <w:sz w:val="14"/>
                <w:szCs w:val="14"/>
              </w:rPr>
              <w:t>Zdroj: MF, ČSSZ</w:t>
            </w:r>
          </w:p>
        </w:tc>
      </w:tr>
      <w:tr w:rsidR="0074499B" w:rsidRPr="00956A7F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Nedůchodové sociální dávky rostly nejvyšším tempem za posledních pět let…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956A7F" w:rsidRDefault="0074499B" w:rsidP="00723435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I když výdaje na sociální dávky meziročně posílily o významných 26,6 mld. korun, jejich podíl na celkových výdajích SR se snížil již druhým rokem v řadě (na 39,7 %). Přestože posílení sociálních dávek je tradičně taženo váhově dominantní položkou výdajů na důchody, loni se na jejich růstu z více než čtvrtiny podílely i nedůchodové sociální dávky. Jejich růst významně zrychlil (z 1,2 % v roce 2017 na loňských 6,2 % </w:t>
            </w:r>
            <w:r w:rsidRPr="009D4D1C">
              <w:rPr>
                <w:rFonts w:cs="Arial"/>
                <w:color w:val="000000" w:themeColor="text1"/>
                <w:spacing w:val="-4"/>
              </w:rPr>
              <w:t>–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nejvyšší tempo za posledních pět let) a dosáhl vyššího tempa než výdaje na důchody. </w:t>
            </w:r>
          </w:p>
        </w:tc>
      </w:tr>
      <w:tr w:rsidR="0074499B" w:rsidRPr="00BB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>…hlavně vlivem zrychlení růstu výdajů na dávky nemocenského pojištění. O</w:t>
            </w:r>
            <w:r>
              <w:rPr>
                <w:rFonts w:cs="Arial"/>
                <w:color w:val="0D0D0D" w:themeColor="text1" w:themeTint="F2"/>
                <w:spacing w:val="-4"/>
              </w:rPr>
              <w:t>pačně působily nižší výdaje na dávky pomoci v hmotné nouzi a také na podporu nezaměstnaných.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BB499B" w:rsidRDefault="0074499B" w:rsidP="00723435">
            <w:pPr>
              <w:spacing w:after="0"/>
              <w:rPr>
                <w:spacing w:val="-4"/>
              </w:rPr>
            </w:pPr>
            <w:r>
              <w:rPr>
                <w:spacing w:val="-4"/>
              </w:rPr>
              <w:t>K růstu výdajů na nedůchodové sociální dávky v roce 2018 (podobně jako v předchozích pěti letech) přispěly nejvíce dávky nemocenského pojištění, jejichž tempo loni citelně zrychlilo (na 19,8 %). To souviselo s pokračujícím růstem dočasné pracovní neschopnosti i</w:t>
            </w:r>
            <w:r>
              <w:rPr>
                <w:rFonts w:cs="Arial"/>
                <w:color w:val="0D0D0D" w:themeColor="text1" w:themeTint="F2"/>
                <w:spacing w:val="-4"/>
              </w:rPr>
              <w:t> </w:t>
            </w:r>
            <w:r>
              <w:rPr>
                <w:spacing w:val="-4"/>
              </w:rPr>
              <w:t xml:space="preserve">vyššími průměrnými denními dávkami nemocenské (odvozených od úrovně výdělků v předchozích měsících). Řádově menší vliv mělo </w:t>
            </w:r>
            <w:r>
              <w:rPr>
                <w:color w:val="000000" w:themeColor="text1"/>
                <w:spacing w:val="-4"/>
              </w:rPr>
              <w:t>silněj</w:t>
            </w:r>
            <w:r>
              <w:rPr>
                <w:spacing w:val="-4"/>
              </w:rPr>
              <w:t>ší čerpání</w:t>
            </w:r>
            <w:r w:rsidRPr="00751FC1">
              <w:rPr>
                <w:spacing w:val="-4"/>
              </w:rPr>
              <w:t xml:space="preserve"> peněžité pomoci v</w:t>
            </w:r>
            <w:r>
              <w:rPr>
                <w:spacing w:val="-4"/>
              </w:rPr>
              <w:t> </w:t>
            </w:r>
            <w:r w:rsidRPr="00751FC1">
              <w:rPr>
                <w:spacing w:val="-4"/>
              </w:rPr>
              <w:t>mateřstv</w:t>
            </w:r>
            <w:r>
              <w:rPr>
                <w:spacing w:val="-4"/>
              </w:rPr>
              <w:t>í (vlivem vyšší porodnosti) i letošní zavedení nových dávek (dlouhodobá ošetřovatelská péče, otcovská poporodní péče).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  <w:r>
              <w:rPr>
                <w:spacing w:val="-4"/>
              </w:rPr>
              <w:t>SR vydal více také na některých dávkách</w:t>
            </w:r>
            <w:r w:rsidRPr="00F11EF2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sociální péče – </w:t>
            </w:r>
            <w:r w:rsidRPr="00F11EF2">
              <w:rPr>
                <w:spacing w:val="-4"/>
              </w:rPr>
              <w:t>pro zdravotně postižené</w:t>
            </w:r>
            <w:r>
              <w:rPr>
                <w:spacing w:val="-4"/>
              </w:rPr>
              <w:t xml:space="preserve"> i na příspěvcích na péči (pro dlouhodobě nemocné). Čerpání ostatních druhů sociálních dávek bylo pozitivně ovlivněno příznivou situací na trhu práce (pokračují</w:t>
            </w:r>
            <w:r w:rsidR="0073333D">
              <w:rPr>
                <w:spacing w:val="-4"/>
              </w:rPr>
              <w:t>cí</w:t>
            </w:r>
            <w:r>
              <w:rPr>
                <w:spacing w:val="-4"/>
              </w:rPr>
              <w:t xml:space="preserve"> redukce nezaměstnaných, větší zapojení dříve ekonomicky neaktivních i sílící růst průměrných mezd). Pokles výdajů na dávky v hmotné nouzi se prohluboval již čtvrtým rokem v řadě (až na -27 %)</w:t>
            </w:r>
            <w:r>
              <w:rPr>
                <w:rStyle w:val="Znakapoznpodarou"/>
                <w:spacing w:val="-4"/>
              </w:rPr>
              <w:footnoteReference w:id="8"/>
            </w:r>
            <w:r>
              <w:rPr>
                <w:spacing w:val="-4"/>
              </w:rPr>
              <w:t xml:space="preserve">. Podstatně méně „ušetřil“ loni stát na podpoře nezaměstnaných (-3,9 %), mj. i vlivem vysokého podílu frikční složky nezaměstnanosti i růstu průměrné měsíční dávky nezaměstnanosti. Na dávkách státní sociální podpory, které jsou vypláceny ve vazbě na příjem domácnosti (přídavek na dítě, příspěvek na bydlení, porodné), vydal SR meziročně o 8,3 % méně. Navyšoval se </w:t>
            </w:r>
            <w:r w:rsidR="00CE47B8">
              <w:rPr>
                <w:spacing w:val="-4"/>
              </w:rPr>
              <w:t>ale</w:t>
            </w:r>
            <w:r>
              <w:rPr>
                <w:spacing w:val="-4"/>
              </w:rPr>
              <w:t xml:space="preserve"> objem váhově významných rodičovských pří</w:t>
            </w:r>
            <w:r w:rsidR="0073333D">
              <w:rPr>
                <w:spacing w:val="-4"/>
              </w:rPr>
              <w:t>s</w:t>
            </w:r>
            <w:r>
              <w:rPr>
                <w:spacing w:val="-4"/>
              </w:rPr>
              <w:t>pěvků (+8,6 %). O více než čtvrtinu více putovalo i na dosud relativně okrajovou podporu pěstounské péče</w:t>
            </w:r>
            <w:r w:rsidR="00D5384E">
              <w:rPr>
                <w:spacing w:val="-4"/>
              </w:rPr>
              <w:t>.</w:t>
            </w:r>
          </w:p>
        </w:tc>
      </w:tr>
      <w:tr w:rsidR="0074499B" w:rsidRPr="00271D7D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lastRenderedPageBreak/>
              <w:t>Růst výdajů na důchody zrychlil, přesto dosáhlo saldo důchodového účtu rekordního přebytku.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271D7D" w:rsidRDefault="0074499B" w:rsidP="00723435">
            <w:pPr>
              <w:spacing w:after="210"/>
              <w:rPr>
                <w:szCs w:val="20"/>
              </w:rPr>
            </w:pPr>
            <w:r w:rsidRPr="00271D7D">
              <w:rPr>
                <w:szCs w:val="20"/>
              </w:rPr>
              <w:t>Výdaje na důchody</w:t>
            </w:r>
            <w:r>
              <w:rPr>
                <w:szCs w:val="20"/>
              </w:rPr>
              <w:t xml:space="preserve"> sílily již druhým rokem v řadě a jejich loňské tempo (+4,7 %) bylo nejvyšší po roce 2011. Při stagnaci počtu lidí pobírajících důchody</w:t>
            </w:r>
            <w:r>
              <w:rPr>
                <w:rStyle w:val="Znakapoznpodarou"/>
                <w:szCs w:val="20"/>
              </w:rPr>
              <w:footnoteReference w:id="9"/>
            </w:r>
            <w:r>
              <w:rPr>
                <w:szCs w:val="20"/>
              </w:rPr>
              <w:t xml:space="preserve"> stálo za tímto zrychlením nové nastavení jejich valorizace</w:t>
            </w:r>
            <w:r w:rsidRPr="00BD1D97">
              <w:rPr>
                <w:rStyle w:val="Znakapoznpodarou"/>
                <w:color w:val="0D0D0D" w:themeColor="text1" w:themeTint="F2"/>
                <w:spacing w:val="-2"/>
              </w:rPr>
              <w:footnoteReference w:id="10"/>
            </w:r>
            <w:r>
              <w:rPr>
                <w:szCs w:val="20"/>
              </w:rPr>
              <w:t xml:space="preserve">. Mimořádně </w:t>
            </w:r>
            <w:r>
              <w:rPr>
                <w:rFonts w:cs="Arial"/>
                <w:color w:val="0D0D0D" w:themeColor="text1" w:themeTint="F2"/>
                <w:spacing w:val="-2"/>
              </w:rPr>
              <w:t>příznivá situace na pracovním trhu stimulovala růst výběru pojistného na důchody (+10,1 %, vyrovnání dosud rekordního tempa z roku 2007). Saldo důchodového účtu</w:t>
            </w:r>
            <w:r>
              <w:rPr>
                <w:rStyle w:val="Znakapoznpodarou"/>
                <w:color w:val="0D0D0D" w:themeColor="text1" w:themeTint="F2"/>
                <w:spacing w:val="-2"/>
              </w:rPr>
              <w:footnoteReference w:id="11"/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tak </w:t>
            </w:r>
            <w:r w:rsidR="00B86643">
              <w:rPr>
                <w:rFonts w:cs="Arial"/>
                <w:color w:val="0D0D0D" w:themeColor="text1" w:themeTint="F2"/>
                <w:spacing w:val="-2"/>
              </w:rPr>
              <w:t>poprvé za posledních deset let skončilo přebytkem (v rekordní výši 18,4 mld. korun).</w:t>
            </w:r>
          </w:p>
        </w:tc>
      </w:tr>
      <w:tr w:rsidR="0074499B" w:rsidRPr="009C5845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9C5845" w:rsidRDefault="00E378B1" w:rsidP="00723435">
            <w:pPr>
              <w:spacing w:after="0" w:line="240" w:lineRule="auto"/>
              <w:jc w:val="left"/>
              <w:rPr>
                <w:spacing w:val="-4"/>
              </w:rPr>
            </w:pPr>
            <w:r>
              <w:rPr>
                <w:b/>
                <w:spacing w:val="-4"/>
              </w:rPr>
              <w:t>Graf č. 21</w:t>
            </w:r>
            <w:r w:rsidR="0074499B" w:rsidRPr="009C5845">
              <w:rPr>
                <w:b/>
                <w:spacing w:val="-4"/>
              </w:rPr>
              <w:t>: Saldo hospodaření</w:t>
            </w:r>
            <w:r w:rsidR="0074499B">
              <w:rPr>
                <w:spacing w:val="-4"/>
              </w:rPr>
              <w:t xml:space="preserve"> </w:t>
            </w:r>
            <w:r w:rsidR="0074499B" w:rsidRPr="00CD6C37">
              <w:rPr>
                <w:b/>
                <w:spacing w:val="-4"/>
              </w:rPr>
              <w:t xml:space="preserve">a </w:t>
            </w:r>
            <w:r w:rsidR="0074499B">
              <w:rPr>
                <w:b/>
                <w:spacing w:val="-4"/>
              </w:rPr>
              <w:t xml:space="preserve">míra zadlužení </w:t>
            </w:r>
            <w:r w:rsidR="0074499B" w:rsidRPr="009C5845">
              <w:rPr>
                <w:b/>
                <w:spacing w:val="-4"/>
              </w:rPr>
              <w:t>sektoru vládních insti</w:t>
            </w:r>
            <w:r w:rsidR="0074499B">
              <w:rPr>
                <w:b/>
                <w:spacing w:val="-4"/>
              </w:rPr>
              <w:t xml:space="preserve">tucí </w:t>
            </w:r>
            <w:r w:rsidR="0074499B" w:rsidRPr="009C5845">
              <w:rPr>
                <w:b/>
                <w:spacing w:val="-4"/>
              </w:rPr>
              <w:t>v</w:t>
            </w:r>
            <w:r w:rsidR="0074499B">
              <w:rPr>
                <w:b/>
                <w:spacing w:val="-4"/>
              </w:rPr>
              <w:t> </w:t>
            </w:r>
            <w:r w:rsidR="0074499B" w:rsidRPr="009C5845">
              <w:rPr>
                <w:b/>
                <w:spacing w:val="-4"/>
              </w:rPr>
              <w:t>ČR</w:t>
            </w:r>
            <w:r w:rsidR="0074499B">
              <w:rPr>
                <w:b/>
                <w:spacing w:val="-4"/>
              </w:rPr>
              <w:t>, Německu a</w:t>
            </w:r>
            <w:r w:rsidR="0074499B" w:rsidRPr="009C5845">
              <w:rPr>
                <w:b/>
                <w:spacing w:val="-4"/>
              </w:rPr>
              <w:t xml:space="preserve"> EU </w:t>
            </w:r>
            <w:r w:rsidR="0074499B" w:rsidRPr="009C5845">
              <w:rPr>
                <w:spacing w:val="-4"/>
              </w:rPr>
              <w:t>(% HDP)</w:t>
            </w:r>
          </w:p>
        </w:tc>
      </w:tr>
      <w:tr w:rsidR="0074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</w:pPr>
            <w:r w:rsidRPr="004A4432">
              <w:rPr>
                <w:noProof/>
              </w:rPr>
              <w:drawing>
                <wp:inline distT="0" distB="0" distL="0" distR="0">
                  <wp:extent cx="4773880" cy="3473533"/>
                  <wp:effectExtent l="0" t="0" r="0" b="0"/>
                  <wp:docPr id="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4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*Saldo hospodaření za rok 2018 za Německo a EU vyjadřuje průměr ze čtvrtletních sezónně očištěných údajů (za 1. až 3. čtvrtletí). Míra zadlužení za Německo a EU vyjadřuje stav na konci 3. čtvrtletí 2018. </w:t>
            </w:r>
            <w:r w:rsidR="00AD44CD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>kazatel za ČR vyjadřuj</w:t>
            </w:r>
            <w:r w:rsidR="00AD44CD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v celé časové řadě stav k </w:t>
            </w:r>
            <w:r w:rsidR="00AD44CD">
              <w:rPr>
                <w:sz w:val="14"/>
                <w:szCs w:val="14"/>
              </w:rPr>
              <w:t>31. 12</w:t>
            </w:r>
            <w:r>
              <w:rPr>
                <w:sz w:val="14"/>
                <w:szCs w:val="14"/>
              </w:rPr>
              <w:t>. (v případě míry zadlužení) a skutečnost za celý rok (</w:t>
            </w:r>
            <w:r w:rsidR="00AD44CD">
              <w:rPr>
                <w:sz w:val="14"/>
                <w:szCs w:val="14"/>
              </w:rPr>
              <w:t xml:space="preserve">v </w:t>
            </w:r>
            <w:r>
              <w:rPr>
                <w:sz w:val="14"/>
                <w:szCs w:val="14"/>
              </w:rPr>
              <w:t xml:space="preserve">případě salda hospodaření). </w:t>
            </w:r>
          </w:p>
          <w:p w:rsidR="0074499B" w:rsidRDefault="0074499B" w:rsidP="00723435">
            <w:pPr>
              <w:pStyle w:val="Textpoznpodarou"/>
              <w:spacing w:after="180" w:line="276" w:lineRule="auto"/>
              <w:jc w:val="both"/>
            </w:pPr>
            <w:r w:rsidRPr="007E5880">
              <w:rPr>
                <w:sz w:val="14"/>
                <w:szCs w:val="14"/>
              </w:rPr>
              <w:t xml:space="preserve">Zdroj: </w:t>
            </w:r>
            <w:r>
              <w:rPr>
                <w:sz w:val="14"/>
                <w:szCs w:val="14"/>
              </w:rPr>
              <w:t xml:space="preserve">ČSÚ, </w:t>
            </w:r>
            <w:proofErr w:type="spellStart"/>
            <w:r>
              <w:rPr>
                <w:sz w:val="14"/>
                <w:szCs w:val="14"/>
              </w:rPr>
              <w:t>Eurostat</w:t>
            </w:r>
            <w:proofErr w:type="spellEnd"/>
          </w:p>
        </w:tc>
      </w:tr>
      <w:tr w:rsidR="0074499B" w:rsidRPr="008630A9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Marginlie"/>
            </w:pPr>
            <w:r>
              <w:t xml:space="preserve">Pokles čistých výdajů na státní dluh se loni zastavil. Výše státního dluhu zůstala stabilizovaná.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Stát svou výpůjční potřebu realizoval nadále primárně </w:t>
            </w:r>
            <w:r w:rsidRPr="00B42A0C">
              <w:rPr>
                <w:rFonts w:cs="Arial"/>
                <w:color w:val="0D0D0D" w:themeColor="text1" w:themeTint="F2"/>
                <w:spacing w:val="-4"/>
              </w:rPr>
              <w:t>na domácím trhu</w:t>
            </w:r>
            <w:r w:rsidR="00D5384E">
              <w:rPr>
                <w:rFonts w:cs="Arial"/>
                <w:color w:val="0D0D0D" w:themeColor="text1" w:themeTint="F2"/>
                <w:spacing w:val="-4"/>
              </w:rPr>
              <w:t>.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8630A9" w:rsidRDefault="0074499B" w:rsidP="00723435">
            <w:pPr>
              <w:spacing w:after="210"/>
              <w:rPr>
                <w:spacing w:val="-2"/>
                <w:szCs w:val="20"/>
              </w:rPr>
            </w:pPr>
            <w:r>
              <w:rPr>
                <w:rFonts w:cs="Arial"/>
                <w:color w:val="0D0D0D" w:themeColor="text1" w:themeTint="F2"/>
                <w:spacing w:val="-4"/>
              </w:rPr>
              <w:t xml:space="preserve">Čtyři roky trvající pokles </w:t>
            </w:r>
            <w:r>
              <w:rPr>
                <w:szCs w:val="20"/>
              </w:rPr>
              <w:t>čistých výdajů</w:t>
            </w:r>
            <w:r w:rsidRPr="0075583A">
              <w:rPr>
                <w:szCs w:val="20"/>
              </w:rPr>
              <w:t xml:space="preserve"> na státní dluh</w:t>
            </w:r>
            <w:r w:rsidRPr="0075583A">
              <w:rPr>
                <w:rStyle w:val="Znakapoznpodarou"/>
                <w:szCs w:val="20"/>
              </w:rPr>
              <w:footnoteReference w:id="12"/>
            </w:r>
            <w:r>
              <w:rPr>
                <w:szCs w:val="20"/>
              </w:rPr>
              <w:t xml:space="preserve"> se v roce 2018 zastavil, když tyto výdaje loni dosáhly 40,7 mld. korun (meziročně o 2,4 % více). </w:t>
            </w:r>
            <w:r>
              <w:rPr>
                <w:spacing w:val="-2"/>
                <w:szCs w:val="20"/>
              </w:rPr>
              <w:t xml:space="preserve">Loňský vývoj ovlivnily </w:t>
            </w:r>
            <w:r w:rsidRPr="0075583A">
              <w:rPr>
                <w:spacing w:val="-2"/>
                <w:szCs w:val="20"/>
              </w:rPr>
              <w:t>svižně rostoucí úrokové sazby u státních dluhopisů.</w:t>
            </w:r>
            <w:r>
              <w:rPr>
                <w:spacing w:val="-2"/>
                <w:szCs w:val="20"/>
              </w:rPr>
              <w:t xml:space="preserve"> Státní dluh činil na konci roku 2018 výše 1</w:t>
            </w:r>
            <w:r w:rsidR="00D5384E">
              <w:rPr>
                <w:spacing w:val="-2"/>
                <w:szCs w:val="20"/>
              </w:rPr>
              <w:t xml:space="preserve"> </w:t>
            </w:r>
            <w:r>
              <w:rPr>
                <w:spacing w:val="-2"/>
                <w:szCs w:val="20"/>
              </w:rPr>
              <w:t xml:space="preserve">622,0 mld. korun a meziročně se téměř nezměnil (-0,2 %). Na rozdíl od roku 2017 se citelně omezila fluktuace výše dluhu v rámci kalendářního roku. </w:t>
            </w:r>
            <w:r w:rsidR="00D5384E">
              <w:rPr>
                <w:spacing w:val="-2"/>
                <w:szCs w:val="20"/>
              </w:rPr>
              <w:br/>
            </w:r>
            <w:r>
              <w:rPr>
                <w:spacing w:val="-2"/>
                <w:szCs w:val="20"/>
              </w:rPr>
              <w:t xml:space="preserve">Již pátým rokem v řadě pokračoval pokles korunové hodnoty zahraničního dluhu. </w:t>
            </w:r>
            <w:r w:rsidR="00D5384E">
              <w:rPr>
                <w:spacing w:val="-2"/>
                <w:szCs w:val="20"/>
              </w:rPr>
              <w:br/>
            </w:r>
            <w:r>
              <w:rPr>
                <w:spacing w:val="-2"/>
                <w:szCs w:val="20"/>
              </w:rPr>
              <w:t xml:space="preserve">Na konci roku 2018 se tak na celkovém státním dluhu podílela 14,5 % (nejméně v tomto období roku za posledních jedenáct let). I přes mírný pokles své váhy zůstávají dominantním instrumentem dluhové cenné papíry. Nejvýznamnějším držitelem korunových státních dluhopisů zůstávají finanční instituce, pokles role nerezidentů </w:t>
            </w:r>
            <w:r w:rsidR="00D5384E">
              <w:rPr>
                <w:spacing w:val="-2"/>
                <w:szCs w:val="20"/>
              </w:rPr>
              <w:br/>
            </w:r>
            <w:r>
              <w:rPr>
                <w:spacing w:val="-2"/>
                <w:szCs w:val="20"/>
              </w:rPr>
              <w:t>se během loňského roku zastavil a na jeho konci činila jejich váha (41,8 %). Domácnosti držely jen 0,5 % státních dluhopisů, nejméně za posledních jedenáct let.</w:t>
            </w:r>
          </w:p>
        </w:tc>
      </w:tr>
      <w:tr w:rsidR="0074499B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2F0708" w:rsidRDefault="0074499B" w:rsidP="00723435">
            <w:pPr>
              <w:pStyle w:val="Marginlie"/>
              <w:rPr>
                <w:spacing w:val="-3"/>
              </w:rPr>
            </w:pPr>
            <w:r w:rsidRPr="002F0708">
              <w:rPr>
                <w:spacing w:val="-3"/>
              </w:rPr>
              <w:t xml:space="preserve">Sektor vládních institucí docílil loni přebytku již </w:t>
            </w:r>
            <w:r w:rsidRPr="002F0708">
              <w:rPr>
                <w:spacing w:val="-3"/>
              </w:rPr>
              <w:lastRenderedPageBreak/>
              <w:t>třetím rokem v řadě.</w:t>
            </w:r>
            <w:r>
              <w:rPr>
                <w:spacing w:val="-3"/>
              </w:rPr>
              <w:t xml:space="preserve"> </w:t>
            </w:r>
            <w:r w:rsidRPr="002F0708">
              <w:rPr>
                <w:spacing w:val="-3"/>
              </w:rPr>
              <w:t>Ten se oproti roku 2017 snížil o téměř polovinu, primárně vlivem poklesu přebytku místních vládních institucí.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2111E5">
            <w:pPr>
              <w:spacing w:after="220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color w:val="000000" w:themeColor="text1"/>
                <w:spacing w:val="-4"/>
              </w:rPr>
              <w:t>Konsolidovaný d</w:t>
            </w:r>
            <w:r w:rsidRPr="004739FE">
              <w:rPr>
                <w:color w:val="000000" w:themeColor="text1"/>
                <w:spacing w:val="-4"/>
              </w:rPr>
              <w:t>luh</w:t>
            </w:r>
            <w:r w:rsidRPr="004739FE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celého </w:t>
            </w:r>
            <w:r w:rsidRPr="004739FE">
              <w:rPr>
                <w:color w:val="0D0D0D" w:themeColor="text1" w:themeTint="F2"/>
                <w:spacing w:val="-4"/>
              </w:rPr>
              <w:t>sektoru vládních institucí (zohledňující</w:t>
            </w:r>
            <w:r w:rsidRPr="004739FE">
              <w:rPr>
                <w:color w:val="000000" w:themeColor="text1"/>
                <w:spacing w:val="-4"/>
              </w:rPr>
              <w:t xml:space="preserve"> </w:t>
            </w:r>
            <w:r w:rsidRPr="0043535F">
              <w:rPr>
                <w:color w:val="000000" w:themeColor="text1"/>
                <w:spacing w:val="-4"/>
              </w:rPr>
              <w:t>i hospodaření územně správních celků či zdravotních pojišťoven) dosáhl d</w:t>
            </w:r>
            <w:r>
              <w:rPr>
                <w:color w:val="000000" w:themeColor="text1"/>
                <w:spacing w:val="-4"/>
              </w:rPr>
              <w:t>le údajů dat ČSÚ na konci 4</w:t>
            </w:r>
            <w:r w:rsidRPr="0043535F">
              <w:rPr>
                <w:color w:val="000000" w:themeColor="text1"/>
                <w:spacing w:val="-4"/>
              </w:rPr>
              <w:t>.</w:t>
            </w:r>
            <w:r>
              <w:rPr>
                <w:color w:val="000000" w:themeColor="text1"/>
                <w:spacing w:val="-4"/>
              </w:rPr>
              <w:t> čtvrt</w:t>
            </w:r>
            <w:r w:rsidRPr="0043535F">
              <w:rPr>
                <w:color w:val="000000" w:themeColor="text1"/>
                <w:spacing w:val="-4"/>
              </w:rPr>
              <w:t xml:space="preserve">letí </w:t>
            </w:r>
            <w:r w:rsidRPr="0043535F">
              <w:rPr>
                <w:color w:val="000000" w:themeColor="text1"/>
                <w:spacing w:val="-4"/>
              </w:rPr>
              <w:lastRenderedPageBreak/>
              <w:t>201</w:t>
            </w:r>
            <w:r>
              <w:rPr>
                <w:color w:val="000000" w:themeColor="text1"/>
                <w:spacing w:val="-4"/>
              </w:rPr>
              <w:t>8 hodnoty 1 735,1 mld.</w:t>
            </w:r>
            <w:r w:rsidRPr="0043535F"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  <w:spacing w:val="-4"/>
              </w:rPr>
              <w:t>korun. Absolutní výše dluhu zůstává již šestý</w:t>
            </w:r>
            <w:r w:rsidR="002111E5">
              <w:rPr>
                <w:color w:val="000000" w:themeColor="text1"/>
                <w:spacing w:val="-4"/>
              </w:rPr>
              <w:t>m</w:t>
            </w:r>
            <w:r>
              <w:rPr>
                <w:color w:val="000000" w:themeColor="text1"/>
                <w:spacing w:val="-4"/>
              </w:rPr>
              <w:t xml:space="preserve"> rok</w:t>
            </w:r>
            <w:r w:rsidR="002111E5"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4"/>
              </w:rPr>
              <w:t xml:space="preserve"> v řadě stabilizovaná. Míra zadlužení činila 32,71 % HDP a ve srovnání s koncem roku 2017 klesla o 1,95 p. </w:t>
            </w:r>
            <w:proofErr w:type="spellStart"/>
            <w:r>
              <w:rPr>
                <w:color w:val="000000" w:themeColor="text1"/>
                <w:spacing w:val="-4"/>
              </w:rPr>
              <w:t>b</w:t>
            </w:r>
            <w:proofErr w:type="spellEnd"/>
            <w:r>
              <w:rPr>
                <w:color w:val="000000" w:themeColor="text1"/>
                <w:spacing w:val="-4"/>
              </w:rPr>
              <w:t xml:space="preserve">. Snížila se primárně vlivem posílení nominálního HDP, samotný meziroční pokles dluhu (o 14,5 mld. korun) se podílel jen necelou sedminou. V roce 2018 docílil sektor vládních institucí v ČR </w:t>
            </w:r>
            <w:r w:rsidR="002111E5">
              <w:rPr>
                <w:color w:val="000000" w:themeColor="text1"/>
                <w:spacing w:val="-4"/>
              </w:rPr>
              <w:t>přebytku</w:t>
            </w:r>
            <w:r>
              <w:rPr>
                <w:color w:val="000000" w:themeColor="text1"/>
                <w:spacing w:val="-4"/>
              </w:rPr>
              <w:t xml:space="preserve"> hospodaření ve výši +47,4 mld. korun, celoroční kladný výsledek přetrvával již třetím rokem v řadě. Přebytku dosáhly loni </w:t>
            </w:r>
            <w:r w:rsidR="00EA1D0E">
              <w:rPr>
                <w:color w:val="000000" w:themeColor="text1"/>
                <w:spacing w:val="-4"/>
              </w:rPr>
              <w:br/>
            </w:r>
            <w:r>
              <w:rPr>
                <w:rFonts w:cs="Arial"/>
                <w:color w:val="0D0D0D" w:themeColor="text1" w:themeTint="F2"/>
                <w:spacing w:val="-4"/>
              </w:rPr>
              <w:t>–</w:t>
            </w:r>
            <w:r>
              <w:rPr>
                <w:color w:val="000000" w:themeColor="text1"/>
                <w:spacing w:val="-4"/>
              </w:rPr>
              <w:t xml:space="preserve"> stejně jako v roce 2017 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– všechny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subsektory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vládních institucí. Pouze fondy sociálního zabezpečení však dokázaly loňský výsledek vylepšit (o 8,2 mld.). </w:t>
            </w:r>
            <w:r>
              <w:rPr>
                <w:color w:val="000000" w:themeColor="text1"/>
                <w:spacing w:val="-4"/>
              </w:rPr>
              <w:t>Ve vztahu k HDP činil loňský přebytek celého sektoru 0,89 %, šlo o druhou nejvyšší hodnotu ve srovnatelné časové řadě od roku 1995 (v rekordním roce 2017 saldo vystoupalo na +1,57 %). Slabší meziroční výsledek byl loni ovlivněn zejména poklesem přebytku hospodaření místních vládních institucí (o 22,9 mld. korun) v jehož pozadí stál i svižný růst investic</w:t>
            </w:r>
            <w:r>
              <w:rPr>
                <w:rStyle w:val="Znakapoznpodarou"/>
                <w:color w:val="000000" w:themeColor="text1"/>
                <w:spacing w:val="-4"/>
              </w:rPr>
              <w:footnoteReference w:id="13"/>
            </w:r>
            <w:r>
              <w:rPr>
                <w:color w:val="000000" w:themeColor="text1"/>
                <w:spacing w:val="-4"/>
              </w:rPr>
              <w:t>.</w:t>
            </w:r>
          </w:p>
        </w:tc>
      </w:tr>
      <w:tr w:rsidR="0074499B" w:rsidRPr="00D3668D" w:rsidTr="00723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FD326B" w:rsidRDefault="0074499B" w:rsidP="00723435">
            <w:pPr>
              <w:jc w:val="left"/>
              <w:rPr>
                <w:spacing w:val="-3"/>
                <w:sz w:val="16"/>
                <w:szCs w:val="16"/>
              </w:rPr>
            </w:pPr>
            <w:r w:rsidRPr="00FD326B">
              <w:rPr>
                <w:spacing w:val="-3"/>
                <w:sz w:val="16"/>
                <w:szCs w:val="16"/>
              </w:rPr>
              <w:lastRenderedPageBreak/>
              <w:t>Tendence snižovat míru zadlužení je na úrovni celé EU patrná od poloviny roku 2015, doposud však probíhala jen velmi pozvolna.</w:t>
            </w:r>
          </w:p>
          <w:p w:rsidR="0074499B" w:rsidRDefault="0074499B" w:rsidP="00723435">
            <w:pPr>
              <w:pStyle w:val="Marginlie"/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Default="0074499B" w:rsidP="00723435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74499B" w:rsidRPr="00D3668D" w:rsidRDefault="0074499B" w:rsidP="00723435">
            <w:pPr>
              <w:pStyle w:val="Textpoznpodarou"/>
              <w:spacing w:line="276" w:lineRule="auto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>
              <w:rPr>
                <w:color w:val="000000" w:themeColor="text1"/>
                <w:spacing w:val="-4"/>
              </w:rPr>
              <w:t>Česko bylo dle aktuálních dat na konci 3</w:t>
            </w:r>
            <w:r w:rsidRPr="0043535F">
              <w:rPr>
                <w:color w:val="000000" w:themeColor="text1"/>
                <w:spacing w:val="-4"/>
              </w:rPr>
              <w:t>.</w:t>
            </w:r>
            <w:r>
              <w:rPr>
                <w:color w:val="000000" w:themeColor="text1"/>
                <w:spacing w:val="-4"/>
              </w:rPr>
              <w:t> čtvrt</w:t>
            </w:r>
            <w:r w:rsidRPr="0043535F">
              <w:rPr>
                <w:color w:val="000000" w:themeColor="text1"/>
                <w:spacing w:val="-4"/>
              </w:rPr>
              <w:t>letí 201</w:t>
            </w:r>
            <w:r>
              <w:rPr>
                <w:color w:val="000000" w:themeColor="text1"/>
                <w:spacing w:val="-4"/>
              </w:rPr>
              <w:t>8 (33,9 % HDP)</w:t>
            </w:r>
            <w:r w:rsidRPr="0043535F">
              <w:rPr>
                <w:rStyle w:val="Znakapoznpodarou"/>
                <w:color w:val="000000" w:themeColor="text1"/>
                <w:spacing w:val="-4"/>
              </w:rPr>
              <w:footnoteReference w:id="14"/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rFonts w:cs="Arial"/>
                <w:color w:val="0D0D0D" w:themeColor="text1" w:themeTint="F2"/>
                <w:spacing w:val="-4"/>
              </w:rPr>
              <w:t>čtvrtou relativně nejméně zadluženou zemí EU (s</w:t>
            </w:r>
            <w:r>
              <w:rPr>
                <w:color w:val="000000" w:themeColor="text1"/>
                <w:spacing w:val="-4"/>
              </w:rPr>
              <w:t xml:space="preserve"> větším </w:t>
            </w:r>
            <w:r>
              <w:rPr>
                <w:rFonts w:cs="Arial"/>
                <w:color w:val="0D0D0D" w:themeColor="text1" w:themeTint="F2"/>
                <w:spacing w:val="-4"/>
              </w:rPr>
              <w:t>odstupem za Estonskem, Lucemburskem a</w:t>
            </w:r>
            <w:r>
              <w:rPr>
                <w:color w:val="000000" w:themeColor="text1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>Bulharskem). Míra zadluženosti meziročně klesala v EU i v 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Eurozóně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 již čtvrtým rokem v řadě, tempo redukce se ale navzdory dlouhodobějšímu hospodářskému růstu nedaří zrychlovat. Za posledních pět let míra zadluženosti v Unii klesla jen</w:t>
            </w:r>
            <w:r w:rsidR="00382513">
              <w:rPr>
                <w:rFonts w:cs="Arial"/>
                <w:color w:val="0D0D0D" w:themeColor="text1" w:themeTint="F2"/>
                <w:spacing w:val="-4"/>
              </w:rPr>
              <w:t xml:space="preserve"> o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4,8 p.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b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.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>na</w:t>
            </w:r>
            <w:proofErr w:type="gramEnd"/>
            <w:r>
              <w:rPr>
                <w:rFonts w:cs="Arial"/>
                <w:color w:val="0D0D0D" w:themeColor="text1" w:themeTint="F2"/>
                <w:spacing w:val="-4"/>
              </w:rPr>
              <w:t xml:space="preserve"> 80,8</w:t>
            </w:r>
            <w:r>
              <w:rPr>
                <w:color w:val="000000" w:themeColor="text1"/>
                <w:spacing w:val="-4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%, neboť postavení nejzadluženějších ekonomik se zlepšilo jen minimálně. Meziroční redukci zadluženosti signalizovalo ve 3. čtvrtletí 2018 24 států Unie, z nejzadluženějších ekonomik ale významnější posun zaznamenalo jen Portugalsko. V Řecku a Kypru míra zadluženosti narůstala. Zadlužení pod 60 % HDP vykázala necelá polovina členů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Eurozóny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 xml:space="preserve">, z toho z jádrových zemí (EU15) jen Lucembursko, Nizozemsko a Finsko. </w:t>
            </w:r>
            <w:r w:rsidRPr="0043535F">
              <w:rPr>
                <w:rFonts w:cs="Arial"/>
                <w:bCs/>
                <w:iCs/>
                <w:color w:val="0D0D0D" w:themeColor="text1" w:themeTint="F2"/>
                <w:spacing w:val="-4"/>
              </w:rPr>
              <w:t xml:space="preserve">Snížit 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</w:rPr>
              <w:t xml:space="preserve">svou míru </w:t>
            </w:r>
            <w:r w:rsidRPr="0043535F">
              <w:rPr>
                <w:rFonts w:cs="Arial"/>
                <w:bCs/>
                <w:iCs/>
                <w:color w:val="0D0D0D" w:themeColor="text1" w:themeTint="F2"/>
                <w:spacing w:val="-4"/>
              </w:rPr>
              <w:t>zadluženost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</w:rPr>
              <w:t>i pod</w:t>
            </w:r>
            <w:r w:rsidRPr="0043535F">
              <w:rPr>
                <w:rFonts w:cs="Arial"/>
                <w:bCs/>
                <w:iCs/>
                <w:color w:val="0D0D0D" w:themeColor="text1" w:themeTint="F2"/>
                <w:spacing w:val="-4"/>
              </w:rPr>
              <w:t xml:space="preserve"> úroveň blízk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</w:rPr>
              <w:t>ou předkrizového</w:t>
            </w:r>
            <w:r w:rsidRPr="0043535F">
              <w:rPr>
                <w:rFonts w:cs="Arial"/>
                <w:bCs/>
                <w:iCs/>
                <w:color w:val="0D0D0D" w:themeColor="text1" w:themeTint="F2"/>
                <w:spacing w:val="-4"/>
              </w:rPr>
              <w:t xml:space="preserve"> roku 2008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</w:rPr>
              <w:t xml:space="preserve"> se dosud podařilo jen Německu a Maltě (této úrovni se dále blížilo již jen Švédsko a Estonsko).</w:t>
            </w:r>
          </w:p>
        </w:tc>
      </w:tr>
    </w:tbl>
    <w:p w:rsidR="0083630F" w:rsidRPr="0083630F" w:rsidRDefault="0083630F" w:rsidP="00965797">
      <w:pPr>
        <w:pStyle w:val="Nadpis11"/>
        <w:rPr>
          <w:sz w:val="2"/>
          <w:szCs w:val="2"/>
        </w:rPr>
      </w:pPr>
    </w:p>
    <w:p w:rsidR="00A50D73" w:rsidRPr="009110F7" w:rsidRDefault="00A50D73" w:rsidP="00E1444C">
      <w:pPr>
        <w:rPr>
          <w:sz w:val="2"/>
          <w:szCs w:val="2"/>
        </w:rPr>
      </w:pPr>
    </w:p>
    <w:sectPr w:rsidR="00A50D73" w:rsidRPr="009110F7" w:rsidSect="00572DD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737" w:gutter="0"/>
      <w:pgNumType w:start="3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DFF835" w15:done="0"/>
  <w15:commentEx w15:paraId="4A97EC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12CEEF" w16cid:durableId="1FBE60B2"/>
  <w16cid:commentId w16cid:paraId="510EBE5F" w16cid:durableId="1FBE6564"/>
  <w16cid:commentId w16cid:paraId="2BBC27AD" w16cid:durableId="1FBE6E48"/>
  <w16cid:commentId w16cid:paraId="64F0BE47" w16cid:durableId="1FBE7339"/>
  <w16cid:commentId w16cid:paraId="061FEE45" w16cid:durableId="1FBE868D"/>
  <w16cid:commentId w16cid:paraId="180AB565" w16cid:durableId="1FBE8A4D"/>
  <w16cid:commentId w16cid:paraId="4FDB8EDF" w16cid:durableId="1FBE88D5"/>
  <w16cid:commentId w16cid:paraId="6709F746" w16cid:durableId="1FBE975B"/>
  <w16cid:commentId w16cid:paraId="2323FC13" w16cid:durableId="1FBE984D"/>
  <w16cid:commentId w16cid:paraId="28C26757" w16cid:durableId="1FBE9A64"/>
  <w16cid:commentId w16cid:paraId="28F690F6" w16cid:durableId="1FBEA05F"/>
  <w16cid:commentId w16cid:paraId="72A0F35B" w16cid:durableId="1FBF3BF8"/>
  <w16cid:commentId w16cid:paraId="17D51B1D" w16cid:durableId="1FBF3D1F"/>
  <w16cid:commentId w16cid:paraId="1905EDB9" w16cid:durableId="1FBFAD59"/>
  <w16cid:commentId w16cid:paraId="769B3E23" w16cid:durableId="1FBFC02F"/>
  <w16cid:commentId w16cid:paraId="4941CE09" w16cid:durableId="1FBFC811"/>
  <w16cid:commentId w16cid:paraId="3F6235A8" w16cid:durableId="1FC0B704"/>
  <w16cid:commentId w16cid:paraId="57663EE7" w16cid:durableId="1FC114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E3" w:rsidRDefault="008E53E3" w:rsidP="00E71A58">
      <w:r>
        <w:separator/>
      </w:r>
    </w:p>
  </w:endnote>
  <w:endnote w:type="continuationSeparator" w:id="0">
    <w:p w:rsidR="008E53E3" w:rsidRDefault="008E53E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Pr="00932443" w:rsidRDefault="00B42D5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5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2F70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A32F70" w:rsidRPr="00932443">
      <w:rPr>
        <w:szCs w:val="16"/>
      </w:rPr>
      <w:fldChar w:fldCharType="separate"/>
    </w:r>
    <w:r w:rsidR="00572DD6">
      <w:rPr>
        <w:szCs w:val="16"/>
      </w:rPr>
      <w:t>36</w:t>
    </w:r>
    <w:r w:rsidR="00A32F70" w:rsidRPr="00932443">
      <w:rPr>
        <w:szCs w:val="16"/>
      </w:rPr>
      <w:fldChar w:fldCharType="end"/>
    </w:r>
    <w:r w:rsidRPr="00932443">
      <w:rPr>
        <w:szCs w:val="16"/>
      </w:rPr>
      <w:tab/>
    </w:r>
    <w:r>
      <w:t>rok 2018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Pr="00932443" w:rsidRDefault="00B42D5F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6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t>rok 2018</w:t>
    </w:r>
    <w:r w:rsidRPr="00932443">
      <w:rPr>
        <w:szCs w:val="16"/>
      </w:rPr>
      <w:tab/>
    </w:r>
    <w:r w:rsidR="00A32F70"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="00A32F70" w:rsidRPr="00932443">
      <w:rPr>
        <w:rStyle w:val="ZpatChar"/>
        <w:szCs w:val="16"/>
      </w:rPr>
      <w:fldChar w:fldCharType="separate"/>
    </w:r>
    <w:r w:rsidR="00572DD6">
      <w:rPr>
        <w:rStyle w:val="ZpatChar"/>
        <w:szCs w:val="16"/>
      </w:rPr>
      <w:t>35</w:t>
    </w:r>
    <w:r w:rsidR="00A32F70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E3" w:rsidRDefault="008E53E3" w:rsidP="00E71A58">
      <w:r>
        <w:separator/>
      </w:r>
    </w:p>
  </w:footnote>
  <w:footnote w:type="continuationSeparator" w:id="0">
    <w:p w:rsidR="008E53E3" w:rsidRDefault="008E53E3" w:rsidP="00E71A58">
      <w:r>
        <w:continuationSeparator/>
      </w:r>
    </w:p>
  </w:footnote>
  <w:footnote w:id="1">
    <w:p w:rsidR="00B42D5F" w:rsidRPr="00795437" w:rsidRDefault="00B42D5F" w:rsidP="0074499B">
      <w:pPr>
        <w:pStyle w:val="Textpoznpodarou"/>
        <w:jc w:val="both"/>
        <w:rPr>
          <w:sz w:val="16"/>
          <w:szCs w:val="16"/>
        </w:rPr>
      </w:pPr>
      <w:r w:rsidRPr="00795437">
        <w:rPr>
          <w:rStyle w:val="Znakapoznpodarou"/>
          <w:sz w:val="16"/>
          <w:szCs w:val="16"/>
        </w:rPr>
        <w:footnoteRef/>
      </w:r>
      <w:r w:rsidRPr="00795437">
        <w:rPr>
          <w:sz w:val="16"/>
          <w:szCs w:val="16"/>
        </w:rPr>
        <w:t xml:space="preserve"> </w:t>
      </w:r>
      <w:r w:rsidRPr="00795437">
        <w:rPr>
          <w:color w:val="0D0D0D" w:themeColor="text1" w:themeTint="F2"/>
          <w:spacing w:val="-2"/>
          <w:sz w:val="16"/>
          <w:szCs w:val="16"/>
        </w:rPr>
        <w:t xml:space="preserve">Pokud není uvedeno jinak, vycházejí všechny údaje týkající se státního rozpočtu </w:t>
      </w:r>
      <w:r w:rsidRPr="00795437">
        <w:rPr>
          <w:rFonts w:cs="Arial"/>
          <w:color w:val="0D0D0D" w:themeColor="text1" w:themeTint="F2"/>
          <w:spacing w:val="-2"/>
          <w:sz w:val="16"/>
          <w:szCs w:val="16"/>
        </w:rPr>
        <w:t>z dat Ministerstva financí o pokladním plnění.</w:t>
      </w:r>
    </w:p>
  </w:footnote>
  <w:footnote w:id="2">
    <w:p w:rsidR="00B42D5F" w:rsidRPr="008E4F8A" w:rsidRDefault="00B42D5F" w:rsidP="00BB453F">
      <w:pPr>
        <w:pStyle w:val="Textpoznpodarou"/>
        <w:jc w:val="both"/>
        <w:rPr>
          <w:sz w:val="16"/>
          <w:szCs w:val="16"/>
        </w:rPr>
      </w:pPr>
      <w:r w:rsidRPr="008E4F8A">
        <w:rPr>
          <w:rStyle w:val="Znakapoznpodarou"/>
          <w:sz w:val="16"/>
          <w:szCs w:val="16"/>
        </w:rPr>
        <w:footnoteRef/>
      </w:r>
      <w:r w:rsidRPr="008E4F8A">
        <w:rPr>
          <w:sz w:val="16"/>
          <w:szCs w:val="16"/>
        </w:rPr>
        <w:t xml:space="preserve"> </w:t>
      </w:r>
      <w:r w:rsidRPr="008E4F8A">
        <w:rPr>
          <w:spacing w:val="-4"/>
          <w:sz w:val="16"/>
          <w:szCs w:val="16"/>
        </w:rPr>
        <w:t xml:space="preserve">Stály za tím především </w:t>
      </w:r>
      <w:r w:rsidRPr="008E4F8A">
        <w:rPr>
          <w:spacing w:val="-2"/>
          <w:sz w:val="16"/>
          <w:szCs w:val="16"/>
        </w:rPr>
        <w:t>dobíhající závěrečné platby vztahující se k již skončenému programovému období 2007 až 2013 (ve výši 23,</w:t>
      </w:r>
      <w:r>
        <w:rPr>
          <w:spacing w:val="-2"/>
          <w:sz w:val="16"/>
          <w:szCs w:val="16"/>
        </w:rPr>
        <w:t>9 mld. korun). Z</w:t>
      </w:r>
      <w:r w:rsidRPr="008E4F8A">
        <w:rPr>
          <w:spacing w:val="-2"/>
          <w:sz w:val="16"/>
          <w:szCs w:val="16"/>
        </w:rPr>
        <w:t>části k růstu přispělo i oživení čerpání v předchozích měsících navázané na současné programové období.</w:t>
      </w:r>
      <w:r w:rsidRPr="008E4F8A">
        <w:rPr>
          <w:sz w:val="16"/>
          <w:szCs w:val="16"/>
        </w:rPr>
        <w:t xml:space="preserve"> Projevil se i vliv posílení příjmů z prodeje emisních povolenek, které dosáhly téměř 15,0 mld. </w:t>
      </w:r>
      <w:r>
        <w:rPr>
          <w:sz w:val="16"/>
          <w:szCs w:val="16"/>
        </w:rPr>
        <w:t>korun</w:t>
      </w:r>
      <w:r w:rsidRPr="008E4F8A">
        <w:rPr>
          <w:sz w:val="16"/>
          <w:szCs w:val="16"/>
        </w:rPr>
        <w:t xml:space="preserve"> (o 9,0 mld. </w:t>
      </w:r>
      <w:r>
        <w:rPr>
          <w:sz w:val="16"/>
          <w:szCs w:val="16"/>
        </w:rPr>
        <w:t>korun</w:t>
      </w:r>
      <w:r w:rsidRPr="008E4F8A">
        <w:rPr>
          <w:sz w:val="16"/>
          <w:szCs w:val="16"/>
        </w:rPr>
        <w:t xml:space="preserve"> více než ve schváleném rozpočtu).</w:t>
      </w:r>
    </w:p>
  </w:footnote>
  <w:footnote w:id="3">
    <w:p w:rsidR="00B42D5F" w:rsidRDefault="00B42D5F" w:rsidP="0074499B">
      <w:pPr>
        <w:pStyle w:val="Textpoznpodarou"/>
        <w:jc w:val="both"/>
      </w:pPr>
      <w:r w:rsidRPr="00390875">
        <w:rPr>
          <w:rStyle w:val="Znakapoznpodarou"/>
          <w:sz w:val="16"/>
          <w:szCs w:val="16"/>
        </w:rPr>
        <w:footnoteRef/>
      </w:r>
      <w:r w:rsidRPr="00390875">
        <w:rPr>
          <w:sz w:val="16"/>
          <w:szCs w:val="16"/>
        </w:rPr>
        <w:t xml:space="preserve"> Zvolnění</w:t>
      </w:r>
      <w:r>
        <w:rPr>
          <w:sz w:val="16"/>
          <w:szCs w:val="16"/>
        </w:rPr>
        <w:t xml:space="preserve"> meziročního tempa dokládají i</w:t>
      </w:r>
      <w:r w:rsidRPr="007A0E74">
        <w:rPr>
          <w:sz w:val="16"/>
          <w:szCs w:val="16"/>
        </w:rPr>
        <w:t xml:space="preserve"> data ČSÚ. Ve váhově dominantní </w:t>
      </w:r>
      <w:r>
        <w:rPr>
          <w:sz w:val="16"/>
          <w:szCs w:val="16"/>
        </w:rPr>
        <w:t>kategorii – motorová nafta – vzro</w:t>
      </w:r>
      <w:r w:rsidRPr="007A0E74">
        <w:rPr>
          <w:sz w:val="16"/>
          <w:szCs w:val="16"/>
        </w:rPr>
        <w:t>s</w:t>
      </w:r>
      <w:r>
        <w:rPr>
          <w:sz w:val="16"/>
          <w:szCs w:val="16"/>
        </w:rPr>
        <w:t>t</w:t>
      </w:r>
      <w:r w:rsidRPr="007A0E74">
        <w:rPr>
          <w:sz w:val="16"/>
          <w:szCs w:val="16"/>
        </w:rPr>
        <w:t xml:space="preserve">la </w:t>
      </w:r>
      <w:r w:rsidRPr="00B9539C">
        <w:rPr>
          <w:color w:val="0D0D0D" w:themeColor="text1" w:themeTint="F2"/>
          <w:sz w:val="16"/>
          <w:szCs w:val="16"/>
        </w:rPr>
        <w:t xml:space="preserve">v </w:t>
      </w:r>
      <w:r>
        <w:rPr>
          <w:sz w:val="16"/>
          <w:szCs w:val="16"/>
        </w:rPr>
        <w:t xml:space="preserve">roce 2018 </w:t>
      </w:r>
      <w:r w:rsidRPr="007A0E74">
        <w:rPr>
          <w:sz w:val="16"/>
          <w:szCs w:val="16"/>
        </w:rPr>
        <w:t>spotř</w:t>
      </w:r>
      <w:r>
        <w:rPr>
          <w:sz w:val="16"/>
          <w:szCs w:val="16"/>
        </w:rPr>
        <w:t>eba o</w:t>
      </w:r>
      <w:r w:rsidRPr="002101D5">
        <w:rPr>
          <w:rFonts w:cs="Arial"/>
          <w:color w:val="0D0D0D" w:themeColor="text1" w:themeTint="F2"/>
          <w:sz w:val="16"/>
          <w:szCs w:val="16"/>
        </w:rPr>
        <w:t> </w:t>
      </w:r>
      <w:r>
        <w:rPr>
          <w:sz w:val="16"/>
          <w:szCs w:val="16"/>
        </w:rPr>
        <w:t>1,1 % (v roce 2017 přitom posílila o 3,5</w:t>
      </w:r>
      <w:r w:rsidRPr="007A0E74">
        <w:rPr>
          <w:sz w:val="16"/>
          <w:szCs w:val="16"/>
        </w:rPr>
        <w:t xml:space="preserve"> %</w:t>
      </w:r>
      <w:r>
        <w:rPr>
          <w:sz w:val="16"/>
          <w:szCs w:val="16"/>
        </w:rPr>
        <w:t>)</w:t>
      </w:r>
      <w:r w:rsidRPr="007A0E74">
        <w:rPr>
          <w:sz w:val="16"/>
          <w:szCs w:val="16"/>
        </w:rPr>
        <w:t>.</w:t>
      </w:r>
      <w:r>
        <w:rPr>
          <w:sz w:val="16"/>
          <w:szCs w:val="16"/>
        </w:rPr>
        <w:t xml:space="preserve"> Nižší tempo vykázala loni i spotřeba leteckého petroleje (+8,6</w:t>
      </w:r>
      <w:r>
        <w:rPr>
          <w:rFonts w:cs="Arial"/>
          <w:color w:val="0D0D0D" w:themeColor="text1" w:themeTint="F2"/>
          <w:sz w:val="16"/>
          <w:szCs w:val="16"/>
          <w:shd w:val="clear" w:color="auto" w:fill="FFFFFF"/>
        </w:rPr>
        <w:t> </w:t>
      </w:r>
      <w:r>
        <w:rPr>
          <w:sz w:val="16"/>
          <w:szCs w:val="16"/>
        </w:rPr>
        <w:t>%, resp. +15,1 %). Spotřeba motorového benzinu loni stejně jako v roce 2017 fakticky stagnovala.</w:t>
      </w:r>
    </w:p>
  </w:footnote>
  <w:footnote w:id="4">
    <w:p w:rsidR="00B42D5F" w:rsidRPr="002101D5" w:rsidRDefault="00B42D5F" w:rsidP="0074499B">
      <w:pPr>
        <w:pStyle w:val="Textpoznpodarou"/>
        <w:jc w:val="both"/>
        <w:rPr>
          <w:rFonts w:cs="Arial"/>
          <w:color w:val="0D0D0D" w:themeColor="text1" w:themeTint="F2"/>
          <w:sz w:val="16"/>
          <w:szCs w:val="16"/>
        </w:rPr>
      </w:pPr>
      <w:r w:rsidRPr="002101D5">
        <w:rPr>
          <w:rStyle w:val="Znakapoznpodarou"/>
          <w:rFonts w:cs="Arial"/>
          <w:color w:val="0D0D0D" w:themeColor="text1" w:themeTint="F2"/>
          <w:sz w:val="16"/>
          <w:szCs w:val="16"/>
        </w:rPr>
        <w:footnoteRef/>
      </w:r>
      <w:r w:rsidRPr="002101D5">
        <w:rPr>
          <w:rFonts w:cs="Arial"/>
          <w:color w:val="0D0D0D" w:themeColor="text1" w:themeTint="F2"/>
          <w:sz w:val="16"/>
          <w:szCs w:val="16"/>
        </w:rPr>
        <w:t xml:space="preserve"> Jde </w:t>
      </w:r>
      <w:r>
        <w:rPr>
          <w:rFonts w:cs="Arial"/>
          <w:color w:val="0D0D0D" w:themeColor="text1" w:themeTint="F2"/>
          <w:sz w:val="16"/>
          <w:szCs w:val="16"/>
        </w:rPr>
        <w:t xml:space="preserve">hlavně </w:t>
      </w:r>
      <w:r w:rsidRPr="002101D5">
        <w:rPr>
          <w:rFonts w:cs="Arial"/>
          <w:color w:val="0D0D0D" w:themeColor="text1" w:themeTint="F2"/>
          <w:sz w:val="16"/>
          <w:szCs w:val="16"/>
        </w:rPr>
        <w:t xml:space="preserve">o tzv. zelenou naftu umožňující vrácení této daně </w:t>
      </w:r>
      <w:r>
        <w:rPr>
          <w:rFonts w:cs="Arial"/>
          <w:color w:val="0D0D0D" w:themeColor="text1" w:themeTint="F2"/>
          <w:sz w:val="16"/>
          <w:szCs w:val="16"/>
        </w:rPr>
        <w:t xml:space="preserve">subjektům působícím </w:t>
      </w:r>
      <w:r w:rsidRPr="002101D5">
        <w:rPr>
          <w:rFonts w:cs="Arial"/>
          <w:color w:val="0D0D0D" w:themeColor="text1" w:themeTint="F2"/>
          <w:sz w:val="16"/>
          <w:szCs w:val="16"/>
        </w:rPr>
        <w:t>v oblasti živočišné prvovýroby. Tento</w:t>
      </w:r>
      <w:r>
        <w:rPr>
          <w:rFonts w:cs="Arial"/>
          <w:color w:val="0D0D0D" w:themeColor="text1" w:themeTint="F2"/>
          <w:sz w:val="16"/>
          <w:szCs w:val="16"/>
        </w:rPr>
        <w:t xml:space="preserve"> odpočet se v </w:t>
      </w:r>
      <w:r w:rsidRPr="002101D5">
        <w:rPr>
          <w:rFonts w:cs="Arial"/>
          <w:color w:val="0D0D0D" w:themeColor="text1" w:themeTint="F2"/>
          <w:sz w:val="16"/>
          <w:szCs w:val="16"/>
        </w:rPr>
        <w:t>roce</w:t>
      </w:r>
      <w:r>
        <w:rPr>
          <w:rFonts w:cs="Arial"/>
          <w:color w:val="0D0D0D" w:themeColor="text1" w:themeTint="F2"/>
          <w:sz w:val="16"/>
          <w:szCs w:val="16"/>
        </w:rPr>
        <w:t xml:space="preserve"> 2018 (na rozdíl od předešlého roku</w:t>
      </w:r>
      <w:r w:rsidRPr="002101D5">
        <w:rPr>
          <w:rFonts w:cs="Arial"/>
          <w:color w:val="0D0D0D" w:themeColor="text1" w:themeTint="F2"/>
          <w:sz w:val="16"/>
          <w:szCs w:val="16"/>
        </w:rPr>
        <w:t>) projevuje již v plné výši. Na spotřebu benz</w:t>
      </w:r>
      <w:r>
        <w:rPr>
          <w:rFonts w:cs="Arial"/>
          <w:color w:val="0D0D0D" w:themeColor="text1" w:themeTint="F2"/>
          <w:sz w:val="16"/>
          <w:szCs w:val="16"/>
        </w:rPr>
        <w:t>i</w:t>
      </w:r>
      <w:r w:rsidRPr="002101D5">
        <w:rPr>
          <w:rFonts w:cs="Arial"/>
          <w:color w:val="0D0D0D" w:themeColor="text1" w:themeTint="F2"/>
          <w:sz w:val="16"/>
          <w:szCs w:val="16"/>
        </w:rPr>
        <w:t xml:space="preserve">nu a motorové nafty mohly mít zčásti </w:t>
      </w:r>
      <w:r w:rsidRPr="002C2D2F">
        <w:rPr>
          <w:rFonts w:cs="Arial"/>
          <w:color w:val="0D0D0D" w:themeColor="text1" w:themeTint="F2"/>
          <w:sz w:val="16"/>
          <w:szCs w:val="16"/>
        </w:rPr>
        <w:t>negativní vliv i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2C2D2F">
        <w:rPr>
          <w:rFonts w:cs="Arial"/>
          <w:color w:val="0D0D0D" w:themeColor="text1" w:themeTint="F2"/>
          <w:sz w:val="16"/>
          <w:szCs w:val="16"/>
        </w:rPr>
        <w:t>rostoucí ceny. Zatímco v první polovině roku 2017 spotřebitelské ceny PHM klesaly (a ve 3. čtvrtletí spíše stagn</w:t>
      </w:r>
      <w:r>
        <w:rPr>
          <w:rFonts w:cs="Arial"/>
          <w:color w:val="0D0D0D" w:themeColor="text1" w:themeTint="F2"/>
          <w:sz w:val="16"/>
          <w:szCs w:val="16"/>
        </w:rPr>
        <w:t>ovaly), v roce 2018 tomu bylo po většinu roku naopak.</w:t>
      </w:r>
    </w:p>
  </w:footnote>
  <w:footnote w:id="5">
    <w:p w:rsidR="00B42D5F" w:rsidRPr="00C80EA0" w:rsidRDefault="00B42D5F" w:rsidP="0074499B">
      <w:pPr>
        <w:pStyle w:val="Textpoznpodarou"/>
        <w:jc w:val="both"/>
        <w:rPr>
          <w:sz w:val="16"/>
          <w:szCs w:val="16"/>
        </w:rPr>
      </w:pPr>
      <w:r w:rsidRPr="00C80EA0">
        <w:rPr>
          <w:rStyle w:val="Znakapoznpodarou"/>
          <w:sz w:val="16"/>
          <w:szCs w:val="16"/>
        </w:rPr>
        <w:footnoteRef/>
      </w:r>
      <w:r w:rsidRPr="00C80EA0">
        <w:rPr>
          <w:sz w:val="16"/>
          <w:szCs w:val="16"/>
        </w:rPr>
        <w:t xml:space="preserve"> Celkem bylo loni na společné projekty ČR a EU vynaloženo téměř 127 mld. korun, čemuž pomohlo i vyšší zapojení </w:t>
      </w:r>
      <w:r>
        <w:rPr>
          <w:sz w:val="16"/>
          <w:szCs w:val="16"/>
        </w:rPr>
        <w:t>nároků z</w:t>
      </w:r>
      <w:r>
        <w:rPr>
          <w:rFonts w:cs="Arial"/>
          <w:color w:val="0D0D0D" w:themeColor="text1" w:themeTint="F2"/>
          <w:sz w:val="16"/>
          <w:szCs w:val="16"/>
        </w:rPr>
        <w:t> </w:t>
      </w:r>
      <w:r w:rsidRPr="00C80EA0">
        <w:rPr>
          <w:sz w:val="16"/>
          <w:szCs w:val="16"/>
        </w:rPr>
        <w:t>nespotřebovaných výdajů minulých let</w:t>
      </w:r>
      <w:r>
        <w:rPr>
          <w:sz w:val="16"/>
          <w:szCs w:val="16"/>
        </w:rPr>
        <w:t xml:space="preserve"> (</w:t>
      </w:r>
      <w:r w:rsidRPr="00C80EA0">
        <w:rPr>
          <w:sz w:val="16"/>
          <w:szCs w:val="16"/>
        </w:rPr>
        <w:t>nad rámec schváleného rozpočtu na rok 2018).</w:t>
      </w:r>
      <w:r>
        <w:rPr>
          <w:sz w:val="16"/>
          <w:szCs w:val="16"/>
        </w:rPr>
        <w:t xml:space="preserve"> V letech 2016 i 2017 směřovalo na tyto projekty vždy mírně přes 90 mld. (při zahrnutí investic i běžných výdajů).</w:t>
      </w:r>
    </w:p>
  </w:footnote>
  <w:footnote w:id="6">
    <w:p w:rsidR="00B42D5F" w:rsidRPr="00580700" w:rsidRDefault="00B42D5F" w:rsidP="0074499B">
      <w:pPr>
        <w:pStyle w:val="Textpoznpodarou"/>
        <w:jc w:val="both"/>
        <w:rPr>
          <w:sz w:val="16"/>
          <w:szCs w:val="16"/>
        </w:rPr>
      </w:pPr>
      <w:r w:rsidRPr="00580700">
        <w:rPr>
          <w:rStyle w:val="Znakapoznpodarou"/>
          <w:spacing w:val="-2"/>
          <w:sz w:val="16"/>
          <w:szCs w:val="16"/>
        </w:rPr>
        <w:footnoteRef/>
      </w:r>
      <w:r w:rsidRPr="00580700">
        <w:rPr>
          <w:spacing w:val="-2"/>
          <w:sz w:val="16"/>
          <w:szCs w:val="16"/>
        </w:rPr>
        <w:t xml:space="preserve"> </w:t>
      </w:r>
      <w:r w:rsidRPr="00580700">
        <w:rPr>
          <w:sz w:val="16"/>
          <w:szCs w:val="16"/>
        </w:rPr>
        <w:t xml:space="preserve">Investice </w:t>
      </w:r>
      <w:r>
        <w:rPr>
          <w:sz w:val="16"/>
          <w:szCs w:val="16"/>
        </w:rPr>
        <w:t xml:space="preserve">SR </w:t>
      </w:r>
      <w:r w:rsidRPr="00580700">
        <w:rPr>
          <w:sz w:val="16"/>
          <w:szCs w:val="16"/>
        </w:rPr>
        <w:t xml:space="preserve">realizované </w:t>
      </w:r>
      <w:r>
        <w:rPr>
          <w:sz w:val="16"/>
          <w:szCs w:val="16"/>
        </w:rPr>
        <w:t xml:space="preserve">výhradně </w:t>
      </w:r>
      <w:r w:rsidRPr="00580700">
        <w:rPr>
          <w:sz w:val="16"/>
          <w:szCs w:val="16"/>
        </w:rPr>
        <w:t>prostřednictvím národních zdrojů</w:t>
      </w:r>
      <w:r>
        <w:rPr>
          <w:spacing w:val="-2"/>
          <w:sz w:val="16"/>
          <w:szCs w:val="16"/>
        </w:rPr>
        <w:t xml:space="preserve"> činily za 1 až 3.</w:t>
      </w:r>
      <w:r w:rsidRPr="00580700">
        <w:rPr>
          <w:spacing w:val="-2"/>
          <w:sz w:val="16"/>
          <w:szCs w:val="16"/>
        </w:rPr>
        <w:t xml:space="preserve"> čtvrtletí </w:t>
      </w:r>
      <w:r>
        <w:rPr>
          <w:spacing w:val="-2"/>
          <w:sz w:val="16"/>
          <w:szCs w:val="16"/>
        </w:rPr>
        <w:t xml:space="preserve">2018 jen </w:t>
      </w:r>
      <w:r w:rsidRPr="00580700">
        <w:rPr>
          <w:spacing w:val="-2"/>
          <w:sz w:val="16"/>
          <w:szCs w:val="16"/>
        </w:rPr>
        <w:t>23,2 mld. korun (mírně přes 40 % celoročn</w:t>
      </w:r>
      <w:r>
        <w:rPr>
          <w:spacing w:val="-2"/>
          <w:sz w:val="16"/>
          <w:szCs w:val="16"/>
        </w:rPr>
        <w:t xml:space="preserve">ě rozpočtem očekávané částky). V samotném 4. čtvrtletí bylo takto alokováno necelých 32 mld. I tak zůstalo loni celoroční čerpání této skupiny investic mírně za rozpočtovým očekáváním. </w:t>
      </w:r>
    </w:p>
  </w:footnote>
  <w:footnote w:id="7">
    <w:p w:rsidR="00B42D5F" w:rsidRPr="007C5B99" w:rsidRDefault="00B42D5F" w:rsidP="0074499B">
      <w:pPr>
        <w:pStyle w:val="Textpoznpodarou"/>
        <w:jc w:val="both"/>
        <w:rPr>
          <w:sz w:val="16"/>
          <w:szCs w:val="16"/>
        </w:rPr>
      </w:pPr>
      <w:r w:rsidRPr="007C5B99">
        <w:rPr>
          <w:rStyle w:val="Znakapoznpodarou"/>
          <w:sz w:val="16"/>
          <w:szCs w:val="16"/>
        </w:rPr>
        <w:footnoteRef/>
      </w:r>
      <w:r w:rsidRPr="007C5B99">
        <w:rPr>
          <w:sz w:val="16"/>
          <w:szCs w:val="16"/>
        </w:rPr>
        <w:t xml:space="preserve"> To by bylo loni v rámci </w:t>
      </w:r>
      <w:r>
        <w:rPr>
          <w:sz w:val="16"/>
          <w:szCs w:val="16"/>
        </w:rPr>
        <w:t xml:space="preserve">všech </w:t>
      </w:r>
      <w:r w:rsidRPr="007C5B99">
        <w:rPr>
          <w:sz w:val="16"/>
          <w:szCs w:val="16"/>
        </w:rPr>
        <w:t xml:space="preserve">hlavních druhů výdajů významněji překročeno jen </w:t>
      </w:r>
      <w:r w:rsidRPr="007C5B99">
        <w:rPr>
          <w:rStyle w:val="tabulka"/>
          <w:sz w:val="16"/>
          <w:szCs w:val="16"/>
        </w:rPr>
        <w:t>neinvestičních transferů neziskovým</w:t>
      </w:r>
      <w:r>
        <w:rPr>
          <w:rStyle w:val="tabulka"/>
          <w:sz w:val="16"/>
          <w:szCs w:val="16"/>
        </w:rPr>
        <w:t xml:space="preserve"> či</w:t>
      </w:r>
      <w:r w:rsidRPr="007C5B99">
        <w:rPr>
          <w:rStyle w:val="tabulka"/>
          <w:sz w:val="16"/>
          <w:szCs w:val="16"/>
        </w:rPr>
        <w:t xml:space="preserve"> příspěvkových organizací (o 8,5, resp. 4,5 p. </w:t>
      </w:r>
      <w:proofErr w:type="spellStart"/>
      <w:r w:rsidRPr="007C5B99">
        <w:rPr>
          <w:rStyle w:val="tabulka"/>
          <w:sz w:val="16"/>
          <w:szCs w:val="16"/>
        </w:rPr>
        <w:t>b</w:t>
      </w:r>
      <w:proofErr w:type="spellEnd"/>
      <w:r w:rsidRPr="007C5B99">
        <w:rPr>
          <w:rStyle w:val="tabulka"/>
          <w:sz w:val="16"/>
          <w:szCs w:val="16"/>
        </w:rPr>
        <w:t>.).</w:t>
      </w:r>
    </w:p>
  </w:footnote>
  <w:footnote w:id="8">
    <w:p w:rsidR="00B42D5F" w:rsidRPr="00BB499B" w:rsidRDefault="00B42D5F" w:rsidP="0074499B">
      <w:pPr>
        <w:pStyle w:val="Textpoznpodarou"/>
        <w:rPr>
          <w:sz w:val="16"/>
          <w:szCs w:val="16"/>
        </w:rPr>
      </w:pPr>
      <w:r w:rsidRPr="00BB499B">
        <w:rPr>
          <w:rStyle w:val="Znakapoznpodarou"/>
          <w:sz w:val="16"/>
          <w:szCs w:val="16"/>
        </w:rPr>
        <w:footnoteRef/>
      </w:r>
      <w:r w:rsidRPr="00BB499B">
        <w:rPr>
          <w:sz w:val="16"/>
          <w:szCs w:val="16"/>
        </w:rPr>
        <w:t xml:space="preserve"> Dle údajů MPSV bylo v roce </w:t>
      </w:r>
      <w:r>
        <w:rPr>
          <w:sz w:val="16"/>
          <w:szCs w:val="16"/>
        </w:rPr>
        <w:t>2014</w:t>
      </w:r>
      <w:r w:rsidRPr="00BB499B">
        <w:rPr>
          <w:sz w:val="16"/>
          <w:szCs w:val="16"/>
        </w:rPr>
        <w:t xml:space="preserve"> na tento účel čerpáno </w:t>
      </w:r>
      <w:r>
        <w:rPr>
          <w:sz w:val="16"/>
          <w:szCs w:val="16"/>
        </w:rPr>
        <w:t xml:space="preserve">11,3 mld. korun, loni již jen </w:t>
      </w:r>
      <w:r w:rsidRPr="00BB499B">
        <w:rPr>
          <w:sz w:val="16"/>
          <w:szCs w:val="16"/>
        </w:rPr>
        <w:t>5</w:t>
      </w:r>
      <w:r>
        <w:rPr>
          <w:sz w:val="16"/>
          <w:szCs w:val="16"/>
        </w:rPr>
        <w:t>,4 mld.</w:t>
      </w:r>
      <w:r w:rsidRPr="00BB499B">
        <w:rPr>
          <w:sz w:val="16"/>
          <w:szCs w:val="16"/>
        </w:rPr>
        <w:t xml:space="preserve"> </w:t>
      </w:r>
      <w:r>
        <w:rPr>
          <w:sz w:val="16"/>
          <w:szCs w:val="16"/>
        </w:rPr>
        <w:t>Počet příjemců dávek hmotné nouze klesl ve stejném období z 240 tis. na 111 tis. osob (dle prosincových údajů).</w:t>
      </w:r>
    </w:p>
  </w:footnote>
  <w:footnote w:id="9">
    <w:p w:rsidR="00B42D5F" w:rsidRPr="004F16ED" w:rsidRDefault="00B42D5F" w:rsidP="0074499B">
      <w:pPr>
        <w:pStyle w:val="Textpoznpodarou"/>
        <w:jc w:val="both"/>
        <w:rPr>
          <w:sz w:val="16"/>
          <w:szCs w:val="16"/>
        </w:rPr>
      </w:pPr>
      <w:r w:rsidRPr="004F16ED">
        <w:rPr>
          <w:rStyle w:val="Znakapoznpodarou"/>
          <w:sz w:val="16"/>
          <w:szCs w:val="16"/>
        </w:rPr>
        <w:footnoteRef/>
      </w:r>
      <w:r w:rsidRPr="004F16ED">
        <w:rPr>
          <w:sz w:val="16"/>
          <w:szCs w:val="16"/>
        </w:rPr>
        <w:t xml:space="preserve"> Nějakou z forem důchodu pobíralo dle údajů České </w:t>
      </w:r>
      <w:r>
        <w:rPr>
          <w:sz w:val="16"/>
          <w:szCs w:val="16"/>
        </w:rPr>
        <w:t>správy</w:t>
      </w:r>
      <w:r w:rsidRPr="004F16ED">
        <w:rPr>
          <w:sz w:val="16"/>
          <w:szCs w:val="16"/>
        </w:rPr>
        <w:t xml:space="preserve"> sociálního zabezpečení v prosinci 2018 celkem 2,89 mil. lidí. Mírný meziroční růst četnosti starobních důchodců (+0,3 %) byl loni kompenzován redukcí osob s invalidním důchodem (-0,6 %).</w:t>
      </w:r>
    </w:p>
  </w:footnote>
  <w:footnote w:id="10">
    <w:p w:rsidR="00B42D5F" w:rsidRPr="000315DB" w:rsidRDefault="00B42D5F" w:rsidP="0074499B">
      <w:pPr>
        <w:pStyle w:val="Textpoznpodarou"/>
        <w:jc w:val="both"/>
        <w:rPr>
          <w:sz w:val="16"/>
          <w:szCs w:val="16"/>
        </w:rPr>
      </w:pPr>
      <w:r w:rsidRPr="000315DB">
        <w:rPr>
          <w:rStyle w:val="Znakapoznpodarou"/>
          <w:sz w:val="16"/>
          <w:szCs w:val="16"/>
        </w:rPr>
        <w:footnoteRef/>
      </w:r>
      <w:r w:rsidRPr="000315DB">
        <w:rPr>
          <w:sz w:val="16"/>
          <w:szCs w:val="16"/>
        </w:rPr>
        <w:t xml:space="preserve"> Od ledna 2018 došlo ke zvýšení základní výměry důchodu o 150 Kč a procentní výměry o 3,5</w:t>
      </w:r>
      <w:r>
        <w:rPr>
          <w:sz w:val="16"/>
          <w:szCs w:val="16"/>
        </w:rPr>
        <w:t> %</w:t>
      </w:r>
      <w:r w:rsidRPr="000315DB">
        <w:rPr>
          <w:sz w:val="16"/>
          <w:szCs w:val="16"/>
        </w:rPr>
        <w:t xml:space="preserve"> (tj. v průměru o 475 Kč měsíčně).</w:t>
      </w:r>
      <w:r>
        <w:rPr>
          <w:sz w:val="16"/>
          <w:szCs w:val="16"/>
        </w:rPr>
        <w:t xml:space="preserve"> </w:t>
      </w:r>
    </w:p>
  </w:footnote>
  <w:footnote w:id="11">
    <w:p w:rsidR="00B42D5F" w:rsidRDefault="00B42D5F" w:rsidP="0074499B">
      <w:pPr>
        <w:pStyle w:val="Textpoznpodarou"/>
        <w:jc w:val="both"/>
      </w:pPr>
      <w:r w:rsidRPr="000315DB">
        <w:rPr>
          <w:sz w:val="16"/>
          <w:szCs w:val="16"/>
        </w:rPr>
        <w:t xml:space="preserve"> </w:t>
      </w:r>
      <w:r w:rsidRPr="000315DB">
        <w:rPr>
          <w:rStyle w:val="Znakapoznpodarou"/>
          <w:sz w:val="16"/>
          <w:szCs w:val="16"/>
        </w:rPr>
        <w:footnoteRef/>
      </w:r>
      <w:r w:rsidRPr="000315DB">
        <w:rPr>
          <w:sz w:val="16"/>
          <w:szCs w:val="16"/>
        </w:rPr>
        <w:t xml:space="preserve"> Je vyjádřeno jako </w:t>
      </w:r>
      <w:r w:rsidRPr="000315DB">
        <w:rPr>
          <w:rFonts w:cs="Arial"/>
          <w:color w:val="000000" w:themeColor="text1"/>
          <w:spacing w:val="-4"/>
          <w:sz w:val="16"/>
          <w:szCs w:val="16"/>
        </w:rPr>
        <w:t>rozdíl mezi příjmy a výdaji na</w:t>
      </w:r>
      <w:r>
        <w:rPr>
          <w:rFonts w:cs="Arial"/>
          <w:color w:val="000000" w:themeColor="text1"/>
          <w:spacing w:val="-4"/>
          <w:sz w:val="16"/>
          <w:szCs w:val="16"/>
        </w:rPr>
        <w:t xml:space="preserve"> důchody ze SR</w:t>
      </w:r>
      <w:r w:rsidRPr="000315DB">
        <w:rPr>
          <w:rFonts w:cs="Arial"/>
          <w:color w:val="000000" w:themeColor="text1"/>
          <w:spacing w:val="-4"/>
          <w:sz w:val="16"/>
          <w:szCs w:val="16"/>
        </w:rPr>
        <w:t>.</w:t>
      </w:r>
      <w:r>
        <w:rPr>
          <w:rFonts w:cs="Arial"/>
          <w:color w:val="000000" w:themeColor="text1"/>
          <w:spacing w:val="-4"/>
          <w:sz w:val="16"/>
          <w:szCs w:val="16"/>
        </w:rPr>
        <w:t xml:space="preserve"> Jsou zahrnuty i výdaje na správu systému důchodového pojištění, které v roce 2018 dosáhly dle předběžných údajů MF výše 6,4 mld. korun.</w:t>
      </w:r>
      <w:r w:rsidRPr="00B86643">
        <w:rPr>
          <w:rFonts w:cs="Arial"/>
          <w:color w:val="000000" w:themeColor="text1"/>
          <w:spacing w:val="-4"/>
          <w:sz w:val="16"/>
          <w:szCs w:val="16"/>
        </w:rPr>
        <w:t xml:space="preserve"> </w:t>
      </w:r>
      <w:r>
        <w:rPr>
          <w:rFonts w:cs="Arial"/>
          <w:color w:val="000000" w:themeColor="text1"/>
          <w:spacing w:val="-4"/>
          <w:sz w:val="16"/>
          <w:szCs w:val="16"/>
        </w:rPr>
        <w:t>Bez zahrnutí výdajů na správu by systém důchodového pojištění dosáhl přebytku již v roce 2017.</w:t>
      </w:r>
    </w:p>
  </w:footnote>
  <w:footnote w:id="12">
    <w:p w:rsidR="00B42D5F" w:rsidRPr="00810B5B" w:rsidRDefault="00B42D5F" w:rsidP="0074499B">
      <w:pPr>
        <w:pStyle w:val="Textpoznpodarou"/>
        <w:rPr>
          <w:sz w:val="16"/>
          <w:szCs w:val="16"/>
        </w:rPr>
      </w:pPr>
      <w:r w:rsidRPr="00810B5B">
        <w:rPr>
          <w:rStyle w:val="Znakapoznpodarou"/>
          <w:sz w:val="16"/>
          <w:szCs w:val="16"/>
        </w:rPr>
        <w:footnoteRef/>
      </w:r>
      <w:r w:rsidRPr="00810B5B">
        <w:rPr>
          <w:sz w:val="16"/>
          <w:szCs w:val="16"/>
        </w:rPr>
        <w:t xml:space="preserve"> Jde o </w:t>
      </w:r>
      <w:r w:rsidRPr="00810B5B">
        <w:rPr>
          <w:rFonts w:cs="Verdana"/>
          <w:iCs/>
          <w:color w:val="000000"/>
          <w:sz w:val="16"/>
          <w:szCs w:val="16"/>
        </w:rPr>
        <w:t>saldo rozpočtové kapitoly 396 – Státní dluh.</w:t>
      </w:r>
    </w:p>
  </w:footnote>
  <w:footnote w:id="13">
    <w:p w:rsidR="00B42D5F" w:rsidRPr="009A7E32" w:rsidRDefault="00B42D5F" w:rsidP="0074499B">
      <w:pPr>
        <w:pStyle w:val="Textpoznpodarou"/>
        <w:rPr>
          <w:spacing w:val="-3"/>
          <w:sz w:val="16"/>
          <w:szCs w:val="16"/>
        </w:rPr>
      </w:pPr>
      <w:r w:rsidRPr="009A7E32">
        <w:rPr>
          <w:rStyle w:val="Znakapoznpodarou"/>
          <w:spacing w:val="-3"/>
          <w:sz w:val="16"/>
          <w:szCs w:val="16"/>
        </w:rPr>
        <w:footnoteRef/>
      </w:r>
      <w:r w:rsidRPr="009A7E32">
        <w:rPr>
          <w:spacing w:val="-3"/>
          <w:sz w:val="16"/>
          <w:szCs w:val="16"/>
        </w:rPr>
        <w:t xml:space="preserve"> Tvorba hrubého fixního kapitálu zde loni vzrostla meziročně o 39 % na 113,5 mld. korun a na rozdíl od ústředních vládních institucí již téměř dosáhla dosud rekordní výše z roku 2015 (ovlivněné zrychleným čerpáním prostředků z rozpočtu EU na konci programového období).</w:t>
      </w:r>
    </w:p>
  </w:footnote>
  <w:footnote w:id="14">
    <w:p w:rsidR="00B42D5F" w:rsidRPr="00E9220F" w:rsidRDefault="00B42D5F" w:rsidP="0074499B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E9220F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Předběžné údaje o dluhu a deficitu</w:t>
      </w:r>
      <w:r>
        <w:rPr>
          <w:color w:val="0D0D0D" w:themeColor="text1" w:themeTint="F2"/>
          <w:spacing w:val="-2"/>
          <w:sz w:val="16"/>
          <w:szCs w:val="16"/>
        </w:rPr>
        <w:t xml:space="preserve"> sektoru vládních institucí za celý rok 2018 zveřejní</w:t>
      </w:r>
      <w:r w:rsidRPr="00E9220F">
        <w:rPr>
          <w:color w:val="0D0D0D" w:themeColor="text1" w:themeTint="F2"/>
          <w:spacing w:val="-2"/>
          <w:sz w:val="16"/>
          <w:szCs w:val="16"/>
        </w:rPr>
        <w:t xml:space="preserve"> </w:t>
      </w:r>
      <w:proofErr w:type="spellStart"/>
      <w:r w:rsidRPr="00E9220F">
        <w:rPr>
          <w:color w:val="0D0D0D" w:themeColor="text1" w:themeTint="F2"/>
          <w:spacing w:val="-2"/>
          <w:sz w:val="16"/>
          <w:szCs w:val="16"/>
        </w:rPr>
        <w:t>Eurostat</w:t>
      </w:r>
      <w:proofErr w:type="spellEnd"/>
      <w:r w:rsidRPr="00E9220F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>23</w:t>
      </w:r>
      <w:r w:rsidRPr="00E9220F">
        <w:rPr>
          <w:color w:val="0D0D0D" w:themeColor="text1" w:themeTint="F2"/>
          <w:spacing w:val="-2"/>
          <w:sz w:val="16"/>
          <w:szCs w:val="16"/>
        </w:rPr>
        <w:t>.</w:t>
      </w:r>
      <w:r>
        <w:rPr>
          <w:color w:val="0D0D0D" w:themeColor="text1" w:themeTint="F2"/>
          <w:spacing w:val="-2"/>
          <w:sz w:val="16"/>
          <w:szCs w:val="16"/>
        </w:rPr>
        <w:t xml:space="preserve"> dubna 2019.</w:t>
      </w:r>
      <w:bookmarkStart w:id="1" w:name="_GoBack"/>
      <w:bookmarkEnd w:id="1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Default="00B42D5F" w:rsidP="00937AE2">
    <w:pPr>
      <w:pStyle w:val="Zhlav"/>
    </w:pPr>
    <w:r>
      <w:t>Vývoj ekonomiky České republiky</w:t>
    </w:r>
  </w:p>
  <w:p w:rsidR="00B42D5F" w:rsidRPr="006F5416" w:rsidRDefault="00B42D5F" w:rsidP="00937AE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5F" w:rsidRDefault="00B42D5F" w:rsidP="00937AE2">
    <w:pPr>
      <w:pStyle w:val="Zhlav"/>
    </w:pPr>
    <w:r>
      <w:t>Vývoj ekonomiky České republiky</w:t>
    </w:r>
  </w:p>
  <w:p w:rsidR="00B42D5F" w:rsidRPr="006F5416" w:rsidRDefault="00B42D5F" w:rsidP="00937AE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2"/>
  </w:num>
  <w:num w:numId="18">
    <w:abstractNumId w:val="18"/>
  </w:num>
  <w:num w:numId="19">
    <w:abstractNumId w:val="23"/>
  </w:num>
  <w:num w:numId="20">
    <w:abstractNumId w:val="24"/>
  </w:num>
  <w:num w:numId="21">
    <w:abstractNumId w:val="20"/>
  </w:num>
  <w:num w:numId="22">
    <w:abstractNumId w:val="16"/>
  </w:num>
  <w:num w:numId="23">
    <w:abstractNumId w:val="14"/>
  </w:num>
  <w:num w:numId="24">
    <w:abstractNumId w:val="15"/>
  </w:num>
  <w:num w:numId="2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. Michal Hrdlovič">
    <w15:presenceInfo w15:providerId="None" w15:userId="Ing. Michal Hrdlovič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2828"/>
    <w:rsid w:val="000005AF"/>
    <w:rsid w:val="0000209D"/>
    <w:rsid w:val="00003F5C"/>
    <w:rsid w:val="00004D5A"/>
    <w:rsid w:val="000056D5"/>
    <w:rsid w:val="000063D5"/>
    <w:rsid w:val="00006ABD"/>
    <w:rsid w:val="00006B67"/>
    <w:rsid w:val="000073A0"/>
    <w:rsid w:val="0000767A"/>
    <w:rsid w:val="00010256"/>
    <w:rsid w:val="00010702"/>
    <w:rsid w:val="0001128E"/>
    <w:rsid w:val="00011912"/>
    <w:rsid w:val="00016420"/>
    <w:rsid w:val="00017B01"/>
    <w:rsid w:val="00020F22"/>
    <w:rsid w:val="0002195D"/>
    <w:rsid w:val="000228AE"/>
    <w:rsid w:val="000233D1"/>
    <w:rsid w:val="000234D6"/>
    <w:rsid w:val="00023D29"/>
    <w:rsid w:val="00024348"/>
    <w:rsid w:val="00026389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CEC"/>
    <w:rsid w:val="00044183"/>
    <w:rsid w:val="0004694F"/>
    <w:rsid w:val="00047D54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45FC"/>
    <w:rsid w:val="0006533F"/>
    <w:rsid w:val="00065348"/>
    <w:rsid w:val="00065A75"/>
    <w:rsid w:val="00070A87"/>
    <w:rsid w:val="000712B3"/>
    <w:rsid w:val="0007474E"/>
    <w:rsid w:val="0007512B"/>
    <w:rsid w:val="00075551"/>
    <w:rsid w:val="00076D90"/>
    <w:rsid w:val="00077FF0"/>
    <w:rsid w:val="00081A55"/>
    <w:rsid w:val="0008263E"/>
    <w:rsid w:val="00082C1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13B1"/>
    <w:rsid w:val="00093241"/>
    <w:rsid w:val="00094A84"/>
    <w:rsid w:val="00095025"/>
    <w:rsid w:val="00095135"/>
    <w:rsid w:val="0009626E"/>
    <w:rsid w:val="00097191"/>
    <w:rsid w:val="000974D1"/>
    <w:rsid w:val="0009799E"/>
    <w:rsid w:val="000A0BC0"/>
    <w:rsid w:val="000A1183"/>
    <w:rsid w:val="000A256D"/>
    <w:rsid w:val="000A3A2C"/>
    <w:rsid w:val="000A4A54"/>
    <w:rsid w:val="000A4ED9"/>
    <w:rsid w:val="000A7377"/>
    <w:rsid w:val="000B03CC"/>
    <w:rsid w:val="000B4212"/>
    <w:rsid w:val="000C0EA8"/>
    <w:rsid w:val="000C13A2"/>
    <w:rsid w:val="000C30C3"/>
    <w:rsid w:val="000C3408"/>
    <w:rsid w:val="000C35AB"/>
    <w:rsid w:val="000C4D56"/>
    <w:rsid w:val="000C6AFD"/>
    <w:rsid w:val="000C6C90"/>
    <w:rsid w:val="000D0A26"/>
    <w:rsid w:val="000D3058"/>
    <w:rsid w:val="000D310A"/>
    <w:rsid w:val="000D3EF4"/>
    <w:rsid w:val="000D5637"/>
    <w:rsid w:val="000D6F4E"/>
    <w:rsid w:val="000E0E96"/>
    <w:rsid w:val="000E2C7D"/>
    <w:rsid w:val="000E440D"/>
    <w:rsid w:val="000E4AC5"/>
    <w:rsid w:val="000E6253"/>
    <w:rsid w:val="000E6E4D"/>
    <w:rsid w:val="000E6FBD"/>
    <w:rsid w:val="000E6FCB"/>
    <w:rsid w:val="000F3F3B"/>
    <w:rsid w:val="000F70E4"/>
    <w:rsid w:val="00100F5C"/>
    <w:rsid w:val="00101CDA"/>
    <w:rsid w:val="00102037"/>
    <w:rsid w:val="00103DCB"/>
    <w:rsid w:val="00104C4C"/>
    <w:rsid w:val="001057C2"/>
    <w:rsid w:val="001125EF"/>
    <w:rsid w:val="00112CAB"/>
    <w:rsid w:val="00116D3F"/>
    <w:rsid w:val="00117623"/>
    <w:rsid w:val="00117FEA"/>
    <w:rsid w:val="001200CF"/>
    <w:rsid w:val="0012192F"/>
    <w:rsid w:val="00122994"/>
    <w:rsid w:val="00124B46"/>
    <w:rsid w:val="001257E0"/>
    <w:rsid w:val="00125D69"/>
    <w:rsid w:val="0012799C"/>
    <w:rsid w:val="00130ADC"/>
    <w:rsid w:val="00130D9F"/>
    <w:rsid w:val="00132C4D"/>
    <w:rsid w:val="00133FC1"/>
    <w:rsid w:val="00134659"/>
    <w:rsid w:val="001405FA"/>
    <w:rsid w:val="00140D1A"/>
    <w:rsid w:val="00141315"/>
    <w:rsid w:val="00141AA0"/>
    <w:rsid w:val="001425C3"/>
    <w:rsid w:val="0014262D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12F4"/>
    <w:rsid w:val="00161553"/>
    <w:rsid w:val="0016256B"/>
    <w:rsid w:val="00163793"/>
    <w:rsid w:val="00167485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B08"/>
    <w:rsid w:val="00185010"/>
    <w:rsid w:val="00185C22"/>
    <w:rsid w:val="00192F05"/>
    <w:rsid w:val="00194729"/>
    <w:rsid w:val="00195234"/>
    <w:rsid w:val="00196016"/>
    <w:rsid w:val="00197A70"/>
    <w:rsid w:val="00197C0F"/>
    <w:rsid w:val="001A0487"/>
    <w:rsid w:val="001A1F68"/>
    <w:rsid w:val="001A4EF0"/>
    <w:rsid w:val="001A552F"/>
    <w:rsid w:val="001B2CA9"/>
    <w:rsid w:val="001B3110"/>
    <w:rsid w:val="001B3E38"/>
    <w:rsid w:val="001B40F5"/>
    <w:rsid w:val="001B4729"/>
    <w:rsid w:val="001B4F0E"/>
    <w:rsid w:val="001B6310"/>
    <w:rsid w:val="001B6C09"/>
    <w:rsid w:val="001C05CD"/>
    <w:rsid w:val="001C0F17"/>
    <w:rsid w:val="001C1B66"/>
    <w:rsid w:val="001C31A2"/>
    <w:rsid w:val="001C4BB8"/>
    <w:rsid w:val="001C5E46"/>
    <w:rsid w:val="001D0EF1"/>
    <w:rsid w:val="001D22C2"/>
    <w:rsid w:val="001D2C99"/>
    <w:rsid w:val="001D54C1"/>
    <w:rsid w:val="001D556E"/>
    <w:rsid w:val="001D5DF2"/>
    <w:rsid w:val="001D68B2"/>
    <w:rsid w:val="001D7EFD"/>
    <w:rsid w:val="001D7F60"/>
    <w:rsid w:val="001E504C"/>
    <w:rsid w:val="001E5A17"/>
    <w:rsid w:val="001E74C5"/>
    <w:rsid w:val="001F1236"/>
    <w:rsid w:val="001F2F90"/>
    <w:rsid w:val="001F4597"/>
    <w:rsid w:val="001F4826"/>
    <w:rsid w:val="001F7CE0"/>
    <w:rsid w:val="00200085"/>
    <w:rsid w:val="00203332"/>
    <w:rsid w:val="00203CD5"/>
    <w:rsid w:val="00203D8F"/>
    <w:rsid w:val="00203DA4"/>
    <w:rsid w:val="00205186"/>
    <w:rsid w:val="002071D5"/>
    <w:rsid w:val="002111E5"/>
    <w:rsid w:val="002118B9"/>
    <w:rsid w:val="002142C0"/>
    <w:rsid w:val="00217C5B"/>
    <w:rsid w:val="00220A43"/>
    <w:rsid w:val="0022139E"/>
    <w:rsid w:val="00222729"/>
    <w:rsid w:val="002233D6"/>
    <w:rsid w:val="0022441D"/>
    <w:rsid w:val="00224574"/>
    <w:rsid w:val="002252E0"/>
    <w:rsid w:val="002255F6"/>
    <w:rsid w:val="00227605"/>
    <w:rsid w:val="00227850"/>
    <w:rsid w:val="00227A53"/>
    <w:rsid w:val="00227E2E"/>
    <w:rsid w:val="00227F53"/>
    <w:rsid w:val="00230C6E"/>
    <w:rsid w:val="002316A8"/>
    <w:rsid w:val="00233603"/>
    <w:rsid w:val="002340EF"/>
    <w:rsid w:val="00236443"/>
    <w:rsid w:val="00240AF3"/>
    <w:rsid w:val="002418D5"/>
    <w:rsid w:val="00241B06"/>
    <w:rsid w:val="002436BA"/>
    <w:rsid w:val="00244A15"/>
    <w:rsid w:val="002452D9"/>
    <w:rsid w:val="00247319"/>
    <w:rsid w:val="0024799E"/>
    <w:rsid w:val="00247E60"/>
    <w:rsid w:val="00251C53"/>
    <w:rsid w:val="00252AB9"/>
    <w:rsid w:val="00253C0F"/>
    <w:rsid w:val="002558C1"/>
    <w:rsid w:val="00256207"/>
    <w:rsid w:val="002603E1"/>
    <w:rsid w:val="0026120E"/>
    <w:rsid w:val="0026291D"/>
    <w:rsid w:val="00264309"/>
    <w:rsid w:val="00267B49"/>
    <w:rsid w:val="0027025F"/>
    <w:rsid w:val="002709CC"/>
    <w:rsid w:val="00271022"/>
    <w:rsid w:val="00271465"/>
    <w:rsid w:val="00272DF4"/>
    <w:rsid w:val="0027583D"/>
    <w:rsid w:val="00275DEF"/>
    <w:rsid w:val="00276B33"/>
    <w:rsid w:val="002812E3"/>
    <w:rsid w:val="002837AE"/>
    <w:rsid w:val="00283C13"/>
    <w:rsid w:val="002853FA"/>
    <w:rsid w:val="00285412"/>
    <w:rsid w:val="00291640"/>
    <w:rsid w:val="0029237E"/>
    <w:rsid w:val="00292997"/>
    <w:rsid w:val="00293D24"/>
    <w:rsid w:val="0029588F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EA2"/>
    <w:rsid w:val="002A532A"/>
    <w:rsid w:val="002A5846"/>
    <w:rsid w:val="002A5D97"/>
    <w:rsid w:val="002A603E"/>
    <w:rsid w:val="002A63B9"/>
    <w:rsid w:val="002B4845"/>
    <w:rsid w:val="002B72AA"/>
    <w:rsid w:val="002C22A4"/>
    <w:rsid w:val="002C27A6"/>
    <w:rsid w:val="002C40D2"/>
    <w:rsid w:val="002C43BD"/>
    <w:rsid w:val="002C5245"/>
    <w:rsid w:val="002D0E59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DCB"/>
    <w:rsid w:val="002F333D"/>
    <w:rsid w:val="002F351A"/>
    <w:rsid w:val="002F498A"/>
    <w:rsid w:val="002F4AD8"/>
    <w:rsid w:val="002F5820"/>
    <w:rsid w:val="00300C31"/>
    <w:rsid w:val="00304771"/>
    <w:rsid w:val="003052D4"/>
    <w:rsid w:val="00306C5B"/>
    <w:rsid w:val="00307DB3"/>
    <w:rsid w:val="00307ED2"/>
    <w:rsid w:val="0031076D"/>
    <w:rsid w:val="00311AA6"/>
    <w:rsid w:val="00311C4D"/>
    <w:rsid w:val="003121AB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32190"/>
    <w:rsid w:val="00333CD0"/>
    <w:rsid w:val="0033448D"/>
    <w:rsid w:val="00334AD2"/>
    <w:rsid w:val="0033709C"/>
    <w:rsid w:val="003370C5"/>
    <w:rsid w:val="00341D26"/>
    <w:rsid w:val="00341F05"/>
    <w:rsid w:val="0034335E"/>
    <w:rsid w:val="00344668"/>
    <w:rsid w:val="003462D9"/>
    <w:rsid w:val="00347247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7F84"/>
    <w:rsid w:val="003712BC"/>
    <w:rsid w:val="00372164"/>
    <w:rsid w:val="003738BD"/>
    <w:rsid w:val="003746F0"/>
    <w:rsid w:val="00374A20"/>
    <w:rsid w:val="00374E21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27F6"/>
    <w:rsid w:val="00396739"/>
    <w:rsid w:val="003A04F6"/>
    <w:rsid w:val="003A2B4D"/>
    <w:rsid w:val="003A2D12"/>
    <w:rsid w:val="003A45E3"/>
    <w:rsid w:val="003A478C"/>
    <w:rsid w:val="003A5525"/>
    <w:rsid w:val="003A5889"/>
    <w:rsid w:val="003A6B38"/>
    <w:rsid w:val="003A6B83"/>
    <w:rsid w:val="003A722F"/>
    <w:rsid w:val="003B039F"/>
    <w:rsid w:val="003B0DF4"/>
    <w:rsid w:val="003B1F9D"/>
    <w:rsid w:val="003B2AD1"/>
    <w:rsid w:val="003B2D2E"/>
    <w:rsid w:val="003B461F"/>
    <w:rsid w:val="003B483F"/>
    <w:rsid w:val="003B4998"/>
    <w:rsid w:val="003B5A32"/>
    <w:rsid w:val="003C3490"/>
    <w:rsid w:val="003C3D2C"/>
    <w:rsid w:val="003C6221"/>
    <w:rsid w:val="003C68CC"/>
    <w:rsid w:val="003C7E62"/>
    <w:rsid w:val="003D12B9"/>
    <w:rsid w:val="003D242B"/>
    <w:rsid w:val="003D2492"/>
    <w:rsid w:val="003D29AA"/>
    <w:rsid w:val="003D2A99"/>
    <w:rsid w:val="003D6920"/>
    <w:rsid w:val="003E1EF8"/>
    <w:rsid w:val="003E4C91"/>
    <w:rsid w:val="003E52D8"/>
    <w:rsid w:val="003F313C"/>
    <w:rsid w:val="003F37FC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B23"/>
    <w:rsid w:val="00402ADB"/>
    <w:rsid w:val="0040368D"/>
    <w:rsid w:val="004059D2"/>
    <w:rsid w:val="00406C2E"/>
    <w:rsid w:val="00406EB0"/>
    <w:rsid w:val="00407711"/>
    <w:rsid w:val="00407C13"/>
    <w:rsid w:val="00410638"/>
    <w:rsid w:val="00412511"/>
    <w:rsid w:val="004125C2"/>
    <w:rsid w:val="00412DFA"/>
    <w:rsid w:val="00413465"/>
    <w:rsid w:val="0041501E"/>
    <w:rsid w:val="004159C3"/>
    <w:rsid w:val="00415A57"/>
    <w:rsid w:val="00416DAC"/>
    <w:rsid w:val="00420880"/>
    <w:rsid w:val="00421179"/>
    <w:rsid w:val="00431BFF"/>
    <w:rsid w:val="00432A58"/>
    <w:rsid w:val="004331C3"/>
    <w:rsid w:val="00434617"/>
    <w:rsid w:val="00435051"/>
    <w:rsid w:val="00435C69"/>
    <w:rsid w:val="004360FB"/>
    <w:rsid w:val="00437CED"/>
    <w:rsid w:val="00440900"/>
    <w:rsid w:val="0044121D"/>
    <w:rsid w:val="00441BF6"/>
    <w:rsid w:val="004441A0"/>
    <w:rsid w:val="00445861"/>
    <w:rsid w:val="00445A8E"/>
    <w:rsid w:val="00446D44"/>
    <w:rsid w:val="0045078A"/>
    <w:rsid w:val="0045086D"/>
    <w:rsid w:val="00451EF1"/>
    <w:rsid w:val="00452E60"/>
    <w:rsid w:val="00456FE5"/>
    <w:rsid w:val="00457490"/>
    <w:rsid w:val="00457953"/>
    <w:rsid w:val="00460FB3"/>
    <w:rsid w:val="00464851"/>
    <w:rsid w:val="00467B14"/>
    <w:rsid w:val="004707FE"/>
    <w:rsid w:val="0047276D"/>
    <w:rsid w:val="00472AF6"/>
    <w:rsid w:val="00474A04"/>
    <w:rsid w:val="00476240"/>
    <w:rsid w:val="00476439"/>
    <w:rsid w:val="0047735C"/>
    <w:rsid w:val="004776BC"/>
    <w:rsid w:val="00477820"/>
    <w:rsid w:val="00477B96"/>
    <w:rsid w:val="0048139F"/>
    <w:rsid w:val="00481E40"/>
    <w:rsid w:val="00482405"/>
    <w:rsid w:val="004826A7"/>
    <w:rsid w:val="0048368C"/>
    <w:rsid w:val="00484ECE"/>
    <w:rsid w:val="00486A4D"/>
    <w:rsid w:val="004915CB"/>
    <w:rsid w:val="004924DC"/>
    <w:rsid w:val="00492879"/>
    <w:rsid w:val="004979A5"/>
    <w:rsid w:val="004A14E4"/>
    <w:rsid w:val="004A204E"/>
    <w:rsid w:val="004A26A5"/>
    <w:rsid w:val="004A27F0"/>
    <w:rsid w:val="004A3212"/>
    <w:rsid w:val="004A37CD"/>
    <w:rsid w:val="004A40D9"/>
    <w:rsid w:val="004A4F8A"/>
    <w:rsid w:val="004A5494"/>
    <w:rsid w:val="004A61C5"/>
    <w:rsid w:val="004A62A0"/>
    <w:rsid w:val="004A77DF"/>
    <w:rsid w:val="004B1417"/>
    <w:rsid w:val="004B305C"/>
    <w:rsid w:val="004B339A"/>
    <w:rsid w:val="004B55B7"/>
    <w:rsid w:val="004B6468"/>
    <w:rsid w:val="004B6EF8"/>
    <w:rsid w:val="004B7125"/>
    <w:rsid w:val="004B756A"/>
    <w:rsid w:val="004B7FB1"/>
    <w:rsid w:val="004C384C"/>
    <w:rsid w:val="004C3867"/>
    <w:rsid w:val="004C3DB0"/>
    <w:rsid w:val="004C4720"/>
    <w:rsid w:val="004C4CD0"/>
    <w:rsid w:val="004C5060"/>
    <w:rsid w:val="004C5165"/>
    <w:rsid w:val="004C6E0E"/>
    <w:rsid w:val="004C70DC"/>
    <w:rsid w:val="004D0211"/>
    <w:rsid w:val="004D0794"/>
    <w:rsid w:val="004D3296"/>
    <w:rsid w:val="004D5B0F"/>
    <w:rsid w:val="004D7626"/>
    <w:rsid w:val="004E1A40"/>
    <w:rsid w:val="004E200A"/>
    <w:rsid w:val="004E23FC"/>
    <w:rsid w:val="004E2409"/>
    <w:rsid w:val="004E261D"/>
    <w:rsid w:val="004E6DE6"/>
    <w:rsid w:val="004E765E"/>
    <w:rsid w:val="004E7815"/>
    <w:rsid w:val="004F06F5"/>
    <w:rsid w:val="004F12A4"/>
    <w:rsid w:val="004F253F"/>
    <w:rsid w:val="004F33A0"/>
    <w:rsid w:val="004F3BD2"/>
    <w:rsid w:val="005048E2"/>
    <w:rsid w:val="00506603"/>
    <w:rsid w:val="0050689D"/>
    <w:rsid w:val="005077F5"/>
    <w:rsid w:val="005108C0"/>
    <w:rsid w:val="0051094F"/>
    <w:rsid w:val="00511873"/>
    <w:rsid w:val="00512461"/>
    <w:rsid w:val="00512A2F"/>
    <w:rsid w:val="00513B7E"/>
    <w:rsid w:val="0051475D"/>
    <w:rsid w:val="00514B11"/>
    <w:rsid w:val="00515BE9"/>
    <w:rsid w:val="00515C74"/>
    <w:rsid w:val="00517113"/>
    <w:rsid w:val="0052007E"/>
    <w:rsid w:val="00522E01"/>
    <w:rsid w:val="0052337A"/>
    <w:rsid w:val="00524385"/>
    <w:rsid w:val="005246BE"/>
    <w:rsid w:val="00525137"/>
    <w:rsid w:val="005251DD"/>
    <w:rsid w:val="005301A6"/>
    <w:rsid w:val="00530A68"/>
    <w:rsid w:val="00530AD4"/>
    <w:rsid w:val="00532CE7"/>
    <w:rsid w:val="00532D8B"/>
    <w:rsid w:val="0053324C"/>
    <w:rsid w:val="00534A28"/>
    <w:rsid w:val="00535018"/>
    <w:rsid w:val="0053595E"/>
    <w:rsid w:val="00537571"/>
    <w:rsid w:val="005410E2"/>
    <w:rsid w:val="00541508"/>
    <w:rsid w:val="00541AE3"/>
    <w:rsid w:val="00543498"/>
    <w:rsid w:val="00544BE5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45"/>
    <w:rsid w:val="00561F44"/>
    <w:rsid w:val="00563EB8"/>
    <w:rsid w:val="005647BF"/>
    <w:rsid w:val="00564AF1"/>
    <w:rsid w:val="005655DB"/>
    <w:rsid w:val="00570270"/>
    <w:rsid w:val="00570BC3"/>
    <w:rsid w:val="0057182A"/>
    <w:rsid w:val="00571E59"/>
    <w:rsid w:val="00572079"/>
    <w:rsid w:val="00572DD6"/>
    <w:rsid w:val="00573602"/>
    <w:rsid w:val="0057364B"/>
    <w:rsid w:val="00574773"/>
    <w:rsid w:val="005761EC"/>
    <w:rsid w:val="00577C07"/>
    <w:rsid w:val="00577DB1"/>
    <w:rsid w:val="00580DE7"/>
    <w:rsid w:val="00583E52"/>
    <w:rsid w:val="00583FFD"/>
    <w:rsid w:val="0058519A"/>
    <w:rsid w:val="005856BD"/>
    <w:rsid w:val="00586BCA"/>
    <w:rsid w:val="00590B28"/>
    <w:rsid w:val="005911BE"/>
    <w:rsid w:val="00591273"/>
    <w:rsid w:val="005927A4"/>
    <w:rsid w:val="00593152"/>
    <w:rsid w:val="005956A3"/>
    <w:rsid w:val="00595958"/>
    <w:rsid w:val="00595CAB"/>
    <w:rsid w:val="00597BBF"/>
    <w:rsid w:val="005A10F2"/>
    <w:rsid w:val="005A21E0"/>
    <w:rsid w:val="005A28FF"/>
    <w:rsid w:val="005A2C09"/>
    <w:rsid w:val="005A3778"/>
    <w:rsid w:val="005A3DF8"/>
    <w:rsid w:val="005A5549"/>
    <w:rsid w:val="005A7CF8"/>
    <w:rsid w:val="005B121D"/>
    <w:rsid w:val="005B41C9"/>
    <w:rsid w:val="005B4853"/>
    <w:rsid w:val="005B6CA1"/>
    <w:rsid w:val="005B770C"/>
    <w:rsid w:val="005C06ED"/>
    <w:rsid w:val="005C11B8"/>
    <w:rsid w:val="005C2609"/>
    <w:rsid w:val="005C43EC"/>
    <w:rsid w:val="005C45DD"/>
    <w:rsid w:val="005D3F06"/>
    <w:rsid w:val="005D4B73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66B"/>
    <w:rsid w:val="005F46D8"/>
    <w:rsid w:val="005F5469"/>
    <w:rsid w:val="005F63F3"/>
    <w:rsid w:val="005F6D7F"/>
    <w:rsid w:val="00601EEF"/>
    <w:rsid w:val="00604307"/>
    <w:rsid w:val="0060487F"/>
    <w:rsid w:val="00604EAD"/>
    <w:rsid w:val="0060513F"/>
    <w:rsid w:val="006104FB"/>
    <w:rsid w:val="00612A2F"/>
    <w:rsid w:val="00612AAE"/>
    <w:rsid w:val="00612FD9"/>
    <w:rsid w:val="006139E0"/>
    <w:rsid w:val="006156B4"/>
    <w:rsid w:val="00615DAF"/>
    <w:rsid w:val="00616E05"/>
    <w:rsid w:val="00617985"/>
    <w:rsid w:val="0062131B"/>
    <w:rsid w:val="006227DF"/>
    <w:rsid w:val="006236C8"/>
    <w:rsid w:val="00624093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1787"/>
    <w:rsid w:val="00642489"/>
    <w:rsid w:val="00644137"/>
    <w:rsid w:val="0064478C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2469"/>
    <w:rsid w:val="00664647"/>
    <w:rsid w:val="00664803"/>
    <w:rsid w:val="00665982"/>
    <w:rsid w:val="00665BA4"/>
    <w:rsid w:val="00667AF2"/>
    <w:rsid w:val="00670489"/>
    <w:rsid w:val="006710C9"/>
    <w:rsid w:val="006741CD"/>
    <w:rsid w:val="00674D89"/>
    <w:rsid w:val="00675E37"/>
    <w:rsid w:val="00676736"/>
    <w:rsid w:val="006769A4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D27"/>
    <w:rsid w:val="00695065"/>
    <w:rsid w:val="00695BEF"/>
    <w:rsid w:val="006966C7"/>
    <w:rsid w:val="006968C1"/>
    <w:rsid w:val="006977F6"/>
    <w:rsid w:val="00697A13"/>
    <w:rsid w:val="006A109C"/>
    <w:rsid w:val="006A6565"/>
    <w:rsid w:val="006A7691"/>
    <w:rsid w:val="006A7EE2"/>
    <w:rsid w:val="006B0514"/>
    <w:rsid w:val="006B0F92"/>
    <w:rsid w:val="006B2785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28CA"/>
    <w:rsid w:val="006C2BBF"/>
    <w:rsid w:val="006C2FBD"/>
    <w:rsid w:val="006C4355"/>
    <w:rsid w:val="006C469D"/>
    <w:rsid w:val="006C46B5"/>
    <w:rsid w:val="006C484F"/>
    <w:rsid w:val="006C52EC"/>
    <w:rsid w:val="006C56D4"/>
    <w:rsid w:val="006C6681"/>
    <w:rsid w:val="006C683C"/>
    <w:rsid w:val="006C6924"/>
    <w:rsid w:val="006C6C1E"/>
    <w:rsid w:val="006C7076"/>
    <w:rsid w:val="006C7CA6"/>
    <w:rsid w:val="006D18B3"/>
    <w:rsid w:val="006D1E89"/>
    <w:rsid w:val="006D3E8A"/>
    <w:rsid w:val="006D61F6"/>
    <w:rsid w:val="006E1332"/>
    <w:rsid w:val="006E279A"/>
    <w:rsid w:val="006E313B"/>
    <w:rsid w:val="006E3A45"/>
    <w:rsid w:val="006E53AD"/>
    <w:rsid w:val="006E58CB"/>
    <w:rsid w:val="006E7227"/>
    <w:rsid w:val="006F0741"/>
    <w:rsid w:val="006F1C27"/>
    <w:rsid w:val="006F40DF"/>
    <w:rsid w:val="006F42BB"/>
    <w:rsid w:val="006F438E"/>
    <w:rsid w:val="006F440B"/>
    <w:rsid w:val="006F5416"/>
    <w:rsid w:val="006F624B"/>
    <w:rsid w:val="006F6D87"/>
    <w:rsid w:val="0070398A"/>
    <w:rsid w:val="00705242"/>
    <w:rsid w:val="007055E0"/>
    <w:rsid w:val="007065C5"/>
    <w:rsid w:val="00706AA0"/>
    <w:rsid w:val="00706AD4"/>
    <w:rsid w:val="00707150"/>
    <w:rsid w:val="00713549"/>
    <w:rsid w:val="007140BE"/>
    <w:rsid w:val="00715502"/>
    <w:rsid w:val="00715E4D"/>
    <w:rsid w:val="00716F48"/>
    <w:rsid w:val="00717114"/>
    <w:rsid w:val="0071779F"/>
    <w:rsid w:val="007211F5"/>
    <w:rsid w:val="00723435"/>
    <w:rsid w:val="00723436"/>
    <w:rsid w:val="007240E2"/>
    <w:rsid w:val="0072583E"/>
    <w:rsid w:val="00725BB5"/>
    <w:rsid w:val="00727C02"/>
    <w:rsid w:val="00730AE8"/>
    <w:rsid w:val="00730F1B"/>
    <w:rsid w:val="0073186D"/>
    <w:rsid w:val="0073333D"/>
    <w:rsid w:val="007343D9"/>
    <w:rsid w:val="00735448"/>
    <w:rsid w:val="00737DEC"/>
    <w:rsid w:val="00741493"/>
    <w:rsid w:val="007434E5"/>
    <w:rsid w:val="0074499B"/>
    <w:rsid w:val="007477BD"/>
    <w:rsid w:val="00752180"/>
    <w:rsid w:val="00752323"/>
    <w:rsid w:val="007532B7"/>
    <w:rsid w:val="00753CAB"/>
    <w:rsid w:val="00754A70"/>
    <w:rsid w:val="00754BC9"/>
    <w:rsid w:val="00755202"/>
    <w:rsid w:val="00755D3A"/>
    <w:rsid w:val="0075751D"/>
    <w:rsid w:val="007578D3"/>
    <w:rsid w:val="007602CF"/>
    <w:rsid w:val="00760391"/>
    <w:rsid w:val="007609C6"/>
    <w:rsid w:val="007615F3"/>
    <w:rsid w:val="0076175D"/>
    <w:rsid w:val="007629D5"/>
    <w:rsid w:val="00763B85"/>
    <w:rsid w:val="00764974"/>
    <w:rsid w:val="00764D18"/>
    <w:rsid w:val="0076521E"/>
    <w:rsid w:val="007661E9"/>
    <w:rsid w:val="00767062"/>
    <w:rsid w:val="00767777"/>
    <w:rsid w:val="00771972"/>
    <w:rsid w:val="00772DAB"/>
    <w:rsid w:val="00774D2C"/>
    <w:rsid w:val="00776169"/>
    <w:rsid w:val="00776527"/>
    <w:rsid w:val="00777040"/>
    <w:rsid w:val="00777CE6"/>
    <w:rsid w:val="00780EF1"/>
    <w:rsid w:val="00781A91"/>
    <w:rsid w:val="00785778"/>
    <w:rsid w:val="00786C87"/>
    <w:rsid w:val="0078755E"/>
    <w:rsid w:val="007877C9"/>
    <w:rsid w:val="00790764"/>
    <w:rsid w:val="0079085F"/>
    <w:rsid w:val="00791005"/>
    <w:rsid w:val="00793D78"/>
    <w:rsid w:val="0079453C"/>
    <w:rsid w:val="00794677"/>
    <w:rsid w:val="007A170B"/>
    <w:rsid w:val="007A33E2"/>
    <w:rsid w:val="007A3CAF"/>
    <w:rsid w:val="007A516D"/>
    <w:rsid w:val="007A5E65"/>
    <w:rsid w:val="007A65E1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6689"/>
    <w:rsid w:val="007B6747"/>
    <w:rsid w:val="007B6F72"/>
    <w:rsid w:val="007C1F0C"/>
    <w:rsid w:val="007C1FFB"/>
    <w:rsid w:val="007C2D94"/>
    <w:rsid w:val="007C5F92"/>
    <w:rsid w:val="007C6227"/>
    <w:rsid w:val="007C6BBD"/>
    <w:rsid w:val="007C6D89"/>
    <w:rsid w:val="007D0382"/>
    <w:rsid w:val="007D1A1F"/>
    <w:rsid w:val="007D2E18"/>
    <w:rsid w:val="007D40DF"/>
    <w:rsid w:val="007D42E5"/>
    <w:rsid w:val="007D4458"/>
    <w:rsid w:val="007E0D4A"/>
    <w:rsid w:val="007E1788"/>
    <w:rsid w:val="007E29B4"/>
    <w:rsid w:val="007E2F12"/>
    <w:rsid w:val="007E435A"/>
    <w:rsid w:val="007E49F7"/>
    <w:rsid w:val="007E4C70"/>
    <w:rsid w:val="007E78B6"/>
    <w:rsid w:val="007E7E61"/>
    <w:rsid w:val="007F0845"/>
    <w:rsid w:val="007F20F3"/>
    <w:rsid w:val="007F2390"/>
    <w:rsid w:val="007F2CAC"/>
    <w:rsid w:val="007F4740"/>
    <w:rsid w:val="007F595A"/>
    <w:rsid w:val="007F708D"/>
    <w:rsid w:val="008006B3"/>
    <w:rsid w:val="00801E13"/>
    <w:rsid w:val="00803008"/>
    <w:rsid w:val="00803069"/>
    <w:rsid w:val="0080734C"/>
    <w:rsid w:val="00807C82"/>
    <w:rsid w:val="008117CC"/>
    <w:rsid w:val="00813DCA"/>
    <w:rsid w:val="008161A6"/>
    <w:rsid w:val="00816905"/>
    <w:rsid w:val="00817A17"/>
    <w:rsid w:val="00817EC1"/>
    <w:rsid w:val="0082112D"/>
    <w:rsid w:val="00821FF6"/>
    <w:rsid w:val="00822574"/>
    <w:rsid w:val="00822F08"/>
    <w:rsid w:val="00825C4D"/>
    <w:rsid w:val="00826A08"/>
    <w:rsid w:val="00827186"/>
    <w:rsid w:val="00827C8E"/>
    <w:rsid w:val="00830AEA"/>
    <w:rsid w:val="00830E86"/>
    <w:rsid w:val="0083143E"/>
    <w:rsid w:val="008315D5"/>
    <w:rsid w:val="00831CDE"/>
    <w:rsid w:val="00834304"/>
    <w:rsid w:val="00834FAA"/>
    <w:rsid w:val="008354FB"/>
    <w:rsid w:val="00836086"/>
    <w:rsid w:val="0083630F"/>
    <w:rsid w:val="00836A06"/>
    <w:rsid w:val="008374BC"/>
    <w:rsid w:val="00840293"/>
    <w:rsid w:val="008408D4"/>
    <w:rsid w:val="008417B5"/>
    <w:rsid w:val="00841901"/>
    <w:rsid w:val="008458BD"/>
    <w:rsid w:val="00846121"/>
    <w:rsid w:val="008466C6"/>
    <w:rsid w:val="0084708F"/>
    <w:rsid w:val="008477C8"/>
    <w:rsid w:val="008478A6"/>
    <w:rsid w:val="0085114D"/>
    <w:rsid w:val="008520A8"/>
    <w:rsid w:val="00852217"/>
    <w:rsid w:val="00855408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96D"/>
    <w:rsid w:val="00867DAB"/>
    <w:rsid w:val="0087000B"/>
    <w:rsid w:val="008701E4"/>
    <w:rsid w:val="008704E9"/>
    <w:rsid w:val="008734E7"/>
    <w:rsid w:val="0087368D"/>
    <w:rsid w:val="00874FE8"/>
    <w:rsid w:val="00875A32"/>
    <w:rsid w:val="00876086"/>
    <w:rsid w:val="00876E83"/>
    <w:rsid w:val="008772BC"/>
    <w:rsid w:val="00882911"/>
    <w:rsid w:val="00885D40"/>
    <w:rsid w:val="008873D4"/>
    <w:rsid w:val="00891EDF"/>
    <w:rsid w:val="00892872"/>
    <w:rsid w:val="0089296D"/>
    <w:rsid w:val="00893E85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37E2"/>
    <w:rsid w:val="008A388E"/>
    <w:rsid w:val="008A3CBA"/>
    <w:rsid w:val="008A4B59"/>
    <w:rsid w:val="008A63E1"/>
    <w:rsid w:val="008B3A80"/>
    <w:rsid w:val="008B3C07"/>
    <w:rsid w:val="008B3F7B"/>
    <w:rsid w:val="008B6106"/>
    <w:rsid w:val="008B7C02"/>
    <w:rsid w:val="008B7D2B"/>
    <w:rsid w:val="008B7EF9"/>
    <w:rsid w:val="008C0049"/>
    <w:rsid w:val="008C0E88"/>
    <w:rsid w:val="008C4B50"/>
    <w:rsid w:val="008C7569"/>
    <w:rsid w:val="008D0DBD"/>
    <w:rsid w:val="008D127E"/>
    <w:rsid w:val="008D1CA8"/>
    <w:rsid w:val="008D1E6A"/>
    <w:rsid w:val="008D2A16"/>
    <w:rsid w:val="008D33F5"/>
    <w:rsid w:val="008D35E4"/>
    <w:rsid w:val="008D6C3A"/>
    <w:rsid w:val="008E292B"/>
    <w:rsid w:val="008E2C57"/>
    <w:rsid w:val="008E31FF"/>
    <w:rsid w:val="008E3287"/>
    <w:rsid w:val="008E53E3"/>
    <w:rsid w:val="008E6DCB"/>
    <w:rsid w:val="008E6F06"/>
    <w:rsid w:val="008E7B8E"/>
    <w:rsid w:val="008E7FC9"/>
    <w:rsid w:val="008F029B"/>
    <w:rsid w:val="008F2A5D"/>
    <w:rsid w:val="008F3636"/>
    <w:rsid w:val="008F3FC9"/>
    <w:rsid w:val="008F585B"/>
    <w:rsid w:val="009003A8"/>
    <w:rsid w:val="009021DA"/>
    <w:rsid w:val="00902500"/>
    <w:rsid w:val="00902EFF"/>
    <w:rsid w:val="00903A8E"/>
    <w:rsid w:val="0090432C"/>
    <w:rsid w:val="00904F96"/>
    <w:rsid w:val="009052A3"/>
    <w:rsid w:val="009056D7"/>
    <w:rsid w:val="00905B8D"/>
    <w:rsid w:val="00906401"/>
    <w:rsid w:val="009065CB"/>
    <w:rsid w:val="00906B79"/>
    <w:rsid w:val="0090786F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3CB0"/>
    <w:rsid w:val="00924871"/>
    <w:rsid w:val="00924AC8"/>
    <w:rsid w:val="00925429"/>
    <w:rsid w:val="0092597A"/>
    <w:rsid w:val="00926520"/>
    <w:rsid w:val="00926CF0"/>
    <w:rsid w:val="009273A9"/>
    <w:rsid w:val="0093033E"/>
    <w:rsid w:val="009305FC"/>
    <w:rsid w:val="00930FB1"/>
    <w:rsid w:val="0093139F"/>
    <w:rsid w:val="00932443"/>
    <w:rsid w:val="00932B32"/>
    <w:rsid w:val="00933F4A"/>
    <w:rsid w:val="00934FF2"/>
    <w:rsid w:val="00935BD4"/>
    <w:rsid w:val="009373B2"/>
    <w:rsid w:val="00937AE2"/>
    <w:rsid w:val="0094416B"/>
    <w:rsid w:val="0094427A"/>
    <w:rsid w:val="00944C7C"/>
    <w:rsid w:val="00945245"/>
    <w:rsid w:val="00945523"/>
    <w:rsid w:val="00950921"/>
    <w:rsid w:val="009568DC"/>
    <w:rsid w:val="00957445"/>
    <w:rsid w:val="0095759C"/>
    <w:rsid w:val="009618EE"/>
    <w:rsid w:val="009624D2"/>
    <w:rsid w:val="009628D9"/>
    <w:rsid w:val="009637AE"/>
    <w:rsid w:val="00964776"/>
    <w:rsid w:val="00964A4E"/>
    <w:rsid w:val="00964B35"/>
    <w:rsid w:val="009651C7"/>
    <w:rsid w:val="00965797"/>
    <w:rsid w:val="00965A10"/>
    <w:rsid w:val="009670A3"/>
    <w:rsid w:val="009674BE"/>
    <w:rsid w:val="00971C77"/>
    <w:rsid w:val="00972FCD"/>
    <w:rsid w:val="009741FC"/>
    <w:rsid w:val="00974923"/>
    <w:rsid w:val="00975909"/>
    <w:rsid w:val="00977C3D"/>
    <w:rsid w:val="00980D3D"/>
    <w:rsid w:val="0098103E"/>
    <w:rsid w:val="00983101"/>
    <w:rsid w:val="00983E41"/>
    <w:rsid w:val="00987A30"/>
    <w:rsid w:val="00990312"/>
    <w:rsid w:val="0099182E"/>
    <w:rsid w:val="00992CF3"/>
    <w:rsid w:val="0099321E"/>
    <w:rsid w:val="00994868"/>
    <w:rsid w:val="00994D28"/>
    <w:rsid w:val="00994F2C"/>
    <w:rsid w:val="009957CC"/>
    <w:rsid w:val="009968D6"/>
    <w:rsid w:val="00997953"/>
    <w:rsid w:val="009A10A0"/>
    <w:rsid w:val="009A1CAB"/>
    <w:rsid w:val="009A2359"/>
    <w:rsid w:val="009A24F1"/>
    <w:rsid w:val="009A4D57"/>
    <w:rsid w:val="009A60D1"/>
    <w:rsid w:val="009A64F5"/>
    <w:rsid w:val="009B00D2"/>
    <w:rsid w:val="009B05B3"/>
    <w:rsid w:val="009B284F"/>
    <w:rsid w:val="009B3764"/>
    <w:rsid w:val="009B66CE"/>
    <w:rsid w:val="009B6FD3"/>
    <w:rsid w:val="009B7DB2"/>
    <w:rsid w:val="009C1750"/>
    <w:rsid w:val="009C2E29"/>
    <w:rsid w:val="009C3E8F"/>
    <w:rsid w:val="009C554B"/>
    <w:rsid w:val="009C7126"/>
    <w:rsid w:val="009C719E"/>
    <w:rsid w:val="009C7799"/>
    <w:rsid w:val="009D07A9"/>
    <w:rsid w:val="009D0AE2"/>
    <w:rsid w:val="009D0EBB"/>
    <w:rsid w:val="009D3ACD"/>
    <w:rsid w:val="009D587D"/>
    <w:rsid w:val="009D7731"/>
    <w:rsid w:val="009E1120"/>
    <w:rsid w:val="009E1922"/>
    <w:rsid w:val="009E1A3D"/>
    <w:rsid w:val="009E4715"/>
    <w:rsid w:val="009E5273"/>
    <w:rsid w:val="009E57A8"/>
    <w:rsid w:val="009E5B85"/>
    <w:rsid w:val="009E5DDB"/>
    <w:rsid w:val="009F4982"/>
    <w:rsid w:val="009F4CA7"/>
    <w:rsid w:val="009F7D36"/>
    <w:rsid w:val="00A00E71"/>
    <w:rsid w:val="00A0306F"/>
    <w:rsid w:val="00A03B10"/>
    <w:rsid w:val="00A03E2E"/>
    <w:rsid w:val="00A04616"/>
    <w:rsid w:val="00A04717"/>
    <w:rsid w:val="00A05EE4"/>
    <w:rsid w:val="00A10D66"/>
    <w:rsid w:val="00A14114"/>
    <w:rsid w:val="00A16413"/>
    <w:rsid w:val="00A16545"/>
    <w:rsid w:val="00A16AED"/>
    <w:rsid w:val="00A16E1D"/>
    <w:rsid w:val="00A17A15"/>
    <w:rsid w:val="00A17D5B"/>
    <w:rsid w:val="00A201E1"/>
    <w:rsid w:val="00A20FE1"/>
    <w:rsid w:val="00A23E43"/>
    <w:rsid w:val="00A24ED9"/>
    <w:rsid w:val="00A25216"/>
    <w:rsid w:val="00A2628E"/>
    <w:rsid w:val="00A2731E"/>
    <w:rsid w:val="00A309AC"/>
    <w:rsid w:val="00A30F65"/>
    <w:rsid w:val="00A3279E"/>
    <w:rsid w:val="00A32F70"/>
    <w:rsid w:val="00A35900"/>
    <w:rsid w:val="00A40EAC"/>
    <w:rsid w:val="00A418BC"/>
    <w:rsid w:val="00A41FCF"/>
    <w:rsid w:val="00A43CF8"/>
    <w:rsid w:val="00A43DF2"/>
    <w:rsid w:val="00A445A8"/>
    <w:rsid w:val="00A44B0D"/>
    <w:rsid w:val="00A44D21"/>
    <w:rsid w:val="00A45087"/>
    <w:rsid w:val="00A45489"/>
    <w:rsid w:val="00A465E9"/>
    <w:rsid w:val="00A468E7"/>
    <w:rsid w:val="00A46DE0"/>
    <w:rsid w:val="00A50D73"/>
    <w:rsid w:val="00A52A88"/>
    <w:rsid w:val="00A52CAD"/>
    <w:rsid w:val="00A53FC7"/>
    <w:rsid w:val="00A55569"/>
    <w:rsid w:val="00A626FF"/>
    <w:rsid w:val="00A62CE1"/>
    <w:rsid w:val="00A655D3"/>
    <w:rsid w:val="00A662D9"/>
    <w:rsid w:val="00A6741E"/>
    <w:rsid w:val="00A7016A"/>
    <w:rsid w:val="00A7018D"/>
    <w:rsid w:val="00A7191D"/>
    <w:rsid w:val="00A722F9"/>
    <w:rsid w:val="00A72D42"/>
    <w:rsid w:val="00A75E40"/>
    <w:rsid w:val="00A77D1D"/>
    <w:rsid w:val="00A81652"/>
    <w:rsid w:val="00A83150"/>
    <w:rsid w:val="00A83398"/>
    <w:rsid w:val="00A83D6E"/>
    <w:rsid w:val="00A8521A"/>
    <w:rsid w:val="00A857C0"/>
    <w:rsid w:val="00A90F2C"/>
    <w:rsid w:val="00A90FED"/>
    <w:rsid w:val="00A9189D"/>
    <w:rsid w:val="00A91E71"/>
    <w:rsid w:val="00A925B1"/>
    <w:rsid w:val="00A934F9"/>
    <w:rsid w:val="00A95F1A"/>
    <w:rsid w:val="00A96116"/>
    <w:rsid w:val="00A9614E"/>
    <w:rsid w:val="00A96C0F"/>
    <w:rsid w:val="00AA212F"/>
    <w:rsid w:val="00AA2996"/>
    <w:rsid w:val="00AA2AF4"/>
    <w:rsid w:val="00AA4282"/>
    <w:rsid w:val="00AA52BF"/>
    <w:rsid w:val="00AA559A"/>
    <w:rsid w:val="00AA6C31"/>
    <w:rsid w:val="00AA7CE8"/>
    <w:rsid w:val="00AB1457"/>
    <w:rsid w:val="00AB2AF1"/>
    <w:rsid w:val="00AB5A64"/>
    <w:rsid w:val="00AB5CA1"/>
    <w:rsid w:val="00AB6456"/>
    <w:rsid w:val="00AC044E"/>
    <w:rsid w:val="00AC2395"/>
    <w:rsid w:val="00AC2960"/>
    <w:rsid w:val="00AC2AC4"/>
    <w:rsid w:val="00AC4284"/>
    <w:rsid w:val="00AC45BD"/>
    <w:rsid w:val="00AC50BB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10A4D"/>
    <w:rsid w:val="00B10C90"/>
    <w:rsid w:val="00B11002"/>
    <w:rsid w:val="00B121B2"/>
    <w:rsid w:val="00B141B6"/>
    <w:rsid w:val="00B14BC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7D3A"/>
    <w:rsid w:val="00B402FC"/>
    <w:rsid w:val="00B422E2"/>
    <w:rsid w:val="00B42D5F"/>
    <w:rsid w:val="00B439DA"/>
    <w:rsid w:val="00B4411A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B6F"/>
    <w:rsid w:val="00B5752E"/>
    <w:rsid w:val="00B60AC1"/>
    <w:rsid w:val="00B62316"/>
    <w:rsid w:val="00B63A11"/>
    <w:rsid w:val="00B64425"/>
    <w:rsid w:val="00B64C24"/>
    <w:rsid w:val="00B65CEF"/>
    <w:rsid w:val="00B6608F"/>
    <w:rsid w:val="00B679FB"/>
    <w:rsid w:val="00B73A14"/>
    <w:rsid w:val="00B7680F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90131"/>
    <w:rsid w:val="00B92951"/>
    <w:rsid w:val="00B92D1D"/>
    <w:rsid w:val="00B930CE"/>
    <w:rsid w:val="00B938C5"/>
    <w:rsid w:val="00B9554A"/>
    <w:rsid w:val="00B95940"/>
    <w:rsid w:val="00B95ACA"/>
    <w:rsid w:val="00B97ACC"/>
    <w:rsid w:val="00BA3787"/>
    <w:rsid w:val="00BA46E8"/>
    <w:rsid w:val="00BA6436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CB1"/>
    <w:rsid w:val="00BB4F98"/>
    <w:rsid w:val="00BB5ABF"/>
    <w:rsid w:val="00BB6EA2"/>
    <w:rsid w:val="00BB7B5B"/>
    <w:rsid w:val="00BC003F"/>
    <w:rsid w:val="00BC327F"/>
    <w:rsid w:val="00BC5332"/>
    <w:rsid w:val="00BC5C12"/>
    <w:rsid w:val="00BC7154"/>
    <w:rsid w:val="00BC731E"/>
    <w:rsid w:val="00BC7614"/>
    <w:rsid w:val="00BD25BB"/>
    <w:rsid w:val="00BD2AF8"/>
    <w:rsid w:val="00BD366B"/>
    <w:rsid w:val="00BD4A73"/>
    <w:rsid w:val="00BD6C75"/>
    <w:rsid w:val="00BD6D50"/>
    <w:rsid w:val="00BE0AD1"/>
    <w:rsid w:val="00BE0EF9"/>
    <w:rsid w:val="00BE18B9"/>
    <w:rsid w:val="00BE190A"/>
    <w:rsid w:val="00BE2495"/>
    <w:rsid w:val="00BE24DD"/>
    <w:rsid w:val="00BE386D"/>
    <w:rsid w:val="00BE557B"/>
    <w:rsid w:val="00BF02C8"/>
    <w:rsid w:val="00BF1578"/>
    <w:rsid w:val="00BF1D12"/>
    <w:rsid w:val="00BF1D3A"/>
    <w:rsid w:val="00BF2B5B"/>
    <w:rsid w:val="00BF32DC"/>
    <w:rsid w:val="00BF4E43"/>
    <w:rsid w:val="00BF5C4C"/>
    <w:rsid w:val="00C00BD7"/>
    <w:rsid w:val="00C01410"/>
    <w:rsid w:val="00C04B78"/>
    <w:rsid w:val="00C052AA"/>
    <w:rsid w:val="00C06EE3"/>
    <w:rsid w:val="00C07749"/>
    <w:rsid w:val="00C11D48"/>
    <w:rsid w:val="00C1493E"/>
    <w:rsid w:val="00C15DBD"/>
    <w:rsid w:val="00C2010D"/>
    <w:rsid w:val="00C20CB5"/>
    <w:rsid w:val="00C21430"/>
    <w:rsid w:val="00C21E61"/>
    <w:rsid w:val="00C21F94"/>
    <w:rsid w:val="00C234DB"/>
    <w:rsid w:val="00C2479A"/>
    <w:rsid w:val="00C24903"/>
    <w:rsid w:val="00C2590D"/>
    <w:rsid w:val="00C25D9C"/>
    <w:rsid w:val="00C27913"/>
    <w:rsid w:val="00C31F21"/>
    <w:rsid w:val="00C32631"/>
    <w:rsid w:val="00C33301"/>
    <w:rsid w:val="00C33311"/>
    <w:rsid w:val="00C33B68"/>
    <w:rsid w:val="00C35570"/>
    <w:rsid w:val="00C36A79"/>
    <w:rsid w:val="00C401D2"/>
    <w:rsid w:val="00C4031A"/>
    <w:rsid w:val="00C405D4"/>
    <w:rsid w:val="00C419D5"/>
    <w:rsid w:val="00C4513B"/>
    <w:rsid w:val="00C50E79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9A3"/>
    <w:rsid w:val="00C71D2F"/>
    <w:rsid w:val="00C72984"/>
    <w:rsid w:val="00C73885"/>
    <w:rsid w:val="00C73C93"/>
    <w:rsid w:val="00C7435A"/>
    <w:rsid w:val="00C747B1"/>
    <w:rsid w:val="00C82191"/>
    <w:rsid w:val="00C83134"/>
    <w:rsid w:val="00C832F3"/>
    <w:rsid w:val="00C85545"/>
    <w:rsid w:val="00C855B5"/>
    <w:rsid w:val="00C85F0E"/>
    <w:rsid w:val="00C90CF4"/>
    <w:rsid w:val="00C922DE"/>
    <w:rsid w:val="00C92843"/>
    <w:rsid w:val="00C92EB6"/>
    <w:rsid w:val="00C93389"/>
    <w:rsid w:val="00CA0346"/>
    <w:rsid w:val="00CA1BD6"/>
    <w:rsid w:val="00CA37FF"/>
    <w:rsid w:val="00CA423A"/>
    <w:rsid w:val="00CA6AB4"/>
    <w:rsid w:val="00CB2351"/>
    <w:rsid w:val="00CB4930"/>
    <w:rsid w:val="00CB4C63"/>
    <w:rsid w:val="00CB5A48"/>
    <w:rsid w:val="00CB5E10"/>
    <w:rsid w:val="00CB613B"/>
    <w:rsid w:val="00CB6152"/>
    <w:rsid w:val="00CC0834"/>
    <w:rsid w:val="00CC20FE"/>
    <w:rsid w:val="00CC2E7D"/>
    <w:rsid w:val="00CC655F"/>
    <w:rsid w:val="00CC6FE5"/>
    <w:rsid w:val="00CC76BD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47B8"/>
    <w:rsid w:val="00CE62FA"/>
    <w:rsid w:val="00CE670B"/>
    <w:rsid w:val="00CE6833"/>
    <w:rsid w:val="00CF4908"/>
    <w:rsid w:val="00CF51EC"/>
    <w:rsid w:val="00CF545D"/>
    <w:rsid w:val="00CF5873"/>
    <w:rsid w:val="00CF73AE"/>
    <w:rsid w:val="00D0242D"/>
    <w:rsid w:val="00D03A72"/>
    <w:rsid w:val="00D040DD"/>
    <w:rsid w:val="00D05C65"/>
    <w:rsid w:val="00D06D68"/>
    <w:rsid w:val="00D075BE"/>
    <w:rsid w:val="00D10C15"/>
    <w:rsid w:val="00D11476"/>
    <w:rsid w:val="00D12C25"/>
    <w:rsid w:val="00D133B4"/>
    <w:rsid w:val="00D13986"/>
    <w:rsid w:val="00D14C5B"/>
    <w:rsid w:val="00D15FED"/>
    <w:rsid w:val="00D214EF"/>
    <w:rsid w:val="00D21D6D"/>
    <w:rsid w:val="00D21D83"/>
    <w:rsid w:val="00D235B7"/>
    <w:rsid w:val="00D23FAE"/>
    <w:rsid w:val="00D25F28"/>
    <w:rsid w:val="00D26071"/>
    <w:rsid w:val="00D269B9"/>
    <w:rsid w:val="00D27973"/>
    <w:rsid w:val="00D31537"/>
    <w:rsid w:val="00D31E1E"/>
    <w:rsid w:val="00D32824"/>
    <w:rsid w:val="00D334E2"/>
    <w:rsid w:val="00D35AD6"/>
    <w:rsid w:val="00D35BBB"/>
    <w:rsid w:val="00D35E1A"/>
    <w:rsid w:val="00D36DFB"/>
    <w:rsid w:val="00D36E1C"/>
    <w:rsid w:val="00D373AF"/>
    <w:rsid w:val="00D40556"/>
    <w:rsid w:val="00D41F74"/>
    <w:rsid w:val="00D43ED2"/>
    <w:rsid w:val="00D50F46"/>
    <w:rsid w:val="00D5384E"/>
    <w:rsid w:val="00D544E7"/>
    <w:rsid w:val="00D56FBF"/>
    <w:rsid w:val="00D57677"/>
    <w:rsid w:val="00D60415"/>
    <w:rsid w:val="00D63BE5"/>
    <w:rsid w:val="00D6475F"/>
    <w:rsid w:val="00D66223"/>
    <w:rsid w:val="00D667B8"/>
    <w:rsid w:val="00D70289"/>
    <w:rsid w:val="00D70822"/>
    <w:rsid w:val="00D72076"/>
    <w:rsid w:val="00D726A9"/>
    <w:rsid w:val="00D743E0"/>
    <w:rsid w:val="00D77252"/>
    <w:rsid w:val="00D8084C"/>
    <w:rsid w:val="00D81809"/>
    <w:rsid w:val="00D82EF1"/>
    <w:rsid w:val="00D84F43"/>
    <w:rsid w:val="00D85821"/>
    <w:rsid w:val="00D8598C"/>
    <w:rsid w:val="00D87C06"/>
    <w:rsid w:val="00D915EA"/>
    <w:rsid w:val="00D922A1"/>
    <w:rsid w:val="00D928BE"/>
    <w:rsid w:val="00D95C5D"/>
    <w:rsid w:val="00D97D00"/>
    <w:rsid w:val="00DA096C"/>
    <w:rsid w:val="00DA1AB6"/>
    <w:rsid w:val="00DA544C"/>
    <w:rsid w:val="00DA5F8E"/>
    <w:rsid w:val="00DA6364"/>
    <w:rsid w:val="00DA7114"/>
    <w:rsid w:val="00DA7C0C"/>
    <w:rsid w:val="00DB08A9"/>
    <w:rsid w:val="00DB2DFA"/>
    <w:rsid w:val="00DB2EC8"/>
    <w:rsid w:val="00DB459B"/>
    <w:rsid w:val="00DB5E9A"/>
    <w:rsid w:val="00DB657E"/>
    <w:rsid w:val="00DB7342"/>
    <w:rsid w:val="00DC17D0"/>
    <w:rsid w:val="00DC2B41"/>
    <w:rsid w:val="00DC435B"/>
    <w:rsid w:val="00DC53D8"/>
    <w:rsid w:val="00DC56FE"/>
    <w:rsid w:val="00DC5B3B"/>
    <w:rsid w:val="00DC6C2D"/>
    <w:rsid w:val="00DC7B1A"/>
    <w:rsid w:val="00DD129F"/>
    <w:rsid w:val="00DD32DD"/>
    <w:rsid w:val="00DD5287"/>
    <w:rsid w:val="00DE0D8B"/>
    <w:rsid w:val="00DE1237"/>
    <w:rsid w:val="00DE140F"/>
    <w:rsid w:val="00DE2491"/>
    <w:rsid w:val="00DE7AC8"/>
    <w:rsid w:val="00DF3643"/>
    <w:rsid w:val="00DF42FF"/>
    <w:rsid w:val="00DF4369"/>
    <w:rsid w:val="00DF4423"/>
    <w:rsid w:val="00DF4ADF"/>
    <w:rsid w:val="00DF5D1E"/>
    <w:rsid w:val="00E01C0E"/>
    <w:rsid w:val="00E0368F"/>
    <w:rsid w:val="00E03D73"/>
    <w:rsid w:val="00E03F9A"/>
    <w:rsid w:val="00E04694"/>
    <w:rsid w:val="00E129E7"/>
    <w:rsid w:val="00E12ABE"/>
    <w:rsid w:val="00E12B1E"/>
    <w:rsid w:val="00E1444C"/>
    <w:rsid w:val="00E17262"/>
    <w:rsid w:val="00E20016"/>
    <w:rsid w:val="00E2009B"/>
    <w:rsid w:val="00E20BB9"/>
    <w:rsid w:val="00E2251C"/>
    <w:rsid w:val="00E2363D"/>
    <w:rsid w:val="00E23C6A"/>
    <w:rsid w:val="00E253A2"/>
    <w:rsid w:val="00E260F6"/>
    <w:rsid w:val="00E27127"/>
    <w:rsid w:val="00E27233"/>
    <w:rsid w:val="00E31771"/>
    <w:rsid w:val="00E31A3E"/>
    <w:rsid w:val="00E32080"/>
    <w:rsid w:val="00E3309D"/>
    <w:rsid w:val="00E378B1"/>
    <w:rsid w:val="00E417BE"/>
    <w:rsid w:val="00E41CD5"/>
    <w:rsid w:val="00E43A9E"/>
    <w:rsid w:val="00E453F9"/>
    <w:rsid w:val="00E45D7D"/>
    <w:rsid w:val="00E4665D"/>
    <w:rsid w:val="00E47854"/>
    <w:rsid w:val="00E47EBA"/>
    <w:rsid w:val="00E50156"/>
    <w:rsid w:val="00E5076C"/>
    <w:rsid w:val="00E50D2E"/>
    <w:rsid w:val="00E53470"/>
    <w:rsid w:val="00E539F6"/>
    <w:rsid w:val="00E54698"/>
    <w:rsid w:val="00E55791"/>
    <w:rsid w:val="00E578A2"/>
    <w:rsid w:val="00E61740"/>
    <w:rsid w:val="00E61EB5"/>
    <w:rsid w:val="00E6519D"/>
    <w:rsid w:val="00E66062"/>
    <w:rsid w:val="00E67305"/>
    <w:rsid w:val="00E67696"/>
    <w:rsid w:val="00E71A58"/>
    <w:rsid w:val="00E72A26"/>
    <w:rsid w:val="00E72A7A"/>
    <w:rsid w:val="00E747DC"/>
    <w:rsid w:val="00E75C94"/>
    <w:rsid w:val="00E76B9B"/>
    <w:rsid w:val="00E76E61"/>
    <w:rsid w:val="00E80CA3"/>
    <w:rsid w:val="00E82618"/>
    <w:rsid w:val="00E90CA8"/>
    <w:rsid w:val="00E930A1"/>
    <w:rsid w:val="00E93820"/>
    <w:rsid w:val="00E94A86"/>
    <w:rsid w:val="00E96143"/>
    <w:rsid w:val="00E96833"/>
    <w:rsid w:val="00EA0C68"/>
    <w:rsid w:val="00EA1D0E"/>
    <w:rsid w:val="00EA2841"/>
    <w:rsid w:val="00EA32BC"/>
    <w:rsid w:val="00EA35A7"/>
    <w:rsid w:val="00EA3B32"/>
    <w:rsid w:val="00EA3D05"/>
    <w:rsid w:val="00EA4402"/>
    <w:rsid w:val="00EA513E"/>
    <w:rsid w:val="00EA7419"/>
    <w:rsid w:val="00EB0E32"/>
    <w:rsid w:val="00EB4511"/>
    <w:rsid w:val="00EB4A8E"/>
    <w:rsid w:val="00EB4BC5"/>
    <w:rsid w:val="00EB5BF7"/>
    <w:rsid w:val="00EB5E79"/>
    <w:rsid w:val="00EB6FAC"/>
    <w:rsid w:val="00EC03D7"/>
    <w:rsid w:val="00EC13A7"/>
    <w:rsid w:val="00EC2EB6"/>
    <w:rsid w:val="00ED0EF0"/>
    <w:rsid w:val="00ED12B9"/>
    <w:rsid w:val="00ED16B8"/>
    <w:rsid w:val="00ED2EA1"/>
    <w:rsid w:val="00ED3F10"/>
    <w:rsid w:val="00ED4D04"/>
    <w:rsid w:val="00ED5F5B"/>
    <w:rsid w:val="00ED62C6"/>
    <w:rsid w:val="00ED64C1"/>
    <w:rsid w:val="00EE3446"/>
    <w:rsid w:val="00EE3E78"/>
    <w:rsid w:val="00EE4B1B"/>
    <w:rsid w:val="00EE5FBA"/>
    <w:rsid w:val="00EE6E06"/>
    <w:rsid w:val="00EF150D"/>
    <w:rsid w:val="00EF1F5A"/>
    <w:rsid w:val="00EF47BF"/>
    <w:rsid w:val="00EF5A13"/>
    <w:rsid w:val="00EF5FF9"/>
    <w:rsid w:val="00EF7CC7"/>
    <w:rsid w:val="00F0160B"/>
    <w:rsid w:val="00F03F8D"/>
    <w:rsid w:val="00F04811"/>
    <w:rsid w:val="00F0488C"/>
    <w:rsid w:val="00F073ED"/>
    <w:rsid w:val="00F07C4C"/>
    <w:rsid w:val="00F10F11"/>
    <w:rsid w:val="00F12CFB"/>
    <w:rsid w:val="00F15AAA"/>
    <w:rsid w:val="00F15BEF"/>
    <w:rsid w:val="00F17898"/>
    <w:rsid w:val="00F207C2"/>
    <w:rsid w:val="00F219A1"/>
    <w:rsid w:val="00F23E20"/>
    <w:rsid w:val="00F24407"/>
    <w:rsid w:val="00F24FAA"/>
    <w:rsid w:val="00F25040"/>
    <w:rsid w:val="00F27071"/>
    <w:rsid w:val="00F27331"/>
    <w:rsid w:val="00F27EE5"/>
    <w:rsid w:val="00F30C65"/>
    <w:rsid w:val="00F33523"/>
    <w:rsid w:val="00F3364D"/>
    <w:rsid w:val="00F349BF"/>
    <w:rsid w:val="00F34DDC"/>
    <w:rsid w:val="00F37EDC"/>
    <w:rsid w:val="00F437CC"/>
    <w:rsid w:val="00F44537"/>
    <w:rsid w:val="00F46185"/>
    <w:rsid w:val="00F46423"/>
    <w:rsid w:val="00F4696A"/>
    <w:rsid w:val="00F47067"/>
    <w:rsid w:val="00F525EB"/>
    <w:rsid w:val="00F52CB5"/>
    <w:rsid w:val="00F53A68"/>
    <w:rsid w:val="00F55A92"/>
    <w:rsid w:val="00F62BFF"/>
    <w:rsid w:val="00F63AAE"/>
    <w:rsid w:val="00F63DDE"/>
    <w:rsid w:val="00F63FB7"/>
    <w:rsid w:val="00F6421B"/>
    <w:rsid w:val="00F649D2"/>
    <w:rsid w:val="00F6602B"/>
    <w:rsid w:val="00F7150B"/>
    <w:rsid w:val="00F71DE6"/>
    <w:rsid w:val="00F72D71"/>
    <w:rsid w:val="00F7381C"/>
    <w:rsid w:val="00F73A0C"/>
    <w:rsid w:val="00F7549F"/>
    <w:rsid w:val="00F756DB"/>
    <w:rsid w:val="00F767A8"/>
    <w:rsid w:val="00F84E7D"/>
    <w:rsid w:val="00F85066"/>
    <w:rsid w:val="00F87A4D"/>
    <w:rsid w:val="00F93688"/>
    <w:rsid w:val="00F939F3"/>
    <w:rsid w:val="00F9644E"/>
    <w:rsid w:val="00FA0105"/>
    <w:rsid w:val="00FA05A0"/>
    <w:rsid w:val="00FA17CC"/>
    <w:rsid w:val="00FA1F01"/>
    <w:rsid w:val="00FA26DF"/>
    <w:rsid w:val="00FA5112"/>
    <w:rsid w:val="00FA5526"/>
    <w:rsid w:val="00FA5D4D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E27C7"/>
    <w:rsid w:val="00FE2C7E"/>
    <w:rsid w:val="00FE2F78"/>
    <w:rsid w:val="00FE3137"/>
    <w:rsid w:val="00FE48E4"/>
    <w:rsid w:val="00FE634C"/>
    <w:rsid w:val="00FE6E69"/>
    <w:rsid w:val="00FE6F59"/>
    <w:rsid w:val="00FF3D76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vraznn">
    <w:name w:val="Emphasis"/>
    <w:basedOn w:val="Standardnpsmoodstavce"/>
    <w:uiPriority w:val="20"/>
    <w:qFormat/>
    <w:rsid w:val="00965797"/>
    <w:rPr>
      <w:i/>
      <w:iCs/>
    </w:rPr>
  </w:style>
  <w:style w:type="paragraph" w:styleId="Rozvrendokumentu">
    <w:name w:val="Document Map"/>
    <w:basedOn w:val="Normln"/>
    <w:link w:val="Rozvr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Celorok\Rozpo&#269;et\Grafy-st&#225;tn&#237;%20rozpo&#269;et-rok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Celorok-2018\Rozpo&#269;et\Grafy-st&#225;tn&#237;%20rozpo&#269;et-rok-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JKAM%20CSU\PUBLIKACE\PUBLIKACE\2018\QMakro\Celorok-2018\Odv&#283;tv&#237;\Aktualizace-duben\Rozpo&#269;et\Grafy-st&#225;tn&#237;%20rozpo&#269;et-rok-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&#345;es%20volebn&#237;%20v&#237;kend\Rozpo&#269;et\Grafy-st&#225;tn&#237;%20rozpo&#269;et-rok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5577477727787412E-2"/>
          <c:y val="1.7107238390107461E-2"/>
          <c:w val="0.90191712370541899"/>
          <c:h val="0.81882420592062344"/>
        </c:manualLayout>
      </c:layout>
      <c:barChart>
        <c:barDir val="col"/>
        <c:grouping val="clustered"/>
        <c:ser>
          <c:idx val="2"/>
          <c:order val="4"/>
          <c:tx>
            <c:strRef>
              <c:f>'Státní rozpočet-příjmy'!$A$40</c:f>
              <c:strCache>
                <c:ptCount val="1"/>
                <c:pt idx="0">
                  <c:v>Saldo státního rozpočtu (pravá osa)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cat>
            <c:strRef>
              <c:f>'Státní rozpočet-příjmy'!$B$34:$O$35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strCache>
            </c:strRef>
          </c:cat>
          <c:val>
            <c:numRef>
              <c:f>'Státní rozpočet-příjmy'!$B$40:$O$40</c:f>
              <c:numCache>
                <c:formatCode>#,##0.0</c:formatCode>
                <c:ptCount val="14"/>
                <c:pt idx="0">
                  <c:v>-56.36</c:v>
                </c:pt>
                <c:pt idx="1">
                  <c:v>-97.3</c:v>
                </c:pt>
                <c:pt idx="2">
                  <c:v>-66.391999999999996</c:v>
                </c:pt>
                <c:pt idx="3">
                  <c:v>-20.003</c:v>
                </c:pt>
                <c:pt idx="4">
                  <c:v>-192.39400000000001</c:v>
                </c:pt>
                <c:pt idx="5">
                  <c:v>-156.416</c:v>
                </c:pt>
                <c:pt idx="6">
                  <c:v>-142.77099999999999</c:v>
                </c:pt>
                <c:pt idx="7">
                  <c:v>-101</c:v>
                </c:pt>
                <c:pt idx="8">
                  <c:v>-81.263999999999996</c:v>
                </c:pt>
                <c:pt idx="9">
                  <c:v>-77.78</c:v>
                </c:pt>
                <c:pt idx="10">
                  <c:v>-62.8</c:v>
                </c:pt>
                <c:pt idx="11">
                  <c:v>61.77</c:v>
                </c:pt>
                <c:pt idx="12">
                  <c:v>-6.1499999999999995</c:v>
                </c:pt>
                <c:pt idx="13">
                  <c:v>2.94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FD-40B3-AD2F-173AE06290E3}"/>
            </c:ext>
          </c:extLst>
        </c:ser>
        <c:gapWidth val="43"/>
        <c:axId val="101712640"/>
        <c:axId val="101702656"/>
      </c:barChart>
      <c:lineChart>
        <c:grouping val="standard"/>
        <c:ser>
          <c:idx val="0"/>
          <c:order val="0"/>
          <c:tx>
            <c:strRef>
              <c:f>'Státní rozpočet-příjmy'!$A$36</c:f>
              <c:strCache>
                <c:ptCount val="1"/>
                <c:pt idx="0">
                  <c:v>DPH</c:v>
                </c:pt>
              </c:strCache>
            </c:strRef>
          </c:tx>
          <c:spPr>
            <a:ln w="19050">
              <a:solidFill>
                <a:srgbClr val="BD1B25"/>
              </a:solidFill>
            </a:ln>
          </c:spPr>
          <c:marker>
            <c:symbol val="none"/>
          </c:marker>
          <c:cat>
            <c:strRef>
              <c:f>'Státní rozpočet-příjmy'!$B$34:$O$35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strCache>
            </c:strRef>
          </c:cat>
          <c:val>
            <c:numRef>
              <c:f>'Státní rozpočet-příjmy'!$B$36:$O$36</c:f>
              <c:numCache>
                <c:formatCode>0.0</c:formatCode>
                <c:ptCount val="14"/>
                <c:pt idx="0">
                  <c:v>13.1556086437181</c:v>
                </c:pt>
                <c:pt idx="1">
                  <c:v>4.4959454920589224</c:v>
                </c:pt>
                <c:pt idx="2">
                  <c:v>8.540729176232901</c:v>
                </c:pt>
                <c:pt idx="3">
                  <c:v>7.9575260174295455</c:v>
                </c:pt>
                <c:pt idx="4">
                  <c:v>-0.61914651828049205</c:v>
                </c:pt>
                <c:pt idx="5">
                  <c:v>6.2852411182524524</c:v>
                </c:pt>
                <c:pt idx="6">
                  <c:v>2.1665739194954341</c:v>
                </c:pt>
                <c:pt idx="7">
                  <c:v>1.0312647518065459</c:v>
                </c:pt>
                <c:pt idx="8">
                  <c:v>10.865111598318016</c:v>
                </c:pt>
                <c:pt idx="9">
                  <c:v>4.6748362834727395</c:v>
                </c:pt>
                <c:pt idx="10">
                  <c:v>2.7750247770069598</c:v>
                </c:pt>
                <c:pt idx="11">
                  <c:v>5.3881388621022355</c:v>
                </c:pt>
                <c:pt idx="12">
                  <c:v>9.138739563079028</c:v>
                </c:pt>
                <c:pt idx="13">
                  <c:v>8.2844267449172122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FD-40B3-AD2F-173AE06290E3}"/>
            </c:ext>
          </c:extLst>
        </c:ser>
        <c:ser>
          <c:idx val="1"/>
          <c:order val="1"/>
          <c:tx>
            <c:strRef>
              <c:f>'Státní rozpočet-příjmy'!$A$37</c:f>
              <c:strCache>
                <c:ptCount val="1"/>
                <c:pt idx="0">
                  <c:v>Spotřební daň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olid"/>
            </a:ln>
          </c:spPr>
          <c:marker>
            <c:symbol val="none"/>
          </c:marker>
          <c:cat>
            <c:strRef>
              <c:f>'Státní rozpočet-příjmy'!$B$34:$O$35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strCache>
            </c:strRef>
          </c:cat>
          <c:val>
            <c:numRef>
              <c:f>'Státní rozpočet-příjmy'!$B$37:$O$37</c:f>
              <c:numCache>
                <c:formatCode>0.0</c:formatCode>
                <c:ptCount val="14"/>
                <c:pt idx="0">
                  <c:v>15.148989372785994</c:v>
                </c:pt>
                <c:pt idx="1">
                  <c:v>8.1704668838219767</c:v>
                </c:pt>
                <c:pt idx="2">
                  <c:v>16.227519866164627</c:v>
                </c:pt>
                <c:pt idx="3">
                  <c:v>-4.2605253688376745</c:v>
                </c:pt>
                <c:pt idx="4">
                  <c:v>-1.473351875516798</c:v>
                </c:pt>
                <c:pt idx="5">
                  <c:v>5.493247882810758</c:v>
                </c:pt>
                <c:pt idx="6">
                  <c:v>6.0099804729876354</c:v>
                </c:pt>
                <c:pt idx="7">
                  <c:v>0.13644426251875091</c:v>
                </c:pt>
                <c:pt idx="8">
                  <c:v>-2.2891402098378602</c:v>
                </c:pt>
                <c:pt idx="9">
                  <c:v>-1.4712034583739846</c:v>
                </c:pt>
                <c:pt idx="10">
                  <c:v>6.5034321704055005</c:v>
                </c:pt>
                <c:pt idx="11">
                  <c:v>5.1362126245847124</c:v>
                </c:pt>
                <c:pt idx="12">
                  <c:v>2.9071604626177252</c:v>
                </c:pt>
                <c:pt idx="13">
                  <c:v>2.8495977399742003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FD-40B3-AD2F-173AE06290E3}"/>
            </c:ext>
          </c:extLst>
        </c:ser>
        <c:ser>
          <c:idx val="3"/>
          <c:order val="2"/>
          <c:tx>
            <c:strRef>
              <c:f>'Státní rozpočet-příjmy'!$A$38</c:f>
              <c:strCache>
                <c:ptCount val="1"/>
                <c:pt idx="0">
                  <c:v>Daně z příjmů FO ze závislé činnosti</c:v>
                </c:pt>
              </c:strCache>
            </c:strRef>
          </c:tx>
          <c:spPr>
            <a:ln w="19050">
              <a:solidFill>
                <a:srgbClr val="0071BC"/>
              </a:solidFill>
              <a:prstDash val="solid"/>
            </a:ln>
          </c:spPr>
          <c:marker>
            <c:symbol val="none"/>
          </c:marker>
          <c:cat>
            <c:strRef>
              <c:f>'Státní rozpočet-příjmy'!$B$34:$O$35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strCache>
            </c:strRef>
          </c:cat>
          <c:val>
            <c:numRef>
              <c:f>'Státní rozpočet-příjmy'!$B$38:$O$38</c:f>
              <c:numCache>
                <c:formatCode>0.0</c:formatCode>
                <c:ptCount val="14"/>
                <c:pt idx="0">
                  <c:v>7.8339666764103955</c:v>
                </c:pt>
                <c:pt idx="1">
                  <c:v>0.86744375169422483</c:v>
                </c:pt>
                <c:pt idx="2">
                  <c:v>13.222252082773448</c:v>
                </c:pt>
                <c:pt idx="3">
                  <c:v>-8.8693725769444267</c:v>
                </c:pt>
                <c:pt idx="4">
                  <c:v>-3.5943740232679402</c:v>
                </c:pt>
                <c:pt idx="5">
                  <c:v>0.72046109510085898</c:v>
                </c:pt>
                <c:pt idx="6">
                  <c:v>6.7328326180257445</c:v>
                </c:pt>
                <c:pt idx="7">
                  <c:v>0.35184719778837348</c:v>
                </c:pt>
                <c:pt idx="8">
                  <c:v>5.2925953752399755</c:v>
                </c:pt>
                <c:pt idx="9">
                  <c:v>3.7580274320145861</c:v>
                </c:pt>
                <c:pt idx="10">
                  <c:v>4.0116145793535445</c:v>
                </c:pt>
                <c:pt idx="11">
                  <c:v>9.7487511019687485</c:v>
                </c:pt>
                <c:pt idx="12">
                  <c:v>13.287368632438522</c:v>
                </c:pt>
                <c:pt idx="13">
                  <c:v>14.441030489246032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FD-40B3-AD2F-173AE06290E3}"/>
            </c:ext>
          </c:extLst>
        </c:ser>
        <c:ser>
          <c:idx val="4"/>
          <c:order val="3"/>
          <c:tx>
            <c:strRef>
              <c:f>'Státní rozpočet-příjmy'!$A$39</c:f>
              <c:strCache>
                <c:ptCount val="1"/>
                <c:pt idx="0">
                  <c:v>Daně z příjmů právnických osob (PO)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6"/>
            <c:spPr>
              <a:solidFill>
                <a:srgbClr val="984807"/>
              </a:solidFill>
              <a:ln>
                <a:noFill/>
              </a:ln>
            </c:spPr>
          </c:marker>
          <c:cat>
            <c:strRef>
              <c:f>'Státní rozpočet-příjmy'!$B$34:$O$35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strCache>
            </c:strRef>
          </c:cat>
          <c:val>
            <c:numRef>
              <c:f>'Státní rozpočet-příjmy'!$B$39:$O$39</c:f>
              <c:numCache>
                <c:formatCode>0.0</c:formatCode>
                <c:ptCount val="14"/>
                <c:pt idx="0">
                  <c:v>26.963584434130528</c:v>
                </c:pt>
                <c:pt idx="1">
                  <c:v>-4.7873462214411324</c:v>
                </c:pt>
                <c:pt idx="2">
                  <c:v>20.193443591258116</c:v>
                </c:pt>
                <c:pt idx="3">
                  <c:v>12.113766201855157</c:v>
                </c:pt>
                <c:pt idx="4">
                  <c:v>-34.469344145526264</c:v>
                </c:pt>
                <c:pt idx="5">
                  <c:v>3.5618729096989967</c:v>
                </c:pt>
                <c:pt idx="6">
                  <c:v>-4.6423381236880354</c:v>
                </c:pt>
                <c:pt idx="7">
                  <c:v>8.3735500804335032</c:v>
                </c:pt>
                <c:pt idx="8">
                  <c:v>-5.6874999999999956</c:v>
                </c:pt>
                <c:pt idx="9">
                  <c:v>9.6752816434725109</c:v>
                </c:pt>
                <c:pt idx="10">
                  <c:v>11.412386706948702</c:v>
                </c:pt>
                <c:pt idx="11">
                  <c:v>11.667005626737165</c:v>
                </c:pt>
                <c:pt idx="12">
                  <c:v>3.6000485672656595</c:v>
                </c:pt>
                <c:pt idx="13">
                  <c:v>1.968942279519466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4FD-40B3-AD2F-173AE06290E3}"/>
            </c:ext>
          </c:extLst>
        </c:ser>
        <c:marker val="1"/>
        <c:axId val="101694848"/>
        <c:axId val="101701120"/>
      </c:lineChart>
      <c:catAx>
        <c:axId val="101694848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tx1"/>
            </a:solidFill>
          </a:ln>
        </c:spPr>
        <c:crossAx val="101701120"/>
        <c:crosses val="autoZero"/>
        <c:auto val="1"/>
        <c:lblAlgn val="ctr"/>
        <c:lblOffset val="0"/>
      </c:catAx>
      <c:valAx>
        <c:axId val="101701120"/>
        <c:scaling>
          <c:orientation val="minMax"/>
          <c:max val="30"/>
          <c:min val="-5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1694848"/>
        <c:crosses val="autoZero"/>
        <c:crossBetween val="between"/>
        <c:majorUnit val="5"/>
      </c:valAx>
      <c:valAx>
        <c:axId val="101702656"/>
        <c:scaling>
          <c:orientation val="minMax"/>
          <c:max val="120"/>
          <c:min val="-200"/>
        </c:scaling>
        <c:axPos val="r"/>
        <c:numFmt formatCode="#,##0" sourceLinked="0"/>
        <c:tickLblPos val="nextTo"/>
        <c:crossAx val="101712640"/>
        <c:crosses val="max"/>
        <c:crossBetween val="between"/>
        <c:majorUnit val="20"/>
      </c:valAx>
      <c:catAx>
        <c:axId val="101712640"/>
        <c:scaling>
          <c:orientation val="minMax"/>
        </c:scaling>
        <c:delete val="1"/>
        <c:axPos val="b"/>
        <c:numFmt formatCode="General" sourceLinked="1"/>
        <c:tickLblPos val="none"/>
        <c:crossAx val="101702656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8.6694953141739653E-2"/>
          <c:y val="0.88724178632051665"/>
          <c:w val="0.87839422563312253"/>
          <c:h val="0.10930721906839615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654503640965086E-2"/>
          <c:y val="1.7112323287741892E-2"/>
          <c:w val="0.88571919735113291"/>
          <c:h val="0.76067747074773961"/>
        </c:manualLayout>
      </c:layout>
      <c:barChart>
        <c:barDir val="col"/>
        <c:grouping val="clustered"/>
        <c:ser>
          <c:idx val="0"/>
          <c:order val="0"/>
          <c:tx>
            <c:strRef>
              <c:f>'Státní rozpočet-výdaje'!$B$31</c:f>
              <c:strCache>
                <c:ptCount val="1"/>
                <c:pt idx="0">
                  <c:v>Běžné výdaje (pravá osa)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</c:spP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rozpočet-výdaje'!$B$32:$B$45</c:f>
              <c:numCache>
                <c:formatCode>0.0</c:formatCode>
                <c:ptCount val="14"/>
                <c:pt idx="0">
                  <c:v>840.85999999999797</c:v>
                </c:pt>
                <c:pt idx="1">
                  <c:v>912.08</c:v>
                </c:pt>
                <c:pt idx="2">
                  <c:v>973.84999999999798</c:v>
                </c:pt>
                <c:pt idx="3">
                  <c:v>975.85999999999797</c:v>
                </c:pt>
                <c:pt idx="4">
                  <c:v>1032.78</c:v>
                </c:pt>
                <c:pt idx="5">
                  <c:v>1021.89</c:v>
                </c:pt>
                <c:pt idx="6">
                  <c:v>1031.83</c:v>
                </c:pt>
                <c:pt idx="7">
                  <c:v>1038.76</c:v>
                </c:pt>
                <c:pt idx="8">
                  <c:v>1070.8129999999999</c:v>
                </c:pt>
                <c:pt idx="9">
                  <c:v>1100.1019999999999</c:v>
                </c:pt>
                <c:pt idx="10">
                  <c:v>1121.6599999999999</c:v>
                </c:pt>
                <c:pt idx="11">
                  <c:v>1135.57</c:v>
                </c:pt>
                <c:pt idx="12">
                  <c:v>1198.05</c:v>
                </c:pt>
                <c:pt idx="13">
                  <c:v>1281.3399999999999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07-4FAB-BE72-F93FECD9C5AC}"/>
            </c:ext>
          </c:extLst>
        </c:ser>
        <c:gapWidth val="70"/>
        <c:axId val="103149568"/>
        <c:axId val="103147776"/>
      </c:barChart>
      <c:lineChart>
        <c:grouping val="standard"/>
        <c:ser>
          <c:idx val="1"/>
          <c:order val="1"/>
          <c:tx>
            <c:strRef>
              <c:f>'Státní rozpočet-výdaje'!$C$31</c:f>
              <c:strCache>
                <c:ptCount val="1"/>
                <c:pt idx="0">
                  <c:v>Platy státních zaměstnanců</c:v>
                </c:pt>
              </c:strCache>
            </c:strRef>
          </c:tx>
          <c:spPr>
            <a:ln w="19050">
              <a:solidFill>
                <a:srgbClr val="984807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rozpočet-výdaje'!$C$32:$C$45</c:f>
              <c:numCache>
                <c:formatCode>0.0</c:formatCode>
                <c:ptCount val="14"/>
                <c:pt idx="0">
                  <c:v>88.07</c:v>
                </c:pt>
                <c:pt idx="1">
                  <c:v>89.990000000000023</c:v>
                </c:pt>
                <c:pt idx="2">
                  <c:v>95.76</c:v>
                </c:pt>
                <c:pt idx="3">
                  <c:v>97.33</c:v>
                </c:pt>
                <c:pt idx="4">
                  <c:v>100.19</c:v>
                </c:pt>
                <c:pt idx="5">
                  <c:v>97.669999999999987</c:v>
                </c:pt>
                <c:pt idx="6">
                  <c:v>89.6</c:v>
                </c:pt>
                <c:pt idx="7">
                  <c:v>90.45</c:v>
                </c:pt>
                <c:pt idx="8">
                  <c:v>92.374999999999986</c:v>
                </c:pt>
                <c:pt idx="9">
                  <c:v>96.582999999999998</c:v>
                </c:pt>
                <c:pt idx="10">
                  <c:v>104.19</c:v>
                </c:pt>
                <c:pt idx="11">
                  <c:v>109.86</c:v>
                </c:pt>
                <c:pt idx="12">
                  <c:v>120.08</c:v>
                </c:pt>
                <c:pt idx="13">
                  <c:v>133.51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07-4FAB-BE72-F93FECD9C5AC}"/>
            </c:ext>
          </c:extLst>
        </c:ser>
        <c:ser>
          <c:idx val="6"/>
          <c:order val="2"/>
          <c:tx>
            <c:strRef>
              <c:f>'Státní rozpočet-výdaje'!$D$31</c:f>
              <c:strCache>
                <c:ptCount val="1"/>
                <c:pt idx="0">
                  <c:v>Podpora v nezaměstnanosti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rozpočet-výdaje'!$D$32:$D$45</c:f>
              <c:numCache>
                <c:formatCode>0.0</c:formatCode>
                <c:ptCount val="14"/>
                <c:pt idx="0">
                  <c:v>7.1099999999999985</c:v>
                </c:pt>
                <c:pt idx="1">
                  <c:v>7.3599999999999985</c:v>
                </c:pt>
                <c:pt idx="2">
                  <c:v>7.24</c:v>
                </c:pt>
                <c:pt idx="3">
                  <c:v>7.1099999999999985</c:v>
                </c:pt>
                <c:pt idx="4">
                  <c:v>15.078000000000001</c:v>
                </c:pt>
                <c:pt idx="5">
                  <c:v>13.355000000000064</c:v>
                </c:pt>
                <c:pt idx="6">
                  <c:v>10.349</c:v>
                </c:pt>
                <c:pt idx="7">
                  <c:v>8.76</c:v>
                </c:pt>
                <c:pt idx="8">
                  <c:v>9.65</c:v>
                </c:pt>
                <c:pt idx="9">
                  <c:v>9.2620000000000005</c:v>
                </c:pt>
                <c:pt idx="10">
                  <c:v>8.2760000000000016</c:v>
                </c:pt>
                <c:pt idx="11">
                  <c:v>8.2200000000000024</c:v>
                </c:pt>
                <c:pt idx="12">
                  <c:v>7.8199999999999985</c:v>
                </c:pt>
                <c:pt idx="13">
                  <c:v>7.51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07-4FAB-BE72-F93FECD9C5AC}"/>
            </c:ext>
          </c:extLst>
        </c:ser>
        <c:ser>
          <c:idx val="7"/>
          <c:order val="3"/>
          <c:tx>
            <c:strRef>
              <c:f>'Státní rozpočet-výdaje'!$E$31</c:f>
              <c:strCache>
                <c:ptCount val="1"/>
                <c:pt idx="0">
                  <c:v>Státní sociální podpora**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rozpočet-výdaje'!$E$32:$E$45</c:f>
              <c:numCache>
                <c:formatCode>General</c:formatCode>
                <c:ptCount val="14"/>
                <c:pt idx="0">
                  <c:v>33.14</c:v>
                </c:pt>
                <c:pt idx="1">
                  <c:v>34.35</c:v>
                </c:pt>
                <c:pt idx="2">
                  <c:v>49.47</c:v>
                </c:pt>
                <c:pt idx="3">
                  <c:v>41.97</c:v>
                </c:pt>
                <c:pt idx="4">
                  <c:v>41.168000000000013</c:v>
                </c:pt>
                <c:pt idx="5">
                  <c:v>40.880999999999993</c:v>
                </c:pt>
                <c:pt idx="6">
                  <c:v>36.094000000000001</c:v>
                </c:pt>
                <c:pt idx="7">
                  <c:v>35.554000000000002</c:v>
                </c:pt>
                <c:pt idx="8">
                  <c:v>37.423000000000002</c:v>
                </c:pt>
                <c:pt idx="9">
                  <c:v>37.544000000000004</c:v>
                </c:pt>
                <c:pt idx="10">
                  <c:v>37.65</c:v>
                </c:pt>
                <c:pt idx="11">
                  <c:v>37.78</c:v>
                </c:pt>
                <c:pt idx="12">
                  <c:v>37.220000000000013</c:v>
                </c:pt>
                <c:pt idx="13">
                  <c:v>39.260000000000012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C07-4FAB-BE72-F93FECD9C5AC}"/>
            </c:ext>
          </c:extLst>
        </c:ser>
        <c:ser>
          <c:idx val="2"/>
          <c:order val="4"/>
          <c:tx>
            <c:strRef>
              <c:f>'Státní rozpočet-výdaje'!$F$31</c:f>
              <c:strCache>
                <c:ptCount val="1"/>
                <c:pt idx="0">
                  <c:v>Dávky nemocenského pojištění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rozpočet-výdaje'!$F$32:$F$45</c:f>
              <c:numCache>
                <c:formatCode>0.00</c:formatCode>
                <c:ptCount val="14"/>
                <c:pt idx="0">
                  <c:v>31.66</c:v>
                </c:pt>
                <c:pt idx="1">
                  <c:v>32.773000000000003</c:v>
                </c:pt>
                <c:pt idx="2">
                  <c:v>34.671000000000006</c:v>
                </c:pt>
                <c:pt idx="3">
                  <c:v>31.881999999999987</c:v>
                </c:pt>
                <c:pt idx="4">
                  <c:v>26.233000000000001</c:v>
                </c:pt>
                <c:pt idx="5">
                  <c:v>22.995999999999892</c:v>
                </c:pt>
                <c:pt idx="6">
                  <c:v>21.734000000000005</c:v>
                </c:pt>
                <c:pt idx="7">
                  <c:v>19.602</c:v>
                </c:pt>
                <c:pt idx="8">
                  <c:v>20.350000000000001</c:v>
                </c:pt>
                <c:pt idx="9">
                  <c:v>22.282999999999877</c:v>
                </c:pt>
                <c:pt idx="10">
                  <c:v>24.310000000000031</c:v>
                </c:pt>
                <c:pt idx="11">
                  <c:v>26.5</c:v>
                </c:pt>
                <c:pt idx="12">
                  <c:v>28.57</c:v>
                </c:pt>
                <c:pt idx="13">
                  <c:v>34.220000000000013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C07-4FAB-BE72-F93FECD9C5AC}"/>
            </c:ext>
          </c:extLst>
        </c:ser>
        <c:ser>
          <c:idx val="3"/>
          <c:order val="5"/>
          <c:tx>
            <c:strRef>
              <c:f>'Státní rozpočet-výdaje'!$G$31</c:f>
              <c:strCache>
                <c:ptCount val="1"/>
                <c:pt idx="0">
                  <c:v>Dávky sociální péče***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rozpočet-výdaje'!$G$32:$G$45</c:f>
              <c:numCache>
                <c:formatCode>General</c:formatCode>
                <c:ptCount val="14"/>
                <c:pt idx="2" formatCode="0.00">
                  <c:v>20.811000000000035</c:v>
                </c:pt>
                <c:pt idx="3" formatCode="0.00">
                  <c:v>23.542000000000002</c:v>
                </c:pt>
                <c:pt idx="4" formatCode="0.00">
                  <c:v>24.256</c:v>
                </c:pt>
                <c:pt idx="5" formatCode="0.00">
                  <c:v>25.292000000000002</c:v>
                </c:pt>
                <c:pt idx="6" formatCode="0.00">
                  <c:v>24.966999999999892</c:v>
                </c:pt>
                <c:pt idx="7" formatCode="0.00">
                  <c:v>27.695499999999903</c:v>
                </c:pt>
                <c:pt idx="8" formatCode="0.00">
                  <c:v>31.978999999999989</c:v>
                </c:pt>
                <c:pt idx="9" formatCode="0.00">
                  <c:v>33.622000000000163</c:v>
                </c:pt>
                <c:pt idx="10" formatCode="0.00">
                  <c:v>33.621000000000002</c:v>
                </c:pt>
                <c:pt idx="11" formatCode="0.00">
                  <c:v>34.295000000000215</c:v>
                </c:pt>
                <c:pt idx="12" formatCode="0.00">
                  <c:v>34.439</c:v>
                </c:pt>
                <c:pt idx="13" formatCode="0.00">
                  <c:v>33.99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C07-4FAB-BE72-F93FECD9C5AC}"/>
            </c:ext>
          </c:extLst>
        </c:ser>
        <c:ser>
          <c:idx val="4"/>
          <c:order val="6"/>
          <c:tx>
            <c:strRef>
              <c:f>'Státní rozpočet-výdaje'!$H$31</c:f>
              <c:strCache>
                <c:ptCount val="1"/>
                <c:pt idx="0">
                  <c:v>Neinv. nákupy a souvis.výdaje*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rozpočet-výdaje'!$H$32:$H$45</c:f>
              <c:numCache>
                <c:formatCode>0.0</c:formatCode>
                <c:ptCount val="14"/>
                <c:pt idx="0">
                  <c:v>73.387999999999991</c:v>
                </c:pt>
                <c:pt idx="1">
                  <c:v>82.167000000000002</c:v>
                </c:pt>
                <c:pt idx="2">
                  <c:v>68.822999999999979</c:v>
                </c:pt>
                <c:pt idx="3">
                  <c:v>74.822999999999979</c:v>
                </c:pt>
                <c:pt idx="4">
                  <c:v>72.738</c:v>
                </c:pt>
                <c:pt idx="5">
                  <c:v>69.86</c:v>
                </c:pt>
                <c:pt idx="6">
                  <c:v>67.708000000000013</c:v>
                </c:pt>
                <c:pt idx="7">
                  <c:v>55.810999999999993</c:v>
                </c:pt>
                <c:pt idx="8">
                  <c:v>56.384999999999998</c:v>
                </c:pt>
                <c:pt idx="9">
                  <c:v>56.801000000000002</c:v>
                </c:pt>
                <c:pt idx="10">
                  <c:v>63.75</c:v>
                </c:pt>
                <c:pt idx="11">
                  <c:v>59.14</c:v>
                </c:pt>
                <c:pt idx="12">
                  <c:v>63.68</c:v>
                </c:pt>
                <c:pt idx="13">
                  <c:v>68.88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C07-4FAB-BE72-F93FECD9C5AC}"/>
            </c:ext>
          </c:extLst>
        </c:ser>
        <c:ser>
          <c:idx val="5"/>
          <c:order val="7"/>
          <c:tx>
            <c:strRef>
              <c:f>'Státní rozpočet-výdaje'!$I$31</c:f>
              <c:strCache>
                <c:ptCount val="1"/>
                <c:pt idx="0">
                  <c:v>Státní dluh (čisté výdaje)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rozpočet-výdaje'!$I$32:$I$45</c:f>
              <c:numCache>
                <c:formatCode>0.0</c:formatCode>
                <c:ptCount val="14"/>
                <c:pt idx="0">
                  <c:v>25.43</c:v>
                </c:pt>
                <c:pt idx="1">
                  <c:v>31.610000000000031</c:v>
                </c:pt>
                <c:pt idx="2">
                  <c:v>34.130000000000003</c:v>
                </c:pt>
                <c:pt idx="3">
                  <c:v>37.64</c:v>
                </c:pt>
                <c:pt idx="4">
                  <c:v>44.46</c:v>
                </c:pt>
                <c:pt idx="5">
                  <c:v>35.840000000000003</c:v>
                </c:pt>
                <c:pt idx="6">
                  <c:v>45.120000000000012</c:v>
                </c:pt>
                <c:pt idx="7">
                  <c:v>41.400000000000006</c:v>
                </c:pt>
                <c:pt idx="8">
                  <c:v>50.89</c:v>
                </c:pt>
                <c:pt idx="9">
                  <c:v>48.49</c:v>
                </c:pt>
                <c:pt idx="10">
                  <c:v>45.28</c:v>
                </c:pt>
                <c:pt idx="11">
                  <c:v>40.65</c:v>
                </c:pt>
                <c:pt idx="12">
                  <c:v>39.77000000000001</c:v>
                </c:pt>
                <c:pt idx="13">
                  <c:v>40.730000000000011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C07-4FAB-BE72-F93FECD9C5AC}"/>
            </c:ext>
          </c:extLst>
        </c:ser>
        <c:ser>
          <c:idx val="8"/>
          <c:order val="8"/>
          <c:tx>
            <c:strRef>
              <c:f>'Státní rozpočet-výdaje'!$J$31</c:f>
              <c:strCache>
                <c:ptCount val="1"/>
                <c:pt idx="0">
                  <c:v>Kapitálové výdaje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  <a:prstDash val="sysDash"/>
            </a:ln>
          </c:spPr>
          <c:marker>
            <c:symbol val="none"/>
          </c:marker>
          <c:cat>
            <c:numRef>
              <c:f>'Státní rozpočet-výdaje'!$A$32:$A$45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rozpočet-výdaje'!$J$32:$J$45</c:f>
              <c:numCache>
                <c:formatCode>0.0</c:formatCode>
                <c:ptCount val="14"/>
                <c:pt idx="0">
                  <c:v>81.990000000000023</c:v>
                </c:pt>
                <c:pt idx="1">
                  <c:v>108.54</c:v>
                </c:pt>
                <c:pt idx="2">
                  <c:v>118.42</c:v>
                </c:pt>
                <c:pt idx="3">
                  <c:v>108.08</c:v>
                </c:pt>
                <c:pt idx="4">
                  <c:v>134.22999999999999</c:v>
                </c:pt>
                <c:pt idx="5">
                  <c:v>134.91</c:v>
                </c:pt>
                <c:pt idx="6">
                  <c:v>123.69</c:v>
                </c:pt>
                <c:pt idx="7">
                  <c:v>113.61999999999999</c:v>
                </c:pt>
                <c:pt idx="8">
                  <c:v>102.315</c:v>
                </c:pt>
                <c:pt idx="9">
                  <c:v>111.50700000000002</c:v>
                </c:pt>
                <c:pt idx="10">
                  <c:v>175.66</c:v>
                </c:pt>
                <c:pt idx="11">
                  <c:v>84.27</c:v>
                </c:pt>
                <c:pt idx="12">
                  <c:v>81.75</c:v>
                </c:pt>
                <c:pt idx="13">
                  <c:v>119.64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07-4FAB-BE72-F93FECD9C5AC}"/>
            </c:ext>
          </c:extLst>
        </c:ser>
        <c:marker val="1"/>
        <c:axId val="101813248"/>
        <c:axId val="103146240"/>
      </c:lineChart>
      <c:catAx>
        <c:axId val="101813248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crossAx val="103146240"/>
        <c:crosses val="autoZero"/>
        <c:auto val="1"/>
        <c:lblAlgn val="ctr"/>
        <c:lblOffset val="20"/>
      </c:catAx>
      <c:valAx>
        <c:axId val="103146240"/>
        <c:scaling>
          <c:orientation val="minMax"/>
          <c:max val="180"/>
          <c:min val="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1813248"/>
        <c:crosses val="autoZero"/>
        <c:crossBetween val="between"/>
        <c:majorUnit val="10"/>
      </c:valAx>
      <c:valAx>
        <c:axId val="103147776"/>
        <c:scaling>
          <c:orientation val="minMax"/>
          <c:max val="1300"/>
          <c:min val="0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149568"/>
        <c:crosses val="max"/>
        <c:crossBetween val="between"/>
        <c:majorUnit val="100"/>
      </c:valAx>
      <c:catAx>
        <c:axId val="103149568"/>
        <c:scaling>
          <c:orientation val="minMax"/>
        </c:scaling>
        <c:delete val="1"/>
        <c:axPos val="b"/>
        <c:numFmt formatCode="General" sourceLinked="1"/>
        <c:tickLblPos val="none"/>
        <c:crossAx val="103147776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741128971108313E-2"/>
          <c:y val="0.82679736838094697"/>
          <c:w val="0.87022442515825205"/>
          <c:h val="0.16426429436431694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3306186868686933E-2"/>
          <c:y val="1.544165056508486E-2"/>
          <c:w val="0.89338762626262558"/>
          <c:h val="0.79972056504783351"/>
        </c:manualLayout>
      </c:layout>
      <c:barChart>
        <c:barDir val="col"/>
        <c:grouping val="clustered"/>
        <c:ser>
          <c:idx val="5"/>
          <c:order val="5"/>
          <c:tx>
            <c:strRef>
              <c:f>'Státní rozpočet-důchody'!$G$25</c:f>
              <c:strCache>
                <c:ptCount val="1"/>
                <c:pt idx="0">
                  <c:v>Saldo příjmů a výdajů na důchody (pr.osa)*</c:v>
                </c:pt>
              </c:strCache>
            </c:strRef>
          </c:tx>
          <c:spPr>
            <a:solidFill>
              <a:srgbClr val="A6A6A6"/>
            </a:solidFill>
          </c:spP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rozpočet-důchody'!$G$26:$G$39</c:f>
              <c:numCache>
                <c:formatCode>0.0</c:formatCode>
                <c:ptCount val="14"/>
                <c:pt idx="0">
                  <c:v>6.4899999999999904</c:v>
                </c:pt>
                <c:pt idx="1">
                  <c:v>-0.95099999999998863</c:v>
                </c:pt>
                <c:pt idx="2">
                  <c:v>9.8050000000000068</c:v>
                </c:pt>
                <c:pt idx="3">
                  <c:v>2.518000000000006</c:v>
                </c:pt>
                <c:pt idx="4">
                  <c:v>-36.887999999999998</c:v>
                </c:pt>
                <c:pt idx="5">
                  <c:v>-35.613000000000042</c:v>
                </c:pt>
                <c:pt idx="6">
                  <c:v>-45.369000000000014</c:v>
                </c:pt>
                <c:pt idx="7">
                  <c:v>-54.930999999999983</c:v>
                </c:pt>
                <c:pt idx="8">
                  <c:v>-55.093000000000011</c:v>
                </c:pt>
                <c:pt idx="9">
                  <c:v>-48.859999999999992</c:v>
                </c:pt>
                <c:pt idx="10">
                  <c:v>-38.910000000000004</c:v>
                </c:pt>
                <c:pt idx="11">
                  <c:v>-21.140000000000015</c:v>
                </c:pt>
                <c:pt idx="12">
                  <c:v>-3.6400000000000095</c:v>
                </c:pt>
                <c:pt idx="13">
                  <c:v>18.390000000000025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E4-4D81-BBC7-B907A69AEDC6}"/>
            </c:ext>
          </c:extLst>
        </c:ser>
        <c:gapWidth val="43"/>
        <c:axId val="103210368"/>
        <c:axId val="103208832"/>
      </c:barChart>
      <c:lineChart>
        <c:grouping val="standard"/>
        <c:ser>
          <c:idx val="1"/>
          <c:order val="0"/>
          <c:tx>
            <c:strRef>
              <c:f>'Státní rozpočet-důchody'!$C$25</c:f>
              <c:strCache>
                <c:ptCount val="1"/>
              </c:strCache>
            </c:strRef>
          </c:tx>
          <c:spPr>
            <a:ln w="19050">
              <a:noFill/>
            </a:ln>
          </c:spPr>
          <c:marker>
            <c:symbol val="none"/>
          </c:marke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rozpočet-důchody'!$C$26:$C$39</c:f>
              <c:numCache>
                <c:formatCode>General</c:formatCode>
                <c:ptCount val="1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E4-4D81-BBC7-B907A69AEDC6}"/>
            </c:ext>
          </c:extLst>
        </c:ser>
        <c:ser>
          <c:idx val="0"/>
          <c:order val="1"/>
          <c:tx>
            <c:strRef>
              <c:f>'Státní rozpočet-důchody'!$B$25</c:f>
              <c:strCache>
                <c:ptCount val="1"/>
                <c:pt idx="0">
                  <c:v>Počet příjemců důchodů celkem</c:v>
                </c:pt>
              </c:strCache>
            </c:strRef>
          </c:tx>
          <c:spPr>
            <a:ln w="19050">
              <a:solidFill>
                <a:srgbClr val="7DBB2D"/>
              </a:solidFill>
              <a:prstDash val="solid"/>
            </a:ln>
          </c:spPr>
          <c:marker>
            <c:symbol val="none"/>
          </c:marke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rozpočet-důchody'!$B$26:$B$39</c:f>
              <c:numCache>
                <c:formatCode>0.0</c:formatCode>
                <c:ptCount val="14"/>
                <c:pt idx="0">
                  <c:v>0.960298339312331</c:v>
                </c:pt>
                <c:pt idx="1">
                  <c:v>1.4039248798675552</c:v>
                </c:pt>
                <c:pt idx="2">
                  <c:v>1.1503279714607335</c:v>
                </c:pt>
                <c:pt idx="3">
                  <c:v>1.35219530676099</c:v>
                </c:pt>
                <c:pt idx="4">
                  <c:v>1.259010549142574</c:v>
                </c:pt>
                <c:pt idx="5">
                  <c:v>1.2590385497583301</c:v>
                </c:pt>
                <c:pt idx="6">
                  <c:v>1.2165575292782422</c:v>
                </c:pt>
                <c:pt idx="7">
                  <c:v>0.78065162316620762</c:v>
                </c:pt>
                <c:pt idx="8">
                  <c:v>-0.27525405331357433</c:v>
                </c:pt>
                <c:pt idx="9">
                  <c:v>0.14223293635680592</c:v>
                </c:pt>
                <c:pt idx="10">
                  <c:v>0.14458216601522644</c:v>
                </c:pt>
                <c:pt idx="11">
                  <c:v>0.69028436103723945</c:v>
                </c:pt>
                <c:pt idx="12">
                  <c:v>0.15432720538825606</c:v>
                </c:pt>
                <c:pt idx="13">
                  <c:v>0.14807670712562526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E4-4D81-BBC7-B907A69AEDC6}"/>
            </c:ext>
          </c:extLst>
        </c:ser>
        <c:ser>
          <c:idx val="2"/>
          <c:order val="2"/>
          <c:tx>
            <c:strRef>
              <c:f>'Státní rozpočet-důchody'!$D$25</c:f>
              <c:strCache>
                <c:ptCount val="1"/>
                <c:pt idx="0">
                  <c:v>z toho starobních trvale krácených**</c:v>
                </c:pt>
              </c:strCache>
            </c:strRef>
          </c:tx>
          <c:spPr>
            <a:ln w="22225">
              <a:noFill/>
            </a:ln>
          </c:spPr>
          <c:marker>
            <c:symbol val="diamond"/>
            <c:size val="6"/>
            <c:spPr>
              <a:solidFill>
                <a:srgbClr val="00B050"/>
              </a:solidFill>
              <a:ln>
                <a:noFill/>
              </a:ln>
            </c:spPr>
          </c:marke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rozpočet-důchody'!$D$26:$D$39</c:f>
              <c:numCache>
                <c:formatCode>0.0</c:formatCode>
                <c:ptCount val="14"/>
                <c:pt idx="0">
                  <c:v>3.2587830529622845</c:v>
                </c:pt>
                <c:pt idx="1">
                  <c:v>7.0063233158306719</c:v>
                </c:pt>
                <c:pt idx="2">
                  <c:v>8.7430790291555489</c:v>
                </c:pt>
                <c:pt idx="3">
                  <c:v>7.5226680082491839</c:v>
                </c:pt>
                <c:pt idx="4">
                  <c:v>8.5731981032741089</c:v>
                </c:pt>
                <c:pt idx="5">
                  <c:v>10.22467910738925</c:v>
                </c:pt>
                <c:pt idx="6">
                  <c:v>11.076782390799076</c:v>
                </c:pt>
                <c:pt idx="7">
                  <c:v>11.146255849395658</c:v>
                </c:pt>
                <c:pt idx="8">
                  <c:v>3.6156368485331432</c:v>
                </c:pt>
                <c:pt idx="9">
                  <c:v>3.9770404782658337</c:v>
                </c:pt>
                <c:pt idx="10">
                  <c:v>3.8494695748835208</c:v>
                </c:pt>
                <c:pt idx="11">
                  <c:v>3.2947795781053877</c:v>
                </c:pt>
                <c:pt idx="12">
                  <c:v>2.6102682936114827</c:v>
                </c:pt>
                <c:pt idx="13">
                  <c:v>2.0869865859291821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E4-4D81-BBC7-B907A69AEDC6}"/>
            </c:ext>
          </c:extLst>
        </c:ser>
        <c:ser>
          <c:idx val="3"/>
          <c:order val="3"/>
          <c:tx>
            <c:strRef>
              <c:f>'Státní rozpočet-důchody'!$E$25</c:f>
              <c:strCache>
                <c:ptCount val="1"/>
                <c:pt idx="0">
                  <c:v>Příjmy na důchody</c:v>
                </c:pt>
              </c:strCache>
            </c:strRef>
          </c:tx>
          <c:spPr>
            <a:ln w="22225">
              <a:solidFill>
                <a:srgbClr val="0071BC"/>
              </a:solidFill>
            </a:ln>
          </c:spPr>
          <c:marker>
            <c:symbol val="none"/>
          </c:marke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rozpočet-důchody'!$E$26:$E$39</c:f>
              <c:numCache>
                <c:formatCode>0.0</c:formatCode>
                <c:ptCount val="14"/>
                <c:pt idx="0">
                  <c:v>6.1875591004399055</c:v>
                </c:pt>
                <c:pt idx="1">
                  <c:v>7.1937432244076414</c:v>
                </c:pt>
                <c:pt idx="2">
                  <c:v>10.1134147222423</c:v>
                </c:pt>
                <c:pt idx="3">
                  <c:v>4.9498130289312883</c:v>
                </c:pt>
                <c:pt idx="4">
                  <c:v>-3.0442256602594142</c:v>
                </c:pt>
                <c:pt idx="5">
                  <c:v>2.4370587666419552</c:v>
                </c:pt>
                <c:pt idx="6">
                  <c:v>3.1815464014853632</c:v>
                </c:pt>
                <c:pt idx="7">
                  <c:v>1.2474075881420106</c:v>
                </c:pt>
                <c:pt idx="8">
                  <c:v>0.14760369912943391</c:v>
                </c:pt>
                <c:pt idx="9">
                  <c:v>2.8454550923419504</c:v>
                </c:pt>
                <c:pt idx="10">
                  <c:v>5.7089377632194465</c:v>
                </c:pt>
                <c:pt idx="11">
                  <c:v>6.0148295706064383</c:v>
                </c:pt>
                <c:pt idx="12">
                  <c:v>8.6721645179811517</c:v>
                </c:pt>
                <c:pt idx="13">
                  <c:v>10.075603024120976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E4-4D81-BBC7-B907A69AEDC6}"/>
            </c:ext>
          </c:extLst>
        </c:ser>
        <c:ser>
          <c:idx val="4"/>
          <c:order val="4"/>
          <c:tx>
            <c:strRef>
              <c:f>'Státní rozpočet-důchody'!$F$25</c:f>
              <c:strCache>
                <c:ptCount val="1"/>
                <c:pt idx="0">
                  <c:v>Výdaje na důchody</c:v>
                </c:pt>
              </c:strCache>
            </c:strRef>
          </c:tx>
          <c:spPr>
            <a:ln w="22225">
              <a:solidFill>
                <a:srgbClr val="BD1B25"/>
              </a:solidFill>
            </a:ln>
          </c:spPr>
          <c:marker>
            <c:symbol val="none"/>
          </c:marker>
          <c:cat>
            <c:numRef>
              <c:f>'Státní rozpočet-důchody'!$A$26:$A$39</c:f>
              <c:numCache>
                <c:formatCode>General</c:formatCod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</c:v>
                </c:pt>
              </c:numCache>
            </c:numRef>
          </c:cat>
          <c:val>
            <c:numRef>
              <c:f>'Státní rozpočet-důchody'!$F$26:$F$39</c:f>
              <c:numCache>
                <c:formatCode>0.0</c:formatCode>
                <c:ptCount val="14"/>
                <c:pt idx="0">
                  <c:v>7.1430118191228047</c:v>
                </c:pt>
                <c:pt idx="1">
                  <c:v>10.316100084886251</c:v>
                </c:pt>
                <c:pt idx="2">
                  <c:v>6.2086174613702099</c:v>
                </c:pt>
                <c:pt idx="3">
                  <c:v>7.8235669558917209</c:v>
                </c:pt>
                <c:pt idx="4">
                  <c:v>8.7210269668385667</c:v>
                </c:pt>
                <c:pt idx="5">
                  <c:v>1.8908849047052787</c:v>
                </c:pt>
                <c:pt idx="6">
                  <c:v>6.3128767550611826</c:v>
                </c:pt>
                <c:pt idx="7">
                  <c:v>3.7933104934129211</c:v>
                </c:pt>
                <c:pt idx="8">
                  <c:v>0.19422507597550967</c:v>
                </c:pt>
                <c:pt idx="9">
                  <c:v>0.80125818696718909</c:v>
                </c:pt>
                <c:pt idx="10">
                  <c:v>2.4310595065312128</c:v>
                </c:pt>
                <c:pt idx="11">
                  <c:v>0.9488386215272584</c:v>
                </c:pt>
                <c:pt idx="12">
                  <c:v>3.8649522520490081</c:v>
                </c:pt>
                <c:pt idx="13">
                  <c:v>4.6936460821931183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7E4-4D81-BBC7-B907A69AEDC6}"/>
            </c:ext>
          </c:extLst>
        </c:ser>
        <c:marker val="1"/>
        <c:axId val="103197312"/>
        <c:axId val="103207296"/>
      </c:lineChart>
      <c:catAx>
        <c:axId val="103197312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crossAx val="103207296"/>
        <c:crossesAt val="0"/>
        <c:auto val="1"/>
        <c:lblAlgn val="ctr"/>
        <c:lblOffset val="0"/>
      </c:catAx>
      <c:valAx>
        <c:axId val="103207296"/>
        <c:scaling>
          <c:orientation val="minMax"/>
          <c:max val="15"/>
          <c:min val="-18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197312"/>
        <c:crosses val="autoZero"/>
        <c:crossBetween val="between"/>
        <c:majorUnit val="3"/>
      </c:valAx>
      <c:valAx>
        <c:axId val="103208832"/>
        <c:scaling>
          <c:orientation val="minMax"/>
          <c:max val="50"/>
          <c:min val="-60"/>
        </c:scaling>
        <c:axPos val="r"/>
        <c:numFmt formatCode="0" sourceLinked="0"/>
        <c:tickLblPos val="nextTo"/>
        <c:crossAx val="103210368"/>
        <c:crosses val="max"/>
        <c:crossBetween val="between"/>
        <c:majorUnit val="10"/>
      </c:valAx>
      <c:catAx>
        <c:axId val="103210368"/>
        <c:scaling>
          <c:orientation val="minMax"/>
        </c:scaling>
        <c:delete val="1"/>
        <c:axPos val="b"/>
        <c:numFmt formatCode="General" sourceLinked="1"/>
        <c:tickLblPos val="none"/>
        <c:crossAx val="103208832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7528829966329967E-2"/>
          <c:y val="0.8723506235827666"/>
          <c:w val="0.96213320707070704"/>
          <c:h val="0.120796485260772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306186868686933E-2"/>
          <c:y val="1.544165056508486E-2"/>
          <c:w val="0.89338769905942716"/>
          <c:h val="0.8138071154386346"/>
        </c:manualLayout>
      </c:layout>
      <c:barChart>
        <c:barDir val="col"/>
        <c:grouping val="clustered"/>
        <c:ser>
          <c:idx val="0"/>
          <c:order val="1"/>
          <c:tx>
            <c:strRef>
              <c:f>'Graf-Vládní sektor'!$A$5</c:f>
              <c:strCache>
                <c:ptCount val="1"/>
                <c:pt idx="0">
                  <c:v>Saldo hospodaření (Německo)</c:v>
                </c:pt>
              </c:strCache>
            </c:strRef>
          </c:tx>
          <c:spPr>
            <a:solidFill>
              <a:srgbClr val="A6CDE8"/>
            </a:solidFill>
          </c:spP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sektor'!$L$5:$Y$5</c:f>
              <c:numCache>
                <c:formatCode>#,##0.0</c:formatCode>
                <c:ptCount val="14"/>
                <c:pt idx="0">
                  <c:v>-3.4</c:v>
                </c:pt>
                <c:pt idx="1">
                  <c:v>-1.7</c:v>
                </c:pt>
                <c:pt idx="2">
                  <c:v>0.2</c:v>
                </c:pt>
                <c:pt idx="3">
                  <c:v>-0.2</c:v>
                </c:pt>
                <c:pt idx="4">
                  <c:v>-3.2</c:v>
                </c:pt>
                <c:pt idx="5">
                  <c:v>-4.2</c:v>
                </c:pt>
                <c:pt idx="6">
                  <c:v>-1</c:v>
                </c:pt>
                <c:pt idx="7">
                  <c:v>0</c:v>
                </c:pt>
                <c:pt idx="8">
                  <c:v>-0.1</c:v>
                </c:pt>
                <c:pt idx="9">
                  <c:v>0.60000000000000064</c:v>
                </c:pt>
                <c:pt idx="10">
                  <c:v>0.8</c:v>
                </c:pt>
                <c:pt idx="11">
                  <c:v>0.9</c:v>
                </c:pt>
                <c:pt idx="12">
                  <c:v>1</c:v>
                </c:pt>
                <c:pt idx="13">
                  <c:v>2.0999999999999988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84-40E0-9548-F6220250FFA8}"/>
            </c:ext>
          </c:extLst>
        </c:ser>
        <c:ser>
          <c:idx val="2"/>
          <c:order val="2"/>
          <c:tx>
            <c:strRef>
              <c:f>'Graf-Vládní sektor'!$A$6</c:f>
              <c:strCache>
                <c:ptCount val="1"/>
                <c:pt idx="0">
                  <c:v>Saldo hospodaření (EU28)</c:v>
                </c:pt>
              </c:strCache>
            </c:strRef>
          </c:tx>
          <c:spPr>
            <a:solidFill>
              <a:srgbClr val="D2E7B6"/>
            </a:solidFill>
          </c:spP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sektor'!$L$6:$Y$6</c:f>
              <c:numCache>
                <c:formatCode>#,##0.0</c:formatCode>
                <c:ptCount val="14"/>
                <c:pt idx="0">
                  <c:v>-2.5</c:v>
                </c:pt>
                <c:pt idx="1">
                  <c:v>-1.6</c:v>
                </c:pt>
                <c:pt idx="2">
                  <c:v>-0.9</c:v>
                </c:pt>
                <c:pt idx="3">
                  <c:v>-2.5</c:v>
                </c:pt>
                <c:pt idx="4">
                  <c:v>-6.6</c:v>
                </c:pt>
                <c:pt idx="5">
                  <c:v>-6.4</c:v>
                </c:pt>
                <c:pt idx="6">
                  <c:v>-4.5999999999999996</c:v>
                </c:pt>
                <c:pt idx="7">
                  <c:v>-4.3</c:v>
                </c:pt>
                <c:pt idx="8">
                  <c:v>-3.3</c:v>
                </c:pt>
                <c:pt idx="9">
                  <c:v>-2.9</c:v>
                </c:pt>
                <c:pt idx="10">
                  <c:v>-2.2999999999999998</c:v>
                </c:pt>
                <c:pt idx="11">
                  <c:v>-1.7</c:v>
                </c:pt>
                <c:pt idx="12">
                  <c:v>-1</c:v>
                </c:pt>
                <c:pt idx="13">
                  <c:v>-0.53333333333333333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84-40E0-9548-F6220250FFA8}"/>
            </c:ext>
          </c:extLst>
        </c:ser>
        <c:axId val="103246464"/>
        <c:axId val="103260544"/>
      </c:barChart>
      <c:lineChart>
        <c:grouping val="standard"/>
        <c:ser>
          <c:idx val="1"/>
          <c:order val="0"/>
          <c:tx>
            <c:strRef>
              <c:f>'Graf-Vládní sektor'!$A$4</c:f>
              <c:strCache>
                <c:ptCount val="1"/>
                <c:pt idx="0">
                  <c:v>Saldo hospodaření (ČR)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7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rgbClr val="FF0000"/>
                </a:solidFill>
              </a:ln>
            </c:spPr>
          </c:marke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sektor'!$L$4:$Y$4</c:f>
              <c:numCache>
                <c:formatCode>#,##0.0</c:formatCode>
                <c:ptCount val="14"/>
                <c:pt idx="0">
                  <c:v>-3</c:v>
                </c:pt>
                <c:pt idx="1">
                  <c:v>-2.2000000000000002</c:v>
                </c:pt>
                <c:pt idx="2">
                  <c:v>-0.70000000000000062</c:v>
                </c:pt>
                <c:pt idx="3">
                  <c:v>-2</c:v>
                </c:pt>
                <c:pt idx="4">
                  <c:v>-5.5</c:v>
                </c:pt>
                <c:pt idx="5">
                  <c:v>-4.2</c:v>
                </c:pt>
                <c:pt idx="6">
                  <c:v>-2.7</c:v>
                </c:pt>
                <c:pt idx="7">
                  <c:v>-3.9</c:v>
                </c:pt>
                <c:pt idx="8">
                  <c:v>-1.2</c:v>
                </c:pt>
                <c:pt idx="9">
                  <c:v>-2.1</c:v>
                </c:pt>
                <c:pt idx="10" formatCode="#,##0.00">
                  <c:v>-0.61000000000000065</c:v>
                </c:pt>
                <c:pt idx="11" formatCode="#,##0.00">
                  <c:v>0.72000000000000064</c:v>
                </c:pt>
                <c:pt idx="12" formatCode="#,##0.00">
                  <c:v>1.57</c:v>
                </c:pt>
                <c:pt idx="13" formatCode="#,##0.00">
                  <c:v>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84-40E0-9548-F6220250FFA8}"/>
            </c:ext>
          </c:extLst>
        </c:ser>
        <c:marker val="1"/>
        <c:axId val="103246464"/>
        <c:axId val="103260544"/>
      </c:lineChart>
      <c:lineChart>
        <c:grouping val="standard"/>
        <c:ser>
          <c:idx val="3"/>
          <c:order val="3"/>
          <c:tx>
            <c:strRef>
              <c:f>'Graf-Vládní sektor'!$A$7</c:f>
              <c:strCache>
                <c:ptCount val="1"/>
                <c:pt idx="0">
                  <c:v>Míra zadlužení (ČR), pravá osa</c:v>
                </c:pt>
              </c:strCache>
            </c:strRef>
          </c:tx>
          <c:spPr>
            <a:ln w="19050">
              <a:solidFill>
                <a:srgbClr val="BD1B25"/>
              </a:solidFill>
            </a:ln>
          </c:spPr>
          <c:marker>
            <c:symbol val="none"/>
          </c:marke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sektor'!$L$7:$Y$7</c:f>
              <c:numCache>
                <c:formatCode>#,##0.0</c:formatCode>
                <c:ptCount val="14"/>
                <c:pt idx="0">
                  <c:v>27.9</c:v>
                </c:pt>
                <c:pt idx="1">
                  <c:v>27.7</c:v>
                </c:pt>
                <c:pt idx="2">
                  <c:v>27.5</c:v>
                </c:pt>
                <c:pt idx="3">
                  <c:v>28.3</c:v>
                </c:pt>
                <c:pt idx="4">
                  <c:v>33.6</c:v>
                </c:pt>
                <c:pt idx="5">
                  <c:v>37.4</c:v>
                </c:pt>
                <c:pt idx="6">
                  <c:v>39.800000000000004</c:v>
                </c:pt>
                <c:pt idx="7">
                  <c:v>44.5</c:v>
                </c:pt>
                <c:pt idx="8">
                  <c:v>44.9</c:v>
                </c:pt>
                <c:pt idx="9">
                  <c:v>42.2</c:v>
                </c:pt>
                <c:pt idx="10" formatCode="#,##0.00">
                  <c:v>39.96</c:v>
                </c:pt>
                <c:pt idx="11" formatCode="#,##0.00">
                  <c:v>36.81</c:v>
                </c:pt>
                <c:pt idx="12" formatCode="#,##0.00">
                  <c:v>34.660000000000011</c:v>
                </c:pt>
                <c:pt idx="13" formatCode="#,##0.00">
                  <c:v>32.71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84-40E0-9548-F6220250FFA8}"/>
            </c:ext>
          </c:extLst>
        </c:ser>
        <c:ser>
          <c:idx val="4"/>
          <c:order val="4"/>
          <c:tx>
            <c:strRef>
              <c:f>'Graf-Vládní sektor'!$A$8</c:f>
              <c:strCache>
                <c:ptCount val="1"/>
                <c:pt idx="0">
                  <c:v>Míra zadlužení (Německo), pravá osa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sektor'!$L$8:$Y$8</c:f>
              <c:numCache>
                <c:formatCode>#,##0.0</c:formatCode>
                <c:ptCount val="14"/>
                <c:pt idx="0">
                  <c:v>67</c:v>
                </c:pt>
                <c:pt idx="1">
                  <c:v>66.5</c:v>
                </c:pt>
                <c:pt idx="2">
                  <c:v>63.7</c:v>
                </c:pt>
                <c:pt idx="3">
                  <c:v>65.2</c:v>
                </c:pt>
                <c:pt idx="4">
                  <c:v>72.599999999999994</c:v>
                </c:pt>
                <c:pt idx="5">
                  <c:v>81</c:v>
                </c:pt>
                <c:pt idx="6">
                  <c:v>78.599999999999994</c:v>
                </c:pt>
                <c:pt idx="7">
                  <c:v>79.900000000000006</c:v>
                </c:pt>
                <c:pt idx="8">
                  <c:v>77.400000000000006</c:v>
                </c:pt>
                <c:pt idx="9">
                  <c:v>74.5</c:v>
                </c:pt>
                <c:pt idx="10">
                  <c:v>70.8</c:v>
                </c:pt>
                <c:pt idx="11">
                  <c:v>67.900000000000006</c:v>
                </c:pt>
                <c:pt idx="12">
                  <c:v>63.9</c:v>
                </c:pt>
                <c:pt idx="13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84-40E0-9548-F6220250FFA8}"/>
            </c:ext>
          </c:extLst>
        </c:ser>
        <c:ser>
          <c:idx val="5"/>
          <c:order val="5"/>
          <c:tx>
            <c:strRef>
              <c:f>'Graf-Vládní sektor'!$A$9</c:f>
              <c:strCache>
                <c:ptCount val="1"/>
                <c:pt idx="0">
                  <c:v>Míra zadlužení (EU28), pravá osa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strRef>
              <c:f>'Graf-Vládní sektor'!$L$3:$Y$3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  <c:pt idx="13">
                  <c:v>2018*</c:v>
                </c:pt>
              </c:strCache>
            </c:strRef>
          </c:cat>
          <c:val>
            <c:numRef>
              <c:f>'Graf-Vládní sektor'!$L$9:$Y$9</c:f>
              <c:numCache>
                <c:formatCode>#,##0.0</c:formatCode>
                <c:ptCount val="14"/>
                <c:pt idx="0">
                  <c:v>61.5</c:v>
                </c:pt>
                <c:pt idx="1">
                  <c:v>60.1</c:v>
                </c:pt>
                <c:pt idx="2">
                  <c:v>57.5</c:v>
                </c:pt>
                <c:pt idx="3">
                  <c:v>60.7</c:v>
                </c:pt>
                <c:pt idx="4">
                  <c:v>73.3</c:v>
                </c:pt>
                <c:pt idx="5">
                  <c:v>78.8</c:v>
                </c:pt>
                <c:pt idx="6">
                  <c:v>81.400000000000006</c:v>
                </c:pt>
                <c:pt idx="7">
                  <c:v>83.8</c:v>
                </c:pt>
                <c:pt idx="8">
                  <c:v>85.7</c:v>
                </c:pt>
                <c:pt idx="9">
                  <c:v>86.4</c:v>
                </c:pt>
                <c:pt idx="10">
                  <c:v>84.4</c:v>
                </c:pt>
                <c:pt idx="11">
                  <c:v>83.3</c:v>
                </c:pt>
                <c:pt idx="12">
                  <c:v>81.599999999999994</c:v>
                </c:pt>
                <c:pt idx="13">
                  <c:v>80.8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484-40E0-9548-F6220250FFA8}"/>
            </c:ext>
          </c:extLst>
        </c:ser>
        <c:marker val="1"/>
        <c:axId val="103263616"/>
        <c:axId val="103262080"/>
      </c:lineChart>
      <c:catAx>
        <c:axId val="103246464"/>
        <c:scaling>
          <c:orientation val="minMax"/>
        </c:scaling>
        <c:axPos val="b"/>
        <c:numFmt formatCode="General" sourceLinked="1"/>
        <c:tickLblPos val="low"/>
        <c:spPr>
          <a:ln>
            <a:solidFill>
              <a:schemeClr val="bg1">
                <a:lumMod val="50000"/>
              </a:schemeClr>
            </a:solidFill>
          </a:ln>
        </c:spPr>
        <c:crossAx val="103260544"/>
        <c:crossesAt val="0"/>
        <c:auto val="1"/>
        <c:lblAlgn val="ctr"/>
        <c:lblOffset val="0"/>
      </c:catAx>
      <c:valAx>
        <c:axId val="103260544"/>
        <c:scaling>
          <c:orientation val="minMax"/>
          <c:max val="3"/>
          <c:min val="-7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03246464"/>
        <c:crosses val="autoZero"/>
        <c:crossBetween val="between"/>
        <c:majorUnit val="1"/>
      </c:valAx>
      <c:valAx>
        <c:axId val="103262080"/>
        <c:scaling>
          <c:orientation val="minMax"/>
          <c:max val="100"/>
          <c:min val="0"/>
        </c:scaling>
        <c:axPos val="r"/>
        <c:numFmt formatCode="#,##0" sourceLinked="0"/>
        <c:tickLblPos val="nextTo"/>
        <c:crossAx val="103263616"/>
        <c:crosses val="max"/>
        <c:crossBetween val="between"/>
      </c:valAx>
      <c:catAx>
        <c:axId val="103263616"/>
        <c:scaling>
          <c:orientation val="minMax"/>
        </c:scaling>
        <c:delete val="1"/>
        <c:axPos val="b"/>
        <c:numFmt formatCode="General" sourceLinked="1"/>
        <c:tickLblPos val="none"/>
        <c:crossAx val="103262080"/>
        <c:crosses val="autoZero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6926978114478116E-2"/>
          <c:y val="0.8759503968254001"/>
          <c:w val="0.8902908249158249"/>
          <c:h val="0.11685005668934184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FB371-0F68-4249-81A3-781C0CFD7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79E55-195E-4933-8ED8-2F0C0191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2</TotalTime>
  <Pages>1</Pages>
  <Words>2362</Words>
  <Characters>13941</Characters>
  <Application>Microsoft Office Word</Application>
  <DocSecurity>0</DocSecurity>
  <Lines>116</Lines>
  <Paragraphs>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16271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4</cp:revision>
  <cp:lastPrinted>2019-04-08T10:52:00Z</cp:lastPrinted>
  <dcterms:created xsi:type="dcterms:W3CDTF">2019-04-12T08:50:00Z</dcterms:created>
  <dcterms:modified xsi:type="dcterms:W3CDTF">2019-04-12T09:15:00Z</dcterms:modified>
</cp:coreProperties>
</file>