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737B" w14:textId="70D684C7" w:rsidR="00C15537" w:rsidRPr="00D160FB" w:rsidRDefault="00C15537" w:rsidP="00C15537">
      <w:pPr>
        <w:pStyle w:val="Nadpis11"/>
        <w:rPr>
          <w:lang w:val="en-GB"/>
        </w:rPr>
      </w:pPr>
      <w:bookmarkStart w:id="0" w:name="_Toc132874252"/>
      <w:r w:rsidRPr="00D160FB">
        <w:rPr>
          <w:szCs w:val="32"/>
          <w:lang w:val="en-GB"/>
        </w:rPr>
        <w:t>8</w:t>
      </w:r>
      <w:r w:rsidRPr="00D160FB">
        <w:rPr>
          <w:lang w:val="en-GB"/>
        </w:rPr>
        <w:t>. St</w:t>
      </w:r>
      <w:r w:rsidR="006B4B60" w:rsidRPr="00D160FB">
        <w:rPr>
          <w:lang w:val="en-GB"/>
        </w:rPr>
        <w:t>ate Budget</w:t>
      </w:r>
      <w:bookmarkEnd w:id="0"/>
    </w:p>
    <w:tbl>
      <w:tblPr>
        <w:tblW w:w="9669" w:type="dxa"/>
        <w:tblInd w:w="-20" w:type="dxa"/>
        <w:tblCellMar>
          <w:left w:w="0" w:type="dxa"/>
          <w:right w:w="0" w:type="dxa"/>
        </w:tblCellMar>
        <w:tblLook w:val="00A0" w:firstRow="1" w:lastRow="0" w:firstColumn="1" w:lastColumn="0" w:noHBand="0" w:noVBand="0"/>
      </w:tblPr>
      <w:tblGrid>
        <w:gridCol w:w="1773"/>
        <w:gridCol w:w="217"/>
        <w:gridCol w:w="7679"/>
      </w:tblGrid>
      <w:tr w:rsidR="001C3855" w:rsidRPr="00D160FB" w14:paraId="7190197A" w14:textId="77777777" w:rsidTr="00C8019E">
        <w:trPr>
          <w:trHeight w:val="145"/>
        </w:trPr>
        <w:tc>
          <w:tcPr>
            <w:tcW w:w="1773" w:type="dxa"/>
            <w:shd w:val="clear" w:color="auto" w:fill="auto"/>
            <w:tcMar>
              <w:left w:w="0" w:type="dxa"/>
            </w:tcMar>
          </w:tcPr>
          <w:p w14:paraId="2F7AFF97" w14:textId="3B56C4DB" w:rsidR="001C3855" w:rsidRPr="00D160FB" w:rsidRDefault="001C3855" w:rsidP="008F115A">
            <w:pPr>
              <w:pStyle w:val="Marginlie"/>
              <w:rPr>
                <w:spacing w:val="-5"/>
                <w:lang w:val="en-GB"/>
              </w:rPr>
            </w:pPr>
            <w:r w:rsidRPr="00D160FB">
              <w:rPr>
                <w:spacing w:val="-5"/>
                <w:lang w:val="en-GB"/>
              </w:rPr>
              <w:t>St</w:t>
            </w:r>
            <w:r w:rsidR="00F70DE0" w:rsidRPr="00D160FB">
              <w:rPr>
                <w:spacing w:val="-5"/>
                <w:lang w:val="en-GB"/>
              </w:rPr>
              <w:t xml:space="preserve">ate budget </w:t>
            </w:r>
            <w:r w:rsidR="008F115A" w:rsidRPr="00D160FB">
              <w:rPr>
                <w:spacing w:val="-5"/>
                <w:lang w:val="en-GB"/>
              </w:rPr>
              <w:t xml:space="preserve">managed a deep deficit last year for a third year in a row. </w:t>
            </w:r>
          </w:p>
          <w:p w14:paraId="0ACAD2D0" w14:textId="77777777" w:rsidR="008F115A" w:rsidRPr="00D160FB" w:rsidRDefault="008F115A" w:rsidP="008F115A">
            <w:pPr>
              <w:pStyle w:val="Marginlie"/>
              <w:rPr>
                <w:spacing w:val="-5"/>
                <w:lang w:val="en-GB"/>
              </w:rPr>
            </w:pPr>
          </w:p>
          <w:p w14:paraId="1CAC0532" w14:textId="77777777" w:rsidR="001C3855" w:rsidRPr="00D160FB" w:rsidRDefault="001C3855" w:rsidP="00C8019E">
            <w:pPr>
              <w:pStyle w:val="Marginlie"/>
              <w:rPr>
                <w:spacing w:val="-5"/>
                <w:lang w:val="en-GB"/>
              </w:rPr>
            </w:pPr>
          </w:p>
          <w:p w14:paraId="0E5011A1" w14:textId="77777777" w:rsidR="001C3855" w:rsidRPr="00D160FB" w:rsidRDefault="001C3855" w:rsidP="00C8019E">
            <w:pPr>
              <w:pStyle w:val="Marginlie"/>
              <w:rPr>
                <w:spacing w:val="-5"/>
                <w:lang w:val="en-GB"/>
              </w:rPr>
            </w:pPr>
          </w:p>
          <w:p w14:paraId="30C10563" w14:textId="77777777" w:rsidR="001C3855" w:rsidRPr="00D160FB" w:rsidRDefault="001C3855" w:rsidP="00C8019E">
            <w:pPr>
              <w:pStyle w:val="Marginlie"/>
              <w:rPr>
                <w:spacing w:val="-5"/>
                <w:lang w:val="en-GB"/>
              </w:rPr>
            </w:pPr>
          </w:p>
          <w:p w14:paraId="77F86DC5" w14:textId="77777777" w:rsidR="001C3855" w:rsidRPr="00D160FB" w:rsidRDefault="001C3855" w:rsidP="00C8019E">
            <w:pPr>
              <w:pStyle w:val="Marginlie"/>
              <w:rPr>
                <w:spacing w:val="-5"/>
                <w:lang w:val="en-GB"/>
              </w:rPr>
            </w:pPr>
          </w:p>
          <w:p w14:paraId="1098115C" w14:textId="77777777" w:rsidR="001C3855" w:rsidRPr="00D160FB" w:rsidRDefault="001C3855" w:rsidP="00C8019E">
            <w:pPr>
              <w:pStyle w:val="Marginlie"/>
              <w:rPr>
                <w:spacing w:val="-5"/>
                <w:lang w:val="en-GB"/>
              </w:rPr>
            </w:pPr>
          </w:p>
          <w:p w14:paraId="34DEB463" w14:textId="5B311827" w:rsidR="001C3855" w:rsidRPr="00D160FB" w:rsidRDefault="00493CF5" w:rsidP="00C8019E">
            <w:pPr>
              <w:pStyle w:val="Marginlie"/>
              <w:rPr>
                <w:spacing w:val="-5"/>
                <w:lang w:val="en-GB"/>
              </w:rPr>
            </w:pPr>
            <w:r w:rsidRPr="00D160FB">
              <w:rPr>
                <w:spacing w:val="-5"/>
                <w:lang w:val="en-GB"/>
              </w:rPr>
              <w:t xml:space="preserve">Impacts of the war in Ukraine influenced the total revenues as well as outlays. They stayed identically by 3.7% behind the budget anticipations. </w:t>
            </w:r>
          </w:p>
        </w:tc>
        <w:tc>
          <w:tcPr>
            <w:tcW w:w="217" w:type="dxa"/>
            <w:shd w:val="clear" w:color="auto" w:fill="auto"/>
            <w:tcMar>
              <w:left w:w="0" w:type="dxa"/>
            </w:tcMar>
          </w:tcPr>
          <w:p w14:paraId="5EBB1C1F"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4B32A927" w14:textId="3B0B3779" w:rsidR="001C3855" w:rsidRPr="00D160FB" w:rsidRDefault="008F115A" w:rsidP="00C8019E">
            <w:pPr>
              <w:spacing w:after="220"/>
              <w:rPr>
                <w:spacing w:val="-4"/>
                <w:lang w:val="en-GB"/>
              </w:rPr>
            </w:pPr>
            <w:r w:rsidRPr="00D160FB">
              <w:rPr>
                <w:spacing w:val="-4"/>
                <w:lang w:val="en-GB"/>
              </w:rPr>
              <w:t>The state budget (SB)</w:t>
            </w:r>
            <w:r w:rsidRPr="00D160FB">
              <w:rPr>
                <w:rStyle w:val="Znakapoznpodarou"/>
                <w:spacing w:val="-4"/>
                <w:lang w:val="en-GB"/>
              </w:rPr>
              <w:footnoteReference w:id="1"/>
            </w:r>
            <w:r w:rsidRPr="00D160FB">
              <w:rPr>
                <w:spacing w:val="-4"/>
                <w:lang w:val="en-GB"/>
              </w:rPr>
              <w:t xml:space="preserve"> ended in deficit in the amount of </w:t>
            </w:r>
            <w:r w:rsidR="001C3855" w:rsidRPr="00D160FB">
              <w:rPr>
                <w:spacing w:val="-4"/>
                <w:lang w:val="en-GB"/>
              </w:rPr>
              <w:t>360</w:t>
            </w:r>
            <w:r w:rsidRPr="00D160FB">
              <w:rPr>
                <w:spacing w:val="-4"/>
                <w:lang w:val="en-GB"/>
              </w:rPr>
              <w:t>.</w:t>
            </w:r>
            <w:r w:rsidR="001C3855" w:rsidRPr="00D160FB">
              <w:rPr>
                <w:spacing w:val="-4"/>
                <w:lang w:val="en-GB"/>
              </w:rPr>
              <w:t>4</w:t>
            </w:r>
            <w:r w:rsidRPr="00D160FB">
              <w:rPr>
                <w:spacing w:val="-4"/>
                <w:lang w:val="en-GB"/>
              </w:rPr>
              <w:t xml:space="preserve"> CZK bn for the entire year 2022</w:t>
            </w:r>
            <w:r w:rsidR="001C3855" w:rsidRPr="00D160FB">
              <w:rPr>
                <w:spacing w:val="-4"/>
                <w:lang w:val="en-GB"/>
              </w:rPr>
              <w:t>,</w:t>
            </w:r>
            <w:r w:rsidRPr="00D160FB">
              <w:rPr>
                <w:spacing w:val="-4"/>
                <w:lang w:val="en-GB"/>
              </w:rPr>
              <w:t xml:space="preserve"> which did not significantly digress from the budget anticipations</w:t>
            </w:r>
            <w:r w:rsidR="001C3855" w:rsidRPr="00D160FB">
              <w:rPr>
                <w:rStyle w:val="Znakapoznpodarou"/>
                <w:spacing w:val="-4"/>
                <w:lang w:val="en-GB"/>
              </w:rPr>
              <w:footnoteReference w:id="2"/>
            </w:r>
            <w:r w:rsidR="001C3855" w:rsidRPr="00D160FB">
              <w:rPr>
                <w:spacing w:val="-4"/>
                <w:lang w:val="en-GB"/>
              </w:rPr>
              <w:t xml:space="preserve">. </w:t>
            </w:r>
            <w:r w:rsidR="00493CF5" w:rsidRPr="00D160FB">
              <w:rPr>
                <w:spacing w:val="-4"/>
                <w:lang w:val="en-GB"/>
              </w:rPr>
              <w:t>Deep deficit was recorded already third year in a row, last year’s result was however relatively the most favourable in this regard</w:t>
            </w:r>
            <w:r w:rsidR="001C3855" w:rsidRPr="00D160FB">
              <w:rPr>
                <w:rStyle w:val="Znakapoznpodarou"/>
                <w:spacing w:val="-4"/>
                <w:lang w:val="en-GB"/>
              </w:rPr>
              <w:footnoteReference w:id="3"/>
            </w:r>
            <w:r w:rsidR="001C3855" w:rsidRPr="00D160FB">
              <w:rPr>
                <w:spacing w:val="-4"/>
                <w:lang w:val="en-GB"/>
              </w:rPr>
              <w:t xml:space="preserve">. </w:t>
            </w:r>
            <w:r w:rsidR="006E5F68" w:rsidRPr="00D160FB">
              <w:rPr>
                <w:spacing w:val="-4"/>
                <w:lang w:val="en-GB"/>
              </w:rPr>
              <w:t>More favourable SB management in Q</w:t>
            </w:r>
            <w:r w:rsidR="001C3855" w:rsidRPr="00D160FB">
              <w:rPr>
                <w:spacing w:val="-4"/>
                <w:lang w:val="en-GB"/>
              </w:rPr>
              <w:t xml:space="preserve">1, </w:t>
            </w:r>
            <w:r w:rsidR="006E5F68" w:rsidRPr="00D160FB">
              <w:rPr>
                <w:spacing w:val="-4"/>
                <w:lang w:val="en-GB"/>
              </w:rPr>
              <w:t xml:space="preserve">when the deficit did not exceed </w:t>
            </w:r>
            <w:r w:rsidR="001C3855" w:rsidRPr="00D160FB">
              <w:rPr>
                <w:spacing w:val="-4"/>
                <w:lang w:val="en-GB"/>
              </w:rPr>
              <w:t>60</w:t>
            </w:r>
            <w:r w:rsidR="006E5F68" w:rsidRPr="00D160FB">
              <w:rPr>
                <w:spacing w:val="-4"/>
                <w:lang w:val="en-GB"/>
              </w:rPr>
              <w:t xml:space="preserve"> CZK bn mostly stood behind the year-on-year decrease of the total deficit last year</w:t>
            </w:r>
            <w:r w:rsidR="001C3855" w:rsidRPr="00D160FB">
              <w:rPr>
                <w:spacing w:val="-4"/>
                <w:lang w:val="en-GB"/>
              </w:rPr>
              <w:t xml:space="preserve">. </w:t>
            </w:r>
            <w:r w:rsidR="006E5F68" w:rsidRPr="00D160FB">
              <w:rPr>
                <w:spacing w:val="-4"/>
                <w:lang w:val="en-GB"/>
              </w:rPr>
              <w:t xml:space="preserve">The economic activity had not been restricted due to the counter pandemic measures anymore unlike the beginning of year </w:t>
            </w:r>
            <w:r w:rsidR="001C3855" w:rsidRPr="00D160FB">
              <w:rPr>
                <w:spacing w:val="-4"/>
                <w:lang w:val="en-GB"/>
              </w:rPr>
              <w:t>2021</w:t>
            </w:r>
            <w:r w:rsidR="006E5F68" w:rsidRPr="00D160FB">
              <w:rPr>
                <w:spacing w:val="-4"/>
                <w:lang w:val="en-GB"/>
              </w:rPr>
              <w:t xml:space="preserve"> and </w:t>
            </w:r>
            <w:r w:rsidR="002B772D" w:rsidRPr="00D160FB">
              <w:rPr>
                <w:spacing w:val="-4"/>
                <w:lang w:val="en-GB"/>
              </w:rPr>
              <w:t xml:space="preserve">the need to aid affected businesses as well as household also considerably receded. </w:t>
            </w:r>
            <w:r w:rsidR="006E5F68" w:rsidRPr="00D160FB">
              <w:rPr>
                <w:spacing w:val="-4"/>
                <w:lang w:val="en-GB"/>
              </w:rPr>
              <w:t xml:space="preserve">In the subsequent part of year </w:t>
            </w:r>
            <w:r w:rsidR="001C3855" w:rsidRPr="00D160FB">
              <w:rPr>
                <w:spacing w:val="-4"/>
                <w:lang w:val="en-GB"/>
              </w:rPr>
              <w:t>2022</w:t>
            </w:r>
            <w:r w:rsidR="006E5F68" w:rsidRPr="00D160FB">
              <w:rPr>
                <w:spacing w:val="-4"/>
                <w:lang w:val="en-GB"/>
              </w:rPr>
              <w:t xml:space="preserve">, vigorous acceleration of growth of prices of both energies and fuels manifested due to the war in Ukraine. The rise of prices gradually permeated the whole domestic economy and directed it to the downward phase of the business cycle. </w:t>
            </w:r>
            <w:r w:rsidR="001C3855" w:rsidRPr="00D160FB">
              <w:rPr>
                <w:spacing w:val="-4"/>
                <w:lang w:val="en-GB"/>
              </w:rPr>
              <w:t>T</w:t>
            </w:r>
            <w:r w:rsidR="001F007D" w:rsidRPr="00D160FB">
              <w:rPr>
                <w:spacing w:val="-4"/>
                <w:lang w:val="en-GB"/>
              </w:rPr>
              <w:t xml:space="preserve">hese influences negatively manifested more on the expenditure side of the budget at first </w:t>
            </w:r>
            <w:r w:rsidR="001C3855" w:rsidRPr="00D160FB">
              <w:rPr>
                <w:spacing w:val="-4"/>
                <w:lang w:val="en-GB"/>
              </w:rPr>
              <w:t xml:space="preserve">– </w:t>
            </w:r>
            <w:r w:rsidR="001F007D" w:rsidRPr="00D160FB">
              <w:rPr>
                <w:spacing w:val="-4"/>
                <w:lang w:val="en-GB"/>
              </w:rPr>
              <w:t xml:space="preserve">by higher social transfers </w:t>
            </w:r>
            <w:r w:rsidR="001C3855" w:rsidRPr="00D160FB">
              <w:rPr>
                <w:spacing w:val="-4"/>
                <w:lang w:val="en-GB"/>
              </w:rPr>
              <w:t>(</w:t>
            </w:r>
            <w:r w:rsidR="001F007D" w:rsidRPr="00D160FB">
              <w:rPr>
                <w:spacing w:val="-4"/>
                <w:lang w:val="en-GB"/>
              </w:rPr>
              <w:t>including those related to the refugee wave from Ukraine</w:t>
            </w:r>
            <w:r w:rsidR="001C3855" w:rsidRPr="00D160FB">
              <w:rPr>
                <w:spacing w:val="-4"/>
                <w:lang w:val="en-GB"/>
              </w:rPr>
              <w:t xml:space="preserve">), </w:t>
            </w:r>
            <w:r w:rsidR="009F23F8" w:rsidRPr="00D160FB">
              <w:rPr>
                <w:spacing w:val="-4"/>
                <w:lang w:val="en-GB"/>
              </w:rPr>
              <w:t xml:space="preserve">payments of part of costs on energies to households, more expensive common operations of the state as well as increased cost of planned investment. </w:t>
            </w:r>
            <w:r w:rsidR="002108C8" w:rsidRPr="00D160FB">
              <w:rPr>
                <w:spacing w:val="-4"/>
                <w:lang w:val="en-GB"/>
              </w:rPr>
              <w:t xml:space="preserve">Their negative impact on the budget revenues however also started to be felt towards the end of the year </w:t>
            </w:r>
            <w:r w:rsidR="001C3855" w:rsidRPr="00D160FB">
              <w:rPr>
                <w:spacing w:val="-4"/>
                <w:lang w:val="en-GB"/>
              </w:rPr>
              <w:t xml:space="preserve">– </w:t>
            </w:r>
            <w:r w:rsidR="002108C8" w:rsidRPr="00D160FB">
              <w:rPr>
                <w:spacing w:val="-4"/>
                <w:lang w:val="en-GB"/>
              </w:rPr>
              <w:t xml:space="preserve">mainly in the area of indirect taxes. Both </w:t>
            </w:r>
            <w:r w:rsidR="00793049" w:rsidRPr="00D160FB">
              <w:rPr>
                <w:spacing w:val="-4"/>
                <w:lang w:val="en-GB"/>
              </w:rPr>
              <w:t xml:space="preserve">annual total revenues and outlays thus stayed behind the budget anticipations (identically by </w:t>
            </w:r>
            <w:r w:rsidR="001C3855" w:rsidRPr="00D160FB">
              <w:rPr>
                <w:spacing w:val="-4"/>
                <w:lang w:val="en-GB"/>
              </w:rPr>
              <w:t>3</w:t>
            </w:r>
            <w:r w:rsidR="00793049" w:rsidRPr="00D160FB">
              <w:rPr>
                <w:spacing w:val="-4"/>
                <w:lang w:val="en-GB"/>
              </w:rPr>
              <w:t>.</w:t>
            </w:r>
            <w:r w:rsidR="001C3855" w:rsidRPr="00D160FB">
              <w:rPr>
                <w:spacing w:val="-4"/>
                <w:lang w:val="en-GB"/>
              </w:rPr>
              <w:t>7%).</w:t>
            </w:r>
          </w:p>
        </w:tc>
      </w:tr>
      <w:tr w:rsidR="001C3855" w:rsidRPr="00D160FB" w14:paraId="2A7B1266" w14:textId="77777777" w:rsidTr="00C8019E">
        <w:trPr>
          <w:trHeight w:val="145"/>
        </w:trPr>
        <w:tc>
          <w:tcPr>
            <w:tcW w:w="1773" w:type="dxa"/>
            <w:shd w:val="clear" w:color="auto" w:fill="auto"/>
            <w:tcMar>
              <w:left w:w="0" w:type="dxa"/>
            </w:tcMar>
          </w:tcPr>
          <w:p w14:paraId="402E5522" w14:textId="5C18CF77" w:rsidR="001C3855" w:rsidRPr="00D160FB" w:rsidRDefault="001F007D" w:rsidP="00C8019E">
            <w:pPr>
              <w:pStyle w:val="Marginlie"/>
              <w:rPr>
                <w:spacing w:val="-5"/>
                <w:lang w:val="en-GB"/>
              </w:rPr>
            </w:pPr>
            <w:r w:rsidRPr="00D160FB">
              <w:rPr>
                <w:spacing w:val="-5"/>
                <w:lang w:val="en-GB"/>
              </w:rPr>
              <w:t xml:space="preserve">Higher collection of VAT and social security insurance contributed the most to the growth of total revenues. </w:t>
            </w:r>
          </w:p>
        </w:tc>
        <w:tc>
          <w:tcPr>
            <w:tcW w:w="217" w:type="dxa"/>
            <w:shd w:val="clear" w:color="auto" w:fill="auto"/>
            <w:tcMar>
              <w:left w:w="0" w:type="dxa"/>
            </w:tcMar>
          </w:tcPr>
          <w:p w14:paraId="4C84BDE9"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1B767534" w14:textId="17D0C67B" w:rsidR="001C3855" w:rsidRPr="00D160FB" w:rsidRDefault="00793049" w:rsidP="00C8019E">
            <w:pPr>
              <w:spacing w:after="220"/>
              <w:rPr>
                <w:spacing w:val="-4"/>
                <w:lang w:val="en-GB"/>
              </w:rPr>
            </w:pPr>
            <w:r w:rsidRPr="00D160FB">
              <w:rPr>
                <w:color w:val="0D0D0D" w:themeColor="text1" w:themeTint="F2"/>
                <w:spacing w:val="-4"/>
                <w:szCs w:val="16"/>
                <w:lang w:val="en-GB"/>
              </w:rPr>
              <w:t xml:space="preserve">Total SB revenues increased by </w:t>
            </w:r>
            <w:r w:rsidR="001C3855" w:rsidRPr="00D160FB">
              <w:rPr>
                <w:spacing w:val="-4"/>
                <w:szCs w:val="16"/>
                <w:lang w:val="en-GB"/>
              </w:rPr>
              <w:t>9</w:t>
            </w:r>
            <w:r w:rsidRPr="00D160FB">
              <w:rPr>
                <w:spacing w:val="-4"/>
                <w:szCs w:val="16"/>
                <w:lang w:val="en-GB"/>
              </w:rPr>
              <w:t>.</w:t>
            </w:r>
            <w:r w:rsidR="001C3855" w:rsidRPr="00D160FB">
              <w:rPr>
                <w:spacing w:val="-4"/>
                <w:szCs w:val="16"/>
                <w:lang w:val="en-GB"/>
              </w:rPr>
              <w:t>2%</w:t>
            </w:r>
            <w:r w:rsidRPr="00D160FB">
              <w:rPr>
                <w:spacing w:val="-4"/>
                <w:szCs w:val="16"/>
                <w:lang w:val="en-GB"/>
              </w:rPr>
              <w:t xml:space="preserve"> year-on-year</w:t>
            </w:r>
            <w:r w:rsidR="001C3855" w:rsidRPr="00D160FB">
              <w:rPr>
                <w:spacing w:val="-4"/>
                <w:szCs w:val="16"/>
                <w:lang w:val="en-GB"/>
              </w:rPr>
              <w:t xml:space="preserve"> (+137</w:t>
            </w:r>
            <w:r w:rsidRPr="00D160FB">
              <w:rPr>
                <w:spacing w:val="-4"/>
                <w:szCs w:val="16"/>
                <w:lang w:val="en-GB"/>
              </w:rPr>
              <w:t>.</w:t>
            </w:r>
            <w:r w:rsidR="001C3855" w:rsidRPr="00D160FB">
              <w:rPr>
                <w:spacing w:val="-4"/>
                <w:szCs w:val="16"/>
                <w:lang w:val="en-GB"/>
              </w:rPr>
              <w:t>2</w:t>
            </w:r>
            <w:r w:rsidRPr="00D160FB">
              <w:rPr>
                <w:spacing w:val="-4"/>
                <w:szCs w:val="16"/>
                <w:lang w:val="en-GB"/>
              </w:rPr>
              <w:t xml:space="preserve"> CZK bn</w:t>
            </w:r>
            <w:r w:rsidR="001C3855" w:rsidRPr="00D160FB">
              <w:rPr>
                <w:spacing w:val="-4"/>
                <w:szCs w:val="16"/>
                <w:lang w:val="en-GB"/>
              </w:rPr>
              <w:t>)</w:t>
            </w:r>
            <w:r w:rsidRPr="00D160FB">
              <w:rPr>
                <w:spacing w:val="-4"/>
                <w:szCs w:val="16"/>
                <w:lang w:val="en-GB"/>
              </w:rPr>
              <w:t xml:space="preserve"> in year 2022</w:t>
            </w:r>
            <w:r w:rsidR="001C3855" w:rsidRPr="00D160FB">
              <w:rPr>
                <w:spacing w:val="-4"/>
                <w:szCs w:val="16"/>
                <w:lang w:val="en-GB"/>
              </w:rPr>
              <w:t xml:space="preserve">. </w:t>
            </w:r>
            <w:r w:rsidR="000921AD" w:rsidRPr="00D160FB">
              <w:rPr>
                <w:spacing w:val="-4"/>
                <w:szCs w:val="16"/>
                <w:lang w:val="en-GB"/>
              </w:rPr>
              <w:t xml:space="preserve">Mainly higher tax revenues, especially from VAT </w:t>
            </w:r>
            <w:r w:rsidR="001C3855" w:rsidRPr="00D160FB">
              <w:rPr>
                <w:spacing w:val="-4"/>
                <w:szCs w:val="16"/>
                <w:lang w:val="en-GB"/>
              </w:rPr>
              <w:t>(+46</w:t>
            </w:r>
            <w:r w:rsidR="000921AD" w:rsidRPr="00D160FB">
              <w:rPr>
                <w:spacing w:val="-4"/>
                <w:szCs w:val="16"/>
                <w:lang w:val="en-GB"/>
              </w:rPr>
              <w:t>.</w:t>
            </w:r>
            <w:r w:rsidR="001C3855" w:rsidRPr="00D160FB">
              <w:rPr>
                <w:spacing w:val="-4"/>
                <w:szCs w:val="16"/>
                <w:lang w:val="en-GB"/>
              </w:rPr>
              <w:t>7</w:t>
            </w:r>
            <w:r w:rsidR="000921AD" w:rsidRPr="00D160FB">
              <w:rPr>
                <w:spacing w:val="-4"/>
                <w:szCs w:val="16"/>
                <w:lang w:val="en-GB"/>
              </w:rPr>
              <w:t xml:space="preserve"> CZK bn</w:t>
            </w:r>
            <w:r w:rsidR="001C3855" w:rsidRPr="00D160FB">
              <w:rPr>
                <w:spacing w:val="-4"/>
                <w:szCs w:val="16"/>
                <w:lang w:val="en-GB"/>
              </w:rPr>
              <w:t>)</w:t>
            </w:r>
            <w:r w:rsidR="000921AD" w:rsidRPr="00D160FB">
              <w:rPr>
                <w:spacing w:val="-4"/>
                <w:szCs w:val="16"/>
                <w:lang w:val="en-GB"/>
              </w:rPr>
              <w:t xml:space="preserve"> as well as growth of the collection of mandatory social security insurance </w:t>
            </w:r>
            <w:r w:rsidR="001C3855" w:rsidRPr="00D160FB">
              <w:rPr>
                <w:spacing w:val="-4"/>
                <w:szCs w:val="16"/>
                <w:lang w:val="en-GB"/>
              </w:rPr>
              <w:t>(+35</w:t>
            </w:r>
            <w:r w:rsidR="000921AD" w:rsidRPr="00D160FB">
              <w:rPr>
                <w:spacing w:val="-4"/>
                <w:szCs w:val="16"/>
                <w:lang w:val="en-GB"/>
              </w:rPr>
              <w:t>.</w:t>
            </w:r>
            <w:r w:rsidR="001C3855" w:rsidRPr="00D160FB">
              <w:rPr>
                <w:spacing w:val="-4"/>
                <w:szCs w:val="16"/>
                <w:lang w:val="en-GB"/>
              </w:rPr>
              <w:t>9</w:t>
            </w:r>
            <w:r w:rsidR="000921AD" w:rsidRPr="00D160FB">
              <w:rPr>
                <w:spacing w:val="-4"/>
                <w:szCs w:val="16"/>
                <w:lang w:val="en-GB"/>
              </w:rPr>
              <w:t xml:space="preserve"> bn</w:t>
            </w:r>
            <w:r w:rsidR="001C3855" w:rsidRPr="00D160FB">
              <w:rPr>
                <w:spacing w:val="-4"/>
                <w:szCs w:val="16"/>
                <w:lang w:val="en-GB"/>
              </w:rPr>
              <w:t xml:space="preserve">). </w:t>
            </w:r>
            <w:r w:rsidR="00DB0D79" w:rsidRPr="00D160FB">
              <w:rPr>
                <w:spacing w:val="-4"/>
                <w:szCs w:val="16"/>
                <w:lang w:val="en-GB"/>
              </w:rPr>
              <w:t xml:space="preserve">Non-tax and capital revenues and transfers </w:t>
            </w:r>
            <w:r w:rsidR="001C3855" w:rsidRPr="00D160FB">
              <w:rPr>
                <w:spacing w:val="-4"/>
                <w:szCs w:val="16"/>
                <w:lang w:val="en-GB"/>
              </w:rPr>
              <w:t>(+5</w:t>
            </w:r>
            <w:r w:rsidR="00DB0D79" w:rsidRPr="00D160FB">
              <w:rPr>
                <w:spacing w:val="-4"/>
                <w:szCs w:val="16"/>
                <w:lang w:val="en-GB"/>
              </w:rPr>
              <w:t>.</w:t>
            </w:r>
            <w:r w:rsidR="001C3855" w:rsidRPr="00D160FB">
              <w:rPr>
                <w:spacing w:val="-4"/>
                <w:szCs w:val="16"/>
                <w:lang w:val="en-GB"/>
              </w:rPr>
              <w:t>5</w:t>
            </w:r>
            <w:r w:rsidR="00DB0D79" w:rsidRPr="00D160FB">
              <w:rPr>
                <w:spacing w:val="-4"/>
                <w:szCs w:val="16"/>
                <w:lang w:val="en-GB"/>
              </w:rPr>
              <w:t xml:space="preserve"> CZK bn</w:t>
            </w:r>
            <w:r w:rsidR="001C3855" w:rsidRPr="00D160FB">
              <w:rPr>
                <w:spacing w:val="-4"/>
                <w:szCs w:val="16"/>
                <w:lang w:val="en-GB"/>
              </w:rPr>
              <w:t>)</w:t>
            </w:r>
            <w:r w:rsidR="00DB0D79" w:rsidRPr="00D160FB">
              <w:rPr>
                <w:spacing w:val="-4"/>
                <w:szCs w:val="16"/>
                <w:lang w:val="en-GB"/>
              </w:rPr>
              <w:t xml:space="preserve"> had a slightly positive effect in total</w:t>
            </w:r>
            <w:r w:rsidR="001C3855" w:rsidRPr="00D160FB">
              <w:rPr>
                <w:spacing w:val="-4"/>
                <w:szCs w:val="16"/>
                <w:lang w:val="en-GB"/>
              </w:rPr>
              <w:t xml:space="preserve">, </w:t>
            </w:r>
            <w:r w:rsidR="00DB0D79" w:rsidRPr="00D160FB">
              <w:rPr>
                <w:spacing w:val="-4"/>
                <w:szCs w:val="16"/>
                <w:lang w:val="en-GB"/>
              </w:rPr>
              <w:t>primarily due to the planned transfer of funds from the privatisation account i</w:t>
            </w:r>
            <w:r w:rsidR="00DB0D79" w:rsidRPr="00D160FB">
              <w:rPr>
                <w:color w:val="0D0D0D" w:themeColor="text1" w:themeTint="F2"/>
                <w:spacing w:val="-4"/>
                <w:szCs w:val="16"/>
                <w:lang w:val="en-GB"/>
              </w:rPr>
              <w:t xml:space="preserve">nto the SB revenues realised in December </w:t>
            </w:r>
            <w:r w:rsidR="001C3855" w:rsidRPr="00D160FB">
              <w:rPr>
                <w:color w:val="0D0D0D" w:themeColor="text1" w:themeTint="F2"/>
                <w:spacing w:val="-4"/>
                <w:szCs w:val="16"/>
                <w:lang w:val="en-GB"/>
              </w:rPr>
              <w:t xml:space="preserve">2022. </w:t>
            </w:r>
            <w:r w:rsidR="00FD43E6" w:rsidRPr="00D160FB">
              <w:rPr>
                <w:color w:val="0D0D0D" w:themeColor="text1" w:themeTint="F2"/>
                <w:spacing w:val="-4"/>
                <w:szCs w:val="16"/>
                <w:lang w:val="en-GB"/>
              </w:rPr>
              <w:t xml:space="preserve">Dividend yields also went up </w:t>
            </w:r>
            <w:r w:rsidR="001C3855" w:rsidRPr="00D160FB">
              <w:rPr>
                <w:color w:val="0D0D0D" w:themeColor="text1" w:themeTint="F2"/>
                <w:spacing w:val="-4"/>
                <w:szCs w:val="16"/>
                <w:lang w:val="en-GB"/>
              </w:rPr>
              <w:t>(</w:t>
            </w:r>
            <w:r w:rsidR="00FD43E6" w:rsidRPr="00D160FB">
              <w:rPr>
                <w:color w:val="0D0D0D" w:themeColor="text1" w:themeTint="F2"/>
                <w:spacing w:val="-4"/>
                <w:szCs w:val="16"/>
                <w:lang w:val="en-GB"/>
              </w:rPr>
              <w:t>by 1</w:t>
            </w:r>
            <w:r w:rsidR="001C3855" w:rsidRPr="00D160FB">
              <w:rPr>
                <w:color w:val="0D0D0D" w:themeColor="text1" w:themeTint="F2"/>
                <w:spacing w:val="-4"/>
                <w:szCs w:val="16"/>
                <w:lang w:val="en-GB"/>
              </w:rPr>
              <w:t>4</w:t>
            </w:r>
            <w:r w:rsidR="00FD43E6" w:rsidRPr="00D160FB">
              <w:rPr>
                <w:color w:val="0D0D0D" w:themeColor="text1" w:themeTint="F2"/>
                <w:spacing w:val="-4"/>
                <w:szCs w:val="16"/>
                <w:lang w:val="en-GB"/>
              </w:rPr>
              <w:t xml:space="preserve"> CZK bn</w:t>
            </w:r>
            <w:r w:rsidR="001C3855" w:rsidRPr="00D160FB">
              <w:rPr>
                <w:color w:val="0D0D0D" w:themeColor="text1" w:themeTint="F2"/>
                <w:spacing w:val="-4"/>
                <w:szCs w:val="16"/>
                <w:lang w:val="en-GB"/>
              </w:rPr>
              <w:t xml:space="preserve">). </w:t>
            </w:r>
            <w:r w:rsidR="00295C4D" w:rsidRPr="00D160FB">
              <w:rPr>
                <w:color w:val="0D0D0D" w:themeColor="text1" w:themeTint="F2"/>
                <w:spacing w:val="-4"/>
                <w:szCs w:val="16"/>
                <w:lang w:val="en-GB"/>
              </w:rPr>
              <w:t>Thanks to this the unexpected payment gap from the EU budget was offset</w:t>
            </w:r>
            <w:r w:rsidR="001C3855" w:rsidRPr="00D160FB">
              <w:rPr>
                <w:color w:val="0D0D0D" w:themeColor="text1" w:themeTint="F2"/>
                <w:spacing w:val="-4"/>
                <w:szCs w:val="16"/>
                <w:lang w:val="en-GB"/>
              </w:rPr>
              <w:t xml:space="preserve"> (</w:t>
            </w:r>
            <w:r w:rsidR="000D4632" w:rsidRPr="00D160FB">
              <w:rPr>
                <w:color w:val="0D0D0D" w:themeColor="text1" w:themeTint="F2"/>
                <w:spacing w:val="-4"/>
                <w:szCs w:val="16"/>
                <w:lang w:val="en-GB"/>
              </w:rPr>
              <w:t xml:space="preserve">their volume was by </w:t>
            </w:r>
            <w:r w:rsidR="001C3855" w:rsidRPr="00D160FB">
              <w:rPr>
                <w:color w:val="0D0D0D" w:themeColor="text1" w:themeTint="F2"/>
                <w:spacing w:val="-4"/>
                <w:szCs w:val="16"/>
                <w:lang w:val="en-GB"/>
              </w:rPr>
              <w:t>6</w:t>
            </w:r>
            <w:r w:rsidR="000D4632" w:rsidRPr="00D160FB">
              <w:rPr>
                <w:color w:val="0D0D0D" w:themeColor="text1" w:themeTint="F2"/>
                <w:spacing w:val="-4"/>
                <w:szCs w:val="16"/>
                <w:lang w:val="en-GB"/>
              </w:rPr>
              <w:t>.</w:t>
            </w:r>
            <w:r w:rsidR="001C3855" w:rsidRPr="00D160FB">
              <w:rPr>
                <w:color w:val="0D0D0D" w:themeColor="text1" w:themeTint="F2"/>
                <w:spacing w:val="-4"/>
                <w:szCs w:val="16"/>
                <w:lang w:val="en-GB"/>
              </w:rPr>
              <w:t>6%</w:t>
            </w:r>
            <w:r w:rsidR="000D4632" w:rsidRPr="00D160FB">
              <w:rPr>
                <w:color w:val="0D0D0D" w:themeColor="text1" w:themeTint="F2"/>
                <w:spacing w:val="-4"/>
                <w:szCs w:val="16"/>
                <w:lang w:val="en-GB"/>
              </w:rPr>
              <w:t xml:space="preserve"> lower year-on-year and </w:t>
            </w:r>
            <w:r w:rsidR="00295C4D" w:rsidRPr="00D160FB">
              <w:rPr>
                <w:color w:val="0D0D0D" w:themeColor="text1" w:themeTint="F2"/>
                <w:spacing w:val="-4"/>
                <w:szCs w:val="16"/>
                <w:lang w:val="en-GB"/>
              </w:rPr>
              <w:t>did not reach even three fifths of the annual size of the budget anticipation</w:t>
            </w:r>
            <w:r w:rsidR="001C3855" w:rsidRPr="00D160FB">
              <w:rPr>
                <w:color w:val="0D0D0D" w:themeColor="text1" w:themeTint="F2"/>
                <w:spacing w:val="-4"/>
                <w:szCs w:val="16"/>
                <w:lang w:val="en-GB"/>
              </w:rPr>
              <w:t>)</w:t>
            </w:r>
            <w:r w:rsidR="001C3855" w:rsidRPr="00D160FB">
              <w:rPr>
                <w:rStyle w:val="Znakapoznpodarou"/>
                <w:color w:val="0D0D0D" w:themeColor="text1" w:themeTint="F2"/>
                <w:spacing w:val="-4"/>
                <w:szCs w:val="16"/>
                <w:lang w:val="en-GB"/>
              </w:rPr>
              <w:footnoteReference w:id="4"/>
            </w:r>
            <w:r w:rsidR="001C3855" w:rsidRPr="00D160FB">
              <w:rPr>
                <w:color w:val="0D0D0D" w:themeColor="text1" w:themeTint="F2"/>
                <w:spacing w:val="-4"/>
                <w:szCs w:val="16"/>
                <w:lang w:val="en-GB"/>
              </w:rPr>
              <w:t xml:space="preserve">. </w:t>
            </w:r>
            <w:r w:rsidR="006A6233" w:rsidRPr="00D160FB">
              <w:rPr>
                <w:color w:val="0D0D0D" w:themeColor="text1" w:themeTint="F2"/>
                <w:spacing w:val="-4"/>
                <w:szCs w:val="16"/>
                <w:lang w:val="en-GB"/>
              </w:rPr>
              <w:t>State-wide</w:t>
            </w:r>
            <w:r w:rsidR="003664FD" w:rsidRPr="00D160FB">
              <w:rPr>
                <w:color w:val="0D0D0D" w:themeColor="text1" w:themeTint="F2"/>
                <w:spacing w:val="-4"/>
                <w:szCs w:val="16"/>
                <w:lang w:val="en-GB"/>
              </w:rPr>
              <w:t xml:space="preserve"> tax collection </w:t>
            </w:r>
            <w:r w:rsidR="001C3855" w:rsidRPr="00D160FB">
              <w:rPr>
                <w:color w:val="0D0D0D" w:themeColor="text1" w:themeTint="F2"/>
                <w:spacing w:val="-4"/>
                <w:lang w:val="en-GB"/>
              </w:rPr>
              <w:t>(</w:t>
            </w:r>
            <w:r w:rsidR="003664FD" w:rsidRPr="00D160FB">
              <w:rPr>
                <w:color w:val="0D0D0D" w:themeColor="text1" w:themeTint="F2"/>
                <w:spacing w:val="-4"/>
                <w:lang w:val="en-GB"/>
              </w:rPr>
              <w:t>without insurance</w:t>
            </w:r>
            <w:r w:rsidR="001C3855" w:rsidRPr="00D160FB">
              <w:rPr>
                <w:color w:val="0D0D0D" w:themeColor="text1" w:themeTint="F2"/>
                <w:spacing w:val="-4"/>
                <w:lang w:val="en-GB"/>
              </w:rPr>
              <w:t xml:space="preserve">) </w:t>
            </w:r>
            <w:r w:rsidR="00E7027F" w:rsidRPr="00D160FB">
              <w:rPr>
                <w:color w:val="0D0D0D" w:themeColor="text1" w:themeTint="F2"/>
                <w:spacing w:val="-4"/>
                <w:lang w:val="en-GB"/>
              </w:rPr>
              <w:t xml:space="preserve">expanded by </w:t>
            </w:r>
            <w:r w:rsidR="001C3855" w:rsidRPr="00D160FB">
              <w:rPr>
                <w:color w:val="0D0D0D" w:themeColor="text1" w:themeTint="F2"/>
                <w:spacing w:val="-4"/>
                <w:lang w:val="en-GB"/>
              </w:rPr>
              <w:t>13</w:t>
            </w:r>
            <w:r w:rsidR="00E7027F" w:rsidRPr="00D160FB">
              <w:rPr>
                <w:color w:val="0D0D0D" w:themeColor="text1" w:themeTint="F2"/>
                <w:spacing w:val="-4"/>
                <w:lang w:val="en-GB"/>
              </w:rPr>
              <w:t>.</w:t>
            </w:r>
            <w:r w:rsidR="001C3855" w:rsidRPr="00D160FB">
              <w:rPr>
                <w:color w:val="0D0D0D" w:themeColor="text1" w:themeTint="F2"/>
                <w:spacing w:val="-4"/>
                <w:lang w:val="en-GB"/>
              </w:rPr>
              <w:t>2%</w:t>
            </w:r>
            <w:r w:rsidR="00E7027F" w:rsidRPr="00D160FB">
              <w:rPr>
                <w:color w:val="0D0D0D" w:themeColor="text1" w:themeTint="F2"/>
                <w:spacing w:val="-4"/>
                <w:lang w:val="en-GB"/>
              </w:rPr>
              <w:t xml:space="preserve"> year-on-year last year</w:t>
            </w:r>
            <w:r w:rsidR="001C3855" w:rsidRPr="00D160FB">
              <w:rPr>
                <w:color w:val="0D0D0D" w:themeColor="text1" w:themeTint="F2"/>
                <w:spacing w:val="-4"/>
                <w:lang w:val="en-GB"/>
              </w:rPr>
              <w:t xml:space="preserve">, </w:t>
            </w:r>
            <w:r w:rsidR="00295C4D" w:rsidRPr="00D160FB">
              <w:rPr>
                <w:color w:val="0D0D0D" w:themeColor="text1" w:themeTint="F2"/>
                <w:spacing w:val="-4"/>
                <w:lang w:val="en-GB"/>
              </w:rPr>
              <w:t>the impact of the weakening economic performance was however clear in the second half-year</w:t>
            </w:r>
            <w:r w:rsidR="001C3855" w:rsidRPr="00D160FB">
              <w:rPr>
                <w:color w:val="0D0D0D" w:themeColor="text1" w:themeTint="F2"/>
                <w:spacing w:val="-4"/>
                <w:lang w:val="en-GB"/>
              </w:rPr>
              <w:t xml:space="preserve">. </w:t>
            </w:r>
            <w:r w:rsidR="000921AD" w:rsidRPr="00D160FB">
              <w:rPr>
                <w:color w:val="0D0D0D" w:themeColor="text1" w:themeTint="F2"/>
                <w:spacing w:val="-4"/>
                <w:lang w:val="en-GB"/>
              </w:rPr>
              <w:t xml:space="preserve">While this collection strengthened by 22.5% in Q2, already only by </w:t>
            </w:r>
            <w:r w:rsidR="001C3855" w:rsidRPr="00D160FB">
              <w:rPr>
                <w:color w:val="0D0D0D" w:themeColor="text1" w:themeTint="F2"/>
                <w:spacing w:val="-4"/>
                <w:lang w:val="en-GB"/>
              </w:rPr>
              <w:t>7</w:t>
            </w:r>
            <w:r w:rsidR="000921AD" w:rsidRPr="00D160FB">
              <w:rPr>
                <w:color w:val="0D0D0D" w:themeColor="text1" w:themeTint="F2"/>
                <w:spacing w:val="-4"/>
                <w:lang w:val="en-GB"/>
              </w:rPr>
              <w:t>.</w:t>
            </w:r>
            <w:r w:rsidR="001C3855" w:rsidRPr="00D160FB">
              <w:rPr>
                <w:color w:val="0D0D0D" w:themeColor="text1" w:themeTint="F2"/>
                <w:spacing w:val="-4"/>
                <w:lang w:val="en-GB"/>
              </w:rPr>
              <w:t>2%</w:t>
            </w:r>
            <w:r w:rsidR="000921AD" w:rsidRPr="00D160FB">
              <w:rPr>
                <w:color w:val="0D0D0D" w:themeColor="text1" w:themeTint="F2"/>
                <w:spacing w:val="-4"/>
                <w:lang w:val="en-GB"/>
              </w:rPr>
              <w:t xml:space="preserve"> in the last quarter</w:t>
            </w:r>
            <w:r w:rsidR="001C3855" w:rsidRPr="00D160FB">
              <w:rPr>
                <w:color w:val="0D0D0D" w:themeColor="text1" w:themeTint="F2"/>
                <w:spacing w:val="-4"/>
                <w:lang w:val="en-GB"/>
              </w:rPr>
              <w:t xml:space="preserve">. </w:t>
            </w:r>
            <w:r w:rsidR="003664FD" w:rsidRPr="00D160FB">
              <w:rPr>
                <w:color w:val="0D0D0D" w:themeColor="text1" w:themeTint="F2"/>
                <w:spacing w:val="-4"/>
                <w:lang w:val="en-GB"/>
              </w:rPr>
              <w:t xml:space="preserve">The slowdown reflected the development of collection of indirect taxes, for direct taxes the trend has not manifested yet. </w:t>
            </w:r>
            <w:r w:rsidR="001C3855" w:rsidRPr="00D160FB">
              <w:rPr>
                <w:color w:val="0D0D0D" w:themeColor="text1" w:themeTint="F2"/>
                <w:spacing w:val="-4"/>
                <w:lang w:val="en-GB"/>
              </w:rPr>
              <w:t xml:space="preserve"> </w:t>
            </w:r>
          </w:p>
        </w:tc>
      </w:tr>
      <w:tr w:rsidR="001C3855" w:rsidRPr="00D160FB" w14:paraId="49D34C2A" w14:textId="77777777" w:rsidTr="00C8019E">
        <w:trPr>
          <w:trHeight w:val="145"/>
        </w:trPr>
        <w:tc>
          <w:tcPr>
            <w:tcW w:w="1773" w:type="dxa"/>
            <w:shd w:val="clear" w:color="auto" w:fill="auto"/>
            <w:tcMar>
              <w:left w:w="0" w:type="dxa"/>
            </w:tcMar>
          </w:tcPr>
          <w:p w14:paraId="4E7DA9F9" w14:textId="6018825D" w:rsidR="001C3855" w:rsidRPr="00D160FB" w:rsidRDefault="001C3855" w:rsidP="00C8019E">
            <w:pPr>
              <w:pStyle w:val="Marginlie"/>
              <w:rPr>
                <w:spacing w:val="-5"/>
                <w:lang w:val="en-GB"/>
              </w:rPr>
            </w:pPr>
            <w:r w:rsidRPr="00D160FB">
              <w:rPr>
                <w:spacing w:val="-5"/>
                <w:lang w:val="en-GB"/>
              </w:rPr>
              <w:t>S</w:t>
            </w:r>
            <w:r w:rsidR="003664FD" w:rsidRPr="00D160FB">
              <w:rPr>
                <w:spacing w:val="-5"/>
                <w:lang w:val="en-GB"/>
              </w:rPr>
              <w:t>wift growth of the VAT collection was substantially influenced by the rising prices level, the effect of weakening household consumption also became evident in H</w:t>
            </w:r>
            <w:r w:rsidRPr="00D160FB">
              <w:rPr>
                <w:spacing w:val="-5"/>
                <w:lang w:val="en-GB"/>
              </w:rPr>
              <w:t xml:space="preserve">2. </w:t>
            </w:r>
          </w:p>
        </w:tc>
        <w:tc>
          <w:tcPr>
            <w:tcW w:w="217" w:type="dxa"/>
            <w:shd w:val="clear" w:color="auto" w:fill="auto"/>
            <w:tcMar>
              <w:left w:w="0" w:type="dxa"/>
            </w:tcMar>
          </w:tcPr>
          <w:p w14:paraId="45EE83E8"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6A473BF0" w14:textId="6114C5EE" w:rsidR="001C3855" w:rsidRPr="00D160FB" w:rsidRDefault="003664FD" w:rsidP="00C8019E">
            <w:pPr>
              <w:spacing w:after="220"/>
              <w:rPr>
                <w:spacing w:val="-4"/>
                <w:lang w:val="en-GB"/>
              </w:rPr>
            </w:pPr>
            <w:r w:rsidRPr="00D160FB">
              <w:rPr>
                <w:spacing w:val="-4"/>
                <w:lang w:val="en-GB"/>
              </w:rPr>
              <w:t xml:space="preserve">From the weight dominant tax </w:t>
            </w:r>
            <w:r w:rsidR="001C3855" w:rsidRPr="00D160FB">
              <w:rPr>
                <w:spacing w:val="-4"/>
                <w:lang w:val="en-GB"/>
              </w:rPr>
              <w:t xml:space="preserve">– </w:t>
            </w:r>
            <w:r w:rsidRPr="00D160FB">
              <w:rPr>
                <w:spacing w:val="-4"/>
                <w:lang w:val="en-GB"/>
              </w:rPr>
              <w:t>VAT</w:t>
            </w:r>
            <w:r w:rsidR="001C3855" w:rsidRPr="00D160FB">
              <w:rPr>
                <w:spacing w:val="-4"/>
                <w:lang w:val="en-GB"/>
              </w:rPr>
              <w:t xml:space="preserve"> – </w:t>
            </w:r>
            <w:r w:rsidRPr="00D160FB">
              <w:rPr>
                <w:spacing w:val="-4"/>
                <w:lang w:val="en-GB"/>
              </w:rPr>
              <w:t xml:space="preserve">the SB </w:t>
            </w:r>
            <w:r w:rsidR="00862A30" w:rsidRPr="00D160FB">
              <w:rPr>
                <w:spacing w:val="-4"/>
                <w:lang w:val="en-GB"/>
              </w:rPr>
              <w:t xml:space="preserve">gained by </w:t>
            </w:r>
            <w:r w:rsidR="001C3855" w:rsidRPr="00D160FB">
              <w:rPr>
                <w:spacing w:val="-4"/>
                <w:lang w:val="en-GB"/>
              </w:rPr>
              <w:t>15</w:t>
            </w:r>
            <w:r w:rsidR="00862A30" w:rsidRPr="00D160FB">
              <w:rPr>
                <w:spacing w:val="-4"/>
                <w:lang w:val="en-GB"/>
              </w:rPr>
              <w:t>.</w:t>
            </w:r>
            <w:r w:rsidR="001C3855" w:rsidRPr="00D160FB">
              <w:rPr>
                <w:spacing w:val="-4"/>
                <w:lang w:val="en-GB"/>
              </w:rPr>
              <w:t>6%</w:t>
            </w:r>
            <w:r w:rsidR="00862A30" w:rsidRPr="00D160FB">
              <w:rPr>
                <w:spacing w:val="-4"/>
                <w:lang w:val="en-GB"/>
              </w:rPr>
              <w:t xml:space="preserve"> more year-on-year last year</w:t>
            </w:r>
            <w:r w:rsidR="001C3855" w:rsidRPr="00D160FB">
              <w:rPr>
                <w:spacing w:val="-4"/>
                <w:lang w:val="en-GB"/>
              </w:rPr>
              <w:t xml:space="preserve">. </w:t>
            </w:r>
            <w:r w:rsidR="000D4632" w:rsidRPr="00D160FB">
              <w:rPr>
                <w:spacing w:val="-4"/>
                <w:lang w:val="en-GB"/>
              </w:rPr>
              <w:t xml:space="preserve">It represented the highest growth in the current millennium, </w:t>
            </w:r>
            <w:r w:rsidR="007B40E8" w:rsidRPr="00D160FB">
              <w:rPr>
                <w:spacing w:val="-4"/>
                <w:lang w:val="en-GB"/>
              </w:rPr>
              <w:t xml:space="preserve">where mainly the price acceleration of weight significant items of consumer basket played role. Pace of the collection growth was falling during the last year </w:t>
            </w:r>
            <w:r w:rsidR="001C3855" w:rsidRPr="00D160FB">
              <w:rPr>
                <w:spacing w:val="-4"/>
                <w:lang w:val="en-GB"/>
              </w:rPr>
              <w:t xml:space="preserve">– </w:t>
            </w:r>
            <w:r w:rsidR="005C63EC" w:rsidRPr="00D160FB">
              <w:rPr>
                <w:spacing w:val="-4"/>
                <w:lang w:val="en-GB"/>
              </w:rPr>
              <w:t>it was 1</w:t>
            </w:r>
            <w:r w:rsidR="001C3855" w:rsidRPr="00D160FB">
              <w:rPr>
                <w:spacing w:val="-4"/>
                <w:lang w:val="en-GB"/>
              </w:rPr>
              <w:t>0</w:t>
            </w:r>
            <w:r w:rsidR="005C63EC" w:rsidRPr="00D160FB">
              <w:rPr>
                <w:spacing w:val="-4"/>
                <w:lang w:val="en-GB"/>
              </w:rPr>
              <w:t>.</w:t>
            </w:r>
            <w:r w:rsidR="001C3855" w:rsidRPr="00D160FB">
              <w:rPr>
                <w:spacing w:val="-4"/>
                <w:lang w:val="en-GB"/>
              </w:rPr>
              <w:t>9%</w:t>
            </w:r>
            <w:r w:rsidR="005C63EC" w:rsidRPr="00D160FB">
              <w:rPr>
                <w:spacing w:val="-4"/>
                <w:lang w:val="en-GB"/>
              </w:rPr>
              <w:t xml:space="preserve"> in Q3</w:t>
            </w:r>
            <w:r w:rsidR="001C3855" w:rsidRPr="00D160FB">
              <w:rPr>
                <w:spacing w:val="-4"/>
                <w:lang w:val="en-GB"/>
              </w:rPr>
              <w:t>, 9</w:t>
            </w:r>
            <w:r w:rsidR="005C63EC" w:rsidRPr="00D160FB">
              <w:rPr>
                <w:spacing w:val="-4"/>
                <w:lang w:val="en-GB"/>
              </w:rPr>
              <w:t>.</w:t>
            </w:r>
            <w:r w:rsidR="001C3855" w:rsidRPr="00D160FB">
              <w:rPr>
                <w:spacing w:val="-4"/>
                <w:lang w:val="en-GB"/>
              </w:rPr>
              <w:t>0%</w:t>
            </w:r>
            <w:r w:rsidR="005C63EC" w:rsidRPr="00D160FB">
              <w:rPr>
                <w:spacing w:val="-4"/>
                <w:lang w:val="en-GB"/>
              </w:rPr>
              <w:t xml:space="preserve"> in Q4</w:t>
            </w:r>
            <w:r w:rsidR="001C3855" w:rsidRPr="00D160FB">
              <w:rPr>
                <w:spacing w:val="-4"/>
                <w:lang w:val="en-GB"/>
              </w:rPr>
              <w:t>. Negativ</w:t>
            </w:r>
            <w:r w:rsidR="008A7597" w:rsidRPr="00D160FB">
              <w:rPr>
                <w:spacing w:val="-4"/>
                <w:lang w:val="en-GB"/>
              </w:rPr>
              <w:t xml:space="preserve">e effect of the decrease of household consumption was still more absorbed by the effect of the rising prices </w:t>
            </w:r>
            <w:r w:rsidR="001C3855" w:rsidRPr="00D160FB">
              <w:rPr>
                <w:spacing w:val="-4"/>
                <w:lang w:val="en-GB"/>
              </w:rPr>
              <w:t>(</w:t>
            </w:r>
            <w:r w:rsidR="008A7597" w:rsidRPr="00D160FB">
              <w:rPr>
                <w:spacing w:val="-4"/>
                <w:lang w:val="en-GB"/>
              </w:rPr>
              <w:t>e.g. food</w:t>
            </w:r>
            <w:r w:rsidR="001C3855" w:rsidRPr="00D160FB">
              <w:rPr>
                <w:spacing w:val="-4"/>
                <w:lang w:val="en-GB"/>
              </w:rPr>
              <w:t xml:space="preserve">). </w:t>
            </w:r>
            <w:r w:rsidR="00843143" w:rsidRPr="00D160FB">
              <w:rPr>
                <w:spacing w:val="-4"/>
                <w:lang w:val="en-GB"/>
              </w:rPr>
              <w:t xml:space="preserve">Equally negative, but one order less, effect had both collection and VAT waiver to selected commodities </w:t>
            </w:r>
            <w:r w:rsidR="001C3855" w:rsidRPr="00D160FB">
              <w:rPr>
                <w:spacing w:val="-4"/>
                <w:lang w:val="en-GB"/>
              </w:rPr>
              <w:t>(</w:t>
            </w:r>
            <w:r w:rsidR="00843143" w:rsidRPr="00D160FB">
              <w:rPr>
                <w:spacing w:val="-4"/>
                <w:lang w:val="en-GB"/>
              </w:rPr>
              <w:t>e.g. vaccines, respirators</w:t>
            </w:r>
            <w:r w:rsidR="001C3855" w:rsidRPr="00D160FB">
              <w:rPr>
                <w:spacing w:val="-4"/>
                <w:lang w:val="en-GB"/>
              </w:rPr>
              <w:t xml:space="preserve">). </w:t>
            </w:r>
            <w:r w:rsidR="00843143" w:rsidRPr="00D160FB">
              <w:rPr>
                <w:spacing w:val="-4"/>
                <w:lang w:val="en-GB"/>
              </w:rPr>
              <w:t xml:space="preserve">State wide collection of VAT </w:t>
            </w:r>
            <w:r w:rsidR="001C3855" w:rsidRPr="00D160FB">
              <w:rPr>
                <w:spacing w:val="-4"/>
                <w:lang w:val="en-GB"/>
              </w:rPr>
              <w:t>(</w:t>
            </w:r>
            <w:r w:rsidR="00843143" w:rsidRPr="00D160FB">
              <w:rPr>
                <w:spacing w:val="-4"/>
                <w:lang w:val="en-GB"/>
              </w:rPr>
              <w:t>at the level of all public budgets</w:t>
            </w:r>
            <w:r w:rsidR="001C3855" w:rsidRPr="00D160FB">
              <w:rPr>
                <w:spacing w:val="-4"/>
                <w:lang w:val="en-GB"/>
              </w:rPr>
              <w:t xml:space="preserve">) </w:t>
            </w:r>
            <w:r w:rsidR="00843143" w:rsidRPr="00D160FB">
              <w:rPr>
                <w:spacing w:val="-4"/>
                <w:lang w:val="en-GB"/>
              </w:rPr>
              <w:t xml:space="preserve">exceeded the collection from the pre-crisis year </w:t>
            </w:r>
            <w:r w:rsidR="001C3855" w:rsidRPr="00D160FB">
              <w:rPr>
                <w:spacing w:val="-4"/>
                <w:lang w:val="en-GB"/>
              </w:rPr>
              <w:t>2019</w:t>
            </w:r>
            <w:r w:rsidR="00843143" w:rsidRPr="00D160FB">
              <w:rPr>
                <w:spacing w:val="-4"/>
                <w:lang w:val="en-GB"/>
              </w:rPr>
              <w:t xml:space="preserve"> by </w:t>
            </w:r>
            <w:r w:rsidR="001C3855" w:rsidRPr="00D160FB">
              <w:rPr>
                <w:spacing w:val="-4"/>
                <w:lang w:val="en-GB"/>
              </w:rPr>
              <w:t>24</w:t>
            </w:r>
            <w:r w:rsidR="00843143" w:rsidRPr="00D160FB">
              <w:rPr>
                <w:spacing w:val="-4"/>
                <w:lang w:val="en-GB"/>
              </w:rPr>
              <w:t>.</w:t>
            </w:r>
            <w:r w:rsidR="001C3855" w:rsidRPr="00D160FB">
              <w:rPr>
                <w:spacing w:val="-4"/>
                <w:lang w:val="en-GB"/>
              </w:rPr>
              <w:t xml:space="preserve">2%, </w:t>
            </w:r>
            <w:r w:rsidR="00843143" w:rsidRPr="00D160FB">
              <w:rPr>
                <w:spacing w:val="-4"/>
                <w:lang w:val="en-GB"/>
              </w:rPr>
              <w:t>consumer prices (23.4%) also increased by nearly same pace</w:t>
            </w:r>
            <w:r w:rsidR="00B017AF" w:rsidRPr="00D160FB">
              <w:rPr>
                <w:spacing w:val="-4"/>
                <w:lang w:val="en-GB"/>
              </w:rPr>
              <w:t xml:space="preserve"> in the same time period </w:t>
            </w:r>
            <w:r w:rsidR="001C3855" w:rsidRPr="00D160FB">
              <w:rPr>
                <w:spacing w:val="-4"/>
                <w:lang w:val="en-GB"/>
              </w:rPr>
              <w:t>(23</w:t>
            </w:r>
            <w:r w:rsidR="00B017AF" w:rsidRPr="00D160FB">
              <w:rPr>
                <w:spacing w:val="-4"/>
                <w:lang w:val="en-GB"/>
              </w:rPr>
              <w:t>.</w:t>
            </w:r>
            <w:r w:rsidR="001C3855" w:rsidRPr="00D160FB">
              <w:rPr>
                <w:spacing w:val="-4"/>
                <w:lang w:val="en-GB"/>
              </w:rPr>
              <w:t>4%)</w:t>
            </w:r>
          </w:p>
        </w:tc>
      </w:tr>
      <w:tr w:rsidR="001C3855" w:rsidRPr="00D160FB" w14:paraId="42B6AF57" w14:textId="77777777" w:rsidTr="00C8019E">
        <w:trPr>
          <w:trHeight w:val="145"/>
        </w:trPr>
        <w:tc>
          <w:tcPr>
            <w:tcW w:w="1773" w:type="dxa"/>
            <w:shd w:val="clear" w:color="auto" w:fill="auto"/>
            <w:tcMar>
              <w:left w:w="0" w:type="dxa"/>
            </w:tcMar>
          </w:tcPr>
          <w:p w14:paraId="4A1DC944" w14:textId="0413D2F1" w:rsidR="001C3855" w:rsidRPr="00D160FB" w:rsidRDefault="00843143" w:rsidP="00C8019E">
            <w:pPr>
              <w:pStyle w:val="Marginlie"/>
              <w:rPr>
                <w:color w:val="0D0D0D" w:themeColor="text1" w:themeTint="F2"/>
                <w:spacing w:val="-5"/>
                <w:lang w:val="en-GB"/>
              </w:rPr>
            </w:pPr>
            <w:r w:rsidRPr="00D160FB">
              <w:rPr>
                <w:spacing w:val="-4"/>
                <w:lang w:val="en-GB"/>
              </w:rPr>
              <w:t xml:space="preserve">Collection of consumption taxes increased only slightly and </w:t>
            </w:r>
            <w:r w:rsidR="00D2641A" w:rsidRPr="00D160FB">
              <w:rPr>
                <w:spacing w:val="-4"/>
                <w:lang w:val="en-GB"/>
              </w:rPr>
              <w:t>stayed behind the budget anticipations for all significant items</w:t>
            </w:r>
            <w:r w:rsidR="001C3855" w:rsidRPr="00D160FB">
              <w:rPr>
                <w:spacing w:val="-4"/>
                <w:lang w:val="en-GB"/>
              </w:rPr>
              <w:t>.</w:t>
            </w:r>
          </w:p>
        </w:tc>
        <w:tc>
          <w:tcPr>
            <w:tcW w:w="217" w:type="dxa"/>
            <w:shd w:val="clear" w:color="auto" w:fill="auto"/>
            <w:tcMar>
              <w:left w:w="0" w:type="dxa"/>
            </w:tcMar>
          </w:tcPr>
          <w:p w14:paraId="73BEFFA8" w14:textId="77777777" w:rsidR="001C3855" w:rsidRPr="00D160FB" w:rsidRDefault="001C3855" w:rsidP="00C8019E">
            <w:pPr>
              <w:pStyle w:val="Textpoznpodarou"/>
              <w:jc w:val="both"/>
              <w:rPr>
                <w:color w:val="0D0D0D" w:themeColor="text1" w:themeTint="F2"/>
                <w:spacing w:val="-4"/>
                <w:lang w:val="en-GB"/>
              </w:rPr>
            </w:pPr>
          </w:p>
        </w:tc>
        <w:tc>
          <w:tcPr>
            <w:tcW w:w="7679" w:type="dxa"/>
            <w:shd w:val="clear" w:color="auto" w:fill="auto"/>
            <w:tcMar>
              <w:left w:w="0" w:type="dxa"/>
            </w:tcMar>
          </w:tcPr>
          <w:p w14:paraId="0162B497" w14:textId="6780A807" w:rsidR="001C3855" w:rsidRPr="00D160FB" w:rsidRDefault="00A57580" w:rsidP="00C8019E">
            <w:pPr>
              <w:spacing w:after="220"/>
              <w:rPr>
                <w:spacing w:val="-4"/>
                <w:lang w:val="en-GB"/>
              </w:rPr>
            </w:pPr>
            <w:r w:rsidRPr="00D160FB">
              <w:rPr>
                <w:color w:val="0D0D0D" w:themeColor="text1" w:themeTint="F2"/>
                <w:spacing w:val="-4"/>
                <w:lang w:val="en-GB"/>
              </w:rPr>
              <w:t xml:space="preserve">Despite 2.2% more flowing into the SB year-on-year from consumption taxes (incl. energetic) last year, the size of collection </w:t>
            </w:r>
            <w:r w:rsidR="001C3855" w:rsidRPr="00D160FB">
              <w:rPr>
                <w:spacing w:val="-4"/>
                <w:lang w:val="en-GB"/>
              </w:rPr>
              <w:t>(</w:t>
            </w:r>
            <w:r w:rsidRPr="00D160FB">
              <w:rPr>
                <w:spacing w:val="-4"/>
                <w:lang w:val="en-GB"/>
              </w:rPr>
              <w:t>similarly to VAT</w:t>
            </w:r>
            <w:r w:rsidR="001C3855" w:rsidRPr="00D160FB">
              <w:rPr>
                <w:spacing w:val="-4"/>
                <w:lang w:val="en-GB"/>
              </w:rPr>
              <w:t>)</w:t>
            </w:r>
            <w:r w:rsidRPr="00D160FB">
              <w:rPr>
                <w:spacing w:val="-4"/>
                <w:lang w:val="en-GB"/>
              </w:rPr>
              <w:t xml:space="preserve"> </w:t>
            </w:r>
            <w:r w:rsidR="00F91237" w:rsidRPr="00D160FB">
              <w:rPr>
                <w:spacing w:val="-4"/>
                <w:lang w:val="en-GB"/>
              </w:rPr>
              <w:t xml:space="preserve">stayed </w:t>
            </w:r>
            <w:r w:rsidRPr="00D160FB">
              <w:rPr>
                <w:spacing w:val="-4"/>
                <w:lang w:val="en-GB"/>
              </w:rPr>
              <w:t xml:space="preserve">behind </w:t>
            </w:r>
            <w:r w:rsidR="00F91237" w:rsidRPr="00D160FB">
              <w:rPr>
                <w:spacing w:val="-4"/>
                <w:lang w:val="en-GB"/>
              </w:rPr>
              <w:t xml:space="preserve">the </w:t>
            </w:r>
            <w:r w:rsidRPr="00D160FB">
              <w:rPr>
                <w:spacing w:val="-4"/>
                <w:lang w:val="en-GB"/>
              </w:rPr>
              <w:t>budget a</w:t>
            </w:r>
            <w:r w:rsidR="00F91237" w:rsidRPr="00D160FB">
              <w:rPr>
                <w:spacing w:val="-4"/>
                <w:lang w:val="en-GB"/>
              </w:rPr>
              <w:t xml:space="preserve">nticipations. Collection of the most weight significant </w:t>
            </w:r>
            <w:r w:rsidR="00641BBD" w:rsidRPr="00D160FB">
              <w:rPr>
                <w:spacing w:val="-4"/>
                <w:lang w:val="en-GB"/>
              </w:rPr>
              <w:t>tax –</w:t>
            </w:r>
            <w:r w:rsidR="001C3855" w:rsidRPr="00D160FB">
              <w:rPr>
                <w:spacing w:val="-4"/>
                <w:lang w:val="en-GB"/>
              </w:rPr>
              <w:t xml:space="preserve"> </w:t>
            </w:r>
            <w:r w:rsidR="00F91237" w:rsidRPr="00D160FB">
              <w:rPr>
                <w:spacing w:val="-4"/>
                <w:lang w:val="en-GB"/>
              </w:rPr>
              <w:t>from mineral oils</w:t>
            </w:r>
            <w:r w:rsidR="001C3855" w:rsidRPr="00D160FB">
              <w:rPr>
                <w:spacing w:val="-4"/>
                <w:lang w:val="en-GB"/>
              </w:rPr>
              <w:t xml:space="preserve"> – </w:t>
            </w:r>
            <w:r w:rsidR="00F91237" w:rsidRPr="00D160FB">
              <w:rPr>
                <w:spacing w:val="-4"/>
                <w:lang w:val="en-GB"/>
              </w:rPr>
              <w:t xml:space="preserve">dropped by 4.1% </w:t>
            </w:r>
            <w:r w:rsidR="001C3855" w:rsidRPr="00D160FB">
              <w:rPr>
                <w:spacing w:val="-4"/>
                <w:lang w:val="en-GB"/>
              </w:rPr>
              <w:t>(</w:t>
            </w:r>
            <w:r w:rsidR="00F91237" w:rsidRPr="00D160FB">
              <w:rPr>
                <w:spacing w:val="-4"/>
                <w:lang w:val="en-GB"/>
              </w:rPr>
              <w:t xml:space="preserve">by </w:t>
            </w:r>
            <w:r w:rsidR="001C3855" w:rsidRPr="00D160FB">
              <w:rPr>
                <w:spacing w:val="-4"/>
                <w:lang w:val="en-GB"/>
              </w:rPr>
              <w:t>3</w:t>
            </w:r>
            <w:r w:rsidR="00F91237" w:rsidRPr="00D160FB">
              <w:rPr>
                <w:spacing w:val="-4"/>
                <w:lang w:val="en-GB"/>
              </w:rPr>
              <w:t>.</w:t>
            </w:r>
            <w:r w:rsidR="001C3855" w:rsidRPr="00D160FB">
              <w:rPr>
                <w:spacing w:val="-4"/>
                <w:lang w:val="en-GB"/>
              </w:rPr>
              <w:t>1</w:t>
            </w:r>
            <w:r w:rsidR="00F91237" w:rsidRPr="00D160FB">
              <w:rPr>
                <w:spacing w:val="-4"/>
                <w:lang w:val="en-GB"/>
              </w:rPr>
              <w:t xml:space="preserve"> CZK bn</w:t>
            </w:r>
            <w:r w:rsidR="00C133BB" w:rsidRPr="00D160FB">
              <w:rPr>
                <w:spacing w:val="-4"/>
                <w:lang w:val="en-GB"/>
              </w:rPr>
              <w:t xml:space="preserve"> resp.</w:t>
            </w:r>
            <w:r w:rsidR="001C3855" w:rsidRPr="00D160FB">
              <w:rPr>
                <w:spacing w:val="-4"/>
                <w:lang w:val="en-GB"/>
              </w:rPr>
              <w:t>)</w:t>
            </w:r>
            <w:r w:rsidR="00F91237" w:rsidRPr="00D160FB">
              <w:rPr>
                <w:spacing w:val="-4"/>
                <w:lang w:val="en-GB"/>
              </w:rPr>
              <w:t xml:space="preserve"> compared to year 2021 exclusively due to the adverse </w:t>
            </w:r>
            <w:r w:rsidR="00F91237" w:rsidRPr="00D160FB">
              <w:rPr>
                <w:spacing w:val="-4"/>
                <w:lang w:val="en-GB"/>
              </w:rPr>
              <w:lastRenderedPageBreak/>
              <w:t>development in H</w:t>
            </w:r>
            <w:r w:rsidR="001C3855" w:rsidRPr="00D160FB">
              <w:rPr>
                <w:spacing w:val="-4"/>
                <w:lang w:val="en-GB"/>
              </w:rPr>
              <w:t>2</w:t>
            </w:r>
            <w:r w:rsidR="00F91237" w:rsidRPr="00D160FB">
              <w:rPr>
                <w:spacing w:val="-4"/>
                <w:lang w:val="en-GB"/>
              </w:rPr>
              <w:t xml:space="preserve"> </w:t>
            </w:r>
            <w:r w:rsidR="001C3855" w:rsidRPr="00D160FB">
              <w:rPr>
                <w:spacing w:val="-4"/>
                <w:lang w:val="en-GB"/>
              </w:rPr>
              <w:t>2022</w:t>
            </w:r>
            <w:r w:rsidR="001C3855" w:rsidRPr="00D160FB">
              <w:rPr>
                <w:rStyle w:val="Znakapoznpodarou"/>
                <w:spacing w:val="-4"/>
                <w:lang w:val="en-GB"/>
              </w:rPr>
              <w:footnoteReference w:id="5"/>
            </w:r>
            <w:r w:rsidR="001C3855" w:rsidRPr="00D160FB">
              <w:rPr>
                <w:spacing w:val="-4"/>
                <w:lang w:val="en-GB"/>
              </w:rPr>
              <w:t xml:space="preserve">. </w:t>
            </w:r>
            <w:r w:rsidR="00D06F7A" w:rsidRPr="00D160FB">
              <w:rPr>
                <w:spacing w:val="-4"/>
                <w:lang w:val="en-GB"/>
              </w:rPr>
              <w:t xml:space="preserve">Both lower summer as well as autumn consumption of </w:t>
            </w:r>
            <w:r w:rsidR="009563B3" w:rsidRPr="00D160FB">
              <w:rPr>
                <w:spacing w:val="-4"/>
                <w:lang w:val="en-GB"/>
              </w:rPr>
              <w:t xml:space="preserve">diesel fuel and petrol </w:t>
            </w:r>
            <w:r w:rsidR="001C3855" w:rsidRPr="00D160FB">
              <w:rPr>
                <w:spacing w:val="-4"/>
                <w:lang w:val="en-GB"/>
              </w:rPr>
              <w:t>(</w:t>
            </w:r>
            <w:r w:rsidRPr="00D160FB">
              <w:rPr>
                <w:spacing w:val="-4"/>
                <w:lang w:val="en-GB"/>
              </w:rPr>
              <w:t>mainly due to record high prices</w:t>
            </w:r>
            <w:r w:rsidR="001C3855" w:rsidRPr="00D160FB">
              <w:rPr>
                <w:spacing w:val="-4"/>
                <w:lang w:val="en-GB"/>
              </w:rPr>
              <w:t>)</w:t>
            </w:r>
            <w:r w:rsidR="00D06F7A" w:rsidRPr="00D160FB">
              <w:rPr>
                <w:spacing w:val="-4"/>
                <w:lang w:val="en-GB"/>
              </w:rPr>
              <w:t xml:space="preserve"> and impacts of the lowered tax rate had an effect here</w:t>
            </w:r>
            <w:r w:rsidR="001C3855" w:rsidRPr="00D160FB">
              <w:rPr>
                <w:rStyle w:val="Znakapoznpodarou"/>
                <w:spacing w:val="-4"/>
                <w:lang w:val="en-GB"/>
              </w:rPr>
              <w:footnoteReference w:id="6"/>
            </w:r>
            <w:r w:rsidR="001C3855" w:rsidRPr="00D160FB">
              <w:rPr>
                <w:spacing w:val="-4"/>
                <w:lang w:val="en-GB"/>
              </w:rPr>
              <w:t xml:space="preserve">. </w:t>
            </w:r>
            <w:r w:rsidR="004C64A3" w:rsidRPr="00D160FB">
              <w:rPr>
                <w:spacing w:val="-4"/>
                <w:lang w:val="en-GB"/>
              </w:rPr>
              <w:t xml:space="preserve">Collection of tax on tobaccos products increased by </w:t>
            </w:r>
            <w:r w:rsidR="001C3855" w:rsidRPr="00D160FB">
              <w:rPr>
                <w:spacing w:val="-4"/>
                <w:lang w:val="en-GB"/>
              </w:rPr>
              <w:t>5</w:t>
            </w:r>
            <w:r w:rsidR="004C64A3" w:rsidRPr="00D160FB">
              <w:rPr>
                <w:spacing w:val="-4"/>
                <w:lang w:val="en-GB"/>
              </w:rPr>
              <w:t>.</w:t>
            </w:r>
            <w:r w:rsidR="001C3855" w:rsidRPr="00D160FB">
              <w:rPr>
                <w:spacing w:val="-4"/>
                <w:lang w:val="en-GB"/>
              </w:rPr>
              <w:t>6%</w:t>
            </w:r>
            <w:r w:rsidR="004C64A3" w:rsidRPr="00D160FB">
              <w:rPr>
                <w:spacing w:val="-4"/>
                <w:lang w:val="en-GB"/>
              </w:rPr>
              <w:t xml:space="preserve"> last year and compensated the SB the lower collection of tax on mineral oils </w:t>
            </w:r>
            <w:r w:rsidR="001C3855" w:rsidRPr="00D160FB">
              <w:rPr>
                <w:spacing w:val="-4"/>
                <w:lang w:val="en-GB"/>
              </w:rPr>
              <w:t>(</w:t>
            </w:r>
            <w:r w:rsidR="004C64A3" w:rsidRPr="00D160FB">
              <w:rPr>
                <w:spacing w:val="-4"/>
                <w:lang w:val="en-GB"/>
              </w:rPr>
              <w:t>a decline also occurred here however in Q</w:t>
            </w:r>
            <w:r w:rsidR="001C3855" w:rsidRPr="00D160FB">
              <w:rPr>
                <w:spacing w:val="-4"/>
                <w:lang w:val="en-GB"/>
              </w:rPr>
              <w:t>4</w:t>
            </w:r>
            <w:r w:rsidR="0027401B" w:rsidRPr="00D160FB">
              <w:rPr>
                <w:spacing w:val="-4"/>
                <w:lang w:val="en-GB"/>
              </w:rPr>
              <w:t xml:space="preserve"> </w:t>
            </w:r>
            <w:r w:rsidR="004C64A3" w:rsidRPr="00D160FB">
              <w:rPr>
                <w:spacing w:val="-4"/>
                <w:lang w:val="en-GB"/>
              </w:rPr>
              <w:t>itself</w:t>
            </w:r>
            <w:r w:rsidR="001C3855" w:rsidRPr="00D160FB">
              <w:rPr>
                <w:spacing w:val="-4"/>
                <w:lang w:val="en-GB"/>
              </w:rPr>
              <w:t xml:space="preserve">). </w:t>
            </w:r>
            <w:r w:rsidR="00733638" w:rsidRPr="00D160FB">
              <w:rPr>
                <w:spacing w:val="-4"/>
                <w:lang w:val="en-GB"/>
              </w:rPr>
              <w:t>Higher annual collection mainly reflected the effect of the ongoing increase of tax rate on tobacco products. Total collection of consumption taxes</w:t>
            </w:r>
            <w:r w:rsidR="009563B3" w:rsidRPr="00D160FB">
              <w:rPr>
                <w:spacing w:val="-4"/>
                <w:lang w:val="en-GB"/>
              </w:rPr>
              <w:t xml:space="preserve"> </w:t>
            </w:r>
            <w:r w:rsidR="0013093B" w:rsidRPr="00D160FB">
              <w:rPr>
                <w:spacing w:val="-4"/>
                <w:lang w:val="en-GB"/>
              </w:rPr>
              <w:t>also grew</w:t>
            </w:r>
            <w:r w:rsidR="009563B3" w:rsidRPr="00D160FB">
              <w:rPr>
                <w:spacing w:val="-4"/>
                <w:lang w:val="en-GB"/>
              </w:rPr>
              <w:t xml:space="preserve"> thanks to higher </w:t>
            </w:r>
            <w:r w:rsidR="00ED018F" w:rsidRPr="00D160FB">
              <w:rPr>
                <w:spacing w:val="-4"/>
                <w:lang w:val="en-GB"/>
              </w:rPr>
              <w:t>rate of levy from older solar power generation plants</w:t>
            </w:r>
            <w:r w:rsidR="001C3855" w:rsidRPr="00D160FB">
              <w:rPr>
                <w:spacing w:val="-4"/>
                <w:lang w:val="en-GB"/>
              </w:rPr>
              <w:t xml:space="preserve">, </w:t>
            </w:r>
            <w:r w:rsidR="0013093B" w:rsidRPr="00D160FB">
              <w:rPr>
                <w:spacing w:val="-4"/>
                <w:lang w:val="en-GB"/>
              </w:rPr>
              <w:t xml:space="preserve">the yearly planned collection was not however completely fulfilled here. It was also valid for the collection of tax on alcohol </w:t>
            </w:r>
            <w:r w:rsidR="001C3855" w:rsidRPr="00D160FB">
              <w:rPr>
                <w:spacing w:val="-4"/>
                <w:lang w:val="en-GB"/>
              </w:rPr>
              <w:t>(</w:t>
            </w:r>
            <w:r w:rsidR="0013093B" w:rsidRPr="00D160FB">
              <w:rPr>
                <w:spacing w:val="-4"/>
                <w:lang w:val="en-GB"/>
              </w:rPr>
              <w:t xml:space="preserve">with year-on-year growth of </w:t>
            </w:r>
            <w:r w:rsidR="001C3855" w:rsidRPr="00D160FB">
              <w:rPr>
                <w:spacing w:val="-4"/>
                <w:lang w:val="en-GB"/>
              </w:rPr>
              <w:t>1</w:t>
            </w:r>
            <w:r w:rsidR="0013093B" w:rsidRPr="00D160FB">
              <w:rPr>
                <w:spacing w:val="-4"/>
                <w:lang w:val="en-GB"/>
              </w:rPr>
              <w:t>.</w:t>
            </w:r>
            <w:r w:rsidR="001C3855" w:rsidRPr="00D160FB">
              <w:rPr>
                <w:spacing w:val="-4"/>
                <w:lang w:val="en-GB"/>
              </w:rPr>
              <w:t xml:space="preserve">7%) </w:t>
            </w:r>
            <w:r w:rsidR="0013093B" w:rsidRPr="00D160FB">
              <w:rPr>
                <w:spacing w:val="-4"/>
                <w:lang w:val="en-GB"/>
              </w:rPr>
              <w:t xml:space="preserve">or beer </w:t>
            </w:r>
            <w:r w:rsidR="001C3855" w:rsidRPr="00D160FB">
              <w:rPr>
                <w:spacing w:val="-4"/>
                <w:lang w:val="en-GB"/>
              </w:rPr>
              <w:t>(+6</w:t>
            </w:r>
            <w:r w:rsidR="0013093B" w:rsidRPr="00D160FB">
              <w:rPr>
                <w:spacing w:val="-4"/>
                <w:lang w:val="en-GB"/>
              </w:rPr>
              <w:t>.</w:t>
            </w:r>
            <w:r w:rsidR="001C3855" w:rsidRPr="00D160FB">
              <w:rPr>
                <w:spacing w:val="-4"/>
                <w:lang w:val="en-GB"/>
              </w:rPr>
              <w:t xml:space="preserve">7%). </w:t>
            </w:r>
            <w:r w:rsidR="003E333B" w:rsidRPr="00D160FB">
              <w:rPr>
                <w:spacing w:val="-4"/>
                <w:lang w:val="en-GB"/>
              </w:rPr>
              <w:t xml:space="preserve">The collection of marginal tax on wine fared better </w:t>
            </w:r>
            <w:r w:rsidR="001C3855" w:rsidRPr="00D160FB">
              <w:rPr>
                <w:spacing w:val="-4"/>
                <w:lang w:val="en-GB"/>
              </w:rPr>
              <w:t>(+14</w:t>
            </w:r>
            <w:r w:rsidR="0027401B" w:rsidRPr="00D160FB">
              <w:rPr>
                <w:spacing w:val="-4"/>
                <w:lang w:val="en-GB"/>
              </w:rPr>
              <w:t>.</w:t>
            </w:r>
            <w:r w:rsidR="001C3855" w:rsidRPr="00D160FB">
              <w:rPr>
                <w:spacing w:val="-4"/>
                <w:lang w:val="en-GB"/>
              </w:rPr>
              <w:t>4%)</w:t>
            </w:r>
            <w:r w:rsidR="003E333B" w:rsidRPr="00D160FB">
              <w:rPr>
                <w:spacing w:val="-4"/>
                <w:lang w:val="en-GB"/>
              </w:rPr>
              <w:t xml:space="preserve"> and </w:t>
            </w:r>
            <w:r w:rsidRPr="00D160FB">
              <w:rPr>
                <w:spacing w:val="-4"/>
                <w:lang w:val="en-GB"/>
              </w:rPr>
              <w:t xml:space="preserve">considerably overtook even the pre-crisis level. </w:t>
            </w:r>
          </w:p>
        </w:tc>
      </w:tr>
      <w:tr w:rsidR="001C3855" w:rsidRPr="00D160FB" w14:paraId="158113D4" w14:textId="77777777" w:rsidTr="00C8019E">
        <w:trPr>
          <w:trHeight w:val="145"/>
        </w:trPr>
        <w:tc>
          <w:tcPr>
            <w:tcW w:w="1773" w:type="dxa"/>
            <w:shd w:val="clear" w:color="auto" w:fill="auto"/>
            <w:tcMar>
              <w:left w:w="0" w:type="dxa"/>
            </w:tcMar>
          </w:tcPr>
          <w:p w14:paraId="75717611" w14:textId="14D7934D" w:rsidR="001C3855" w:rsidRPr="00D160FB" w:rsidRDefault="009563B3" w:rsidP="00C8019E">
            <w:pPr>
              <w:pStyle w:val="Marginlie"/>
              <w:rPr>
                <w:color w:val="0D0D0D" w:themeColor="text1" w:themeTint="F2"/>
                <w:lang w:val="en-GB"/>
              </w:rPr>
            </w:pPr>
            <w:r w:rsidRPr="00D160FB">
              <w:rPr>
                <w:color w:val="0D0D0D" w:themeColor="text1" w:themeTint="F2"/>
                <w:lang w:val="en-GB"/>
              </w:rPr>
              <w:lastRenderedPageBreak/>
              <w:t xml:space="preserve">Collection of income tax of legal persons grew fast for the entire last year. </w:t>
            </w:r>
            <w:r w:rsidR="00B40A7D" w:rsidRPr="00D160FB">
              <w:rPr>
                <w:color w:val="0D0D0D" w:themeColor="text1" w:themeTint="F2"/>
                <w:lang w:val="en-GB"/>
              </w:rPr>
              <w:t xml:space="preserve">Large businesses in some branches influenced it positively. </w:t>
            </w:r>
          </w:p>
        </w:tc>
        <w:tc>
          <w:tcPr>
            <w:tcW w:w="217" w:type="dxa"/>
            <w:shd w:val="clear" w:color="auto" w:fill="auto"/>
            <w:tcMar>
              <w:left w:w="0" w:type="dxa"/>
            </w:tcMar>
          </w:tcPr>
          <w:p w14:paraId="1CCB7133" w14:textId="77777777" w:rsidR="001C3855" w:rsidRPr="00D160FB" w:rsidRDefault="001C3855" w:rsidP="00C8019E">
            <w:pPr>
              <w:pStyle w:val="Textpoznpodarou"/>
              <w:jc w:val="both"/>
              <w:rPr>
                <w:color w:val="0D0D0D" w:themeColor="text1" w:themeTint="F2"/>
                <w:spacing w:val="-4"/>
                <w:lang w:val="en-GB"/>
              </w:rPr>
            </w:pPr>
          </w:p>
        </w:tc>
        <w:tc>
          <w:tcPr>
            <w:tcW w:w="7679" w:type="dxa"/>
            <w:shd w:val="clear" w:color="auto" w:fill="auto"/>
            <w:tcMar>
              <w:left w:w="0" w:type="dxa"/>
            </w:tcMar>
          </w:tcPr>
          <w:p w14:paraId="43C2714B" w14:textId="31A33440" w:rsidR="001C3855" w:rsidRPr="00D160FB" w:rsidRDefault="007A2986" w:rsidP="00C8019E">
            <w:pPr>
              <w:spacing w:after="220"/>
              <w:rPr>
                <w:spacing w:val="-4"/>
                <w:lang w:val="en-GB"/>
              </w:rPr>
            </w:pPr>
            <w:r w:rsidRPr="00D160FB">
              <w:rPr>
                <w:spacing w:val="-4"/>
                <w:lang w:val="en-GB"/>
              </w:rPr>
              <w:t xml:space="preserve">SB revenue from the corporate tax ascended to record size </w:t>
            </w:r>
            <w:r w:rsidR="001C3855" w:rsidRPr="00D160FB">
              <w:rPr>
                <w:color w:val="0D0D0D" w:themeColor="text1" w:themeTint="F2"/>
                <w:spacing w:val="-4"/>
                <w:lang w:val="en-GB"/>
              </w:rPr>
              <w:t>(151</w:t>
            </w:r>
            <w:r w:rsidRPr="00D160FB">
              <w:rPr>
                <w:color w:val="0D0D0D" w:themeColor="text1" w:themeTint="F2"/>
                <w:spacing w:val="-4"/>
                <w:lang w:val="en-GB"/>
              </w:rPr>
              <w:t>.</w:t>
            </w:r>
            <w:r w:rsidR="001C3855" w:rsidRPr="00D160FB">
              <w:rPr>
                <w:color w:val="0D0D0D" w:themeColor="text1" w:themeTint="F2"/>
                <w:spacing w:val="-4"/>
                <w:lang w:val="en-GB"/>
              </w:rPr>
              <w:t>5</w:t>
            </w:r>
            <w:r w:rsidRPr="00D160FB">
              <w:rPr>
                <w:color w:val="0D0D0D" w:themeColor="text1" w:themeTint="F2"/>
                <w:spacing w:val="-4"/>
                <w:lang w:val="en-GB"/>
              </w:rPr>
              <w:t xml:space="preserve"> CZK bn</w:t>
            </w:r>
            <w:r w:rsidR="001C3855" w:rsidRPr="00D160FB">
              <w:rPr>
                <w:color w:val="0D0D0D" w:themeColor="text1" w:themeTint="F2"/>
                <w:spacing w:val="-4"/>
                <w:lang w:val="en-GB"/>
              </w:rPr>
              <w:t>)</w:t>
            </w:r>
            <w:r w:rsidRPr="00D160FB">
              <w:rPr>
                <w:color w:val="0D0D0D" w:themeColor="text1" w:themeTint="F2"/>
                <w:spacing w:val="-4"/>
                <w:lang w:val="en-GB"/>
              </w:rPr>
              <w:t xml:space="preserve"> last year</w:t>
            </w:r>
            <w:r w:rsidR="001C3855" w:rsidRPr="00D160FB">
              <w:rPr>
                <w:color w:val="0D0D0D" w:themeColor="text1" w:themeTint="F2"/>
                <w:spacing w:val="-4"/>
                <w:lang w:val="en-GB"/>
              </w:rPr>
              <w:t xml:space="preserve">. </w:t>
            </w:r>
            <w:r w:rsidRPr="00D160FB">
              <w:rPr>
                <w:color w:val="0D0D0D" w:themeColor="text1" w:themeTint="F2"/>
                <w:spacing w:val="-4"/>
                <w:lang w:val="en-GB"/>
              </w:rPr>
              <w:t xml:space="preserve">It strengthened by one sixth year-on-year and </w:t>
            </w:r>
            <w:r w:rsidR="00B40A7D" w:rsidRPr="00D160FB">
              <w:rPr>
                <w:color w:val="0D0D0D" w:themeColor="text1" w:themeTint="F2"/>
                <w:spacing w:val="-4"/>
                <w:lang w:val="en-GB"/>
              </w:rPr>
              <w:t xml:space="preserve">considerably </w:t>
            </w:r>
            <w:r w:rsidR="006D74F7" w:rsidRPr="00D160FB">
              <w:rPr>
                <w:color w:val="0D0D0D" w:themeColor="text1" w:themeTint="F2"/>
                <w:spacing w:val="-4"/>
                <w:lang w:val="en-GB"/>
              </w:rPr>
              <w:t>also surpassed</w:t>
            </w:r>
            <w:r w:rsidR="00B40A7D" w:rsidRPr="00D160FB">
              <w:rPr>
                <w:color w:val="0D0D0D" w:themeColor="text1" w:themeTint="F2"/>
                <w:spacing w:val="-4"/>
                <w:lang w:val="en-GB"/>
              </w:rPr>
              <w:t xml:space="preserve"> the budget anticipations </w:t>
            </w:r>
            <w:r w:rsidR="001C3855" w:rsidRPr="00D160FB">
              <w:rPr>
                <w:spacing w:val="-4"/>
                <w:lang w:val="en-GB"/>
              </w:rPr>
              <w:t>(</w:t>
            </w:r>
            <w:r w:rsidR="00B40A7D" w:rsidRPr="00D160FB">
              <w:rPr>
                <w:spacing w:val="-4"/>
                <w:lang w:val="en-GB"/>
              </w:rPr>
              <w:t xml:space="preserve">by </w:t>
            </w:r>
            <w:r w:rsidR="001C3855" w:rsidRPr="00D160FB">
              <w:rPr>
                <w:spacing w:val="-4"/>
                <w:lang w:val="en-GB"/>
              </w:rPr>
              <w:t>15%, 20</w:t>
            </w:r>
            <w:r w:rsidR="00B40A7D" w:rsidRPr="00D160FB">
              <w:rPr>
                <w:spacing w:val="-4"/>
                <w:lang w:val="en-GB"/>
              </w:rPr>
              <w:t xml:space="preserve"> CZK bn</w:t>
            </w:r>
            <w:r w:rsidR="00C133BB" w:rsidRPr="00D160FB">
              <w:rPr>
                <w:spacing w:val="-4"/>
                <w:lang w:val="en-GB"/>
              </w:rPr>
              <w:t xml:space="preserve"> resp.</w:t>
            </w:r>
            <w:r w:rsidR="001C3855" w:rsidRPr="00D160FB">
              <w:rPr>
                <w:spacing w:val="-4"/>
                <w:lang w:val="en-GB"/>
              </w:rPr>
              <w:t xml:space="preserve">). </w:t>
            </w:r>
            <w:r w:rsidR="006D74F7" w:rsidRPr="00D160FB">
              <w:rPr>
                <w:spacing w:val="-4"/>
                <w:lang w:val="en-GB"/>
              </w:rPr>
              <w:t xml:space="preserve">High June collection had a favourable effect </w:t>
            </w:r>
            <w:r w:rsidR="001C3855" w:rsidRPr="00D160FB">
              <w:rPr>
                <w:spacing w:val="-4"/>
                <w:lang w:val="en-GB"/>
              </w:rPr>
              <w:t>(</w:t>
            </w:r>
            <w:r w:rsidR="006D74F7" w:rsidRPr="00D160FB">
              <w:rPr>
                <w:spacing w:val="-4"/>
                <w:lang w:val="en-GB"/>
              </w:rPr>
              <w:t xml:space="preserve">including both quarter and half-yearly </w:t>
            </w:r>
            <w:r w:rsidR="00FF6072" w:rsidRPr="00D160FB">
              <w:rPr>
                <w:spacing w:val="-4"/>
                <w:lang w:val="en-GB"/>
              </w:rPr>
              <w:t xml:space="preserve">advance tax payments and part of the payment of tax for year </w:t>
            </w:r>
            <w:r w:rsidR="001C3855" w:rsidRPr="00D160FB">
              <w:rPr>
                <w:spacing w:val="-4"/>
                <w:lang w:val="en-GB"/>
              </w:rPr>
              <w:t xml:space="preserve">2021), </w:t>
            </w:r>
            <w:r w:rsidR="00292EB0" w:rsidRPr="00D160FB">
              <w:rPr>
                <w:spacing w:val="-4"/>
                <w:lang w:val="en-GB"/>
              </w:rPr>
              <w:t xml:space="preserve">nevertheless the collection maintained a high dynamic also at the end of the year </w:t>
            </w:r>
            <w:r w:rsidR="001C3855" w:rsidRPr="00D160FB">
              <w:rPr>
                <w:spacing w:val="-4"/>
                <w:lang w:val="en-GB"/>
              </w:rPr>
              <w:t>(</w:t>
            </w:r>
            <w:r w:rsidR="00292EB0" w:rsidRPr="00D160FB">
              <w:rPr>
                <w:spacing w:val="-4"/>
                <w:lang w:val="en-GB"/>
              </w:rPr>
              <w:t>thanks to quarterly tax advance payment</w:t>
            </w:r>
            <w:r w:rsidR="001C3855" w:rsidRPr="00D160FB">
              <w:rPr>
                <w:spacing w:val="-4"/>
                <w:lang w:val="en-GB"/>
              </w:rPr>
              <w:t xml:space="preserve">). </w:t>
            </w:r>
            <w:r w:rsidR="00292EB0" w:rsidRPr="00D160FB">
              <w:rPr>
                <w:spacing w:val="-4"/>
                <w:lang w:val="en-GB"/>
              </w:rPr>
              <w:t xml:space="preserve">Collection of taxes reflected the favourable economic results of some large businesses </w:t>
            </w:r>
            <w:r w:rsidR="001C3855" w:rsidRPr="00D160FB">
              <w:rPr>
                <w:spacing w:val="-4"/>
                <w:lang w:val="en-GB"/>
              </w:rPr>
              <w:t>(</w:t>
            </w:r>
            <w:r w:rsidR="00292EB0" w:rsidRPr="00D160FB">
              <w:rPr>
                <w:spacing w:val="-4"/>
                <w:lang w:val="en-GB"/>
              </w:rPr>
              <w:t>e.g. in the area of energy, trade or financial activities</w:t>
            </w:r>
            <w:r w:rsidR="001C3855" w:rsidRPr="00D160FB">
              <w:rPr>
                <w:spacing w:val="-4"/>
                <w:lang w:val="en-GB"/>
              </w:rPr>
              <w:t xml:space="preserve">). </w:t>
            </w:r>
            <w:r w:rsidR="00244D6A" w:rsidRPr="00D160FB">
              <w:rPr>
                <w:spacing w:val="-4"/>
                <w:lang w:val="en-GB"/>
              </w:rPr>
              <w:t>Legislative amendments influenced the size of collection as well</w:t>
            </w:r>
            <w:r w:rsidR="001C3855" w:rsidRPr="00D160FB">
              <w:rPr>
                <w:rStyle w:val="Znakapoznpodarou"/>
                <w:spacing w:val="-4"/>
                <w:lang w:val="en-GB"/>
              </w:rPr>
              <w:footnoteReference w:id="7"/>
            </w:r>
            <w:r w:rsidR="001C3855" w:rsidRPr="00D160FB">
              <w:rPr>
                <w:spacing w:val="-4"/>
                <w:lang w:val="en-GB"/>
              </w:rPr>
              <w:t>.</w:t>
            </w:r>
          </w:p>
        </w:tc>
      </w:tr>
      <w:tr w:rsidR="001C3855" w:rsidRPr="00D160FB" w14:paraId="23B10FAA" w14:textId="77777777" w:rsidTr="00C8019E">
        <w:trPr>
          <w:trHeight w:val="170"/>
        </w:trPr>
        <w:tc>
          <w:tcPr>
            <w:tcW w:w="1773" w:type="dxa"/>
            <w:vMerge w:val="restart"/>
            <w:shd w:val="clear" w:color="auto" w:fill="auto"/>
            <w:tcMar>
              <w:left w:w="0" w:type="dxa"/>
            </w:tcMar>
          </w:tcPr>
          <w:p w14:paraId="13E26DBB" w14:textId="77777777" w:rsidR="001C3855" w:rsidRPr="00D160FB" w:rsidRDefault="001C3855" w:rsidP="00C8019E">
            <w:pPr>
              <w:pStyle w:val="Marginlie"/>
              <w:rPr>
                <w:lang w:val="en-GB"/>
              </w:rPr>
            </w:pPr>
          </w:p>
        </w:tc>
        <w:tc>
          <w:tcPr>
            <w:tcW w:w="217" w:type="dxa"/>
            <w:vMerge w:val="restart"/>
            <w:shd w:val="clear" w:color="auto" w:fill="auto"/>
            <w:tcMar>
              <w:left w:w="0" w:type="dxa"/>
            </w:tcMar>
          </w:tcPr>
          <w:p w14:paraId="70985DDF"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20562408" w14:textId="3C0FF448" w:rsidR="001C3855" w:rsidRPr="00D160FB" w:rsidRDefault="006B4B60" w:rsidP="00C8019E">
            <w:pPr>
              <w:spacing w:after="20"/>
              <w:rPr>
                <w:rFonts w:cs="Arial"/>
                <w:b/>
                <w:bCs/>
                <w:color w:val="000000"/>
                <w:spacing w:val="-4"/>
                <w:szCs w:val="20"/>
                <w:lang w:val="en-GB"/>
              </w:rPr>
            </w:pPr>
            <w:r w:rsidRPr="00D160FB">
              <w:rPr>
                <w:rFonts w:cs="Arial"/>
                <w:b/>
                <w:bCs/>
                <w:color w:val="000000"/>
                <w:spacing w:val="-4"/>
                <w:szCs w:val="20"/>
                <w:lang w:val="en-GB"/>
              </w:rPr>
              <w:t xml:space="preserve">Chart </w:t>
            </w:r>
            <w:r w:rsidR="008F525A" w:rsidRPr="00D160FB">
              <w:rPr>
                <w:rFonts w:cs="Arial"/>
                <w:b/>
                <w:bCs/>
                <w:color w:val="000000"/>
                <w:spacing w:val="-4"/>
                <w:szCs w:val="20"/>
                <w:lang w:val="en-GB"/>
              </w:rPr>
              <w:t>18</w:t>
            </w:r>
            <w:r w:rsidR="001C3855" w:rsidRPr="00D160FB">
              <w:rPr>
                <w:rFonts w:cs="Arial"/>
                <w:b/>
                <w:bCs/>
                <w:color w:val="000000"/>
                <w:spacing w:val="-4"/>
                <w:szCs w:val="20"/>
                <w:lang w:val="en-GB"/>
              </w:rPr>
              <w:t xml:space="preserve"> </w:t>
            </w:r>
            <w:r w:rsidR="008B1792">
              <w:rPr>
                <w:rFonts w:cs="Arial"/>
                <w:b/>
                <w:bCs/>
                <w:color w:val="000000"/>
                <w:spacing w:val="-4"/>
                <w:szCs w:val="20"/>
                <w:lang w:val="en-GB"/>
              </w:rPr>
              <w:t>State-</w:t>
            </w:r>
            <w:r w:rsidR="0027401B" w:rsidRPr="00D160FB">
              <w:rPr>
                <w:rFonts w:cs="Arial"/>
                <w:b/>
                <w:bCs/>
                <w:color w:val="000000"/>
                <w:spacing w:val="-4"/>
                <w:szCs w:val="20"/>
                <w:lang w:val="en-GB"/>
              </w:rPr>
              <w:t xml:space="preserve">wide collections of </w:t>
            </w:r>
            <w:r w:rsidR="008B1792">
              <w:rPr>
                <w:rFonts w:cs="Arial"/>
                <w:b/>
                <w:bCs/>
                <w:color w:val="000000"/>
                <w:spacing w:val="-4"/>
                <w:szCs w:val="20"/>
                <w:lang w:val="en-GB"/>
              </w:rPr>
              <w:t xml:space="preserve">main </w:t>
            </w:r>
            <w:r w:rsidR="0027401B" w:rsidRPr="00D160FB">
              <w:rPr>
                <w:rFonts w:cs="Arial"/>
                <w:b/>
                <w:bCs/>
                <w:color w:val="000000"/>
                <w:spacing w:val="-4"/>
                <w:szCs w:val="20"/>
                <w:lang w:val="en-GB"/>
              </w:rPr>
              <w:t xml:space="preserve">tax revenues </w:t>
            </w:r>
            <w:r w:rsidR="0027401B" w:rsidRPr="00D160FB">
              <w:rPr>
                <w:rFonts w:cs="Arial"/>
                <w:bCs/>
                <w:lang w:val="en-GB"/>
              </w:rPr>
              <w:t>(y-o-y in %</w:t>
            </w:r>
            <w:r w:rsidR="0027401B" w:rsidRPr="00D160FB">
              <w:rPr>
                <w:bCs/>
                <w:lang w:val="en-GB"/>
              </w:rPr>
              <w:t xml:space="preserve">) </w:t>
            </w:r>
            <w:r w:rsidR="0027401B" w:rsidRPr="00D160FB">
              <w:rPr>
                <w:rFonts w:cs="Arial"/>
                <w:b/>
                <w:bCs/>
                <w:lang w:val="en-GB"/>
              </w:rPr>
              <w:t xml:space="preserve">and state budget balance </w:t>
            </w:r>
            <w:r w:rsidR="0027401B" w:rsidRPr="00D160FB">
              <w:rPr>
                <w:rFonts w:cs="Arial"/>
                <w:bCs/>
                <w:lang w:val="en-GB"/>
              </w:rPr>
              <w:t xml:space="preserve">(annual total, in CZK bn) </w:t>
            </w:r>
          </w:p>
        </w:tc>
      </w:tr>
      <w:tr w:rsidR="001C3855" w:rsidRPr="00D160FB" w14:paraId="003D1381" w14:textId="77777777" w:rsidTr="008B1792">
        <w:tblPrEx>
          <w:tblCellMar>
            <w:left w:w="70" w:type="dxa"/>
            <w:right w:w="70" w:type="dxa"/>
          </w:tblCellMar>
        </w:tblPrEx>
        <w:trPr>
          <w:trHeight w:val="170"/>
        </w:trPr>
        <w:tc>
          <w:tcPr>
            <w:tcW w:w="1773" w:type="dxa"/>
            <w:vMerge/>
            <w:shd w:val="clear" w:color="auto" w:fill="auto"/>
          </w:tcPr>
          <w:p w14:paraId="5AB2AE8B" w14:textId="77777777" w:rsidR="001C3855" w:rsidRPr="00D160FB" w:rsidRDefault="001C3855" w:rsidP="00C8019E">
            <w:pPr>
              <w:pStyle w:val="Marginlie"/>
              <w:rPr>
                <w:lang w:val="en-GB"/>
              </w:rPr>
            </w:pPr>
          </w:p>
        </w:tc>
        <w:tc>
          <w:tcPr>
            <w:tcW w:w="217" w:type="dxa"/>
            <w:vMerge/>
            <w:shd w:val="clear" w:color="auto" w:fill="auto"/>
          </w:tcPr>
          <w:p w14:paraId="13DEF6C5" w14:textId="77777777" w:rsidR="001C3855" w:rsidRPr="00D160FB" w:rsidRDefault="001C3855" w:rsidP="00C8019E">
            <w:pPr>
              <w:pStyle w:val="Textpoznpodarou"/>
              <w:jc w:val="both"/>
              <w:rPr>
                <w:spacing w:val="-4"/>
                <w:lang w:val="en-GB"/>
              </w:rPr>
            </w:pPr>
          </w:p>
        </w:tc>
        <w:tc>
          <w:tcPr>
            <w:tcW w:w="7679" w:type="dxa"/>
            <w:shd w:val="clear" w:color="auto" w:fill="auto"/>
          </w:tcPr>
          <w:p w14:paraId="6BADA919" w14:textId="5B00D1CF" w:rsidR="001C3855" w:rsidRPr="00D160FB" w:rsidRDefault="008B1792" w:rsidP="008B1792">
            <w:pPr>
              <w:spacing w:after="0"/>
              <w:rPr>
                <w:spacing w:val="-6"/>
                <w:lang w:val="en-GB"/>
              </w:rPr>
            </w:pPr>
            <w:r>
              <w:rPr>
                <w:noProof/>
              </w:rPr>
              <w:drawing>
                <wp:inline distT="0" distB="0" distL="0" distR="0" wp14:anchorId="497DE8FF" wp14:editId="696B8B62">
                  <wp:extent cx="4634865" cy="3571875"/>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C3855" w:rsidRPr="00D160FB" w14:paraId="2A301204" w14:textId="77777777" w:rsidTr="00C8019E">
        <w:trPr>
          <w:trHeight w:val="170"/>
        </w:trPr>
        <w:tc>
          <w:tcPr>
            <w:tcW w:w="1773" w:type="dxa"/>
            <w:vMerge/>
            <w:shd w:val="clear" w:color="auto" w:fill="auto"/>
            <w:tcMar>
              <w:left w:w="0" w:type="dxa"/>
            </w:tcMar>
          </w:tcPr>
          <w:p w14:paraId="4221F33C" w14:textId="77777777" w:rsidR="001C3855" w:rsidRPr="00D160FB" w:rsidRDefault="001C3855" w:rsidP="00C8019E">
            <w:pPr>
              <w:pStyle w:val="Marginlie"/>
              <w:rPr>
                <w:lang w:val="en-GB"/>
              </w:rPr>
            </w:pPr>
          </w:p>
        </w:tc>
        <w:tc>
          <w:tcPr>
            <w:tcW w:w="217" w:type="dxa"/>
            <w:vMerge/>
            <w:shd w:val="clear" w:color="auto" w:fill="auto"/>
            <w:tcMar>
              <w:left w:w="0" w:type="dxa"/>
            </w:tcMar>
          </w:tcPr>
          <w:p w14:paraId="2B7D278E"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7B6343E1" w14:textId="7D8186F6" w:rsidR="0027401B" w:rsidRPr="008B1792" w:rsidRDefault="00905037" w:rsidP="008B1792">
            <w:pPr>
              <w:spacing w:after="0"/>
              <w:jc w:val="left"/>
              <w:rPr>
                <w:rFonts w:cs="Arial"/>
                <w:spacing w:val="-6"/>
                <w:sz w:val="16"/>
                <w:szCs w:val="16"/>
                <w:lang w:val="en-GB"/>
              </w:rPr>
            </w:pPr>
            <w:r w:rsidRPr="00905037">
              <w:rPr>
                <w:rFonts w:cs="Arial"/>
                <w:spacing w:val="-6"/>
                <w:sz w:val="14"/>
                <w:szCs w:val="14"/>
                <w:lang w:val="en-GB"/>
              </w:rPr>
              <w:t>*</w:t>
            </w:r>
            <w:r w:rsidR="0069610F" w:rsidRPr="00905037">
              <w:rPr>
                <w:rFonts w:cs="Arial"/>
                <w:spacing w:val="-6"/>
                <w:sz w:val="14"/>
                <w:szCs w:val="14"/>
                <w:lang w:val="en-GB"/>
              </w:rPr>
              <w:t xml:space="preserve">SB balance adjusted </w:t>
            </w:r>
            <w:r w:rsidRPr="00905037">
              <w:rPr>
                <w:rFonts w:cs="Arial"/>
                <w:spacing w:val="-6"/>
                <w:sz w:val="14"/>
                <w:szCs w:val="14"/>
                <w:lang w:val="en-GB"/>
              </w:rPr>
              <w:t>for both</w:t>
            </w:r>
            <w:r w:rsidR="008B1792" w:rsidRPr="00905037">
              <w:rPr>
                <w:rFonts w:cs="Arial"/>
                <w:spacing w:val="-6"/>
                <w:sz w:val="14"/>
                <w:szCs w:val="14"/>
                <w:lang w:val="en-GB"/>
              </w:rPr>
              <w:t xml:space="preserve"> revenues and expenditures connected to EU</w:t>
            </w:r>
            <w:r w:rsidRPr="00905037">
              <w:rPr>
                <w:rFonts w:cs="Arial"/>
                <w:spacing w:val="-6"/>
                <w:sz w:val="14"/>
                <w:szCs w:val="14"/>
                <w:lang w:val="en-GB"/>
              </w:rPr>
              <w:t xml:space="preserve">/FM. </w:t>
            </w:r>
            <w:r w:rsidRPr="00905037">
              <w:rPr>
                <w:spacing w:val="-2"/>
                <w:sz w:val="14"/>
                <w:szCs w:val="14"/>
                <w:lang w:val="en-GB"/>
              </w:rPr>
              <w:t>Data adjusted for effect of EU funds and Financial mechanisms are available since year 2013.</w:t>
            </w:r>
          </w:p>
        </w:tc>
      </w:tr>
      <w:tr w:rsidR="001C3855" w:rsidRPr="00D160FB" w14:paraId="65F5F6A7" w14:textId="77777777" w:rsidTr="00C8019E">
        <w:trPr>
          <w:trHeight w:val="170"/>
        </w:trPr>
        <w:tc>
          <w:tcPr>
            <w:tcW w:w="1773" w:type="dxa"/>
            <w:shd w:val="clear" w:color="auto" w:fill="auto"/>
            <w:tcMar>
              <w:left w:w="0" w:type="dxa"/>
            </w:tcMar>
          </w:tcPr>
          <w:p w14:paraId="112FDFEC" w14:textId="77777777" w:rsidR="001C3855" w:rsidRPr="00D160FB" w:rsidRDefault="001C3855" w:rsidP="00C8019E">
            <w:pPr>
              <w:pStyle w:val="Marginlie"/>
              <w:rPr>
                <w:lang w:val="en-GB"/>
              </w:rPr>
            </w:pPr>
          </w:p>
        </w:tc>
        <w:tc>
          <w:tcPr>
            <w:tcW w:w="217" w:type="dxa"/>
            <w:shd w:val="clear" w:color="auto" w:fill="auto"/>
            <w:tcMar>
              <w:left w:w="0" w:type="dxa"/>
            </w:tcMar>
          </w:tcPr>
          <w:p w14:paraId="74AE2A9C"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58A5A69F" w14:textId="278B3C1B" w:rsidR="001C3855" w:rsidRPr="00D160FB" w:rsidRDefault="00905037" w:rsidP="00905037">
            <w:pPr>
              <w:tabs>
                <w:tab w:val="right" w:pos="7683"/>
              </w:tabs>
              <w:spacing w:after="200"/>
              <w:jc w:val="left"/>
              <w:rPr>
                <w:spacing w:val="-2"/>
                <w:sz w:val="14"/>
                <w:szCs w:val="14"/>
                <w:lang w:val="en-GB"/>
              </w:rPr>
            </w:pPr>
            <w:r w:rsidRPr="00905037">
              <w:rPr>
                <w:spacing w:val="-2"/>
                <w:sz w:val="14"/>
                <w:szCs w:val="14"/>
                <w:lang w:val="en-GB"/>
              </w:rPr>
              <w:t>Source: MF CR</w:t>
            </w:r>
          </w:p>
        </w:tc>
      </w:tr>
      <w:tr w:rsidR="001C3855" w:rsidRPr="00D160FB" w14:paraId="79EF87AA" w14:textId="77777777" w:rsidTr="00C8019E">
        <w:trPr>
          <w:trHeight w:val="170"/>
        </w:trPr>
        <w:tc>
          <w:tcPr>
            <w:tcW w:w="1773" w:type="dxa"/>
            <w:shd w:val="clear" w:color="auto" w:fill="auto"/>
            <w:tcMar>
              <w:left w:w="0" w:type="dxa"/>
            </w:tcMar>
          </w:tcPr>
          <w:p w14:paraId="28045D28" w14:textId="724A31D0" w:rsidR="001C3855" w:rsidRPr="00D160FB" w:rsidRDefault="00B46637" w:rsidP="00C8019E">
            <w:pPr>
              <w:pStyle w:val="Marginlie"/>
              <w:rPr>
                <w:spacing w:val="-4"/>
                <w:lang w:val="en-GB"/>
              </w:rPr>
            </w:pPr>
            <w:r w:rsidRPr="00D160FB">
              <w:rPr>
                <w:spacing w:val="-4"/>
                <w:lang w:val="en-GB"/>
              </w:rPr>
              <w:lastRenderedPageBreak/>
              <w:t>Growth of ITNP collection paid by payers increased thanks to favourable development on the labour market. Legislative amendments had an opposite effect.</w:t>
            </w:r>
          </w:p>
          <w:p w14:paraId="4A767E01" w14:textId="77777777" w:rsidR="001C3855" w:rsidRPr="00D160FB" w:rsidRDefault="001C3855" w:rsidP="00C8019E">
            <w:pPr>
              <w:pStyle w:val="Marginlie"/>
              <w:rPr>
                <w:spacing w:val="-4"/>
                <w:lang w:val="en-GB"/>
              </w:rPr>
            </w:pPr>
          </w:p>
          <w:p w14:paraId="3ECCC83A" w14:textId="77777777" w:rsidR="001C3855" w:rsidRPr="00D160FB" w:rsidRDefault="001C3855" w:rsidP="00C8019E">
            <w:pPr>
              <w:pStyle w:val="Marginlie"/>
              <w:rPr>
                <w:spacing w:val="-4"/>
                <w:lang w:val="en-GB"/>
              </w:rPr>
            </w:pPr>
          </w:p>
          <w:p w14:paraId="512A2712" w14:textId="77777777" w:rsidR="001C3855" w:rsidRPr="00D160FB" w:rsidRDefault="001C3855" w:rsidP="00C8019E">
            <w:pPr>
              <w:pStyle w:val="Marginlie"/>
              <w:rPr>
                <w:spacing w:val="-4"/>
                <w:lang w:val="en-GB"/>
              </w:rPr>
            </w:pPr>
          </w:p>
          <w:p w14:paraId="5929BAC0" w14:textId="77777777" w:rsidR="001C3855" w:rsidRPr="00D160FB" w:rsidRDefault="001C3855" w:rsidP="00C8019E">
            <w:pPr>
              <w:pStyle w:val="Marginlie"/>
              <w:rPr>
                <w:spacing w:val="-4"/>
                <w:lang w:val="en-GB"/>
              </w:rPr>
            </w:pPr>
          </w:p>
          <w:p w14:paraId="30EE3017" w14:textId="77777777" w:rsidR="001C3855" w:rsidRPr="00D160FB" w:rsidRDefault="001C3855" w:rsidP="00C8019E">
            <w:pPr>
              <w:pStyle w:val="Marginlie"/>
              <w:rPr>
                <w:spacing w:val="-4"/>
                <w:lang w:val="en-GB"/>
              </w:rPr>
            </w:pPr>
          </w:p>
          <w:p w14:paraId="3CB7C21D" w14:textId="561DDBD6" w:rsidR="001C3855" w:rsidRPr="00D160FB" w:rsidRDefault="000200D8" w:rsidP="00C8019E">
            <w:pPr>
              <w:pStyle w:val="Marginlie"/>
              <w:rPr>
                <w:spacing w:val="-4"/>
                <w:lang w:val="en-GB"/>
              </w:rPr>
            </w:pPr>
            <w:r w:rsidRPr="00D160FB">
              <w:rPr>
                <w:spacing w:val="-4"/>
                <w:lang w:val="en-GB"/>
              </w:rPr>
              <w:t xml:space="preserve">ITNP collection collected by deduction recorded a high growth. </w:t>
            </w:r>
          </w:p>
          <w:p w14:paraId="709EB19E" w14:textId="77777777" w:rsidR="001C3855" w:rsidRPr="00D160FB" w:rsidRDefault="001C3855" w:rsidP="00C8019E">
            <w:pPr>
              <w:pStyle w:val="Marginlie"/>
              <w:rPr>
                <w:lang w:val="en-GB"/>
              </w:rPr>
            </w:pPr>
          </w:p>
        </w:tc>
        <w:tc>
          <w:tcPr>
            <w:tcW w:w="217" w:type="dxa"/>
            <w:shd w:val="clear" w:color="auto" w:fill="auto"/>
            <w:tcMar>
              <w:left w:w="0" w:type="dxa"/>
            </w:tcMar>
          </w:tcPr>
          <w:p w14:paraId="1310E77F"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0A8DB899" w14:textId="395C3CBD" w:rsidR="001C3855" w:rsidRPr="00D160FB" w:rsidRDefault="001C3855" w:rsidP="00C8019E">
            <w:pPr>
              <w:spacing w:after="220"/>
              <w:rPr>
                <w:spacing w:val="-4"/>
                <w:lang w:val="en-GB"/>
              </w:rPr>
            </w:pPr>
            <w:r w:rsidRPr="00D160FB">
              <w:rPr>
                <w:spacing w:val="-4"/>
                <w:lang w:val="en-GB"/>
              </w:rPr>
              <w:t>13</w:t>
            </w:r>
            <w:r w:rsidR="00B46637" w:rsidRPr="00D160FB">
              <w:rPr>
                <w:spacing w:val="-4"/>
                <w:lang w:val="en-GB"/>
              </w:rPr>
              <w:t>.</w:t>
            </w:r>
            <w:r w:rsidRPr="00D160FB">
              <w:rPr>
                <w:spacing w:val="-4"/>
                <w:lang w:val="en-GB"/>
              </w:rPr>
              <w:t>4%</w:t>
            </w:r>
            <w:r w:rsidR="00B46637" w:rsidRPr="00D160FB">
              <w:rPr>
                <w:spacing w:val="-4"/>
                <w:lang w:val="en-GB"/>
              </w:rPr>
              <w:t xml:space="preserve"> more flowed into the SB from the collection of the income tax of natural persons (ITNP) year-on-year, which was affected both by the higher employment and brisk nominal growth of average wages in the business sphere. </w:t>
            </w:r>
            <w:r w:rsidR="007B289A" w:rsidRPr="00D160FB">
              <w:rPr>
                <w:spacing w:val="-4"/>
                <w:lang w:val="en-GB"/>
              </w:rPr>
              <w:t xml:space="preserve">With the retreat of pandemics </w:t>
            </w:r>
            <w:r w:rsidR="00443291" w:rsidRPr="00D160FB">
              <w:rPr>
                <w:spacing w:val="-4"/>
                <w:lang w:val="en-GB"/>
              </w:rPr>
              <w:t>the rol</w:t>
            </w:r>
            <w:r w:rsidR="007B289A" w:rsidRPr="00D160FB">
              <w:rPr>
                <w:spacing w:val="-4"/>
                <w:lang w:val="en-GB"/>
              </w:rPr>
              <w:t xml:space="preserve">e of the formerly paid out compensation bonuses </w:t>
            </w:r>
            <w:r w:rsidRPr="00D160FB">
              <w:rPr>
                <w:spacing w:val="-4"/>
                <w:lang w:val="en-GB"/>
              </w:rPr>
              <w:t>(</w:t>
            </w:r>
            <w:r w:rsidR="007B289A" w:rsidRPr="00D160FB">
              <w:rPr>
                <w:spacing w:val="-4"/>
                <w:lang w:val="en-GB"/>
              </w:rPr>
              <w:t>to aid small businesses</w:t>
            </w:r>
            <w:r w:rsidRPr="00D160FB">
              <w:rPr>
                <w:spacing w:val="-4"/>
                <w:lang w:val="en-GB"/>
              </w:rPr>
              <w:t>)</w:t>
            </w:r>
            <w:r w:rsidR="007B289A" w:rsidRPr="00D160FB">
              <w:rPr>
                <w:spacing w:val="-4"/>
                <w:lang w:val="en-GB"/>
              </w:rPr>
              <w:t xml:space="preserve"> weakened</w:t>
            </w:r>
            <w:r w:rsidRPr="00D160FB">
              <w:rPr>
                <w:spacing w:val="-4"/>
                <w:lang w:val="en-GB"/>
              </w:rPr>
              <w:t xml:space="preserve">, </w:t>
            </w:r>
            <w:r w:rsidR="007B289A" w:rsidRPr="00D160FB">
              <w:rPr>
                <w:spacing w:val="-4"/>
                <w:lang w:val="en-GB"/>
              </w:rPr>
              <w:t>which significantly dwindled the ITNP collection still in year 2</w:t>
            </w:r>
            <w:r w:rsidRPr="00D160FB">
              <w:rPr>
                <w:spacing w:val="-4"/>
                <w:lang w:val="en-GB"/>
              </w:rPr>
              <w:t>021</w:t>
            </w:r>
            <w:r w:rsidR="007B289A" w:rsidRPr="00D160FB">
              <w:rPr>
                <w:spacing w:val="-4"/>
                <w:lang w:val="en-GB"/>
              </w:rPr>
              <w:t xml:space="preserve">. Legislative amendments had the opposite effect </w:t>
            </w:r>
            <w:r w:rsidRPr="00D160FB">
              <w:rPr>
                <w:spacing w:val="-4"/>
                <w:lang w:val="en-GB"/>
              </w:rPr>
              <w:t>(</w:t>
            </w:r>
            <w:r w:rsidR="007B289A" w:rsidRPr="00D160FB">
              <w:rPr>
                <w:spacing w:val="-4"/>
                <w:lang w:val="en-GB"/>
              </w:rPr>
              <w:t xml:space="preserve">continuing increase of the tax rebate per taxpayer, </w:t>
            </w:r>
            <w:r w:rsidR="009F01E6" w:rsidRPr="00D160FB">
              <w:rPr>
                <w:spacing w:val="-4"/>
                <w:lang w:val="en-GB"/>
              </w:rPr>
              <w:t xml:space="preserve">higher tax deduction on children or </w:t>
            </w:r>
            <w:r w:rsidR="00121854" w:rsidRPr="00D160FB">
              <w:rPr>
                <w:spacing w:val="-4"/>
                <w:lang w:val="en-GB"/>
              </w:rPr>
              <w:t>abolishment of the ceiling to use tax bonus</w:t>
            </w:r>
            <w:r w:rsidRPr="00D160FB">
              <w:rPr>
                <w:spacing w:val="-4"/>
                <w:lang w:val="en-GB"/>
              </w:rPr>
              <w:t xml:space="preserve">). </w:t>
            </w:r>
            <w:r w:rsidR="00C800C9" w:rsidRPr="00D160FB">
              <w:rPr>
                <w:spacing w:val="-4"/>
                <w:lang w:val="en-GB"/>
              </w:rPr>
              <w:t>The key tax by volume paid by the payers (on behalf of employees) contributed the most to the ITNP collection growth</w:t>
            </w:r>
            <w:r w:rsidRPr="00D160FB">
              <w:rPr>
                <w:spacing w:val="-4"/>
                <w:lang w:val="en-GB"/>
              </w:rPr>
              <w:t xml:space="preserve">, </w:t>
            </w:r>
            <w:r w:rsidR="008D0759" w:rsidRPr="00D160FB">
              <w:rPr>
                <w:spacing w:val="-4"/>
                <w:lang w:val="en-GB"/>
              </w:rPr>
              <w:t xml:space="preserve">whose collection increased by even </w:t>
            </w:r>
            <w:r w:rsidRPr="00D160FB">
              <w:rPr>
                <w:spacing w:val="-4"/>
                <w:lang w:val="en-GB"/>
              </w:rPr>
              <w:t>8%</w:t>
            </w:r>
            <w:r w:rsidR="008D0759" w:rsidRPr="00D160FB">
              <w:rPr>
                <w:spacing w:val="-4"/>
                <w:lang w:val="en-GB"/>
              </w:rPr>
              <w:t xml:space="preserve"> year-on-year</w:t>
            </w:r>
            <w:r w:rsidRPr="00D160FB">
              <w:rPr>
                <w:spacing w:val="-4"/>
                <w:lang w:val="en-GB"/>
              </w:rPr>
              <w:t xml:space="preserve"> (7 </w:t>
            </w:r>
            <w:r w:rsidR="008D0759" w:rsidRPr="00D160FB">
              <w:rPr>
                <w:spacing w:val="-4"/>
                <w:lang w:val="en-GB"/>
              </w:rPr>
              <w:t>CZK bn</w:t>
            </w:r>
            <w:r w:rsidR="00C133BB" w:rsidRPr="00D160FB">
              <w:rPr>
                <w:spacing w:val="-4"/>
                <w:lang w:val="en-GB"/>
              </w:rPr>
              <w:t xml:space="preserve"> resp.</w:t>
            </w:r>
            <w:r w:rsidRPr="00D160FB">
              <w:rPr>
                <w:spacing w:val="-4"/>
                <w:lang w:val="en-GB"/>
              </w:rPr>
              <w:t>)</w:t>
            </w:r>
            <w:r w:rsidRPr="00D160FB">
              <w:rPr>
                <w:rStyle w:val="Znakapoznpodarou"/>
                <w:spacing w:val="-4"/>
                <w:lang w:val="en-GB"/>
              </w:rPr>
              <w:footnoteReference w:id="8"/>
            </w:r>
            <w:r w:rsidRPr="00D160FB">
              <w:rPr>
                <w:spacing w:val="-4"/>
                <w:lang w:val="en-GB"/>
              </w:rPr>
              <w:t xml:space="preserve">. </w:t>
            </w:r>
            <w:r w:rsidR="00C800C9" w:rsidRPr="00D160FB">
              <w:rPr>
                <w:spacing w:val="-4"/>
                <w:lang w:val="en-GB"/>
              </w:rPr>
              <w:t xml:space="preserve">Collection of other income taxes of natural persons grew more dynamically </w:t>
            </w:r>
            <w:r w:rsidRPr="00D160FB">
              <w:rPr>
                <w:spacing w:val="-4"/>
                <w:lang w:val="en-GB"/>
              </w:rPr>
              <w:t xml:space="preserve">– </w:t>
            </w:r>
            <w:r w:rsidR="00C800C9" w:rsidRPr="00D160FB">
              <w:rPr>
                <w:spacing w:val="-4"/>
                <w:lang w:val="en-GB"/>
              </w:rPr>
              <w:t>both for ITNP payers, re</w:t>
            </w:r>
            <w:r w:rsidR="00443291" w:rsidRPr="00D160FB">
              <w:rPr>
                <w:spacing w:val="-4"/>
                <w:lang w:val="en-GB"/>
              </w:rPr>
              <w:t>sp</w:t>
            </w:r>
            <w:r w:rsidR="00C800C9" w:rsidRPr="00D160FB">
              <w:rPr>
                <w:spacing w:val="-4"/>
                <w:lang w:val="en-GB"/>
              </w:rPr>
              <w:t xml:space="preserve">. persons lodging </w:t>
            </w:r>
            <w:r w:rsidR="00D130FB" w:rsidRPr="00D160FB">
              <w:rPr>
                <w:spacing w:val="-4"/>
                <w:lang w:val="en-GB"/>
              </w:rPr>
              <w:t xml:space="preserve">tax returns </w:t>
            </w:r>
            <w:r w:rsidRPr="00D160FB">
              <w:rPr>
                <w:spacing w:val="-4"/>
                <w:lang w:val="en-GB"/>
              </w:rPr>
              <w:t>(+45%)</w:t>
            </w:r>
            <w:r w:rsidR="00D130FB" w:rsidRPr="00D160FB">
              <w:rPr>
                <w:spacing w:val="-4"/>
                <w:lang w:val="en-GB"/>
              </w:rPr>
              <w:t xml:space="preserve"> thanks to economic recovery the year before the last as well as the adjustment of the tax rate for high incomes</w:t>
            </w:r>
            <w:r w:rsidR="006E56AE" w:rsidRPr="00D160FB">
              <w:rPr>
                <w:spacing w:val="-4"/>
                <w:lang w:val="en-GB"/>
              </w:rPr>
              <w:t xml:space="preserve"> and for the deduction tax </w:t>
            </w:r>
            <w:r w:rsidRPr="00D160FB">
              <w:rPr>
                <w:spacing w:val="-4"/>
                <w:lang w:val="en-GB"/>
              </w:rPr>
              <w:t xml:space="preserve">(+30%) </w:t>
            </w:r>
            <w:r w:rsidR="006E56AE" w:rsidRPr="00D160FB">
              <w:rPr>
                <w:spacing w:val="-4"/>
                <w:lang w:val="en-GB"/>
              </w:rPr>
              <w:t xml:space="preserve">due to growth of the interest rates on deposits as well as increase of the number of persons working in the form of work agreements </w:t>
            </w:r>
            <w:r w:rsidRPr="00D160FB">
              <w:rPr>
                <w:spacing w:val="-4"/>
                <w:lang w:val="en-GB"/>
              </w:rPr>
              <w:t>(</w:t>
            </w:r>
            <w:r w:rsidR="006E56AE" w:rsidRPr="00D160FB">
              <w:rPr>
                <w:spacing w:val="-4"/>
                <w:lang w:val="en-GB"/>
              </w:rPr>
              <w:t>partially related to the integration of the Ukrainian refugees on the domestic work market</w:t>
            </w:r>
            <w:r w:rsidRPr="00D160FB">
              <w:rPr>
                <w:spacing w:val="-4"/>
                <w:lang w:val="en-GB"/>
              </w:rPr>
              <w:t>).</w:t>
            </w:r>
          </w:p>
        </w:tc>
      </w:tr>
      <w:tr w:rsidR="001C3855" w:rsidRPr="00D160FB" w14:paraId="12B883BD" w14:textId="77777777" w:rsidTr="00C8019E">
        <w:trPr>
          <w:trHeight w:val="170"/>
        </w:trPr>
        <w:tc>
          <w:tcPr>
            <w:tcW w:w="1773" w:type="dxa"/>
            <w:shd w:val="clear" w:color="auto" w:fill="auto"/>
            <w:tcMar>
              <w:left w:w="0" w:type="dxa"/>
            </w:tcMar>
          </w:tcPr>
          <w:p w14:paraId="75348CE6" w14:textId="1EBE998C" w:rsidR="001C3855" w:rsidRPr="00D160FB" w:rsidRDefault="001C3855" w:rsidP="00C8019E">
            <w:pPr>
              <w:pStyle w:val="Marginlie"/>
              <w:rPr>
                <w:color w:val="0D0D0D" w:themeColor="text1" w:themeTint="F2"/>
                <w:lang w:val="en-GB"/>
              </w:rPr>
            </w:pPr>
          </w:p>
        </w:tc>
        <w:tc>
          <w:tcPr>
            <w:tcW w:w="217" w:type="dxa"/>
            <w:shd w:val="clear" w:color="auto" w:fill="auto"/>
            <w:tcMar>
              <w:left w:w="0" w:type="dxa"/>
            </w:tcMar>
          </w:tcPr>
          <w:p w14:paraId="7C0E5567" w14:textId="77777777" w:rsidR="001C3855" w:rsidRPr="00D160FB" w:rsidRDefault="001C3855" w:rsidP="00C8019E">
            <w:pPr>
              <w:pStyle w:val="Textpoznpodarou"/>
              <w:jc w:val="both"/>
              <w:rPr>
                <w:color w:val="0D0D0D" w:themeColor="text1" w:themeTint="F2"/>
                <w:spacing w:val="-4"/>
                <w:lang w:val="en-GB"/>
              </w:rPr>
            </w:pPr>
          </w:p>
        </w:tc>
        <w:tc>
          <w:tcPr>
            <w:tcW w:w="7679" w:type="dxa"/>
            <w:shd w:val="clear" w:color="auto" w:fill="auto"/>
            <w:tcMar>
              <w:left w:w="0" w:type="dxa"/>
            </w:tcMar>
          </w:tcPr>
          <w:p w14:paraId="4CEF4861" w14:textId="02694DE1" w:rsidR="001C3855" w:rsidRPr="00D160FB" w:rsidRDefault="008D0759" w:rsidP="00C8019E">
            <w:pPr>
              <w:spacing w:after="200"/>
              <w:rPr>
                <w:color w:val="0D0D0D" w:themeColor="text1" w:themeTint="F2"/>
                <w:spacing w:val="-4"/>
                <w:lang w:val="en-GB"/>
              </w:rPr>
            </w:pPr>
            <w:r w:rsidRPr="00D160FB">
              <w:rPr>
                <w:color w:val="0D0D0D" w:themeColor="text1" w:themeTint="F2"/>
                <w:spacing w:val="-4"/>
                <w:lang w:val="en-GB"/>
              </w:rPr>
              <w:t xml:space="preserve">Total SB outlays mildly increased year-on-year last year </w:t>
            </w:r>
            <w:r w:rsidR="001C3855" w:rsidRPr="00D160FB">
              <w:rPr>
                <w:color w:val="0D0D0D" w:themeColor="text1" w:themeTint="F2"/>
                <w:spacing w:val="-4"/>
                <w:lang w:val="en-GB"/>
              </w:rPr>
              <w:t>(+4</w:t>
            </w:r>
            <w:r w:rsidRPr="00D160FB">
              <w:rPr>
                <w:color w:val="0D0D0D" w:themeColor="text1" w:themeTint="F2"/>
                <w:spacing w:val="-4"/>
                <w:lang w:val="en-GB"/>
              </w:rPr>
              <w:t>.</w:t>
            </w:r>
            <w:r w:rsidR="001C3855" w:rsidRPr="00D160FB">
              <w:rPr>
                <w:color w:val="0D0D0D" w:themeColor="text1" w:themeTint="F2"/>
                <w:spacing w:val="-4"/>
                <w:lang w:val="en-GB"/>
              </w:rPr>
              <w:t>1%, 77</w:t>
            </w:r>
            <w:r w:rsidRPr="00D160FB">
              <w:rPr>
                <w:color w:val="0D0D0D" w:themeColor="text1" w:themeTint="F2"/>
                <w:spacing w:val="-4"/>
                <w:lang w:val="en-GB"/>
              </w:rPr>
              <w:t>.</w:t>
            </w:r>
            <w:r w:rsidR="001C3855" w:rsidRPr="00D160FB">
              <w:rPr>
                <w:color w:val="0D0D0D" w:themeColor="text1" w:themeTint="F2"/>
                <w:spacing w:val="-4"/>
                <w:lang w:val="en-GB"/>
              </w:rPr>
              <w:t>8</w:t>
            </w:r>
            <w:r w:rsidRPr="00D160FB">
              <w:rPr>
                <w:color w:val="0D0D0D" w:themeColor="text1" w:themeTint="F2"/>
                <w:spacing w:val="-4"/>
                <w:lang w:val="en-GB"/>
              </w:rPr>
              <w:t xml:space="preserve"> CZK bn</w:t>
            </w:r>
            <w:r w:rsidR="00C133BB" w:rsidRPr="00D160FB">
              <w:rPr>
                <w:color w:val="0D0D0D" w:themeColor="text1" w:themeTint="F2"/>
                <w:spacing w:val="-4"/>
                <w:lang w:val="en-GB"/>
              </w:rPr>
              <w:t xml:space="preserve"> resp.</w:t>
            </w:r>
            <w:r w:rsidR="001C3855" w:rsidRPr="00D160FB">
              <w:rPr>
                <w:color w:val="0D0D0D" w:themeColor="text1" w:themeTint="F2"/>
                <w:spacing w:val="-4"/>
                <w:lang w:val="en-GB"/>
              </w:rPr>
              <w:t>),</w:t>
            </w:r>
            <w:r w:rsidRPr="00D160FB">
              <w:rPr>
                <w:color w:val="0D0D0D" w:themeColor="text1" w:themeTint="F2"/>
                <w:spacing w:val="-4"/>
                <w:lang w:val="en-GB"/>
              </w:rPr>
              <w:t xml:space="preserve"> </w:t>
            </w:r>
            <w:r w:rsidR="00826AE7" w:rsidRPr="00D160FB">
              <w:rPr>
                <w:color w:val="0D0D0D" w:themeColor="text1" w:themeTint="F2"/>
                <w:spacing w:val="-4"/>
                <w:lang w:val="en-GB"/>
              </w:rPr>
              <w:t xml:space="preserve">greatly assisted by the current outlays </w:t>
            </w:r>
            <w:r w:rsidR="001C3855" w:rsidRPr="00D160FB">
              <w:rPr>
                <w:color w:val="0D0D0D" w:themeColor="text1" w:themeTint="F2"/>
                <w:spacing w:val="-4"/>
                <w:lang w:val="en-GB"/>
              </w:rPr>
              <w:t>(+68</w:t>
            </w:r>
            <w:r w:rsidR="00826AE7" w:rsidRPr="00D160FB">
              <w:rPr>
                <w:color w:val="0D0D0D" w:themeColor="text1" w:themeTint="F2"/>
                <w:spacing w:val="-4"/>
                <w:lang w:val="en-GB"/>
              </w:rPr>
              <w:t>.</w:t>
            </w:r>
            <w:r w:rsidR="001C3855" w:rsidRPr="00D160FB">
              <w:rPr>
                <w:color w:val="0D0D0D" w:themeColor="text1" w:themeTint="F2"/>
                <w:spacing w:val="-4"/>
                <w:lang w:val="en-GB"/>
              </w:rPr>
              <w:t>2</w:t>
            </w:r>
            <w:r w:rsidR="00826AE7" w:rsidRPr="00D160FB">
              <w:rPr>
                <w:color w:val="0D0D0D" w:themeColor="text1" w:themeTint="F2"/>
                <w:spacing w:val="-4"/>
                <w:lang w:val="en-GB"/>
              </w:rPr>
              <w:t xml:space="preserve"> CZK bn</w:t>
            </w:r>
            <w:r w:rsidR="001C3855" w:rsidRPr="00D160FB">
              <w:rPr>
                <w:color w:val="0D0D0D" w:themeColor="text1" w:themeTint="F2"/>
                <w:spacing w:val="-4"/>
                <w:lang w:val="en-GB"/>
              </w:rPr>
              <w:t xml:space="preserve">), </w:t>
            </w:r>
            <w:r w:rsidR="00826AE7" w:rsidRPr="00D160FB">
              <w:rPr>
                <w:color w:val="0D0D0D" w:themeColor="text1" w:themeTint="F2"/>
                <w:spacing w:val="-4"/>
                <w:lang w:val="en-GB"/>
              </w:rPr>
              <w:t xml:space="preserve">one order less than investment. Drawing of outlays </w:t>
            </w:r>
            <w:r w:rsidRPr="00D160FB">
              <w:rPr>
                <w:color w:val="0D0D0D" w:themeColor="text1" w:themeTint="F2"/>
                <w:spacing w:val="-4"/>
                <w:lang w:val="en-GB"/>
              </w:rPr>
              <w:t>was more uneven</w:t>
            </w:r>
            <w:r w:rsidR="00826AE7" w:rsidRPr="00D160FB">
              <w:rPr>
                <w:color w:val="0D0D0D" w:themeColor="text1" w:themeTint="F2"/>
                <w:spacing w:val="-4"/>
                <w:lang w:val="en-GB"/>
              </w:rPr>
              <w:t xml:space="preserve"> during the year 2022</w:t>
            </w:r>
            <w:r w:rsidR="001C3855" w:rsidRPr="00D160FB">
              <w:rPr>
                <w:color w:val="0D0D0D" w:themeColor="text1" w:themeTint="F2"/>
                <w:spacing w:val="-4"/>
                <w:lang w:val="en-GB"/>
              </w:rPr>
              <w:t xml:space="preserve">. </w:t>
            </w:r>
            <w:r w:rsidRPr="00D160FB">
              <w:rPr>
                <w:color w:val="0D0D0D" w:themeColor="text1" w:themeTint="F2"/>
                <w:spacing w:val="-4"/>
                <w:lang w:val="en-GB"/>
              </w:rPr>
              <w:t>It was limited by the regime of interim budget in Q1</w:t>
            </w:r>
            <w:r w:rsidR="001C3855" w:rsidRPr="00D160FB">
              <w:rPr>
                <w:rStyle w:val="Znakapoznpodarou"/>
                <w:color w:val="0D0D0D" w:themeColor="text1" w:themeTint="F2"/>
                <w:spacing w:val="-4"/>
                <w:lang w:val="en-GB"/>
              </w:rPr>
              <w:footnoteReference w:id="9"/>
            </w:r>
            <w:r w:rsidR="001C3855" w:rsidRPr="00D160FB">
              <w:rPr>
                <w:color w:val="0D0D0D" w:themeColor="text1" w:themeTint="F2"/>
                <w:spacing w:val="-4"/>
                <w:lang w:val="en-GB"/>
              </w:rPr>
              <w:t>,</w:t>
            </w:r>
            <w:r w:rsidRPr="00D160FB">
              <w:rPr>
                <w:color w:val="0D0D0D" w:themeColor="text1" w:themeTint="F2"/>
                <w:spacing w:val="-4"/>
                <w:lang w:val="en-GB"/>
              </w:rPr>
              <w:t xml:space="preserve"> subsequently the need arose for extraordinary outlays resulting from the war in Ukraine </w:t>
            </w:r>
            <w:r w:rsidR="001C3855" w:rsidRPr="00D160FB">
              <w:rPr>
                <w:color w:val="0D0D0D" w:themeColor="text1" w:themeTint="F2"/>
                <w:spacing w:val="-4"/>
                <w:lang w:val="en-GB"/>
              </w:rPr>
              <w:t>(</w:t>
            </w:r>
            <w:r w:rsidR="008A48E1" w:rsidRPr="00D160FB">
              <w:rPr>
                <w:color w:val="0D0D0D" w:themeColor="text1" w:themeTint="F2"/>
                <w:spacing w:val="-4"/>
                <w:lang w:val="en-GB"/>
              </w:rPr>
              <w:t>foreign aid, outl</w:t>
            </w:r>
            <w:r w:rsidR="00826AE7" w:rsidRPr="00D160FB">
              <w:rPr>
                <w:color w:val="0D0D0D" w:themeColor="text1" w:themeTint="F2"/>
                <w:spacing w:val="-4"/>
                <w:lang w:val="en-GB"/>
              </w:rPr>
              <w:t>a</w:t>
            </w:r>
            <w:r w:rsidR="008A48E1" w:rsidRPr="00D160FB">
              <w:rPr>
                <w:color w:val="0D0D0D" w:themeColor="text1" w:themeTint="F2"/>
                <w:spacing w:val="-4"/>
                <w:lang w:val="en-GB"/>
              </w:rPr>
              <w:t xml:space="preserve">ys on the </w:t>
            </w:r>
            <w:r w:rsidR="00826AE7" w:rsidRPr="00D160FB">
              <w:rPr>
                <w:color w:val="0D0D0D" w:themeColor="text1" w:themeTint="F2"/>
                <w:spacing w:val="-4"/>
                <w:lang w:val="en-GB"/>
              </w:rPr>
              <w:t>integration</w:t>
            </w:r>
            <w:r w:rsidR="008A48E1" w:rsidRPr="00D160FB">
              <w:rPr>
                <w:color w:val="0D0D0D" w:themeColor="text1" w:themeTint="F2"/>
                <w:spacing w:val="-4"/>
                <w:lang w:val="en-GB"/>
              </w:rPr>
              <w:t xml:space="preserve"> of the refugees in the CR, crisis management in the area of state material reserves</w:t>
            </w:r>
            <w:r w:rsidR="001C3855" w:rsidRPr="00D160FB">
              <w:rPr>
                <w:color w:val="0D0D0D" w:themeColor="text1" w:themeTint="F2"/>
                <w:spacing w:val="-4"/>
                <w:lang w:val="en-GB"/>
              </w:rPr>
              <w:t xml:space="preserve">). </w:t>
            </w:r>
            <w:r w:rsidR="009F6723" w:rsidRPr="00D160FB">
              <w:rPr>
                <w:color w:val="0D0D0D" w:themeColor="text1" w:themeTint="F2"/>
                <w:spacing w:val="-4"/>
                <w:lang w:val="en-GB"/>
              </w:rPr>
              <w:t xml:space="preserve">In addition the impacts of the strengthening inflation in the CR amplified by the unexpected August surge of prices of energies on the world markets still more stimulated the fiscal expansion. </w:t>
            </w:r>
            <w:r w:rsidR="001C3855" w:rsidRPr="00D160FB">
              <w:rPr>
                <w:color w:val="0D0D0D" w:themeColor="text1" w:themeTint="F2"/>
                <w:spacing w:val="-4"/>
                <w:lang w:val="en-GB"/>
              </w:rPr>
              <w:t>T</w:t>
            </w:r>
            <w:r w:rsidR="008A48E1" w:rsidRPr="00D160FB">
              <w:rPr>
                <w:color w:val="0D0D0D" w:themeColor="text1" w:themeTint="F2"/>
                <w:spacing w:val="-4"/>
                <w:lang w:val="en-GB"/>
              </w:rPr>
              <w:t xml:space="preserve">hese led to the need for the pension adjustment as well as other social benefits or introduction of the saving energy </w:t>
            </w:r>
            <w:r w:rsidR="00826AE7" w:rsidRPr="00D160FB">
              <w:rPr>
                <w:color w:val="0D0D0D" w:themeColor="text1" w:themeTint="F2"/>
                <w:spacing w:val="-4"/>
                <w:lang w:val="en-GB"/>
              </w:rPr>
              <w:t>tariff</w:t>
            </w:r>
            <w:r w:rsidR="008A48E1" w:rsidRPr="00D160FB">
              <w:rPr>
                <w:color w:val="0D0D0D" w:themeColor="text1" w:themeTint="F2"/>
                <w:spacing w:val="-4"/>
                <w:lang w:val="en-GB"/>
              </w:rPr>
              <w:t xml:space="preserve"> to aid the households.  </w:t>
            </w:r>
            <w:r w:rsidR="00826AE7" w:rsidRPr="00D160FB">
              <w:rPr>
                <w:color w:val="0D0D0D" w:themeColor="text1" w:themeTint="F2"/>
                <w:spacing w:val="-4"/>
                <w:lang w:val="en-GB"/>
              </w:rPr>
              <w:t xml:space="preserve">Even though the growth of the total current </w:t>
            </w:r>
            <w:r w:rsidR="009F6723" w:rsidRPr="00D160FB">
              <w:rPr>
                <w:color w:val="0D0D0D" w:themeColor="text1" w:themeTint="F2"/>
                <w:spacing w:val="-4"/>
                <w:lang w:val="en-GB"/>
              </w:rPr>
              <w:t>outlays</w:t>
            </w:r>
            <w:r w:rsidR="00826AE7" w:rsidRPr="00D160FB">
              <w:rPr>
                <w:color w:val="0D0D0D" w:themeColor="text1" w:themeTint="F2"/>
                <w:spacing w:val="-4"/>
                <w:lang w:val="en-GB"/>
              </w:rPr>
              <w:t xml:space="preserve"> was the </w:t>
            </w:r>
            <w:r w:rsidR="009F6723" w:rsidRPr="00D160FB">
              <w:rPr>
                <w:color w:val="0D0D0D" w:themeColor="text1" w:themeTint="F2"/>
                <w:spacing w:val="-4"/>
                <w:lang w:val="en-GB"/>
              </w:rPr>
              <w:t>second</w:t>
            </w:r>
            <w:r w:rsidR="00826AE7" w:rsidRPr="00D160FB">
              <w:rPr>
                <w:color w:val="0D0D0D" w:themeColor="text1" w:themeTint="F2"/>
                <w:spacing w:val="-4"/>
                <w:lang w:val="en-GB"/>
              </w:rPr>
              <w:t xml:space="preserve"> lowest in the last six year last year </w:t>
            </w:r>
            <w:r w:rsidR="001C3855" w:rsidRPr="00D160FB">
              <w:rPr>
                <w:color w:val="0D0D0D" w:themeColor="text1" w:themeTint="F2"/>
                <w:spacing w:val="-4"/>
                <w:lang w:val="en-GB"/>
              </w:rPr>
              <w:t>(3</w:t>
            </w:r>
            <w:r w:rsidR="00826AE7" w:rsidRPr="00D160FB">
              <w:rPr>
                <w:color w:val="0D0D0D" w:themeColor="text1" w:themeTint="F2"/>
                <w:spacing w:val="-4"/>
                <w:lang w:val="en-GB"/>
              </w:rPr>
              <w:t>.</w:t>
            </w:r>
            <w:r w:rsidR="001C3855" w:rsidRPr="00D160FB">
              <w:rPr>
                <w:color w:val="0D0D0D" w:themeColor="text1" w:themeTint="F2"/>
                <w:spacing w:val="-4"/>
                <w:lang w:val="en-GB"/>
              </w:rPr>
              <w:t xml:space="preserve">9%), </w:t>
            </w:r>
            <w:r w:rsidR="008A48E1" w:rsidRPr="00D160FB">
              <w:rPr>
                <w:color w:val="0D0D0D" w:themeColor="text1" w:themeTint="F2"/>
                <w:spacing w:val="-4"/>
                <w:lang w:val="en-GB"/>
              </w:rPr>
              <w:t xml:space="preserve">their size exceeded the pre-crisis year </w:t>
            </w:r>
            <w:r w:rsidR="001C3855" w:rsidRPr="00D160FB">
              <w:rPr>
                <w:color w:val="0D0D0D" w:themeColor="text1" w:themeTint="F2"/>
                <w:spacing w:val="-4"/>
                <w:lang w:val="en-GB"/>
              </w:rPr>
              <w:t>2019</w:t>
            </w:r>
            <w:r w:rsidR="008A48E1" w:rsidRPr="00D160FB">
              <w:rPr>
                <w:color w:val="0D0D0D" w:themeColor="text1" w:themeTint="F2"/>
                <w:spacing w:val="-4"/>
                <w:lang w:val="en-GB"/>
              </w:rPr>
              <w:t xml:space="preserve"> by </w:t>
            </w:r>
            <w:r w:rsidR="001C3855" w:rsidRPr="00D160FB">
              <w:rPr>
                <w:color w:val="0D0D0D" w:themeColor="text1" w:themeTint="F2"/>
                <w:spacing w:val="-4"/>
                <w:lang w:val="en-GB"/>
              </w:rPr>
              <w:t>27</w:t>
            </w:r>
            <w:r w:rsidR="008A48E1" w:rsidRPr="00D160FB">
              <w:rPr>
                <w:color w:val="0D0D0D" w:themeColor="text1" w:themeTint="F2"/>
                <w:spacing w:val="-4"/>
                <w:lang w:val="en-GB"/>
              </w:rPr>
              <w:t>.</w:t>
            </w:r>
            <w:r w:rsidR="001C3855" w:rsidRPr="00D160FB">
              <w:rPr>
                <w:color w:val="0D0D0D" w:themeColor="text1" w:themeTint="F2"/>
                <w:spacing w:val="-4"/>
                <w:lang w:val="en-GB"/>
              </w:rPr>
              <w:t>3%.</w:t>
            </w:r>
          </w:p>
        </w:tc>
      </w:tr>
      <w:tr w:rsidR="001C3855" w:rsidRPr="00D160FB" w14:paraId="6BE073DD" w14:textId="77777777" w:rsidTr="00C8019E">
        <w:trPr>
          <w:trHeight w:val="170"/>
        </w:trPr>
        <w:tc>
          <w:tcPr>
            <w:tcW w:w="1773" w:type="dxa"/>
            <w:shd w:val="clear" w:color="auto" w:fill="auto"/>
            <w:tcMar>
              <w:left w:w="0" w:type="dxa"/>
            </w:tcMar>
          </w:tcPr>
          <w:p w14:paraId="4BA29C9C" w14:textId="401692BC" w:rsidR="001C3855" w:rsidRPr="00D160FB" w:rsidRDefault="008D2F75" w:rsidP="00C8019E">
            <w:pPr>
              <w:pStyle w:val="Marginlie"/>
              <w:rPr>
                <w:color w:val="0D0D0D" w:themeColor="text1" w:themeTint="F2"/>
                <w:lang w:val="en-GB"/>
              </w:rPr>
            </w:pPr>
            <w:r w:rsidRPr="00D160FB">
              <w:rPr>
                <w:color w:val="0D0D0D" w:themeColor="text1" w:themeTint="F2"/>
                <w:lang w:val="en-GB"/>
              </w:rPr>
              <w:t xml:space="preserve">Expenditures on pensions displayed a record increase, the number of their recipients mildly decreased for the third year in a row. </w:t>
            </w:r>
          </w:p>
        </w:tc>
        <w:tc>
          <w:tcPr>
            <w:tcW w:w="217" w:type="dxa"/>
            <w:shd w:val="clear" w:color="auto" w:fill="auto"/>
            <w:tcMar>
              <w:left w:w="0" w:type="dxa"/>
            </w:tcMar>
          </w:tcPr>
          <w:p w14:paraId="385EFA4B" w14:textId="77777777" w:rsidR="001C3855" w:rsidRPr="00D160FB" w:rsidRDefault="001C3855" w:rsidP="00C8019E">
            <w:pPr>
              <w:pStyle w:val="Textpoznpodarou"/>
              <w:jc w:val="both"/>
              <w:rPr>
                <w:color w:val="0D0D0D" w:themeColor="text1" w:themeTint="F2"/>
                <w:spacing w:val="-4"/>
                <w:lang w:val="en-GB"/>
              </w:rPr>
            </w:pPr>
          </w:p>
        </w:tc>
        <w:tc>
          <w:tcPr>
            <w:tcW w:w="7679" w:type="dxa"/>
            <w:shd w:val="clear" w:color="auto" w:fill="auto"/>
            <w:tcMar>
              <w:left w:w="0" w:type="dxa"/>
            </w:tcMar>
          </w:tcPr>
          <w:p w14:paraId="2EB4DF1F" w14:textId="03DAC017" w:rsidR="001C3855" w:rsidRPr="00D160FB" w:rsidRDefault="000C7B81" w:rsidP="00C8019E">
            <w:pPr>
              <w:spacing w:after="200"/>
              <w:rPr>
                <w:color w:val="0D0D0D" w:themeColor="text1" w:themeTint="F2"/>
                <w:spacing w:val="-4"/>
                <w:lang w:val="en-GB"/>
              </w:rPr>
            </w:pPr>
            <w:r w:rsidRPr="00D160FB">
              <w:rPr>
                <w:color w:val="0D0D0D" w:themeColor="text1" w:themeTint="F2"/>
                <w:spacing w:val="-5"/>
                <w:lang w:val="en-GB"/>
              </w:rPr>
              <w:t xml:space="preserve">Unlike the years </w:t>
            </w:r>
            <w:r w:rsidR="001C3855" w:rsidRPr="00D160FB">
              <w:rPr>
                <w:color w:val="0D0D0D" w:themeColor="text1" w:themeTint="F2"/>
                <w:spacing w:val="-5"/>
                <w:lang w:val="en-GB"/>
              </w:rPr>
              <w:t>2020</w:t>
            </w:r>
            <w:r w:rsidRPr="00D160FB">
              <w:rPr>
                <w:color w:val="0D0D0D" w:themeColor="text1" w:themeTint="F2"/>
                <w:spacing w:val="-5"/>
                <w:lang w:val="en-GB"/>
              </w:rPr>
              <w:t xml:space="preserve"> as well as </w:t>
            </w:r>
            <w:r w:rsidR="001C3855" w:rsidRPr="00D160FB">
              <w:rPr>
                <w:color w:val="0D0D0D" w:themeColor="text1" w:themeTint="F2"/>
                <w:spacing w:val="-5"/>
                <w:lang w:val="en-GB"/>
              </w:rPr>
              <w:t>2021</w:t>
            </w:r>
            <w:r w:rsidRPr="00D160FB">
              <w:rPr>
                <w:color w:val="0D0D0D" w:themeColor="text1" w:themeTint="F2"/>
                <w:spacing w:val="-5"/>
                <w:lang w:val="en-GB"/>
              </w:rPr>
              <w:t xml:space="preserve">, the growth of current outlays was driven mainly by the funds on pensions last year. </w:t>
            </w:r>
            <w:r w:rsidR="001C3855" w:rsidRPr="00D160FB">
              <w:rPr>
                <w:color w:val="0D0D0D" w:themeColor="text1" w:themeTint="F2"/>
                <w:spacing w:val="-4"/>
                <w:lang w:val="en-GB"/>
              </w:rPr>
              <w:t>T</w:t>
            </w:r>
            <w:r w:rsidRPr="00D160FB">
              <w:rPr>
                <w:color w:val="0D0D0D" w:themeColor="text1" w:themeTint="F2"/>
                <w:spacing w:val="-4"/>
                <w:lang w:val="en-GB"/>
              </w:rPr>
              <w:t xml:space="preserve">hey increased by unprecedented </w:t>
            </w:r>
            <w:r w:rsidR="001C3855" w:rsidRPr="00D160FB">
              <w:rPr>
                <w:color w:val="0D0D0D" w:themeColor="text1" w:themeTint="F2"/>
                <w:spacing w:val="-4"/>
                <w:lang w:val="en-GB"/>
              </w:rPr>
              <w:t>10</w:t>
            </w:r>
            <w:r w:rsidRPr="00D160FB">
              <w:rPr>
                <w:color w:val="0D0D0D" w:themeColor="text1" w:themeTint="F2"/>
                <w:spacing w:val="-4"/>
                <w:lang w:val="en-GB"/>
              </w:rPr>
              <w:t>.</w:t>
            </w:r>
            <w:r w:rsidR="001C3855" w:rsidRPr="00D160FB">
              <w:rPr>
                <w:color w:val="0D0D0D" w:themeColor="text1" w:themeTint="F2"/>
                <w:spacing w:val="-4"/>
                <w:lang w:val="en-GB"/>
              </w:rPr>
              <w:t>9%</w:t>
            </w:r>
            <w:r w:rsidRPr="00D160FB">
              <w:rPr>
                <w:color w:val="0D0D0D" w:themeColor="text1" w:themeTint="F2"/>
                <w:spacing w:val="-4"/>
                <w:lang w:val="en-GB"/>
              </w:rPr>
              <w:t xml:space="preserve"> year-on-year</w:t>
            </w:r>
            <w:r w:rsidR="001C3855" w:rsidRPr="00D160FB">
              <w:rPr>
                <w:color w:val="0D0D0D" w:themeColor="text1" w:themeTint="F2"/>
                <w:spacing w:val="-4"/>
                <w:lang w:val="en-GB"/>
              </w:rPr>
              <w:t xml:space="preserve">, </w:t>
            </w:r>
            <w:r w:rsidRPr="00D160FB">
              <w:rPr>
                <w:color w:val="0D0D0D" w:themeColor="text1" w:themeTint="F2"/>
                <w:spacing w:val="-4"/>
                <w:lang w:val="en-GB"/>
              </w:rPr>
              <w:t>since a record three-fold legal adjustment of pensions was performed</w:t>
            </w:r>
            <w:r w:rsidR="001C3855" w:rsidRPr="00D160FB">
              <w:rPr>
                <w:rStyle w:val="Znakapoznpodarou"/>
                <w:spacing w:val="-4"/>
                <w:szCs w:val="20"/>
                <w:lang w:val="en-GB"/>
              </w:rPr>
              <w:footnoteReference w:id="10"/>
            </w:r>
            <w:r w:rsidR="001C3855" w:rsidRPr="00D160FB">
              <w:rPr>
                <w:spacing w:val="-4"/>
                <w:szCs w:val="20"/>
                <w:lang w:val="en-GB"/>
              </w:rPr>
              <w:t xml:space="preserve">. </w:t>
            </w:r>
            <w:r w:rsidRPr="00D160FB">
              <w:rPr>
                <w:spacing w:val="-4"/>
                <w:szCs w:val="20"/>
                <w:lang w:val="en-GB"/>
              </w:rPr>
              <w:t xml:space="preserve">Number of pension recipients was on the contrary falling for a third year in a row, </w:t>
            </w:r>
            <w:r w:rsidR="00895114" w:rsidRPr="00D160FB">
              <w:rPr>
                <w:spacing w:val="-4"/>
                <w:szCs w:val="20"/>
                <w:lang w:val="en-GB"/>
              </w:rPr>
              <w:t>i</w:t>
            </w:r>
            <w:r w:rsidR="00CA1293" w:rsidRPr="00D160FB">
              <w:rPr>
                <w:spacing w:val="-4"/>
                <w:szCs w:val="20"/>
                <w:lang w:val="en-GB"/>
              </w:rPr>
              <w:t xml:space="preserve">n total </w:t>
            </w:r>
            <w:r w:rsidR="00895114" w:rsidRPr="00D160FB">
              <w:rPr>
                <w:spacing w:val="-4"/>
                <w:szCs w:val="20"/>
                <w:lang w:val="en-GB"/>
              </w:rPr>
              <w:t xml:space="preserve">it was by 1.8% lower compared to December </w:t>
            </w:r>
            <w:r w:rsidR="001C3855" w:rsidRPr="00D160FB">
              <w:rPr>
                <w:spacing w:val="-6"/>
                <w:szCs w:val="20"/>
                <w:lang w:val="en-GB"/>
              </w:rPr>
              <w:t>2019</w:t>
            </w:r>
            <w:r w:rsidR="00895114" w:rsidRPr="00D160FB">
              <w:rPr>
                <w:spacing w:val="-6"/>
                <w:szCs w:val="20"/>
                <w:lang w:val="en-GB"/>
              </w:rPr>
              <w:t>, mainly due to the heightened mortality. At the same time the long-term trend of the growth of number of persons with early pension continued</w:t>
            </w:r>
            <w:r w:rsidR="001C3855" w:rsidRPr="00D160FB">
              <w:rPr>
                <w:rStyle w:val="Znakapoznpodarou"/>
                <w:spacing w:val="-6"/>
                <w:szCs w:val="20"/>
                <w:lang w:val="en-GB"/>
              </w:rPr>
              <w:footnoteReference w:id="11"/>
            </w:r>
            <w:r w:rsidR="001C3855" w:rsidRPr="00D160FB">
              <w:rPr>
                <w:spacing w:val="-6"/>
                <w:szCs w:val="20"/>
                <w:lang w:val="en-GB"/>
              </w:rPr>
              <w:t xml:space="preserve">. </w:t>
            </w:r>
            <w:r w:rsidR="00895114" w:rsidRPr="00D160FB">
              <w:rPr>
                <w:spacing w:val="-6"/>
                <w:szCs w:val="20"/>
                <w:lang w:val="en-GB"/>
              </w:rPr>
              <w:t xml:space="preserve">Good condition of the labour market supported the ongoing growth of the pension insurance revenues </w:t>
            </w:r>
            <w:r w:rsidR="001C3855" w:rsidRPr="00D160FB">
              <w:rPr>
                <w:rFonts w:cs="Arial"/>
                <w:color w:val="0D0D0D" w:themeColor="text1" w:themeTint="F2"/>
                <w:spacing w:val="-4"/>
                <w:lang w:val="en-GB"/>
              </w:rPr>
              <w:t>(+6</w:t>
            </w:r>
            <w:r w:rsidR="00895114" w:rsidRPr="00D160FB">
              <w:rPr>
                <w:rFonts w:cs="Arial"/>
                <w:color w:val="0D0D0D" w:themeColor="text1" w:themeTint="F2"/>
                <w:spacing w:val="-4"/>
                <w:lang w:val="en-GB"/>
              </w:rPr>
              <w:t>.</w:t>
            </w:r>
            <w:r w:rsidR="001C3855" w:rsidRPr="00D160FB">
              <w:rPr>
                <w:rFonts w:cs="Arial"/>
                <w:color w:val="0D0D0D" w:themeColor="text1" w:themeTint="F2"/>
                <w:spacing w:val="-4"/>
                <w:lang w:val="en-GB"/>
              </w:rPr>
              <w:t xml:space="preserve">7%). </w:t>
            </w:r>
            <w:r w:rsidR="008D2F75" w:rsidRPr="00D160FB">
              <w:rPr>
                <w:rFonts w:cs="Arial"/>
                <w:color w:val="0D0D0D" w:themeColor="text1" w:themeTint="F2"/>
                <w:spacing w:val="-4"/>
                <w:lang w:val="en-GB"/>
              </w:rPr>
              <w:t>The pension account balance</w:t>
            </w:r>
            <w:r w:rsidR="001C3855" w:rsidRPr="00D160FB">
              <w:rPr>
                <w:rStyle w:val="Znakapoznpodarou"/>
                <w:color w:val="0D0D0D" w:themeColor="text1" w:themeTint="F2"/>
                <w:spacing w:val="-4"/>
                <w:lang w:val="en-GB"/>
              </w:rPr>
              <w:footnoteReference w:id="12"/>
            </w:r>
            <w:r w:rsidR="001C3855" w:rsidRPr="00D160FB">
              <w:rPr>
                <w:rFonts w:cs="Arial"/>
                <w:color w:val="0D0D0D" w:themeColor="text1" w:themeTint="F2"/>
                <w:spacing w:val="-4"/>
                <w:lang w:val="en-GB"/>
              </w:rPr>
              <w:t xml:space="preserve"> </w:t>
            </w:r>
            <w:r w:rsidR="008D2F75" w:rsidRPr="00D160FB">
              <w:rPr>
                <w:rFonts w:cs="Arial"/>
                <w:color w:val="0D0D0D" w:themeColor="text1" w:themeTint="F2"/>
                <w:spacing w:val="-4"/>
                <w:lang w:val="en-GB"/>
              </w:rPr>
              <w:t xml:space="preserve">again plunged into deficit (17.4 CZK bn) following a mild surplus in year </w:t>
            </w:r>
            <w:r w:rsidR="001C3855" w:rsidRPr="00D160FB">
              <w:rPr>
                <w:rFonts w:cs="Arial"/>
                <w:color w:val="0D0D0D" w:themeColor="text1" w:themeTint="F2"/>
                <w:spacing w:val="-4"/>
                <w:lang w:val="en-GB"/>
              </w:rPr>
              <w:t>2021</w:t>
            </w:r>
            <w:r w:rsidR="008D2F75" w:rsidRPr="00D160FB">
              <w:rPr>
                <w:rFonts w:cs="Arial"/>
                <w:color w:val="0D0D0D" w:themeColor="text1" w:themeTint="F2"/>
                <w:spacing w:val="-4"/>
                <w:lang w:val="en-GB"/>
              </w:rPr>
              <w:t xml:space="preserve">. </w:t>
            </w:r>
          </w:p>
        </w:tc>
      </w:tr>
      <w:tr w:rsidR="001C3855" w:rsidRPr="00D160FB" w14:paraId="748E2634" w14:textId="77777777" w:rsidTr="00C8019E">
        <w:trPr>
          <w:trHeight w:val="170"/>
        </w:trPr>
        <w:tc>
          <w:tcPr>
            <w:tcW w:w="1773" w:type="dxa"/>
            <w:shd w:val="clear" w:color="auto" w:fill="auto"/>
            <w:tcMar>
              <w:left w:w="0" w:type="dxa"/>
            </w:tcMar>
          </w:tcPr>
          <w:p w14:paraId="1CC9C9B1" w14:textId="366B5859" w:rsidR="001C3855" w:rsidRPr="00D160FB" w:rsidRDefault="001C3855" w:rsidP="00C8019E">
            <w:pPr>
              <w:pStyle w:val="Marginlie"/>
              <w:rPr>
                <w:lang w:val="en-GB"/>
              </w:rPr>
            </w:pPr>
            <w:r w:rsidRPr="00D160FB">
              <w:rPr>
                <w:lang w:val="en-GB"/>
              </w:rPr>
              <w:t>N</w:t>
            </w:r>
            <w:r w:rsidR="000C7B81" w:rsidRPr="00D160FB">
              <w:rPr>
                <w:lang w:val="en-GB"/>
              </w:rPr>
              <w:t xml:space="preserve">on-pension social benefits grew swiftly mainly due to the material deprivation assistance benefits and state social </w:t>
            </w:r>
            <w:r w:rsidR="00F80012" w:rsidRPr="00D160FB">
              <w:rPr>
                <w:lang w:val="en-GB"/>
              </w:rPr>
              <w:t xml:space="preserve">assistance </w:t>
            </w:r>
            <w:r w:rsidR="000C7B81" w:rsidRPr="00D160FB">
              <w:rPr>
                <w:lang w:val="en-GB"/>
              </w:rPr>
              <w:t xml:space="preserve">benefits. </w:t>
            </w:r>
            <w:r w:rsidRPr="00D160FB">
              <w:rPr>
                <w:lang w:val="en-GB"/>
              </w:rPr>
              <w:t xml:space="preserve"> </w:t>
            </w:r>
          </w:p>
          <w:p w14:paraId="044B4E11" w14:textId="77777777" w:rsidR="001C3855" w:rsidRPr="00D160FB" w:rsidRDefault="001C3855" w:rsidP="00C8019E">
            <w:pPr>
              <w:pStyle w:val="Marginlie"/>
              <w:rPr>
                <w:lang w:val="en-GB"/>
              </w:rPr>
            </w:pPr>
          </w:p>
          <w:p w14:paraId="57FE8F95" w14:textId="77777777" w:rsidR="001C3855" w:rsidRPr="00D160FB" w:rsidRDefault="001C3855" w:rsidP="00C8019E">
            <w:pPr>
              <w:pStyle w:val="Marginlie"/>
              <w:rPr>
                <w:lang w:val="en-GB"/>
              </w:rPr>
            </w:pPr>
          </w:p>
          <w:p w14:paraId="5BD723D0" w14:textId="77777777" w:rsidR="001C3855" w:rsidRPr="00D160FB" w:rsidRDefault="001C3855" w:rsidP="00C8019E">
            <w:pPr>
              <w:pStyle w:val="Marginlie"/>
              <w:rPr>
                <w:lang w:val="en-GB"/>
              </w:rPr>
            </w:pPr>
          </w:p>
          <w:p w14:paraId="6785D6D9" w14:textId="77777777" w:rsidR="001C3855" w:rsidRPr="00D160FB" w:rsidRDefault="001C3855" w:rsidP="00C8019E">
            <w:pPr>
              <w:pStyle w:val="Marginlie"/>
              <w:rPr>
                <w:lang w:val="en-GB"/>
              </w:rPr>
            </w:pPr>
          </w:p>
          <w:p w14:paraId="14903F71" w14:textId="77777777" w:rsidR="001C3855" w:rsidRPr="00D160FB" w:rsidRDefault="001C3855" w:rsidP="00C8019E">
            <w:pPr>
              <w:pStyle w:val="Marginlie"/>
              <w:rPr>
                <w:lang w:val="en-GB"/>
              </w:rPr>
            </w:pPr>
          </w:p>
          <w:p w14:paraId="7CDE8825" w14:textId="038B1E00" w:rsidR="001C3855" w:rsidRPr="00D160FB" w:rsidRDefault="0034466D" w:rsidP="00C8019E">
            <w:pPr>
              <w:pStyle w:val="Marginlie"/>
              <w:rPr>
                <w:lang w:val="en-GB"/>
              </w:rPr>
            </w:pPr>
            <w:r w:rsidRPr="00D160FB">
              <w:rPr>
                <w:lang w:val="en-GB"/>
              </w:rPr>
              <w:t xml:space="preserve">Sickness insurance benefits were further decreasing, still they exceeded the insurance revenues. </w:t>
            </w:r>
          </w:p>
        </w:tc>
        <w:tc>
          <w:tcPr>
            <w:tcW w:w="217" w:type="dxa"/>
            <w:shd w:val="clear" w:color="auto" w:fill="auto"/>
            <w:tcMar>
              <w:left w:w="0" w:type="dxa"/>
            </w:tcMar>
          </w:tcPr>
          <w:p w14:paraId="0019F931" w14:textId="48054A05"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7F79891D" w14:textId="582CE557" w:rsidR="001C3855" w:rsidRPr="00D160FB" w:rsidRDefault="00CF05F4" w:rsidP="00C8019E">
            <w:pPr>
              <w:spacing w:after="200"/>
              <w:rPr>
                <w:spacing w:val="-4"/>
                <w:lang w:val="en-GB"/>
              </w:rPr>
            </w:pPr>
            <w:r w:rsidRPr="00D160FB">
              <w:rPr>
                <w:spacing w:val="-4"/>
                <w:szCs w:val="20"/>
                <w:lang w:val="en-GB"/>
              </w:rPr>
              <w:t>Unlike the year 2021, the non-pension social benefits (by 11.2% higher year-on-year) also contributed to the growth of the SB current expenditures</w:t>
            </w:r>
            <w:r w:rsidR="001C3855" w:rsidRPr="00D160FB">
              <w:rPr>
                <w:rFonts w:cs="Arial"/>
                <w:color w:val="0D0D0D" w:themeColor="text1" w:themeTint="F2"/>
                <w:spacing w:val="-5"/>
                <w:lang w:val="en-GB"/>
              </w:rPr>
              <w:t xml:space="preserve">. </w:t>
            </w:r>
            <w:r w:rsidR="00A64939" w:rsidRPr="00D160FB">
              <w:rPr>
                <w:rFonts w:cs="Arial"/>
                <w:color w:val="0D0D0D" w:themeColor="text1" w:themeTint="F2"/>
                <w:spacing w:val="-5"/>
                <w:lang w:val="en-GB"/>
              </w:rPr>
              <w:t xml:space="preserve">Higher material deprivation assistance </w:t>
            </w:r>
            <w:r w:rsidR="001C3855" w:rsidRPr="00D160FB">
              <w:rPr>
                <w:rFonts w:cs="Arial"/>
                <w:color w:val="0D0D0D" w:themeColor="text1" w:themeTint="F2"/>
                <w:spacing w:val="-5"/>
                <w:lang w:val="en-GB"/>
              </w:rPr>
              <w:t>(+9</w:t>
            </w:r>
            <w:r w:rsidR="00A64939" w:rsidRPr="00D160FB">
              <w:rPr>
                <w:rFonts w:cs="Arial"/>
                <w:color w:val="0D0D0D" w:themeColor="text1" w:themeTint="F2"/>
                <w:spacing w:val="-5"/>
                <w:lang w:val="en-GB"/>
              </w:rPr>
              <w:t>.</w:t>
            </w:r>
            <w:r w:rsidR="001C3855" w:rsidRPr="00D160FB">
              <w:rPr>
                <w:rFonts w:cs="Arial"/>
                <w:color w:val="0D0D0D" w:themeColor="text1" w:themeTint="F2"/>
                <w:spacing w:val="-5"/>
                <w:lang w:val="en-GB"/>
              </w:rPr>
              <w:t>0</w:t>
            </w:r>
            <w:r w:rsidR="00A64939" w:rsidRPr="00D160FB">
              <w:rPr>
                <w:rFonts w:cs="Arial"/>
                <w:color w:val="0D0D0D" w:themeColor="text1" w:themeTint="F2"/>
                <w:spacing w:val="-5"/>
                <w:lang w:val="en-GB"/>
              </w:rPr>
              <w:t xml:space="preserve"> CZK bn</w:t>
            </w:r>
            <w:r w:rsidR="001C3855" w:rsidRPr="00D160FB">
              <w:rPr>
                <w:rFonts w:cs="Arial"/>
                <w:color w:val="0D0D0D" w:themeColor="text1" w:themeTint="F2"/>
                <w:spacing w:val="-5"/>
                <w:lang w:val="en-GB"/>
              </w:rPr>
              <w:t xml:space="preserve">), </w:t>
            </w:r>
            <w:r w:rsidRPr="00D160FB">
              <w:rPr>
                <w:rFonts w:cs="Arial"/>
                <w:color w:val="0D0D0D" w:themeColor="text1" w:themeTint="F2"/>
                <w:spacing w:val="-5"/>
                <w:lang w:val="en-GB"/>
              </w:rPr>
              <w:t xml:space="preserve">driven from the vast part by the payment of the humanitarian aid to the refugees from Ukraine, </w:t>
            </w:r>
            <w:r w:rsidR="00A64939" w:rsidRPr="00D160FB">
              <w:rPr>
                <w:rFonts w:cs="Arial"/>
                <w:color w:val="0D0D0D" w:themeColor="text1" w:themeTint="F2"/>
                <w:spacing w:val="-5"/>
                <w:lang w:val="en-GB"/>
              </w:rPr>
              <w:t>played an essential role here</w:t>
            </w:r>
            <w:r w:rsidR="001C3855" w:rsidRPr="00D160FB">
              <w:rPr>
                <w:rFonts w:cs="Arial"/>
                <w:color w:val="0D0D0D" w:themeColor="text1" w:themeTint="F2"/>
                <w:spacing w:val="-5"/>
                <w:lang w:val="en-GB"/>
              </w:rPr>
              <w:t xml:space="preserve">. </w:t>
            </w:r>
            <w:r w:rsidR="001A0360" w:rsidRPr="00D160FB">
              <w:rPr>
                <w:rFonts w:cs="Arial"/>
                <w:color w:val="0D0D0D" w:themeColor="text1" w:themeTint="F2"/>
                <w:spacing w:val="-5"/>
                <w:lang w:val="en-GB"/>
              </w:rPr>
              <w:t xml:space="preserve">State social </w:t>
            </w:r>
            <w:r w:rsidR="00F80012" w:rsidRPr="00D160FB">
              <w:rPr>
                <w:rFonts w:cs="Arial"/>
                <w:color w:val="0D0D0D" w:themeColor="text1" w:themeTint="F2"/>
                <w:spacing w:val="-5"/>
                <w:lang w:val="en-GB"/>
              </w:rPr>
              <w:t xml:space="preserve">assistance </w:t>
            </w:r>
            <w:r w:rsidR="001A0360" w:rsidRPr="00D160FB">
              <w:rPr>
                <w:rFonts w:cs="Arial"/>
                <w:color w:val="0D0D0D" w:themeColor="text1" w:themeTint="F2"/>
                <w:spacing w:val="-5"/>
                <w:lang w:val="en-GB"/>
              </w:rPr>
              <w:t xml:space="preserve">benefits also expanded considerably </w:t>
            </w:r>
            <w:r w:rsidR="001C3855" w:rsidRPr="00D160FB">
              <w:rPr>
                <w:spacing w:val="-4"/>
                <w:lang w:val="en-GB"/>
              </w:rPr>
              <w:t>(SS</w:t>
            </w:r>
            <w:r w:rsidR="00CF082E" w:rsidRPr="00D160FB">
              <w:rPr>
                <w:spacing w:val="-4"/>
                <w:lang w:val="en-GB"/>
              </w:rPr>
              <w:t>AB</w:t>
            </w:r>
            <w:r w:rsidR="001C3855" w:rsidRPr="00D160FB">
              <w:rPr>
                <w:spacing w:val="-4"/>
                <w:lang w:val="en-GB"/>
              </w:rPr>
              <w:t>, +7</w:t>
            </w:r>
            <w:r w:rsidR="001A0360" w:rsidRPr="00D160FB">
              <w:rPr>
                <w:spacing w:val="-4"/>
                <w:lang w:val="en-GB"/>
              </w:rPr>
              <w:t>.</w:t>
            </w:r>
            <w:r w:rsidR="001C3855" w:rsidRPr="00D160FB">
              <w:rPr>
                <w:spacing w:val="-4"/>
                <w:lang w:val="en-GB"/>
              </w:rPr>
              <w:t>6</w:t>
            </w:r>
            <w:r w:rsidR="001A0360" w:rsidRPr="00D160FB">
              <w:rPr>
                <w:spacing w:val="-4"/>
                <w:lang w:val="en-GB"/>
              </w:rPr>
              <w:t xml:space="preserve"> CZK bn</w:t>
            </w:r>
            <w:r w:rsidR="001C3855" w:rsidRPr="00D160FB">
              <w:rPr>
                <w:spacing w:val="-4"/>
                <w:lang w:val="en-GB"/>
              </w:rPr>
              <w:t>). T</w:t>
            </w:r>
            <w:r w:rsidR="001A0360" w:rsidRPr="00D160FB">
              <w:rPr>
                <w:spacing w:val="-4"/>
                <w:lang w:val="en-GB"/>
              </w:rPr>
              <w:t xml:space="preserve">hese increased primarily due to the </w:t>
            </w:r>
            <w:r w:rsidR="0064086F" w:rsidRPr="00D160FB">
              <w:rPr>
                <w:spacing w:val="-4"/>
                <w:lang w:val="en-GB"/>
              </w:rPr>
              <w:lastRenderedPageBreak/>
              <w:t xml:space="preserve">single </w:t>
            </w:r>
            <w:r w:rsidR="001A0360" w:rsidRPr="00D160FB">
              <w:rPr>
                <w:spacing w:val="-4"/>
                <w:lang w:val="en-GB"/>
              </w:rPr>
              <w:t>payment of the</w:t>
            </w:r>
            <w:r w:rsidR="0064086F" w:rsidRPr="00D160FB">
              <w:rPr>
                <w:spacing w:val="-4"/>
                <w:lang w:val="en-GB"/>
              </w:rPr>
              <w:t xml:space="preserve"> child </w:t>
            </w:r>
            <w:r w:rsidR="00D34078" w:rsidRPr="00D160FB">
              <w:rPr>
                <w:spacing w:val="-4"/>
                <w:lang w:val="en-GB"/>
              </w:rPr>
              <w:t>benefit</w:t>
            </w:r>
            <w:r w:rsidR="001C3855" w:rsidRPr="00D160FB">
              <w:rPr>
                <w:rStyle w:val="Znakapoznpodarou"/>
                <w:spacing w:val="-4"/>
                <w:lang w:val="en-GB"/>
              </w:rPr>
              <w:footnoteReference w:id="13"/>
            </w:r>
            <w:r w:rsidR="001C3855" w:rsidRPr="00D160FB">
              <w:rPr>
                <w:spacing w:val="-4"/>
                <w:lang w:val="en-GB"/>
              </w:rPr>
              <w:t xml:space="preserve">, </w:t>
            </w:r>
            <w:r w:rsidR="00D34078" w:rsidRPr="00D160FB">
              <w:rPr>
                <w:spacing w:val="-4"/>
                <w:lang w:val="en-GB"/>
              </w:rPr>
              <w:t xml:space="preserve">child allowances </w:t>
            </w:r>
            <w:r w:rsidR="001C3855" w:rsidRPr="00D160FB">
              <w:rPr>
                <w:spacing w:val="-4"/>
                <w:lang w:val="en-GB"/>
              </w:rPr>
              <w:t>(</w:t>
            </w:r>
            <w:r w:rsidR="00D34078" w:rsidRPr="00D160FB">
              <w:rPr>
                <w:spacing w:val="-4"/>
                <w:lang w:val="en-GB"/>
              </w:rPr>
              <w:t xml:space="preserve">thanks to the broadening of the number of recipients entitled to the benefit) </w:t>
            </w:r>
            <w:r w:rsidR="001C3855" w:rsidRPr="00D160FB">
              <w:rPr>
                <w:spacing w:val="-4"/>
                <w:lang w:val="en-GB"/>
              </w:rPr>
              <w:t>a</w:t>
            </w:r>
            <w:r w:rsidR="00F80012" w:rsidRPr="00D160FB">
              <w:rPr>
                <w:spacing w:val="-4"/>
                <w:lang w:val="en-GB"/>
              </w:rPr>
              <w:t xml:space="preserve">nd housing benefits </w:t>
            </w:r>
            <w:r w:rsidR="001C3855" w:rsidRPr="00D160FB">
              <w:rPr>
                <w:spacing w:val="-4"/>
                <w:lang w:val="en-GB"/>
              </w:rPr>
              <w:t>(</w:t>
            </w:r>
            <w:r w:rsidR="00F80012" w:rsidRPr="00D160FB">
              <w:rPr>
                <w:spacing w:val="-4"/>
                <w:lang w:val="en-GB"/>
              </w:rPr>
              <w:t xml:space="preserve">due to the raising of costs accepted for the </w:t>
            </w:r>
            <w:r w:rsidR="00CF082E" w:rsidRPr="00D160FB">
              <w:rPr>
                <w:spacing w:val="-4"/>
                <w:lang w:val="en-GB"/>
              </w:rPr>
              <w:t>pay-out</w:t>
            </w:r>
            <w:r w:rsidR="001C3855" w:rsidRPr="00D160FB">
              <w:rPr>
                <w:spacing w:val="-4"/>
                <w:lang w:val="en-GB"/>
              </w:rPr>
              <w:t xml:space="preserve">). </w:t>
            </w:r>
            <w:r w:rsidR="002C0673" w:rsidRPr="00D160FB">
              <w:rPr>
                <w:spacing w:val="-4"/>
                <w:lang w:val="en-GB"/>
              </w:rPr>
              <w:t>The mild decrease for the weight dominant item of SS</w:t>
            </w:r>
            <w:r w:rsidR="00CF082E" w:rsidRPr="00D160FB">
              <w:rPr>
                <w:spacing w:val="-4"/>
                <w:lang w:val="en-GB"/>
              </w:rPr>
              <w:t>AB</w:t>
            </w:r>
            <w:r w:rsidR="002C0673" w:rsidRPr="00D160FB">
              <w:rPr>
                <w:spacing w:val="-4"/>
                <w:lang w:val="en-GB"/>
              </w:rPr>
              <w:t xml:space="preserve"> – parental benefits – had the opposite effect </w:t>
            </w:r>
            <w:r w:rsidR="001C3855" w:rsidRPr="00D160FB">
              <w:rPr>
                <w:spacing w:val="-4"/>
                <w:lang w:val="en-GB"/>
              </w:rPr>
              <w:t>(</w:t>
            </w:r>
            <w:r w:rsidR="001C3855" w:rsidRPr="00D160FB">
              <w:rPr>
                <w:color w:val="0D0D0D" w:themeColor="text1" w:themeTint="F2"/>
                <w:spacing w:val="-5"/>
                <w:lang w:val="en-GB"/>
              </w:rPr>
              <w:t>−</w:t>
            </w:r>
            <w:r w:rsidR="001C3855" w:rsidRPr="00D160FB">
              <w:rPr>
                <w:spacing w:val="-4"/>
                <w:lang w:val="en-GB"/>
              </w:rPr>
              <w:t>2</w:t>
            </w:r>
            <w:r w:rsidR="002C0673" w:rsidRPr="00D160FB">
              <w:rPr>
                <w:spacing w:val="-4"/>
                <w:lang w:val="en-GB"/>
              </w:rPr>
              <w:t>.</w:t>
            </w:r>
            <w:r w:rsidR="001C3855" w:rsidRPr="00D160FB">
              <w:rPr>
                <w:spacing w:val="-4"/>
                <w:lang w:val="en-GB"/>
              </w:rPr>
              <w:t>4</w:t>
            </w:r>
            <w:r w:rsidR="002C0673" w:rsidRPr="00D160FB">
              <w:rPr>
                <w:spacing w:val="-4"/>
                <w:lang w:val="en-GB"/>
              </w:rPr>
              <w:t xml:space="preserve"> CZK bn</w:t>
            </w:r>
            <w:r w:rsidR="001C3855" w:rsidRPr="00D160FB">
              <w:rPr>
                <w:spacing w:val="-4"/>
                <w:lang w:val="en-GB"/>
              </w:rPr>
              <w:t xml:space="preserve">). </w:t>
            </w:r>
            <w:r w:rsidR="007609DA" w:rsidRPr="00D160FB">
              <w:rPr>
                <w:spacing w:val="-4"/>
                <w:lang w:val="en-GB"/>
              </w:rPr>
              <w:t xml:space="preserve">From other benefits the volume of care benefits increased </w:t>
            </w:r>
            <w:r w:rsidR="001C3855" w:rsidRPr="00D160FB">
              <w:rPr>
                <w:spacing w:val="-4"/>
                <w:lang w:val="en-GB"/>
              </w:rPr>
              <w:t>(+3</w:t>
            </w:r>
            <w:r w:rsidR="007609DA" w:rsidRPr="00D160FB">
              <w:rPr>
                <w:spacing w:val="-4"/>
                <w:lang w:val="en-GB"/>
              </w:rPr>
              <w:t>.</w:t>
            </w:r>
            <w:r w:rsidR="001C3855" w:rsidRPr="00D160FB">
              <w:rPr>
                <w:spacing w:val="-4"/>
                <w:lang w:val="en-GB"/>
              </w:rPr>
              <w:t>7</w:t>
            </w:r>
            <w:r w:rsidR="007609DA" w:rsidRPr="00D160FB">
              <w:rPr>
                <w:spacing w:val="-4"/>
                <w:lang w:val="en-GB"/>
              </w:rPr>
              <w:t xml:space="preserve"> CZK bn</w:t>
            </w:r>
            <w:r w:rsidR="001C3855" w:rsidRPr="00D160FB">
              <w:rPr>
                <w:spacing w:val="-4"/>
                <w:lang w:val="en-GB"/>
              </w:rPr>
              <w:t>)</w:t>
            </w:r>
            <w:r w:rsidR="001C3855" w:rsidRPr="00D160FB">
              <w:rPr>
                <w:rStyle w:val="Znakapoznpodarou"/>
                <w:spacing w:val="-4"/>
                <w:lang w:val="en-GB"/>
              </w:rPr>
              <w:footnoteReference w:id="14"/>
            </w:r>
            <w:r w:rsidR="001C3855" w:rsidRPr="00D160FB">
              <w:rPr>
                <w:spacing w:val="-4"/>
                <w:lang w:val="en-GB"/>
              </w:rPr>
              <w:t xml:space="preserve">. </w:t>
            </w:r>
            <w:r w:rsidR="007609DA" w:rsidRPr="00D160FB">
              <w:rPr>
                <w:spacing w:val="-4"/>
                <w:lang w:val="en-GB"/>
              </w:rPr>
              <w:t xml:space="preserve">On the contrary thanks to the improvement of the epidemic situation the expenditures on sickness insurance benefits dropped for the second year in a row </w:t>
            </w:r>
            <w:r w:rsidR="001C3855" w:rsidRPr="00D160FB">
              <w:rPr>
                <w:lang w:val="en-GB"/>
              </w:rPr>
              <w:t>(</w:t>
            </w:r>
            <w:r w:rsidR="007609DA" w:rsidRPr="00D160FB">
              <w:rPr>
                <w:lang w:val="en-GB"/>
              </w:rPr>
              <w:t xml:space="preserve">by </w:t>
            </w:r>
            <w:r w:rsidR="001C3855" w:rsidRPr="00D160FB">
              <w:rPr>
                <w:lang w:val="en-GB"/>
              </w:rPr>
              <w:t>3</w:t>
            </w:r>
            <w:r w:rsidR="007609DA" w:rsidRPr="00D160FB">
              <w:rPr>
                <w:lang w:val="en-GB"/>
              </w:rPr>
              <w:t>.</w:t>
            </w:r>
            <w:r w:rsidR="001C3855" w:rsidRPr="00D160FB">
              <w:rPr>
                <w:lang w:val="en-GB"/>
              </w:rPr>
              <w:t>7</w:t>
            </w:r>
            <w:r w:rsidR="007609DA" w:rsidRPr="00D160FB">
              <w:rPr>
                <w:lang w:val="en-GB"/>
              </w:rPr>
              <w:t xml:space="preserve"> CZK bn</w:t>
            </w:r>
            <w:r w:rsidR="001C3855" w:rsidRPr="00D160FB">
              <w:rPr>
                <w:lang w:val="en-GB"/>
              </w:rPr>
              <w:t>),</w:t>
            </w:r>
            <w:r w:rsidR="001C3855" w:rsidRPr="00D160FB">
              <w:rPr>
                <w:spacing w:val="-4"/>
                <w:lang w:val="en-GB"/>
              </w:rPr>
              <w:t xml:space="preserve"> </w:t>
            </w:r>
            <w:r w:rsidR="00AA68C7" w:rsidRPr="00D160FB">
              <w:rPr>
                <w:spacing w:val="-4"/>
                <w:lang w:val="en-GB"/>
              </w:rPr>
              <w:t>the SB however expended by one fifth more on these benefits compared to year 2</w:t>
            </w:r>
            <w:r w:rsidR="001C3855" w:rsidRPr="00D160FB">
              <w:rPr>
                <w:spacing w:val="-4"/>
                <w:lang w:val="en-GB"/>
              </w:rPr>
              <w:t>019</w:t>
            </w:r>
            <w:r w:rsidR="001C3855" w:rsidRPr="00D160FB">
              <w:rPr>
                <w:rStyle w:val="Znakapoznpodarou"/>
                <w:spacing w:val="-4"/>
                <w:lang w:val="en-GB"/>
              </w:rPr>
              <w:footnoteReference w:id="15"/>
            </w:r>
            <w:r w:rsidR="001C3855" w:rsidRPr="00D160FB">
              <w:rPr>
                <w:spacing w:val="-4"/>
                <w:lang w:val="en-GB"/>
              </w:rPr>
              <w:t>.</w:t>
            </w:r>
            <w:r w:rsidR="00AA68C7" w:rsidRPr="00D160FB">
              <w:rPr>
                <w:spacing w:val="-4"/>
                <w:lang w:val="en-GB"/>
              </w:rPr>
              <w:t xml:space="preserve"> </w:t>
            </w:r>
            <w:r w:rsidR="003C086F" w:rsidRPr="00D160FB">
              <w:rPr>
                <w:spacing w:val="-4"/>
                <w:lang w:val="en-GB"/>
              </w:rPr>
              <w:t xml:space="preserve">The SB </w:t>
            </w:r>
            <w:r w:rsidR="001C3855" w:rsidRPr="00D160FB">
              <w:rPr>
                <w:spacing w:val="-4"/>
                <w:lang w:val="en-GB"/>
              </w:rPr>
              <w:t>„</w:t>
            </w:r>
            <w:proofErr w:type="gramStart"/>
            <w:r w:rsidR="003C086F" w:rsidRPr="00D160FB">
              <w:rPr>
                <w:spacing w:val="-4"/>
                <w:lang w:val="en-GB"/>
              </w:rPr>
              <w:t>saved</w:t>
            </w:r>
            <w:r w:rsidR="001C3855" w:rsidRPr="00D160FB">
              <w:rPr>
                <w:spacing w:val="-4"/>
                <w:lang w:val="en-GB"/>
              </w:rPr>
              <w:t xml:space="preserve">“ </w:t>
            </w:r>
            <w:r w:rsidR="003C086F" w:rsidRPr="00D160FB">
              <w:rPr>
                <w:spacing w:val="-4"/>
                <w:lang w:val="en-GB"/>
              </w:rPr>
              <w:t>one</w:t>
            </w:r>
            <w:proofErr w:type="gramEnd"/>
            <w:r w:rsidR="003C086F" w:rsidRPr="00D160FB">
              <w:rPr>
                <w:spacing w:val="-4"/>
                <w:lang w:val="en-GB"/>
              </w:rPr>
              <w:t xml:space="preserve"> order less also on the unemployment benefits</w:t>
            </w:r>
            <w:r w:rsidR="001C3855" w:rsidRPr="00D160FB">
              <w:rPr>
                <w:spacing w:val="-4"/>
                <w:lang w:val="en-GB"/>
              </w:rPr>
              <w:t>,</w:t>
            </w:r>
            <w:r w:rsidR="003C086F" w:rsidRPr="00D160FB">
              <w:rPr>
                <w:spacing w:val="-4"/>
                <w:lang w:val="en-GB"/>
              </w:rPr>
              <w:t xml:space="preserve"> whose paid out size slightly fell for the second year in a row. Still it totalled not negligible </w:t>
            </w:r>
            <w:r w:rsidR="001C3855" w:rsidRPr="00D160FB">
              <w:rPr>
                <w:spacing w:val="-4"/>
                <w:lang w:val="en-GB"/>
              </w:rPr>
              <w:t>9</w:t>
            </w:r>
            <w:r w:rsidR="003C086F" w:rsidRPr="00D160FB">
              <w:rPr>
                <w:spacing w:val="-4"/>
                <w:lang w:val="en-GB"/>
              </w:rPr>
              <w:t>.</w:t>
            </w:r>
            <w:r w:rsidR="001C3855" w:rsidRPr="00D160FB">
              <w:rPr>
                <w:spacing w:val="-4"/>
                <w:lang w:val="en-GB"/>
              </w:rPr>
              <w:t>9</w:t>
            </w:r>
            <w:r w:rsidR="003C086F" w:rsidRPr="00D160FB">
              <w:rPr>
                <w:spacing w:val="-4"/>
                <w:lang w:val="en-GB"/>
              </w:rPr>
              <w:t xml:space="preserve"> CZK bn</w:t>
            </w:r>
            <w:r w:rsidR="001C3855" w:rsidRPr="00D160FB">
              <w:rPr>
                <w:spacing w:val="-4"/>
                <w:lang w:val="en-GB"/>
              </w:rPr>
              <w:t>.</w:t>
            </w:r>
          </w:p>
        </w:tc>
      </w:tr>
      <w:tr w:rsidR="001C3855" w:rsidRPr="00D160FB" w14:paraId="2465E644" w14:textId="77777777" w:rsidTr="00C8019E">
        <w:trPr>
          <w:trHeight w:val="170"/>
        </w:trPr>
        <w:tc>
          <w:tcPr>
            <w:tcW w:w="1773" w:type="dxa"/>
            <w:shd w:val="clear" w:color="auto" w:fill="auto"/>
            <w:tcMar>
              <w:left w:w="0" w:type="dxa"/>
            </w:tcMar>
          </w:tcPr>
          <w:p w14:paraId="55871531" w14:textId="3C71C802" w:rsidR="001C3855" w:rsidRPr="00D160FB" w:rsidRDefault="001C3855" w:rsidP="003C086F">
            <w:pPr>
              <w:pStyle w:val="Marginlie"/>
              <w:rPr>
                <w:lang w:val="en-GB"/>
              </w:rPr>
            </w:pPr>
            <w:r w:rsidRPr="00D160FB">
              <w:rPr>
                <w:lang w:val="en-GB"/>
              </w:rPr>
              <w:lastRenderedPageBreak/>
              <w:t>S</w:t>
            </w:r>
            <w:r w:rsidR="003C086F" w:rsidRPr="00D160FB">
              <w:rPr>
                <w:lang w:val="en-GB"/>
              </w:rPr>
              <w:t xml:space="preserve">trong growth of outlays on non-investment purchases related mainly to the strengthening of state material reserves. Growth of outlays on servicing the state debt accelerated and approached so far record size from year </w:t>
            </w:r>
            <w:r w:rsidRPr="00D160FB">
              <w:rPr>
                <w:lang w:val="en-GB"/>
              </w:rPr>
              <w:t xml:space="preserve">2013. </w:t>
            </w:r>
          </w:p>
          <w:p w14:paraId="3A44DAF5" w14:textId="77777777" w:rsidR="001C3855" w:rsidRPr="00D160FB" w:rsidRDefault="001C3855" w:rsidP="00C8019E">
            <w:pPr>
              <w:pStyle w:val="Marginlie"/>
              <w:rPr>
                <w:lang w:val="en-GB"/>
              </w:rPr>
            </w:pPr>
          </w:p>
          <w:p w14:paraId="7E90C0E4" w14:textId="77777777" w:rsidR="001C3855" w:rsidRPr="00D160FB" w:rsidRDefault="001C3855" w:rsidP="00C8019E">
            <w:pPr>
              <w:pStyle w:val="Marginlie"/>
              <w:rPr>
                <w:lang w:val="en-GB"/>
              </w:rPr>
            </w:pPr>
          </w:p>
          <w:p w14:paraId="1244ED82" w14:textId="77777777" w:rsidR="001C3855" w:rsidRPr="00D160FB" w:rsidRDefault="001C3855" w:rsidP="00C8019E">
            <w:pPr>
              <w:pStyle w:val="Marginlie"/>
              <w:rPr>
                <w:lang w:val="en-GB"/>
              </w:rPr>
            </w:pPr>
          </w:p>
          <w:p w14:paraId="79583F4F" w14:textId="77777777" w:rsidR="001C3855" w:rsidRPr="00D160FB" w:rsidRDefault="001C3855" w:rsidP="00C8019E">
            <w:pPr>
              <w:pStyle w:val="Marginlie"/>
              <w:rPr>
                <w:lang w:val="en-GB"/>
              </w:rPr>
            </w:pPr>
          </w:p>
          <w:p w14:paraId="4981A48C" w14:textId="77777777" w:rsidR="001C3855" w:rsidRPr="00D160FB" w:rsidRDefault="001C3855" w:rsidP="00C8019E">
            <w:pPr>
              <w:pStyle w:val="Marginlie"/>
              <w:rPr>
                <w:lang w:val="en-GB"/>
              </w:rPr>
            </w:pPr>
          </w:p>
          <w:p w14:paraId="0D92699A" w14:textId="41E5524C" w:rsidR="001C3855" w:rsidRPr="00D160FB" w:rsidRDefault="002A4951" w:rsidP="00C8019E">
            <w:pPr>
              <w:pStyle w:val="Marginlie"/>
              <w:rPr>
                <w:lang w:val="en-GB"/>
              </w:rPr>
            </w:pPr>
            <w:r w:rsidRPr="00D160FB">
              <w:rPr>
                <w:lang w:val="en-GB"/>
              </w:rPr>
              <w:t xml:space="preserve">Higher current transfers to regional budgets reflected especially the mild increase of wage tariffs in education. </w:t>
            </w:r>
          </w:p>
          <w:p w14:paraId="44E9EB26" w14:textId="77777777" w:rsidR="001C3855" w:rsidRPr="00D160FB" w:rsidRDefault="001C3855" w:rsidP="00C8019E">
            <w:pPr>
              <w:pStyle w:val="Marginlie"/>
              <w:rPr>
                <w:lang w:val="en-GB"/>
              </w:rPr>
            </w:pPr>
          </w:p>
        </w:tc>
        <w:tc>
          <w:tcPr>
            <w:tcW w:w="217" w:type="dxa"/>
            <w:shd w:val="clear" w:color="auto" w:fill="auto"/>
            <w:tcMar>
              <w:left w:w="0" w:type="dxa"/>
            </w:tcMar>
          </w:tcPr>
          <w:p w14:paraId="5CEEDF1A" w14:textId="77777777" w:rsidR="001C3855" w:rsidRPr="00D160FB" w:rsidRDefault="001C3855" w:rsidP="00C8019E">
            <w:pPr>
              <w:pStyle w:val="Textpoznpodarou"/>
              <w:jc w:val="both"/>
              <w:rPr>
                <w:spacing w:val="-4"/>
                <w:lang w:val="en-GB"/>
              </w:rPr>
            </w:pPr>
          </w:p>
        </w:tc>
        <w:tc>
          <w:tcPr>
            <w:tcW w:w="7679" w:type="dxa"/>
            <w:shd w:val="clear" w:color="auto" w:fill="auto"/>
            <w:tcMar>
              <w:left w:w="0" w:type="dxa"/>
            </w:tcMar>
          </w:tcPr>
          <w:p w14:paraId="52F1E187" w14:textId="58182CA6" w:rsidR="001C3855" w:rsidRPr="00D160FB" w:rsidRDefault="009F6723" w:rsidP="00C8019E">
            <w:pPr>
              <w:spacing w:after="200"/>
              <w:rPr>
                <w:rFonts w:cs="Arial"/>
                <w:color w:val="0D0D0D" w:themeColor="text1" w:themeTint="F2"/>
                <w:spacing w:val="-5"/>
                <w:lang w:val="en-GB"/>
              </w:rPr>
            </w:pPr>
            <w:r w:rsidRPr="00D160FB">
              <w:rPr>
                <w:rFonts w:cs="Arial"/>
                <w:color w:val="0D0D0D" w:themeColor="text1" w:themeTint="F2"/>
                <w:spacing w:val="-5"/>
                <w:lang w:val="en-GB"/>
              </w:rPr>
              <w:t xml:space="preserve">All social benefits strengthened by </w:t>
            </w:r>
            <w:r w:rsidR="001C3855" w:rsidRPr="00D160FB">
              <w:rPr>
                <w:rFonts w:cs="Arial"/>
                <w:color w:val="0D0D0D" w:themeColor="text1" w:themeTint="F2"/>
                <w:spacing w:val="-5"/>
                <w:lang w:val="en-GB"/>
              </w:rPr>
              <w:t>75</w:t>
            </w:r>
            <w:r w:rsidRPr="00D160FB">
              <w:rPr>
                <w:rFonts w:cs="Arial"/>
                <w:color w:val="0D0D0D" w:themeColor="text1" w:themeTint="F2"/>
                <w:spacing w:val="-5"/>
                <w:lang w:val="en-GB"/>
              </w:rPr>
              <w:t>.</w:t>
            </w:r>
            <w:r w:rsidR="001C3855" w:rsidRPr="00D160FB">
              <w:rPr>
                <w:rFonts w:cs="Arial"/>
                <w:color w:val="0D0D0D" w:themeColor="text1" w:themeTint="F2"/>
                <w:spacing w:val="-5"/>
                <w:lang w:val="en-GB"/>
              </w:rPr>
              <w:t>7</w:t>
            </w:r>
            <w:r w:rsidRPr="00D160FB">
              <w:rPr>
                <w:rFonts w:cs="Arial"/>
                <w:color w:val="0D0D0D" w:themeColor="text1" w:themeTint="F2"/>
                <w:spacing w:val="-5"/>
                <w:lang w:val="en-GB"/>
              </w:rPr>
              <w:t xml:space="preserve"> CZK bn last year </w:t>
            </w:r>
            <w:r w:rsidR="001C3855" w:rsidRPr="00D160FB">
              <w:rPr>
                <w:rFonts w:cs="Arial"/>
                <w:color w:val="0D0D0D" w:themeColor="text1" w:themeTint="F2"/>
                <w:spacing w:val="-5"/>
                <w:lang w:val="en-GB"/>
              </w:rPr>
              <w:t>(</w:t>
            </w:r>
            <w:r w:rsidRPr="00D160FB">
              <w:rPr>
                <w:rFonts w:cs="Arial"/>
                <w:color w:val="0D0D0D" w:themeColor="text1" w:themeTint="F2"/>
                <w:spacing w:val="-5"/>
                <w:lang w:val="en-GB"/>
              </w:rPr>
              <w:t>one half of</w:t>
            </w:r>
            <w:r w:rsidR="005A4C24" w:rsidRPr="00D160FB">
              <w:rPr>
                <w:rFonts w:cs="Arial"/>
                <w:color w:val="0D0D0D" w:themeColor="text1" w:themeTint="F2"/>
                <w:spacing w:val="-5"/>
                <w:lang w:val="en-GB"/>
              </w:rPr>
              <w:t xml:space="preserve"> </w:t>
            </w:r>
            <w:r w:rsidRPr="00D160FB">
              <w:rPr>
                <w:rFonts w:cs="Arial"/>
                <w:color w:val="0D0D0D" w:themeColor="text1" w:themeTint="F2"/>
                <w:spacing w:val="-5"/>
                <w:lang w:val="en-GB"/>
              </w:rPr>
              <w:t>it pertained to the last four months of the year</w:t>
            </w:r>
            <w:r w:rsidR="001C3855" w:rsidRPr="00D160FB">
              <w:rPr>
                <w:rFonts w:cs="Arial"/>
                <w:color w:val="0D0D0D" w:themeColor="text1" w:themeTint="F2"/>
                <w:spacing w:val="-5"/>
                <w:lang w:val="en-GB"/>
              </w:rPr>
              <w:t>). T</w:t>
            </w:r>
            <w:r w:rsidRPr="00D160FB">
              <w:rPr>
                <w:rFonts w:cs="Arial"/>
                <w:color w:val="0D0D0D" w:themeColor="text1" w:themeTint="F2"/>
                <w:spacing w:val="-5"/>
                <w:lang w:val="en-GB"/>
              </w:rPr>
              <w:t xml:space="preserve">hey comprised </w:t>
            </w:r>
            <w:r w:rsidR="001C3855" w:rsidRPr="00D160FB">
              <w:rPr>
                <w:rFonts w:cs="Arial"/>
                <w:color w:val="0D0D0D" w:themeColor="text1" w:themeTint="F2"/>
                <w:spacing w:val="-5"/>
                <w:lang w:val="en-GB"/>
              </w:rPr>
              <w:t>42</w:t>
            </w:r>
            <w:r w:rsidRPr="00D160FB">
              <w:rPr>
                <w:rFonts w:cs="Arial"/>
                <w:color w:val="0D0D0D" w:themeColor="text1" w:themeTint="F2"/>
                <w:spacing w:val="-5"/>
                <w:lang w:val="en-GB"/>
              </w:rPr>
              <w:t>.</w:t>
            </w:r>
            <w:r w:rsidR="001C3855" w:rsidRPr="00D160FB">
              <w:rPr>
                <w:rFonts w:cs="Arial"/>
                <w:color w:val="0D0D0D" w:themeColor="text1" w:themeTint="F2"/>
                <w:spacing w:val="-5"/>
                <w:lang w:val="en-GB"/>
              </w:rPr>
              <w:t>7%</w:t>
            </w:r>
            <w:r w:rsidRPr="00D160FB">
              <w:rPr>
                <w:rFonts w:cs="Arial"/>
                <w:color w:val="0D0D0D" w:themeColor="text1" w:themeTint="F2"/>
                <w:spacing w:val="-5"/>
                <w:lang w:val="en-GB"/>
              </w:rPr>
              <w:t xml:space="preserve"> of all current SB outlays, which was approximately by 3</w:t>
            </w:r>
            <w:r w:rsidR="001C3855" w:rsidRPr="00D160FB">
              <w:rPr>
                <w:rFonts w:cs="Arial"/>
                <w:color w:val="0D0D0D" w:themeColor="text1" w:themeTint="F2"/>
                <w:spacing w:val="-5"/>
                <w:lang w:val="en-GB"/>
              </w:rPr>
              <w:t xml:space="preserve"> p.</w:t>
            </w:r>
            <w:r w:rsidRPr="00D160FB">
              <w:rPr>
                <w:rFonts w:cs="Arial"/>
                <w:color w:val="0D0D0D" w:themeColor="text1" w:themeTint="F2"/>
                <w:spacing w:val="-5"/>
                <w:lang w:val="en-GB"/>
              </w:rPr>
              <w:t>p</w:t>
            </w:r>
            <w:r w:rsidR="001C3855" w:rsidRPr="00D160FB">
              <w:rPr>
                <w:rFonts w:cs="Arial"/>
                <w:color w:val="0D0D0D" w:themeColor="text1" w:themeTint="F2"/>
                <w:spacing w:val="-5"/>
                <w:lang w:val="en-GB"/>
              </w:rPr>
              <w:t>.</w:t>
            </w:r>
            <w:r w:rsidRPr="00D160FB">
              <w:rPr>
                <w:rFonts w:cs="Arial"/>
                <w:color w:val="0D0D0D" w:themeColor="text1" w:themeTint="F2"/>
                <w:spacing w:val="-5"/>
                <w:lang w:val="en-GB"/>
              </w:rPr>
              <w:t xml:space="preserve"> less than in the period of the economic recession </w:t>
            </w:r>
            <w:r w:rsidR="001C3855" w:rsidRPr="00D160FB">
              <w:rPr>
                <w:rFonts w:cs="Arial"/>
                <w:color w:val="0D0D0D" w:themeColor="text1" w:themeTint="F2"/>
                <w:spacing w:val="-5"/>
                <w:lang w:val="en-GB"/>
              </w:rPr>
              <w:t>(2012</w:t>
            </w:r>
            <w:r w:rsidRPr="00D160FB">
              <w:rPr>
                <w:rFonts w:cs="Arial"/>
                <w:color w:val="0D0D0D" w:themeColor="text1" w:themeTint="F2"/>
                <w:spacing w:val="-5"/>
                <w:lang w:val="en-GB"/>
              </w:rPr>
              <w:t xml:space="preserve"> till </w:t>
            </w:r>
            <w:r w:rsidR="001C3855" w:rsidRPr="00D160FB">
              <w:rPr>
                <w:rFonts w:cs="Arial"/>
                <w:color w:val="0D0D0D" w:themeColor="text1" w:themeTint="F2"/>
                <w:spacing w:val="-5"/>
                <w:lang w:val="en-GB"/>
              </w:rPr>
              <w:t xml:space="preserve">2013). </w:t>
            </w:r>
            <w:r w:rsidR="001A77E1" w:rsidRPr="00D160FB">
              <w:rPr>
                <w:rFonts w:cs="Arial"/>
                <w:color w:val="0D0D0D" w:themeColor="text1" w:themeTint="F2"/>
                <w:spacing w:val="-5"/>
                <w:lang w:val="en-GB"/>
              </w:rPr>
              <w:t xml:space="preserve">Outside of the area of social benefits, the unexpectedly large volume of non-investment purchases of the state the most contributed to the growth of the total current expenditures </w:t>
            </w:r>
            <w:r w:rsidR="001C3855" w:rsidRPr="00D160FB">
              <w:rPr>
                <w:color w:val="0D0D0D" w:themeColor="text1" w:themeTint="F2"/>
                <w:spacing w:val="-5"/>
                <w:lang w:val="en-GB"/>
              </w:rPr>
              <w:t>(+15</w:t>
            </w:r>
            <w:r w:rsidR="001A77E1" w:rsidRPr="00D160FB">
              <w:rPr>
                <w:color w:val="0D0D0D" w:themeColor="text1" w:themeTint="F2"/>
                <w:spacing w:val="-5"/>
                <w:lang w:val="en-GB"/>
              </w:rPr>
              <w:t>.</w:t>
            </w:r>
            <w:r w:rsidR="001C3855" w:rsidRPr="00D160FB">
              <w:rPr>
                <w:color w:val="0D0D0D" w:themeColor="text1" w:themeTint="F2"/>
                <w:spacing w:val="-5"/>
                <w:lang w:val="en-GB"/>
              </w:rPr>
              <w:t>8%, 12</w:t>
            </w:r>
            <w:r w:rsidR="001A77E1" w:rsidRPr="00D160FB">
              <w:rPr>
                <w:color w:val="0D0D0D" w:themeColor="text1" w:themeTint="F2"/>
                <w:spacing w:val="-5"/>
                <w:lang w:val="en-GB"/>
              </w:rPr>
              <w:t>.</w:t>
            </w:r>
            <w:r w:rsidR="001C3855" w:rsidRPr="00D160FB">
              <w:rPr>
                <w:color w:val="0D0D0D" w:themeColor="text1" w:themeTint="F2"/>
                <w:spacing w:val="-5"/>
                <w:lang w:val="en-GB"/>
              </w:rPr>
              <w:t>4</w:t>
            </w:r>
            <w:r w:rsidR="001A77E1" w:rsidRPr="00D160FB">
              <w:rPr>
                <w:color w:val="0D0D0D" w:themeColor="text1" w:themeTint="F2"/>
                <w:spacing w:val="-5"/>
                <w:lang w:val="en-GB"/>
              </w:rPr>
              <w:t xml:space="preserve"> CZK bn</w:t>
            </w:r>
            <w:r w:rsidR="00C133BB" w:rsidRPr="00D160FB">
              <w:rPr>
                <w:color w:val="0D0D0D" w:themeColor="text1" w:themeTint="F2"/>
                <w:spacing w:val="-5"/>
                <w:lang w:val="en-GB"/>
              </w:rPr>
              <w:t xml:space="preserve"> resp.</w:t>
            </w:r>
            <w:r w:rsidR="001C3855" w:rsidRPr="00D160FB">
              <w:rPr>
                <w:color w:val="0D0D0D" w:themeColor="text1" w:themeTint="F2"/>
                <w:spacing w:val="-5"/>
                <w:lang w:val="en-GB"/>
              </w:rPr>
              <w:t xml:space="preserve">), </w:t>
            </w:r>
            <w:r w:rsidR="00A05AED" w:rsidRPr="00D160FB">
              <w:rPr>
                <w:color w:val="0D0D0D" w:themeColor="text1" w:themeTint="F2"/>
                <w:spacing w:val="-5"/>
                <w:lang w:val="en-GB"/>
              </w:rPr>
              <w:t xml:space="preserve">where the higher expenditures on strengthening of the state material reserves </w:t>
            </w:r>
            <w:r w:rsidR="001C3855" w:rsidRPr="00D160FB">
              <w:rPr>
                <w:color w:val="0D0D0D" w:themeColor="text1" w:themeTint="F2"/>
                <w:spacing w:val="-5"/>
                <w:lang w:val="en-GB"/>
              </w:rPr>
              <w:t>(</w:t>
            </w:r>
            <w:r w:rsidR="00A05AED" w:rsidRPr="00D160FB">
              <w:rPr>
                <w:color w:val="0D0D0D" w:themeColor="text1" w:themeTint="F2"/>
                <w:spacing w:val="-5"/>
                <w:lang w:val="en-GB"/>
              </w:rPr>
              <w:t>mainly natural gas</w:t>
            </w:r>
            <w:r w:rsidR="001C3855" w:rsidRPr="00D160FB">
              <w:rPr>
                <w:color w:val="0D0D0D" w:themeColor="text1" w:themeTint="F2"/>
                <w:spacing w:val="-5"/>
                <w:lang w:val="en-GB"/>
              </w:rPr>
              <w:t xml:space="preserve">), </w:t>
            </w:r>
            <w:r w:rsidR="00A05AED" w:rsidRPr="00D160FB">
              <w:rPr>
                <w:color w:val="0D0D0D" w:themeColor="text1" w:themeTint="F2"/>
                <w:spacing w:val="-5"/>
                <w:lang w:val="en-GB"/>
              </w:rPr>
              <w:t>payment of older cost to the Czech Post, rising prices for consumed energies or higher need to purchase medicine and medical manifested</w:t>
            </w:r>
            <w:r w:rsidR="001C3855" w:rsidRPr="00D160FB">
              <w:rPr>
                <w:color w:val="0D0D0D" w:themeColor="text1" w:themeTint="F2"/>
                <w:spacing w:val="-5"/>
                <w:lang w:val="en-GB"/>
              </w:rPr>
              <w:t>.</w:t>
            </w:r>
            <w:r w:rsidR="00A05AED" w:rsidRPr="00D160FB">
              <w:rPr>
                <w:color w:val="0D0D0D" w:themeColor="text1" w:themeTint="F2"/>
                <w:spacing w:val="-5"/>
                <w:lang w:val="en-GB"/>
              </w:rPr>
              <w:t xml:space="preserve"> Net expenditures on servicing the state debt also burdened the SB more</w:t>
            </w:r>
            <w:r w:rsidR="001C3855" w:rsidRPr="00D160FB">
              <w:rPr>
                <w:rStyle w:val="Znakapoznpodarou"/>
                <w:spacing w:val="-4"/>
                <w:lang w:val="en-GB"/>
              </w:rPr>
              <w:footnoteReference w:id="16"/>
            </w:r>
            <w:r w:rsidR="001C3855" w:rsidRPr="00D160FB">
              <w:rPr>
                <w:spacing w:val="-4"/>
                <w:lang w:val="en-GB"/>
              </w:rPr>
              <w:t xml:space="preserve">. </w:t>
            </w:r>
            <w:r w:rsidR="00A05AED" w:rsidRPr="00D160FB">
              <w:rPr>
                <w:spacing w:val="-4"/>
                <w:lang w:val="en-GB"/>
              </w:rPr>
              <w:t xml:space="preserve">Their growth accelerated compared to year </w:t>
            </w:r>
            <w:r w:rsidR="001C3855" w:rsidRPr="00D160FB">
              <w:rPr>
                <w:spacing w:val="-4"/>
                <w:lang w:val="en-GB"/>
              </w:rPr>
              <w:t xml:space="preserve">2021. </w:t>
            </w:r>
            <w:r w:rsidR="007C505E" w:rsidRPr="00D160FB">
              <w:rPr>
                <w:spacing w:val="-4"/>
                <w:lang w:val="en-GB"/>
              </w:rPr>
              <w:t xml:space="preserve">It attained </w:t>
            </w:r>
            <w:r w:rsidR="001C3855" w:rsidRPr="00D160FB">
              <w:rPr>
                <w:spacing w:val="-4"/>
                <w:lang w:val="en-GB"/>
              </w:rPr>
              <w:t>17</w:t>
            </w:r>
            <w:r w:rsidR="007C505E" w:rsidRPr="00D160FB">
              <w:rPr>
                <w:spacing w:val="-4"/>
                <w:lang w:val="en-GB"/>
              </w:rPr>
              <w:t>.</w:t>
            </w:r>
            <w:r w:rsidR="001C3855" w:rsidRPr="00D160FB">
              <w:rPr>
                <w:spacing w:val="-4"/>
                <w:lang w:val="en-GB"/>
              </w:rPr>
              <w:t>7%</w:t>
            </w:r>
            <w:r w:rsidR="007C505E" w:rsidRPr="00D160FB">
              <w:rPr>
                <w:spacing w:val="-4"/>
                <w:lang w:val="en-GB"/>
              </w:rPr>
              <w:t xml:space="preserve"> last year and with its size </w:t>
            </w:r>
            <w:r w:rsidR="001C3855" w:rsidRPr="00D160FB">
              <w:rPr>
                <w:spacing w:val="-4"/>
                <w:lang w:val="en-GB"/>
              </w:rPr>
              <w:t>(49</w:t>
            </w:r>
            <w:r w:rsidR="007C505E" w:rsidRPr="00D160FB">
              <w:rPr>
                <w:spacing w:val="-4"/>
                <w:lang w:val="en-GB"/>
              </w:rPr>
              <w:t>.</w:t>
            </w:r>
            <w:r w:rsidR="001C3855" w:rsidRPr="00D160FB">
              <w:rPr>
                <w:spacing w:val="-4"/>
                <w:lang w:val="en-GB"/>
              </w:rPr>
              <w:t>7</w:t>
            </w:r>
            <w:r w:rsidR="007C505E" w:rsidRPr="00D160FB">
              <w:rPr>
                <w:spacing w:val="-4"/>
                <w:lang w:val="en-GB"/>
              </w:rPr>
              <w:t xml:space="preserve"> CZK bn</w:t>
            </w:r>
            <w:r w:rsidR="001C3855" w:rsidRPr="00D160FB">
              <w:rPr>
                <w:spacing w:val="-4"/>
                <w:lang w:val="en-GB"/>
              </w:rPr>
              <w:t>)</w:t>
            </w:r>
            <w:r w:rsidR="007C505E" w:rsidRPr="00D160FB">
              <w:rPr>
                <w:spacing w:val="-4"/>
                <w:lang w:val="en-GB"/>
              </w:rPr>
              <w:t xml:space="preserve"> closely approached the record expenditures from year </w:t>
            </w:r>
            <w:r w:rsidR="001C3855" w:rsidRPr="00D160FB">
              <w:rPr>
                <w:spacing w:val="-4"/>
                <w:lang w:val="en-GB"/>
              </w:rPr>
              <w:t xml:space="preserve">2013. </w:t>
            </w:r>
            <w:r w:rsidR="007C505E" w:rsidRPr="00D160FB">
              <w:rPr>
                <w:spacing w:val="-4"/>
                <w:lang w:val="en-GB"/>
              </w:rPr>
              <w:t xml:space="preserve">It was connected with the growth of the size of debt as well as interest rates on domestic state bonds. </w:t>
            </w:r>
            <w:r w:rsidR="00A32984" w:rsidRPr="00D160FB">
              <w:rPr>
                <w:color w:val="0D0D0D" w:themeColor="text1" w:themeTint="F2"/>
                <w:spacing w:val="-5"/>
                <w:lang w:val="en-GB"/>
              </w:rPr>
              <w:t xml:space="preserve">Significant by volume current transfers towards regions and municipalities mildly grew in alignment with the budget anticipations for the last year </w:t>
            </w:r>
            <w:r w:rsidR="001C3855" w:rsidRPr="00D160FB">
              <w:rPr>
                <w:color w:val="0D0D0D" w:themeColor="text1" w:themeTint="F2"/>
                <w:spacing w:val="-6"/>
                <w:lang w:val="en-GB"/>
              </w:rPr>
              <w:t>(+2</w:t>
            </w:r>
            <w:r w:rsidR="00A32984" w:rsidRPr="00D160FB">
              <w:rPr>
                <w:color w:val="0D0D0D" w:themeColor="text1" w:themeTint="F2"/>
                <w:spacing w:val="-6"/>
                <w:lang w:val="en-GB"/>
              </w:rPr>
              <w:t>.</w:t>
            </w:r>
            <w:r w:rsidR="001C3855" w:rsidRPr="00D160FB">
              <w:rPr>
                <w:color w:val="0D0D0D" w:themeColor="text1" w:themeTint="F2"/>
                <w:spacing w:val="-6"/>
                <w:lang w:val="en-GB"/>
              </w:rPr>
              <w:t>3%, +5</w:t>
            </w:r>
            <w:r w:rsidR="00A32984" w:rsidRPr="00D160FB">
              <w:rPr>
                <w:color w:val="0D0D0D" w:themeColor="text1" w:themeTint="F2"/>
                <w:spacing w:val="-6"/>
                <w:lang w:val="en-GB"/>
              </w:rPr>
              <w:t>.</w:t>
            </w:r>
            <w:r w:rsidR="001C3855" w:rsidRPr="00D160FB">
              <w:rPr>
                <w:color w:val="0D0D0D" w:themeColor="text1" w:themeTint="F2"/>
                <w:spacing w:val="-6"/>
                <w:lang w:val="en-GB"/>
              </w:rPr>
              <w:t xml:space="preserve">3 </w:t>
            </w:r>
            <w:r w:rsidR="00A32984" w:rsidRPr="00D160FB">
              <w:rPr>
                <w:color w:val="0D0D0D" w:themeColor="text1" w:themeTint="F2"/>
                <w:spacing w:val="-6"/>
                <w:lang w:val="en-GB"/>
              </w:rPr>
              <w:t>CZK bn</w:t>
            </w:r>
            <w:r w:rsidR="001C3855" w:rsidRPr="00D160FB">
              <w:rPr>
                <w:color w:val="0D0D0D" w:themeColor="text1" w:themeTint="F2"/>
                <w:spacing w:val="-6"/>
                <w:lang w:val="en-GB"/>
              </w:rPr>
              <w:t xml:space="preserve">). </w:t>
            </w:r>
            <w:r w:rsidR="00A32984" w:rsidRPr="00D160FB">
              <w:rPr>
                <w:color w:val="0D0D0D" w:themeColor="text1" w:themeTint="F2"/>
                <w:spacing w:val="-6"/>
                <w:lang w:val="en-GB"/>
              </w:rPr>
              <w:t>Mild growth of the wage tariffs of teache</w:t>
            </w:r>
            <w:r w:rsidR="0077399F" w:rsidRPr="00D160FB">
              <w:rPr>
                <w:color w:val="0D0D0D" w:themeColor="text1" w:themeTint="F2"/>
                <w:spacing w:val="-6"/>
                <w:lang w:val="en-GB"/>
              </w:rPr>
              <w:t>r</w:t>
            </w:r>
            <w:r w:rsidR="00A32984" w:rsidRPr="00D160FB">
              <w:rPr>
                <w:color w:val="0D0D0D" w:themeColor="text1" w:themeTint="F2"/>
                <w:spacing w:val="-6"/>
                <w:lang w:val="en-GB"/>
              </w:rPr>
              <w:t xml:space="preserve">s of primary and secondary schools </w:t>
            </w:r>
            <w:r w:rsidR="001C3855" w:rsidRPr="00D160FB">
              <w:rPr>
                <w:color w:val="0D0D0D" w:themeColor="text1" w:themeTint="F2"/>
                <w:spacing w:val="-5"/>
                <w:lang w:val="en-GB"/>
              </w:rPr>
              <w:t xml:space="preserve">(+2%) </w:t>
            </w:r>
            <w:r w:rsidR="00A32984" w:rsidRPr="00D160FB">
              <w:rPr>
                <w:color w:val="0D0D0D" w:themeColor="text1" w:themeTint="F2"/>
                <w:spacing w:val="-5"/>
                <w:lang w:val="en-GB"/>
              </w:rPr>
              <w:t>as well as compensations to local authorities for the accommodation of refugees had a pro-growth effect</w:t>
            </w:r>
            <w:r w:rsidR="001C3855" w:rsidRPr="00D160FB">
              <w:rPr>
                <w:color w:val="0D0D0D" w:themeColor="text1" w:themeTint="F2"/>
                <w:spacing w:val="-5"/>
                <w:lang w:val="en-GB"/>
              </w:rPr>
              <w:t xml:space="preserve">, </w:t>
            </w:r>
            <w:r w:rsidR="00095191" w:rsidRPr="00D160FB">
              <w:rPr>
                <w:color w:val="0D0D0D" w:themeColor="text1" w:themeTint="F2"/>
                <w:spacing w:val="-5"/>
                <w:lang w:val="en-GB"/>
              </w:rPr>
              <w:t xml:space="preserve">the decline of funds on </w:t>
            </w:r>
            <w:r w:rsidR="0077399F" w:rsidRPr="00D160FB">
              <w:rPr>
                <w:color w:val="0D0D0D" w:themeColor="text1" w:themeTint="F2"/>
                <w:spacing w:val="-5"/>
                <w:lang w:val="en-GB"/>
              </w:rPr>
              <w:t>social</w:t>
            </w:r>
            <w:r w:rsidR="00095191" w:rsidRPr="00D160FB">
              <w:rPr>
                <w:color w:val="0D0D0D" w:themeColor="text1" w:themeTint="F2"/>
                <w:spacing w:val="-5"/>
                <w:lang w:val="en-GB"/>
              </w:rPr>
              <w:t xml:space="preserve"> services or inpatient care (connected to the extraordinary bonuses the year before the last) had the opposite effect. </w:t>
            </w:r>
            <w:r w:rsidR="001B75F7" w:rsidRPr="00D160FB">
              <w:rPr>
                <w:color w:val="0D0D0D" w:themeColor="text1" w:themeTint="F2"/>
                <w:spacing w:val="-5"/>
                <w:lang w:val="en-GB"/>
              </w:rPr>
              <w:t xml:space="preserve">From other current expenditures, the payments of the public health insurance for the so called state insured person </w:t>
            </w:r>
            <w:r w:rsidR="001C3855" w:rsidRPr="00D160FB">
              <w:rPr>
                <w:color w:val="0D0D0D" w:themeColor="text1" w:themeTint="F2"/>
                <w:spacing w:val="-6"/>
                <w:lang w:val="en-GB"/>
              </w:rPr>
              <w:t>(2</w:t>
            </w:r>
            <w:r w:rsidR="001B75F7" w:rsidRPr="00D160FB">
              <w:rPr>
                <w:color w:val="0D0D0D" w:themeColor="text1" w:themeTint="F2"/>
                <w:spacing w:val="-6"/>
                <w:lang w:val="en-GB"/>
              </w:rPr>
              <w:t>.</w:t>
            </w:r>
            <w:r w:rsidR="001C3855" w:rsidRPr="00D160FB">
              <w:rPr>
                <w:color w:val="0D0D0D" w:themeColor="text1" w:themeTint="F2"/>
                <w:spacing w:val="-6"/>
                <w:lang w:val="en-GB"/>
              </w:rPr>
              <w:t xml:space="preserve">4%), </w:t>
            </w:r>
            <w:r w:rsidR="001B75F7" w:rsidRPr="00D160FB">
              <w:rPr>
                <w:color w:val="0D0D0D" w:themeColor="text1" w:themeTint="F2"/>
                <w:spacing w:val="-6"/>
                <w:lang w:val="en-GB"/>
              </w:rPr>
              <w:t>which were affected both by th</w:t>
            </w:r>
            <w:r w:rsidR="0077399F" w:rsidRPr="00D160FB">
              <w:rPr>
                <w:color w:val="0D0D0D" w:themeColor="text1" w:themeTint="F2"/>
                <w:spacing w:val="-6"/>
                <w:lang w:val="en-GB"/>
              </w:rPr>
              <w:t>e</w:t>
            </w:r>
            <w:r w:rsidR="001B75F7" w:rsidRPr="00D160FB">
              <w:rPr>
                <w:color w:val="0D0D0D" w:themeColor="text1" w:themeTint="F2"/>
                <w:spacing w:val="-6"/>
                <w:lang w:val="en-GB"/>
              </w:rPr>
              <w:t xml:space="preserve"> change of the adjustment mechanism</w:t>
            </w:r>
            <w:r w:rsidR="001C3855" w:rsidRPr="00D160FB">
              <w:rPr>
                <w:rStyle w:val="Znakapoznpodarou"/>
                <w:spacing w:val="-6"/>
                <w:lang w:val="en-GB"/>
              </w:rPr>
              <w:footnoteReference w:id="17"/>
            </w:r>
            <w:r w:rsidR="001B75F7" w:rsidRPr="00D160FB">
              <w:rPr>
                <w:color w:val="0D0D0D" w:themeColor="text1" w:themeTint="F2"/>
                <w:spacing w:val="-6"/>
                <w:lang w:val="en-GB"/>
              </w:rPr>
              <w:t xml:space="preserve"> and the higher number of insured persons. </w:t>
            </w:r>
          </w:p>
        </w:tc>
      </w:tr>
      <w:tr w:rsidR="00E75B3A" w:rsidRPr="00D160FB" w14:paraId="03A39248" w14:textId="77777777" w:rsidTr="00C8019E">
        <w:trPr>
          <w:trHeight w:val="170"/>
        </w:trPr>
        <w:tc>
          <w:tcPr>
            <w:tcW w:w="1773" w:type="dxa"/>
            <w:shd w:val="clear" w:color="auto" w:fill="auto"/>
            <w:tcMar>
              <w:left w:w="0" w:type="dxa"/>
            </w:tcMar>
          </w:tcPr>
          <w:p w14:paraId="5EFFD5DB" w14:textId="39C634FA" w:rsidR="00E75B3A" w:rsidRPr="00D160FB" w:rsidRDefault="00E75B3A" w:rsidP="00E75B3A">
            <w:pPr>
              <w:pStyle w:val="Marginlie"/>
              <w:rPr>
                <w:lang w:val="en-GB"/>
              </w:rPr>
            </w:pPr>
            <w:r w:rsidRPr="00D160FB">
              <w:rPr>
                <w:lang w:val="en-GB"/>
              </w:rPr>
              <w:t xml:space="preserve">Budget anticipated downturn of current transfers to business entities was linked to the retreat of support programs in pandemics. It was however hampered by expenditures on the energy tariff in the second half of the year. </w:t>
            </w:r>
          </w:p>
        </w:tc>
        <w:tc>
          <w:tcPr>
            <w:tcW w:w="217" w:type="dxa"/>
            <w:shd w:val="clear" w:color="auto" w:fill="auto"/>
            <w:tcMar>
              <w:left w:w="0" w:type="dxa"/>
            </w:tcMar>
          </w:tcPr>
          <w:p w14:paraId="17BC1518" w14:textId="77777777" w:rsidR="00E75B3A" w:rsidRPr="00D160FB" w:rsidRDefault="00E75B3A" w:rsidP="00E75B3A">
            <w:pPr>
              <w:pStyle w:val="Textpoznpodarou"/>
              <w:jc w:val="both"/>
              <w:rPr>
                <w:spacing w:val="-4"/>
                <w:lang w:val="en-GB"/>
              </w:rPr>
            </w:pPr>
          </w:p>
        </w:tc>
        <w:tc>
          <w:tcPr>
            <w:tcW w:w="7679" w:type="dxa"/>
            <w:shd w:val="clear" w:color="auto" w:fill="auto"/>
            <w:tcMar>
              <w:left w:w="0" w:type="dxa"/>
            </w:tcMar>
          </w:tcPr>
          <w:p w14:paraId="2581E7BA" w14:textId="03EB3005" w:rsidR="00E75B3A" w:rsidRPr="00D160FB" w:rsidRDefault="00E75B3A" w:rsidP="00E75B3A">
            <w:pPr>
              <w:spacing w:after="0"/>
              <w:rPr>
                <w:rFonts w:cs="Arial"/>
                <w:color w:val="0D0D0D" w:themeColor="text1" w:themeTint="F2"/>
                <w:spacing w:val="-5"/>
                <w:lang w:val="en-GB"/>
              </w:rPr>
            </w:pPr>
            <w:r w:rsidRPr="00D160FB">
              <w:rPr>
                <w:color w:val="0D0D0D" w:themeColor="text1" w:themeTint="F2"/>
                <w:spacing w:val="-5"/>
                <w:lang w:val="en-GB"/>
              </w:rPr>
              <w:t xml:space="preserve">Noninvestment transfers to business entities, which plunged by 28.8% year-on-year, 36.1 CZK bn resp. significantly worked in the direction of decrease of current expenditures in line with the anticipation. The fundamental retreat of support programmes for business entities hit by the impacts of pandemics manifested here (by 60 CZK bn), lower advance subsidies to the renewable sources of energies also had a partial effect. Mainly the new subsidies on the savings of energy (so called energy tariff serving as an assistance to households) paid out this year in September (17.4 CZK bn) and to a lower extent also the </w:t>
            </w:r>
            <w:r w:rsidRPr="00D160FB">
              <w:rPr>
                <w:rFonts w:cs="Arial"/>
                <w:color w:val="000000"/>
                <w:shd w:val="clear" w:color="auto" w:fill="FFFFFF"/>
                <w:lang w:val="en-GB"/>
              </w:rPr>
              <w:t xml:space="preserve">abolition of the mandatory fee for the development of renewable energy </w:t>
            </w:r>
            <w:r w:rsidRPr="00D160FB">
              <w:rPr>
                <w:color w:val="0D0D0D" w:themeColor="text1" w:themeTint="F2"/>
                <w:spacing w:val="-5"/>
                <w:lang w:val="en-GB"/>
              </w:rPr>
              <w:t xml:space="preserve">had the opposite effect. Lowering of subsidies to budgetary organisations (−4.3%) is closely connected with the higher basis in the year before the last affected by the payment of extraordinary bonuses to medical professionals. The decrease of subsidies to the non-profit organisations was also related to the retreat of the pandemics (−11.9%), mainly in the area of education and sport. Growth of the long-time rising mandatory payments of the CR into the EU budget halted last year </w:t>
            </w:r>
            <w:r w:rsidRPr="00D160FB">
              <w:rPr>
                <w:spacing w:val="-5"/>
                <w:lang w:val="en-GB"/>
              </w:rPr>
              <w:t>(</w:t>
            </w:r>
            <w:r w:rsidRPr="00D160FB">
              <w:rPr>
                <w:color w:val="0D0D0D" w:themeColor="text1" w:themeTint="F2"/>
                <w:spacing w:val="-5"/>
                <w:lang w:val="en-GB"/>
              </w:rPr>
              <w:t xml:space="preserve">−1.8%), specifically for the first time since year 2017. Weight significant expenditures on the </w:t>
            </w:r>
            <w:r w:rsidRPr="00E75B3A">
              <w:rPr>
                <w:color w:val="0D0D0D" w:themeColor="text1" w:themeTint="F2"/>
                <w:spacing w:val="-6"/>
                <w:lang w:val="en-GB"/>
              </w:rPr>
              <w:t>salaries in the central government institutions in reality stagnated for the second year in a row.</w:t>
            </w:r>
            <w:r w:rsidRPr="00D160FB">
              <w:rPr>
                <w:color w:val="0D0D0D" w:themeColor="text1" w:themeTint="F2"/>
                <w:spacing w:val="-5"/>
                <w:lang w:val="en-GB"/>
              </w:rPr>
              <w:t xml:space="preserve"> </w:t>
            </w:r>
          </w:p>
        </w:tc>
      </w:tr>
      <w:tr w:rsidR="00E75B3A" w:rsidRPr="00D160FB" w14:paraId="370E4A72" w14:textId="77777777" w:rsidTr="00C8019E">
        <w:trPr>
          <w:trHeight w:val="170"/>
        </w:trPr>
        <w:tc>
          <w:tcPr>
            <w:tcW w:w="1773" w:type="dxa"/>
            <w:vMerge w:val="restart"/>
            <w:shd w:val="clear" w:color="auto" w:fill="auto"/>
            <w:tcMar>
              <w:left w:w="0" w:type="dxa"/>
            </w:tcMar>
          </w:tcPr>
          <w:p w14:paraId="743F7998" w14:textId="77777777" w:rsidR="00E75B3A" w:rsidRPr="00D160FB" w:rsidRDefault="00E75B3A" w:rsidP="00E75B3A">
            <w:pPr>
              <w:pStyle w:val="Marginlie"/>
              <w:rPr>
                <w:lang w:val="en-GB"/>
              </w:rPr>
            </w:pPr>
          </w:p>
        </w:tc>
        <w:tc>
          <w:tcPr>
            <w:tcW w:w="217" w:type="dxa"/>
            <w:vMerge w:val="restart"/>
            <w:shd w:val="clear" w:color="auto" w:fill="auto"/>
            <w:tcMar>
              <w:left w:w="0" w:type="dxa"/>
            </w:tcMar>
          </w:tcPr>
          <w:p w14:paraId="4228B394" w14:textId="77777777" w:rsidR="00E75B3A" w:rsidRPr="00D160FB" w:rsidRDefault="00E75B3A" w:rsidP="00E75B3A">
            <w:pPr>
              <w:pStyle w:val="Textpoznpodarou"/>
              <w:jc w:val="both"/>
              <w:rPr>
                <w:spacing w:val="-4"/>
                <w:lang w:val="en-GB"/>
              </w:rPr>
            </w:pPr>
          </w:p>
        </w:tc>
        <w:tc>
          <w:tcPr>
            <w:tcW w:w="7679" w:type="dxa"/>
            <w:shd w:val="clear" w:color="auto" w:fill="auto"/>
            <w:tcMar>
              <w:left w:w="0" w:type="dxa"/>
            </w:tcMar>
          </w:tcPr>
          <w:p w14:paraId="2E7E1C3E" w14:textId="055C6AA0" w:rsidR="00E75B3A" w:rsidRPr="00D160FB" w:rsidRDefault="00E75B3A" w:rsidP="00E75B3A">
            <w:pPr>
              <w:spacing w:after="20" w:line="240" w:lineRule="auto"/>
              <w:jc w:val="left"/>
              <w:rPr>
                <w:rFonts w:cs="Arial"/>
                <w:bCs/>
                <w:spacing w:val="-3"/>
                <w:lang w:val="en-GB"/>
              </w:rPr>
            </w:pPr>
            <w:r w:rsidRPr="00D160FB">
              <w:rPr>
                <w:b/>
                <w:spacing w:val="-3"/>
                <w:lang w:val="en-GB"/>
              </w:rPr>
              <w:t xml:space="preserve">Chart 19 </w:t>
            </w:r>
            <w:r w:rsidRPr="00D160FB">
              <w:rPr>
                <w:rFonts w:cs="Arial"/>
                <w:b/>
                <w:bCs/>
                <w:spacing w:val="-6"/>
                <w:lang w:val="en-GB"/>
              </w:rPr>
              <w:t xml:space="preserve">Selected expenditures of the state budget </w:t>
            </w:r>
            <w:r w:rsidRPr="00D160FB">
              <w:rPr>
                <w:rFonts w:cs="Arial"/>
                <w:bCs/>
                <w:spacing w:val="-6"/>
                <w:lang w:val="en-GB"/>
              </w:rPr>
              <w:t>(annual total, in CZK bn)</w:t>
            </w:r>
          </w:p>
        </w:tc>
      </w:tr>
      <w:tr w:rsidR="00E75B3A" w:rsidRPr="00D160FB" w14:paraId="3BD6DF79" w14:textId="77777777" w:rsidTr="00874962">
        <w:tblPrEx>
          <w:tblCellMar>
            <w:left w:w="70" w:type="dxa"/>
            <w:right w:w="70" w:type="dxa"/>
          </w:tblCellMar>
        </w:tblPrEx>
        <w:trPr>
          <w:trHeight w:val="170"/>
        </w:trPr>
        <w:tc>
          <w:tcPr>
            <w:tcW w:w="1773" w:type="dxa"/>
            <w:vMerge/>
            <w:shd w:val="clear" w:color="auto" w:fill="auto"/>
          </w:tcPr>
          <w:p w14:paraId="3A4ABBAD" w14:textId="77777777" w:rsidR="00E75B3A" w:rsidRPr="00D160FB" w:rsidRDefault="00E75B3A" w:rsidP="00E75B3A">
            <w:pPr>
              <w:pStyle w:val="Marginlie"/>
              <w:rPr>
                <w:lang w:val="en-GB"/>
              </w:rPr>
            </w:pPr>
          </w:p>
        </w:tc>
        <w:tc>
          <w:tcPr>
            <w:tcW w:w="217" w:type="dxa"/>
            <w:vMerge/>
            <w:shd w:val="clear" w:color="auto" w:fill="auto"/>
          </w:tcPr>
          <w:p w14:paraId="600EA188" w14:textId="77777777" w:rsidR="00E75B3A" w:rsidRPr="00D160FB" w:rsidRDefault="00E75B3A" w:rsidP="00E75B3A">
            <w:pPr>
              <w:pStyle w:val="Textpoznpodarou"/>
              <w:jc w:val="both"/>
              <w:rPr>
                <w:spacing w:val="-4"/>
                <w:lang w:val="en-GB"/>
              </w:rPr>
            </w:pPr>
          </w:p>
        </w:tc>
        <w:tc>
          <w:tcPr>
            <w:tcW w:w="7679" w:type="dxa"/>
            <w:shd w:val="clear" w:color="auto" w:fill="auto"/>
          </w:tcPr>
          <w:p w14:paraId="2C57B566" w14:textId="35E537F6" w:rsidR="00E75B3A" w:rsidRPr="00D160FB" w:rsidRDefault="00E75B3A" w:rsidP="00E75B3A">
            <w:pPr>
              <w:spacing w:after="0"/>
              <w:rPr>
                <w:spacing w:val="-6"/>
                <w:lang w:val="en-GB"/>
              </w:rPr>
            </w:pPr>
            <w:r>
              <w:rPr>
                <w:noProof/>
              </w:rPr>
              <w:drawing>
                <wp:inline distT="0" distB="0" distL="0" distR="0" wp14:anchorId="35A09D61" wp14:editId="550309CB">
                  <wp:extent cx="4586431" cy="3533034"/>
                  <wp:effectExtent l="0" t="0" r="5080" b="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B3A" w:rsidRPr="00D160FB" w14:paraId="65C7AFE0" w14:textId="77777777" w:rsidTr="00C8019E">
        <w:trPr>
          <w:trHeight w:val="170"/>
        </w:trPr>
        <w:tc>
          <w:tcPr>
            <w:tcW w:w="1773" w:type="dxa"/>
            <w:vMerge/>
            <w:shd w:val="clear" w:color="auto" w:fill="auto"/>
            <w:tcMar>
              <w:left w:w="0" w:type="dxa"/>
            </w:tcMar>
          </w:tcPr>
          <w:p w14:paraId="3D48017E" w14:textId="77777777" w:rsidR="00E75B3A" w:rsidRPr="00D160FB" w:rsidRDefault="00E75B3A" w:rsidP="00E75B3A">
            <w:pPr>
              <w:pStyle w:val="Marginlie"/>
              <w:rPr>
                <w:lang w:val="en-GB"/>
              </w:rPr>
            </w:pPr>
          </w:p>
        </w:tc>
        <w:tc>
          <w:tcPr>
            <w:tcW w:w="217" w:type="dxa"/>
            <w:vMerge/>
            <w:shd w:val="clear" w:color="auto" w:fill="auto"/>
            <w:tcMar>
              <w:left w:w="0" w:type="dxa"/>
            </w:tcMar>
          </w:tcPr>
          <w:p w14:paraId="0E6E2521" w14:textId="77777777" w:rsidR="00E75B3A" w:rsidRPr="00D160FB" w:rsidRDefault="00E75B3A" w:rsidP="00E75B3A">
            <w:pPr>
              <w:pStyle w:val="Textpoznpodarou"/>
              <w:jc w:val="both"/>
              <w:rPr>
                <w:spacing w:val="-4"/>
                <w:lang w:val="en-GB"/>
              </w:rPr>
            </w:pPr>
          </w:p>
        </w:tc>
        <w:tc>
          <w:tcPr>
            <w:tcW w:w="7679" w:type="dxa"/>
            <w:shd w:val="clear" w:color="auto" w:fill="auto"/>
            <w:tcMar>
              <w:left w:w="0" w:type="dxa"/>
            </w:tcMar>
          </w:tcPr>
          <w:p w14:paraId="4B052472" w14:textId="77777777" w:rsidR="00E75B3A" w:rsidRPr="00D160FB" w:rsidRDefault="00E75B3A" w:rsidP="00E75B3A">
            <w:pPr>
              <w:pStyle w:val="Textpoznpodarou"/>
              <w:rPr>
                <w:spacing w:val="-4"/>
                <w:sz w:val="14"/>
                <w:szCs w:val="14"/>
                <w:lang w:val="en-GB"/>
              </w:rPr>
            </w:pPr>
            <w:r w:rsidRPr="00D160FB">
              <w:rPr>
                <w:spacing w:val="-4"/>
                <w:sz w:val="14"/>
                <w:szCs w:val="14"/>
                <w:lang w:val="en-GB"/>
              </w:rPr>
              <w:t>*</w:t>
            </w:r>
            <w:r w:rsidRPr="00D160FB">
              <w:rPr>
                <w:spacing w:val="-6"/>
                <w:sz w:val="14"/>
                <w:szCs w:val="14"/>
                <w:lang w:val="en-GB"/>
              </w:rPr>
              <w:t xml:space="preserve"> Covers expenditures on salaries in central government institutions. Does not include e.g. wage costs of regional education.</w:t>
            </w:r>
          </w:p>
          <w:p w14:paraId="466784F9" w14:textId="77777777" w:rsidR="00E75B3A" w:rsidRDefault="00E75B3A" w:rsidP="00E75B3A">
            <w:pPr>
              <w:pStyle w:val="Textpoznpodarou"/>
              <w:rPr>
                <w:spacing w:val="-6"/>
                <w:sz w:val="14"/>
                <w:szCs w:val="14"/>
                <w:lang w:val="en-GB"/>
              </w:rPr>
            </w:pPr>
            <w:r w:rsidRPr="00D160FB">
              <w:rPr>
                <w:spacing w:val="-6"/>
                <w:sz w:val="14"/>
                <w:szCs w:val="14"/>
                <w:lang w:val="en-GB"/>
              </w:rPr>
              <w:t>**Also include</w:t>
            </w:r>
            <w:r>
              <w:rPr>
                <w:spacing w:val="-6"/>
                <w:sz w:val="14"/>
                <w:szCs w:val="14"/>
                <w:lang w:val="en-GB"/>
              </w:rPr>
              <w:t>s the foster care benefits.</w:t>
            </w:r>
          </w:p>
          <w:p w14:paraId="1F53FBC3" w14:textId="02A9C7ED" w:rsidR="00E75B3A" w:rsidRPr="00D160FB" w:rsidRDefault="00E75B3A" w:rsidP="00E75B3A">
            <w:pPr>
              <w:pStyle w:val="Textpoznpodarou"/>
              <w:rPr>
                <w:spacing w:val="-6"/>
                <w:sz w:val="14"/>
                <w:szCs w:val="14"/>
                <w:lang w:val="en-GB"/>
              </w:rPr>
            </w:pPr>
            <w:r w:rsidRPr="00D160FB">
              <w:rPr>
                <w:spacing w:val="-6"/>
                <w:sz w:val="14"/>
                <w:szCs w:val="14"/>
                <w:lang w:val="en-GB"/>
              </w:rPr>
              <w:t>***Includes Material deprivation assistance benefits, Benefits for people with disabilities, Care benefits based on Act on State Social Support. Humanitarian aid provided for citizens of Ukraine are also included here.</w:t>
            </w:r>
          </w:p>
          <w:p w14:paraId="28482EAE" w14:textId="4B17487D" w:rsidR="00E75B3A" w:rsidRDefault="00E75B3A" w:rsidP="00E75B3A">
            <w:pPr>
              <w:pStyle w:val="Textpoznpodarou"/>
              <w:rPr>
                <w:spacing w:val="-6"/>
                <w:sz w:val="14"/>
                <w:szCs w:val="14"/>
                <w:lang w:val="en-GB"/>
              </w:rPr>
            </w:pPr>
            <w:r w:rsidRPr="00D160FB">
              <w:rPr>
                <w:spacing w:val="-6"/>
                <w:sz w:val="14"/>
                <w:szCs w:val="14"/>
                <w:lang w:val="en-GB"/>
              </w:rPr>
              <w:t xml:space="preserve">****Contains mainly expenditures on purchase of services, materials, energies or other services (e.g. expenditures on repairs </w:t>
            </w:r>
            <w:r>
              <w:rPr>
                <w:spacing w:val="-6"/>
                <w:sz w:val="14"/>
                <w:szCs w:val="14"/>
                <w:lang w:val="en-GB"/>
              </w:rPr>
              <w:t>and maintenance).</w:t>
            </w:r>
          </w:p>
          <w:p w14:paraId="73EE3337" w14:textId="5F665B25" w:rsidR="00E75B3A" w:rsidRPr="00D160FB" w:rsidRDefault="00E75B3A" w:rsidP="00E75B3A">
            <w:pPr>
              <w:pStyle w:val="Textpoznpodarou"/>
              <w:rPr>
                <w:spacing w:val="-4"/>
                <w:sz w:val="14"/>
                <w:szCs w:val="14"/>
                <w:lang w:val="en-GB"/>
              </w:rPr>
            </w:pPr>
            <w:r w:rsidRPr="00D160FB">
              <w:rPr>
                <w:spacing w:val="-6"/>
                <w:sz w:val="14"/>
                <w:szCs w:val="14"/>
                <w:lang w:val="en-GB"/>
              </w:rPr>
              <w:t xml:space="preserve">*****Corresponds to the balance of the budget </w:t>
            </w:r>
            <w:r>
              <w:rPr>
                <w:spacing w:val="-6"/>
                <w:sz w:val="14"/>
                <w:szCs w:val="14"/>
                <w:lang w:val="en-GB"/>
              </w:rPr>
              <w:t>chapter State debt.</w:t>
            </w:r>
          </w:p>
          <w:p w14:paraId="212A1080" w14:textId="51384288" w:rsidR="00E75B3A" w:rsidRPr="00874962" w:rsidRDefault="00E75B3A" w:rsidP="00E75B3A">
            <w:pPr>
              <w:pStyle w:val="Textpoznpodarou"/>
              <w:spacing w:after="160"/>
              <w:rPr>
                <w:spacing w:val="-4"/>
                <w:sz w:val="14"/>
                <w:szCs w:val="14"/>
                <w:lang w:val="en-GB"/>
              </w:rPr>
            </w:pPr>
            <w:r>
              <w:rPr>
                <w:spacing w:val="-4"/>
                <w:sz w:val="14"/>
                <w:szCs w:val="14"/>
                <w:lang w:val="en-GB"/>
              </w:rPr>
              <w:t>Source: MF CR, MLSA</w:t>
            </w:r>
          </w:p>
        </w:tc>
      </w:tr>
    </w:tbl>
    <w:p w14:paraId="38B3191D" w14:textId="77777777" w:rsidR="001C3855" w:rsidRPr="00D160FB" w:rsidRDefault="001C3855" w:rsidP="001C3855">
      <w:pPr>
        <w:pStyle w:val="Nadpis11"/>
        <w:rPr>
          <w:b w:val="0"/>
          <w:sz w:val="2"/>
          <w:szCs w:val="2"/>
          <w:lang w:val="en-GB"/>
        </w:rPr>
      </w:pPr>
    </w:p>
    <w:tbl>
      <w:tblPr>
        <w:tblW w:w="9669" w:type="dxa"/>
        <w:tblInd w:w="-20" w:type="dxa"/>
        <w:tblCellMar>
          <w:left w:w="0" w:type="dxa"/>
          <w:right w:w="0" w:type="dxa"/>
        </w:tblCellMar>
        <w:tblLook w:val="00A0" w:firstRow="1" w:lastRow="0" w:firstColumn="1" w:lastColumn="0" w:noHBand="0" w:noVBand="0"/>
      </w:tblPr>
      <w:tblGrid>
        <w:gridCol w:w="1780"/>
        <w:gridCol w:w="219"/>
        <w:gridCol w:w="7670"/>
      </w:tblGrid>
      <w:tr w:rsidR="001C3855" w:rsidRPr="00D160FB" w14:paraId="51804E6F" w14:textId="77777777" w:rsidTr="00C8019E">
        <w:trPr>
          <w:trHeight w:val="145"/>
        </w:trPr>
        <w:tc>
          <w:tcPr>
            <w:tcW w:w="1780" w:type="dxa"/>
            <w:shd w:val="clear" w:color="auto" w:fill="auto"/>
            <w:tcMar>
              <w:left w:w="0" w:type="dxa"/>
            </w:tcMar>
          </w:tcPr>
          <w:p w14:paraId="158B8556" w14:textId="7FDE9CEC" w:rsidR="001C3855" w:rsidRPr="00D160FB" w:rsidRDefault="001C3855" w:rsidP="00C8019E">
            <w:pPr>
              <w:pStyle w:val="Marginlie"/>
              <w:rPr>
                <w:spacing w:val="-4"/>
                <w:lang w:val="en-GB"/>
              </w:rPr>
            </w:pPr>
            <w:r w:rsidRPr="00D160FB">
              <w:rPr>
                <w:spacing w:val="-4"/>
                <w:lang w:val="en-GB"/>
              </w:rPr>
              <w:t>M</w:t>
            </w:r>
            <w:r w:rsidR="00C33AA6" w:rsidRPr="00D160FB">
              <w:rPr>
                <w:spacing w:val="-4"/>
                <w:lang w:val="en-GB"/>
              </w:rPr>
              <w:t xml:space="preserve">ild growth of investment reflected higher expenditures on transport infrastructure as well as the environment. Common CR and EU projects contributed. </w:t>
            </w:r>
          </w:p>
        </w:tc>
        <w:tc>
          <w:tcPr>
            <w:tcW w:w="219" w:type="dxa"/>
            <w:shd w:val="clear" w:color="auto" w:fill="auto"/>
            <w:tcMar>
              <w:left w:w="0" w:type="dxa"/>
            </w:tcMar>
          </w:tcPr>
          <w:p w14:paraId="24870312" w14:textId="77777777" w:rsidR="001C3855" w:rsidRPr="00D160FB" w:rsidRDefault="001C3855" w:rsidP="00C8019E">
            <w:pPr>
              <w:pStyle w:val="Textpoznpodarou"/>
              <w:jc w:val="both"/>
              <w:rPr>
                <w:spacing w:val="-4"/>
                <w:lang w:val="en-GB"/>
              </w:rPr>
            </w:pPr>
          </w:p>
        </w:tc>
        <w:tc>
          <w:tcPr>
            <w:tcW w:w="7670" w:type="dxa"/>
            <w:shd w:val="clear" w:color="auto" w:fill="auto"/>
            <w:tcMar>
              <w:left w:w="0" w:type="dxa"/>
            </w:tcMar>
          </w:tcPr>
          <w:p w14:paraId="6A8D804F" w14:textId="1763D1FD" w:rsidR="001C3855" w:rsidRPr="00D160FB" w:rsidRDefault="00C33AA6" w:rsidP="00C8019E">
            <w:pPr>
              <w:spacing w:after="200"/>
              <w:rPr>
                <w:color w:val="0D0D0D" w:themeColor="text1" w:themeTint="F2"/>
                <w:spacing w:val="-4"/>
                <w:lang w:val="en-GB"/>
              </w:rPr>
            </w:pPr>
            <w:r w:rsidRPr="00D160FB">
              <w:rPr>
                <w:color w:val="0D0D0D" w:themeColor="text1" w:themeTint="F2"/>
                <w:spacing w:val="-4"/>
                <w:lang w:val="en-GB"/>
              </w:rPr>
              <w:t>SB capital outlays</w:t>
            </w:r>
            <w:r w:rsidR="00CA0F40" w:rsidRPr="00D160FB">
              <w:rPr>
                <w:color w:val="0D0D0D" w:themeColor="text1" w:themeTint="F2"/>
                <w:spacing w:val="-4"/>
                <w:lang w:val="en-GB"/>
              </w:rPr>
              <w:t xml:space="preserve"> thanks to marked acceleration of drawing increased by 5.5% year-on-year at the end of the last year</w:t>
            </w:r>
            <w:r w:rsidR="001C3855" w:rsidRPr="00D160FB">
              <w:rPr>
                <w:rStyle w:val="Znakapoznpodarou"/>
                <w:color w:val="0D0D0D" w:themeColor="text1" w:themeTint="F2"/>
                <w:spacing w:val="-4"/>
                <w:lang w:val="en-GB"/>
              </w:rPr>
              <w:footnoteReference w:id="18"/>
            </w:r>
            <w:r w:rsidR="00CA0F40" w:rsidRPr="00D160FB">
              <w:rPr>
                <w:color w:val="0D0D0D" w:themeColor="text1" w:themeTint="F2"/>
                <w:spacing w:val="-4"/>
                <w:lang w:val="en-GB"/>
              </w:rPr>
              <w:t xml:space="preserve"> </w:t>
            </w:r>
            <w:r w:rsidR="001C3855" w:rsidRPr="00D160FB">
              <w:rPr>
                <w:color w:val="0D0D0D" w:themeColor="text1" w:themeTint="F2"/>
                <w:spacing w:val="-4"/>
                <w:lang w:val="en-GB"/>
              </w:rPr>
              <w:t>a</w:t>
            </w:r>
            <w:r w:rsidRPr="00D160FB">
              <w:rPr>
                <w:color w:val="0D0D0D" w:themeColor="text1" w:themeTint="F2"/>
                <w:spacing w:val="-4"/>
                <w:lang w:val="en-GB"/>
              </w:rPr>
              <w:t xml:space="preserve">nd reached record </w:t>
            </w:r>
            <w:r w:rsidR="001C3855" w:rsidRPr="00D160FB">
              <w:rPr>
                <w:color w:val="0D0D0D" w:themeColor="text1" w:themeTint="F2"/>
                <w:spacing w:val="-4"/>
                <w:lang w:val="en-GB"/>
              </w:rPr>
              <w:t>186</w:t>
            </w:r>
            <w:r w:rsidRPr="00D160FB">
              <w:rPr>
                <w:color w:val="0D0D0D" w:themeColor="text1" w:themeTint="F2"/>
                <w:spacing w:val="-4"/>
                <w:lang w:val="en-GB"/>
              </w:rPr>
              <w:t>.</w:t>
            </w:r>
            <w:r w:rsidR="001C3855" w:rsidRPr="00D160FB">
              <w:rPr>
                <w:color w:val="0D0D0D" w:themeColor="text1" w:themeTint="F2"/>
                <w:spacing w:val="-4"/>
                <w:lang w:val="en-GB"/>
              </w:rPr>
              <w:t>9</w:t>
            </w:r>
            <w:r w:rsidRPr="00D160FB">
              <w:rPr>
                <w:color w:val="0D0D0D" w:themeColor="text1" w:themeTint="F2"/>
                <w:spacing w:val="-4"/>
                <w:lang w:val="en-GB"/>
              </w:rPr>
              <w:t xml:space="preserve"> CZK bn</w:t>
            </w:r>
            <w:r w:rsidR="001C3855" w:rsidRPr="00D160FB">
              <w:rPr>
                <w:color w:val="0D0D0D" w:themeColor="text1" w:themeTint="F2"/>
                <w:spacing w:val="-4"/>
                <w:lang w:val="en-GB"/>
              </w:rPr>
              <w:t xml:space="preserve">. </w:t>
            </w:r>
            <w:r w:rsidR="00577F41" w:rsidRPr="00D160FB">
              <w:rPr>
                <w:color w:val="0D0D0D" w:themeColor="text1" w:themeTint="F2"/>
                <w:spacing w:val="-4"/>
                <w:lang w:val="en-GB"/>
              </w:rPr>
              <w:t xml:space="preserve">Still they lagged behind the budget anticipations by more than one tenth </w:t>
            </w:r>
            <w:r w:rsidR="001C3855" w:rsidRPr="00D160FB">
              <w:rPr>
                <w:color w:val="0D0D0D" w:themeColor="text1" w:themeTint="F2"/>
                <w:spacing w:val="-4"/>
                <w:lang w:val="en-GB"/>
              </w:rPr>
              <w:t>(</w:t>
            </w:r>
            <w:r w:rsidR="00577F41" w:rsidRPr="00D160FB">
              <w:rPr>
                <w:color w:val="0D0D0D" w:themeColor="text1" w:themeTint="F2"/>
                <w:spacing w:val="-4"/>
                <w:lang w:val="en-GB"/>
              </w:rPr>
              <w:t>further mildly lowered amended budget</w:t>
            </w:r>
            <w:r w:rsidR="001C3855" w:rsidRPr="00D160FB">
              <w:rPr>
                <w:color w:val="0D0D0D" w:themeColor="text1" w:themeTint="F2"/>
                <w:spacing w:val="-4"/>
                <w:lang w:val="en-GB"/>
              </w:rPr>
              <w:t xml:space="preserve">). </w:t>
            </w:r>
            <w:r w:rsidR="0073260E" w:rsidRPr="00D160FB">
              <w:rPr>
                <w:color w:val="0D0D0D" w:themeColor="text1" w:themeTint="F2"/>
                <w:spacing w:val="-4"/>
                <w:lang w:val="en-GB"/>
              </w:rPr>
              <w:t xml:space="preserve">Nearly one half of resources aimed for the state funds last year, especially the State Fund for Transport Infrastructure </w:t>
            </w:r>
            <w:r w:rsidR="001C3855" w:rsidRPr="00D160FB">
              <w:rPr>
                <w:color w:val="0D0D0D" w:themeColor="text1" w:themeTint="F2"/>
                <w:spacing w:val="-4"/>
                <w:lang w:val="en-GB"/>
              </w:rPr>
              <w:t>(</w:t>
            </w:r>
            <w:r w:rsidR="0073260E" w:rsidRPr="00D160FB">
              <w:rPr>
                <w:color w:val="0D0D0D" w:themeColor="text1" w:themeTint="F2"/>
                <w:spacing w:val="-4"/>
                <w:lang w:val="en-GB"/>
              </w:rPr>
              <w:t xml:space="preserve">by </w:t>
            </w:r>
            <w:r w:rsidR="001C3855" w:rsidRPr="00D160FB">
              <w:rPr>
                <w:color w:val="0D0D0D" w:themeColor="text1" w:themeTint="F2"/>
                <w:spacing w:val="-4"/>
                <w:lang w:val="en-GB"/>
              </w:rPr>
              <w:t>11</w:t>
            </w:r>
            <w:r w:rsidR="0073260E" w:rsidRPr="00D160FB">
              <w:rPr>
                <w:color w:val="0D0D0D" w:themeColor="text1" w:themeTint="F2"/>
                <w:spacing w:val="-4"/>
                <w:lang w:val="en-GB"/>
              </w:rPr>
              <w:t>.</w:t>
            </w:r>
            <w:r w:rsidR="001C3855" w:rsidRPr="00D160FB">
              <w:rPr>
                <w:color w:val="0D0D0D" w:themeColor="text1" w:themeTint="F2"/>
                <w:spacing w:val="-4"/>
                <w:lang w:val="en-GB"/>
              </w:rPr>
              <w:t>7</w:t>
            </w:r>
            <w:r w:rsidR="0073260E" w:rsidRPr="00D160FB">
              <w:rPr>
                <w:color w:val="0D0D0D" w:themeColor="text1" w:themeTint="F2"/>
                <w:spacing w:val="-4"/>
                <w:lang w:val="en-GB"/>
              </w:rPr>
              <w:t xml:space="preserve"> CZK bn more year-on-year</w:t>
            </w:r>
            <w:r w:rsidR="001C3855" w:rsidRPr="00D160FB">
              <w:rPr>
                <w:color w:val="0D0D0D" w:themeColor="text1" w:themeTint="F2"/>
                <w:spacing w:val="-4"/>
                <w:lang w:val="en-GB"/>
              </w:rPr>
              <w:t>) a</w:t>
            </w:r>
            <w:r w:rsidR="0073260E" w:rsidRPr="00D160FB">
              <w:rPr>
                <w:color w:val="0D0D0D" w:themeColor="text1" w:themeTint="F2"/>
                <w:spacing w:val="-4"/>
                <w:lang w:val="en-GB"/>
              </w:rPr>
              <w:t xml:space="preserve">nd </w:t>
            </w:r>
            <w:r w:rsidR="001C3855" w:rsidRPr="00D160FB">
              <w:rPr>
                <w:color w:val="0D0D0D" w:themeColor="text1" w:themeTint="F2"/>
                <w:spacing w:val="-4"/>
                <w:lang w:val="en-GB"/>
              </w:rPr>
              <w:t>St</w:t>
            </w:r>
            <w:r w:rsidR="00D45D2C" w:rsidRPr="00D160FB">
              <w:rPr>
                <w:color w:val="0D0D0D" w:themeColor="text1" w:themeTint="F2"/>
                <w:spacing w:val="-4"/>
                <w:lang w:val="en-GB"/>
              </w:rPr>
              <w:t xml:space="preserve">ate Environmental Fund </w:t>
            </w:r>
            <w:r w:rsidR="001C3855" w:rsidRPr="00D160FB">
              <w:rPr>
                <w:color w:val="0D0D0D" w:themeColor="text1" w:themeTint="F2"/>
                <w:spacing w:val="-4"/>
                <w:lang w:val="en-GB"/>
              </w:rPr>
              <w:t>(+8</w:t>
            </w:r>
            <w:r w:rsidR="00D45D2C" w:rsidRPr="00D160FB">
              <w:rPr>
                <w:color w:val="0D0D0D" w:themeColor="text1" w:themeTint="F2"/>
                <w:spacing w:val="-4"/>
                <w:lang w:val="en-GB"/>
              </w:rPr>
              <w:t>.</w:t>
            </w:r>
            <w:r w:rsidR="001C3855" w:rsidRPr="00D160FB">
              <w:rPr>
                <w:color w:val="0D0D0D" w:themeColor="text1" w:themeTint="F2"/>
                <w:spacing w:val="-4"/>
                <w:lang w:val="en-GB"/>
              </w:rPr>
              <w:t>0</w:t>
            </w:r>
            <w:r w:rsidR="00D45D2C" w:rsidRPr="00D160FB">
              <w:rPr>
                <w:color w:val="0D0D0D" w:themeColor="text1" w:themeTint="F2"/>
                <w:spacing w:val="-4"/>
                <w:lang w:val="en-GB"/>
              </w:rPr>
              <w:t xml:space="preserve"> CZK bn, mainly for the realisation of the New Green Savings programme financed from the resources of the National Programme Environment</w:t>
            </w:r>
            <w:r w:rsidR="001C3855" w:rsidRPr="00D160FB">
              <w:rPr>
                <w:color w:val="0D0D0D" w:themeColor="text1" w:themeTint="F2"/>
                <w:spacing w:val="-4"/>
                <w:lang w:val="en-GB"/>
              </w:rPr>
              <w:t>).</w:t>
            </w:r>
            <w:r w:rsidR="001C3855" w:rsidRPr="00D160FB">
              <w:rPr>
                <w:rFonts w:cs="Arial"/>
                <w:color w:val="000000"/>
                <w:sz w:val="18"/>
                <w:szCs w:val="18"/>
                <w:lang w:val="en-GB"/>
              </w:rPr>
              <w:t> </w:t>
            </w:r>
            <w:r w:rsidR="00D64B85" w:rsidRPr="00D160FB">
              <w:rPr>
                <w:rFonts w:cs="Arial"/>
                <w:color w:val="000000"/>
                <w:sz w:val="18"/>
                <w:szCs w:val="18"/>
                <w:lang w:val="en-GB"/>
              </w:rPr>
              <w:t xml:space="preserve">Investment transfers to business entities also mildly increased. </w:t>
            </w:r>
            <w:r w:rsidR="006D68E0" w:rsidRPr="00D160FB">
              <w:rPr>
                <w:rFonts w:cs="Arial"/>
                <w:color w:val="000000"/>
                <w:sz w:val="18"/>
                <w:szCs w:val="18"/>
                <w:lang w:val="en-GB"/>
              </w:rPr>
              <w:t xml:space="preserve">From the view of the source of financing. Investment on the common CR and EU projects contributed to the growth </w:t>
            </w:r>
            <w:r w:rsidR="001C3855" w:rsidRPr="00D160FB">
              <w:rPr>
                <w:color w:val="0D0D0D" w:themeColor="text1" w:themeTint="F2"/>
                <w:spacing w:val="-4"/>
                <w:lang w:val="en-GB"/>
              </w:rPr>
              <w:t xml:space="preserve">(+19 </w:t>
            </w:r>
            <w:r w:rsidR="008842AA" w:rsidRPr="00D160FB">
              <w:rPr>
                <w:color w:val="0D0D0D" w:themeColor="text1" w:themeTint="F2"/>
                <w:spacing w:val="-4"/>
                <w:lang w:val="en-GB"/>
              </w:rPr>
              <w:t>CZK bn</w:t>
            </w:r>
            <w:r w:rsidR="001C3855" w:rsidRPr="00D160FB">
              <w:rPr>
                <w:color w:val="0D0D0D" w:themeColor="text1" w:themeTint="F2"/>
                <w:spacing w:val="-4"/>
                <w:lang w:val="en-GB"/>
              </w:rPr>
              <w:t>,</w:t>
            </w:r>
            <w:r w:rsidR="008842AA" w:rsidRPr="00D160FB">
              <w:rPr>
                <w:color w:val="0D0D0D" w:themeColor="text1" w:themeTint="F2"/>
                <w:spacing w:val="-4"/>
                <w:lang w:val="en-GB"/>
              </w:rPr>
              <w:t xml:space="preserve"> to </w:t>
            </w:r>
            <w:r w:rsidR="001C3855" w:rsidRPr="00D160FB">
              <w:rPr>
                <w:color w:val="0D0D0D" w:themeColor="text1" w:themeTint="F2"/>
                <w:spacing w:val="-4"/>
                <w:lang w:val="en-GB"/>
              </w:rPr>
              <w:t>93</w:t>
            </w:r>
            <w:r w:rsidR="008842AA" w:rsidRPr="00D160FB">
              <w:rPr>
                <w:color w:val="0D0D0D" w:themeColor="text1" w:themeTint="F2"/>
                <w:spacing w:val="-4"/>
                <w:lang w:val="en-GB"/>
              </w:rPr>
              <w:t xml:space="preserve"> bn</w:t>
            </w:r>
            <w:r w:rsidR="001C3855" w:rsidRPr="00D160FB">
              <w:rPr>
                <w:color w:val="0D0D0D" w:themeColor="text1" w:themeTint="F2"/>
                <w:spacing w:val="-4"/>
                <w:lang w:val="en-GB"/>
              </w:rPr>
              <w:t xml:space="preserve">). </w:t>
            </w:r>
            <w:r w:rsidR="008842AA" w:rsidRPr="00D160FB">
              <w:rPr>
                <w:color w:val="0D0D0D" w:themeColor="text1" w:themeTint="F2"/>
                <w:spacing w:val="-4"/>
                <w:lang w:val="en-GB"/>
              </w:rPr>
              <w:t xml:space="preserve">In contrast the expenditures on projects from exclusively national resources decreased by nearly one tenth year-on-year. Total investment formed </w:t>
            </w:r>
            <w:r w:rsidR="001C3855" w:rsidRPr="00D160FB">
              <w:rPr>
                <w:color w:val="0D0D0D" w:themeColor="text1" w:themeTint="F2"/>
                <w:spacing w:val="-4"/>
                <w:lang w:val="en-GB"/>
              </w:rPr>
              <w:t>9</w:t>
            </w:r>
            <w:r w:rsidR="008842AA" w:rsidRPr="00D160FB">
              <w:rPr>
                <w:color w:val="0D0D0D" w:themeColor="text1" w:themeTint="F2"/>
                <w:spacing w:val="-4"/>
                <w:lang w:val="en-GB"/>
              </w:rPr>
              <w:t>.</w:t>
            </w:r>
            <w:r w:rsidR="001C3855" w:rsidRPr="00D160FB">
              <w:rPr>
                <w:color w:val="0D0D0D" w:themeColor="text1" w:themeTint="F2"/>
                <w:spacing w:val="-4"/>
                <w:lang w:val="en-GB"/>
              </w:rPr>
              <w:t xml:space="preserve">4% </w:t>
            </w:r>
            <w:r w:rsidR="008842AA" w:rsidRPr="00D160FB">
              <w:rPr>
                <w:color w:val="0D0D0D" w:themeColor="text1" w:themeTint="F2"/>
                <w:spacing w:val="-4"/>
                <w:lang w:val="en-GB"/>
              </w:rPr>
              <w:t>of all SB expenditures last year.</w:t>
            </w:r>
            <w:r w:rsidR="006D68E0" w:rsidRPr="00D160FB">
              <w:rPr>
                <w:color w:val="0D0D0D" w:themeColor="text1" w:themeTint="F2"/>
                <w:spacing w:val="-4"/>
                <w:lang w:val="en-GB"/>
              </w:rPr>
              <w:t xml:space="preserve"> It was the most in the last seven </w:t>
            </w:r>
            <w:r w:rsidR="00EA658A" w:rsidRPr="00D160FB">
              <w:rPr>
                <w:color w:val="0D0D0D" w:themeColor="text1" w:themeTint="F2"/>
                <w:spacing w:val="-4"/>
                <w:lang w:val="en-GB"/>
              </w:rPr>
              <w:t>years but</w:t>
            </w:r>
            <w:r w:rsidR="008842AA" w:rsidRPr="00D160FB">
              <w:rPr>
                <w:color w:val="0D0D0D" w:themeColor="text1" w:themeTint="F2"/>
                <w:spacing w:val="-4"/>
                <w:lang w:val="en-GB"/>
              </w:rPr>
              <w:t xml:space="preserve"> did not digress significantly from the long-term average </w:t>
            </w:r>
            <w:r w:rsidR="001C3855" w:rsidRPr="00D160FB">
              <w:rPr>
                <w:color w:val="0D0D0D" w:themeColor="text1" w:themeTint="F2"/>
                <w:spacing w:val="-4"/>
                <w:lang w:val="en-GB"/>
              </w:rPr>
              <w:t>(</w:t>
            </w:r>
            <w:r w:rsidR="008842AA" w:rsidRPr="00D160FB">
              <w:rPr>
                <w:color w:val="0D0D0D" w:themeColor="text1" w:themeTint="F2"/>
                <w:spacing w:val="-4"/>
                <w:lang w:val="en-GB"/>
              </w:rPr>
              <w:t>for the whole period since the CR accession to the EU</w:t>
            </w:r>
            <w:r w:rsidR="001C3855" w:rsidRPr="00D160FB">
              <w:rPr>
                <w:color w:val="0D0D0D" w:themeColor="text1" w:themeTint="F2"/>
                <w:spacing w:val="-4"/>
                <w:lang w:val="en-GB"/>
              </w:rPr>
              <w:t>)</w:t>
            </w:r>
            <w:r w:rsidR="008842AA" w:rsidRPr="00D160FB">
              <w:rPr>
                <w:color w:val="0D0D0D" w:themeColor="text1" w:themeTint="F2"/>
                <w:spacing w:val="-4"/>
                <w:lang w:val="en-GB"/>
              </w:rPr>
              <w:t xml:space="preserve">. </w:t>
            </w:r>
          </w:p>
        </w:tc>
      </w:tr>
      <w:tr w:rsidR="00E75B3A" w:rsidRPr="00D160FB" w14:paraId="24C4A761" w14:textId="77777777" w:rsidTr="00C8019E">
        <w:trPr>
          <w:trHeight w:val="145"/>
        </w:trPr>
        <w:tc>
          <w:tcPr>
            <w:tcW w:w="1780" w:type="dxa"/>
            <w:shd w:val="clear" w:color="auto" w:fill="auto"/>
            <w:tcMar>
              <w:left w:w="0" w:type="dxa"/>
            </w:tcMar>
          </w:tcPr>
          <w:p w14:paraId="57CF1693" w14:textId="6B64B49A" w:rsidR="00E75B3A" w:rsidRPr="00D160FB" w:rsidRDefault="00E75B3A" w:rsidP="00E75B3A">
            <w:pPr>
              <w:pStyle w:val="Marginlie"/>
              <w:rPr>
                <w:spacing w:val="-4"/>
                <w:lang w:val="en-GB"/>
              </w:rPr>
            </w:pPr>
            <w:r w:rsidRPr="00D160FB">
              <w:rPr>
                <w:spacing w:val="-4"/>
                <w:lang w:val="en-GB"/>
              </w:rPr>
              <w:t xml:space="preserve">Size of the state debt increased by more than 400 CZK bn for the third year in a row. The value of both internal and external debt rose last year. </w:t>
            </w:r>
          </w:p>
        </w:tc>
        <w:tc>
          <w:tcPr>
            <w:tcW w:w="219" w:type="dxa"/>
            <w:shd w:val="clear" w:color="auto" w:fill="auto"/>
            <w:tcMar>
              <w:left w:w="0" w:type="dxa"/>
            </w:tcMar>
          </w:tcPr>
          <w:p w14:paraId="3EA1D7D3" w14:textId="77777777" w:rsidR="00E75B3A" w:rsidRPr="00D160FB" w:rsidRDefault="00E75B3A" w:rsidP="00E75B3A">
            <w:pPr>
              <w:pStyle w:val="Textpoznpodarou"/>
              <w:jc w:val="both"/>
              <w:rPr>
                <w:spacing w:val="-4"/>
                <w:lang w:val="en-GB"/>
              </w:rPr>
            </w:pPr>
          </w:p>
        </w:tc>
        <w:tc>
          <w:tcPr>
            <w:tcW w:w="7670" w:type="dxa"/>
            <w:shd w:val="clear" w:color="auto" w:fill="auto"/>
            <w:tcMar>
              <w:left w:w="0" w:type="dxa"/>
            </w:tcMar>
          </w:tcPr>
          <w:p w14:paraId="61E18BFF" w14:textId="58DC49A2" w:rsidR="00E75B3A" w:rsidRPr="00E75B3A" w:rsidRDefault="00E75B3A" w:rsidP="00E75B3A">
            <w:pPr>
              <w:spacing w:after="200"/>
              <w:rPr>
                <w:spacing w:val="-2"/>
                <w:lang w:val="en-GB"/>
              </w:rPr>
            </w:pPr>
            <w:r w:rsidRPr="00D160FB">
              <w:rPr>
                <w:color w:val="0D0D0D" w:themeColor="text1" w:themeTint="F2"/>
                <w:spacing w:val="-2"/>
                <w:lang w:val="en-GB"/>
              </w:rPr>
              <w:t xml:space="preserve">Deep budget deficit was mirrored in the high borrowing need of the state. The state debt climbed up to </w:t>
            </w:r>
            <w:r w:rsidRPr="00D160FB">
              <w:rPr>
                <w:spacing w:val="-2"/>
                <w:lang w:val="en-GB"/>
              </w:rPr>
              <w:t xml:space="preserve">2 895 CZK bn at the end of the last year’s December, when in increased by record </w:t>
            </w:r>
            <w:r w:rsidRPr="00D160FB">
              <w:rPr>
                <w:color w:val="0D0D0D" w:themeColor="text1" w:themeTint="F2"/>
                <w:spacing w:val="-2"/>
                <w:lang w:val="en-GB"/>
              </w:rPr>
              <w:t>429 bn (+</w:t>
            </w:r>
            <w:r w:rsidRPr="00D160FB">
              <w:rPr>
                <w:spacing w:val="-2"/>
                <w:lang w:val="en-GB"/>
              </w:rPr>
              <w:t>17.4%)</w:t>
            </w:r>
            <w:r w:rsidRPr="00D160FB">
              <w:rPr>
                <w:rStyle w:val="Znakapoznpodarou"/>
                <w:spacing w:val="-2"/>
                <w:lang w:val="en-GB"/>
              </w:rPr>
              <w:footnoteReference w:id="19"/>
            </w:r>
            <w:r w:rsidRPr="00D160FB">
              <w:rPr>
                <w:spacing w:val="-2"/>
                <w:lang w:val="en-GB"/>
              </w:rPr>
              <w:t xml:space="preserve"> for the entire year 2022. The issues of medium as well as long-term koruna bonds (with maturity above 1 year) on the domestic market fundamentally participated in this, even though they did not achieve the intensity from years 2020 neither 2021</w:t>
            </w:r>
            <w:r w:rsidRPr="00D160FB">
              <w:rPr>
                <w:rStyle w:val="Znakapoznpodarou"/>
                <w:spacing w:val="-2"/>
                <w:lang w:val="en-GB"/>
              </w:rPr>
              <w:footnoteReference w:id="20"/>
            </w:r>
            <w:r w:rsidRPr="00D160FB">
              <w:rPr>
                <w:spacing w:val="-2"/>
                <w:lang w:val="en-GB"/>
              </w:rPr>
              <w:t xml:space="preserve">. State on the contrary borrowed considerably more from households last year </w:t>
            </w:r>
            <w:r w:rsidRPr="00D160FB">
              <w:rPr>
                <w:spacing w:val="-2"/>
                <w:lang w:val="en-GB"/>
              </w:rPr>
              <w:lastRenderedPageBreak/>
              <w:t xml:space="preserve">(bond issue at the beginning of the year reached 43 CZK bn) and it also more intensively utilised short-term debt instruments (treasury bills as well as loans on the euro financial market). Consequently the external indebtedness of the CR also increased for the second year in a row (by more than 110 CZK bn) – it nevertheless still participated on the total amount of the state debt by less than one tenth. </w:t>
            </w:r>
            <w:r>
              <w:rPr>
                <w:spacing w:val="-2"/>
                <w:lang w:val="en-GB"/>
              </w:rPr>
              <w:t xml:space="preserve"> </w:t>
            </w:r>
          </w:p>
        </w:tc>
      </w:tr>
      <w:tr w:rsidR="00E75B3A" w:rsidRPr="00D160FB" w14:paraId="58732197" w14:textId="77777777" w:rsidTr="00C8019E">
        <w:trPr>
          <w:trHeight w:val="145"/>
        </w:trPr>
        <w:tc>
          <w:tcPr>
            <w:tcW w:w="1780" w:type="dxa"/>
            <w:shd w:val="clear" w:color="auto" w:fill="auto"/>
            <w:tcMar>
              <w:left w:w="0" w:type="dxa"/>
            </w:tcMar>
          </w:tcPr>
          <w:p w14:paraId="424DDC34" w14:textId="77777777" w:rsidR="00E75B3A" w:rsidRPr="00D160FB" w:rsidRDefault="00E75B3A" w:rsidP="00E75B3A">
            <w:pPr>
              <w:pStyle w:val="Marginlie"/>
              <w:rPr>
                <w:spacing w:val="-4"/>
                <w:lang w:val="en-GB"/>
              </w:rPr>
            </w:pPr>
          </w:p>
        </w:tc>
        <w:tc>
          <w:tcPr>
            <w:tcW w:w="219" w:type="dxa"/>
            <w:shd w:val="clear" w:color="auto" w:fill="auto"/>
            <w:tcMar>
              <w:left w:w="0" w:type="dxa"/>
            </w:tcMar>
          </w:tcPr>
          <w:p w14:paraId="4005959A" w14:textId="77777777" w:rsidR="00E75B3A" w:rsidRPr="00D160FB" w:rsidRDefault="00E75B3A" w:rsidP="00E75B3A">
            <w:pPr>
              <w:pStyle w:val="Textpoznpodarou"/>
              <w:jc w:val="both"/>
              <w:rPr>
                <w:spacing w:val="-4"/>
                <w:lang w:val="en-GB"/>
              </w:rPr>
            </w:pPr>
          </w:p>
        </w:tc>
        <w:tc>
          <w:tcPr>
            <w:tcW w:w="7670" w:type="dxa"/>
            <w:shd w:val="clear" w:color="auto" w:fill="auto"/>
            <w:tcMar>
              <w:left w:w="0" w:type="dxa"/>
            </w:tcMar>
          </w:tcPr>
          <w:p w14:paraId="3148FF33" w14:textId="11E42446" w:rsidR="00E75B3A" w:rsidRPr="00D160FB" w:rsidRDefault="00E75B3A" w:rsidP="00E75B3A">
            <w:pPr>
              <w:spacing w:after="0"/>
              <w:rPr>
                <w:color w:val="0D0D0D" w:themeColor="text1" w:themeTint="F2"/>
                <w:spacing w:val="-4"/>
                <w:lang w:val="en-GB"/>
              </w:rPr>
            </w:pPr>
            <w:r w:rsidRPr="00D160FB">
              <w:rPr>
                <w:b/>
                <w:spacing w:val="-3"/>
                <w:lang w:val="en-GB"/>
              </w:rPr>
              <w:t xml:space="preserve">Chart 20 Budget balance of government institutions sector in selected EU states </w:t>
            </w:r>
            <w:r w:rsidRPr="00D160FB">
              <w:rPr>
                <w:rFonts w:cs="Arial"/>
                <w:bCs/>
                <w:spacing w:val="-3"/>
                <w:lang w:val="en-GB"/>
              </w:rPr>
              <w:t>(single quarters, seasonally adjusted, in % of GDP)</w:t>
            </w:r>
          </w:p>
        </w:tc>
      </w:tr>
      <w:tr w:rsidR="00E75B3A" w:rsidRPr="00D160FB" w14:paraId="6761E48C" w14:textId="77777777" w:rsidTr="00922AAE">
        <w:tblPrEx>
          <w:tblCellMar>
            <w:left w:w="70" w:type="dxa"/>
            <w:right w:w="70" w:type="dxa"/>
          </w:tblCellMar>
        </w:tblPrEx>
        <w:trPr>
          <w:trHeight w:val="145"/>
        </w:trPr>
        <w:tc>
          <w:tcPr>
            <w:tcW w:w="1780" w:type="dxa"/>
            <w:shd w:val="clear" w:color="auto" w:fill="auto"/>
          </w:tcPr>
          <w:p w14:paraId="53DC846E" w14:textId="77777777" w:rsidR="00E75B3A" w:rsidRPr="00D160FB" w:rsidRDefault="00E75B3A" w:rsidP="00E75B3A">
            <w:pPr>
              <w:pStyle w:val="Marginlie"/>
              <w:rPr>
                <w:spacing w:val="-4"/>
                <w:lang w:val="en-GB"/>
              </w:rPr>
            </w:pPr>
          </w:p>
        </w:tc>
        <w:tc>
          <w:tcPr>
            <w:tcW w:w="219" w:type="dxa"/>
            <w:shd w:val="clear" w:color="auto" w:fill="auto"/>
          </w:tcPr>
          <w:p w14:paraId="4DD1635A" w14:textId="77777777" w:rsidR="00E75B3A" w:rsidRPr="00D160FB" w:rsidRDefault="00E75B3A" w:rsidP="00E75B3A">
            <w:pPr>
              <w:pStyle w:val="Textpoznpodarou"/>
              <w:jc w:val="both"/>
              <w:rPr>
                <w:spacing w:val="-4"/>
                <w:lang w:val="en-GB"/>
              </w:rPr>
            </w:pPr>
          </w:p>
        </w:tc>
        <w:tc>
          <w:tcPr>
            <w:tcW w:w="7670" w:type="dxa"/>
            <w:shd w:val="clear" w:color="auto" w:fill="auto"/>
          </w:tcPr>
          <w:p w14:paraId="74DD430B" w14:textId="60E84541" w:rsidR="00E75B3A" w:rsidRPr="00D160FB" w:rsidRDefault="00E75B3A" w:rsidP="00E75B3A">
            <w:pPr>
              <w:spacing w:after="0"/>
              <w:rPr>
                <w:color w:val="0D0D0D" w:themeColor="text1" w:themeTint="F2"/>
                <w:spacing w:val="-4"/>
                <w:lang w:val="en-GB"/>
              </w:rPr>
            </w:pPr>
            <w:r>
              <w:rPr>
                <w:noProof/>
              </w:rPr>
              <w:drawing>
                <wp:inline distT="0" distB="0" distL="0" distR="0" wp14:anchorId="49B5AEBF" wp14:editId="2AC0C6AA">
                  <wp:extent cx="4751235" cy="3310579"/>
                  <wp:effectExtent l="0" t="0" r="11430" b="4445"/>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75B3A" w:rsidRPr="00D160FB" w14:paraId="7DF76256" w14:textId="77777777" w:rsidTr="00C8019E">
        <w:trPr>
          <w:trHeight w:val="145"/>
        </w:trPr>
        <w:tc>
          <w:tcPr>
            <w:tcW w:w="1780" w:type="dxa"/>
            <w:shd w:val="clear" w:color="auto" w:fill="auto"/>
            <w:tcMar>
              <w:left w:w="0" w:type="dxa"/>
            </w:tcMar>
          </w:tcPr>
          <w:p w14:paraId="3189A9E6" w14:textId="77777777" w:rsidR="00E75B3A" w:rsidRPr="00D160FB" w:rsidRDefault="00E75B3A" w:rsidP="00E75B3A">
            <w:pPr>
              <w:pStyle w:val="Marginlie"/>
              <w:rPr>
                <w:spacing w:val="-4"/>
                <w:lang w:val="en-GB"/>
              </w:rPr>
            </w:pPr>
          </w:p>
        </w:tc>
        <w:tc>
          <w:tcPr>
            <w:tcW w:w="219" w:type="dxa"/>
            <w:shd w:val="clear" w:color="auto" w:fill="auto"/>
            <w:tcMar>
              <w:left w:w="0" w:type="dxa"/>
            </w:tcMar>
          </w:tcPr>
          <w:p w14:paraId="0947AAA2" w14:textId="77777777" w:rsidR="00E75B3A" w:rsidRPr="00D160FB" w:rsidRDefault="00E75B3A" w:rsidP="00E75B3A">
            <w:pPr>
              <w:pStyle w:val="Textpoznpodarou"/>
              <w:jc w:val="both"/>
              <w:rPr>
                <w:spacing w:val="-4"/>
                <w:lang w:val="en-GB"/>
              </w:rPr>
            </w:pPr>
          </w:p>
        </w:tc>
        <w:tc>
          <w:tcPr>
            <w:tcW w:w="7670" w:type="dxa"/>
            <w:shd w:val="clear" w:color="auto" w:fill="auto"/>
            <w:tcMar>
              <w:left w:w="0" w:type="dxa"/>
            </w:tcMar>
          </w:tcPr>
          <w:p w14:paraId="1D69C6AB" w14:textId="19B0D4D3" w:rsidR="00E75B3A" w:rsidRPr="00922AAE" w:rsidRDefault="00E75B3A" w:rsidP="00E75B3A">
            <w:pPr>
              <w:spacing w:after="220"/>
              <w:rPr>
                <w:spacing w:val="-4"/>
                <w:sz w:val="14"/>
                <w:szCs w:val="14"/>
                <w:lang w:val="en-GB"/>
              </w:rPr>
            </w:pPr>
            <w:r w:rsidRPr="00D160FB">
              <w:rPr>
                <w:spacing w:val="-4"/>
                <w:sz w:val="14"/>
                <w:szCs w:val="14"/>
                <w:lang w:val="en-GB"/>
              </w:rPr>
              <w:t>Source</w:t>
            </w:r>
            <w:r>
              <w:rPr>
                <w:spacing w:val="-4"/>
                <w:sz w:val="14"/>
                <w:szCs w:val="14"/>
                <w:lang w:val="en-GB"/>
              </w:rPr>
              <w:t xml:space="preserve">: </w:t>
            </w:r>
            <w:proofErr w:type="spellStart"/>
            <w:r>
              <w:rPr>
                <w:spacing w:val="-4"/>
                <w:sz w:val="14"/>
                <w:szCs w:val="14"/>
                <w:lang w:val="en-GB"/>
              </w:rPr>
              <w:t>Eurosta</w:t>
            </w:r>
            <w:proofErr w:type="spellEnd"/>
          </w:p>
        </w:tc>
      </w:tr>
      <w:tr w:rsidR="00E75B3A" w:rsidRPr="00D160FB" w14:paraId="3E69B797" w14:textId="77777777" w:rsidTr="00C8019E">
        <w:trPr>
          <w:trHeight w:val="145"/>
        </w:trPr>
        <w:tc>
          <w:tcPr>
            <w:tcW w:w="1780" w:type="dxa"/>
            <w:shd w:val="clear" w:color="auto" w:fill="auto"/>
            <w:tcMar>
              <w:left w:w="0" w:type="dxa"/>
            </w:tcMar>
          </w:tcPr>
          <w:p w14:paraId="5C5B6ED5" w14:textId="02D70219" w:rsidR="00E75B3A" w:rsidRPr="00D160FB" w:rsidRDefault="00E75B3A" w:rsidP="00E75B3A">
            <w:pPr>
              <w:pStyle w:val="Marginlie"/>
              <w:rPr>
                <w:spacing w:val="-4"/>
                <w:lang w:val="en-GB"/>
              </w:rPr>
            </w:pPr>
            <w:r w:rsidRPr="00D160FB">
              <w:rPr>
                <w:spacing w:val="-4"/>
                <w:lang w:val="en-GB"/>
              </w:rPr>
              <w:t xml:space="preserve">Budget deficit of the sector of government institutions in the CR shrank by one third year-on-year for the three quarters. </w:t>
            </w:r>
          </w:p>
          <w:p w14:paraId="3AB7D8AA" w14:textId="77777777" w:rsidR="00E75B3A" w:rsidRPr="00D160FB" w:rsidRDefault="00E75B3A" w:rsidP="00E75B3A">
            <w:pPr>
              <w:pStyle w:val="Marginlie"/>
              <w:rPr>
                <w:spacing w:val="-4"/>
                <w:lang w:val="en-GB"/>
              </w:rPr>
            </w:pPr>
          </w:p>
          <w:p w14:paraId="39FFD231" w14:textId="77777777" w:rsidR="00E75B3A" w:rsidRPr="00D160FB" w:rsidRDefault="00E75B3A" w:rsidP="00E75B3A">
            <w:pPr>
              <w:pStyle w:val="Marginlie"/>
              <w:rPr>
                <w:spacing w:val="-4"/>
                <w:lang w:val="en-GB"/>
              </w:rPr>
            </w:pPr>
          </w:p>
          <w:p w14:paraId="262F72E0" w14:textId="77777777" w:rsidR="00E75B3A" w:rsidRPr="00D160FB" w:rsidRDefault="00E75B3A" w:rsidP="00E75B3A">
            <w:pPr>
              <w:pStyle w:val="Marginlie"/>
              <w:rPr>
                <w:spacing w:val="-4"/>
                <w:lang w:val="en-GB"/>
              </w:rPr>
            </w:pPr>
          </w:p>
          <w:p w14:paraId="0556C363" w14:textId="77777777" w:rsidR="00E75B3A" w:rsidRPr="00D160FB" w:rsidRDefault="00E75B3A" w:rsidP="00E75B3A">
            <w:pPr>
              <w:pStyle w:val="Marginlie"/>
              <w:rPr>
                <w:spacing w:val="-4"/>
                <w:lang w:val="en-GB"/>
              </w:rPr>
            </w:pPr>
          </w:p>
          <w:p w14:paraId="6C924F6E" w14:textId="43B79393" w:rsidR="00E75B3A" w:rsidRPr="00D160FB" w:rsidRDefault="00E75B3A" w:rsidP="00E75B3A">
            <w:pPr>
              <w:pStyle w:val="Marginlie"/>
              <w:rPr>
                <w:spacing w:val="-4"/>
                <w:lang w:val="en-GB"/>
              </w:rPr>
            </w:pPr>
            <w:r w:rsidRPr="00D160FB">
              <w:rPr>
                <w:spacing w:val="-4"/>
                <w:lang w:val="en-GB"/>
              </w:rPr>
              <w:t xml:space="preserve">Acceleration of the dynamics of expenditures of sector VI in Q3 was also one of the impacts of the unusually high surge of prices in the economy. </w:t>
            </w:r>
          </w:p>
          <w:p w14:paraId="43FE1E14" w14:textId="77777777" w:rsidR="00E75B3A" w:rsidRPr="00D160FB" w:rsidRDefault="00E75B3A" w:rsidP="00E75B3A">
            <w:pPr>
              <w:pStyle w:val="Marginlie"/>
              <w:rPr>
                <w:spacing w:val="-4"/>
                <w:lang w:val="en-GB"/>
              </w:rPr>
            </w:pPr>
          </w:p>
          <w:p w14:paraId="06D4CD7F" w14:textId="77777777" w:rsidR="00E75B3A" w:rsidRPr="00D160FB" w:rsidRDefault="00E75B3A" w:rsidP="00E75B3A">
            <w:pPr>
              <w:pStyle w:val="Marginlie"/>
              <w:rPr>
                <w:spacing w:val="-4"/>
                <w:lang w:val="en-GB"/>
              </w:rPr>
            </w:pPr>
          </w:p>
          <w:p w14:paraId="2CDC27A7" w14:textId="77777777" w:rsidR="00E75B3A" w:rsidRPr="00D160FB" w:rsidRDefault="00E75B3A" w:rsidP="00E75B3A">
            <w:pPr>
              <w:pStyle w:val="Marginlie"/>
              <w:rPr>
                <w:spacing w:val="-4"/>
                <w:lang w:val="en-GB"/>
              </w:rPr>
            </w:pPr>
          </w:p>
        </w:tc>
        <w:tc>
          <w:tcPr>
            <w:tcW w:w="219" w:type="dxa"/>
            <w:shd w:val="clear" w:color="auto" w:fill="auto"/>
            <w:tcMar>
              <w:left w:w="0" w:type="dxa"/>
            </w:tcMar>
          </w:tcPr>
          <w:p w14:paraId="14E9F315" w14:textId="77777777" w:rsidR="00E75B3A" w:rsidRPr="00D160FB" w:rsidRDefault="00E75B3A" w:rsidP="00E75B3A">
            <w:pPr>
              <w:pStyle w:val="Textpoznpodarou"/>
              <w:jc w:val="both"/>
              <w:rPr>
                <w:spacing w:val="-4"/>
                <w:lang w:val="en-GB"/>
              </w:rPr>
            </w:pPr>
          </w:p>
        </w:tc>
        <w:tc>
          <w:tcPr>
            <w:tcW w:w="7670" w:type="dxa"/>
            <w:shd w:val="clear" w:color="auto" w:fill="auto"/>
            <w:tcMar>
              <w:left w:w="0" w:type="dxa"/>
            </w:tcMar>
          </w:tcPr>
          <w:p w14:paraId="6E1F360E" w14:textId="74A54ED5" w:rsidR="00E75B3A" w:rsidRPr="00D160FB" w:rsidRDefault="00E75B3A" w:rsidP="00E75B3A">
            <w:pPr>
              <w:spacing w:after="220"/>
              <w:rPr>
                <w:color w:val="0D0D0D" w:themeColor="text1" w:themeTint="F2"/>
                <w:spacing w:val="-3"/>
                <w:lang w:val="en-GB"/>
              </w:rPr>
            </w:pPr>
            <w:r w:rsidRPr="00D160FB">
              <w:rPr>
                <w:color w:val="0D0D0D" w:themeColor="text1" w:themeTint="F2"/>
                <w:spacing w:val="-3"/>
                <w:lang w:val="en-GB"/>
              </w:rPr>
              <w:t>The whole sector of government institutions (VI) in the CR recorded deficit 145 CZK bn</w:t>
            </w:r>
            <w:r w:rsidRPr="00D160FB">
              <w:rPr>
                <w:rStyle w:val="Znakapoznpodarou"/>
                <w:color w:val="0D0D0D" w:themeColor="text1" w:themeTint="F2"/>
                <w:spacing w:val="-3"/>
                <w:lang w:val="en-GB"/>
              </w:rPr>
              <w:footnoteReference w:id="21"/>
            </w:r>
            <w:r w:rsidRPr="00D160FB">
              <w:rPr>
                <w:color w:val="0D0D0D" w:themeColor="text1" w:themeTint="F2"/>
                <w:spacing w:val="-3"/>
                <w:lang w:val="en-GB"/>
              </w:rPr>
              <w:t xml:space="preserve"> for Q1 to Q3</w:t>
            </w:r>
            <w:r w:rsidRPr="00D160FB">
              <w:rPr>
                <w:rStyle w:val="Znakapoznpodarou"/>
                <w:color w:val="0D0D0D" w:themeColor="text1" w:themeTint="F2"/>
                <w:spacing w:val="-3"/>
                <w:lang w:val="en-GB"/>
              </w:rPr>
              <w:footnoteReference w:id="22"/>
            </w:r>
            <w:r w:rsidRPr="00D160FB">
              <w:rPr>
                <w:color w:val="0D0D0D" w:themeColor="text1" w:themeTint="F2"/>
                <w:spacing w:val="-3"/>
                <w:lang w:val="en-GB"/>
              </w:rPr>
              <w:t xml:space="preserve">, which represented by nearly one third more favourable result against the record deficit from the same period last year. Development in the first half of the year, when the impact of the post-pandemics revival of the economy was still more notably evident stood exclusively behind this improvement. In contrast the deficit deepened to 60 CZK bn in Q3 (worse result was in this time period observed only in the crisis year 2009). Strengthening year-on-year growth of expenditures of sector VI manifested here (from 5.5% in Q2 to 12.2% in Q3), caused by higher social benefits (incl. extraordinary pension adjustments) as well as other current transfers (effect of introducing the Energy-saving tariff), growth of paid out owner income (due to higher interest) and larger volume in intermediate consumption and investment (also as a result of growth of prices in the economy). On the contrary the volume of paid out subsidies reduced significantly, it however remained above the level from year 2019. Total revenues of sector VI, unlike the expenditures, grew by stable pace during the last year (by 10.7% in total for three quarters). Especially the collection of tax on production and from import exhibit positive results, however its growth pace was decreasing due to the weakening consumption of households (from 13.1% in Q2 to 8.7% in Q3). The collection of common taxes on income or social </w:t>
            </w:r>
            <w:r w:rsidRPr="00D160FB">
              <w:rPr>
                <w:color w:val="0D0D0D" w:themeColor="text1" w:themeTint="F2"/>
                <w:spacing w:val="-3"/>
                <w:lang w:val="en-GB"/>
              </w:rPr>
              <w:lastRenderedPageBreak/>
              <w:t xml:space="preserve">contributions in contrast displayed a stable growth thanks to the good condition of the labour market. </w:t>
            </w:r>
          </w:p>
        </w:tc>
      </w:tr>
      <w:tr w:rsidR="00E75B3A" w:rsidRPr="00D160FB" w14:paraId="2AE7B34A" w14:textId="77777777" w:rsidTr="00C8019E">
        <w:trPr>
          <w:trHeight w:val="145"/>
        </w:trPr>
        <w:tc>
          <w:tcPr>
            <w:tcW w:w="1780" w:type="dxa"/>
            <w:shd w:val="clear" w:color="auto" w:fill="auto"/>
            <w:tcMar>
              <w:left w:w="0" w:type="dxa"/>
            </w:tcMar>
          </w:tcPr>
          <w:p w14:paraId="78B4E31C" w14:textId="50440930" w:rsidR="00E75B3A" w:rsidRPr="00D160FB" w:rsidRDefault="00E75B3A" w:rsidP="00E75B3A">
            <w:pPr>
              <w:pStyle w:val="Marginlie"/>
              <w:rPr>
                <w:spacing w:val="-4"/>
                <w:lang w:val="en-GB"/>
              </w:rPr>
            </w:pPr>
            <w:r w:rsidRPr="00D160FB">
              <w:rPr>
                <w:spacing w:val="-4"/>
                <w:lang w:val="en-GB"/>
              </w:rPr>
              <w:lastRenderedPageBreak/>
              <w:t>Trend of the decrease of relative budget deficit of sector VI halted in both the EU and euro area in Q3.</w:t>
            </w:r>
          </w:p>
          <w:p w14:paraId="4E799F68" w14:textId="77777777" w:rsidR="00E75B3A" w:rsidRPr="00D160FB" w:rsidRDefault="00E75B3A" w:rsidP="00E75B3A">
            <w:pPr>
              <w:pStyle w:val="Marginlie"/>
              <w:rPr>
                <w:spacing w:val="-4"/>
                <w:lang w:val="en-GB"/>
              </w:rPr>
            </w:pPr>
          </w:p>
        </w:tc>
        <w:tc>
          <w:tcPr>
            <w:tcW w:w="219" w:type="dxa"/>
            <w:shd w:val="clear" w:color="auto" w:fill="auto"/>
            <w:tcMar>
              <w:left w:w="0" w:type="dxa"/>
            </w:tcMar>
          </w:tcPr>
          <w:p w14:paraId="2AE54AE6" w14:textId="77777777" w:rsidR="00E75B3A" w:rsidRPr="00D160FB" w:rsidRDefault="00E75B3A" w:rsidP="00E75B3A">
            <w:pPr>
              <w:pStyle w:val="Textpoznpodarou"/>
              <w:jc w:val="both"/>
              <w:rPr>
                <w:spacing w:val="-4"/>
                <w:lang w:val="en-GB"/>
              </w:rPr>
            </w:pPr>
          </w:p>
        </w:tc>
        <w:tc>
          <w:tcPr>
            <w:tcW w:w="7670" w:type="dxa"/>
            <w:shd w:val="clear" w:color="auto" w:fill="auto"/>
            <w:tcMar>
              <w:left w:w="0" w:type="dxa"/>
            </w:tcMar>
          </w:tcPr>
          <w:p w14:paraId="39772588" w14:textId="03C1E326" w:rsidR="00E75B3A" w:rsidRPr="00D160FB" w:rsidRDefault="00E75B3A" w:rsidP="00E75B3A">
            <w:pPr>
              <w:spacing w:after="220"/>
              <w:rPr>
                <w:color w:val="0D0D0D" w:themeColor="text1" w:themeTint="F2"/>
                <w:spacing w:val="-4"/>
                <w:lang w:val="en-GB"/>
              </w:rPr>
            </w:pPr>
            <w:r w:rsidRPr="00D160FB">
              <w:rPr>
                <w:color w:val="0D0D0D" w:themeColor="text1" w:themeTint="F2"/>
                <w:spacing w:val="-4"/>
                <w:lang w:val="en-GB"/>
              </w:rPr>
              <w:t>Improvement of the shape of public finances in the EU as well as the euro area states (also associated with the significant reduction of extraordinary public outlays connected to the pandemics) apparent since the beginning of year 2021, halted. The budget deficit of sector VI deepened to 3.2% of GDP in the Union in Q3 2022 (since it was 1.8% of GDP in the preceding quarter – the least since the end of year 2019)</w:t>
            </w:r>
            <w:r w:rsidRPr="00D160FB">
              <w:rPr>
                <w:rStyle w:val="Znakapoznpodarou"/>
                <w:color w:val="0D0D0D" w:themeColor="text1" w:themeTint="F2"/>
                <w:spacing w:val="-4"/>
                <w:lang w:val="en-GB"/>
              </w:rPr>
              <w:footnoteReference w:id="23"/>
            </w:r>
            <w:r w:rsidRPr="00D160FB">
              <w:rPr>
                <w:color w:val="0D0D0D" w:themeColor="text1" w:themeTint="F2"/>
                <w:spacing w:val="-4"/>
                <w:lang w:val="en-GB"/>
              </w:rPr>
              <w:t xml:space="preserve">. The deficit also deepened in the CR in Q3 (to 4.4% of GDP). It thus recorded worse result compared to both the EU and euro area for the fifth quarter in a row. Despite worsening macroeconomic situation still approximately one third (generally middle and smaller) states of the Union maintained mild budget surpluses last year in Autumn. In contrast, deep, more than 5% deficit troubled sector VI in Belgium, Hungary and Romania. </w:t>
            </w:r>
          </w:p>
        </w:tc>
      </w:tr>
      <w:tr w:rsidR="00E75B3A" w:rsidRPr="00D160FB" w14:paraId="67BD71C2" w14:textId="77777777" w:rsidTr="00C8019E">
        <w:trPr>
          <w:trHeight w:val="145"/>
        </w:trPr>
        <w:tc>
          <w:tcPr>
            <w:tcW w:w="1780" w:type="dxa"/>
            <w:shd w:val="clear" w:color="auto" w:fill="auto"/>
            <w:tcMar>
              <w:left w:w="0" w:type="dxa"/>
            </w:tcMar>
          </w:tcPr>
          <w:p w14:paraId="15D5F268" w14:textId="063CE042" w:rsidR="00E75B3A" w:rsidRPr="00D160FB" w:rsidRDefault="00E75B3A" w:rsidP="00E75B3A">
            <w:pPr>
              <w:pStyle w:val="Marginlie"/>
              <w:rPr>
                <w:color w:val="0D0D0D" w:themeColor="text1" w:themeTint="F2"/>
                <w:spacing w:val="-4"/>
                <w:lang w:val="en-GB"/>
              </w:rPr>
            </w:pPr>
            <w:r w:rsidRPr="00D160FB">
              <w:rPr>
                <w:color w:val="0D0D0D" w:themeColor="text1" w:themeTint="F2"/>
                <w:spacing w:val="-4"/>
                <w:lang w:val="en-GB"/>
              </w:rPr>
              <w:t xml:space="preserve">The indebtedness rate was mildly falling for the second year in a row in the EU. It however increased in the CR as the only member country during the last year. </w:t>
            </w:r>
          </w:p>
          <w:p w14:paraId="4BC12F10" w14:textId="77777777" w:rsidR="00E75B3A" w:rsidRPr="00D160FB" w:rsidRDefault="00E75B3A" w:rsidP="00E75B3A">
            <w:pPr>
              <w:pStyle w:val="Marginlie"/>
              <w:rPr>
                <w:color w:val="0D0D0D" w:themeColor="text1" w:themeTint="F2"/>
                <w:spacing w:val="-4"/>
                <w:lang w:val="en-GB"/>
              </w:rPr>
            </w:pPr>
          </w:p>
          <w:p w14:paraId="4D3743E4" w14:textId="77777777" w:rsidR="00E75B3A" w:rsidRPr="00D160FB" w:rsidRDefault="00E75B3A" w:rsidP="00E75B3A">
            <w:pPr>
              <w:pStyle w:val="Marginlie"/>
              <w:rPr>
                <w:color w:val="0D0D0D" w:themeColor="text1" w:themeTint="F2"/>
                <w:spacing w:val="-4"/>
                <w:lang w:val="en-GB"/>
              </w:rPr>
            </w:pPr>
          </w:p>
          <w:p w14:paraId="5C345BD1" w14:textId="77777777" w:rsidR="00E75B3A" w:rsidRPr="00D160FB" w:rsidRDefault="00E75B3A" w:rsidP="00E75B3A">
            <w:pPr>
              <w:pStyle w:val="Marginlie"/>
              <w:rPr>
                <w:color w:val="0D0D0D" w:themeColor="text1" w:themeTint="F2"/>
                <w:spacing w:val="-4"/>
                <w:lang w:val="en-GB"/>
              </w:rPr>
            </w:pPr>
          </w:p>
          <w:p w14:paraId="5FB34088" w14:textId="77777777" w:rsidR="00E75B3A" w:rsidRPr="00D160FB" w:rsidRDefault="00E75B3A" w:rsidP="00E75B3A">
            <w:pPr>
              <w:pStyle w:val="Marginlie"/>
              <w:rPr>
                <w:color w:val="0D0D0D" w:themeColor="text1" w:themeTint="F2"/>
                <w:spacing w:val="-4"/>
                <w:lang w:val="en-GB"/>
              </w:rPr>
            </w:pPr>
          </w:p>
          <w:p w14:paraId="7ABF98EA" w14:textId="77777777" w:rsidR="00E75B3A" w:rsidRPr="00D160FB" w:rsidRDefault="00E75B3A" w:rsidP="00E75B3A">
            <w:pPr>
              <w:pStyle w:val="Marginlie"/>
              <w:rPr>
                <w:color w:val="0D0D0D" w:themeColor="text1" w:themeTint="F2"/>
                <w:spacing w:val="-4"/>
                <w:lang w:val="en-GB"/>
              </w:rPr>
            </w:pPr>
          </w:p>
          <w:p w14:paraId="235A3E59" w14:textId="608AFDFA" w:rsidR="00E75B3A" w:rsidRPr="00D160FB" w:rsidRDefault="00E75B3A" w:rsidP="00E75B3A">
            <w:pPr>
              <w:pStyle w:val="Marginlie"/>
              <w:rPr>
                <w:color w:val="0D0D0D" w:themeColor="text1" w:themeTint="F2"/>
                <w:spacing w:val="-4"/>
                <w:lang w:val="en-GB"/>
              </w:rPr>
            </w:pPr>
            <w:r w:rsidRPr="00D160FB">
              <w:rPr>
                <w:color w:val="0D0D0D" w:themeColor="text1" w:themeTint="F2"/>
                <w:spacing w:val="-4"/>
                <w:lang w:val="en-GB"/>
              </w:rPr>
              <w:t xml:space="preserve">Ratio of revenues of sector VI to GDP remained below the level of year 2019 in the CR. </w:t>
            </w:r>
          </w:p>
          <w:p w14:paraId="5816A131" w14:textId="77777777" w:rsidR="00E75B3A" w:rsidRPr="00D160FB" w:rsidRDefault="00E75B3A" w:rsidP="00E75B3A">
            <w:pPr>
              <w:pStyle w:val="Marginlie"/>
              <w:rPr>
                <w:spacing w:val="-4"/>
                <w:lang w:val="en-GB"/>
              </w:rPr>
            </w:pPr>
          </w:p>
        </w:tc>
        <w:tc>
          <w:tcPr>
            <w:tcW w:w="219" w:type="dxa"/>
            <w:shd w:val="clear" w:color="auto" w:fill="auto"/>
            <w:tcMar>
              <w:left w:w="0" w:type="dxa"/>
            </w:tcMar>
          </w:tcPr>
          <w:p w14:paraId="7732ABDD" w14:textId="77777777" w:rsidR="00E75B3A" w:rsidRPr="00D160FB" w:rsidRDefault="00E75B3A" w:rsidP="00E75B3A">
            <w:pPr>
              <w:pStyle w:val="Textpoznpodarou"/>
              <w:jc w:val="both"/>
              <w:rPr>
                <w:spacing w:val="-4"/>
                <w:lang w:val="en-GB"/>
              </w:rPr>
            </w:pPr>
          </w:p>
        </w:tc>
        <w:tc>
          <w:tcPr>
            <w:tcW w:w="7670" w:type="dxa"/>
            <w:shd w:val="clear" w:color="auto" w:fill="auto"/>
            <w:tcMar>
              <w:left w:w="0" w:type="dxa"/>
            </w:tcMar>
          </w:tcPr>
          <w:p w14:paraId="6DF84008" w14:textId="7D56BE50" w:rsidR="00E75B3A" w:rsidRPr="00D160FB" w:rsidRDefault="00E75B3A" w:rsidP="00E75B3A">
            <w:pPr>
              <w:spacing w:after="0"/>
              <w:rPr>
                <w:color w:val="0D0D0D" w:themeColor="text1" w:themeTint="F2"/>
                <w:spacing w:val="-4"/>
                <w:lang w:val="en-GB"/>
              </w:rPr>
            </w:pPr>
            <w:r w:rsidRPr="00D160FB">
              <w:rPr>
                <w:color w:val="0D0D0D" w:themeColor="text1" w:themeTint="F2"/>
                <w:spacing w:val="-4"/>
                <w:lang w:val="en-GB"/>
              </w:rPr>
              <w:t xml:space="preserve">The indebtedness of the sector VI in the EU was continuously mildly decreasing following reaching absolute maximum at the beginning of year 2021 (92% of GDP). It was 85.1% of GDP last year at the end of Q3 and fell by 4.6 p.p. year-on-year. Reduction of indebtedness occurred exclusively thanks to the effect of the nominal growth of the economic performance in both the Union and euro area since the absolute size of the debt kept growing (even though only slowly contrary e.g. to the situation in the CR). Some long-time highly indebted states achieved the largest improvement – Greece (by 25 p.p.) and Cyprus (by 15 p.p.), it was however significant also among traditionally fiscally stabilised countries (Ireland, Denmark, Lithuania). The CR presented the only member state of the Union, where the indebtedness increased year-on-year (from 40.4% of GDP to record 45.3%). The indebtedness rate of the CR ranked the eighth lowest among the member states in Q3 (it was the worst position after year 2014), it still however did not reach even one half of the euro area level. The ratio of total revenues of sector VI to GDP still stayed behind the level from 2019 in the CR in last year’s Q1 to Q3 unlike the EU. On the contrary, the relative volume of expenditures grew faster in the CR than in the Union for the same time period. Compared to the lowest level of indebtedness from the era of the pre-pandemic boom (period 2015 to 2019) the debt of the sector VI of the EU countries was higher by 7.6  p.p. last year in Q3 – even in the range 17 to 18 p.p. in the most affected states (Spain, France), by 15 p.p. in the CR. On the contrary, only Ireland was in better situation than before the pandemics (by 8 p.p.), with large distance then Denmark, Sweden and Croatia.  </w:t>
            </w:r>
          </w:p>
        </w:tc>
      </w:tr>
    </w:tbl>
    <w:p w14:paraId="6D687C14" w14:textId="3DB28A8F" w:rsidR="001C3855" w:rsidRPr="00D160FB" w:rsidRDefault="001C3855" w:rsidP="00C15537">
      <w:pPr>
        <w:pStyle w:val="Nadpis11"/>
        <w:rPr>
          <w:sz w:val="2"/>
          <w:szCs w:val="2"/>
          <w:lang w:val="en-GB"/>
        </w:rPr>
      </w:pPr>
    </w:p>
    <w:sectPr w:rsidR="001C3855" w:rsidRPr="00D160FB" w:rsidSect="008F29CE">
      <w:headerReference w:type="even" r:id="rId15"/>
      <w:headerReference w:type="default" r:id="rId16"/>
      <w:footerReference w:type="even" r:id="rId17"/>
      <w:footerReference w:type="default" r:id="rId18"/>
      <w:pgSz w:w="11906" w:h="16838" w:code="9"/>
      <w:pgMar w:top="1134" w:right="1134" w:bottom="1418" w:left="1134" w:header="680" w:footer="737"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33C" w14:textId="77777777" w:rsidR="00E37C1C" w:rsidRDefault="00E37C1C" w:rsidP="00E71A58">
      <w:r>
        <w:separator/>
      </w:r>
    </w:p>
  </w:endnote>
  <w:endnote w:type="continuationSeparator" w:id="0">
    <w:p w14:paraId="1942F10C" w14:textId="77777777" w:rsidR="00E37C1C" w:rsidRDefault="00E37C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4780870B" w:rsidR="00E37C1C" w:rsidRPr="00932443" w:rsidRDefault="00E37C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B354D">
      <w:rPr>
        <w:szCs w:val="16"/>
      </w:rPr>
      <w:t>52</w:t>
    </w:r>
    <w:r w:rsidRPr="00932443">
      <w:rPr>
        <w:szCs w:val="16"/>
      </w:rPr>
      <w:fldChar w:fldCharType="end"/>
    </w:r>
    <w:r w:rsidRPr="00932443">
      <w:rPr>
        <w:szCs w:val="16"/>
      </w:rPr>
      <w:tab/>
    </w:r>
    <w:r>
      <w:rPr>
        <w:szCs w:val="16"/>
      </w:rPr>
      <w:t>year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5D38B351" w:rsidR="00E37C1C" w:rsidRPr="00932443" w:rsidRDefault="00E37C1C" w:rsidP="00FA6CB6">
    <w:pPr>
      <w:pStyle w:val="Zpat"/>
      <w:rPr>
        <w:szCs w:val="16"/>
      </w:rPr>
    </w:pPr>
    <w:r>
      <w:rPr>
        <w:lang w:eastAsia="cs-CZ"/>
      </w:rPr>
      <w:drawing>
        <wp:anchor distT="0" distB="0" distL="114300" distR="114300" simplePos="0" relativeHeight="251670016" behindDoc="0" locked="0" layoutInCell="1" allowOverlap="1" wp14:anchorId="12E9288F" wp14:editId="581FC53F">
          <wp:simplePos x="0" y="0"/>
          <wp:positionH relativeFrom="margin">
            <wp:align>left</wp:align>
          </wp:positionH>
          <wp:positionV relativeFrom="paragraph">
            <wp:posOffset>-66675</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B354D">
      <w:rPr>
        <w:rStyle w:val="ZpatChar"/>
        <w:szCs w:val="16"/>
      </w:rPr>
      <w:t>51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A97B" w14:textId="77777777" w:rsidR="00E37C1C" w:rsidRDefault="00E37C1C" w:rsidP="00A21B4D">
      <w:pPr>
        <w:spacing w:after="0"/>
      </w:pPr>
      <w:r>
        <w:separator/>
      </w:r>
    </w:p>
  </w:footnote>
  <w:footnote w:type="continuationSeparator" w:id="0">
    <w:p w14:paraId="5E251132" w14:textId="77777777" w:rsidR="00E37C1C" w:rsidRDefault="00E37C1C" w:rsidP="00E71A58">
      <w:r>
        <w:continuationSeparator/>
      </w:r>
    </w:p>
  </w:footnote>
  <w:footnote w:id="1">
    <w:p w14:paraId="4CAFC409" w14:textId="77777777" w:rsidR="00E37C1C" w:rsidRPr="000921AD" w:rsidRDefault="00E37C1C" w:rsidP="000921AD">
      <w:pPr>
        <w:pStyle w:val="Textpoznpodarou"/>
        <w:jc w:val="both"/>
        <w:rPr>
          <w:spacing w:val="-3"/>
          <w:sz w:val="16"/>
          <w:szCs w:val="16"/>
          <w:lang w:val="en-GB"/>
        </w:rPr>
      </w:pPr>
      <w:r w:rsidRPr="00AD0D96">
        <w:rPr>
          <w:rStyle w:val="Znakapoznpodarou"/>
          <w:spacing w:val="-3"/>
          <w:sz w:val="16"/>
          <w:szCs w:val="16"/>
        </w:rPr>
        <w:footnoteRef/>
      </w:r>
      <w:r w:rsidRPr="00AD0D96">
        <w:rPr>
          <w:spacing w:val="-3"/>
          <w:sz w:val="16"/>
          <w:szCs w:val="16"/>
        </w:rPr>
        <w:t xml:space="preserve"> </w:t>
      </w:r>
      <w:r w:rsidRPr="000921AD">
        <w:rPr>
          <w:spacing w:val="-3"/>
          <w:sz w:val="16"/>
          <w:szCs w:val="16"/>
          <w:lang w:val="en-GB"/>
        </w:rPr>
        <w:t>Unless stated otherwise</w:t>
      </w:r>
      <w:r w:rsidRPr="000921AD">
        <w:rPr>
          <w:color w:val="0D0D0D" w:themeColor="text1" w:themeTint="F2"/>
          <w:spacing w:val="-3"/>
          <w:sz w:val="16"/>
          <w:szCs w:val="16"/>
          <w:lang w:val="en-GB"/>
        </w:rPr>
        <w:t xml:space="preserve">, </w:t>
      </w:r>
      <w:r w:rsidRPr="000921AD">
        <w:rPr>
          <w:sz w:val="16"/>
          <w:szCs w:val="16"/>
          <w:lang w:val="en-GB"/>
        </w:rPr>
        <w:t xml:space="preserve">all data related to the state budget stem from the data of the Ministry of Finance regarding the treasury fulfilment. </w:t>
      </w:r>
    </w:p>
  </w:footnote>
  <w:footnote w:id="2">
    <w:p w14:paraId="02934DAD" w14:textId="19154479" w:rsidR="00E37C1C" w:rsidRPr="000921AD" w:rsidRDefault="00E37C1C" w:rsidP="000921AD">
      <w:pPr>
        <w:pStyle w:val="Textpoznpodarou"/>
        <w:jc w:val="both"/>
        <w:rPr>
          <w:lang w:val="en-GB"/>
        </w:rPr>
      </w:pPr>
      <w:r w:rsidRPr="000921AD">
        <w:rPr>
          <w:rStyle w:val="Znakapoznpodarou"/>
          <w:sz w:val="16"/>
          <w:szCs w:val="16"/>
          <w:lang w:val="en-GB"/>
        </w:rPr>
        <w:footnoteRef/>
      </w:r>
      <w:r w:rsidRPr="000921AD">
        <w:rPr>
          <w:spacing w:val="-4"/>
          <w:sz w:val="16"/>
          <w:szCs w:val="16"/>
          <w:lang w:val="en-GB"/>
        </w:rPr>
        <w:t xml:space="preserve"> </w:t>
      </w:r>
      <w:r>
        <w:rPr>
          <w:spacing w:val="-4"/>
          <w:sz w:val="16"/>
          <w:szCs w:val="16"/>
          <w:lang w:val="en-GB"/>
        </w:rPr>
        <w:t xml:space="preserve">According to the amendment of Act </w:t>
      </w:r>
      <w:r w:rsidRPr="000921AD">
        <w:rPr>
          <w:spacing w:val="-4"/>
          <w:sz w:val="16"/>
          <w:szCs w:val="16"/>
          <w:lang w:val="en-GB"/>
        </w:rPr>
        <w:t>(</w:t>
      </w:r>
      <w:r>
        <w:rPr>
          <w:spacing w:val="-4"/>
          <w:sz w:val="16"/>
          <w:szCs w:val="16"/>
          <w:lang w:val="en-GB"/>
        </w:rPr>
        <w:t>no</w:t>
      </w:r>
      <w:r w:rsidRPr="000921AD">
        <w:rPr>
          <w:spacing w:val="-4"/>
          <w:sz w:val="16"/>
          <w:szCs w:val="16"/>
          <w:lang w:val="en-GB"/>
        </w:rPr>
        <w:t xml:space="preserve">. 57/2022 </w:t>
      </w:r>
      <w:r>
        <w:rPr>
          <w:spacing w:val="-4"/>
          <w:sz w:val="16"/>
          <w:szCs w:val="16"/>
          <w:lang w:val="en-GB"/>
        </w:rPr>
        <w:t>Coll</w:t>
      </w:r>
      <w:r w:rsidRPr="000921AD">
        <w:rPr>
          <w:spacing w:val="-4"/>
          <w:sz w:val="16"/>
          <w:szCs w:val="16"/>
          <w:lang w:val="en-GB"/>
        </w:rPr>
        <w:t xml:space="preserve">.) </w:t>
      </w:r>
      <w:r w:rsidRPr="00B85226">
        <w:rPr>
          <w:spacing w:val="-4"/>
          <w:sz w:val="16"/>
          <w:szCs w:val="16"/>
          <w:lang w:val="en-GB"/>
        </w:rPr>
        <w:t>on the state budget of the Czech Republic for 2022</w:t>
      </w:r>
      <w:r>
        <w:rPr>
          <w:spacing w:val="-4"/>
          <w:sz w:val="16"/>
          <w:szCs w:val="16"/>
          <w:lang w:val="en-GB"/>
        </w:rPr>
        <w:t xml:space="preserve"> </w:t>
      </w:r>
      <w:r w:rsidRPr="000921AD">
        <w:rPr>
          <w:spacing w:val="-4"/>
          <w:sz w:val="16"/>
          <w:szCs w:val="16"/>
          <w:lang w:val="en-GB"/>
        </w:rPr>
        <w:t>(</w:t>
      </w:r>
      <w:r>
        <w:rPr>
          <w:spacing w:val="-4"/>
          <w:sz w:val="16"/>
          <w:szCs w:val="16"/>
          <w:lang w:val="en-GB"/>
        </w:rPr>
        <w:t>approved on 18</w:t>
      </w:r>
      <w:r w:rsidRPr="00B85226">
        <w:rPr>
          <w:spacing w:val="-4"/>
          <w:sz w:val="16"/>
          <w:szCs w:val="16"/>
          <w:vertAlign w:val="superscript"/>
          <w:lang w:val="en-GB"/>
        </w:rPr>
        <w:t>th</w:t>
      </w:r>
      <w:r>
        <w:rPr>
          <w:spacing w:val="-4"/>
          <w:sz w:val="16"/>
          <w:szCs w:val="16"/>
          <w:lang w:val="en-GB"/>
        </w:rPr>
        <w:t xml:space="preserve"> October </w:t>
      </w:r>
      <w:r w:rsidRPr="000921AD">
        <w:rPr>
          <w:spacing w:val="-4"/>
          <w:sz w:val="16"/>
          <w:szCs w:val="16"/>
          <w:lang w:val="en-GB"/>
        </w:rPr>
        <w:t>2022),</w:t>
      </w:r>
      <w:r>
        <w:rPr>
          <w:spacing w:val="-4"/>
          <w:sz w:val="16"/>
          <w:szCs w:val="16"/>
          <w:lang w:val="en-GB"/>
        </w:rPr>
        <w:t xml:space="preserve"> which raised the anticipated deficit to </w:t>
      </w:r>
      <w:r w:rsidRPr="000921AD">
        <w:rPr>
          <w:spacing w:val="-4"/>
          <w:sz w:val="16"/>
          <w:szCs w:val="16"/>
          <w:lang w:val="en-GB"/>
        </w:rPr>
        <w:t xml:space="preserve">375 </w:t>
      </w:r>
      <w:r>
        <w:rPr>
          <w:spacing w:val="-4"/>
          <w:sz w:val="16"/>
          <w:szCs w:val="16"/>
          <w:lang w:val="en-GB"/>
        </w:rPr>
        <w:t xml:space="preserve">CZK bn </w:t>
      </w:r>
      <w:r w:rsidRPr="000921AD">
        <w:rPr>
          <w:spacing w:val="-4"/>
          <w:sz w:val="16"/>
          <w:szCs w:val="16"/>
          <w:lang w:val="en-GB"/>
        </w:rPr>
        <w:t>(</w:t>
      </w:r>
      <w:r>
        <w:rPr>
          <w:spacing w:val="-4"/>
          <w:sz w:val="16"/>
          <w:szCs w:val="16"/>
          <w:lang w:val="en-GB"/>
        </w:rPr>
        <w:t xml:space="preserve">from </w:t>
      </w:r>
      <w:r w:rsidRPr="000921AD">
        <w:rPr>
          <w:spacing w:val="-4"/>
          <w:sz w:val="16"/>
          <w:szCs w:val="16"/>
          <w:lang w:val="en-GB"/>
        </w:rPr>
        <w:t xml:space="preserve">280 </w:t>
      </w:r>
      <w:r>
        <w:rPr>
          <w:spacing w:val="-4"/>
          <w:sz w:val="16"/>
          <w:szCs w:val="16"/>
          <w:lang w:val="en-GB"/>
        </w:rPr>
        <w:t xml:space="preserve">CZK bn given in the original version of the Act on the budget from </w:t>
      </w:r>
      <w:r w:rsidRPr="000921AD">
        <w:rPr>
          <w:spacing w:val="-4"/>
          <w:sz w:val="16"/>
          <w:szCs w:val="16"/>
          <w:lang w:val="en-GB"/>
        </w:rPr>
        <w:t>10</w:t>
      </w:r>
      <w:r w:rsidRPr="00AC433A">
        <w:rPr>
          <w:spacing w:val="-4"/>
          <w:sz w:val="16"/>
          <w:szCs w:val="16"/>
          <w:vertAlign w:val="superscript"/>
          <w:lang w:val="en-GB"/>
        </w:rPr>
        <w:t>th</w:t>
      </w:r>
      <w:r>
        <w:rPr>
          <w:spacing w:val="-4"/>
          <w:sz w:val="16"/>
          <w:szCs w:val="16"/>
          <w:lang w:val="en-GB"/>
        </w:rPr>
        <w:t xml:space="preserve"> March </w:t>
      </w:r>
      <w:r w:rsidRPr="000921AD">
        <w:rPr>
          <w:spacing w:val="-4"/>
          <w:sz w:val="16"/>
          <w:szCs w:val="16"/>
          <w:lang w:val="en-GB"/>
        </w:rPr>
        <w:t>2022).</w:t>
      </w:r>
    </w:p>
  </w:footnote>
  <w:footnote w:id="3">
    <w:p w14:paraId="68178E75" w14:textId="3B3EE51F" w:rsidR="00E37C1C" w:rsidRPr="000921AD" w:rsidRDefault="00E37C1C" w:rsidP="000921AD">
      <w:pPr>
        <w:pStyle w:val="Textpoznpodarou"/>
        <w:jc w:val="both"/>
        <w:rPr>
          <w:sz w:val="16"/>
          <w:szCs w:val="16"/>
          <w:lang w:val="en-GB"/>
        </w:rPr>
      </w:pPr>
      <w:r w:rsidRPr="000921AD">
        <w:rPr>
          <w:rStyle w:val="Znakapoznpodarou"/>
          <w:sz w:val="16"/>
          <w:szCs w:val="16"/>
          <w:lang w:val="en-GB"/>
        </w:rPr>
        <w:footnoteRef/>
      </w:r>
      <w:r w:rsidRPr="000921AD">
        <w:rPr>
          <w:sz w:val="16"/>
          <w:szCs w:val="16"/>
          <w:lang w:val="en-GB"/>
        </w:rPr>
        <w:t xml:space="preserve"> </w:t>
      </w:r>
      <w:r>
        <w:rPr>
          <w:sz w:val="16"/>
          <w:szCs w:val="16"/>
          <w:lang w:val="en-GB"/>
        </w:rPr>
        <w:t>It also underlines the deficit after adjustment for revenues and outlays related to the common CR and EU projects, w</w:t>
      </w:r>
      <w:r>
        <w:rPr>
          <w:spacing w:val="-4"/>
          <w:sz w:val="16"/>
          <w:szCs w:val="16"/>
          <w:lang w:val="en-GB"/>
        </w:rPr>
        <w:t xml:space="preserve">hich summed </w:t>
      </w:r>
      <w:r w:rsidRPr="000921AD">
        <w:rPr>
          <w:spacing w:val="-4"/>
          <w:sz w:val="16"/>
          <w:szCs w:val="16"/>
          <w:lang w:val="en-GB"/>
        </w:rPr>
        <w:t>316</w:t>
      </w:r>
      <w:r>
        <w:rPr>
          <w:spacing w:val="-4"/>
          <w:sz w:val="16"/>
          <w:szCs w:val="16"/>
          <w:lang w:val="en-GB"/>
        </w:rPr>
        <w:t>.</w:t>
      </w:r>
      <w:r w:rsidRPr="000921AD">
        <w:rPr>
          <w:spacing w:val="-4"/>
          <w:sz w:val="16"/>
          <w:szCs w:val="16"/>
          <w:lang w:val="en-GB"/>
        </w:rPr>
        <w:t>1</w:t>
      </w:r>
      <w:r>
        <w:rPr>
          <w:spacing w:val="-4"/>
          <w:sz w:val="16"/>
          <w:szCs w:val="16"/>
          <w:lang w:val="en-GB"/>
        </w:rPr>
        <w:t xml:space="preserve"> CZK bn last year </w:t>
      </w:r>
      <w:r w:rsidRPr="000921AD">
        <w:rPr>
          <w:spacing w:val="-4"/>
          <w:sz w:val="16"/>
          <w:szCs w:val="16"/>
          <w:lang w:val="en-GB"/>
        </w:rPr>
        <w:t>(364</w:t>
      </w:r>
      <w:r>
        <w:rPr>
          <w:spacing w:val="-4"/>
          <w:sz w:val="16"/>
          <w:szCs w:val="16"/>
          <w:lang w:val="en-GB"/>
        </w:rPr>
        <w:t>.</w:t>
      </w:r>
      <w:r w:rsidRPr="000921AD">
        <w:rPr>
          <w:spacing w:val="-4"/>
          <w:sz w:val="16"/>
          <w:szCs w:val="16"/>
          <w:lang w:val="en-GB"/>
        </w:rPr>
        <w:t>9</w:t>
      </w:r>
      <w:r>
        <w:rPr>
          <w:spacing w:val="-4"/>
          <w:sz w:val="16"/>
          <w:szCs w:val="16"/>
          <w:lang w:val="en-GB"/>
        </w:rPr>
        <w:t>bn and 408.6 bn then in years 2020 and 2021 respectively</w:t>
      </w:r>
      <w:r w:rsidRPr="000921AD">
        <w:rPr>
          <w:spacing w:val="-4"/>
          <w:sz w:val="16"/>
          <w:szCs w:val="16"/>
          <w:lang w:val="en-GB"/>
        </w:rPr>
        <w:t>).</w:t>
      </w:r>
    </w:p>
  </w:footnote>
  <w:footnote w:id="4">
    <w:p w14:paraId="6AC10994" w14:textId="09E1E351" w:rsidR="00E37C1C" w:rsidRPr="000921AD" w:rsidRDefault="00E37C1C" w:rsidP="000921AD">
      <w:pPr>
        <w:pStyle w:val="Textpoznpodarou"/>
        <w:jc w:val="both"/>
        <w:rPr>
          <w:sz w:val="16"/>
          <w:szCs w:val="16"/>
          <w:lang w:val="en-GB"/>
        </w:rPr>
      </w:pPr>
      <w:r w:rsidRPr="000921AD">
        <w:rPr>
          <w:rStyle w:val="Znakapoznpodarou"/>
          <w:sz w:val="16"/>
          <w:szCs w:val="16"/>
          <w:lang w:val="en-GB"/>
        </w:rPr>
        <w:footnoteRef/>
      </w:r>
      <w:r w:rsidRPr="000921AD">
        <w:rPr>
          <w:sz w:val="16"/>
          <w:szCs w:val="16"/>
          <w:lang w:val="en-GB"/>
        </w:rPr>
        <w:t xml:space="preserve"> </w:t>
      </w:r>
      <w:r>
        <w:rPr>
          <w:sz w:val="16"/>
          <w:szCs w:val="16"/>
          <w:lang w:val="en-GB"/>
        </w:rPr>
        <w:t>Delay of payments for approved projects, which had already been pre-financed from the CR budget before, stood behind it</w:t>
      </w:r>
      <w:r w:rsidRPr="000921AD">
        <w:rPr>
          <w:sz w:val="16"/>
          <w:szCs w:val="16"/>
          <w:lang w:val="en-GB"/>
        </w:rPr>
        <w:t>.</w:t>
      </w:r>
    </w:p>
  </w:footnote>
  <w:footnote w:id="5">
    <w:p w14:paraId="0A9952E7" w14:textId="7F9224C0" w:rsidR="00E37C1C" w:rsidRPr="006D74F7" w:rsidRDefault="00E37C1C" w:rsidP="006D74F7">
      <w:pPr>
        <w:pStyle w:val="Textpoznpodarou"/>
        <w:jc w:val="both"/>
        <w:rPr>
          <w:lang w:val="en-GB"/>
        </w:rPr>
      </w:pPr>
      <w:r w:rsidRPr="000921AD">
        <w:rPr>
          <w:rStyle w:val="Znakapoznpodarou"/>
          <w:sz w:val="16"/>
          <w:szCs w:val="16"/>
          <w:lang w:val="en-GB"/>
        </w:rPr>
        <w:footnoteRef/>
      </w:r>
      <w:r w:rsidRPr="000921AD">
        <w:rPr>
          <w:rStyle w:val="Znakapoznpodarou"/>
          <w:sz w:val="16"/>
          <w:szCs w:val="16"/>
          <w:lang w:val="en-GB"/>
        </w:rPr>
        <w:t xml:space="preserve"> </w:t>
      </w:r>
      <w:r w:rsidRPr="006D74F7">
        <w:rPr>
          <w:sz w:val="16"/>
          <w:szCs w:val="16"/>
          <w:lang w:val="en-GB"/>
        </w:rPr>
        <w:t>The collection plunged by 13.7% in Q</w:t>
      </w:r>
      <w:r w:rsidRPr="006D74F7">
        <w:rPr>
          <w:spacing w:val="-4"/>
          <w:sz w:val="16"/>
          <w:szCs w:val="16"/>
          <w:lang w:val="en-GB"/>
        </w:rPr>
        <w:t xml:space="preserve">3 2022, even by 18.1% the subsequent quarter. </w:t>
      </w:r>
    </w:p>
  </w:footnote>
  <w:footnote w:id="6">
    <w:p w14:paraId="370E1D1E" w14:textId="64321961" w:rsidR="00E37C1C" w:rsidRPr="006D74F7" w:rsidRDefault="00E37C1C" w:rsidP="006D74F7">
      <w:pPr>
        <w:pStyle w:val="Textpoznpodarou"/>
        <w:jc w:val="both"/>
        <w:rPr>
          <w:spacing w:val="-4"/>
          <w:sz w:val="16"/>
          <w:szCs w:val="16"/>
          <w:lang w:val="en-GB"/>
        </w:rPr>
      </w:pPr>
      <w:r w:rsidRPr="006D74F7">
        <w:rPr>
          <w:rStyle w:val="Znakapoznpodarou"/>
          <w:spacing w:val="-4"/>
          <w:sz w:val="16"/>
          <w:szCs w:val="16"/>
          <w:lang w:val="en-GB"/>
        </w:rPr>
        <w:footnoteRef/>
      </w:r>
      <w:r w:rsidRPr="006D74F7">
        <w:rPr>
          <w:spacing w:val="-4"/>
          <w:sz w:val="16"/>
          <w:szCs w:val="16"/>
          <w:lang w:val="en-GB"/>
        </w:rPr>
        <w:t xml:space="preserve"> </w:t>
      </w:r>
      <w:r>
        <w:rPr>
          <w:spacing w:val="-4"/>
          <w:sz w:val="16"/>
          <w:szCs w:val="16"/>
          <w:lang w:val="en-GB"/>
        </w:rPr>
        <w:t xml:space="preserve">The rate of the consumption tax on petrol and diesel fuel was lowered by </w:t>
      </w:r>
      <w:r w:rsidRPr="006D74F7">
        <w:rPr>
          <w:color w:val="0D0D0D" w:themeColor="text1" w:themeTint="F2"/>
          <w:spacing w:val="-4"/>
          <w:sz w:val="16"/>
          <w:szCs w:val="16"/>
          <w:lang w:val="en-GB"/>
        </w:rPr>
        <w:t>1</w:t>
      </w:r>
      <w:r>
        <w:rPr>
          <w:color w:val="0D0D0D" w:themeColor="text1" w:themeTint="F2"/>
          <w:spacing w:val="-4"/>
          <w:sz w:val="16"/>
          <w:szCs w:val="16"/>
          <w:lang w:val="en-GB"/>
        </w:rPr>
        <w:t>.</w:t>
      </w:r>
      <w:r w:rsidRPr="006D74F7">
        <w:rPr>
          <w:color w:val="0D0D0D" w:themeColor="text1" w:themeTint="F2"/>
          <w:spacing w:val="-4"/>
          <w:sz w:val="16"/>
          <w:szCs w:val="16"/>
          <w:lang w:val="en-GB"/>
        </w:rPr>
        <w:t xml:space="preserve">50 </w:t>
      </w:r>
      <w:r>
        <w:rPr>
          <w:color w:val="0D0D0D" w:themeColor="text1" w:themeTint="F2"/>
          <w:spacing w:val="-4"/>
          <w:sz w:val="16"/>
          <w:szCs w:val="16"/>
          <w:lang w:val="en-GB"/>
        </w:rPr>
        <w:t>CZK per litre from June till the end of September 2022</w:t>
      </w:r>
      <w:r w:rsidRPr="006D74F7">
        <w:rPr>
          <w:color w:val="0D0D0D" w:themeColor="text1" w:themeTint="F2"/>
          <w:spacing w:val="-4"/>
          <w:sz w:val="16"/>
          <w:szCs w:val="16"/>
          <w:lang w:val="en-GB"/>
        </w:rPr>
        <w:t xml:space="preserve">. </w:t>
      </w:r>
      <w:r>
        <w:rPr>
          <w:color w:val="0D0D0D" w:themeColor="text1" w:themeTint="F2"/>
          <w:spacing w:val="-4"/>
          <w:sz w:val="16"/>
          <w:szCs w:val="16"/>
          <w:lang w:val="en-GB"/>
        </w:rPr>
        <w:t xml:space="preserve">This measure was extended for diesel fuel till the end of year 2023. According to the MF CR calculations, these tax arrangements exerted a negative effect on the yearly collection in the amount of </w:t>
      </w:r>
      <w:r w:rsidRPr="006D74F7">
        <w:rPr>
          <w:color w:val="0D0D0D" w:themeColor="text1" w:themeTint="F2"/>
          <w:spacing w:val="-4"/>
          <w:sz w:val="16"/>
          <w:szCs w:val="16"/>
          <w:lang w:val="en-GB"/>
        </w:rPr>
        <w:t>5</w:t>
      </w:r>
      <w:r>
        <w:rPr>
          <w:color w:val="0D0D0D" w:themeColor="text1" w:themeTint="F2"/>
          <w:spacing w:val="-4"/>
          <w:sz w:val="16"/>
          <w:szCs w:val="16"/>
          <w:lang w:val="en-GB"/>
        </w:rPr>
        <w:t>.</w:t>
      </w:r>
      <w:r w:rsidRPr="006D74F7">
        <w:rPr>
          <w:color w:val="0D0D0D" w:themeColor="text1" w:themeTint="F2"/>
          <w:spacing w:val="-4"/>
          <w:sz w:val="16"/>
          <w:szCs w:val="16"/>
          <w:lang w:val="en-GB"/>
        </w:rPr>
        <w:t>3</w:t>
      </w:r>
      <w:r>
        <w:rPr>
          <w:color w:val="0D0D0D" w:themeColor="text1" w:themeTint="F2"/>
          <w:spacing w:val="-4"/>
          <w:sz w:val="16"/>
          <w:szCs w:val="16"/>
          <w:lang w:val="en-GB"/>
        </w:rPr>
        <w:t xml:space="preserve"> CZK bn</w:t>
      </w:r>
      <w:r w:rsidRPr="006D74F7">
        <w:rPr>
          <w:spacing w:val="-4"/>
          <w:sz w:val="16"/>
          <w:szCs w:val="16"/>
          <w:lang w:val="en-GB"/>
        </w:rPr>
        <w:t>.</w:t>
      </w:r>
    </w:p>
  </w:footnote>
  <w:footnote w:id="7">
    <w:p w14:paraId="337FE064" w14:textId="2233418B" w:rsidR="00E37C1C" w:rsidRPr="006D74F7" w:rsidRDefault="00E37C1C" w:rsidP="006D74F7">
      <w:pPr>
        <w:autoSpaceDE w:val="0"/>
        <w:autoSpaceDN w:val="0"/>
        <w:adjustRightInd w:val="0"/>
        <w:spacing w:after="0" w:line="240" w:lineRule="auto"/>
        <w:rPr>
          <w:rFonts w:ascii="Calibri" w:eastAsia="Calibri" w:hAnsi="Calibri" w:cs="Calibri"/>
          <w:sz w:val="16"/>
          <w:szCs w:val="16"/>
          <w:lang w:val="en-GB" w:eastAsia="en-US"/>
        </w:rPr>
      </w:pPr>
      <w:r w:rsidRPr="006D74F7">
        <w:rPr>
          <w:rStyle w:val="Znakapoznpodarou"/>
          <w:sz w:val="16"/>
          <w:szCs w:val="16"/>
          <w:lang w:val="en-GB"/>
        </w:rPr>
        <w:footnoteRef/>
      </w:r>
      <w:r w:rsidRPr="006D74F7">
        <w:rPr>
          <w:sz w:val="16"/>
          <w:szCs w:val="16"/>
          <w:lang w:val="en-GB"/>
        </w:rPr>
        <w:t xml:space="preserve"> </w:t>
      </w:r>
      <w:r>
        <w:rPr>
          <w:sz w:val="16"/>
          <w:szCs w:val="16"/>
          <w:lang w:val="en-GB"/>
        </w:rPr>
        <w:t>High year-on-year rise of the collection of the corporate tax was partially influenced by the extension of the time period for the payment of the tax advances of the year before the last</w:t>
      </w:r>
      <w:r w:rsidRPr="006D74F7">
        <w:rPr>
          <w:sz w:val="16"/>
          <w:szCs w:val="16"/>
          <w:lang w:val="en-GB"/>
        </w:rPr>
        <w:t xml:space="preserve"> (</w:t>
      </w:r>
      <w:r>
        <w:rPr>
          <w:sz w:val="16"/>
          <w:szCs w:val="16"/>
          <w:lang w:val="en-GB"/>
        </w:rPr>
        <w:t>based on the individual requests from the firms</w:t>
      </w:r>
      <w:r w:rsidRPr="006D74F7">
        <w:rPr>
          <w:sz w:val="16"/>
          <w:szCs w:val="16"/>
          <w:lang w:val="en-GB"/>
        </w:rPr>
        <w:t>)</w:t>
      </w:r>
      <w:r>
        <w:rPr>
          <w:sz w:val="16"/>
          <w:szCs w:val="16"/>
          <w:lang w:val="en-GB"/>
        </w:rPr>
        <w:t xml:space="preserve"> with a negative impact on the collection of this tax into the SB in the amount of </w:t>
      </w:r>
      <w:r w:rsidRPr="006D74F7">
        <w:rPr>
          <w:sz w:val="16"/>
          <w:szCs w:val="16"/>
          <w:lang w:val="en-GB"/>
        </w:rPr>
        <w:t>22</w:t>
      </w:r>
      <w:r>
        <w:rPr>
          <w:sz w:val="16"/>
          <w:szCs w:val="16"/>
          <w:lang w:val="en-GB"/>
        </w:rPr>
        <w:t>.</w:t>
      </w:r>
      <w:r w:rsidRPr="006D74F7">
        <w:rPr>
          <w:sz w:val="16"/>
          <w:szCs w:val="16"/>
          <w:lang w:val="en-GB"/>
        </w:rPr>
        <w:t>1</w:t>
      </w:r>
      <w:r>
        <w:rPr>
          <w:sz w:val="16"/>
          <w:szCs w:val="16"/>
          <w:lang w:val="en-GB"/>
        </w:rPr>
        <w:t xml:space="preserve"> CZK bn </w:t>
      </w:r>
      <w:r w:rsidRPr="006D74F7">
        <w:rPr>
          <w:sz w:val="16"/>
          <w:szCs w:val="16"/>
          <w:lang w:val="en-GB"/>
        </w:rPr>
        <w:t>(</w:t>
      </w:r>
      <w:r>
        <w:rPr>
          <w:sz w:val="16"/>
          <w:szCs w:val="16"/>
          <w:lang w:val="en-GB"/>
        </w:rPr>
        <w:t xml:space="preserve">for year </w:t>
      </w:r>
      <w:r w:rsidRPr="006D74F7">
        <w:rPr>
          <w:sz w:val="16"/>
          <w:szCs w:val="16"/>
          <w:lang w:val="en-GB"/>
        </w:rPr>
        <w:t xml:space="preserve">2021). </w:t>
      </w:r>
      <w:r>
        <w:rPr>
          <w:sz w:val="16"/>
          <w:szCs w:val="16"/>
          <w:lang w:val="en-GB"/>
        </w:rPr>
        <w:t xml:space="preserve">Further it also concerned the change in the taxation of reserves of the insurance companies. </w:t>
      </w:r>
    </w:p>
  </w:footnote>
  <w:footnote w:id="8">
    <w:p w14:paraId="4BD023A9" w14:textId="33FB1AEA" w:rsidR="00E37C1C" w:rsidRPr="005A4C24" w:rsidRDefault="00E37C1C" w:rsidP="005A4C24">
      <w:pPr>
        <w:pStyle w:val="Textpoznpodarou"/>
        <w:jc w:val="both"/>
        <w:rPr>
          <w:sz w:val="16"/>
          <w:szCs w:val="16"/>
          <w:lang w:val="en-GB"/>
        </w:rPr>
      </w:pPr>
      <w:r w:rsidRPr="00F62C95">
        <w:rPr>
          <w:rStyle w:val="Znakapoznpodarou"/>
          <w:sz w:val="16"/>
          <w:szCs w:val="16"/>
        </w:rPr>
        <w:footnoteRef/>
      </w:r>
      <w:r w:rsidRPr="00F62C95">
        <w:rPr>
          <w:sz w:val="16"/>
          <w:szCs w:val="16"/>
        </w:rPr>
        <w:t xml:space="preserve"> </w:t>
      </w:r>
      <w:r w:rsidRPr="005A4C24">
        <w:rPr>
          <w:sz w:val="16"/>
          <w:szCs w:val="16"/>
          <w:lang w:val="en-GB"/>
        </w:rPr>
        <w:t xml:space="preserve">State-wide collection of this tax (149.6 CZK bn) </w:t>
      </w:r>
      <w:r>
        <w:rPr>
          <w:sz w:val="16"/>
          <w:szCs w:val="16"/>
          <w:lang w:val="en-GB"/>
        </w:rPr>
        <w:t xml:space="preserve">was only around the level from year </w:t>
      </w:r>
      <w:r w:rsidRPr="005A4C24">
        <w:rPr>
          <w:sz w:val="16"/>
          <w:szCs w:val="16"/>
          <w:lang w:val="en-GB"/>
        </w:rPr>
        <w:t>2016</w:t>
      </w:r>
      <w:r>
        <w:rPr>
          <w:sz w:val="16"/>
          <w:szCs w:val="16"/>
          <w:lang w:val="en-GB"/>
        </w:rPr>
        <w:t xml:space="preserve"> last year</w:t>
      </w:r>
      <w:r w:rsidRPr="005A4C24">
        <w:rPr>
          <w:sz w:val="16"/>
          <w:szCs w:val="16"/>
          <w:lang w:val="en-GB"/>
        </w:rPr>
        <w:t>,</w:t>
      </w:r>
      <w:r>
        <w:rPr>
          <w:sz w:val="16"/>
          <w:szCs w:val="16"/>
          <w:lang w:val="en-GB"/>
        </w:rPr>
        <w:t xml:space="preserve"> mainly due to the decrease of the tax burden on labour since year 2</w:t>
      </w:r>
      <w:r w:rsidRPr="005A4C24">
        <w:rPr>
          <w:spacing w:val="-4"/>
          <w:sz w:val="16"/>
          <w:szCs w:val="16"/>
          <w:lang w:val="en-GB"/>
        </w:rPr>
        <w:t>021 (</w:t>
      </w:r>
      <w:r>
        <w:rPr>
          <w:spacing w:val="-4"/>
          <w:sz w:val="16"/>
          <w:szCs w:val="16"/>
          <w:lang w:val="en-GB"/>
        </w:rPr>
        <w:t>in connection with the abolition of the so called super gross wage</w:t>
      </w:r>
      <w:r w:rsidRPr="005A4C24">
        <w:rPr>
          <w:spacing w:val="-4"/>
          <w:sz w:val="16"/>
          <w:szCs w:val="16"/>
          <w:lang w:val="en-GB"/>
        </w:rPr>
        <w:t>).</w:t>
      </w:r>
    </w:p>
  </w:footnote>
  <w:footnote w:id="9">
    <w:p w14:paraId="0AF4E13D" w14:textId="605E9363" w:rsidR="00E37C1C" w:rsidRPr="005A4C24" w:rsidRDefault="00E37C1C" w:rsidP="005A4C24">
      <w:pPr>
        <w:pStyle w:val="Textpoznpodarou"/>
        <w:jc w:val="both"/>
        <w:rPr>
          <w:sz w:val="16"/>
          <w:szCs w:val="16"/>
          <w:lang w:val="en-GB"/>
        </w:rPr>
      </w:pPr>
      <w:r w:rsidRPr="005A4C24">
        <w:rPr>
          <w:rStyle w:val="Znakapoznpodarou"/>
          <w:sz w:val="16"/>
          <w:szCs w:val="16"/>
          <w:lang w:val="en-GB"/>
        </w:rPr>
        <w:footnoteRef/>
      </w:r>
      <w:r w:rsidRPr="005A4C24">
        <w:rPr>
          <w:sz w:val="16"/>
          <w:szCs w:val="16"/>
          <w:lang w:val="en-GB"/>
        </w:rPr>
        <w:t xml:space="preserve"> </w:t>
      </w:r>
      <w:r>
        <w:rPr>
          <w:sz w:val="16"/>
          <w:szCs w:val="16"/>
          <w:lang w:val="en-GB"/>
        </w:rPr>
        <w:t xml:space="preserve">Sum of monthly outlays in all the central government institutions thus could have reached maximum of one twelve of the total SB outlays determined by the adopted Act on SB from year </w:t>
      </w:r>
      <w:r w:rsidRPr="005A4C24">
        <w:rPr>
          <w:sz w:val="16"/>
          <w:szCs w:val="16"/>
          <w:lang w:val="en-GB"/>
        </w:rPr>
        <w:t xml:space="preserve">2021. </w:t>
      </w:r>
      <w:r>
        <w:rPr>
          <w:sz w:val="16"/>
          <w:szCs w:val="16"/>
          <w:lang w:val="en-GB"/>
        </w:rPr>
        <w:t xml:space="preserve">The possibilities to pre-finance some current transfers were restricted </w:t>
      </w:r>
      <w:r>
        <w:rPr>
          <w:spacing w:val="-4"/>
          <w:sz w:val="16"/>
          <w:szCs w:val="16"/>
          <w:lang w:val="en-GB"/>
        </w:rPr>
        <w:t xml:space="preserve">at the beginning of the year and utilisation of other source of financing was also substantially limited </w:t>
      </w:r>
      <w:r w:rsidRPr="005A4C24">
        <w:rPr>
          <w:spacing w:val="-4"/>
          <w:sz w:val="16"/>
          <w:szCs w:val="16"/>
          <w:lang w:val="en-GB"/>
        </w:rPr>
        <w:t>(</w:t>
      </w:r>
      <w:r>
        <w:rPr>
          <w:spacing w:val="-4"/>
          <w:sz w:val="16"/>
          <w:szCs w:val="16"/>
          <w:lang w:val="en-GB"/>
        </w:rPr>
        <w:t xml:space="preserve">e.g. extra-budgetary sources </w:t>
      </w:r>
      <w:r w:rsidRPr="005A4C24">
        <w:rPr>
          <w:sz w:val="16"/>
          <w:szCs w:val="16"/>
          <w:lang w:val="en-GB"/>
        </w:rPr>
        <w:t xml:space="preserve">– </w:t>
      </w:r>
      <w:r>
        <w:rPr>
          <w:sz w:val="16"/>
          <w:szCs w:val="16"/>
          <w:lang w:val="en-GB"/>
        </w:rPr>
        <w:t>mainly claims from the unused expenditures from the past years</w:t>
      </w:r>
      <w:r w:rsidRPr="005A4C24">
        <w:rPr>
          <w:sz w:val="16"/>
          <w:szCs w:val="16"/>
          <w:lang w:val="en-GB"/>
        </w:rPr>
        <w:t xml:space="preserve">). </w:t>
      </w:r>
      <w:r>
        <w:rPr>
          <w:sz w:val="16"/>
          <w:szCs w:val="16"/>
          <w:lang w:val="en-GB"/>
        </w:rPr>
        <w:t xml:space="preserve">It led among other things to the postponement of non-essential operational outlays as well as investment. </w:t>
      </w:r>
    </w:p>
  </w:footnote>
  <w:footnote w:id="10">
    <w:p w14:paraId="6F71A8A4" w14:textId="37733EB2" w:rsidR="00E37C1C" w:rsidRPr="005A4C24" w:rsidRDefault="00E37C1C" w:rsidP="005A4C24">
      <w:pPr>
        <w:pStyle w:val="Textpoznpodarou"/>
        <w:jc w:val="both"/>
        <w:rPr>
          <w:sz w:val="16"/>
          <w:szCs w:val="16"/>
          <w:lang w:val="en-GB"/>
        </w:rPr>
      </w:pPr>
      <w:r w:rsidRPr="005A4C24">
        <w:rPr>
          <w:rStyle w:val="Znakapoznpodarou"/>
          <w:sz w:val="16"/>
          <w:szCs w:val="16"/>
          <w:lang w:val="en-GB"/>
        </w:rPr>
        <w:footnoteRef/>
      </w:r>
      <w:r w:rsidRPr="005A4C24">
        <w:rPr>
          <w:sz w:val="16"/>
          <w:szCs w:val="16"/>
          <w:lang w:val="en-GB"/>
        </w:rPr>
        <w:t xml:space="preserve"> </w:t>
      </w:r>
      <w:r>
        <w:rPr>
          <w:sz w:val="16"/>
          <w:szCs w:val="16"/>
          <w:lang w:val="en-GB"/>
        </w:rPr>
        <w:t xml:space="preserve">The due January adjustment meant increase of the average retirement pension by </w:t>
      </w:r>
      <w:r w:rsidRPr="005A4C24">
        <w:rPr>
          <w:sz w:val="16"/>
          <w:szCs w:val="16"/>
          <w:lang w:val="en-GB"/>
        </w:rPr>
        <w:t>5</w:t>
      </w:r>
      <w:r>
        <w:rPr>
          <w:sz w:val="16"/>
          <w:szCs w:val="16"/>
          <w:lang w:val="en-GB"/>
        </w:rPr>
        <w:t>.</w:t>
      </w:r>
      <w:r w:rsidRPr="005A4C24">
        <w:rPr>
          <w:sz w:val="16"/>
          <w:szCs w:val="16"/>
          <w:lang w:val="en-GB"/>
        </w:rPr>
        <w:t>2% (805</w:t>
      </w:r>
      <w:r>
        <w:rPr>
          <w:sz w:val="16"/>
          <w:szCs w:val="16"/>
          <w:lang w:val="en-GB"/>
        </w:rPr>
        <w:t xml:space="preserve"> CZK</w:t>
      </w:r>
      <w:r w:rsidRPr="005A4C24">
        <w:rPr>
          <w:sz w:val="16"/>
          <w:szCs w:val="16"/>
          <w:lang w:val="en-GB"/>
        </w:rPr>
        <w:t xml:space="preserve">), </w:t>
      </w:r>
      <w:r>
        <w:rPr>
          <w:sz w:val="16"/>
          <w:szCs w:val="16"/>
          <w:lang w:val="en-GB"/>
        </w:rPr>
        <w:t xml:space="preserve">the extraordinary adjustment in June analogically by </w:t>
      </w:r>
      <w:r w:rsidRPr="005A4C24">
        <w:rPr>
          <w:sz w:val="16"/>
          <w:szCs w:val="16"/>
          <w:lang w:val="en-GB"/>
        </w:rPr>
        <w:t>6</w:t>
      </w:r>
      <w:r>
        <w:rPr>
          <w:sz w:val="16"/>
          <w:szCs w:val="16"/>
          <w:lang w:val="en-GB"/>
        </w:rPr>
        <w:t>.</w:t>
      </w:r>
      <w:r w:rsidRPr="005A4C24">
        <w:rPr>
          <w:sz w:val="16"/>
          <w:szCs w:val="16"/>
          <w:lang w:val="en-GB"/>
        </w:rPr>
        <w:t>3% a</w:t>
      </w:r>
      <w:r>
        <w:rPr>
          <w:sz w:val="16"/>
          <w:szCs w:val="16"/>
          <w:lang w:val="en-GB"/>
        </w:rPr>
        <w:t xml:space="preserve">nd even 4% then in September. The average monthly retirement pension </w:t>
      </w:r>
      <w:r w:rsidRPr="005A4C24">
        <w:rPr>
          <w:sz w:val="16"/>
          <w:szCs w:val="16"/>
          <w:lang w:val="en-GB"/>
        </w:rPr>
        <w:t>(</w:t>
      </w:r>
      <w:r>
        <w:rPr>
          <w:sz w:val="16"/>
          <w:szCs w:val="16"/>
          <w:lang w:val="en-GB"/>
        </w:rPr>
        <w:t>without combination with other incomes</w:t>
      </w:r>
      <w:r w:rsidRPr="005A4C24">
        <w:rPr>
          <w:sz w:val="16"/>
          <w:szCs w:val="16"/>
          <w:lang w:val="en-GB"/>
        </w:rPr>
        <w:t xml:space="preserve">) </w:t>
      </w:r>
      <w:r>
        <w:rPr>
          <w:sz w:val="16"/>
          <w:szCs w:val="16"/>
          <w:lang w:val="en-GB"/>
        </w:rPr>
        <w:t xml:space="preserve">thus arrived at </w:t>
      </w:r>
      <w:r w:rsidRPr="005A4C24">
        <w:rPr>
          <w:sz w:val="16"/>
          <w:szCs w:val="16"/>
          <w:lang w:val="en-GB"/>
        </w:rPr>
        <w:t>19</w:t>
      </w:r>
      <w:r>
        <w:rPr>
          <w:sz w:val="16"/>
          <w:szCs w:val="16"/>
          <w:lang w:val="en-GB"/>
        </w:rPr>
        <w:t> </w:t>
      </w:r>
      <w:r w:rsidRPr="005A4C24">
        <w:rPr>
          <w:sz w:val="16"/>
          <w:szCs w:val="16"/>
          <w:lang w:val="en-GB"/>
        </w:rPr>
        <w:t>755</w:t>
      </w:r>
      <w:r>
        <w:rPr>
          <w:sz w:val="16"/>
          <w:szCs w:val="16"/>
          <w:lang w:val="en-GB"/>
        </w:rPr>
        <w:t xml:space="preserve"> CZK for males</w:t>
      </w:r>
      <w:r w:rsidRPr="005A4C24">
        <w:rPr>
          <w:sz w:val="16"/>
          <w:szCs w:val="16"/>
          <w:lang w:val="en-GB"/>
        </w:rPr>
        <w:t>,</w:t>
      </w:r>
      <w:r>
        <w:rPr>
          <w:sz w:val="16"/>
          <w:szCs w:val="16"/>
          <w:lang w:val="en-GB"/>
        </w:rPr>
        <w:t xml:space="preserve"> </w:t>
      </w:r>
      <w:r w:rsidRPr="005A4C24">
        <w:rPr>
          <w:sz w:val="16"/>
          <w:szCs w:val="16"/>
          <w:lang w:val="en-GB"/>
        </w:rPr>
        <w:t xml:space="preserve">16 484 </w:t>
      </w:r>
      <w:r>
        <w:rPr>
          <w:sz w:val="16"/>
          <w:szCs w:val="16"/>
          <w:lang w:val="en-GB"/>
        </w:rPr>
        <w:t>CZK for females in December last year</w:t>
      </w:r>
      <w:r w:rsidRPr="005A4C24">
        <w:rPr>
          <w:sz w:val="16"/>
          <w:szCs w:val="16"/>
          <w:lang w:val="en-GB"/>
        </w:rPr>
        <w:t>.</w:t>
      </w:r>
    </w:p>
  </w:footnote>
  <w:footnote w:id="11">
    <w:p w14:paraId="765F805B" w14:textId="22B999CE" w:rsidR="00E37C1C" w:rsidRPr="005A4C24" w:rsidRDefault="00E37C1C" w:rsidP="005A4C24">
      <w:pPr>
        <w:pStyle w:val="Textpoznpodarou"/>
        <w:jc w:val="both"/>
        <w:rPr>
          <w:lang w:val="en-GB"/>
        </w:rPr>
      </w:pPr>
      <w:r w:rsidRPr="005A4C24">
        <w:rPr>
          <w:rStyle w:val="Znakapoznpodarou"/>
          <w:spacing w:val="-4"/>
          <w:sz w:val="16"/>
          <w:szCs w:val="16"/>
          <w:lang w:val="en-GB"/>
        </w:rPr>
        <w:footnoteRef/>
      </w:r>
      <w:r w:rsidRPr="005A4C24">
        <w:rPr>
          <w:rStyle w:val="Znakapoznpodarou"/>
          <w:spacing w:val="-4"/>
          <w:sz w:val="16"/>
          <w:szCs w:val="16"/>
          <w:lang w:val="en-GB"/>
        </w:rPr>
        <w:t xml:space="preserve"> </w:t>
      </w:r>
      <w:r>
        <w:rPr>
          <w:sz w:val="16"/>
          <w:szCs w:val="16"/>
          <w:lang w:val="en-GB"/>
        </w:rPr>
        <w:t xml:space="preserve">It was stimulated by unusually high adjustment in year </w:t>
      </w:r>
      <w:r w:rsidRPr="005A4C24">
        <w:rPr>
          <w:sz w:val="16"/>
          <w:szCs w:val="16"/>
          <w:lang w:val="en-GB"/>
        </w:rPr>
        <w:t>2022</w:t>
      </w:r>
      <w:r>
        <w:rPr>
          <w:sz w:val="16"/>
          <w:szCs w:val="16"/>
          <w:lang w:val="en-GB"/>
        </w:rPr>
        <w:t>, which exceeded the effect of</w:t>
      </w:r>
      <w:r w:rsidRPr="005A4C24">
        <w:rPr>
          <w:sz w:val="16"/>
          <w:szCs w:val="16"/>
          <w:lang w:val="en-GB"/>
        </w:rPr>
        <w:t xml:space="preserve"> „</w:t>
      </w:r>
      <w:proofErr w:type="gramStart"/>
      <w:r w:rsidRPr="005A4C24">
        <w:rPr>
          <w:sz w:val="16"/>
          <w:szCs w:val="16"/>
          <w:lang w:val="en-GB"/>
        </w:rPr>
        <w:t>pen</w:t>
      </w:r>
      <w:r>
        <w:rPr>
          <w:sz w:val="16"/>
          <w:szCs w:val="16"/>
          <w:lang w:val="en-GB"/>
        </w:rPr>
        <w:t>alty</w:t>
      </w:r>
      <w:r w:rsidRPr="005A4C24">
        <w:rPr>
          <w:sz w:val="16"/>
          <w:szCs w:val="16"/>
          <w:lang w:val="en-GB"/>
        </w:rPr>
        <w:t xml:space="preserve">“ </w:t>
      </w:r>
      <w:r>
        <w:rPr>
          <w:sz w:val="16"/>
          <w:szCs w:val="16"/>
          <w:lang w:val="en-GB"/>
        </w:rPr>
        <w:t>for</w:t>
      </w:r>
      <w:proofErr w:type="gramEnd"/>
      <w:r>
        <w:rPr>
          <w:sz w:val="16"/>
          <w:szCs w:val="16"/>
          <w:lang w:val="en-GB"/>
        </w:rPr>
        <w:t xml:space="preserve"> leaving into the early retirement. From the total number of all recipients of the </w:t>
      </w:r>
      <w:proofErr w:type="gramStart"/>
      <w:r>
        <w:rPr>
          <w:sz w:val="16"/>
          <w:szCs w:val="16"/>
          <w:lang w:val="en-GB"/>
        </w:rPr>
        <w:t>retirements</w:t>
      </w:r>
      <w:proofErr w:type="gramEnd"/>
      <w:r>
        <w:rPr>
          <w:sz w:val="16"/>
          <w:szCs w:val="16"/>
          <w:lang w:val="en-GB"/>
        </w:rPr>
        <w:t xml:space="preserve"> pensions, persons with early retirement comprised already </w:t>
      </w:r>
      <w:r w:rsidRPr="005A4C24">
        <w:rPr>
          <w:sz w:val="16"/>
          <w:szCs w:val="16"/>
          <w:lang w:val="en-GB"/>
        </w:rPr>
        <w:t>28</w:t>
      </w:r>
      <w:r>
        <w:rPr>
          <w:sz w:val="16"/>
          <w:szCs w:val="16"/>
          <w:lang w:val="en-GB"/>
        </w:rPr>
        <w:t>.</w:t>
      </w:r>
      <w:r w:rsidRPr="005A4C24">
        <w:rPr>
          <w:sz w:val="16"/>
          <w:szCs w:val="16"/>
          <w:lang w:val="en-GB"/>
        </w:rPr>
        <w:t>7%.</w:t>
      </w:r>
    </w:p>
  </w:footnote>
  <w:footnote w:id="12">
    <w:p w14:paraId="48CC08BC" w14:textId="2D72FEAD" w:rsidR="00E37C1C" w:rsidRPr="005A4C24" w:rsidRDefault="00E37C1C" w:rsidP="005A4C24">
      <w:pPr>
        <w:pStyle w:val="Textpoznpodarou"/>
        <w:jc w:val="both"/>
        <w:rPr>
          <w:spacing w:val="-4"/>
          <w:lang w:val="en-GB"/>
        </w:rPr>
      </w:pPr>
      <w:r w:rsidRPr="005A4C24">
        <w:rPr>
          <w:rStyle w:val="Znakapoznpodarou"/>
          <w:spacing w:val="-4"/>
          <w:sz w:val="16"/>
          <w:szCs w:val="16"/>
          <w:lang w:val="en-GB"/>
        </w:rPr>
        <w:footnoteRef/>
      </w:r>
      <w:r w:rsidRPr="005A4C24">
        <w:rPr>
          <w:spacing w:val="-4"/>
          <w:sz w:val="16"/>
          <w:szCs w:val="16"/>
          <w:lang w:val="en-GB"/>
        </w:rPr>
        <w:t xml:space="preserve"> </w:t>
      </w:r>
      <w:r>
        <w:rPr>
          <w:rFonts w:cs="Arial"/>
          <w:color w:val="0D0D0D" w:themeColor="text1" w:themeTint="F2"/>
          <w:spacing w:val="-4"/>
          <w:sz w:val="16"/>
          <w:szCs w:val="16"/>
          <w:lang w:val="en-GB"/>
        </w:rPr>
        <w:t>D</w:t>
      </w:r>
      <w:r w:rsidRPr="00FF2F4F">
        <w:rPr>
          <w:rFonts w:cs="Arial"/>
          <w:color w:val="0D0D0D" w:themeColor="text1" w:themeTint="F2"/>
          <w:spacing w:val="-4"/>
          <w:sz w:val="16"/>
          <w:szCs w:val="16"/>
          <w:lang w:val="en-GB"/>
        </w:rPr>
        <w:t>ifference between revenues and expenditure</w:t>
      </w:r>
      <w:r>
        <w:rPr>
          <w:rFonts w:cs="Arial"/>
          <w:color w:val="0D0D0D" w:themeColor="text1" w:themeTint="F2"/>
          <w:spacing w:val="-4"/>
          <w:sz w:val="16"/>
          <w:szCs w:val="16"/>
          <w:lang w:val="en-GB"/>
        </w:rPr>
        <w:t>s</w:t>
      </w:r>
      <w:r w:rsidRPr="00FF2F4F">
        <w:rPr>
          <w:rFonts w:cs="Arial"/>
          <w:color w:val="0D0D0D" w:themeColor="text1" w:themeTint="F2"/>
          <w:spacing w:val="-4"/>
          <w:sz w:val="16"/>
          <w:szCs w:val="16"/>
          <w:lang w:val="en-GB"/>
        </w:rPr>
        <w:t xml:space="preserve"> on pensions f</w:t>
      </w:r>
      <w:r>
        <w:rPr>
          <w:rFonts w:cs="Arial"/>
          <w:color w:val="0D0D0D" w:themeColor="text1" w:themeTint="F2"/>
          <w:spacing w:val="-4"/>
          <w:sz w:val="16"/>
          <w:szCs w:val="16"/>
          <w:lang w:val="en-GB"/>
        </w:rPr>
        <w:t>rom</w:t>
      </w:r>
      <w:r w:rsidRPr="00FF2F4F">
        <w:rPr>
          <w:rFonts w:cs="Arial"/>
          <w:color w:val="0D0D0D" w:themeColor="text1" w:themeTint="F2"/>
          <w:spacing w:val="-4"/>
          <w:sz w:val="16"/>
          <w:szCs w:val="16"/>
          <w:lang w:val="en-GB"/>
        </w:rPr>
        <w:t xml:space="preserve"> the SB. Expenditures do not contain the costs of administration of the pension insurance system.</w:t>
      </w:r>
    </w:p>
  </w:footnote>
  <w:footnote w:id="13">
    <w:p w14:paraId="567800DE" w14:textId="0EBBC173" w:rsidR="00E37C1C" w:rsidRPr="005A4C24" w:rsidRDefault="00E37C1C" w:rsidP="005A4C24">
      <w:pPr>
        <w:pStyle w:val="Textpoznpodarou"/>
        <w:jc w:val="both"/>
        <w:rPr>
          <w:sz w:val="16"/>
          <w:szCs w:val="16"/>
          <w:lang w:val="en-GB"/>
        </w:rPr>
      </w:pPr>
      <w:r w:rsidRPr="005A4C24">
        <w:rPr>
          <w:rStyle w:val="Znakapoznpodarou"/>
          <w:sz w:val="16"/>
          <w:szCs w:val="16"/>
          <w:lang w:val="en-GB"/>
        </w:rPr>
        <w:footnoteRef/>
      </w:r>
      <w:r w:rsidRPr="005A4C24">
        <w:rPr>
          <w:sz w:val="16"/>
          <w:szCs w:val="16"/>
          <w:lang w:val="en-GB"/>
        </w:rPr>
        <w:t xml:space="preserve"> </w:t>
      </w:r>
      <w:r>
        <w:rPr>
          <w:sz w:val="16"/>
          <w:szCs w:val="16"/>
          <w:lang w:val="en-GB"/>
        </w:rPr>
        <w:t xml:space="preserve">It is paid out </w:t>
      </w:r>
      <w:r w:rsidRPr="005A4C24">
        <w:rPr>
          <w:sz w:val="16"/>
          <w:szCs w:val="16"/>
          <w:lang w:val="en-GB"/>
        </w:rPr>
        <w:t>(</w:t>
      </w:r>
      <w:r>
        <w:rPr>
          <w:sz w:val="16"/>
          <w:szCs w:val="16"/>
          <w:lang w:val="en-GB"/>
        </w:rPr>
        <w:t xml:space="preserve">in the amount of </w:t>
      </w:r>
      <w:r w:rsidRPr="005A4C24">
        <w:rPr>
          <w:sz w:val="16"/>
          <w:szCs w:val="16"/>
          <w:lang w:val="en-GB"/>
        </w:rPr>
        <w:t>5 t</w:t>
      </w:r>
      <w:r>
        <w:rPr>
          <w:sz w:val="16"/>
          <w:szCs w:val="16"/>
          <w:lang w:val="en-GB"/>
        </w:rPr>
        <w:t>housand CZK for each child</w:t>
      </w:r>
      <w:r w:rsidRPr="005A4C24">
        <w:rPr>
          <w:sz w:val="16"/>
          <w:szCs w:val="16"/>
          <w:lang w:val="en-GB"/>
        </w:rPr>
        <w:t>)</w:t>
      </w:r>
      <w:r>
        <w:rPr>
          <w:sz w:val="16"/>
          <w:szCs w:val="16"/>
          <w:lang w:val="en-GB"/>
        </w:rPr>
        <w:t xml:space="preserve"> to families with middle and lower incomes from August this year with the aim to partially compensate for the rising prices of energies, food and further needs to these families. </w:t>
      </w:r>
    </w:p>
  </w:footnote>
  <w:footnote w:id="14">
    <w:p w14:paraId="54C6260E" w14:textId="56896FC8" w:rsidR="00E37C1C" w:rsidRPr="00C33AA6" w:rsidRDefault="00E37C1C" w:rsidP="00095191">
      <w:pPr>
        <w:pStyle w:val="Textpoznpodarou"/>
        <w:jc w:val="both"/>
        <w:rPr>
          <w:sz w:val="16"/>
          <w:szCs w:val="16"/>
          <w:lang w:val="en-GB"/>
        </w:rPr>
      </w:pPr>
      <w:r w:rsidRPr="0095169D">
        <w:rPr>
          <w:rStyle w:val="Znakapoznpodarou"/>
          <w:sz w:val="16"/>
          <w:szCs w:val="16"/>
        </w:rPr>
        <w:footnoteRef/>
      </w:r>
      <w:r w:rsidRPr="0095169D">
        <w:rPr>
          <w:sz w:val="16"/>
          <w:szCs w:val="16"/>
        </w:rPr>
        <w:t xml:space="preserve"> </w:t>
      </w:r>
      <w:r w:rsidRPr="00C33AA6">
        <w:rPr>
          <w:sz w:val="16"/>
          <w:szCs w:val="16"/>
          <w:lang w:val="en-GB"/>
        </w:rPr>
        <w:t xml:space="preserve">It occurred mainly due to the </w:t>
      </w:r>
      <w:r>
        <w:rPr>
          <w:sz w:val="16"/>
          <w:szCs w:val="16"/>
          <w:lang w:val="en-GB"/>
        </w:rPr>
        <w:t xml:space="preserve">legal raising of the benefits for people with disabilities in the two most severe degrees of dependency. </w:t>
      </w:r>
      <w:r w:rsidRPr="00C33AA6">
        <w:rPr>
          <w:sz w:val="16"/>
          <w:szCs w:val="16"/>
          <w:lang w:val="en-GB"/>
        </w:rPr>
        <w:t xml:space="preserve"> </w:t>
      </w:r>
    </w:p>
  </w:footnote>
  <w:footnote w:id="15">
    <w:p w14:paraId="50AEC605" w14:textId="5BB8DC9D" w:rsidR="00E37C1C" w:rsidRPr="001B75F7" w:rsidRDefault="00E37C1C" w:rsidP="00095191">
      <w:pPr>
        <w:pStyle w:val="Textpoznpodarou"/>
        <w:jc w:val="both"/>
        <w:rPr>
          <w:sz w:val="16"/>
          <w:szCs w:val="16"/>
          <w:lang w:val="en-GB"/>
        </w:rPr>
      </w:pPr>
      <w:r w:rsidRPr="00C33AA6">
        <w:rPr>
          <w:rStyle w:val="Znakapoznpodarou"/>
          <w:sz w:val="16"/>
          <w:szCs w:val="16"/>
          <w:lang w:val="en-GB"/>
        </w:rPr>
        <w:footnoteRef/>
      </w:r>
      <w:r w:rsidRPr="00C33AA6">
        <w:rPr>
          <w:sz w:val="16"/>
          <w:szCs w:val="16"/>
          <w:lang w:val="en-GB"/>
        </w:rPr>
        <w:t xml:space="preserve"> Expenditures on</w:t>
      </w:r>
      <w:r>
        <w:rPr>
          <w:sz w:val="16"/>
          <w:szCs w:val="16"/>
          <w:lang w:val="en-GB"/>
        </w:rPr>
        <w:t xml:space="preserve"> sickness insurance benefits thus exceeded the revenues flowing to sickness insurance by </w:t>
      </w:r>
      <w:r w:rsidRPr="001B75F7">
        <w:rPr>
          <w:sz w:val="16"/>
          <w:szCs w:val="16"/>
          <w:lang w:val="en-GB"/>
        </w:rPr>
        <w:t>8</w:t>
      </w:r>
      <w:r>
        <w:rPr>
          <w:sz w:val="16"/>
          <w:szCs w:val="16"/>
          <w:lang w:val="en-GB"/>
        </w:rPr>
        <w:t xml:space="preserve"> CZK bn in year 2022</w:t>
      </w:r>
      <w:r w:rsidRPr="001B75F7">
        <w:rPr>
          <w:sz w:val="16"/>
          <w:szCs w:val="16"/>
          <w:lang w:val="en-GB"/>
        </w:rPr>
        <w:t xml:space="preserve">. </w:t>
      </w:r>
      <w:r>
        <w:rPr>
          <w:sz w:val="16"/>
          <w:szCs w:val="16"/>
          <w:lang w:val="en-GB"/>
        </w:rPr>
        <w:t xml:space="preserve">It marked better result than in year </w:t>
      </w:r>
      <w:r w:rsidRPr="001B75F7">
        <w:rPr>
          <w:sz w:val="16"/>
          <w:szCs w:val="16"/>
          <w:lang w:val="en-GB"/>
        </w:rPr>
        <w:t>2021 (–14</w:t>
      </w:r>
      <w:r>
        <w:rPr>
          <w:sz w:val="16"/>
          <w:szCs w:val="16"/>
          <w:lang w:val="en-GB"/>
        </w:rPr>
        <w:t>.</w:t>
      </w:r>
      <w:r w:rsidRPr="001B75F7">
        <w:rPr>
          <w:sz w:val="16"/>
          <w:szCs w:val="16"/>
          <w:lang w:val="en-GB"/>
        </w:rPr>
        <w:t>4</w:t>
      </w:r>
      <w:r>
        <w:rPr>
          <w:sz w:val="16"/>
          <w:szCs w:val="16"/>
          <w:lang w:val="en-GB"/>
        </w:rPr>
        <w:t xml:space="preserve"> bn</w:t>
      </w:r>
      <w:r w:rsidRPr="001B75F7">
        <w:rPr>
          <w:sz w:val="16"/>
          <w:szCs w:val="16"/>
          <w:lang w:val="en-GB"/>
        </w:rPr>
        <w:t>)</w:t>
      </w:r>
      <w:r>
        <w:rPr>
          <w:sz w:val="16"/>
          <w:szCs w:val="16"/>
          <w:lang w:val="en-GB"/>
        </w:rPr>
        <w:t xml:space="preserve"> and </w:t>
      </w:r>
      <w:r w:rsidRPr="001B75F7">
        <w:rPr>
          <w:sz w:val="16"/>
          <w:szCs w:val="16"/>
          <w:lang w:val="en-GB"/>
        </w:rPr>
        <w:t>2020 (–21</w:t>
      </w:r>
      <w:r>
        <w:rPr>
          <w:sz w:val="16"/>
          <w:szCs w:val="16"/>
          <w:lang w:val="en-GB"/>
        </w:rPr>
        <w:t>.</w:t>
      </w:r>
      <w:r w:rsidRPr="001B75F7">
        <w:rPr>
          <w:sz w:val="16"/>
          <w:szCs w:val="16"/>
          <w:lang w:val="en-GB"/>
        </w:rPr>
        <w:t>3</w:t>
      </w:r>
      <w:r>
        <w:rPr>
          <w:sz w:val="16"/>
          <w:szCs w:val="16"/>
          <w:lang w:val="en-GB"/>
        </w:rPr>
        <w:t xml:space="preserve"> bn</w:t>
      </w:r>
      <w:r w:rsidRPr="001B75F7">
        <w:rPr>
          <w:sz w:val="16"/>
          <w:szCs w:val="16"/>
          <w:lang w:val="en-GB"/>
        </w:rPr>
        <w:t xml:space="preserve">). </w:t>
      </w:r>
      <w:r>
        <w:rPr>
          <w:sz w:val="16"/>
          <w:szCs w:val="16"/>
          <w:lang w:val="en-GB"/>
        </w:rPr>
        <w:t xml:space="preserve">The surplus in the area of sickness insurance was last recorded in year </w:t>
      </w:r>
      <w:r w:rsidRPr="001B75F7">
        <w:rPr>
          <w:sz w:val="16"/>
          <w:szCs w:val="16"/>
          <w:lang w:val="en-GB"/>
        </w:rPr>
        <w:t>2018 (+0</w:t>
      </w:r>
      <w:r>
        <w:rPr>
          <w:sz w:val="16"/>
          <w:szCs w:val="16"/>
          <w:lang w:val="en-GB"/>
        </w:rPr>
        <w:t>.</w:t>
      </w:r>
      <w:r w:rsidRPr="001B75F7">
        <w:rPr>
          <w:sz w:val="16"/>
          <w:szCs w:val="16"/>
          <w:lang w:val="en-GB"/>
        </w:rPr>
        <w:t>6</w:t>
      </w:r>
      <w:r>
        <w:rPr>
          <w:sz w:val="16"/>
          <w:szCs w:val="16"/>
          <w:lang w:val="en-GB"/>
        </w:rPr>
        <w:t xml:space="preserve"> bn</w:t>
      </w:r>
      <w:r w:rsidRPr="001B75F7">
        <w:rPr>
          <w:sz w:val="16"/>
          <w:szCs w:val="16"/>
          <w:lang w:val="en-GB"/>
        </w:rPr>
        <w:t xml:space="preserve">). </w:t>
      </w:r>
    </w:p>
  </w:footnote>
  <w:footnote w:id="16">
    <w:p w14:paraId="5BEF8CF9" w14:textId="6E758E09" w:rsidR="00E37C1C" w:rsidRPr="001B75F7" w:rsidRDefault="00E37C1C" w:rsidP="00095191">
      <w:pPr>
        <w:pStyle w:val="Textpoznpodarou"/>
        <w:jc w:val="both"/>
        <w:rPr>
          <w:spacing w:val="-2"/>
          <w:sz w:val="16"/>
          <w:szCs w:val="16"/>
          <w:lang w:val="en-GB"/>
        </w:rPr>
      </w:pPr>
      <w:r w:rsidRPr="001B75F7">
        <w:rPr>
          <w:rStyle w:val="Znakapoznpodarou"/>
          <w:spacing w:val="-2"/>
          <w:sz w:val="16"/>
          <w:szCs w:val="16"/>
          <w:lang w:val="en-GB"/>
        </w:rPr>
        <w:footnoteRef/>
      </w:r>
      <w:r w:rsidRPr="001B75F7">
        <w:rPr>
          <w:spacing w:val="-2"/>
          <w:sz w:val="16"/>
          <w:szCs w:val="16"/>
          <w:lang w:val="en-GB"/>
        </w:rPr>
        <w:t xml:space="preserve"> </w:t>
      </w:r>
      <w:r>
        <w:rPr>
          <w:spacing w:val="-2"/>
          <w:sz w:val="16"/>
          <w:szCs w:val="16"/>
          <w:lang w:val="en-GB"/>
        </w:rPr>
        <w:t>Net expenditures c</w:t>
      </w:r>
      <w:r w:rsidRPr="00956F60">
        <w:rPr>
          <w:sz w:val="16"/>
          <w:szCs w:val="16"/>
          <w:lang w:val="en-GB"/>
        </w:rPr>
        <w:t>orrespond to the balance of the budget chapter State debt</w:t>
      </w:r>
      <w:r>
        <w:rPr>
          <w:sz w:val="16"/>
          <w:szCs w:val="16"/>
          <w:lang w:val="en-GB"/>
        </w:rPr>
        <w:t xml:space="preserve"> </w:t>
      </w:r>
      <w:r w:rsidRPr="001B75F7">
        <w:rPr>
          <w:spacing w:val="-2"/>
          <w:sz w:val="16"/>
          <w:szCs w:val="16"/>
          <w:lang w:val="en-GB"/>
        </w:rPr>
        <w:t>(</w:t>
      </w:r>
      <w:r>
        <w:rPr>
          <w:spacing w:val="-2"/>
          <w:sz w:val="16"/>
          <w:szCs w:val="16"/>
          <w:lang w:val="en-GB"/>
        </w:rPr>
        <w:t>no</w:t>
      </w:r>
      <w:r w:rsidRPr="001B75F7">
        <w:rPr>
          <w:spacing w:val="-2"/>
          <w:sz w:val="16"/>
          <w:szCs w:val="16"/>
          <w:lang w:val="en-GB"/>
        </w:rPr>
        <w:t>. 396).</w:t>
      </w:r>
    </w:p>
  </w:footnote>
  <w:footnote w:id="17">
    <w:p w14:paraId="10002086" w14:textId="77E06E5A" w:rsidR="00E37C1C" w:rsidRPr="001B75F7" w:rsidRDefault="00E37C1C" w:rsidP="00095191">
      <w:pPr>
        <w:pStyle w:val="Textpoznpodarou"/>
        <w:jc w:val="both"/>
        <w:rPr>
          <w:sz w:val="16"/>
          <w:szCs w:val="16"/>
          <w:lang w:val="en-GB"/>
        </w:rPr>
      </w:pPr>
      <w:r w:rsidRPr="001B75F7">
        <w:rPr>
          <w:rStyle w:val="Znakapoznpodarou"/>
          <w:sz w:val="16"/>
          <w:szCs w:val="16"/>
          <w:lang w:val="en-GB"/>
        </w:rPr>
        <w:footnoteRef/>
      </w:r>
      <w:r w:rsidRPr="001B75F7">
        <w:rPr>
          <w:sz w:val="16"/>
          <w:szCs w:val="16"/>
          <w:lang w:val="en-GB"/>
        </w:rPr>
        <w:t xml:space="preserve"> Monthly payments of the state increased from 1767 CZK to 1967 CZK per person since January 2022. According to the later approved amendment of Act on Public Health Insurance however the payment decreased to 1487 since September 2022. </w:t>
      </w:r>
    </w:p>
  </w:footnote>
  <w:footnote w:id="18">
    <w:p w14:paraId="6FEC7604" w14:textId="01975E28" w:rsidR="00E37C1C" w:rsidRPr="00C6337A" w:rsidRDefault="00E37C1C" w:rsidP="00C6337A">
      <w:pPr>
        <w:pStyle w:val="Textpoznpodarou"/>
        <w:jc w:val="both"/>
        <w:rPr>
          <w:sz w:val="16"/>
          <w:szCs w:val="16"/>
          <w:lang w:val="en-GB"/>
        </w:rPr>
      </w:pPr>
      <w:r w:rsidRPr="0024098E">
        <w:rPr>
          <w:rStyle w:val="Znakapoznpodarou"/>
          <w:sz w:val="16"/>
          <w:szCs w:val="16"/>
        </w:rPr>
        <w:footnoteRef/>
      </w:r>
      <w:r w:rsidRPr="0024098E">
        <w:rPr>
          <w:sz w:val="16"/>
          <w:szCs w:val="16"/>
        </w:rPr>
        <w:t xml:space="preserve"> </w:t>
      </w:r>
      <w:r w:rsidRPr="00C6337A">
        <w:rPr>
          <w:sz w:val="16"/>
          <w:szCs w:val="16"/>
          <w:lang w:val="en-GB"/>
        </w:rPr>
        <w:t>39</w:t>
      </w:r>
      <w:r>
        <w:rPr>
          <w:sz w:val="16"/>
          <w:szCs w:val="16"/>
          <w:lang w:val="en-GB"/>
        </w:rPr>
        <w:t>.</w:t>
      </w:r>
      <w:r w:rsidRPr="00C6337A">
        <w:rPr>
          <w:sz w:val="16"/>
          <w:szCs w:val="16"/>
          <w:lang w:val="en-GB"/>
        </w:rPr>
        <w:t>5</w:t>
      </w:r>
      <w:r>
        <w:rPr>
          <w:sz w:val="16"/>
          <w:szCs w:val="16"/>
          <w:lang w:val="en-GB"/>
        </w:rPr>
        <w:t xml:space="preserve"> CZK bn was drawn on investment from the SB in December</w:t>
      </w:r>
      <w:r w:rsidRPr="00C6337A">
        <w:rPr>
          <w:sz w:val="16"/>
          <w:szCs w:val="16"/>
          <w:lang w:val="en-GB"/>
        </w:rPr>
        <w:t xml:space="preserve">, </w:t>
      </w:r>
      <w:r>
        <w:rPr>
          <w:sz w:val="16"/>
          <w:szCs w:val="16"/>
          <w:lang w:val="en-GB"/>
        </w:rPr>
        <w:t xml:space="preserve">i.e. more than for the first four months of the year </w:t>
      </w:r>
      <w:r w:rsidRPr="00C6337A">
        <w:rPr>
          <w:sz w:val="16"/>
          <w:szCs w:val="16"/>
          <w:lang w:val="en-GB"/>
        </w:rPr>
        <w:t>(28</w:t>
      </w:r>
      <w:r>
        <w:rPr>
          <w:sz w:val="16"/>
          <w:szCs w:val="16"/>
          <w:lang w:val="en-GB"/>
        </w:rPr>
        <w:t>.</w:t>
      </w:r>
      <w:r w:rsidRPr="00C6337A">
        <w:rPr>
          <w:sz w:val="16"/>
          <w:szCs w:val="16"/>
          <w:lang w:val="en-GB"/>
        </w:rPr>
        <w:t>5</w:t>
      </w:r>
      <w:r>
        <w:rPr>
          <w:sz w:val="16"/>
          <w:szCs w:val="16"/>
          <w:lang w:val="en-GB"/>
        </w:rPr>
        <w:t xml:space="preserve"> bn</w:t>
      </w:r>
      <w:r w:rsidRPr="00C6337A">
        <w:rPr>
          <w:sz w:val="16"/>
          <w:szCs w:val="16"/>
          <w:lang w:val="en-GB"/>
        </w:rPr>
        <w:t xml:space="preserve">), </w:t>
      </w:r>
      <w:r>
        <w:rPr>
          <w:sz w:val="16"/>
          <w:szCs w:val="16"/>
          <w:lang w:val="en-GB"/>
        </w:rPr>
        <w:t xml:space="preserve">which were to a large extent impacted by the regime of the interim budget. </w:t>
      </w:r>
    </w:p>
  </w:footnote>
  <w:footnote w:id="19">
    <w:p w14:paraId="485A8424" w14:textId="77777777" w:rsidR="00E37C1C" w:rsidRPr="009378B2" w:rsidRDefault="00E37C1C" w:rsidP="005A4C24">
      <w:pPr>
        <w:pStyle w:val="Textpoznpodarou"/>
        <w:jc w:val="both"/>
        <w:rPr>
          <w:sz w:val="16"/>
          <w:szCs w:val="16"/>
          <w:lang w:val="en-GB"/>
        </w:rPr>
      </w:pPr>
      <w:r w:rsidRPr="00C6337A">
        <w:rPr>
          <w:rStyle w:val="Znakapoznpodarou"/>
          <w:sz w:val="16"/>
          <w:szCs w:val="16"/>
          <w:lang w:val="en-GB"/>
        </w:rPr>
        <w:footnoteRef/>
      </w:r>
      <w:r w:rsidRPr="00C6337A">
        <w:rPr>
          <w:sz w:val="16"/>
          <w:szCs w:val="16"/>
          <w:lang w:val="en-GB"/>
        </w:rPr>
        <w:t xml:space="preserve"> </w:t>
      </w:r>
      <w:r>
        <w:rPr>
          <w:sz w:val="16"/>
          <w:szCs w:val="16"/>
          <w:lang w:val="en-GB"/>
        </w:rPr>
        <w:t xml:space="preserve">Increase of debt in the preceding two years severely affected by the impacts of the pandemics however also exceeded </w:t>
      </w:r>
      <w:r w:rsidRPr="009378B2">
        <w:rPr>
          <w:sz w:val="16"/>
          <w:szCs w:val="16"/>
          <w:lang w:val="en-GB"/>
        </w:rPr>
        <w:t>400</w:t>
      </w:r>
      <w:r>
        <w:rPr>
          <w:sz w:val="16"/>
          <w:szCs w:val="16"/>
          <w:lang w:val="en-GB"/>
        </w:rPr>
        <w:t xml:space="preserve"> CZK bn </w:t>
      </w:r>
      <w:r w:rsidRPr="009378B2">
        <w:rPr>
          <w:sz w:val="16"/>
          <w:szCs w:val="16"/>
          <w:lang w:val="en-GB"/>
        </w:rPr>
        <w:t>(+409</w:t>
      </w:r>
      <w:r>
        <w:rPr>
          <w:sz w:val="16"/>
          <w:szCs w:val="16"/>
          <w:lang w:val="en-GB"/>
        </w:rPr>
        <w:t>.</w:t>
      </w:r>
      <w:r w:rsidRPr="009378B2">
        <w:rPr>
          <w:sz w:val="16"/>
          <w:szCs w:val="16"/>
          <w:lang w:val="en-GB"/>
        </w:rPr>
        <w:t>5</w:t>
      </w:r>
      <w:r>
        <w:rPr>
          <w:sz w:val="16"/>
          <w:szCs w:val="16"/>
          <w:lang w:val="en-GB"/>
        </w:rPr>
        <w:t xml:space="preserve"> bn in year 2020</w:t>
      </w:r>
      <w:r w:rsidRPr="009378B2">
        <w:rPr>
          <w:sz w:val="16"/>
          <w:szCs w:val="16"/>
          <w:lang w:val="en-GB"/>
        </w:rPr>
        <w:t>, +416</w:t>
      </w:r>
      <w:r>
        <w:rPr>
          <w:sz w:val="16"/>
          <w:szCs w:val="16"/>
          <w:lang w:val="en-GB"/>
        </w:rPr>
        <w:t>.</w:t>
      </w:r>
      <w:r w:rsidRPr="009378B2">
        <w:rPr>
          <w:sz w:val="16"/>
          <w:szCs w:val="16"/>
          <w:lang w:val="en-GB"/>
        </w:rPr>
        <w:t>1</w:t>
      </w:r>
      <w:r>
        <w:rPr>
          <w:sz w:val="16"/>
          <w:szCs w:val="16"/>
          <w:lang w:val="en-GB"/>
        </w:rPr>
        <w:t xml:space="preserve"> bn one year later</w:t>
      </w:r>
      <w:r w:rsidRPr="009378B2">
        <w:rPr>
          <w:sz w:val="16"/>
          <w:szCs w:val="16"/>
          <w:lang w:val="en-GB"/>
        </w:rPr>
        <w:t>).</w:t>
      </w:r>
    </w:p>
  </w:footnote>
  <w:footnote w:id="20">
    <w:p w14:paraId="538C3A09" w14:textId="77777777" w:rsidR="00E37C1C" w:rsidRPr="009378B2" w:rsidRDefault="00E37C1C" w:rsidP="005A4C24">
      <w:pPr>
        <w:pStyle w:val="Textpoznpodarou"/>
        <w:jc w:val="both"/>
        <w:rPr>
          <w:lang w:val="en-GB"/>
        </w:rPr>
      </w:pPr>
      <w:r w:rsidRPr="009378B2">
        <w:rPr>
          <w:rStyle w:val="Znakapoznpodarou"/>
          <w:sz w:val="16"/>
          <w:szCs w:val="16"/>
          <w:lang w:val="en-GB"/>
        </w:rPr>
        <w:footnoteRef/>
      </w:r>
      <w:r w:rsidRPr="009378B2">
        <w:rPr>
          <w:sz w:val="16"/>
          <w:szCs w:val="16"/>
          <w:lang w:val="en-GB"/>
        </w:rPr>
        <w:t xml:space="preserve"> </w:t>
      </w:r>
      <w:r>
        <w:rPr>
          <w:sz w:val="16"/>
          <w:szCs w:val="16"/>
          <w:lang w:val="en-GB"/>
        </w:rPr>
        <w:t xml:space="preserve">Value of all state bonds in circulation expanded by </w:t>
      </w:r>
      <w:r w:rsidRPr="009378B2">
        <w:rPr>
          <w:spacing w:val="-4"/>
          <w:sz w:val="16"/>
          <w:szCs w:val="16"/>
          <w:lang w:val="en-GB"/>
        </w:rPr>
        <w:t>243</w:t>
      </w:r>
      <w:r>
        <w:rPr>
          <w:spacing w:val="-4"/>
          <w:sz w:val="16"/>
          <w:szCs w:val="16"/>
          <w:lang w:val="en-GB"/>
        </w:rPr>
        <w:t>.</w:t>
      </w:r>
      <w:r w:rsidRPr="009378B2">
        <w:rPr>
          <w:spacing w:val="-4"/>
          <w:sz w:val="16"/>
          <w:szCs w:val="16"/>
          <w:lang w:val="en-GB"/>
        </w:rPr>
        <w:t>7</w:t>
      </w:r>
      <w:r>
        <w:rPr>
          <w:spacing w:val="-4"/>
          <w:sz w:val="16"/>
          <w:szCs w:val="16"/>
          <w:lang w:val="en-GB"/>
        </w:rPr>
        <w:t xml:space="preserve"> CZK bn for the last year, i.e. to </w:t>
      </w:r>
      <w:r w:rsidRPr="009378B2">
        <w:rPr>
          <w:spacing w:val="-4"/>
          <w:sz w:val="16"/>
          <w:szCs w:val="16"/>
          <w:lang w:val="en-GB"/>
        </w:rPr>
        <w:t>2</w:t>
      </w:r>
      <w:r>
        <w:rPr>
          <w:spacing w:val="-4"/>
          <w:sz w:val="16"/>
          <w:szCs w:val="16"/>
          <w:lang w:val="en-GB"/>
        </w:rPr>
        <w:t> </w:t>
      </w:r>
      <w:r w:rsidRPr="009378B2">
        <w:rPr>
          <w:spacing w:val="-4"/>
          <w:sz w:val="16"/>
          <w:szCs w:val="16"/>
          <w:lang w:val="en-GB"/>
        </w:rPr>
        <w:t>609</w:t>
      </w:r>
      <w:r>
        <w:rPr>
          <w:spacing w:val="-4"/>
          <w:sz w:val="16"/>
          <w:szCs w:val="16"/>
          <w:lang w:val="en-GB"/>
        </w:rPr>
        <w:t>.</w:t>
      </w:r>
      <w:r w:rsidRPr="009378B2">
        <w:rPr>
          <w:spacing w:val="-4"/>
          <w:sz w:val="16"/>
          <w:szCs w:val="16"/>
          <w:lang w:val="en-GB"/>
        </w:rPr>
        <w:t>8</w:t>
      </w:r>
      <w:r>
        <w:rPr>
          <w:spacing w:val="-4"/>
          <w:sz w:val="16"/>
          <w:szCs w:val="16"/>
          <w:lang w:val="en-GB"/>
        </w:rPr>
        <w:t xml:space="preserve"> bn</w:t>
      </w:r>
      <w:r w:rsidRPr="009378B2">
        <w:rPr>
          <w:spacing w:val="-4"/>
          <w:sz w:val="16"/>
          <w:szCs w:val="16"/>
          <w:lang w:val="en-GB"/>
        </w:rPr>
        <w:t xml:space="preserve">. </w:t>
      </w:r>
      <w:r>
        <w:rPr>
          <w:spacing w:val="-4"/>
          <w:sz w:val="16"/>
          <w:szCs w:val="16"/>
          <w:lang w:val="en-GB"/>
        </w:rPr>
        <w:t xml:space="preserve">Domestic financial institutions held precisely two thirds of the value of bonds in December </w:t>
      </w:r>
      <w:r w:rsidRPr="009378B2">
        <w:rPr>
          <w:spacing w:val="-4"/>
          <w:sz w:val="16"/>
          <w:szCs w:val="16"/>
          <w:lang w:val="en-GB"/>
        </w:rPr>
        <w:t>2022</w:t>
      </w:r>
      <w:r>
        <w:rPr>
          <w:spacing w:val="-4"/>
          <w:sz w:val="16"/>
          <w:szCs w:val="16"/>
          <w:lang w:val="en-GB"/>
        </w:rPr>
        <w:t xml:space="preserve">, non-residents then little less than </w:t>
      </w:r>
      <w:r w:rsidRPr="009378B2">
        <w:rPr>
          <w:spacing w:val="-4"/>
          <w:sz w:val="16"/>
          <w:szCs w:val="16"/>
          <w:lang w:val="en-GB"/>
        </w:rPr>
        <w:t xml:space="preserve">27%. </w:t>
      </w:r>
      <w:r>
        <w:rPr>
          <w:spacing w:val="-4"/>
          <w:sz w:val="16"/>
          <w:szCs w:val="16"/>
          <w:lang w:val="en-GB"/>
        </w:rPr>
        <w:t xml:space="preserve">From the view of the total possession of bonds the proportion of domestic households strengthened the most year-on-year </w:t>
      </w:r>
      <w:r w:rsidRPr="009378B2">
        <w:rPr>
          <w:spacing w:val="-4"/>
          <w:sz w:val="16"/>
          <w:szCs w:val="16"/>
          <w:lang w:val="en-GB"/>
        </w:rPr>
        <w:t>(</w:t>
      </w:r>
      <w:r>
        <w:rPr>
          <w:spacing w:val="-4"/>
          <w:sz w:val="16"/>
          <w:szCs w:val="16"/>
          <w:lang w:val="en-GB"/>
        </w:rPr>
        <w:t xml:space="preserve">to more than double </w:t>
      </w:r>
      <w:r w:rsidRPr="009378B2">
        <w:rPr>
          <w:spacing w:val="-4"/>
          <w:sz w:val="16"/>
          <w:szCs w:val="16"/>
          <w:lang w:val="en-GB"/>
        </w:rPr>
        <w:t>–3</w:t>
      </w:r>
      <w:r>
        <w:rPr>
          <w:spacing w:val="-4"/>
          <w:sz w:val="16"/>
          <w:szCs w:val="16"/>
          <w:lang w:val="en-GB"/>
        </w:rPr>
        <w:t>.</w:t>
      </w:r>
      <w:r w:rsidRPr="009378B2">
        <w:rPr>
          <w:spacing w:val="-4"/>
          <w:sz w:val="16"/>
          <w:szCs w:val="16"/>
          <w:lang w:val="en-GB"/>
        </w:rPr>
        <w:t xml:space="preserve">7%), </w:t>
      </w:r>
      <w:r>
        <w:rPr>
          <w:spacing w:val="-4"/>
          <w:sz w:val="16"/>
          <w:szCs w:val="16"/>
          <w:lang w:val="en-GB"/>
        </w:rPr>
        <w:t xml:space="preserve">to a lesser extent then also the proportion of pension funds, insurance companies, investment funds and also non-residents. </w:t>
      </w:r>
    </w:p>
  </w:footnote>
  <w:footnote w:id="21">
    <w:p w14:paraId="414D1650" w14:textId="77777777" w:rsidR="00E37C1C" w:rsidRPr="009378B2" w:rsidRDefault="00E37C1C" w:rsidP="003643CB">
      <w:pPr>
        <w:pStyle w:val="Textpoznpodarou"/>
        <w:jc w:val="both"/>
        <w:rPr>
          <w:sz w:val="16"/>
          <w:szCs w:val="16"/>
          <w:lang w:val="en-GB"/>
        </w:rPr>
      </w:pPr>
      <w:r w:rsidRPr="009378B2">
        <w:rPr>
          <w:rStyle w:val="Znakapoznpodarou"/>
          <w:sz w:val="16"/>
          <w:szCs w:val="16"/>
          <w:lang w:val="en-GB"/>
        </w:rPr>
        <w:footnoteRef/>
      </w:r>
      <w:r w:rsidRPr="009378B2">
        <w:rPr>
          <w:sz w:val="16"/>
          <w:szCs w:val="16"/>
          <w:lang w:val="en-GB"/>
        </w:rPr>
        <w:t xml:space="preserve"> </w:t>
      </w:r>
      <w:r>
        <w:rPr>
          <w:sz w:val="16"/>
          <w:szCs w:val="16"/>
          <w:lang w:val="en-GB"/>
        </w:rPr>
        <w:t xml:space="preserve">Unless stated otherwise, data regarding the budget of sector </w:t>
      </w:r>
      <w:r w:rsidRPr="009378B2">
        <w:rPr>
          <w:sz w:val="16"/>
          <w:szCs w:val="16"/>
          <w:lang w:val="en-GB"/>
        </w:rPr>
        <w:t xml:space="preserve">VI </w:t>
      </w:r>
      <w:r>
        <w:rPr>
          <w:sz w:val="16"/>
          <w:szCs w:val="16"/>
          <w:lang w:val="en-GB"/>
        </w:rPr>
        <w:t xml:space="preserve">in the CR are expressed without seasonal adjustment. </w:t>
      </w:r>
    </w:p>
  </w:footnote>
  <w:footnote w:id="22">
    <w:p w14:paraId="2FBF7CA9" w14:textId="6159AF93" w:rsidR="00E37C1C" w:rsidRPr="009378B2" w:rsidRDefault="00E37C1C" w:rsidP="007E031B">
      <w:pPr>
        <w:pStyle w:val="Textpoznpodarou"/>
        <w:jc w:val="both"/>
        <w:rPr>
          <w:sz w:val="16"/>
          <w:szCs w:val="16"/>
          <w:lang w:val="en-GB"/>
        </w:rPr>
      </w:pPr>
      <w:r w:rsidRPr="009378B2">
        <w:rPr>
          <w:rStyle w:val="Znakapoznpodarou"/>
          <w:sz w:val="16"/>
          <w:szCs w:val="16"/>
          <w:lang w:val="en-GB"/>
        </w:rPr>
        <w:footnoteRef/>
      </w:r>
      <w:r w:rsidRPr="009378B2">
        <w:rPr>
          <w:sz w:val="16"/>
          <w:szCs w:val="16"/>
          <w:lang w:val="en-GB"/>
        </w:rPr>
        <w:t xml:space="preserve"> </w:t>
      </w:r>
      <w:r>
        <w:rPr>
          <w:sz w:val="16"/>
          <w:szCs w:val="16"/>
          <w:lang w:val="en-GB"/>
        </w:rPr>
        <w:t>Data regarding the budget of government institutions for Q4 2</w:t>
      </w:r>
      <w:r w:rsidRPr="00E56530">
        <w:rPr>
          <w:sz w:val="16"/>
          <w:szCs w:val="16"/>
          <w:lang w:val="en-GB"/>
        </w:rPr>
        <w:t>02</w:t>
      </w:r>
      <w:r>
        <w:rPr>
          <w:sz w:val="16"/>
          <w:szCs w:val="16"/>
          <w:lang w:val="en-GB"/>
        </w:rPr>
        <w:t>2</w:t>
      </w:r>
      <w:r w:rsidRPr="00E56530">
        <w:rPr>
          <w:sz w:val="16"/>
          <w:szCs w:val="16"/>
          <w:lang w:val="en-GB"/>
        </w:rPr>
        <w:t xml:space="preserve"> </w:t>
      </w:r>
      <w:r>
        <w:rPr>
          <w:sz w:val="16"/>
          <w:szCs w:val="16"/>
          <w:lang w:val="en-GB"/>
        </w:rPr>
        <w:t>will be published by the CZSO on 3</w:t>
      </w:r>
      <w:r w:rsidRPr="00471D6A">
        <w:rPr>
          <w:sz w:val="16"/>
          <w:szCs w:val="16"/>
          <w:vertAlign w:val="superscript"/>
          <w:lang w:val="en-GB"/>
        </w:rPr>
        <w:t>rd</w:t>
      </w:r>
      <w:r>
        <w:rPr>
          <w:sz w:val="16"/>
          <w:szCs w:val="16"/>
          <w:lang w:val="en-GB"/>
        </w:rPr>
        <w:t xml:space="preserve"> April </w:t>
      </w:r>
      <w:r w:rsidRPr="00E56530">
        <w:rPr>
          <w:sz w:val="16"/>
          <w:szCs w:val="16"/>
          <w:lang w:val="en-GB"/>
        </w:rPr>
        <w:t>20</w:t>
      </w:r>
      <w:r>
        <w:rPr>
          <w:sz w:val="16"/>
          <w:szCs w:val="16"/>
          <w:lang w:val="en-GB"/>
        </w:rPr>
        <w:t>23, Eurostat then analogically on 21</w:t>
      </w:r>
      <w:r w:rsidRPr="00471D6A">
        <w:rPr>
          <w:sz w:val="16"/>
          <w:szCs w:val="16"/>
          <w:vertAlign w:val="superscript"/>
          <w:lang w:val="en-GB"/>
        </w:rPr>
        <w:t>st</w:t>
      </w:r>
      <w:r>
        <w:rPr>
          <w:sz w:val="16"/>
          <w:szCs w:val="16"/>
          <w:lang w:val="en-GB"/>
        </w:rPr>
        <w:t xml:space="preserve"> April 2023</w:t>
      </w:r>
      <w:r w:rsidRPr="00E56530">
        <w:rPr>
          <w:sz w:val="16"/>
          <w:szCs w:val="16"/>
          <w:lang w:val="en-GB"/>
        </w:rPr>
        <w:t>.</w:t>
      </w:r>
      <w:r>
        <w:rPr>
          <w:sz w:val="16"/>
          <w:szCs w:val="16"/>
          <w:lang w:val="en-GB"/>
        </w:rPr>
        <w:t xml:space="preserve"> More detailed assessment of the development for Q3 2022</w:t>
      </w:r>
      <w:r w:rsidRPr="00E56530">
        <w:rPr>
          <w:sz w:val="16"/>
          <w:szCs w:val="16"/>
          <w:lang w:val="en-GB"/>
        </w:rPr>
        <w:t> </w:t>
      </w:r>
      <w:r>
        <w:rPr>
          <w:sz w:val="16"/>
          <w:szCs w:val="16"/>
          <w:lang w:val="en-GB"/>
        </w:rPr>
        <w:t>is contained in the publication Analysis of the sector accounts</w:t>
      </w:r>
      <w:r w:rsidRPr="00E56530">
        <w:rPr>
          <w:sz w:val="16"/>
          <w:szCs w:val="16"/>
          <w:lang w:val="en-GB"/>
        </w:rPr>
        <w:t>:</w:t>
      </w:r>
      <w:r>
        <w:rPr>
          <w:sz w:val="16"/>
          <w:szCs w:val="16"/>
          <w:lang w:val="en-GB"/>
        </w:rPr>
        <w:t xml:space="preserve"> </w:t>
      </w:r>
      <w:hyperlink r:id="rId1" w:history="1">
        <w:r w:rsidRPr="009378B2">
          <w:rPr>
            <w:rStyle w:val="Hypertextovodkaz"/>
            <w:sz w:val="16"/>
            <w:szCs w:val="16"/>
            <w:lang w:val="en-GB"/>
          </w:rPr>
          <w:t>https://www.czso.cz/csu/czso/cri/analyza-ctvrtletnich-sektorovych-uctu-3-ctvrtleti-2022</w:t>
        </w:r>
      </w:hyperlink>
      <w:r>
        <w:rPr>
          <w:rStyle w:val="Hypertextovodkaz"/>
          <w:sz w:val="16"/>
          <w:szCs w:val="16"/>
          <w:lang w:val="en-GB"/>
        </w:rPr>
        <w:t>.</w:t>
      </w:r>
    </w:p>
  </w:footnote>
  <w:footnote w:id="23">
    <w:p w14:paraId="007E3BE2" w14:textId="6BA49B16" w:rsidR="00E37C1C" w:rsidRPr="00A274FC" w:rsidRDefault="00E37C1C" w:rsidP="00095191">
      <w:pPr>
        <w:pStyle w:val="Textpoznpodarou"/>
        <w:jc w:val="both"/>
        <w:rPr>
          <w:sz w:val="16"/>
          <w:szCs w:val="16"/>
        </w:rPr>
      </w:pPr>
      <w:r w:rsidRPr="00A274FC">
        <w:rPr>
          <w:rStyle w:val="Znakapoznpodarou"/>
          <w:sz w:val="16"/>
          <w:szCs w:val="16"/>
        </w:rPr>
        <w:footnoteRef/>
      </w:r>
      <w:r>
        <w:rPr>
          <w:sz w:val="16"/>
          <w:szCs w:val="16"/>
        </w:rPr>
        <w:t xml:space="preserve"> </w:t>
      </w:r>
      <w:r w:rsidRPr="00095191">
        <w:rPr>
          <w:sz w:val="16"/>
          <w:szCs w:val="16"/>
          <w:lang w:val="en-GB"/>
        </w:rPr>
        <w:t>Data regarding</w:t>
      </w:r>
      <w:r>
        <w:rPr>
          <w:sz w:val="16"/>
          <w:szCs w:val="16"/>
          <w:lang w:val="en-GB"/>
        </w:rPr>
        <w:t xml:space="preserve"> the budget balance of sector </w:t>
      </w:r>
      <w:r w:rsidRPr="00956F60">
        <w:rPr>
          <w:sz w:val="16"/>
          <w:szCs w:val="16"/>
          <w:lang w:val="en-GB"/>
        </w:rPr>
        <w:t xml:space="preserve">VI </w:t>
      </w:r>
      <w:r>
        <w:rPr>
          <w:sz w:val="16"/>
          <w:szCs w:val="16"/>
          <w:lang w:val="en-GB"/>
        </w:rPr>
        <w:t xml:space="preserve">in the EU countries expressed after seasonal adjustment.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6899CCC7" w:rsidR="00E37C1C" w:rsidRPr="00262B30" w:rsidRDefault="00E37C1C" w:rsidP="00937AE2">
    <w:pPr>
      <w:pStyle w:val="Zhlav"/>
      <w:rPr>
        <w:lang w:val="en-GB"/>
      </w:rPr>
    </w:pPr>
    <w:r w:rsidRPr="00262B30">
      <w:rPr>
        <w:lang w:val="en-GB"/>
      </w:rPr>
      <w:t>The Czech Economy Development</w:t>
    </w:r>
  </w:p>
  <w:p w14:paraId="3E881AB3" w14:textId="77777777" w:rsidR="00E37C1C" w:rsidRPr="006F5416" w:rsidRDefault="00E37C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407F6A42" w:rsidR="00E37C1C" w:rsidRPr="00262B30" w:rsidRDefault="00E37C1C" w:rsidP="00937AE2">
    <w:pPr>
      <w:pStyle w:val="Zhlav"/>
      <w:rPr>
        <w:lang w:val="en-GB"/>
      </w:rPr>
    </w:pPr>
    <w:r w:rsidRPr="00262B30">
      <w:rPr>
        <w:lang w:val="en-GB"/>
      </w:rPr>
      <w:t>The Czech Economy Development</w:t>
    </w:r>
  </w:p>
  <w:p w14:paraId="57266714" w14:textId="77777777" w:rsidR="00E37C1C" w:rsidRPr="006F5416" w:rsidRDefault="00E37C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28220310">
    <w:abstractNumId w:val="25"/>
  </w:num>
  <w:num w:numId="2" w16cid:durableId="670375540">
    <w:abstractNumId w:val="8"/>
  </w:num>
  <w:num w:numId="3" w16cid:durableId="2098867897">
    <w:abstractNumId w:val="3"/>
  </w:num>
  <w:num w:numId="4" w16cid:durableId="549193360">
    <w:abstractNumId w:val="2"/>
  </w:num>
  <w:num w:numId="5" w16cid:durableId="52126910">
    <w:abstractNumId w:val="1"/>
  </w:num>
  <w:num w:numId="6" w16cid:durableId="775442807">
    <w:abstractNumId w:val="0"/>
  </w:num>
  <w:num w:numId="7" w16cid:durableId="1384719231">
    <w:abstractNumId w:val="9"/>
  </w:num>
  <w:num w:numId="8" w16cid:durableId="697119485">
    <w:abstractNumId w:val="7"/>
  </w:num>
  <w:num w:numId="9" w16cid:durableId="1001153288">
    <w:abstractNumId w:val="6"/>
  </w:num>
  <w:num w:numId="10" w16cid:durableId="1909488694">
    <w:abstractNumId w:val="5"/>
  </w:num>
  <w:num w:numId="11" w16cid:durableId="281041759">
    <w:abstractNumId w:val="4"/>
  </w:num>
  <w:num w:numId="12" w16cid:durableId="1726367254">
    <w:abstractNumId w:val="15"/>
  </w:num>
  <w:num w:numId="13" w16cid:durableId="2116559951">
    <w:abstractNumId w:val="27"/>
  </w:num>
  <w:num w:numId="14" w16cid:durableId="1395474044">
    <w:abstractNumId w:val="14"/>
  </w:num>
  <w:num w:numId="15" w16cid:durableId="493961053">
    <w:abstractNumId w:val="20"/>
  </w:num>
  <w:num w:numId="16" w16cid:durableId="1286352367">
    <w:abstractNumId w:val="16"/>
  </w:num>
  <w:num w:numId="17" w16cid:durableId="2053066444">
    <w:abstractNumId w:val="28"/>
  </w:num>
  <w:num w:numId="18" w16cid:durableId="112795144">
    <w:abstractNumId w:val="21"/>
  </w:num>
  <w:num w:numId="19" w16cid:durableId="1327130238">
    <w:abstractNumId w:val="29"/>
  </w:num>
  <w:num w:numId="20" w16cid:durableId="452403738">
    <w:abstractNumId w:val="30"/>
  </w:num>
  <w:num w:numId="21" w16cid:durableId="732393256">
    <w:abstractNumId w:val="26"/>
  </w:num>
  <w:num w:numId="22" w16cid:durableId="921135234">
    <w:abstractNumId w:val="19"/>
  </w:num>
  <w:num w:numId="23" w16cid:durableId="1274216490">
    <w:abstractNumId w:val="17"/>
  </w:num>
  <w:num w:numId="24" w16cid:durableId="2004888184">
    <w:abstractNumId w:val="18"/>
  </w:num>
  <w:num w:numId="25" w16cid:durableId="390660536">
    <w:abstractNumId w:val="13"/>
  </w:num>
  <w:num w:numId="26" w16cid:durableId="914241952">
    <w:abstractNumId w:val="23"/>
  </w:num>
  <w:num w:numId="27" w16cid:durableId="1594585796">
    <w:abstractNumId w:val="22"/>
  </w:num>
  <w:num w:numId="28" w16cid:durableId="1499076826">
    <w:abstractNumId w:val="10"/>
  </w:num>
  <w:num w:numId="29" w16cid:durableId="30349636">
    <w:abstractNumId w:val="30"/>
  </w:num>
  <w:num w:numId="30" w16cid:durableId="1851409715">
    <w:abstractNumId w:val="24"/>
  </w:num>
  <w:num w:numId="31" w16cid:durableId="1620143949">
    <w:abstractNumId w:val="12"/>
  </w:num>
  <w:num w:numId="32" w16cid:durableId="1643804339">
    <w:abstractNumId w:val="31"/>
  </w:num>
  <w:num w:numId="33" w16cid:durableId="1401948313">
    <w:abstractNumId w:val="30"/>
  </w:num>
  <w:num w:numId="34" w16cid:durableId="113556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1065"/>
    <w:rsid w:val="0000209D"/>
    <w:rsid w:val="000021B8"/>
    <w:rsid w:val="00002566"/>
    <w:rsid w:val="0000370A"/>
    <w:rsid w:val="00003849"/>
    <w:rsid w:val="00003F5C"/>
    <w:rsid w:val="000044CE"/>
    <w:rsid w:val="00004D5A"/>
    <w:rsid w:val="00005219"/>
    <w:rsid w:val="000056D5"/>
    <w:rsid w:val="00005D9E"/>
    <w:rsid w:val="000063D5"/>
    <w:rsid w:val="00006625"/>
    <w:rsid w:val="00006ABD"/>
    <w:rsid w:val="00006B67"/>
    <w:rsid w:val="00006C0B"/>
    <w:rsid w:val="00006D54"/>
    <w:rsid w:val="00006DE8"/>
    <w:rsid w:val="000073A0"/>
    <w:rsid w:val="0000767A"/>
    <w:rsid w:val="00007ABE"/>
    <w:rsid w:val="00010256"/>
    <w:rsid w:val="000103BB"/>
    <w:rsid w:val="00010702"/>
    <w:rsid w:val="00010A2C"/>
    <w:rsid w:val="0001128E"/>
    <w:rsid w:val="00011912"/>
    <w:rsid w:val="00011D8A"/>
    <w:rsid w:val="00011FC2"/>
    <w:rsid w:val="000129B7"/>
    <w:rsid w:val="00012C8A"/>
    <w:rsid w:val="0001387D"/>
    <w:rsid w:val="00014ED0"/>
    <w:rsid w:val="00016420"/>
    <w:rsid w:val="00016BDB"/>
    <w:rsid w:val="00017B01"/>
    <w:rsid w:val="000200BE"/>
    <w:rsid w:val="000200D8"/>
    <w:rsid w:val="000205D1"/>
    <w:rsid w:val="00020F22"/>
    <w:rsid w:val="00021623"/>
    <w:rsid w:val="0002195D"/>
    <w:rsid w:val="00021F9B"/>
    <w:rsid w:val="000228AE"/>
    <w:rsid w:val="000233D1"/>
    <w:rsid w:val="000234D6"/>
    <w:rsid w:val="00023D29"/>
    <w:rsid w:val="00024348"/>
    <w:rsid w:val="00024DC3"/>
    <w:rsid w:val="00025428"/>
    <w:rsid w:val="00026109"/>
    <w:rsid w:val="0002622B"/>
    <w:rsid w:val="00026389"/>
    <w:rsid w:val="00026608"/>
    <w:rsid w:val="0002669F"/>
    <w:rsid w:val="000279E5"/>
    <w:rsid w:val="000305E0"/>
    <w:rsid w:val="0003092C"/>
    <w:rsid w:val="00030B13"/>
    <w:rsid w:val="00031AE0"/>
    <w:rsid w:val="00031BB2"/>
    <w:rsid w:val="00031EAB"/>
    <w:rsid w:val="000322EF"/>
    <w:rsid w:val="000330D2"/>
    <w:rsid w:val="00033FCD"/>
    <w:rsid w:val="000348AF"/>
    <w:rsid w:val="00034B70"/>
    <w:rsid w:val="00034DF7"/>
    <w:rsid w:val="00034E68"/>
    <w:rsid w:val="000350C8"/>
    <w:rsid w:val="000351A6"/>
    <w:rsid w:val="00036195"/>
    <w:rsid w:val="000374B2"/>
    <w:rsid w:val="000376C0"/>
    <w:rsid w:val="0003779B"/>
    <w:rsid w:val="00040088"/>
    <w:rsid w:val="000403A7"/>
    <w:rsid w:val="00040632"/>
    <w:rsid w:val="0004096E"/>
    <w:rsid w:val="000411B1"/>
    <w:rsid w:val="00041266"/>
    <w:rsid w:val="00041AFC"/>
    <w:rsid w:val="00041CEC"/>
    <w:rsid w:val="00041D02"/>
    <w:rsid w:val="00041DC8"/>
    <w:rsid w:val="00042596"/>
    <w:rsid w:val="00042A4A"/>
    <w:rsid w:val="00042C5F"/>
    <w:rsid w:val="00044183"/>
    <w:rsid w:val="0004431D"/>
    <w:rsid w:val="00044AAC"/>
    <w:rsid w:val="000456B6"/>
    <w:rsid w:val="00045C4E"/>
    <w:rsid w:val="0004694F"/>
    <w:rsid w:val="00046F2F"/>
    <w:rsid w:val="00047AD4"/>
    <w:rsid w:val="00047D54"/>
    <w:rsid w:val="00050541"/>
    <w:rsid w:val="0005054A"/>
    <w:rsid w:val="00050A87"/>
    <w:rsid w:val="00051506"/>
    <w:rsid w:val="00051AAB"/>
    <w:rsid w:val="00051ADB"/>
    <w:rsid w:val="00051F88"/>
    <w:rsid w:val="000522E4"/>
    <w:rsid w:val="000525C4"/>
    <w:rsid w:val="00053713"/>
    <w:rsid w:val="000541F4"/>
    <w:rsid w:val="0005434E"/>
    <w:rsid w:val="00054477"/>
    <w:rsid w:val="00054B9B"/>
    <w:rsid w:val="0005576C"/>
    <w:rsid w:val="00055CB6"/>
    <w:rsid w:val="00055F11"/>
    <w:rsid w:val="000572DD"/>
    <w:rsid w:val="00057B1E"/>
    <w:rsid w:val="0006033F"/>
    <w:rsid w:val="000607D9"/>
    <w:rsid w:val="000610E1"/>
    <w:rsid w:val="000616AD"/>
    <w:rsid w:val="000622A6"/>
    <w:rsid w:val="000623C5"/>
    <w:rsid w:val="00062D6D"/>
    <w:rsid w:val="00062D70"/>
    <w:rsid w:val="00062EC5"/>
    <w:rsid w:val="00062F22"/>
    <w:rsid w:val="00063975"/>
    <w:rsid w:val="00063CEA"/>
    <w:rsid w:val="0006444D"/>
    <w:rsid w:val="000645FC"/>
    <w:rsid w:val="00065252"/>
    <w:rsid w:val="00065296"/>
    <w:rsid w:val="0006533F"/>
    <w:rsid w:val="00065348"/>
    <w:rsid w:val="0006551C"/>
    <w:rsid w:val="0006558D"/>
    <w:rsid w:val="00065A75"/>
    <w:rsid w:val="00065F67"/>
    <w:rsid w:val="000663F0"/>
    <w:rsid w:val="00066558"/>
    <w:rsid w:val="000671DB"/>
    <w:rsid w:val="00067737"/>
    <w:rsid w:val="00067982"/>
    <w:rsid w:val="00070A87"/>
    <w:rsid w:val="000712B3"/>
    <w:rsid w:val="00071A7C"/>
    <w:rsid w:val="00071E38"/>
    <w:rsid w:val="00071FF1"/>
    <w:rsid w:val="00072FF5"/>
    <w:rsid w:val="000735EF"/>
    <w:rsid w:val="00073A5A"/>
    <w:rsid w:val="0007474E"/>
    <w:rsid w:val="00074959"/>
    <w:rsid w:val="00074988"/>
    <w:rsid w:val="0007512B"/>
    <w:rsid w:val="00075551"/>
    <w:rsid w:val="0007621D"/>
    <w:rsid w:val="000767F5"/>
    <w:rsid w:val="00076D90"/>
    <w:rsid w:val="00077A49"/>
    <w:rsid w:val="00077FF0"/>
    <w:rsid w:val="00081542"/>
    <w:rsid w:val="00081A55"/>
    <w:rsid w:val="0008263E"/>
    <w:rsid w:val="00082C19"/>
    <w:rsid w:val="00082F89"/>
    <w:rsid w:val="00083457"/>
    <w:rsid w:val="000834ED"/>
    <w:rsid w:val="000837CD"/>
    <w:rsid w:val="00083B7F"/>
    <w:rsid w:val="00084BFF"/>
    <w:rsid w:val="00085395"/>
    <w:rsid w:val="00086433"/>
    <w:rsid w:val="00086896"/>
    <w:rsid w:val="00086AC1"/>
    <w:rsid w:val="00086D19"/>
    <w:rsid w:val="00087634"/>
    <w:rsid w:val="00087F2B"/>
    <w:rsid w:val="00090694"/>
    <w:rsid w:val="000909D5"/>
    <w:rsid w:val="00090EE2"/>
    <w:rsid w:val="00090FA5"/>
    <w:rsid w:val="00090FC6"/>
    <w:rsid w:val="0009122C"/>
    <w:rsid w:val="000913B1"/>
    <w:rsid w:val="000921AD"/>
    <w:rsid w:val="0009290F"/>
    <w:rsid w:val="00092977"/>
    <w:rsid w:val="00092BF8"/>
    <w:rsid w:val="00093241"/>
    <w:rsid w:val="00093868"/>
    <w:rsid w:val="000942BF"/>
    <w:rsid w:val="00094A84"/>
    <w:rsid w:val="00095025"/>
    <w:rsid w:val="00095135"/>
    <w:rsid w:val="00095191"/>
    <w:rsid w:val="0009626E"/>
    <w:rsid w:val="00096385"/>
    <w:rsid w:val="0009644D"/>
    <w:rsid w:val="00096AB8"/>
    <w:rsid w:val="00097191"/>
    <w:rsid w:val="000974D1"/>
    <w:rsid w:val="00097784"/>
    <w:rsid w:val="0009799E"/>
    <w:rsid w:val="000A07CB"/>
    <w:rsid w:val="000A0BC0"/>
    <w:rsid w:val="000A1183"/>
    <w:rsid w:val="000A12ED"/>
    <w:rsid w:val="000A185C"/>
    <w:rsid w:val="000A1D49"/>
    <w:rsid w:val="000A212B"/>
    <w:rsid w:val="000A242D"/>
    <w:rsid w:val="000A256D"/>
    <w:rsid w:val="000A2643"/>
    <w:rsid w:val="000A2E5F"/>
    <w:rsid w:val="000A385C"/>
    <w:rsid w:val="000A3A2C"/>
    <w:rsid w:val="000A3D9E"/>
    <w:rsid w:val="000A4A54"/>
    <w:rsid w:val="000A4ED9"/>
    <w:rsid w:val="000A4F07"/>
    <w:rsid w:val="000A580E"/>
    <w:rsid w:val="000A5C55"/>
    <w:rsid w:val="000A5DB7"/>
    <w:rsid w:val="000A65D5"/>
    <w:rsid w:val="000A6753"/>
    <w:rsid w:val="000A6D94"/>
    <w:rsid w:val="000A7377"/>
    <w:rsid w:val="000A74A4"/>
    <w:rsid w:val="000A775A"/>
    <w:rsid w:val="000A7D63"/>
    <w:rsid w:val="000A7FF4"/>
    <w:rsid w:val="000B03CC"/>
    <w:rsid w:val="000B0F52"/>
    <w:rsid w:val="000B31E1"/>
    <w:rsid w:val="000B3F7F"/>
    <w:rsid w:val="000B4212"/>
    <w:rsid w:val="000B556B"/>
    <w:rsid w:val="000B614F"/>
    <w:rsid w:val="000B6269"/>
    <w:rsid w:val="000B67B7"/>
    <w:rsid w:val="000B6A0A"/>
    <w:rsid w:val="000B79AB"/>
    <w:rsid w:val="000C0127"/>
    <w:rsid w:val="000C08B0"/>
    <w:rsid w:val="000C0CA6"/>
    <w:rsid w:val="000C0EA8"/>
    <w:rsid w:val="000C13A2"/>
    <w:rsid w:val="000C21E7"/>
    <w:rsid w:val="000C23EC"/>
    <w:rsid w:val="000C26A2"/>
    <w:rsid w:val="000C290E"/>
    <w:rsid w:val="000C30C3"/>
    <w:rsid w:val="000C3408"/>
    <w:rsid w:val="000C35AB"/>
    <w:rsid w:val="000C3F7B"/>
    <w:rsid w:val="000C4769"/>
    <w:rsid w:val="000C4D56"/>
    <w:rsid w:val="000C5744"/>
    <w:rsid w:val="000C5DFA"/>
    <w:rsid w:val="000C6AFD"/>
    <w:rsid w:val="000C6C90"/>
    <w:rsid w:val="000C6DCD"/>
    <w:rsid w:val="000C72B7"/>
    <w:rsid w:val="000C7A79"/>
    <w:rsid w:val="000C7B81"/>
    <w:rsid w:val="000D0A26"/>
    <w:rsid w:val="000D13CB"/>
    <w:rsid w:val="000D1585"/>
    <w:rsid w:val="000D2196"/>
    <w:rsid w:val="000D2C2E"/>
    <w:rsid w:val="000D3058"/>
    <w:rsid w:val="000D310A"/>
    <w:rsid w:val="000D3EF4"/>
    <w:rsid w:val="000D4632"/>
    <w:rsid w:val="000D4761"/>
    <w:rsid w:val="000D4DC0"/>
    <w:rsid w:val="000D55BA"/>
    <w:rsid w:val="000D5637"/>
    <w:rsid w:val="000D571F"/>
    <w:rsid w:val="000D5A03"/>
    <w:rsid w:val="000D5ED3"/>
    <w:rsid w:val="000D6209"/>
    <w:rsid w:val="000D6F4E"/>
    <w:rsid w:val="000D6FDA"/>
    <w:rsid w:val="000D726A"/>
    <w:rsid w:val="000D73BB"/>
    <w:rsid w:val="000D75CA"/>
    <w:rsid w:val="000D7AC7"/>
    <w:rsid w:val="000E006A"/>
    <w:rsid w:val="000E0D57"/>
    <w:rsid w:val="000E0E96"/>
    <w:rsid w:val="000E298B"/>
    <w:rsid w:val="000E2C7D"/>
    <w:rsid w:val="000E3E56"/>
    <w:rsid w:val="000E440D"/>
    <w:rsid w:val="000E4AC5"/>
    <w:rsid w:val="000E6253"/>
    <w:rsid w:val="000E6AC4"/>
    <w:rsid w:val="000E6BAA"/>
    <w:rsid w:val="000E6E4D"/>
    <w:rsid w:val="000E6FBD"/>
    <w:rsid w:val="000E6FCB"/>
    <w:rsid w:val="000E755A"/>
    <w:rsid w:val="000E767B"/>
    <w:rsid w:val="000F07C9"/>
    <w:rsid w:val="000F090B"/>
    <w:rsid w:val="000F0B07"/>
    <w:rsid w:val="000F0E3A"/>
    <w:rsid w:val="000F1242"/>
    <w:rsid w:val="000F15F7"/>
    <w:rsid w:val="000F1AA2"/>
    <w:rsid w:val="000F2411"/>
    <w:rsid w:val="000F34A8"/>
    <w:rsid w:val="000F378E"/>
    <w:rsid w:val="000F3B45"/>
    <w:rsid w:val="000F3F3B"/>
    <w:rsid w:val="000F4721"/>
    <w:rsid w:val="000F47E8"/>
    <w:rsid w:val="000F53AE"/>
    <w:rsid w:val="000F61AF"/>
    <w:rsid w:val="000F6B1B"/>
    <w:rsid w:val="000F70E4"/>
    <w:rsid w:val="000F76EA"/>
    <w:rsid w:val="00100A8B"/>
    <w:rsid w:val="00100F5C"/>
    <w:rsid w:val="00101B15"/>
    <w:rsid w:val="00101CDA"/>
    <w:rsid w:val="00102037"/>
    <w:rsid w:val="001034A0"/>
    <w:rsid w:val="00103DCB"/>
    <w:rsid w:val="00104022"/>
    <w:rsid w:val="00104C4C"/>
    <w:rsid w:val="00105015"/>
    <w:rsid w:val="001055D2"/>
    <w:rsid w:val="00105651"/>
    <w:rsid w:val="001057C2"/>
    <w:rsid w:val="00107124"/>
    <w:rsid w:val="0010748A"/>
    <w:rsid w:val="00107C3A"/>
    <w:rsid w:val="0011038E"/>
    <w:rsid w:val="001112F1"/>
    <w:rsid w:val="00111573"/>
    <w:rsid w:val="00112370"/>
    <w:rsid w:val="0011239B"/>
    <w:rsid w:val="001125EF"/>
    <w:rsid w:val="00112CAB"/>
    <w:rsid w:val="001140D5"/>
    <w:rsid w:val="0011440C"/>
    <w:rsid w:val="0011492C"/>
    <w:rsid w:val="00114A46"/>
    <w:rsid w:val="00114C33"/>
    <w:rsid w:val="001152E2"/>
    <w:rsid w:val="00115B00"/>
    <w:rsid w:val="00115BC8"/>
    <w:rsid w:val="00115DA9"/>
    <w:rsid w:val="00116D3F"/>
    <w:rsid w:val="00117167"/>
    <w:rsid w:val="00117474"/>
    <w:rsid w:val="00117623"/>
    <w:rsid w:val="00117FEA"/>
    <w:rsid w:val="001200CF"/>
    <w:rsid w:val="001208E3"/>
    <w:rsid w:val="00120D41"/>
    <w:rsid w:val="00121609"/>
    <w:rsid w:val="00121854"/>
    <w:rsid w:val="0012192F"/>
    <w:rsid w:val="001221B9"/>
    <w:rsid w:val="00122994"/>
    <w:rsid w:val="00123204"/>
    <w:rsid w:val="00124B46"/>
    <w:rsid w:val="001257BE"/>
    <w:rsid w:val="001257E0"/>
    <w:rsid w:val="00125D17"/>
    <w:rsid w:val="00125D69"/>
    <w:rsid w:val="0012799C"/>
    <w:rsid w:val="00127BC2"/>
    <w:rsid w:val="00127E15"/>
    <w:rsid w:val="001308F1"/>
    <w:rsid w:val="00130922"/>
    <w:rsid w:val="0013093B"/>
    <w:rsid w:val="00130ADC"/>
    <w:rsid w:val="00130D9F"/>
    <w:rsid w:val="00131DD8"/>
    <w:rsid w:val="001321AA"/>
    <w:rsid w:val="00132C4D"/>
    <w:rsid w:val="00133D3D"/>
    <w:rsid w:val="00133FC1"/>
    <w:rsid w:val="0013440F"/>
    <w:rsid w:val="00134659"/>
    <w:rsid w:val="00134E02"/>
    <w:rsid w:val="00135111"/>
    <w:rsid w:val="0013553B"/>
    <w:rsid w:val="00136A6F"/>
    <w:rsid w:val="00136C1A"/>
    <w:rsid w:val="00136FC1"/>
    <w:rsid w:val="00137804"/>
    <w:rsid w:val="00137812"/>
    <w:rsid w:val="001405FA"/>
    <w:rsid w:val="00140D1A"/>
    <w:rsid w:val="00141184"/>
    <w:rsid w:val="00141315"/>
    <w:rsid w:val="001415CC"/>
    <w:rsid w:val="00141AA0"/>
    <w:rsid w:val="001425C3"/>
    <w:rsid w:val="0014262D"/>
    <w:rsid w:val="00142B29"/>
    <w:rsid w:val="00142FA8"/>
    <w:rsid w:val="00144108"/>
    <w:rsid w:val="00144375"/>
    <w:rsid w:val="00144588"/>
    <w:rsid w:val="001447DD"/>
    <w:rsid w:val="00144C0B"/>
    <w:rsid w:val="00145358"/>
    <w:rsid w:val="001459BC"/>
    <w:rsid w:val="00147329"/>
    <w:rsid w:val="0014779E"/>
    <w:rsid w:val="00150ECA"/>
    <w:rsid w:val="0015108F"/>
    <w:rsid w:val="001516B9"/>
    <w:rsid w:val="00151707"/>
    <w:rsid w:val="001520D7"/>
    <w:rsid w:val="00152A72"/>
    <w:rsid w:val="00152C86"/>
    <w:rsid w:val="00152F4F"/>
    <w:rsid w:val="00153264"/>
    <w:rsid w:val="0015329F"/>
    <w:rsid w:val="00153DD3"/>
    <w:rsid w:val="001544A1"/>
    <w:rsid w:val="001553B8"/>
    <w:rsid w:val="001554C2"/>
    <w:rsid w:val="00156013"/>
    <w:rsid w:val="00156D04"/>
    <w:rsid w:val="00157077"/>
    <w:rsid w:val="001571C0"/>
    <w:rsid w:val="001574FE"/>
    <w:rsid w:val="0015753D"/>
    <w:rsid w:val="00157984"/>
    <w:rsid w:val="00157CC9"/>
    <w:rsid w:val="00160385"/>
    <w:rsid w:val="00160A1E"/>
    <w:rsid w:val="00160C21"/>
    <w:rsid w:val="001612F4"/>
    <w:rsid w:val="00161553"/>
    <w:rsid w:val="0016216F"/>
    <w:rsid w:val="0016256B"/>
    <w:rsid w:val="00162AC0"/>
    <w:rsid w:val="00162F81"/>
    <w:rsid w:val="00163793"/>
    <w:rsid w:val="00163868"/>
    <w:rsid w:val="00163885"/>
    <w:rsid w:val="00164CA1"/>
    <w:rsid w:val="001651BF"/>
    <w:rsid w:val="00165310"/>
    <w:rsid w:val="00165313"/>
    <w:rsid w:val="001655FA"/>
    <w:rsid w:val="001659C3"/>
    <w:rsid w:val="00166064"/>
    <w:rsid w:val="001665AB"/>
    <w:rsid w:val="00167485"/>
    <w:rsid w:val="001679F5"/>
    <w:rsid w:val="00167B92"/>
    <w:rsid w:val="00167CB9"/>
    <w:rsid w:val="00167DD8"/>
    <w:rsid w:val="001705AD"/>
    <w:rsid w:val="001706D6"/>
    <w:rsid w:val="00170C58"/>
    <w:rsid w:val="001714F2"/>
    <w:rsid w:val="00171F93"/>
    <w:rsid w:val="00171FEA"/>
    <w:rsid w:val="00173622"/>
    <w:rsid w:val="00175219"/>
    <w:rsid w:val="001759DE"/>
    <w:rsid w:val="00175B9F"/>
    <w:rsid w:val="001762F4"/>
    <w:rsid w:val="001777BA"/>
    <w:rsid w:val="00181029"/>
    <w:rsid w:val="00181788"/>
    <w:rsid w:val="001817E8"/>
    <w:rsid w:val="00181BBC"/>
    <w:rsid w:val="00183454"/>
    <w:rsid w:val="0018385F"/>
    <w:rsid w:val="00183BCF"/>
    <w:rsid w:val="00184017"/>
    <w:rsid w:val="001847BB"/>
    <w:rsid w:val="00184B08"/>
    <w:rsid w:val="00185010"/>
    <w:rsid w:val="001854F2"/>
    <w:rsid w:val="00185C22"/>
    <w:rsid w:val="00185FA4"/>
    <w:rsid w:val="00186538"/>
    <w:rsid w:val="00186BA9"/>
    <w:rsid w:val="00187090"/>
    <w:rsid w:val="00187D50"/>
    <w:rsid w:val="00190759"/>
    <w:rsid w:val="00190B4D"/>
    <w:rsid w:val="00190B9B"/>
    <w:rsid w:val="00190F6C"/>
    <w:rsid w:val="0019196C"/>
    <w:rsid w:val="001926A9"/>
    <w:rsid w:val="00192F05"/>
    <w:rsid w:val="001930BB"/>
    <w:rsid w:val="001937F8"/>
    <w:rsid w:val="00194729"/>
    <w:rsid w:val="00194818"/>
    <w:rsid w:val="00194850"/>
    <w:rsid w:val="00195234"/>
    <w:rsid w:val="00195EA6"/>
    <w:rsid w:val="00196016"/>
    <w:rsid w:val="00196117"/>
    <w:rsid w:val="00197557"/>
    <w:rsid w:val="00197A70"/>
    <w:rsid w:val="00197C0F"/>
    <w:rsid w:val="00197C16"/>
    <w:rsid w:val="00197D0E"/>
    <w:rsid w:val="001A0360"/>
    <w:rsid w:val="001A0487"/>
    <w:rsid w:val="001A0675"/>
    <w:rsid w:val="001A0A37"/>
    <w:rsid w:val="001A1F68"/>
    <w:rsid w:val="001A21FA"/>
    <w:rsid w:val="001A3044"/>
    <w:rsid w:val="001A3254"/>
    <w:rsid w:val="001A4393"/>
    <w:rsid w:val="001A4D08"/>
    <w:rsid w:val="001A4D7C"/>
    <w:rsid w:val="001A4ECD"/>
    <w:rsid w:val="001A4EF0"/>
    <w:rsid w:val="001A540E"/>
    <w:rsid w:val="001A552F"/>
    <w:rsid w:val="001A593A"/>
    <w:rsid w:val="001A5DD6"/>
    <w:rsid w:val="001A62F9"/>
    <w:rsid w:val="001A6CDD"/>
    <w:rsid w:val="001A70B1"/>
    <w:rsid w:val="001A7564"/>
    <w:rsid w:val="001A75E0"/>
    <w:rsid w:val="001A7672"/>
    <w:rsid w:val="001A77E1"/>
    <w:rsid w:val="001A7959"/>
    <w:rsid w:val="001B0738"/>
    <w:rsid w:val="001B10F0"/>
    <w:rsid w:val="001B1235"/>
    <w:rsid w:val="001B158D"/>
    <w:rsid w:val="001B1ADB"/>
    <w:rsid w:val="001B1BBB"/>
    <w:rsid w:val="001B2CA9"/>
    <w:rsid w:val="001B3110"/>
    <w:rsid w:val="001B3E38"/>
    <w:rsid w:val="001B40F5"/>
    <w:rsid w:val="001B4729"/>
    <w:rsid w:val="001B4AAC"/>
    <w:rsid w:val="001B4B62"/>
    <w:rsid w:val="001B4F0E"/>
    <w:rsid w:val="001B5F40"/>
    <w:rsid w:val="001B6310"/>
    <w:rsid w:val="001B6C09"/>
    <w:rsid w:val="001B6E12"/>
    <w:rsid w:val="001B75F7"/>
    <w:rsid w:val="001C05CD"/>
    <w:rsid w:val="001C082B"/>
    <w:rsid w:val="001C0F17"/>
    <w:rsid w:val="001C11A6"/>
    <w:rsid w:val="001C1B24"/>
    <w:rsid w:val="001C1B66"/>
    <w:rsid w:val="001C1BB5"/>
    <w:rsid w:val="001C2439"/>
    <w:rsid w:val="001C2732"/>
    <w:rsid w:val="001C2DF5"/>
    <w:rsid w:val="001C2F97"/>
    <w:rsid w:val="001C31A2"/>
    <w:rsid w:val="001C351D"/>
    <w:rsid w:val="001C3794"/>
    <w:rsid w:val="001C3855"/>
    <w:rsid w:val="001C4B8F"/>
    <w:rsid w:val="001C4BB8"/>
    <w:rsid w:val="001C4D8C"/>
    <w:rsid w:val="001C4FD0"/>
    <w:rsid w:val="001C544D"/>
    <w:rsid w:val="001C5E46"/>
    <w:rsid w:val="001C6B3B"/>
    <w:rsid w:val="001C74CD"/>
    <w:rsid w:val="001C7A26"/>
    <w:rsid w:val="001C7E3F"/>
    <w:rsid w:val="001D0EF1"/>
    <w:rsid w:val="001D1A44"/>
    <w:rsid w:val="001D22C2"/>
    <w:rsid w:val="001D2C99"/>
    <w:rsid w:val="001D2D3C"/>
    <w:rsid w:val="001D3652"/>
    <w:rsid w:val="001D3B58"/>
    <w:rsid w:val="001D3B75"/>
    <w:rsid w:val="001D452E"/>
    <w:rsid w:val="001D54C1"/>
    <w:rsid w:val="001D556E"/>
    <w:rsid w:val="001D55CF"/>
    <w:rsid w:val="001D57D2"/>
    <w:rsid w:val="001D5DF2"/>
    <w:rsid w:val="001D6175"/>
    <w:rsid w:val="001D68B2"/>
    <w:rsid w:val="001D6FA8"/>
    <w:rsid w:val="001D6FEE"/>
    <w:rsid w:val="001D7EFD"/>
    <w:rsid w:val="001D7F60"/>
    <w:rsid w:val="001E085B"/>
    <w:rsid w:val="001E149B"/>
    <w:rsid w:val="001E15CB"/>
    <w:rsid w:val="001E18C4"/>
    <w:rsid w:val="001E26FC"/>
    <w:rsid w:val="001E3306"/>
    <w:rsid w:val="001E5028"/>
    <w:rsid w:val="001E504C"/>
    <w:rsid w:val="001E5111"/>
    <w:rsid w:val="001E53BB"/>
    <w:rsid w:val="001E56AC"/>
    <w:rsid w:val="001E5A17"/>
    <w:rsid w:val="001E5F93"/>
    <w:rsid w:val="001E6DD9"/>
    <w:rsid w:val="001E74C5"/>
    <w:rsid w:val="001E74E8"/>
    <w:rsid w:val="001F007D"/>
    <w:rsid w:val="001F0A74"/>
    <w:rsid w:val="001F1236"/>
    <w:rsid w:val="001F13AF"/>
    <w:rsid w:val="001F1B91"/>
    <w:rsid w:val="001F2F90"/>
    <w:rsid w:val="001F4597"/>
    <w:rsid w:val="001F4826"/>
    <w:rsid w:val="001F4933"/>
    <w:rsid w:val="001F4A57"/>
    <w:rsid w:val="001F59C8"/>
    <w:rsid w:val="001F6483"/>
    <w:rsid w:val="001F6843"/>
    <w:rsid w:val="001F6CD3"/>
    <w:rsid w:val="001F75DA"/>
    <w:rsid w:val="001F78A8"/>
    <w:rsid w:val="001F7931"/>
    <w:rsid w:val="001F7CE0"/>
    <w:rsid w:val="00200085"/>
    <w:rsid w:val="00201633"/>
    <w:rsid w:val="002024FA"/>
    <w:rsid w:val="00203332"/>
    <w:rsid w:val="002036E6"/>
    <w:rsid w:val="00203CD5"/>
    <w:rsid w:val="00203D8F"/>
    <w:rsid w:val="00203DA4"/>
    <w:rsid w:val="0020473C"/>
    <w:rsid w:val="00204A71"/>
    <w:rsid w:val="00204EA6"/>
    <w:rsid w:val="00205186"/>
    <w:rsid w:val="00205EB7"/>
    <w:rsid w:val="00206516"/>
    <w:rsid w:val="002070CF"/>
    <w:rsid w:val="002071D5"/>
    <w:rsid w:val="002073FD"/>
    <w:rsid w:val="00207470"/>
    <w:rsid w:val="002108C8"/>
    <w:rsid w:val="002111E5"/>
    <w:rsid w:val="002112EB"/>
    <w:rsid w:val="0021149E"/>
    <w:rsid w:val="002118B9"/>
    <w:rsid w:val="002122EA"/>
    <w:rsid w:val="00213691"/>
    <w:rsid w:val="00213EF5"/>
    <w:rsid w:val="002142C0"/>
    <w:rsid w:val="00217BED"/>
    <w:rsid w:val="00217C5B"/>
    <w:rsid w:val="00217F53"/>
    <w:rsid w:val="00220A43"/>
    <w:rsid w:val="0022139E"/>
    <w:rsid w:val="00222729"/>
    <w:rsid w:val="0022287B"/>
    <w:rsid w:val="002228DB"/>
    <w:rsid w:val="002229FF"/>
    <w:rsid w:val="002230FC"/>
    <w:rsid w:val="00223185"/>
    <w:rsid w:val="00223264"/>
    <w:rsid w:val="002233D6"/>
    <w:rsid w:val="0022441D"/>
    <w:rsid w:val="00224574"/>
    <w:rsid w:val="00224CB7"/>
    <w:rsid w:val="00224E3F"/>
    <w:rsid w:val="00225000"/>
    <w:rsid w:val="002252E0"/>
    <w:rsid w:val="002255F6"/>
    <w:rsid w:val="00226032"/>
    <w:rsid w:val="0022639E"/>
    <w:rsid w:val="00226D31"/>
    <w:rsid w:val="0022738D"/>
    <w:rsid w:val="00227605"/>
    <w:rsid w:val="00227850"/>
    <w:rsid w:val="00227969"/>
    <w:rsid w:val="00227A53"/>
    <w:rsid w:val="00227C6C"/>
    <w:rsid w:val="00227E2E"/>
    <w:rsid w:val="00227F53"/>
    <w:rsid w:val="00230089"/>
    <w:rsid w:val="00230C36"/>
    <w:rsid w:val="00230C6E"/>
    <w:rsid w:val="00230E21"/>
    <w:rsid w:val="00231066"/>
    <w:rsid w:val="002316A8"/>
    <w:rsid w:val="00231859"/>
    <w:rsid w:val="00231E31"/>
    <w:rsid w:val="002320C9"/>
    <w:rsid w:val="0023288F"/>
    <w:rsid w:val="0023359B"/>
    <w:rsid w:val="00233603"/>
    <w:rsid w:val="002340EF"/>
    <w:rsid w:val="00234B82"/>
    <w:rsid w:val="00234F2B"/>
    <w:rsid w:val="00236241"/>
    <w:rsid w:val="00236443"/>
    <w:rsid w:val="00236700"/>
    <w:rsid w:val="00236EA9"/>
    <w:rsid w:val="00237669"/>
    <w:rsid w:val="002376D3"/>
    <w:rsid w:val="00237C8B"/>
    <w:rsid w:val="0024026A"/>
    <w:rsid w:val="00240391"/>
    <w:rsid w:val="00240AF3"/>
    <w:rsid w:val="00241020"/>
    <w:rsid w:val="002418D5"/>
    <w:rsid w:val="00241A9F"/>
    <w:rsid w:val="00241B06"/>
    <w:rsid w:val="00242265"/>
    <w:rsid w:val="0024233F"/>
    <w:rsid w:val="002426B4"/>
    <w:rsid w:val="00242E9A"/>
    <w:rsid w:val="0024343A"/>
    <w:rsid w:val="002436BA"/>
    <w:rsid w:val="002438DC"/>
    <w:rsid w:val="00243B5C"/>
    <w:rsid w:val="002443BC"/>
    <w:rsid w:val="00244652"/>
    <w:rsid w:val="00244A15"/>
    <w:rsid w:val="00244D6A"/>
    <w:rsid w:val="002452D9"/>
    <w:rsid w:val="00246909"/>
    <w:rsid w:val="00246AD7"/>
    <w:rsid w:val="00247319"/>
    <w:rsid w:val="0024772F"/>
    <w:rsid w:val="00247835"/>
    <w:rsid w:val="0024799E"/>
    <w:rsid w:val="00247E60"/>
    <w:rsid w:val="00250F19"/>
    <w:rsid w:val="002512B7"/>
    <w:rsid w:val="00251496"/>
    <w:rsid w:val="00251B08"/>
    <w:rsid w:val="00251C53"/>
    <w:rsid w:val="00252AB9"/>
    <w:rsid w:val="002532B1"/>
    <w:rsid w:val="00253C0F"/>
    <w:rsid w:val="002558C1"/>
    <w:rsid w:val="002559F8"/>
    <w:rsid w:val="00255A19"/>
    <w:rsid w:val="00256207"/>
    <w:rsid w:val="002575F3"/>
    <w:rsid w:val="00257E48"/>
    <w:rsid w:val="002601B4"/>
    <w:rsid w:val="002603E1"/>
    <w:rsid w:val="002605FE"/>
    <w:rsid w:val="0026120E"/>
    <w:rsid w:val="002617EE"/>
    <w:rsid w:val="00262582"/>
    <w:rsid w:val="0026291D"/>
    <w:rsid w:val="00262B30"/>
    <w:rsid w:val="00262CF3"/>
    <w:rsid w:val="00264309"/>
    <w:rsid w:val="00264992"/>
    <w:rsid w:val="00264B4F"/>
    <w:rsid w:val="00264B85"/>
    <w:rsid w:val="0026564B"/>
    <w:rsid w:val="00265C83"/>
    <w:rsid w:val="00265E85"/>
    <w:rsid w:val="00265F05"/>
    <w:rsid w:val="002660F7"/>
    <w:rsid w:val="0026632F"/>
    <w:rsid w:val="002668B0"/>
    <w:rsid w:val="002678E4"/>
    <w:rsid w:val="00267B49"/>
    <w:rsid w:val="00267C51"/>
    <w:rsid w:val="002700D9"/>
    <w:rsid w:val="00270133"/>
    <w:rsid w:val="0027025F"/>
    <w:rsid w:val="002709CC"/>
    <w:rsid w:val="00270D25"/>
    <w:rsid w:val="00271022"/>
    <w:rsid w:val="00271465"/>
    <w:rsid w:val="00271A07"/>
    <w:rsid w:val="00271E47"/>
    <w:rsid w:val="002721F5"/>
    <w:rsid w:val="00272DF4"/>
    <w:rsid w:val="00273B7A"/>
    <w:rsid w:val="0027401B"/>
    <w:rsid w:val="00275062"/>
    <w:rsid w:val="00275758"/>
    <w:rsid w:val="0027583D"/>
    <w:rsid w:val="002759C7"/>
    <w:rsid w:val="00275DEF"/>
    <w:rsid w:val="00275E43"/>
    <w:rsid w:val="002763A2"/>
    <w:rsid w:val="00276B33"/>
    <w:rsid w:val="00277669"/>
    <w:rsid w:val="002803A5"/>
    <w:rsid w:val="00280ACB"/>
    <w:rsid w:val="002812E3"/>
    <w:rsid w:val="00281576"/>
    <w:rsid w:val="00281D1B"/>
    <w:rsid w:val="00282451"/>
    <w:rsid w:val="00282AD4"/>
    <w:rsid w:val="0028341F"/>
    <w:rsid w:val="0028351F"/>
    <w:rsid w:val="002837AE"/>
    <w:rsid w:val="00283C13"/>
    <w:rsid w:val="00283F7B"/>
    <w:rsid w:val="0028431A"/>
    <w:rsid w:val="0028534D"/>
    <w:rsid w:val="002853FA"/>
    <w:rsid w:val="00285412"/>
    <w:rsid w:val="0028558A"/>
    <w:rsid w:val="00286220"/>
    <w:rsid w:val="00290745"/>
    <w:rsid w:val="0029110B"/>
    <w:rsid w:val="00291640"/>
    <w:rsid w:val="00291956"/>
    <w:rsid w:val="0029237E"/>
    <w:rsid w:val="00292997"/>
    <w:rsid w:val="00292EB0"/>
    <w:rsid w:val="00293939"/>
    <w:rsid w:val="00293D24"/>
    <w:rsid w:val="0029461A"/>
    <w:rsid w:val="0029509B"/>
    <w:rsid w:val="0029588F"/>
    <w:rsid w:val="00295C4D"/>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4946"/>
    <w:rsid w:val="002A4951"/>
    <w:rsid w:val="002A51AC"/>
    <w:rsid w:val="002A532A"/>
    <w:rsid w:val="002A5477"/>
    <w:rsid w:val="002A5846"/>
    <w:rsid w:val="002A5D97"/>
    <w:rsid w:val="002A603E"/>
    <w:rsid w:val="002A63B9"/>
    <w:rsid w:val="002A7089"/>
    <w:rsid w:val="002B03C2"/>
    <w:rsid w:val="002B0692"/>
    <w:rsid w:val="002B0987"/>
    <w:rsid w:val="002B0EDA"/>
    <w:rsid w:val="002B1619"/>
    <w:rsid w:val="002B322D"/>
    <w:rsid w:val="002B3EF4"/>
    <w:rsid w:val="002B4532"/>
    <w:rsid w:val="002B4845"/>
    <w:rsid w:val="002B5567"/>
    <w:rsid w:val="002B5812"/>
    <w:rsid w:val="002B72AA"/>
    <w:rsid w:val="002B75C0"/>
    <w:rsid w:val="002B772D"/>
    <w:rsid w:val="002C0673"/>
    <w:rsid w:val="002C1110"/>
    <w:rsid w:val="002C196C"/>
    <w:rsid w:val="002C1BC2"/>
    <w:rsid w:val="002C1F09"/>
    <w:rsid w:val="002C22A4"/>
    <w:rsid w:val="002C260B"/>
    <w:rsid w:val="002C27A6"/>
    <w:rsid w:val="002C27CD"/>
    <w:rsid w:val="002C2FFE"/>
    <w:rsid w:val="002C31E4"/>
    <w:rsid w:val="002C398D"/>
    <w:rsid w:val="002C40D2"/>
    <w:rsid w:val="002C43BD"/>
    <w:rsid w:val="002C47B7"/>
    <w:rsid w:val="002C4AA6"/>
    <w:rsid w:val="002C5245"/>
    <w:rsid w:val="002C5463"/>
    <w:rsid w:val="002C54A2"/>
    <w:rsid w:val="002C564A"/>
    <w:rsid w:val="002C59D8"/>
    <w:rsid w:val="002C5FEB"/>
    <w:rsid w:val="002C6494"/>
    <w:rsid w:val="002C70C1"/>
    <w:rsid w:val="002C7837"/>
    <w:rsid w:val="002D0553"/>
    <w:rsid w:val="002D05CB"/>
    <w:rsid w:val="002D0E59"/>
    <w:rsid w:val="002D1543"/>
    <w:rsid w:val="002D2C4F"/>
    <w:rsid w:val="002D3EBB"/>
    <w:rsid w:val="002D455C"/>
    <w:rsid w:val="002D6066"/>
    <w:rsid w:val="002D6630"/>
    <w:rsid w:val="002D67BD"/>
    <w:rsid w:val="002D6A4C"/>
    <w:rsid w:val="002D6D10"/>
    <w:rsid w:val="002D6E5F"/>
    <w:rsid w:val="002E010B"/>
    <w:rsid w:val="002E02A1"/>
    <w:rsid w:val="002E154B"/>
    <w:rsid w:val="002E196A"/>
    <w:rsid w:val="002E1F8A"/>
    <w:rsid w:val="002E20C7"/>
    <w:rsid w:val="002E20CD"/>
    <w:rsid w:val="002E222E"/>
    <w:rsid w:val="002E28D8"/>
    <w:rsid w:val="002E29D9"/>
    <w:rsid w:val="002E3638"/>
    <w:rsid w:val="002E372A"/>
    <w:rsid w:val="002E37D1"/>
    <w:rsid w:val="002E3BEE"/>
    <w:rsid w:val="002E4DCE"/>
    <w:rsid w:val="002E4E4C"/>
    <w:rsid w:val="002E4EA7"/>
    <w:rsid w:val="002E5437"/>
    <w:rsid w:val="002E5846"/>
    <w:rsid w:val="002E5C7F"/>
    <w:rsid w:val="002E631B"/>
    <w:rsid w:val="002E792B"/>
    <w:rsid w:val="002E7AEB"/>
    <w:rsid w:val="002E7B0C"/>
    <w:rsid w:val="002E7B79"/>
    <w:rsid w:val="002F0009"/>
    <w:rsid w:val="002F1B09"/>
    <w:rsid w:val="002F1D56"/>
    <w:rsid w:val="002F1DCB"/>
    <w:rsid w:val="002F1DE4"/>
    <w:rsid w:val="002F333D"/>
    <w:rsid w:val="002F351A"/>
    <w:rsid w:val="002F357F"/>
    <w:rsid w:val="002F46D6"/>
    <w:rsid w:val="002F498A"/>
    <w:rsid w:val="002F4AD8"/>
    <w:rsid w:val="002F4CD8"/>
    <w:rsid w:val="002F4E46"/>
    <w:rsid w:val="002F5285"/>
    <w:rsid w:val="002F560F"/>
    <w:rsid w:val="002F572C"/>
    <w:rsid w:val="002F5820"/>
    <w:rsid w:val="002F6086"/>
    <w:rsid w:val="002F64BB"/>
    <w:rsid w:val="002F7D9B"/>
    <w:rsid w:val="00300628"/>
    <w:rsid w:val="00300C31"/>
    <w:rsid w:val="003017EC"/>
    <w:rsid w:val="00302165"/>
    <w:rsid w:val="00302924"/>
    <w:rsid w:val="00303BB4"/>
    <w:rsid w:val="00304771"/>
    <w:rsid w:val="00304F9C"/>
    <w:rsid w:val="003052D4"/>
    <w:rsid w:val="00305863"/>
    <w:rsid w:val="00305AF4"/>
    <w:rsid w:val="003060E9"/>
    <w:rsid w:val="00306A62"/>
    <w:rsid w:val="00306C5B"/>
    <w:rsid w:val="00307529"/>
    <w:rsid w:val="00307AA2"/>
    <w:rsid w:val="00307D33"/>
    <w:rsid w:val="00307DB3"/>
    <w:rsid w:val="00307DDB"/>
    <w:rsid w:val="00307ED2"/>
    <w:rsid w:val="0031076D"/>
    <w:rsid w:val="00311242"/>
    <w:rsid w:val="0031169A"/>
    <w:rsid w:val="00311AA6"/>
    <w:rsid w:val="00311C4D"/>
    <w:rsid w:val="00311CA4"/>
    <w:rsid w:val="003121AB"/>
    <w:rsid w:val="00312A85"/>
    <w:rsid w:val="00312C83"/>
    <w:rsid w:val="00312E51"/>
    <w:rsid w:val="00315169"/>
    <w:rsid w:val="00315208"/>
    <w:rsid w:val="003153C8"/>
    <w:rsid w:val="00315524"/>
    <w:rsid w:val="00315561"/>
    <w:rsid w:val="0031645E"/>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0FF8"/>
    <w:rsid w:val="0033175E"/>
    <w:rsid w:val="003317A3"/>
    <w:rsid w:val="00332190"/>
    <w:rsid w:val="00332A98"/>
    <w:rsid w:val="00332D86"/>
    <w:rsid w:val="003334BD"/>
    <w:rsid w:val="00333973"/>
    <w:rsid w:val="00333CD0"/>
    <w:rsid w:val="00333F8B"/>
    <w:rsid w:val="0033448D"/>
    <w:rsid w:val="00334AD2"/>
    <w:rsid w:val="00334CB6"/>
    <w:rsid w:val="003369B0"/>
    <w:rsid w:val="0033709C"/>
    <w:rsid w:val="003370C5"/>
    <w:rsid w:val="003373C6"/>
    <w:rsid w:val="0033753A"/>
    <w:rsid w:val="003403C1"/>
    <w:rsid w:val="0034081B"/>
    <w:rsid w:val="00340BF3"/>
    <w:rsid w:val="00341C6C"/>
    <w:rsid w:val="00341D26"/>
    <w:rsid w:val="00341F05"/>
    <w:rsid w:val="003424A0"/>
    <w:rsid w:val="00342AD0"/>
    <w:rsid w:val="0034335E"/>
    <w:rsid w:val="00344668"/>
    <w:rsid w:val="0034466D"/>
    <w:rsid w:val="00344881"/>
    <w:rsid w:val="00344940"/>
    <w:rsid w:val="00346234"/>
    <w:rsid w:val="00346285"/>
    <w:rsid w:val="003462D9"/>
    <w:rsid w:val="00346576"/>
    <w:rsid w:val="0034723F"/>
    <w:rsid w:val="00347247"/>
    <w:rsid w:val="003474B6"/>
    <w:rsid w:val="00347DD4"/>
    <w:rsid w:val="00350138"/>
    <w:rsid w:val="00350F0C"/>
    <w:rsid w:val="003527E6"/>
    <w:rsid w:val="00352B43"/>
    <w:rsid w:val="00352C28"/>
    <w:rsid w:val="003541BB"/>
    <w:rsid w:val="00354502"/>
    <w:rsid w:val="00354F89"/>
    <w:rsid w:val="0035506D"/>
    <w:rsid w:val="0035547E"/>
    <w:rsid w:val="003559D1"/>
    <w:rsid w:val="003565DB"/>
    <w:rsid w:val="003574AB"/>
    <w:rsid w:val="003579A1"/>
    <w:rsid w:val="00357F42"/>
    <w:rsid w:val="0036077F"/>
    <w:rsid w:val="0036081A"/>
    <w:rsid w:val="00360A35"/>
    <w:rsid w:val="00360C86"/>
    <w:rsid w:val="00360F7A"/>
    <w:rsid w:val="00360FBC"/>
    <w:rsid w:val="0036102D"/>
    <w:rsid w:val="00361537"/>
    <w:rsid w:val="003619A0"/>
    <w:rsid w:val="00361A59"/>
    <w:rsid w:val="00361FB7"/>
    <w:rsid w:val="0036242A"/>
    <w:rsid w:val="003629A5"/>
    <w:rsid w:val="00362C23"/>
    <w:rsid w:val="00362DCA"/>
    <w:rsid w:val="00362E90"/>
    <w:rsid w:val="0036421A"/>
    <w:rsid w:val="003643CB"/>
    <w:rsid w:val="0036448C"/>
    <w:rsid w:val="00364FA0"/>
    <w:rsid w:val="003650D9"/>
    <w:rsid w:val="003657F3"/>
    <w:rsid w:val="00365844"/>
    <w:rsid w:val="00365F61"/>
    <w:rsid w:val="0036624C"/>
    <w:rsid w:val="003664FD"/>
    <w:rsid w:val="00367F84"/>
    <w:rsid w:val="003712BC"/>
    <w:rsid w:val="003716BE"/>
    <w:rsid w:val="00372164"/>
    <w:rsid w:val="003738BD"/>
    <w:rsid w:val="00373D43"/>
    <w:rsid w:val="00374263"/>
    <w:rsid w:val="00374278"/>
    <w:rsid w:val="003746F0"/>
    <w:rsid w:val="00374A20"/>
    <w:rsid w:val="00374B5D"/>
    <w:rsid w:val="00374B96"/>
    <w:rsid w:val="00374E21"/>
    <w:rsid w:val="00374ED6"/>
    <w:rsid w:val="0037537A"/>
    <w:rsid w:val="003755A0"/>
    <w:rsid w:val="00375CB9"/>
    <w:rsid w:val="00377007"/>
    <w:rsid w:val="00377B2E"/>
    <w:rsid w:val="00380C9B"/>
    <w:rsid w:val="003810F0"/>
    <w:rsid w:val="003815D4"/>
    <w:rsid w:val="003818DC"/>
    <w:rsid w:val="00382513"/>
    <w:rsid w:val="00383388"/>
    <w:rsid w:val="003834F8"/>
    <w:rsid w:val="003837B1"/>
    <w:rsid w:val="003838D0"/>
    <w:rsid w:val="003840C2"/>
    <w:rsid w:val="003840C3"/>
    <w:rsid w:val="00384327"/>
    <w:rsid w:val="00384A89"/>
    <w:rsid w:val="00385086"/>
    <w:rsid w:val="0038578B"/>
    <w:rsid w:val="00385D98"/>
    <w:rsid w:val="003862C0"/>
    <w:rsid w:val="0038712D"/>
    <w:rsid w:val="00390306"/>
    <w:rsid w:val="0039031A"/>
    <w:rsid w:val="003908A6"/>
    <w:rsid w:val="0039109D"/>
    <w:rsid w:val="00391989"/>
    <w:rsid w:val="00391A6C"/>
    <w:rsid w:val="00391B9F"/>
    <w:rsid w:val="00392238"/>
    <w:rsid w:val="003927F6"/>
    <w:rsid w:val="0039398D"/>
    <w:rsid w:val="00393B3F"/>
    <w:rsid w:val="00393B72"/>
    <w:rsid w:val="0039402D"/>
    <w:rsid w:val="00395773"/>
    <w:rsid w:val="00396739"/>
    <w:rsid w:val="003978B1"/>
    <w:rsid w:val="003A04F6"/>
    <w:rsid w:val="003A0837"/>
    <w:rsid w:val="003A2B4D"/>
    <w:rsid w:val="003A2D12"/>
    <w:rsid w:val="003A2EBA"/>
    <w:rsid w:val="003A39F3"/>
    <w:rsid w:val="003A3D89"/>
    <w:rsid w:val="003A45E3"/>
    <w:rsid w:val="003A46B8"/>
    <w:rsid w:val="003A478C"/>
    <w:rsid w:val="003A4A38"/>
    <w:rsid w:val="003A5295"/>
    <w:rsid w:val="003A5525"/>
    <w:rsid w:val="003A5854"/>
    <w:rsid w:val="003A5889"/>
    <w:rsid w:val="003A5B3F"/>
    <w:rsid w:val="003A5C8C"/>
    <w:rsid w:val="003A64A6"/>
    <w:rsid w:val="003A6B38"/>
    <w:rsid w:val="003A6B83"/>
    <w:rsid w:val="003A6C97"/>
    <w:rsid w:val="003A6E2E"/>
    <w:rsid w:val="003A722F"/>
    <w:rsid w:val="003A7373"/>
    <w:rsid w:val="003A77D8"/>
    <w:rsid w:val="003A7D09"/>
    <w:rsid w:val="003B039F"/>
    <w:rsid w:val="003B0DF4"/>
    <w:rsid w:val="003B1F9D"/>
    <w:rsid w:val="003B2A8D"/>
    <w:rsid w:val="003B2AD1"/>
    <w:rsid w:val="003B2D2E"/>
    <w:rsid w:val="003B2F69"/>
    <w:rsid w:val="003B376A"/>
    <w:rsid w:val="003B461F"/>
    <w:rsid w:val="003B483F"/>
    <w:rsid w:val="003B4998"/>
    <w:rsid w:val="003B5A32"/>
    <w:rsid w:val="003B5B59"/>
    <w:rsid w:val="003B5E81"/>
    <w:rsid w:val="003B709D"/>
    <w:rsid w:val="003B7B37"/>
    <w:rsid w:val="003B7B50"/>
    <w:rsid w:val="003C0504"/>
    <w:rsid w:val="003C086F"/>
    <w:rsid w:val="003C0B07"/>
    <w:rsid w:val="003C1EFD"/>
    <w:rsid w:val="003C2543"/>
    <w:rsid w:val="003C2CE7"/>
    <w:rsid w:val="003C2DB8"/>
    <w:rsid w:val="003C3490"/>
    <w:rsid w:val="003C3608"/>
    <w:rsid w:val="003C3813"/>
    <w:rsid w:val="003C3A87"/>
    <w:rsid w:val="003C3AE8"/>
    <w:rsid w:val="003C3D2C"/>
    <w:rsid w:val="003C4058"/>
    <w:rsid w:val="003C4E13"/>
    <w:rsid w:val="003C58A5"/>
    <w:rsid w:val="003C5EA3"/>
    <w:rsid w:val="003C6221"/>
    <w:rsid w:val="003C63D7"/>
    <w:rsid w:val="003C68CC"/>
    <w:rsid w:val="003C708D"/>
    <w:rsid w:val="003C7339"/>
    <w:rsid w:val="003C7E62"/>
    <w:rsid w:val="003D12B9"/>
    <w:rsid w:val="003D13A6"/>
    <w:rsid w:val="003D1828"/>
    <w:rsid w:val="003D1E7A"/>
    <w:rsid w:val="003D242B"/>
    <w:rsid w:val="003D2492"/>
    <w:rsid w:val="003D29AA"/>
    <w:rsid w:val="003D2A54"/>
    <w:rsid w:val="003D2A99"/>
    <w:rsid w:val="003D4FD2"/>
    <w:rsid w:val="003D6920"/>
    <w:rsid w:val="003D6E19"/>
    <w:rsid w:val="003E0249"/>
    <w:rsid w:val="003E08A4"/>
    <w:rsid w:val="003E105C"/>
    <w:rsid w:val="003E1EF8"/>
    <w:rsid w:val="003E2BF2"/>
    <w:rsid w:val="003E2DFB"/>
    <w:rsid w:val="003E333B"/>
    <w:rsid w:val="003E4466"/>
    <w:rsid w:val="003E4817"/>
    <w:rsid w:val="003E4C91"/>
    <w:rsid w:val="003E4DAB"/>
    <w:rsid w:val="003E52D8"/>
    <w:rsid w:val="003E62F1"/>
    <w:rsid w:val="003E6547"/>
    <w:rsid w:val="003E6F84"/>
    <w:rsid w:val="003F0148"/>
    <w:rsid w:val="003F0CC3"/>
    <w:rsid w:val="003F0FB6"/>
    <w:rsid w:val="003F167E"/>
    <w:rsid w:val="003F29B7"/>
    <w:rsid w:val="003F313C"/>
    <w:rsid w:val="003F3216"/>
    <w:rsid w:val="003F33B1"/>
    <w:rsid w:val="003F33B9"/>
    <w:rsid w:val="003F37FC"/>
    <w:rsid w:val="003F3E76"/>
    <w:rsid w:val="003F4230"/>
    <w:rsid w:val="003F4318"/>
    <w:rsid w:val="003F4B2C"/>
    <w:rsid w:val="003F4CDD"/>
    <w:rsid w:val="003F4E1E"/>
    <w:rsid w:val="003F4EA2"/>
    <w:rsid w:val="003F551C"/>
    <w:rsid w:val="003F61C2"/>
    <w:rsid w:val="003F626D"/>
    <w:rsid w:val="003F67D6"/>
    <w:rsid w:val="003F72ED"/>
    <w:rsid w:val="003F7872"/>
    <w:rsid w:val="003F7D23"/>
    <w:rsid w:val="003F7D98"/>
    <w:rsid w:val="00400050"/>
    <w:rsid w:val="004002C8"/>
    <w:rsid w:val="00400468"/>
    <w:rsid w:val="0040099D"/>
    <w:rsid w:val="004016CB"/>
    <w:rsid w:val="00401837"/>
    <w:rsid w:val="00401B23"/>
    <w:rsid w:val="00402ADB"/>
    <w:rsid w:val="0040368D"/>
    <w:rsid w:val="00403D1D"/>
    <w:rsid w:val="00403F57"/>
    <w:rsid w:val="00404051"/>
    <w:rsid w:val="0040469E"/>
    <w:rsid w:val="004046BD"/>
    <w:rsid w:val="00404BAB"/>
    <w:rsid w:val="00405318"/>
    <w:rsid w:val="0040545D"/>
    <w:rsid w:val="00405696"/>
    <w:rsid w:val="004059D2"/>
    <w:rsid w:val="004060C9"/>
    <w:rsid w:val="004066D0"/>
    <w:rsid w:val="00406C2E"/>
    <w:rsid w:val="00406CDA"/>
    <w:rsid w:val="00406EB0"/>
    <w:rsid w:val="00407711"/>
    <w:rsid w:val="00407863"/>
    <w:rsid w:val="00407C13"/>
    <w:rsid w:val="004103F6"/>
    <w:rsid w:val="00410638"/>
    <w:rsid w:val="00410A5C"/>
    <w:rsid w:val="0041107A"/>
    <w:rsid w:val="004123CB"/>
    <w:rsid w:val="00412511"/>
    <w:rsid w:val="004125C2"/>
    <w:rsid w:val="00412DFA"/>
    <w:rsid w:val="00413465"/>
    <w:rsid w:val="00413546"/>
    <w:rsid w:val="004149AC"/>
    <w:rsid w:val="0041501E"/>
    <w:rsid w:val="00415452"/>
    <w:rsid w:val="004159C3"/>
    <w:rsid w:val="00415A57"/>
    <w:rsid w:val="00416DAC"/>
    <w:rsid w:val="00417106"/>
    <w:rsid w:val="0041710D"/>
    <w:rsid w:val="00420880"/>
    <w:rsid w:val="00421022"/>
    <w:rsid w:val="00421179"/>
    <w:rsid w:val="004225D7"/>
    <w:rsid w:val="00423249"/>
    <w:rsid w:val="00423519"/>
    <w:rsid w:val="00423623"/>
    <w:rsid w:val="00424050"/>
    <w:rsid w:val="0042470E"/>
    <w:rsid w:val="00425352"/>
    <w:rsid w:val="00426C99"/>
    <w:rsid w:val="0042708A"/>
    <w:rsid w:val="004272BE"/>
    <w:rsid w:val="004273E7"/>
    <w:rsid w:val="00430114"/>
    <w:rsid w:val="004304D0"/>
    <w:rsid w:val="00430C96"/>
    <w:rsid w:val="0043174F"/>
    <w:rsid w:val="00431BFF"/>
    <w:rsid w:val="00432199"/>
    <w:rsid w:val="0043277C"/>
    <w:rsid w:val="00432A58"/>
    <w:rsid w:val="00432DA4"/>
    <w:rsid w:val="004331C3"/>
    <w:rsid w:val="00433C17"/>
    <w:rsid w:val="00434617"/>
    <w:rsid w:val="00434686"/>
    <w:rsid w:val="00434CB3"/>
    <w:rsid w:val="00434DE9"/>
    <w:rsid w:val="00435051"/>
    <w:rsid w:val="00435C69"/>
    <w:rsid w:val="00435DE8"/>
    <w:rsid w:val="004360FB"/>
    <w:rsid w:val="00437CED"/>
    <w:rsid w:val="004407BF"/>
    <w:rsid w:val="00440900"/>
    <w:rsid w:val="00440C2F"/>
    <w:rsid w:val="0044121D"/>
    <w:rsid w:val="00441BF6"/>
    <w:rsid w:val="00441D2B"/>
    <w:rsid w:val="00441F8B"/>
    <w:rsid w:val="00442085"/>
    <w:rsid w:val="0044279E"/>
    <w:rsid w:val="00442BD8"/>
    <w:rsid w:val="00443184"/>
    <w:rsid w:val="00443291"/>
    <w:rsid w:val="004441A0"/>
    <w:rsid w:val="00445861"/>
    <w:rsid w:val="00445A8E"/>
    <w:rsid w:val="00446D44"/>
    <w:rsid w:val="0045078A"/>
    <w:rsid w:val="0045086D"/>
    <w:rsid w:val="00450DAB"/>
    <w:rsid w:val="0045125B"/>
    <w:rsid w:val="00451E25"/>
    <w:rsid w:val="00451EF1"/>
    <w:rsid w:val="00452E60"/>
    <w:rsid w:val="0045321B"/>
    <w:rsid w:val="004548E8"/>
    <w:rsid w:val="004550FE"/>
    <w:rsid w:val="00455833"/>
    <w:rsid w:val="00455B02"/>
    <w:rsid w:val="00456AAB"/>
    <w:rsid w:val="00456FB5"/>
    <w:rsid w:val="00456FE5"/>
    <w:rsid w:val="00457490"/>
    <w:rsid w:val="0045778B"/>
    <w:rsid w:val="0045786C"/>
    <w:rsid w:val="00457953"/>
    <w:rsid w:val="0046041E"/>
    <w:rsid w:val="004604D8"/>
    <w:rsid w:val="00460656"/>
    <w:rsid w:val="00460FB3"/>
    <w:rsid w:val="00462DA6"/>
    <w:rsid w:val="00463D3C"/>
    <w:rsid w:val="00464851"/>
    <w:rsid w:val="00464BF5"/>
    <w:rsid w:val="00465934"/>
    <w:rsid w:val="00466595"/>
    <w:rsid w:val="00466B3E"/>
    <w:rsid w:val="00466D08"/>
    <w:rsid w:val="0046746A"/>
    <w:rsid w:val="00467938"/>
    <w:rsid w:val="00467B14"/>
    <w:rsid w:val="00470043"/>
    <w:rsid w:val="0047053B"/>
    <w:rsid w:val="004707FE"/>
    <w:rsid w:val="00470EDC"/>
    <w:rsid w:val="00471C37"/>
    <w:rsid w:val="00472418"/>
    <w:rsid w:val="0047276D"/>
    <w:rsid w:val="00472A29"/>
    <w:rsid w:val="00472AF6"/>
    <w:rsid w:val="00473482"/>
    <w:rsid w:val="004737F4"/>
    <w:rsid w:val="00474646"/>
    <w:rsid w:val="00474A04"/>
    <w:rsid w:val="00474FEE"/>
    <w:rsid w:val="004756DD"/>
    <w:rsid w:val="00476240"/>
    <w:rsid w:val="00476439"/>
    <w:rsid w:val="00476450"/>
    <w:rsid w:val="004769BF"/>
    <w:rsid w:val="004769E1"/>
    <w:rsid w:val="00476BD0"/>
    <w:rsid w:val="0047735C"/>
    <w:rsid w:val="004773A5"/>
    <w:rsid w:val="004776BC"/>
    <w:rsid w:val="00477820"/>
    <w:rsid w:val="00477B96"/>
    <w:rsid w:val="00480802"/>
    <w:rsid w:val="00480AC0"/>
    <w:rsid w:val="00480BAE"/>
    <w:rsid w:val="00480D7F"/>
    <w:rsid w:val="0048139F"/>
    <w:rsid w:val="00481E40"/>
    <w:rsid w:val="00481F18"/>
    <w:rsid w:val="00482405"/>
    <w:rsid w:val="004824C7"/>
    <w:rsid w:val="004826A7"/>
    <w:rsid w:val="00483392"/>
    <w:rsid w:val="0048368C"/>
    <w:rsid w:val="0048372F"/>
    <w:rsid w:val="0048399F"/>
    <w:rsid w:val="00483A0C"/>
    <w:rsid w:val="00483BDD"/>
    <w:rsid w:val="004841CC"/>
    <w:rsid w:val="0048499C"/>
    <w:rsid w:val="00484ECE"/>
    <w:rsid w:val="00485E82"/>
    <w:rsid w:val="00486132"/>
    <w:rsid w:val="004862C8"/>
    <w:rsid w:val="0048686D"/>
    <w:rsid w:val="00486A4D"/>
    <w:rsid w:val="00490F96"/>
    <w:rsid w:val="004915CB"/>
    <w:rsid w:val="00491A2B"/>
    <w:rsid w:val="004924DC"/>
    <w:rsid w:val="0049267F"/>
    <w:rsid w:val="00492879"/>
    <w:rsid w:val="00492BBA"/>
    <w:rsid w:val="004932A1"/>
    <w:rsid w:val="00493CF5"/>
    <w:rsid w:val="00493E85"/>
    <w:rsid w:val="00495145"/>
    <w:rsid w:val="0049531F"/>
    <w:rsid w:val="004979A5"/>
    <w:rsid w:val="00497F7C"/>
    <w:rsid w:val="004A0144"/>
    <w:rsid w:val="004A0197"/>
    <w:rsid w:val="004A036E"/>
    <w:rsid w:val="004A0498"/>
    <w:rsid w:val="004A06B0"/>
    <w:rsid w:val="004A0D0E"/>
    <w:rsid w:val="004A13B6"/>
    <w:rsid w:val="004A14E4"/>
    <w:rsid w:val="004A2017"/>
    <w:rsid w:val="004A204E"/>
    <w:rsid w:val="004A23BC"/>
    <w:rsid w:val="004A26A5"/>
    <w:rsid w:val="004A27F0"/>
    <w:rsid w:val="004A3212"/>
    <w:rsid w:val="004A37CD"/>
    <w:rsid w:val="004A40D9"/>
    <w:rsid w:val="004A49A5"/>
    <w:rsid w:val="004A4F8A"/>
    <w:rsid w:val="004A52AB"/>
    <w:rsid w:val="004A5494"/>
    <w:rsid w:val="004A5D4E"/>
    <w:rsid w:val="004A61C5"/>
    <w:rsid w:val="004A62A0"/>
    <w:rsid w:val="004A6BBF"/>
    <w:rsid w:val="004A74EE"/>
    <w:rsid w:val="004A77DF"/>
    <w:rsid w:val="004A78E3"/>
    <w:rsid w:val="004A7DC0"/>
    <w:rsid w:val="004B00D7"/>
    <w:rsid w:val="004B1417"/>
    <w:rsid w:val="004B1627"/>
    <w:rsid w:val="004B305C"/>
    <w:rsid w:val="004B30B1"/>
    <w:rsid w:val="004B31B8"/>
    <w:rsid w:val="004B339A"/>
    <w:rsid w:val="004B4C83"/>
    <w:rsid w:val="004B51C6"/>
    <w:rsid w:val="004B55B7"/>
    <w:rsid w:val="004B5831"/>
    <w:rsid w:val="004B5BFA"/>
    <w:rsid w:val="004B619E"/>
    <w:rsid w:val="004B6468"/>
    <w:rsid w:val="004B6EF8"/>
    <w:rsid w:val="004B7125"/>
    <w:rsid w:val="004B756A"/>
    <w:rsid w:val="004B7625"/>
    <w:rsid w:val="004B7EC0"/>
    <w:rsid w:val="004B7FB1"/>
    <w:rsid w:val="004C08DE"/>
    <w:rsid w:val="004C0970"/>
    <w:rsid w:val="004C0B3F"/>
    <w:rsid w:val="004C0F87"/>
    <w:rsid w:val="004C1648"/>
    <w:rsid w:val="004C18CE"/>
    <w:rsid w:val="004C1EF2"/>
    <w:rsid w:val="004C25F9"/>
    <w:rsid w:val="004C2794"/>
    <w:rsid w:val="004C2BB6"/>
    <w:rsid w:val="004C2C2D"/>
    <w:rsid w:val="004C3027"/>
    <w:rsid w:val="004C384C"/>
    <w:rsid w:val="004C3867"/>
    <w:rsid w:val="004C3DB0"/>
    <w:rsid w:val="004C3E03"/>
    <w:rsid w:val="004C3E63"/>
    <w:rsid w:val="004C439A"/>
    <w:rsid w:val="004C4720"/>
    <w:rsid w:val="004C4BEA"/>
    <w:rsid w:val="004C4CD0"/>
    <w:rsid w:val="004C5060"/>
    <w:rsid w:val="004C5165"/>
    <w:rsid w:val="004C589C"/>
    <w:rsid w:val="004C5AE8"/>
    <w:rsid w:val="004C64A3"/>
    <w:rsid w:val="004C6640"/>
    <w:rsid w:val="004C6D4D"/>
    <w:rsid w:val="004C6E0E"/>
    <w:rsid w:val="004C70DC"/>
    <w:rsid w:val="004C7341"/>
    <w:rsid w:val="004C7D10"/>
    <w:rsid w:val="004D0211"/>
    <w:rsid w:val="004D0794"/>
    <w:rsid w:val="004D0FB7"/>
    <w:rsid w:val="004D17A2"/>
    <w:rsid w:val="004D2D31"/>
    <w:rsid w:val="004D2E03"/>
    <w:rsid w:val="004D3296"/>
    <w:rsid w:val="004D4056"/>
    <w:rsid w:val="004D42F3"/>
    <w:rsid w:val="004D4CB0"/>
    <w:rsid w:val="004D5B0F"/>
    <w:rsid w:val="004D6602"/>
    <w:rsid w:val="004D6B32"/>
    <w:rsid w:val="004D7626"/>
    <w:rsid w:val="004E01C9"/>
    <w:rsid w:val="004E085C"/>
    <w:rsid w:val="004E12DF"/>
    <w:rsid w:val="004E186A"/>
    <w:rsid w:val="004E1A40"/>
    <w:rsid w:val="004E200A"/>
    <w:rsid w:val="004E2351"/>
    <w:rsid w:val="004E23FC"/>
    <w:rsid w:val="004E2409"/>
    <w:rsid w:val="004E2567"/>
    <w:rsid w:val="004E261D"/>
    <w:rsid w:val="004E3927"/>
    <w:rsid w:val="004E3B7F"/>
    <w:rsid w:val="004E506E"/>
    <w:rsid w:val="004E56E3"/>
    <w:rsid w:val="004E57BF"/>
    <w:rsid w:val="004E5C6A"/>
    <w:rsid w:val="004E5F41"/>
    <w:rsid w:val="004E6011"/>
    <w:rsid w:val="004E6D15"/>
    <w:rsid w:val="004E6DE6"/>
    <w:rsid w:val="004E765E"/>
    <w:rsid w:val="004E7815"/>
    <w:rsid w:val="004F06F5"/>
    <w:rsid w:val="004F1127"/>
    <w:rsid w:val="004F12A4"/>
    <w:rsid w:val="004F253F"/>
    <w:rsid w:val="004F33A0"/>
    <w:rsid w:val="004F3873"/>
    <w:rsid w:val="004F3BD2"/>
    <w:rsid w:val="004F46ED"/>
    <w:rsid w:val="004F49A3"/>
    <w:rsid w:val="004F4C99"/>
    <w:rsid w:val="004F4D83"/>
    <w:rsid w:val="004F4E4D"/>
    <w:rsid w:val="004F5358"/>
    <w:rsid w:val="004F5487"/>
    <w:rsid w:val="004F6484"/>
    <w:rsid w:val="004F6539"/>
    <w:rsid w:val="004F66AD"/>
    <w:rsid w:val="004F6AFB"/>
    <w:rsid w:val="0050057B"/>
    <w:rsid w:val="005022CA"/>
    <w:rsid w:val="00503D54"/>
    <w:rsid w:val="0050400C"/>
    <w:rsid w:val="005048E2"/>
    <w:rsid w:val="00504E9B"/>
    <w:rsid w:val="00505392"/>
    <w:rsid w:val="00505FC8"/>
    <w:rsid w:val="00506603"/>
    <w:rsid w:val="0050689D"/>
    <w:rsid w:val="005077F5"/>
    <w:rsid w:val="005108C0"/>
    <w:rsid w:val="0051094F"/>
    <w:rsid w:val="00511217"/>
    <w:rsid w:val="00511873"/>
    <w:rsid w:val="00511BAF"/>
    <w:rsid w:val="00511C65"/>
    <w:rsid w:val="00511CA1"/>
    <w:rsid w:val="00512461"/>
    <w:rsid w:val="00512585"/>
    <w:rsid w:val="00512A2F"/>
    <w:rsid w:val="00512B98"/>
    <w:rsid w:val="00513175"/>
    <w:rsid w:val="00513846"/>
    <w:rsid w:val="00513B7E"/>
    <w:rsid w:val="00513E9D"/>
    <w:rsid w:val="0051475C"/>
    <w:rsid w:val="0051475D"/>
    <w:rsid w:val="00514B11"/>
    <w:rsid w:val="00514DED"/>
    <w:rsid w:val="00514F47"/>
    <w:rsid w:val="00514FE2"/>
    <w:rsid w:val="00515079"/>
    <w:rsid w:val="00515485"/>
    <w:rsid w:val="00515BE9"/>
    <w:rsid w:val="00515C74"/>
    <w:rsid w:val="00515CEB"/>
    <w:rsid w:val="0051630F"/>
    <w:rsid w:val="00516997"/>
    <w:rsid w:val="00517113"/>
    <w:rsid w:val="0052007E"/>
    <w:rsid w:val="0052032E"/>
    <w:rsid w:val="00520C78"/>
    <w:rsid w:val="00521CAD"/>
    <w:rsid w:val="0052200D"/>
    <w:rsid w:val="00522199"/>
    <w:rsid w:val="00522425"/>
    <w:rsid w:val="005227DC"/>
    <w:rsid w:val="00522A1B"/>
    <w:rsid w:val="00522E01"/>
    <w:rsid w:val="0052337A"/>
    <w:rsid w:val="00524385"/>
    <w:rsid w:val="005246BE"/>
    <w:rsid w:val="00525137"/>
    <w:rsid w:val="005251DD"/>
    <w:rsid w:val="00526C1E"/>
    <w:rsid w:val="0052762C"/>
    <w:rsid w:val="0052792D"/>
    <w:rsid w:val="005279E0"/>
    <w:rsid w:val="00527CAF"/>
    <w:rsid w:val="0053012B"/>
    <w:rsid w:val="005301A6"/>
    <w:rsid w:val="00530A68"/>
    <w:rsid w:val="00530AD4"/>
    <w:rsid w:val="0053129F"/>
    <w:rsid w:val="00531C5A"/>
    <w:rsid w:val="00532CE7"/>
    <w:rsid w:val="00532D8B"/>
    <w:rsid w:val="00532FED"/>
    <w:rsid w:val="0053324C"/>
    <w:rsid w:val="00533A8D"/>
    <w:rsid w:val="005346B6"/>
    <w:rsid w:val="00534A28"/>
    <w:rsid w:val="00534A3A"/>
    <w:rsid w:val="00535018"/>
    <w:rsid w:val="00535333"/>
    <w:rsid w:val="0053570E"/>
    <w:rsid w:val="00535782"/>
    <w:rsid w:val="0053593E"/>
    <w:rsid w:val="0053595E"/>
    <w:rsid w:val="00537571"/>
    <w:rsid w:val="00540056"/>
    <w:rsid w:val="00540F2B"/>
    <w:rsid w:val="005410E2"/>
    <w:rsid w:val="00541508"/>
    <w:rsid w:val="00541AE3"/>
    <w:rsid w:val="00543498"/>
    <w:rsid w:val="005435D5"/>
    <w:rsid w:val="00543FF5"/>
    <w:rsid w:val="00544011"/>
    <w:rsid w:val="005446FB"/>
    <w:rsid w:val="00544BE5"/>
    <w:rsid w:val="005453A3"/>
    <w:rsid w:val="005455F6"/>
    <w:rsid w:val="0054582F"/>
    <w:rsid w:val="00546FC7"/>
    <w:rsid w:val="00547E33"/>
    <w:rsid w:val="005500F9"/>
    <w:rsid w:val="00550160"/>
    <w:rsid w:val="00550249"/>
    <w:rsid w:val="00550540"/>
    <w:rsid w:val="005519E2"/>
    <w:rsid w:val="00551E16"/>
    <w:rsid w:val="0055223F"/>
    <w:rsid w:val="005523A8"/>
    <w:rsid w:val="00552E44"/>
    <w:rsid w:val="00552F2C"/>
    <w:rsid w:val="00553A25"/>
    <w:rsid w:val="00553E69"/>
    <w:rsid w:val="005547EB"/>
    <w:rsid w:val="00554863"/>
    <w:rsid w:val="005555E0"/>
    <w:rsid w:val="005558B3"/>
    <w:rsid w:val="0055599F"/>
    <w:rsid w:val="00556D68"/>
    <w:rsid w:val="00556F75"/>
    <w:rsid w:val="0055707B"/>
    <w:rsid w:val="005570D6"/>
    <w:rsid w:val="00557E0E"/>
    <w:rsid w:val="00557E45"/>
    <w:rsid w:val="005605F3"/>
    <w:rsid w:val="005606B6"/>
    <w:rsid w:val="00560C41"/>
    <w:rsid w:val="00560CAC"/>
    <w:rsid w:val="00561F44"/>
    <w:rsid w:val="00562B4D"/>
    <w:rsid w:val="00562DB1"/>
    <w:rsid w:val="00563EB8"/>
    <w:rsid w:val="005647BF"/>
    <w:rsid w:val="00564AF1"/>
    <w:rsid w:val="00564E64"/>
    <w:rsid w:val="005655DB"/>
    <w:rsid w:val="00565E88"/>
    <w:rsid w:val="00566A8B"/>
    <w:rsid w:val="005671C4"/>
    <w:rsid w:val="00567339"/>
    <w:rsid w:val="0056764A"/>
    <w:rsid w:val="0056764B"/>
    <w:rsid w:val="005678EE"/>
    <w:rsid w:val="00567910"/>
    <w:rsid w:val="00570270"/>
    <w:rsid w:val="00570464"/>
    <w:rsid w:val="00570601"/>
    <w:rsid w:val="00570BC3"/>
    <w:rsid w:val="00571766"/>
    <w:rsid w:val="0057182A"/>
    <w:rsid w:val="00571A66"/>
    <w:rsid w:val="00571E59"/>
    <w:rsid w:val="00572079"/>
    <w:rsid w:val="00572900"/>
    <w:rsid w:val="0057295C"/>
    <w:rsid w:val="00573602"/>
    <w:rsid w:val="0057364B"/>
    <w:rsid w:val="00573C09"/>
    <w:rsid w:val="00574773"/>
    <w:rsid w:val="005761EC"/>
    <w:rsid w:val="00576E34"/>
    <w:rsid w:val="00577C07"/>
    <w:rsid w:val="00577DB1"/>
    <w:rsid w:val="00577F41"/>
    <w:rsid w:val="00580AD3"/>
    <w:rsid w:val="00580DE7"/>
    <w:rsid w:val="005810E1"/>
    <w:rsid w:val="005820CD"/>
    <w:rsid w:val="00582459"/>
    <w:rsid w:val="005827C6"/>
    <w:rsid w:val="0058364F"/>
    <w:rsid w:val="00583BDD"/>
    <w:rsid w:val="00583E52"/>
    <w:rsid w:val="00583FFD"/>
    <w:rsid w:val="00584252"/>
    <w:rsid w:val="005848DD"/>
    <w:rsid w:val="0058519A"/>
    <w:rsid w:val="005856BD"/>
    <w:rsid w:val="00585983"/>
    <w:rsid w:val="00586BCA"/>
    <w:rsid w:val="00587038"/>
    <w:rsid w:val="00587B1B"/>
    <w:rsid w:val="00590608"/>
    <w:rsid w:val="00590B28"/>
    <w:rsid w:val="005911BE"/>
    <w:rsid w:val="00591273"/>
    <w:rsid w:val="005912C9"/>
    <w:rsid w:val="00591E9E"/>
    <w:rsid w:val="005927A4"/>
    <w:rsid w:val="00593152"/>
    <w:rsid w:val="00593389"/>
    <w:rsid w:val="00593591"/>
    <w:rsid w:val="00593FE6"/>
    <w:rsid w:val="005943D7"/>
    <w:rsid w:val="005956A3"/>
    <w:rsid w:val="00595958"/>
    <w:rsid w:val="00595CAB"/>
    <w:rsid w:val="0059622E"/>
    <w:rsid w:val="0059687F"/>
    <w:rsid w:val="00597671"/>
    <w:rsid w:val="00597BBF"/>
    <w:rsid w:val="005A030F"/>
    <w:rsid w:val="005A040C"/>
    <w:rsid w:val="005A0463"/>
    <w:rsid w:val="005A0948"/>
    <w:rsid w:val="005A0A03"/>
    <w:rsid w:val="005A10F2"/>
    <w:rsid w:val="005A16C0"/>
    <w:rsid w:val="005A18CF"/>
    <w:rsid w:val="005A2156"/>
    <w:rsid w:val="005A21E0"/>
    <w:rsid w:val="005A2401"/>
    <w:rsid w:val="005A2692"/>
    <w:rsid w:val="005A28FF"/>
    <w:rsid w:val="005A2C09"/>
    <w:rsid w:val="005A3778"/>
    <w:rsid w:val="005A37B0"/>
    <w:rsid w:val="005A3DF8"/>
    <w:rsid w:val="005A4C24"/>
    <w:rsid w:val="005A5549"/>
    <w:rsid w:val="005A566A"/>
    <w:rsid w:val="005A56E0"/>
    <w:rsid w:val="005A5F92"/>
    <w:rsid w:val="005A6032"/>
    <w:rsid w:val="005A70CA"/>
    <w:rsid w:val="005A7ABD"/>
    <w:rsid w:val="005A7CF8"/>
    <w:rsid w:val="005B0EDA"/>
    <w:rsid w:val="005B121D"/>
    <w:rsid w:val="005B26B0"/>
    <w:rsid w:val="005B41C9"/>
    <w:rsid w:val="005B44E6"/>
    <w:rsid w:val="005B4853"/>
    <w:rsid w:val="005B5A17"/>
    <w:rsid w:val="005B6CA1"/>
    <w:rsid w:val="005B7580"/>
    <w:rsid w:val="005B770C"/>
    <w:rsid w:val="005C00F6"/>
    <w:rsid w:val="005C0461"/>
    <w:rsid w:val="005C06ED"/>
    <w:rsid w:val="005C0CE1"/>
    <w:rsid w:val="005C11B8"/>
    <w:rsid w:val="005C16C2"/>
    <w:rsid w:val="005C173A"/>
    <w:rsid w:val="005C18FB"/>
    <w:rsid w:val="005C1D5F"/>
    <w:rsid w:val="005C216C"/>
    <w:rsid w:val="005C2609"/>
    <w:rsid w:val="005C2B30"/>
    <w:rsid w:val="005C31D1"/>
    <w:rsid w:val="005C412B"/>
    <w:rsid w:val="005C41BD"/>
    <w:rsid w:val="005C43EC"/>
    <w:rsid w:val="005C45DD"/>
    <w:rsid w:val="005C4704"/>
    <w:rsid w:val="005C4841"/>
    <w:rsid w:val="005C484D"/>
    <w:rsid w:val="005C4CB1"/>
    <w:rsid w:val="005C612E"/>
    <w:rsid w:val="005C63EC"/>
    <w:rsid w:val="005C70AB"/>
    <w:rsid w:val="005D015C"/>
    <w:rsid w:val="005D2873"/>
    <w:rsid w:val="005D3365"/>
    <w:rsid w:val="005D3F06"/>
    <w:rsid w:val="005D4608"/>
    <w:rsid w:val="005D4B73"/>
    <w:rsid w:val="005D533D"/>
    <w:rsid w:val="005D5645"/>
    <w:rsid w:val="005D5802"/>
    <w:rsid w:val="005D5AA9"/>
    <w:rsid w:val="005D66E6"/>
    <w:rsid w:val="005D7119"/>
    <w:rsid w:val="005D76C8"/>
    <w:rsid w:val="005D7890"/>
    <w:rsid w:val="005D7B4F"/>
    <w:rsid w:val="005E0478"/>
    <w:rsid w:val="005E09B4"/>
    <w:rsid w:val="005E18E8"/>
    <w:rsid w:val="005E19C1"/>
    <w:rsid w:val="005E2194"/>
    <w:rsid w:val="005E24F0"/>
    <w:rsid w:val="005E3113"/>
    <w:rsid w:val="005E36FE"/>
    <w:rsid w:val="005E3854"/>
    <w:rsid w:val="005E3AAC"/>
    <w:rsid w:val="005E3F66"/>
    <w:rsid w:val="005E490F"/>
    <w:rsid w:val="005E4BC9"/>
    <w:rsid w:val="005E5314"/>
    <w:rsid w:val="005E6274"/>
    <w:rsid w:val="005E7724"/>
    <w:rsid w:val="005E7C78"/>
    <w:rsid w:val="005E7FA6"/>
    <w:rsid w:val="005F04A7"/>
    <w:rsid w:val="005F0E3A"/>
    <w:rsid w:val="005F1123"/>
    <w:rsid w:val="005F114F"/>
    <w:rsid w:val="005F18C5"/>
    <w:rsid w:val="005F23DC"/>
    <w:rsid w:val="005F247B"/>
    <w:rsid w:val="005F2A08"/>
    <w:rsid w:val="005F36CC"/>
    <w:rsid w:val="005F3EB1"/>
    <w:rsid w:val="005F413E"/>
    <w:rsid w:val="005F466B"/>
    <w:rsid w:val="005F46D8"/>
    <w:rsid w:val="005F480F"/>
    <w:rsid w:val="005F5271"/>
    <w:rsid w:val="005F5469"/>
    <w:rsid w:val="005F61BF"/>
    <w:rsid w:val="005F63F3"/>
    <w:rsid w:val="005F66F0"/>
    <w:rsid w:val="005F6B2D"/>
    <w:rsid w:val="005F6D7F"/>
    <w:rsid w:val="005F6DFE"/>
    <w:rsid w:val="005F7174"/>
    <w:rsid w:val="00600ECB"/>
    <w:rsid w:val="00601191"/>
    <w:rsid w:val="0060120D"/>
    <w:rsid w:val="006017C1"/>
    <w:rsid w:val="00601ADE"/>
    <w:rsid w:val="00601EEF"/>
    <w:rsid w:val="0060255A"/>
    <w:rsid w:val="00602998"/>
    <w:rsid w:val="00602EB3"/>
    <w:rsid w:val="00603273"/>
    <w:rsid w:val="00603787"/>
    <w:rsid w:val="00604307"/>
    <w:rsid w:val="0060487F"/>
    <w:rsid w:val="00604EAD"/>
    <w:rsid w:val="0060513F"/>
    <w:rsid w:val="006065E2"/>
    <w:rsid w:val="0060694B"/>
    <w:rsid w:val="00607DBA"/>
    <w:rsid w:val="006104FB"/>
    <w:rsid w:val="00610E23"/>
    <w:rsid w:val="0061176D"/>
    <w:rsid w:val="00611866"/>
    <w:rsid w:val="0061200F"/>
    <w:rsid w:val="006125EF"/>
    <w:rsid w:val="00612680"/>
    <w:rsid w:val="00612756"/>
    <w:rsid w:val="00612A2F"/>
    <w:rsid w:val="00612A85"/>
    <w:rsid w:val="00612AA0"/>
    <w:rsid w:val="00612AAE"/>
    <w:rsid w:val="00612B07"/>
    <w:rsid w:val="00612FD9"/>
    <w:rsid w:val="006139E0"/>
    <w:rsid w:val="00613C26"/>
    <w:rsid w:val="00614D35"/>
    <w:rsid w:val="006155BA"/>
    <w:rsid w:val="006156B4"/>
    <w:rsid w:val="00615DAF"/>
    <w:rsid w:val="00616254"/>
    <w:rsid w:val="0061672A"/>
    <w:rsid w:val="00616A46"/>
    <w:rsid w:val="00616E05"/>
    <w:rsid w:val="006176EF"/>
    <w:rsid w:val="00617939"/>
    <w:rsid w:val="00617985"/>
    <w:rsid w:val="006205C7"/>
    <w:rsid w:val="00620641"/>
    <w:rsid w:val="00620B77"/>
    <w:rsid w:val="00621190"/>
    <w:rsid w:val="0062131B"/>
    <w:rsid w:val="00621D46"/>
    <w:rsid w:val="00621E26"/>
    <w:rsid w:val="00621E77"/>
    <w:rsid w:val="006224EA"/>
    <w:rsid w:val="0062263A"/>
    <w:rsid w:val="006227DF"/>
    <w:rsid w:val="006234A0"/>
    <w:rsid w:val="006236C8"/>
    <w:rsid w:val="00624093"/>
    <w:rsid w:val="00625A84"/>
    <w:rsid w:val="00626079"/>
    <w:rsid w:val="00626F0E"/>
    <w:rsid w:val="00631698"/>
    <w:rsid w:val="00631E44"/>
    <w:rsid w:val="00632874"/>
    <w:rsid w:val="00634C57"/>
    <w:rsid w:val="00634CE7"/>
    <w:rsid w:val="006350D5"/>
    <w:rsid w:val="0063642C"/>
    <w:rsid w:val="0063723A"/>
    <w:rsid w:val="006376B3"/>
    <w:rsid w:val="00637858"/>
    <w:rsid w:val="006404A7"/>
    <w:rsid w:val="006407EB"/>
    <w:rsid w:val="0064086F"/>
    <w:rsid w:val="00640A38"/>
    <w:rsid w:val="00640BA6"/>
    <w:rsid w:val="00640E6B"/>
    <w:rsid w:val="00641787"/>
    <w:rsid w:val="0064179B"/>
    <w:rsid w:val="00641BBD"/>
    <w:rsid w:val="00642489"/>
    <w:rsid w:val="0064378A"/>
    <w:rsid w:val="00644055"/>
    <w:rsid w:val="00644137"/>
    <w:rsid w:val="0064478C"/>
    <w:rsid w:val="00645160"/>
    <w:rsid w:val="006451E4"/>
    <w:rsid w:val="0064574B"/>
    <w:rsid w:val="00645B33"/>
    <w:rsid w:val="00646C3A"/>
    <w:rsid w:val="00647074"/>
    <w:rsid w:val="006476D7"/>
    <w:rsid w:val="006516CB"/>
    <w:rsid w:val="0065235A"/>
    <w:rsid w:val="00652E30"/>
    <w:rsid w:val="00653601"/>
    <w:rsid w:val="00653BD0"/>
    <w:rsid w:val="00654110"/>
    <w:rsid w:val="006547DA"/>
    <w:rsid w:val="00656C5D"/>
    <w:rsid w:val="00656CFB"/>
    <w:rsid w:val="00656D25"/>
    <w:rsid w:val="006574EA"/>
    <w:rsid w:val="00657977"/>
    <w:rsid w:val="00657E87"/>
    <w:rsid w:val="00660533"/>
    <w:rsid w:val="0066096D"/>
    <w:rsid w:val="00660C64"/>
    <w:rsid w:val="00660CD3"/>
    <w:rsid w:val="00660D2D"/>
    <w:rsid w:val="00661745"/>
    <w:rsid w:val="00661C41"/>
    <w:rsid w:val="00661C99"/>
    <w:rsid w:val="00661EC9"/>
    <w:rsid w:val="00662469"/>
    <w:rsid w:val="006627FF"/>
    <w:rsid w:val="00662860"/>
    <w:rsid w:val="0066345F"/>
    <w:rsid w:val="0066411C"/>
    <w:rsid w:val="00664205"/>
    <w:rsid w:val="00664647"/>
    <w:rsid w:val="00664803"/>
    <w:rsid w:val="0066502F"/>
    <w:rsid w:val="0066539A"/>
    <w:rsid w:val="006653CC"/>
    <w:rsid w:val="00665501"/>
    <w:rsid w:val="00665769"/>
    <w:rsid w:val="00665982"/>
    <w:rsid w:val="00665BA4"/>
    <w:rsid w:val="00666104"/>
    <w:rsid w:val="00666BF3"/>
    <w:rsid w:val="00667856"/>
    <w:rsid w:val="00667AF2"/>
    <w:rsid w:val="00667F4A"/>
    <w:rsid w:val="00670489"/>
    <w:rsid w:val="006710C9"/>
    <w:rsid w:val="00671564"/>
    <w:rsid w:val="00671D85"/>
    <w:rsid w:val="00672257"/>
    <w:rsid w:val="00672586"/>
    <w:rsid w:val="006727BC"/>
    <w:rsid w:val="00673F39"/>
    <w:rsid w:val="006741CD"/>
    <w:rsid w:val="006748EA"/>
    <w:rsid w:val="00674D89"/>
    <w:rsid w:val="0067514E"/>
    <w:rsid w:val="00675E37"/>
    <w:rsid w:val="006760B8"/>
    <w:rsid w:val="0067635D"/>
    <w:rsid w:val="00676736"/>
    <w:rsid w:val="006767F8"/>
    <w:rsid w:val="006769A4"/>
    <w:rsid w:val="006769C6"/>
    <w:rsid w:val="00676D76"/>
    <w:rsid w:val="00676F9F"/>
    <w:rsid w:val="00677519"/>
    <w:rsid w:val="00677591"/>
    <w:rsid w:val="00677594"/>
    <w:rsid w:val="00677FA3"/>
    <w:rsid w:val="0068032F"/>
    <w:rsid w:val="00680D37"/>
    <w:rsid w:val="0068174E"/>
    <w:rsid w:val="00681797"/>
    <w:rsid w:val="00681DCE"/>
    <w:rsid w:val="00682110"/>
    <w:rsid w:val="0068260E"/>
    <w:rsid w:val="006839EB"/>
    <w:rsid w:val="00683C4F"/>
    <w:rsid w:val="006846B3"/>
    <w:rsid w:val="00684B9B"/>
    <w:rsid w:val="00684C96"/>
    <w:rsid w:val="00684D59"/>
    <w:rsid w:val="00684E25"/>
    <w:rsid w:val="006858A4"/>
    <w:rsid w:val="00685C08"/>
    <w:rsid w:val="00686718"/>
    <w:rsid w:val="00686BFA"/>
    <w:rsid w:val="00686D6A"/>
    <w:rsid w:val="00686DED"/>
    <w:rsid w:val="006875A0"/>
    <w:rsid w:val="006878C6"/>
    <w:rsid w:val="00687B85"/>
    <w:rsid w:val="00687D27"/>
    <w:rsid w:val="00690A0C"/>
    <w:rsid w:val="006911ED"/>
    <w:rsid w:val="00691943"/>
    <w:rsid w:val="00693550"/>
    <w:rsid w:val="00693D9B"/>
    <w:rsid w:val="00693F29"/>
    <w:rsid w:val="00694467"/>
    <w:rsid w:val="00694622"/>
    <w:rsid w:val="00695065"/>
    <w:rsid w:val="00695BEF"/>
    <w:rsid w:val="0069610F"/>
    <w:rsid w:val="00696251"/>
    <w:rsid w:val="00696689"/>
    <w:rsid w:val="006966C7"/>
    <w:rsid w:val="006968C1"/>
    <w:rsid w:val="006977F6"/>
    <w:rsid w:val="00697A13"/>
    <w:rsid w:val="006A085E"/>
    <w:rsid w:val="006A0B96"/>
    <w:rsid w:val="006A0DD4"/>
    <w:rsid w:val="006A109C"/>
    <w:rsid w:val="006A1C31"/>
    <w:rsid w:val="006A23F2"/>
    <w:rsid w:val="006A26DA"/>
    <w:rsid w:val="006A3A42"/>
    <w:rsid w:val="006A4E91"/>
    <w:rsid w:val="006A5F4B"/>
    <w:rsid w:val="006A6114"/>
    <w:rsid w:val="006A6233"/>
    <w:rsid w:val="006A6565"/>
    <w:rsid w:val="006A7665"/>
    <w:rsid w:val="006A7691"/>
    <w:rsid w:val="006A7EE2"/>
    <w:rsid w:val="006B0514"/>
    <w:rsid w:val="006B0F92"/>
    <w:rsid w:val="006B1A3F"/>
    <w:rsid w:val="006B2785"/>
    <w:rsid w:val="006B27C7"/>
    <w:rsid w:val="006B344A"/>
    <w:rsid w:val="006B3B67"/>
    <w:rsid w:val="006B3FBA"/>
    <w:rsid w:val="006B4B60"/>
    <w:rsid w:val="006B5898"/>
    <w:rsid w:val="006B58C9"/>
    <w:rsid w:val="006B60ED"/>
    <w:rsid w:val="006B662A"/>
    <w:rsid w:val="006B6CC5"/>
    <w:rsid w:val="006B74AC"/>
    <w:rsid w:val="006B78D8"/>
    <w:rsid w:val="006B79EA"/>
    <w:rsid w:val="006C0C5D"/>
    <w:rsid w:val="006C0CFA"/>
    <w:rsid w:val="006C113F"/>
    <w:rsid w:val="006C123E"/>
    <w:rsid w:val="006C15A1"/>
    <w:rsid w:val="006C1752"/>
    <w:rsid w:val="006C177F"/>
    <w:rsid w:val="006C1DDC"/>
    <w:rsid w:val="006C1FD3"/>
    <w:rsid w:val="006C2764"/>
    <w:rsid w:val="006C28CA"/>
    <w:rsid w:val="006C2BBF"/>
    <w:rsid w:val="006C2EAB"/>
    <w:rsid w:val="006C2FBD"/>
    <w:rsid w:val="006C3336"/>
    <w:rsid w:val="006C3495"/>
    <w:rsid w:val="006C37C5"/>
    <w:rsid w:val="006C4355"/>
    <w:rsid w:val="006C4587"/>
    <w:rsid w:val="006C469D"/>
    <w:rsid w:val="006C46B5"/>
    <w:rsid w:val="006C484F"/>
    <w:rsid w:val="006C52EC"/>
    <w:rsid w:val="006C5506"/>
    <w:rsid w:val="006C56D4"/>
    <w:rsid w:val="006C5980"/>
    <w:rsid w:val="006C5FD8"/>
    <w:rsid w:val="006C6407"/>
    <w:rsid w:val="006C6681"/>
    <w:rsid w:val="006C683C"/>
    <w:rsid w:val="006C6924"/>
    <w:rsid w:val="006C6C1E"/>
    <w:rsid w:val="006C7076"/>
    <w:rsid w:val="006C7518"/>
    <w:rsid w:val="006C7981"/>
    <w:rsid w:val="006C7AEC"/>
    <w:rsid w:val="006C7CA6"/>
    <w:rsid w:val="006D022C"/>
    <w:rsid w:val="006D18B3"/>
    <w:rsid w:val="006D1E89"/>
    <w:rsid w:val="006D26CE"/>
    <w:rsid w:val="006D317E"/>
    <w:rsid w:val="006D3E8A"/>
    <w:rsid w:val="006D47D9"/>
    <w:rsid w:val="006D4F16"/>
    <w:rsid w:val="006D61F6"/>
    <w:rsid w:val="006D68E0"/>
    <w:rsid w:val="006D7208"/>
    <w:rsid w:val="006D74F7"/>
    <w:rsid w:val="006E023D"/>
    <w:rsid w:val="006E0EBE"/>
    <w:rsid w:val="006E0F83"/>
    <w:rsid w:val="006E1081"/>
    <w:rsid w:val="006E1332"/>
    <w:rsid w:val="006E19CB"/>
    <w:rsid w:val="006E279A"/>
    <w:rsid w:val="006E313B"/>
    <w:rsid w:val="006E34B2"/>
    <w:rsid w:val="006E3A45"/>
    <w:rsid w:val="006E3C3D"/>
    <w:rsid w:val="006E4078"/>
    <w:rsid w:val="006E4547"/>
    <w:rsid w:val="006E4BCB"/>
    <w:rsid w:val="006E4EB9"/>
    <w:rsid w:val="006E51C4"/>
    <w:rsid w:val="006E53AD"/>
    <w:rsid w:val="006E56AE"/>
    <w:rsid w:val="006E58CB"/>
    <w:rsid w:val="006E5F68"/>
    <w:rsid w:val="006E6A93"/>
    <w:rsid w:val="006E7227"/>
    <w:rsid w:val="006E761A"/>
    <w:rsid w:val="006F04C5"/>
    <w:rsid w:val="006F0646"/>
    <w:rsid w:val="006F0741"/>
    <w:rsid w:val="006F1C27"/>
    <w:rsid w:val="006F2A65"/>
    <w:rsid w:val="006F3367"/>
    <w:rsid w:val="006F348F"/>
    <w:rsid w:val="006F3DD6"/>
    <w:rsid w:val="006F40DF"/>
    <w:rsid w:val="006F41FE"/>
    <w:rsid w:val="006F42BB"/>
    <w:rsid w:val="006F438E"/>
    <w:rsid w:val="006F440B"/>
    <w:rsid w:val="006F48A3"/>
    <w:rsid w:val="006F4C21"/>
    <w:rsid w:val="006F4DA4"/>
    <w:rsid w:val="006F5416"/>
    <w:rsid w:val="006F624B"/>
    <w:rsid w:val="006F6D87"/>
    <w:rsid w:val="006F6EB9"/>
    <w:rsid w:val="006F6FBF"/>
    <w:rsid w:val="006F6FF2"/>
    <w:rsid w:val="006F79FB"/>
    <w:rsid w:val="007008A9"/>
    <w:rsid w:val="00700E8A"/>
    <w:rsid w:val="007012CB"/>
    <w:rsid w:val="00701691"/>
    <w:rsid w:val="00701955"/>
    <w:rsid w:val="0070398A"/>
    <w:rsid w:val="00703F21"/>
    <w:rsid w:val="00704210"/>
    <w:rsid w:val="00705242"/>
    <w:rsid w:val="007055E0"/>
    <w:rsid w:val="007056ED"/>
    <w:rsid w:val="00705D62"/>
    <w:rsid w:val="00705DF2"/>
    <w:rsid w:val="00705F4E"/>
    <w:rsid w:val="0070658E"/>
    <w:rsid w:val="007065C5"/>
    <w:rsid w:val="007068E1"/>
    <w:rsid w:val="00706AA0"/>
    <w:rsid w:val="00706AD4"/>
    <w:rsid w:val="00707150"/>
    <w:rsid w:val="007071C2"/>
    <w:rsid w:val="00707991"/>
    <w:rsid w:val="007124D7"/>
    <w:rsid w:val="00712913"/>
    <w:rsid w:val="00712C20"/>
    <w:rsid w:val="00713549"/>
    <w:rsid w:val="007140BE"/>
    <w:rsid w:val="007147AB"/>
    <w:rsid w:val="00714D1E"/>
    <w:rsid w:val="00715502"/>
    <w:rsid w:val="00715D01"/>
    <w:rsid w:val="00715E4D"/>
    <w:rsid w:val="00715F12"/>
    <w:rsid w:val="0071677A"/>
    <w:rsid w:val="00716F48"/>
    <w:rsid w:val="007170FB"/>
    <w:rsid w:val="00717114"/>
    <w:rsid w:val="0071779F"/>
    <w:rsid w:val="00720310"/>
    <w:rsid w:val="00720D7A"/>
    <w:rsid w:val="007211F5"/>
    <w:rsid w:val="007213C3"/>
    <w:rsid w:val="0072145E"/>
    <w:rsid w:val="007214EE"/>
    <w:rsid w:val="00721601"/>
    <w:rsid w:val="00722777"/>
    <w:rsid w:val="00722B11"/>
    <w:rsid w:val="00723435"/>
    <w:rsid w:val="00723436"/>
    <w:rsid w:val="007234D4"/>
    <w:rsid w:val="00723553"/>
    <w:rsid w:val="0072382D"/>
    <w:rsid w:val="007240E2"/>
    <w:rsid w:val="0072454C"/>
    <w:rsid w:val="0072526D"/>
    <w:rsid w:val="0072583E"/>
    <w:rsid w:val="00725BB5"/>
    <w:rsid w:val="00725F9D"/>
    <w:rsid w:val="007276DF"/>
    <w:rsid w:val="00727A7C"/>
    <w:rsid w:val="00727C02"/>
    <w:rsid w:val="00727C94"/>
    <w:rsid w:val="0073008E"/>
    <w:rsid w:val="0073044E"/>
    <w:rsid w:val="00730A8B"/>
    <w:rsid w:val="00730AE8"/>
    <w:rsid w:val="00730F1B"/>
    <w:rsid w:val="0073186D"/>
    <w:rsid w:val="0073260E"/>
    <w:rsid w:val="0073261D"/>
    <w:rsid w:val="0073333D"/>
    <w:rsid w:val="00733638"/>
    <w:rsid w:val="007343D9"/>
    <w:rsid w:val="00734926"/>
    <w:rsid w:val="00734AFC"/>
    <w:rsid w:val="00734F71"/>
    <w:rsid w:val="00735448"/>
    <w:rsid w:val="007359EC"/>
    <w:rsid w:val="00736F07"/>
    <w:rsid w:val="00737369"/>
    <w:rsid w:val="007377BD"/>
    <w:rsid w:val="00737DEC"/>
    <w:rsid w:val="0074004D"/>
    <w:rsid w:val="00740D1F"/>
    <w:rsid w:val="00741493"/>
    <w:rsid w:val="0074154A"/>
    <w:rsid w:val="007418E2"/>
    <w:rsid w:val="00741B02"/>
    <w:rsid w:val="00741E79"/>
    <w:rsid w:val="00741F2A"/>
    <w:rsid w:val="00742227"/>
    <w:rsid w:val="007434E5"/>
    <w:rsid w:val="007435CC"/>
    <w:rsid w:val="00743A94"/>
    <w:rsid w:val="00744237"/>
    <w:rsid w:val="0074499B"/>
    <w:rsid w:val="00744F9D"/>
    <w:rsid w:val="0074501E"/>
    <w:rsid w:val="007450BF"/>
    <w:rsid w:val="0074599A"/>
    <w:rsid w:val="00746F45"/>
    <w:rsid w:val="007471A1"/>
    <w:rsid w:val="007477BD"/>
    <w:rsid w:val="007477DA"/>
    <w:rsid w:val="00747EE9"/>
    <w:rsid w:val="007520B6"/>
    <w:rsid w:val="00752180"/>
    <w:rsid w:val="00752323"/>
    <w:rsid w:val="0075236C"/>
    <w:rsid w:val="007532B7"/>
    <w:rsid w:val="007533A0"/>
    <w:rsid w:val="00753CAB"/>
    <w:rsid w:val="00754A70"/>
    <w:rsid w:val="00754BC9"/>
    <w:rsid w:val="00755202"/>
    <w:rsid w:val="00755D3A"/>
    <w:rsid w:val="00757241"/>
    <w:rsid w:val="0075751D"/>
    <w:rsid w:val="0075763E"/>
    <w:rsid w:val="007578D3"/>
    <w:rsid w:val="007602CF"/>
    <w:rsid w:val="00760391"/>
    <w:rsid w:val="007609C6"/>
    <w:rsid w:val="007609DA"/>
    <w:rsid w:val="007615F3"/>
    <w:rsid w:val="0076175D"/>
    <w:rsid w:val="00761774"/>
    <w:rsid w:val="00761CB5"/>
    <w:rsid w:val="007629D5"/>
    <w:rsid w:val="007632D3"/>
    <w:rsid w:val="007635F8"/>
    <w:rsid w:val="007636D4"/>
    <w:rsid w:val="00763B85"/>
    <w:rsid w:val="007644A2"/>
    <w:rsid w:val="00764974"/>
    <w:rsid w:val="00764D18"/>
    <w:rsid w:val="0076521E"/>
    <w:rsid w:val="00765BCC"/>
    <w:rsid w:val="0076600D"/>
    <w:rsid w:val="007661E9"/>
    <w:rsid w:val="00766460"/>
    <w:rsid w:val="00766A98"/>
    <w:rsid w:val="00767062"/>
    <w:rsid w:val="00767601"/>
    <w:rsid w:val="00767777"/>
    <w:rsid w:val="00767933"/>
    <w:rsid w:val="00767FEB"/>
    <w:rsid w:val="00770AB9"/>
    <w:rsid w:val="00770CFC"/>
    <w:rsid w:val="0077130E"/>
    <w:rsid w:val="007715EE"/>
    <w:rsid w:val="00771972"/>
    <w:rsid w:val="00772279"/>
    <w:rsid w:val="007728DF"/>
    <w:rsid w:val="00772DAB"/>
    <w:rsid w:val="00772FF9"/>
    <w:rsid w:val="0077348B"/>
    <w:rsid w:val="0077399F"/>
    <w:rsid w:val="007743DB"/>
    <w:rsid w:val="0077450B"/>
    <w:rsid w:val="00774D2C"/>
    <w:rsid w:val="00775B09"/>
    <w:rsid w:val="00775E00"/>
    <w:rsid w:val="0077605B"/>
    <w:rsid w:val="00776169"/>
    <w:rsid w:val="00776527"/>
    <w:rsid w:val="00777040"/>
    <w:rsid w:val="00777342"/>
    <w:rsid w:val="0077771B"/>
    <w:rsid w:val="00777CE6"/>
    <w:rsid w:val="00777D57"/>
    <w:rsid w:val="007807ED"/>
    <w:rsid w:val="00780EF1"/>
    <w:rsid w:val="007812D2"/>
    <w:rsid w:val="007815FF"/>
    <w:rsid w:val="00781A91"/>
    <w:rsid w:val="00781AD3"/>
    <w:rsid w:val="00781F36"/>
    <w:rsid w:val="00783576"/>
    <w:rsid w:val="00783B17"/>
    <w:rsid w:val="00784AD3"/>
    <w:rsid w:val="00785778"/>
    <w:rsid w:val="00786C87"/>
    <w:rsid w:val="0078755E"/>
    <w:rsid w:val="007877C9"/>
    <w:rsid w:val="00787E26"/>
    <w:rsid w:val="00790764"/>
    <w:rsid w:val="00790831"/>
    <w:rsid w:val="0079085F"/>
    <w:rsid w:val="00790E96"/>
    <w:rsid w:val="00791005"/>
    <w:rsid w:val="007910F6"/>
    <w:rsid w:val="0079124A"/>
    <w:rsid w:val="00791ACA"/>
    <w:rsid w:val="00793049"/>
    <w:rsid w:val="007930C1"/>
    <w:rsid w:val="00793D78"/>
    <w:rsid w:val="0079420B"/>
    <w:rsid w:val="0079453C"/>
    <w:rsid w:val="00794677"/>
    <w:rsid w:val="00794722"/>
    <w:rsid w:val="00795759"/>
    <w:rsid w:val="00797B18"/>
    <w:rsid w:val="007A0831"/>
    <w:rsid w:val="007A1063"/>
    <w:rsid w:val="007A170B"/>
    <w:rsid w:val="007A1ECA"/>
    <w:rsid w:val="007A20EB"/>
    <w:rsid w:val="007A282C"/>
    <w:rsid w:val="007A293C"/>
    <w:rsid w:val="007A2986"/>
    <w:rsid w:val="007A2A3A"/>
    <w:rsid w:val="007A2A40"/>
    <w:rsid w:val="007A33E2"/>
    <w:rsid w:val="007A3CAF"/>
    <w:rsid w:val="007A4664"/>
    <w:rsid w:val="007A4782"/>
    <w:rsid w:val="007A516D"/>
    <w:rsid w:val="007A5DC6"/>
    <w:rsid w:val="007A5E65"/>
    <w:rsid w:val="007A65E1"/>
    <w:rsid w:val="007A6A6E"/>
    <w:rsid w:val="007A6AAA"/>
    <w:rsid w:val="007A7033"/>
    <w:rsid w:val="007A775D"/>
    <w:rsid w:val="007B04B0"/>
    <w:rsid w:val="007B0587"/>
    <w:rsid w:val="007B0820"/>
    <w:rsid w:val="007B0834"/>
    <w:rsid w:val="007B0E83"/>
    <w:rsid w:val="007B11FA"/>
    <w:rsid w:val="007B1396"/>
    <w:rsid w:val="007B16D6"/>
    <w:rsid w:val="007B1D1B"/>
    <w:rsid w:val="007B2011"/>
    <w:rsid w:val="007B289A"/>
    <w:rsid w:val="007B2CFE"/>
    <w:rsid w:val="007B309B"/>
    <w:rsid w:val="007B34EB"/>
    <w:rsid w:val="007B3D5E"/>
    <w:rsid w:val="007B3DCB"/>
    <w:rsid w:val="007B40E8"/>
    <w:rsid w:val="007B4D1F"/>
    <w:rsid w:val="007B54AE"/>
    <w:rsid w:val="007B5725"/>
    <w:rsid w:val="007B5C1F"/>
    <w:rsid w:val="007B6689"/>
    <w:rsid w:val="007B6747"/>
    <w:rsid w:val="007B6F72"/>
    <w:rsid w:val="007B74AA"/>
    <w:rsid w:val="007B78A7"/>
    <w:rsid w:val="007B7AD1"/>
    <w:rsid w:val="007C0319"/>
    <w:rsid w:val="007C10BD"/>
    <w:rsid w:val="007C162D"/>
    <w:rsid w:val="007C16C3"/>
    <w:rsid w:val="007C1BB1"/>
    <w:rsid w:val="007C1F0C"/>
    <w:rsid w:val="007C1FFB"/>
    <w:rsid w:val="007C2D6F"/>
    <w:rsid w:val="007C2D94"/>
    <w:rsid w:val="007C477C"/>
    <w:rsid w:val="007C4A6B"/>
    <w:rsid w:val="007C505E"/>
    <w:rsid w:val="007C55A7"/>
    <w:rsid w:val="007C5F92"/>
    <w:rsid w:val="007C6227"/>
    <w:rsid w:val="007C64F7"/>
    <w:rsid w:val="007C6BBD"/>
    <w:rsid w:val="007C6D89"/>
    <w:rsid w:val="007C6F5E"/>
    <w:rsid w:val="007C7242"/>
    <w:rsid w:val="007C79C0"/>
    <w:rsid w:val="007D0351"/>
    <w:rsid w:val="007D0382"/>
    <w:rsid w:val="007D0F6B"/>
    <w:rsid w:val="007D14FE"/>
    <w:rsid w:val="007D1A1F"/>
    <w:rsid w:val="007D1FC3"/>
    <w:rsid w:val="007D213B"/>
    <w:rsid w:val="007D2783"/>
    <w:rsid w:val="007D2E18"/>
    <w:rsid w:val="007D36D8"/>
    <w:rsid w:val="007D3EF3"/>
    <w:rsid w:val="007D40DF"/>
    <w:rsid w:val="007D42E5"/>
    <w:rsid w:val="007D4458"/>
    <w:rsid w:val="007D4EB4"/>
    <w:rsid w:val="007D6AF9"/>
    <w:rsid w:val="007D7763"/>
    <w:rsid w:val="007E031B"/>
    <w:rsid w:val="007E0535"/>
    <w:rsid w:val="007E07F2"/>
    <w:rsid w:val="007E0CBA"/>
    <w:rsid w:val="007E0D4A"/>
    <w:rsid w:val="007E1788"/>
    <w:rsid w:val="007E1EE3"/>
    <w:rsid w:val="007E29B4"/>
    <w:rsid w:val="007E2F12"/>
    <w:rsid w:val="007E3627"/>
    <w:rsid w:val="007E3B66"/>
    <w:rsid w:val="007E435A"/>
    <w:rsid w:val="007E442B"/>
    <w:rsid w:val="007E445C"/>
    <w:rsid w:val="007E49F7"/>
    <w:rsid w:val="007E4C70"/>
    <w:rsid w:val="007E4DAA"/>
    <w:rsid w:val="007E52EB"/>
    <w:rsid w:val="007E5B5F"/>
    <w:rsid w:val="007E69C6"/>
    <w:rsid w:val="007E7623"/>
    <w:rsid w:val="007E78B6"/>
    <w:rsid w:val="007E7E61"/>
    <w:rsid w:val="007F0845"/>
    <w:rsid w:val="007F0873"/>
    <w:rsid w:val="007F0910"/>
    <w:rsid w:val="007F20F3"/>
    <w:rsid w:val="007F2353"/>
    <w:rsid w:val="007F2390"/>
    <w:rsid w:val="007F2CAC"/>
    <w:rsid w:val="007F2FC5"/>
    <w:rsid w:val="007F3339"/>
    <w:rsid w:val="007F3CB6"/>
    <w:rsid w:val="007F4740"/>
    <w:rsid w:val="007F566F"/>
    <w:rsid w:val="007F595A"/>
    <w:rsid w:val="007F5C38"/>
    <w:rsid w:val="007F5C85"/>
    <w:rsid w:val="007F6638"/>
    <w:rsid w:val="007F708D"/>
    <w:rsid w:val="007F7E3F"/>
    <w:rsid w:val="008006B3"/>
    <w:rsid w:val="00800B63"/>
    <w:rsid w:val="00800D16"/>
    <w:rsid w:val="0080158A"/>
    <w:rsid w:val="00801E13"/>
    <w:rsid w:val="00803008"/>
    <w:rsid w:val="00803069"/>
    <w:rsid w:val="0080346B"/>
    <w:rsid w:val="00804155"/>
    <w:rsid w:val="00804C9F"/>
    <w:rsid w:val="0080559E"/>
    <w:rsid w:val="00805A7E"/>
    <w:rsid w:val="00805AF3"/>
    <w:rsid w:val="00806C53"/>
    <w:rsid w:val="00806C9C"/>
    <w:rsid w:val="008071B1"/>
    <w:rsid w:val="0080734C"/>
    <w:rsid w:val="0080774F"/>
    <w:rsid w:val="00807B47"/>
    <w:rsid w:val="00807C82"/>
    <w:rsid w:val="008112A0"/>
    <w:rsid w:val="008117CC"/>
    <w:rsid w:val="00811FF8"/>
    <w:rsid w:val="008132F7"/>
    <w:rsid w:val="00813601"/>
    <w:rsid w:val="00813AED"/>
    <w:rsid w:val="00813AF4"/>
    <w:rsid w:val="00813D58"/>
    <w:rsid w:val="00813DCA"/>
    <w:rsid w:val="0081535D"/>
    <w:rsid w:val="00815B5D"/>
    <w:rsid w:val="008161A6"/>
    <w:rsid w:val="008165B8"/>
    <w:rsid w:val="008167EC"/>
    <w:rsid w:val="00816905"/>
    <w:rsid w:val="00816D98"/>
    <w:rsid w:val="00816E42"/>
    <w:rsid w:val="00817040"/>
    <w:rsid w:val="008172A9"/>
    <w:rsid w:val="00817A17"/>
    <w:rsid w:val="00817EC1"/>
    <w:rsid w:val="00821092"/>
    <w:rsid w:val="0082112D"/>
    <w:rsid w:val="00821624"/>
    <w:rsid w:val="00821FF6"/>
    <w:rsid w:val="00822574"/>
    <w:rsid w:val="00822980"/>
    <w:rsid w:val="00822F08"/>
    <w:rsid w:val="00824075"/>
    <w:rsid w:val="00824BA6"/>
    <w:rsid w:val="00825007"/>
    <w:rsid w:val="00825120"/>
    <w:rsid w:val="00825406"/>
    <w:rsid w:val="00825C4D"/>
    <w:rsid w:val="00826A08"/>
    <w:rsid w:val="00826AC0"/>
    <w:rsid w:val="00826AE7"/>
    <w:rsid w:val="00826D45"/>
    <w:rsid w:val="00827186"/>
    <w:rsid w:val="00827C8E"/>
    <w:rsid w:val="00830569"/>
    <w:rsid w:val="00830AEA"/>
    <w:rsid w:val="00830E86"/>
    <w:rsid w:val="0083143E"/>
    <w:rsid w:val="008315B8"/>
    <w:rsid w:val="008315D5"/>
    <w:rsid w:val="00831CDE"/>
    <w:rsid w:val="00831F2B"/>
    <w:rsid w:val="008320CF"/>
    <w:rsid w:val="008324A3"/>
    <w:rsid w:val="0083295B"/>
    <w:rsid w:val="00832F77"/>
    <w:rsid w:val="00834304"/>
    <w:rsid w:val="0083471A"/>
    <w:rsid w:val="00834CC3"/>
    <w:rsid w:val="00834FAA"/>
    <w:rsid w:val="008354FB"/>
    <w:rsid w:val="0083569D"/>
    <w:rsid w:val="00835FF1"/>
    <w:rsid w:val="00836086"/>
    <w:rsid w:val="0083630F"/>
    <w:rsid w:val="00836A06"/>
    <w:rsid w:val="00836B5C"/>
    <w:rsid w:val="008374BC"/>
    <w:rsid w:val="008379D6"/>
    <w:rsid w:val="00837E48"/>
    <w:rsid w:val="00840293"/>
    <w:rsid w:val="008402AD"/>
    <w:rsid w:val="00840503"/>
    <w:rsid w:val="008408D4"/>
    <w:rsid w:val="008417B5"/>
    <w:rsid w:val="0084184A"/>
    <w:rsid w:val="00841901"/>
    <w:rsid w:val="00843143"/>
    <w:rsid w:val="008431BB"/>
    <w:rsid w:val="00844C3B"/>
    <w:rsid w:val="008458BD"/>
    <w:rsid w:val="00846121"/>
    <w:rsid w:val="00846130"/>
    <w:rsid w:val="008461C2"/>
    <w:rsid w:val="008462F1"/>
    <w:rsid w:val="008466C6"/>
    <w:rsid w:val="0084708F"/>
    <w:rsid w:val="00847627"/>
    <w:rsid w:val="008477C8"/>
    <w:rsid w:val="008478A6"/>
    <w:rsid w:val="00847CD6"/>
    <w:rsid w:val="008502F6"/>
    <w:rsid w:val="0085036C"/>
    <w:rsid w:val="00850E83"/>
    <w:rsid w:val="0085114D"/>
    <w:rsid w:val="00851163"/>
    <w:rsid w:val="008520A8"/>
    <w:rsid w:val="00852217"/>
    <w:rsid w:val="0085291E"/>
    <w:rsid w:val="00853282"/>
    <w:rsid w:val="0085334C"/>
    <w:rsid w:val="00853455"/>
    <w:rsid w:val="00854291"/>
    <w:rsid w:val="00855408"/>
    <w:rsid w:val="00855D03"/>
    <w:rsid w:val="00856D65"/>
    <w:rsid w:val="00856FA4"/>
    <w:rsid w:val="00857DB4"/>
    <w:rsid w:val="00860D79"/>
    <w:rsid w:val="00861B41"/>
    <w:rsid w:val="00861B9F"/>
    <w:rsid w:val="00861BE3"/>
    <w:rsid w:val="00861EB6"/>
    <w:rsid w:val="008625D3"/>
    <w:rsid w:val="00862A30"/>
    <w:rsid w:val="00862C0A"/>
    <w:rsid w:val="00863434"/>
    <w:rsid w:val="0086344F"/>
    <w:rsid w:val="008641AC"/>
    <w:rsid w:val="00865E4C"/>
    <w:rsid w:val="00866074"/>
    <w:rsid w:val="00867546"/>
    <w:rsid w:val="0086796D"/>
    <w:rsid w:val="008679A5"/>
    <w:rsid w:val="00867B7B"/>
    <w:rsid w:val="00867DAB"/>
    <w:rsid w:val="0087000B"/>
    <w:rsid w:val="008701E4"/>
    <w:rsid w:val="008704E9"/>
    <w:rsid w:val="008705FB"/>
    <w:rsid w:val="008706B0"/>
    <w:rsid w:val="00870ECD"/>
    <w:rsid w:val="00871125"/>
    <w:rsid w:val="008716E0"/>
    <w:rsid w:val="008720B3"/>
    <w:rsid w:val="00872F9F"/>
    <w:rsid w:val="0087347C"/>
    <w:rsid w:val="008734E7"/>
    <w:rsid w:val="0087368D"/>
    <w:rsid w:val="008739FA"/>
    <w:rsid w:val="008740CC"/>
    <w:rsid w:val="0087442A"/>
    <w:rsid w:val="00874578"/>
    <w:rsid w:val="00874624"/>
    <w:rsid w:val="00874962"/>
    <w:rsid w:val="00874FE8"/>
    <w:rsid w:val="0087554A"/>
    <w:rsid w:val="0087573C"/>
    <w:rsid w:val="00875A32"/>
    <w:rsid w:val="00875CC1"/>
    <w:rsid w:val="00876086"/>
    <w:rsid w:val="0087616B"/>
    <w:rsid w:val="00876651"/>
    <w:rsid w:val="00876E06"/>
    <w:rsid w:val="00876E83"/>
    <w:rsid w:val="0087722C"/>
    <w:rsid w:val="008772BC"/>
    <w:rsid w:val="00880A0E"/>
    <w:rsid w:val="00880F17"/>
    <w:rsid w:val="008817FE"/>
    <w:rsid w:val="00881CD7"/>
    <w:rsid w:val="00882911"/>
    <w:rsid w:val="00882F6E"/>
    <w:rsid w:val="00883202"/>
    <w:rsid w:val="008842AA"/>
    <w:rsid w:val="008847B8"/>
    <w:rsid w:val="00884E02"/>
    <w:rsid w:val="0088502B"/>
    <w:rsid w:val="00885D40"/>
    <w:rsid w:val="00886032"/>
    <w:rsid w:val="00886274"/>
    <w:rsid w:val="0088673E"/>
    <w:rsid w:val="00886926"/>
    <w:rsid w:val="008873D4"/>
    <w:rsid w:val="00887911"/>
    <w:rsid w:val="00890CB1"/>
    <w:rsid w:val="00891EDF"/>
    <w:rsid w:val="00892872"/>
    <w:rsid w:val="0089296D"/>
    <w:rsid w:val="00892A24"/>
    <w:rsid w:val="00893E85"/>
    <w:rsid w:val="00893EBE"/>
    <w:rsid w:val="00894031"/>
    <w:rsid w:val="00894C5D"/>
    <w:rsid w:val="00895114"/>
    <w:rsid w:val="00895508"/>
    <w:rsid w:val="00895797"/>
    <w:rsid w:val="0089651B"/>
    <w:rsid w:val="008967E9"/>
    <w:rsid w:val="00896A5C"/>
    <w:rsid w:val="00897155"/>
    <w:rsid w:val="008972D2"/>
    <w:rsid w:val="0089754C"/>
    <w:rsid w:val="00897CFA"/>
    <w:rsid w:val="008A0659"/>
    <w:rsid w:val="008A0ADD"/>
    <w:rsid w:val="008A0D27"/>
    <w:rsid w:val="008A1C59"/>
    <w:rsid w:val="008A2046"/>
    <w:rsid w:val="008A208B"/>
    <w:rsid w:val="008A30B3"/>
    <w:rsid w:val="008A37E2"/>
    <w:rsid w:val="008A388E"/>
    <w:rsid w:val="008A394E"/>
    <w:rsid w:val="008A3CBA"/>
    <w:rsid w:val="008A48E1"/>
    <w:rsid w:val="008A4B59"/>
    <w:rsid w:val="008A5116"/>
    <w:rsid w:val="008A63E1"/>
    <w:rsid w:val="008A6475"/>
    <w:rsid w:val="008A66B7"/>
    <w:rsid w:val="008A68BB"/>
    <w:rsid w:val="008A6AA5"/>
    <w:rsid w:val="008A7127"/>
    <w:rsid w:val="008A7597"/>
    <w:rsid w:val="008B06C2"/>
    <w:rsid w:val="008B0CBA"/>
    <w:rsid w:val="008B1792"/>
    <w:rsid w:val="008B1850"/>
    <w:rsid w:val="008B2639"/>
    <w:rsid w:val="008B2D31"/>
    <w:rsid w:val="008B3537"/>
    <w:rsid w:val="008B3690"/>
    <w:rsid w:val="008B3A80"/>
    <w:rsid w:val="008B3AEC"/>
    <w:rsid w:val="008B3C07"/>
    <w:rsid w:val="008B3F7B"/>
    <w:rsid w:val="008B4242"/>
    <w:rsid w:val="008B43CA"/>
    <w:rsid w:val="008B5324"/>
    <w:rsid w:val="008B5C99"/>
    <w:rsid w:val="008B6106"/>
    <w:rsid w:val="008B6409"/>
    <w:rsid w:val="008B7C02"/>
    <w:rsid w:val="008B7D2B"/>
    <w:rsid w:val="008B7EF9"/>
    <w:rsid w:val="008C0049"/>
    <w:rsid w:val="008C0314"/>
    <w:rsid w:val="008C0A94"/>
    <w:rsid w:val="008C0E3C"/>
    <w:rsid w:val="008C0E88"/>
    <w:rsid w:val="008C0EBE"/>
    <w:rsid w:val="008C1717"/>
    <w:rsid w:val="008C17F0"/>
    <w:rsid w:val="008C239D"/>
    <w:rsid w:val="008C3A32"/>
    <w:rsid w:val="008C3B05"/>
    <w:rsid w:val="008C4B50"/>
    <w:rsid w:val="008C5128"/>
    <w:rsid w:val="008C58EF"/>
    <w:rsid w:val="008C5A37"/>
    <w:rsid w:val="008C6EB0"/>
    <w:rsid w:val="008C7569"/>
    <w:rsid w:val="008C79C3"/>
    <w:rsid w:val="008D006F"/>
    <w:rsid w:val="008D033D"/>
    <w:rsid w:val="008D0759"/>
    <w:rsid w:val="008D0DBD"/>
    <w:rsid w:val="008D117E"/>
    <w:rsid w:val="008D127E"/>
    <w:rsid w:val="008D1CA8"/>
    <w:rsid w:val="008D1E0A"/>
    <w:rsid w:val="008D1E6A"/>
    <w:rsid w:val="008D2407"/>
    <w:rsid w:val="008D2A16"/>
    <w:rsid w:val="008D2AEC"/>
    <w:rsid w:val="008D2F75"/>
    <w:rsid w:val="008D3295"/>
    <w:rsid w:val="008D33F5"/>
    <w:rsid w:val="008D35E4"/>
    <w:rsid w:val="008D3ACD"/>
    <w:rsid w:val="008D3CEE"/>
    <w:rsid w:val="008D4200"/>
    <w:rsid w:val="008D5F1D"/>
    <w:rsid w:val="008D6C3A"/>
    <w:rsid w:val="008D70E2"/>
    <w:rsid w:val="008D7F47"/>
    <w:rsid w:val="008E0001"/>
    <w:rsid w:val="008E039E"/>
    <w:rsid w:val="008E0CFA"/>
    <w:rsid w:val="008E292B"/>
    <w:rsid w:val="008E2C57"/>
    <w:rsid w:val="008E31FF"/>
    <w:rsid w:val="008E3287"/>
    <w:rsid w:val="008E38E4"/>
    <w:rsid w:val="008E3C67"/>
    <w:rsid w:val="008E3DFA"/>
    <w:rsid w:val="008E3E88"/>
    <w:rsid w:val="008E490D"/>
    <w:rsid w:val="008E51EB"/>
    <w:rsid w:val="008E5746"/>
    <w:rsid w:val="008E64D7"/>
    <w:rsid w:val="008E69F6"/>
    <w:rsid w:val="008E6CA2"/>
    <w:rsid w:val="008E6DCB"/>
    <w:rsid w:val="008E6F06"/>
    <w:rsid w:val="008E7000"/>
    <w:rsid w:val="008E723E"/>
    <w:rsid w:val="008E7B8E"/>
    <w:rsid w:val="008E7FC9"/>
    <w:rsid w:val="008F0107"/>
    <w:rsid w:val="008F029B"/>
    <w:rsid w:val="008F0589"/>
    <w:rsid w:val="008F115A"/>
    <w:rsid w:val="008F29CE"/>
    <w:rsid w:val="008F2A5D"/>
    <w:rsid w:val="008F2BC7"/>
    <w:rsid w:val="008F2E83"/>
    <w:rsid w:val="008F3636"/>
    <w:rsid w:val="008F3FC9"/>
    <w:rsid w:val="008F509F"/>
    <w:rsid w:val="008F525A"/>
    <w:rsid w:val="008F5383"/>
    <w:rsid w:val="008F585B"/>
    <w:rsid w:val="008F7FB0"/>
    <w:rsid w:val="009003A8"/>
    <w:rsid w:val="009005E4"/>
    <w:rsid w:val="00900977"/>
    <w:rsid w:val="00900AA5"/>
    <w:rsid w:val="009021DA"/>
    <w:rsid w:val="00902500"/>
    <w:rsid w:val="00902EFF"/>
    <w:rsid w:val="00903A8E"/>
    <w:rsid w:val="0090432C"/>
    <w:rsid w:val="00904F96"/>
    <w:rsid w:val="00905037"/>
    <w:rsid w:val="009052A3"/>
    <w:rsid w:val="00905314"/>
    <w:rsid w:val="009056D7"/>
    <w:rsid w:val="00905B8D"/>
    <w:rsid w:val="00905D90"/>
    <w:rsid w:val="00906401"/>
    <w:rsid w:val="009065CB"/>
    <w:rsid w:val="009067EA"/>
    <w:rsid w:val="00906B79"/>
    <w:rsid w:val="0090786F"/>
    <w:rsid w:val="009079CA"/>
    <w:rsid w:val="0091001E"/>
    <w:rsid w:val="00910C18"/>
    <w:rsid w:val="009110F7"/>
    <w:rsid w:val="009112E3"/>
    <w:rsid w:val="0091155E"/>
    <w:rsid w:val="00912437"/>
    <w:rsid w:val="00912A38"/>
    <w:rsid w:val="00912A92"/>
    <w:rsid w:val="00913237"/>
    <w:rsid w:val="00913B36"/>
    <w:rsid w:val="00913FDA"/>
    <w:rsid w:val="0091476D"/>
    <w:rsid w:val="00914AC7"/>
    <w:rsid w:val="00915D07"/>
    <w:rsid w:val="009160D6"/>
    <w:rsid w:val="009162AE"/>
    <w:rsid w:val="00917154"/>
    <w:rsid w:val="00917251"/>
    <w:rsid w:val="0091728D"/>
    <w:rsid w:val="00917351"/>
    <w:rsid w:val="00917A2B"/>
    <w:rsid w:val="0092036B"/>
    <w:rsid w:val="009203CC"/>
    <w:rsid w:val="00920EC4"/>
    <w:rsid w:val="0092180B"/>
    <w:rsid w:val="00921F14"/>
    <w:rsid w:val="009227A9"/>
    <w:rsid w:val="0092292F"/>
    <w:rsid w:val="00922AAE"/>
    <w:rsid w:val="00922D28"/>
    <w:rsid w:val="00923AE5"/>
    <w:rsid w:val="00923CB0"/>
    <w:rsid w:val="00923D8C"/>
    <w:rsid w:val="00924871"/>
    <w:rsid w:val="009248DB"/>
    <w:rsid w:val="00924AC8"/>
    <w:rsid w:val="00924E73"/>
    <w:rsid w:val="00925429"/>
    <w:rsid w:val="00925615"/>
    <w:rsid w:val="0092572D"/>
    <w:rsid w:val="0092597A"/>
    <w:rsid w:val="00926427"/>
    <w:rsid w:val="00926520"/>
    <w:rsid w:val="00926956"/>
    <w:rsid w:val="00926C8A"/>
    <w:rsid w:val="00926CF0"/>
    <w:rsid w:val="009273A9"/>
    <w:rsid w:val="00927E1A"/>
    <w:rsid w:val="00930251"/>
    <w:rsid w:val="0093033E"/>
    <w:rsid w:val="009305FC"/>
    <w:rsid w:val="00930FB1"/>
    <w:rsid w:val="00931163"/>
    <w:rsid w:val="0093139F"/>
    <w:rsid w:val="00932098"/>
    <w:rsid w:val="00932239"/>
    <w:rsid w:val="00932443"/>
    <w:rsid w:val="00932B32"/>
    <w:rsid w:val="00932BF5"/>
    <w:rsid w:val="00932F45"/>
    <w:rsid w:val="0093305E"/>
    <w:rsid w:val="00933F4A"/>
    <w:rsid w:val="009341F1"/>
    <w:rsid w:val="00934FF2"/>
    <w:rsid w:val="009358D7"/>
    <w:rsid w:val="00935BD4"/>
    <w:rsid w:val="00935DFE"/>
    <w:rsid w:val="00935F70"/>
    <w:rsid w:val="0093648B"/>
    <w:rsid w:val="00936906"/>
    <w:rsid w:val="00937017"/>
    <w:rsid w:val="009373B2"/>
    <w:rsid w:val="009378B2"/>
    <w:rsid w:val="00937AE2"/>
    <w:rsid w:val="00937CE5"/>
    <w:rsid w:val="0094061F"/>
    <w:rsid w:val="00940F0F"/>
    <w:rsid w:val="00940FB0"/>
    <w:rsid w:val="00941912"/>
    <w:rsid w:val="009434A5"/>
    <w:rsid w:val="0094356F"/>
    <w:rsid w:val="00943B66"/>
    <w:rsid w:val="0094416B"/>
    <w:rsid w:val="0094427A"/>
    <w:rsid w:val="009449C6"/>
    <w:rsid w:val="00944C7C"/>
    <w:rsid w:val="00945245"/>
    <w:rsid w:val="00945523"/>
    <w:rsid w:val="0094580E"/>
    <w:rsid w:val="00946C43"/>
    <w:rsid w:val="00950921"/>
    <w:rsid w:val="00951457"/>
    <w:rsid w:val="00951D68"/>
    <w:rsid w:val="00951E5B"/>
    <w:rsid w:val="00952050"/>
    <w:rsid w:val="00952315"/>
    <w:rsid w:val="009523D9"/>
    <w:rsid w:val="00952B7B"/>
    <w:rsid w:val="00952C67"/>
    <w:rsid w:val="0095357B"/>
    <w:rsid w:val="009538B3"/>
    <w:rsid w:val="00953B99"/>
    <w:rsid w:val="00954183"/>
    <w:rsid w:val="00954F39"/>
    <w:rsid w:val="009550A2"/>
    <w:rsid w:val="009550FF"/>
    <w:rsid w:val="009555FD"/>
    <w:rsid w:val="00955655"/>
    <w:rsid w:val="00955BAD"/>
    <w:rsid w:val="00955CDA"/>
    <w:rsid w:val="009560D7"/>
    <w:rsid w:val="009563B3"/>
    <w:rsid w:val="0095664B"/>
    <w:rsid w:val="009566A4"/>
    <w:rsid w:val="009567A9"/>
    <w:rsid w:val="009568DC"/>
    <w:rsid w:val="00957140"/>
    <w:rsid w:val="00957445"/>
    <w:rsid w:val="0095759C"/>
    <w:rsid w:val="0096101F"/>
    <w:rsid w:val="009618EE"/>
    <w:rsid w:val="00961DDD"/>
    <w:rsid w:val="009624D2"/>
    <w:rsid w:val="009628D9"/>
    <w:rsid w:val="009630EB"/>
    <w:rsid w:val="009637AE"/>
    <w:rsid w:val="00963A06"/>
    <w:rsid w:val="00963B36"/>
    <w:rsid w:val="00964068"/>
    <w:rsid w:val="009640F6"/>
    <w:rsid w:val="0096469D"/>
    <w:rsid w:val="00964776"/>
    <w:rsid w:val="00964A4E"/>
    <w:rsid w:val="00964B35"/>
    <w:rsid w:val="00964F43"/>
    <w:rsid w:val="009651C7"/>
    <w:rsid w:val="00965797"/>
    <w:rsid w:val="00965A10"/>
    <w:rsid w:val="00965AD0"/>
    <w:rsid w:val="009670A3"/>
    <w:rsid w:val="009674BE"/>
    <w:rsid w:val="0097053D"/>
    <w:rsid w:val="00970FB5"/>
    <w:rsid w:val="00971710"/>
    <w:rsid w:val="00971B87"/>
    <w:rsid w:val="00971C77"/>
    <w:rsid w:val="00971CDA"/>
    <w:rsid w:val="0097203A"/>
    <w:rsid w:val="00972FCD"/>
    <w:rsid w:val="0097328E"/>
    <w:rsid w:val="00973324"/>
    <w:rsid w:val="009736DF"/>
    <w:rsid w:val="009741AE"/>
    <w:rsid w:val="009741FC"/>
    <w:rsid w:val="0097442F"/>
    <w:rsid w:val="00974782"/>
    <w:rsid w:val="00974923"/>
    <w:rsid w:val="00975909"/>
    <w:rsid w:val="00976631"/>
    <w:rsid w:val="00977C33"/>
    <w:rsid w:val="00977C3D"/>
    <w:rsid w:val="009804F2"/>
    <w:rsid w:val="00980997"/>
    <w:rsid w:val="00980D3D"/>
    <w:rsid w:val="0098103E"/>
    <w:rsid w:val="0098157D"/>
    <w:rsid w:val="00981894"/>
    <w:rsid w:val="00981B62"/>
    <w:rsid w:val="00982CB5"/>
    <w:rsid w:val="00982FEF"/>
    <w:rsid w:val="00983101"/>
    <w:rsid w:val="00983E41"/>
    <w:rsid w:val="009845E1"/>
    <w:rsid w:val="00984CE5"/>
    <w:rsid w:val="00984D1B"/>
    <w:rsid w:val="00985DA3"/>
    <w:rsid w:val="00986246"/>
    <w:rsid w:val="00986EB1"/>
    <w:rsid w:val="00987743"/>
    <w:rsid w:val="00987A2E"/>
    <w:rsid w:val="00987A30"/>
    <w:rsid w:val="00990312"/>
    <w:rsid w:val="009908AF"/>
    <w:rsid w:val="0099182E"/>
    <w:rsid w:val="00991D45"/>
    <w:rsid w:val="00992B49"/>
    <w:rsid w:val="00992BB3"/>
    <w:rsid w:val="00992CF3"/>
    <w:rsid w:val="00992F11"/>
    <w:rsid w:val="00993194"/>
    <w:rsid w:val="0099321E"/>
    <w:rsid w:val="00994171"/>
    <w:rsid w:val="00994868"/>
    <w:rsid w:val="00994976"/>
    <w:rsid w:val="00994D28"/>
    <w:rsid w:val="00994F2C"/>
    <w:rsid w:val="00995720"/>
    <w:rsid w:val="009957CC"/>
    <w:rsid w:val="00996370"/>
    <w:rsid w:val="009968D6"/>
    <w:rsid w:val="0099699F"/>
    <w:rsid w:val="00997646"/>
    <w:rsid w:val="00997953"/>
    <w:rsid w:val="00997D55"/>
    <w:rsid w:val="00997E23"/>
    <w:rsid w:val="009A0BFF"/>
    <w:rsid w:val="009A10A0"/>
    <w:rsid w:val="009A12B7"/>
    <w:rsid w:val="009A16E6"/>
    <w:rsid w:val="009A1CAB"/>
    <w:rsid w:val="009A2359"/>
    <w:rsid w:val="009A24F1"/>
    <w:rsid w:val="009A27E0"/>
    <w:rsid w:val="009A4D57"/>
    <w:rsid w:val="009A4E5E"/>
    <w:rsid w:val="009A51A5"/>
    <w:rsid w:val="009A5309"/>
    <w:rsid w:val="009A5526"/>
    <w:rsid w:val="009A5759"/>
    <w:rsid w:val="009A5E32"/>
    <w:rsid w:val="009A60D1"/>
    <w:rsid w:val="009A6225"/>
    <w:rsid w:val="009A64F5"/>
    <w:rsid w:val="009A6C12"/>
    <w:rsid w:val="009A6D5C"/>
    <w:rsid w:val="009B00D2"/>
    <w:rsid w:val="009B05B3"/>
    <w:rsid w:val="009B0CAF"/>
    <w:rsid w:val="009B1324"/>
    <w:rsid w:val="009B2558"/>
    <w:rsid w:val="009B284F"/>
    <w:rsid w:val="009B2CE4"/>
    <w:rsid w:val="009B3764"/>
    <w:rsid w:val="009B3840"/>
    <w:rsid w:val="009B4B8E"/>
    <w:rsid w:val="009B4F2C"/>
    <w:rsid w:val="009B52AC"/>
    <w:rsid w:val="009B553D"/>
    <w:rsid w:val="009B59EA"/>
    <w:rsid w:val="009B5B6E"/>
    <w:rsid w:val="009B66CE"/>
    <w:rsid w:val="009B6FD3"/>
    <w:rsid w:val="009B72BE"/>
    <w:rsid w:val="009B78A4"/>
    <w:rsid w:val="009B7DB2"/>
    <w:rsid w:val="009C03DB"/>
    <w:rsid w:val="009C047E"/>
    <w:rsid w:val="009C15AF"/>
    <w:rsid w:val="009C1750"/>
    <w:rsid w:val="009C1A5A"/>
    <w:rsid w:val="009C2E29"/>
    <w:rsid w:val="009C3E8F"/>
    <w:rsid w:val="009C4275"/>
    <w:rsid w:val="009C550E"/>
    <w:rsid w:val="009C554B"/>
    <w:rsid w:val="009C5E83"/>
    <w:rsid w:val="009C7126"/>
    <w:rsid w:val="009C719E"/>
    <w:rsid w:val="009C7799"/>
    <w:rsid w:val="009C77AF"/>
    <w:rsid w:val="009D07A9"/>
    <w:rsid w:val="009D0AE2"/>
    <w:rsid w:val="009D0D9F"/>
    <w:rsid w:val="009D0EBB"/>
    <w:rsid w:val="009D12B7"/>
    <w:rsid w:val="009D1FE6"/>
    <w:rsid w:val="009D2038"/>
    <w:rsid w:val="009D25FB"/>
    <w:rsid w:val="009D27D1"/>
    <w:rsid w:val="009D2C46"/>
    <w:rsid w:val="009D370B"/>
    <w:rsid w:val="009D3ACD"/>
    <w:rsid w:val="009D4254"/>
    <w:rsid w:val="009D4F21"/>
    <w:rsid w:val="009D587D"/>
    <w:rsid w:val="009D6EA6"/>
    <w:rsid w:val="009D7731"/>
    <w:rsid w:val="009E00E1"/>
    <w:rsid w:val="009E066D"/>
    <w:rsid w:val="009E1120"/>
    <w:rsid w:val="009E1393"/>
    <w:rsid w:val="009E1922"/>
    <w:rsid w:val="009E1A3D"/>
    <w:rsid w:val="009E1FDE"/>
    <w:rsid w:val="009E22A5"/>
    <w:rsid w:val="009E3388"/>
    <w:rsid w:val="009E3975"/>
    <w:rsid w:val="009E4715"/>
    <w:rsid w:val="009E4A58"/>
    <w:rsid w:val="009E4DFB"/>
    <w:rsid w:val="009E5273"/>
    <w:rsid w:val="009E57A8"/>
    <w:rsid w:val="009E5B85"/>
    <w:rsid w:val="009E5C39"/>
    <w:rsid w:val="009E5DDB"/>
    <w:rsid w:val="009F01E6"/>
    <w:rsid w:val="009F026B"/>
    <w:rsid w:val="009F032E"/>
    <w:rsid w:val="009F1CA6"/>
    <w:rsid w:val="009F23F8"/>
    <w:rsid w:val="009F2921"/>
    <w:rsid w:val="009F42CF"/>
    <w:rsid w:val="009F4982"/>
    <w:rsid w:val="009F4CA7"/>
    <w:rsid w:val="009F4F6A"/>
    <w:rsid w:val="009F55BA"/>
    <w:rsid w:val="009F5A60"/>
    <w:rsid w:val="009F6723"/>
    <w:rsid w:val="009F7BE2"/>
    <w:rsid w:val="009F7D36"/>
    <w:rsid w:val="009F7D61"/>
    <w:rsid w:val="00A00E71"/>
    <w:rsid w:val="00A00E76"/>
    <w:rsid w:val="00A01839"/>
    <w:rsid w:val="00A0187B"/>
    <w:rsid w:val="00A01F1D"/>
    <w:rsid w:val="00A02E8B"/>
    <w:rsid w:val="00A02F2C"/>
    <w:rsid w:val="00A0306F"/>
    <w:rsid w:val="00A032E2"/>
    <w:rsid w:val="00A03511"/>
    <w:rsid w:val="00A03B10"/>
    <w:rsid w:val="00A03E2E"/>
    <w:rsid w:val="00A04616"/>
    <w:rsid w:val="00A04717"/>
    <w:rsid w:val="00A0535F"/>
    <w:rsid w:val="00A05AED"/>
    <w:rsid w:val="00A05D8F"/>
    <w:rsid w:val="00A05EB1"/>
    <w:rsid w:val="00A05EE4"/>
    <w:rsid w:val="00A06280"/>
    <w:rsid w:val="00A06F99"/>
    <w:rsid w:val="00A07730"/>
    <w:rsid w:val="00A1053B"/>
    <w:rsid w:val="00A107F5"/>
    <w:rsid w:val="00A10D66"/>
    <w:rsid w:val="00A113A4"/>
    <w:rsid w:val="00A12A8E"/>
    <w:rsid w:val="00A12BBD"/>
    <w:rsid w:val="00A133F9"/>
    <w:rsid w:val="00A13718"/>
    <w:rsid w:val="00A14114"/>
    <w:rsid w:val="00A149E5"/>
    <w:rsid w:val="00A152AF"/>
    <w:rsid w:val="00A1615C"/>
    <w:rsid w:val="00A16413"/>
    <w:rsid w:val="00A16545"/>
    <w:rsid w:val="00A16A1A"/>
    <w:rsid w:val="00A16A9F"/>
    <w:rsid w:val="00A16AED"/>
    <w:rsid w:val="00A16BD3"/>
    <w:rsid w:val="00A16C37"/>
    <w:rsid w:val="00A16E1D"/>
    <w:rsid w:val="00A170D7"/>
    <w:rsid w:val="00A171D5"/>
    <w:rsid w:val="00A17A15"/>
    <w:rsid w:val="00A17A37"/>
    <w:rsid w:val="00A17D5B"/>
    <w:rsid w:val="00A2016A"/>
    <w:rsid w:val="00A201E1"/>
    <w:rsid w:val="00A20FE1"/>
    <w:rsid w:val="00A21B4D"/>
    <w:rsid w:val="00A21D58"/>
    <w:rsid w:val="00A21F44"/>
    <w:rsid w:val="00A22073"/>
    <w:rsid w:val="00A223E0"/>
    <w:rsid w:val="00A22959"/>
    <w:rsid w:val="00A22F57"/>
    <w:rsid w:val="00A23158"/>
    <w:rsid w:val="00A232D7"/>
    <w:rsid w:val="00A23538"/>
    <w:rsid w:val="00A23847"/>
    <w:rsid w:val="00A23E43"/>
    <w:rsid w:val="00A24726"/>
    <w:rsid w:val="00A24DEB"/>
    <w:rsid w:val="00A24ED9"/>
    <w:rsid w:val="00A251DB"/>
    <w:rsid w:val="00A25216"/>
    <w:rsid w:val="00A2597D"/>
    <w:rsid w:val="00A2628E"/>
    <w:rsid w:val="00A263BA"/>
    <w:rsid w:val="00A266BF"/>
    <w:rsid w:val="00A26777"/>
    <w:rsid w:val="00A269AB"/>
    <w:rsid w:val="00A26BB8"/>
    <w:rsid w:val="00A26E12"/>
    <w:rsid w:val="00A26F2A"/>
    <w:rsid w:val="00A272FF"/>
    <w:rsid w:val="00A2731E"/>
    <w:rsid w:val="00A27707"/>
    <w:rsid w:val="00A30568"/>
    <w:rsid w:val="00A307C2"/>
    <w:rsid w:val="00A308D6"/>
    <w:rsid w:val="00A309AC"/>
    <w:rsid w:val="00A30EA4"/>
    <w:rsid w:val="00A30F65"/>
    <w:rsid w:val="00A315D0"/>
    <w:rsid w:val="00A3279E"/>
    <w:rsid w:val="00A32984"/>
    <w:rsid w:val="00A331E0"/>
    <w:rsid w:val="00A33CF3"/>
    <w:rsid w:val="00A33DB1"/>
    <w:rsid w:val="00A33EEB"/>
    <w:rsid w:val="00A345C2"/>
    <w:rsid w:val="00A34C63"/>
    <w:rsid w:val="00A351C8"/>
    <w:rsid w:val="00A3559C"/>
    <w:rsid w:val="00A356C1"/>
    <w:rsid w:val="00A35900"/>
    <w:rsid w:val="00A35E98"/>
    <w:rsid w:val="00A35F33"/>
    <w:rsid w:val="00A36231"/>
    <w:rsid w:val="00A37262"/>
    <w:rsid w:val="00A37F9F"/>
    <w:rsid w:val="00A401A3"/>
    <w:rsid w:val="00A40C39"/>
    <w:rsid w:val="00A40CD6"/>
    <w:rsid w:val="00A40EAC"/>
    <w:rsid w:val="00A418BC"/>
    <w:rsid w:val="00A419FF"/>
    <w:rsid w:val="00A41FCF"/>
    <w:rsid w:val="00A424B0"/>
    <w:rsid w:val="00A42936"/>
    <w:rsid w:val="00A43A2B"/>
    <w:rsid w:val="00A43CF8"/>
    <w:rsid w:val="00A43DF2"/>
    <w:rsid w:val="00A445A8"/>
    <w:rsid w:val="00A44B0D"/>
    <w:rsid w:val="00A44D21"/>
    <w:rsid w:val="00A45087"/>
    <w:rsid w:val="00A45489"/>
    <w:rsid w:val="00A45858"/>
    <w:rsid w:val="00A45CED"/>
    <w:rsid w:val="00A46502"/>
    <w:rsid w:val="00A465E9"/>
    <w:rsid w:val="00A46854"/>
    <w:rsid w:val="00A46894"/>
    <w:rsid w:val="00A468E7"/>
    <w:rsid w:val="00A46A86"/>
    <w:rsid w:val="00A46DE0"/>
    <w:rsid w:val="00A47240"/>
    <w:rsid w:val="00A478BA"/>
    <w:rsid w:val="00A5003B"/>
    <w:rsid w:val="00A50D73"/>
    <w:rsid w:val="00A518BB"/>
    <w:rsid w:val="00A51A85"/>
    <w:rsid w:val="00A51B7E"/>
    <w:rsid w:val="00A52A88"/>
    <w:rsid w:val="00A52CAD"/>
    <w:rsid w:val="00A53340"/>
    <w:rsid w:val="00A53FC7"/>
    <w:rsid w:val="00A54E0A"/>
    <w:rsid w:val="00A55569"/>
    <w:rsid w:val="00A55C36"/>
    <w:rsid w:val="00A56017"/>
    <w:rsid w:val="00A5661B"/>
    <w:rsid w:val="00A566A0"/>
    <w:rsid w:val="00A56EAA"/>
    <w:rsid w:val="00A56F8E"/>
    <w:rsid w:val="00A57580"/>
    <w:rsid w:val="00A601E7"/>
    <w:rsid w:val="00A60AC1"/>
    <w:rsid w:val="00A61EB1"/>
    <w:rsid w:val="00A62162"/>
    <w:rsid w:val="00A62427"/>
    <w:rsid w:val="00A626FF"/>
    <w:rsid w:val="00A62B42"/>
    <w:rsid w:val="00A62CE1"/>
    <w:rsid w:val="00A64939"/>
    <w:rsid w:val="00A65469"/>
    <w:rsid w:val="00A65528"/>
    <w:rsid w:val="00A655D3"/>
    <w:rsid w:val="00A65C25"/>
    <w:rsid w:val="00A662D9"/>
    <w:rsid w:val="00A6630C"/>
    <w:rsid w:val="00A66C06"/>
    <w:rsid w:val="00A670A0"/>
    <w:rsid w:val="00A6741E"/>
    <w:rsid w:val="00A67E29"/>
    <w:rsid w:val="00A7016A"/>
    <w:rsid w:val="00A7018D"/>
    <w:rsid w:val="00A7191D"/>
    <w:rsid w:val="00A722F9"/>
    <w:rsid w:val="00A72D42"/>
    <w:rsid w:val="00A733D0"/>
    <w:rsid w:val="00A7439C"/>
    <w:rsid w:val="00A746C9"/>
    <w:rsid w:val="00A74C2A"/>
    <w:rsid w:val="00A75E40"/>
    <w:rsid w:val="00A76818"/>
    <w:rsid w:val="00A771F7"/>
    <w:rsid w:val="00A7769C"/>
    <w:rsid w:val="00A77747"/>
    <w:rsid w:val="00A77AE6"/>
    <w:rsid w:val="00A77D1D"/>
    <w:rsid w:val="00A77E6B"/>
    <w:rsid w:val="00A801C9"/>
    <w:rsid w:val="00A80902"/>
    <w:rsid w:val="00A80F81"/>
    <w:rsid w:val="00A81652"/>
    <w:rsid w:val="00A82BF0"/>
    <w:rsid w:val="00A82C91"/>
    <w:rsid w:val="00A83150"/>
    <w:rsid w:val="00A83177"/>
    <w:rsid w:val="00A83398"/>
    <w:rsid w:val="00A83898"/>
    <w:rsid w:val="00A83D6E"/>
    <w:rsid w:val="00A83FD5"/>
    <w:rsid w:val="00A8508C"/>
    <w:rsid w:val="00A8521A"/>
    <w:rsid w:val="00A853BB"/>
    <w:rsid w:val="00A857C0"/>
    <w:rsid w:val="00A85ACB"/>
    <w:rsid w:val="00A8657A"/>
    <w:rsid w:val="00A9036F"/>
    <w:rsid w:val="00A9092B"/>
    <w:rsid w:val="00A90F2C"/>
    <w:rsid w:val="00A90FED"/>
    <w:rsid w:val="00A911D8"/>
    <w:rsid w:val="00A91482"/>
    <w:rsid w:val="00A9189D"/>
    <w:rsid w:val="00A91E71"/>
    <w:rsid w:val="00A92523"/>
    <w:rsid w:val="00A9254E"/>
    <w:rsid w:val="00A925B1"/>
    <w:rsid w:val="00A92A3E"/>
    <w:rsid w:val="00A934F9"/>
    <w:rsid w:val="00A936A2"/>
    <w:rsid w:val="00A940E3"/>
    <w:rsid w:val="00A94983"/>
    <w:rsid w:val="00A94C2A"/>
    <w:rsid w:val="00A9532C"/>
    <w:rsid w:val="00A95F1A"/>
    <w:rsid w:val="00A96116"/>
    <w:rsid w:val="00A9614E"/>
    <w:rsid w:val="00A96422"/>
    <w:rsid w:val="00A96A2F"/>
    <w:rsid w:val="00A96C0F"/>
    <w:rsid w:val="00A97075"/>
    <w:rsid w:val="00AA0052"/>
    <w:rsid w:val="00AA0E80"/>
    <w:rsid w:val="00AA16F4"/>
    <w:rsid w:val="00AA17CD"/>
    <w:rsid w:val="00AA1D85"/>
    <w:rsid w:val="00AA212B"/>
    <w:rsid w:val="00AA212F"/>
    <w:rsid w:val="00AA26A9"/>
    <w:rsid w:val="00AA2996"/>
    <w:rsid w:val="00AA2AF4"/>
    <w:rsid w:val="00AA3734"/>
    <w:rsid w:val="00AA37D2"/>
    <w:rsid w:val="00AA3EE8"/>
    <w:rsid w:val="00AA4282"/>
    <w:rsid w:val="00AA43F2"/>
    <w:rsid w:val="00AA4790"/>
    <w:rsid w:val="00AA50E6"/>
    <w:rsid w:val="00AA52BF"/>
    <w:rsid w:val="00AA53CE"/>
    <w:rsid w:val="00AA559A"/>
    <w:rsid w:val="00AA68C7"/>
    <w:rsid w:val="00AA6C31"/>
    <w:rsid w:val="00AA7752"/>
    <w:rsid w:val="00AA7CE8"/>
    <w:rsid w:val="00AA7F31"/>
    <w:rsid w:val="00AB1457"/>
    <w:rsid w:val="00AB1CF7"/>
    <w:rsid w:val="00AB2AF1"/>
    <w:rsid w:val="00AB32CB"/>
    <w:rsid w:val="00AB3AD7"/>
    <w:rsid w:val="00AB3BA7"/>
    <w:rsid w:val="00AB3EC7"/>
    <w:rsid w:val="00AB5901"/>
    <w:rsid w:val="00AB5A64"/>
    <w:rsid w:val="00AB5CA1"/>
    <w:rsid w:val="00AB6456"/>
    <w:rsid w:val="00AB75C5"/>
    <w:rsid w:val="00AB7E01"/>
    <w:rsid w:val="00AC044E"/>
    <w:rsid w:val="00AC1A6B"/>
    <w:rsid w:val="00AC1B6A"/>
    <w:rsid w:val="00AC2118"/>
    <w:rsid w:val="00AC2395"/>
    <w:rsid w:val="00AC24FE"/>
    <w:rsid w:val="00AC2960"/>
    <w:rsid w:val="00AC2996"/>
    <w:rsid w:val="00AC2AC4"/>
    <w:rsid w:val="00AC4284"/>
    <w:rsid w:val="00AC433A"/>
    <w:rsid w:val="00AC45BD"/>
    <w:rsid w:val="00AC4D34"/>
    <w:rsid w:val="00AC50BB"/>
    <w:rsid w:val="00AC5256"/>
    <w:rsid w:val="00AC5657"/>
    <w:rsid w:val="00AC7002"/>
    <w:rsid w:val="00AC78F1"/>
    <w:rsid w:val="00AC7B96"/>
    <w:rsid w:val="00AC7DB8"/>
    <w:rsid w:val="00AD0B22"/>
    <w:rsid w:val="00AD0D2F"/>
    <w:rsid w:val="00AD0EE7"/>
    <w:rsid w:val="00AD168E"/>
    <w:rsid w:val="00AD1B42"/>
    <w:rsid w:val="00AD202E"/>
    <w:rsid w:val="00AD306C"/>
    <w:rsid w:val="00AD44CD"/>
    <w:rsid w:val="00AD47A7"/>
    <w:rsid w:val="00AD4876"/>
    <w:rsid w:val="00AD4FF6"/>
    <w:rsid w:val="00AD5AD2"/>
    <w:rsid w:val="00AD5DD8"/>
    <w:rsid w:val="00AD6462"/>
    <w:rsid w:val="00AD66C5"/>
    <w:rsid w:val="00AD68C4"/>
    <w:rsid w:val="00AD71F9"/>
    <w:rsid w:val="00AD7B6C"/>
    <w:rsid w:val="00AE09B3"/>
    <w:rsid w:val="00AE0A6C"/>
    <w:rsid w:val="00AE1617"/>
    <w:rsid w:val="00AE1A83"/>
    <w:rsid w:val="00AE207E"/>
    <w:rsid w:val="00AE20B3"/>
    <w:rsid w:val="00AE2A78"/>
    <w:rsid w:val="00AE30BE"/>
    <w:rsid w:val="00AE3258"/>
    <w:rsid w:val="00AE3E6A"/>
    <w:rsid w:val="00AE4122"/>
    <w:rsid w:val="00AE417E"/>
    <w:rsid w:val="00AE434F"/>
    <w:rsid w:val="00AE4909"/>
    <w:rsid w:val="00AE540F"/>
    <w:rsid w:val="00AE56EE"/>
    <w:rsid w:val="00AE631C"/>
    <w:rsid w:val="00AE6414"/>
    <w:rsid w:val="00AE7269"/>
    <w:rsid w:val="00AE797C"/>
    <w:rsid w:val="00AE7CE7"/>
    <w:rsid w:val="00AE7FAB"/>
    <w:rsid w:val="00AF0DE4"/>
    <w:rsid w:val="00AF12A0"/>
    <w:rsid w:val="00AF1E87"/>
    <w:rsid w:val="00AF3A39"/>
    <w:rsid w:val="00AF436B"/>
    <w:rsid w:val="00AF5179"/>
    <w:rsid w:val="00AF5CC2"/>
    <w:rsid w:val="00AF660D"/>
    <w:rsid w:val="00AF6776"/>
    <w:rsid w:val="00AF6F98"/>
    <w:rsid w:val="00AF7277"/>
    <w:rsid w:val="00AF72B7"/>
    <w:rsid w:val="00AF79D9"/>
    <w:rsid w:val="00AF7E09"/>
    <w:rsid w:val="00B00024"/>
    <w:rsid w:val="00B00550"/>
    <w:rsid w:val="00B00913"/>
    <w:rsid w:val="00B00D4D"/>
    <w:rsid w:val="00B01548"/>
    <w:rsid w:val="00B01593"/>
    <w:rsid w:val="00B017AF"/>
    <w:rsid w:val="00B01D0F"/>
    <w:rsid w:val="00B01FF9"/>
    <w:rsid w:val="00B023F2"/>
    <w:rsid w:val="00B026FE"/>
    <w:rsid w:val="00B0271F"/>
    <w:rsid w:val="00B038CA"/>
    <w:rsid w:val="00B05424"/>
    <w:rsid w:val="00B056FC"/>
    <w:rsid w:val="00B05761"/>
    <w:rsid w:val="00B05F00"/>
    <w:rsid w:val="00B06DB4"/>
    <w:rsid w:val="00B0750D"/>
    <w:rsid w:val="00B07850"/>
    <w:rsid w:val="00B0799C"/>
    <w:rsid w:val="00B07C6A"/>
    <w:rsid w:val="00B10258"/>
    <w:rsid w:val="00B102CE"/>
    <w:rsid w:val="00B10A4D"/>
    <w:rsid w:val="00B10C90"/>
    <w:rsid w:val="00B11002"/>
    <w:rsid w:val="00B1114F"/>
    <w:rsid w:val="00B118FA"/>
    <w:rsid w:val="00B121B2"/>
    <w:rsid w:val="00B131B1"/>
    <w:rsid w:val="00B1401E"/>
    <w:rsid w:val="00B141B6"/>
    <w:rsid w:val="00B144C6"/>
    <w:rsid w:val="00B14BC1"/>
    <w:rsid w:val="00B154DE"/>
    <w:rsid w:val="00B162C3"/>
    <w:rsid w:val="00B16DD1"/>
    <w:rsid w:val="00B16EB8"/>
    <w:rsid w:val="00B1700A"/>
    <w:rsid w:val="00B17E71"/>
    <w:rsid w:val="00B17FDE"/>
    <w:rsid w:val="00B20632"/>
    <w:rsid w:val="00B20D04"/>
    <w:rsid w:val="00B20F55"/>
    <w:rsid w:val="00B2161E"/>
    <w:rsid w:val="00B21BCB"/>
    <w:rsid w:val="00B2379C"/>
    <w:rsid w:val="00B23D5D"/>
    <w:rsid w:val="00B23E6E"/>
    <w:rsid w:val="00B2450C"/>
    <w:rsid w:val="00B24E48"/>
    <w:rsid w:val="00B265AE"/>
    <w:rsid w:val="00B2687D"/>
    <w:rsid w:val="00B27EC6"/>
    <w:rsid w:val="00B3108D"/>
    <w:rsid w:val="00B323BE"/>
    <w:rsid w:val="00B327C0"/>
    <w:rsid w:val="00B32DDB"/>
    <w:rsid w:val="00B32F57"/>
    <w:rsid w:val="00B3345C"/>
    <w:rsid w:val="00B33672"/>
    <w:rsid w:val="00B33DE5"/>
    <w:rsid w:val="00B3410E"/>
    <w:rsid w:val="00B343BC"/>
    <w:rsid w:val="00B343C4"/>
    <w:rsid w:val="00B34528"/>
    <w:rsid w:val="00B34750"/>
    <w:rsid w:val="00B34B95"/>
    <w:rsid w:val="00B34CC9"/>
    <w:rsid w:val="00B34CDA"/>
    <w:rsid w:val="00B3563B"/>
    <w:rsid w:val="00B3574D"/>
    <w:rsid w:val="00B362A3"/>
    <w:rsid w:val="00B36BDC"/>
    <w:rsid w:val="00B37D3A"/>
    <w:rsid w:val="00B37D96"/>
    <w:rsid w:val="00B402FC"/>
    <w:rsid w:val="00B405E3"/>
    <w:rsid w:val="00B40A7D"/>
    <w:rsid w:val="00B40DF5"/>
    <w:rsid w:val="00B41424"/>
    <w:rsid w:val="00B422E2"/>
    <w:rsid w:val="00B42517"/>
    <w:rsid w:val="00B42902"/>
    <w:rsid w:val="00B42D5F"/>
    <w:rsid w:val="00B43216"/>
    <w:rsid w:val="00B43740"/>
    <w:rsid w:val="00B439DA"/>
    <w:rsid w:val="00B43DDF"/>
    <w:rsid w:val="00B4411A"/>
    <w:rsid w:val="00B45376"/>
    <w:rsid w:val="00B45A99"/>
    <w:rsid w:val="00B45FE8"/>
    <w:rsid w:val="00B46604"/>
    <w:rsid w:val="00B46637"/>
    <w:rsid w:val="00B47089"/>
    <w:rsid w:val="00B4712D"/>
    <w:rsid w:val="00B47587"/>
    <w:rsid w:val="00B5150A"/>
    <w:rsid w:val="00B52151"/>
    <w:rsid w:val="00B530CD"/>
    <w:rsid w:val="00B53639"/>
    <w:rsid w:val="00B53C7D"/>
    <w:rsid w:val="00B53DEF"/>
    <w:rsid w:val="00B53E56"/>
    <w:rsid w:val="00B54058"/>
    <w:rsid w:val="00B55311"/>
    <w:rsid w:val="00B55437"/>
    <w:rsid w:val="00B55A97"/>
    <w:rsid w:val="00B55F5E"/>
    <w:rsid w:val="00B5601B"/>
    <w:rsid w:val="00B560E3"/>
    <w:rsid w:val="00B5642C"/>
    <w:rsid w:val="00B5658D"/>
    <w:rsid w:val="00B56B6F"/>
    <w:rsid w:val="00B5713F"/>
    <w:rsid w:val="00B5752E"/>
    <w:rsid w:val="00B57ABC"/>
    <w:rsid w:val="00B60AC1"/>
    <w:rsid w:val="00B61FF6"/>
    <w:rsid w:val="00B62316"/>
    <w:rsid w:val="00B6274C"/>
    <w:rsid w:val="00B63A11"/>
    <w:rsid w:val="00B64425"/>
    <w:rsid w:val="00B646BC"/>
    <w:rsid w:val="00B647F4"/>
    <w:rsid w:val="00B64C24"/>
    <w:rsid w:val="00B64E72"/>
    <w:rsid w:val="00B659B0"/>
    <w:rsid w:val="00B65CEF"/>
    <w:rsid w:val="00B6608F"/>
    <w:rsid w:val="00B66B65"/>
    <w:rsid w:val="00B674C7"/>
    <w:rsid w:val="00B67749"/>
    <w:rsid w:val="00B679FB"/>
    <w:rsid w:val="00B67E43"/>
    <w:rsid w:val="00B71FBF"/>
    <w:rsid w:val="00B72CD3"/>
    <w:rsid w:val="00B734A0"/>
    <w:rsid w:val="00B73A14"/>
    <w:rsid w:val="00B73D35"/>
    <w:rsid w:val="00B74148"/>
    <w:rsid w:val="00B748BD"/>
    <w:rsid w:val="00B76100"/>
    <w:rsid w:val="00B7680F"/>
    <w:rsid w:val="00B76B48"/>
    <w:rsid w:val="00B76D1E"/>
    <w:rsid w:val="00B774BD"/>
    <w:rsid w:val="00B77543"/>
    <w:rsid w:val="00B77584"/>
    <w:rsid w:val="00B77E34"/>
    <w:rsid w:val="00B80D44"/>
    <w:rsid w:val="00B80D89"/>
    <w:rsid w:val="00B80EC6"/>
    <w:rsid w:val="00B81288"/>
    <w:rsid w:val="00B81D70"/>
    <w:rsid w:val="00B82EE1"/>
    <w:rsid w:val="00B833B9"/>
    <w:rsid w:val="00B836DA"/>
    <w:rsid w:val="00B839B1"/>
    <w:rsid w:val="00B83AAF"/>
    <w:rsid w:val="00B83CBF"/>
    <w:rsid w:val="00B83E07"/>
    <w:rsid w:val="00B84CF6"/>
    <w:rsid w:val="00B85016"/>
    <w:rsid w:val="00B85226"/>
    <w:rsid w:val="00B8561A"/>
    <w:rsid w:val="00B86628"/>
    <w:rsid w:val="00B86643"/>
    <w:rsid w:val="00B868F7"/>
    <w:rsid w:val="00B86EB1"/>
    <w:rsid w:val="00B871A7"/>
    <w:rsid w:val="00B90131"/>
    <w:rsid w:val="00B9074F"/>
    <w:rsid w:val="00B91136"/>
    <w:rsid w:val="00B92661"/>
    <w:rsid w:val="00B92951"/>
    <w:rsid w:val="00B92D1D"/>
    <w:rsid w:val="00B92D7E"/>
    <w:rsid w:val="00B930CE"/>
    <w:rsid w:val="00B938C5"/>
    <w:rsid w:val="00B940A8"/>
    <w:rsid w:val="00B944D4"/>
    <w:rsid w:val="00B95443"/>
    <w:rsid w:val="00B9554A"/>
    <w:rsid w:val="00B95940"/>
    <w:rsid w:val="00B95ACA"/>
    <w:rsid w:val="00B95C12"/>
    <w:rsid w:val="00B96D74"/>
    <w:rsid w:val="00B96FFD"/>
    <w:rsid w:val="00B9720E"/>
    <w:rsid w:val="00B97ACC"/>
    <w:rsid w:val="00B97FE2"/>
    <w:rsid w:val="00BA0E0B"/>
    <w:rsid w:val="00BA201A"/>
    <w:rsid w:val="00BA21DF"/>
    <w:rsid w:val="00BA2391"/>
    <w:rsid w:val="00BA270A"/>
    <w:rsid w:val="00BA3256"/>
    <w:rsid w:val="00BA361D"/>
    <w:rsid w:val="00BA3787"/>
    <w:rsid w:val="00BA3B00"/>
    <w:rsid w:val="00BA403A"/>
    <w:rsid w:val="00BA46E8"/>
    <w:rsid w:val="00BA49DB"/>
    <w:rsid w:val="00BA4AE9"/>
    <w:rsid w:val="00BA4E19"/>
    <w:rsid w:val="00BA62B5"/>
    <w:rsid w:val="00BA6436"/>
    <w:rsid w:val="00BA64F2"/>
    <w:rsid w:val="00BA684E"/>
    <w:rsid w:val="00BA6C2B"/>
    <w:rsid w:val="00BA7B64"/>
    <w:rsid w:val="00BB02A3"/>
    <w:rsid w:val="00BB0351"/>
    <w:rsid w:val="00BB085C"/>
    <w:rsid w:val="00BB15C3"/>
    <w:rsid w:val="00BB1AF4"/>
    <w:rsid w:val="00BB1CDD"/>
    <w:rsid w:val="00BB2202"/>
    <w:rsid w:val="00BB224A"/>
    <w:rsid w:val="00BB2A7E"/>
    <w:rsid w:val="00BB354D"/>
    <w:rsid w:val="00BB3C6B"/>
    <w:rsid w:val="00BB3EFB"/>
    <w:rsid w:val="00BB3FD6"/>
    <w:rsid w:val="00BB453F"/>
    <w:rsid w:val="00BB46F3"/>
    <w:rsid w:val="00BB4A71"/>
    <w:rsid w:val="00BB4CB1"/>
    <w:rsid w:val="00BB4F98"/>
    <w:rsid w:val="00BB50C0"/>
    <w:rsid w:val="00BB58A9"/>
    <w:rsid w:val="00BB5AB2"/>
    <w:rsid w:val="00BB5ABF"/>
    <w:rsid w:val="00BB6EA2"/>
    <w:rsid w:val="00BB7142"/>
    <w:rsid w:val="00BB736B"/>
    <w:rsid w:val="00BB76F3"/>
    <w:rsid w:val="00BB7ABB"/>
    <w:rsid w:val="00BB7B5B"/>
    <w:rsid w:val="00BB7EB1"/>
    <w:rsid w:val="00BC003F"/>
    <w:rsid w:val="00BC0930"/>
    <w:rsid w:val="00BC1D26"/>
    <w:rsid w:val="00BC2923"/>
    <w:rsid w:val="00BC327F"/>
    <w:rsid w:val="00BC3512"/>
    <w:rsid w:val="00BC4B35"/>
    <w:rsid w:val="00BC507A"/>
    <w:rsid w:val="00BC50BE"/>
    <w:rsid w:val="00BC5332"/>
    <w:rsid w:val="00BC5715"/>
    <w:rsid w:val="00BC5C12"/>
    <w:rsid w:val="00BC6105"/>
    <w:rsid w:val="00BC641B"/>
    <w:rsid w:val="00BC6706"/>
    <w:rsid w:val="00BC6CAD"/>
    <w:rsid w:val="00BC7154"/>
    <w:rsid w:val="00BC731E"/>
    <w:rsid w:val="00BC7614"/>
    <w:rsid w:val="00BC7EFA"/>
    <w:rsid w:val="00BD041B"/>
    <w:rsid w:val="00BD0595"/>
    <w:rsid w:val="00BD05C2"/>
    <w:rsid w:val="00BD25BB"/>
    <w:rsid w:val="00BD2AF8"/>
    <w:rsid w:val="00BD366B"/>
    <w:rsid w:val="00BD3C09"/>
    <w:rsid w:val="00BD410B"/>
    <w:rsid w:val="00BD4A73"/>
    <w:rsid w:val="00BD4EDD"/>
    <w:rsid w:val="00BD4EF4"/>
    <w:rsid w:val="00BD5C11"/>
    <w:rsid w:val="00BD6659"/>
    <w:rsid w:val="00BD672C"/>
    <w:rsid w:val="00BD6C75"/>
    <w:rsid w:val="00BD6D50"/>
    <w:rsid w:val="00BD7105"/>
    <w:rsid w:val="00BD73D2"/>
    <w:rsid w:val="00BD754D"/>
    <w:rsid w:val="00BE0AD1"/>
    <w:rsid w:val="00BE0EF9"/>
    <w:rsid w:val="00BE10A1"/>
    <w:rsid w:val="00BE18B9"/>
    <w:rsid w:val="00BE190A"/>
    <w:rsid w:val="00BE2495"/>
    <w:rsid w:val="00BE24DD"/>
    <w:rsid w:val="00BE34BB"/>
    <w:rsid w:val="00BE386D"/>
    <w:rsid w:val="00BE3A5C"/>
    <w:rsid w:val="00BE4071"/>
    <w:rsid w:val="00BE4DA9"/>
    <w:rsid w:val="00BE54BF"/>
    <w:rsid w:val="00BE557B"/>
    <w:rsid w:val="00BE55EF"/>
    <w:rsid w:val="00BE62ED"/>
    <w:rsid w:val="00BE6350"/>
    <w:rsid w:val="00BE779C"/>
    <w:rsid w:val="00BE7F5F"/>
    <w:rsid w:val="00BF0099"/>
    <w:rsid w:val="00BF02C8"/>
    <w:rsid w:val="00BF057E"/>
    <w:rsid w:val="00BF1099"/>
    <w:rsid w:val="00BF14A6"/>
    <w:rsid w:val="00BF1578"/>
    <w:rsid w:val="00BF15CA"/>
    <w:rsid w:val="00BF1672"/>
    <w:rsid w:val="00BF1D12"/>
    <w:rsid w:val="00BF1D3A"/>
    <w:rsid w:val="00BF2B5B"/>
    <w:rsid w:val="00BF2D41"/>
    <w:rsid w:val="00BF2D9D"/>
    <w:rsid w:val="00BF3274"/>
    <w:rsid w:val="00BF32DC"/>
    <w:rsid w:val="00BF35C9"/>
    <w:rsid w:val="00BF361E"/>
    <w:rsid w:val="00BF3D54"/>
    <w:rsid w:val="00BF4329"/>
    <w:rsid w:val="00BF450E"/>
    <w:rsid w:val="00BF4E10"/>
    <w:rsid w:val="00BF4E43"/>
    <w:rsid w:val="00BF5C4C"/>
    <w:rsid w:val="00BF5E71"/>
    <w:rsid w:val="00BF765C"/>
    <w:rsid w:val="00BF771F"/>
    <w:rsid w:val="00BF77FC"/>
    <w:rsid w:val="00BF7EC7"/>
    <w:rsid w:val="00C006D6"/>
    <w:rsid w:val="00C00BD7"/>
    <w:rsid w:val="00C01410"/>
    <w:rsid w:val="00C024BB"/>
    <w:rsid w:val="00C02D23"/>
    <w:rsid w:val="00C03264"/>
    <w:rsid w:val="00C03D4D"/>
    <w:rsid w:val="00C041F5"/>
    <w:rsid w:val="00C044F4"/>
    <w:rsid w:val="00C04B78"/>
    <w:rsid w:val="00C052AA"/>
    <w:rsid w:val="00C0540C"/>
    <w:rsid w:val="00C061AE"/>
    <w:rsid w:val="00C0644D"/>
    <w:rsid w:val="00C06EE3"/>
    <w:rsid w:val="00C07279"/>
    <w:rsid w:val="00C07749"/>
    <w:rsid w:val="00C07C67"/>
    <w:rsid w:val="00C07E8B"/>
    <w:rsid w:val="00C10742"/>
    <w:rsid w:val="00C10805"/>
    <w:rsid w:val="00C11244"/>
    <w:rsid w:val="00C113FF"/>
    <w:rsid w:val="00C114A7"/>
    <w:rsid w:val="00C118A9"/>
    <w:rsid w:val="00C11D48"/>
    <w:rsid w:val="00C12304"/>
    <w:rsid w:val="00C12316"/>
    <w:rsid w:val="00C1246C"/>
    <w:rsid w:val="00C133BB"/>
    <w:rsid w:val="00C14187"/>
    <w:rsid w:val="00C147B1"/>
    <w:rsid w:val="00C1493E"/>
    <w:rsid w:val="00C15537"/>
    <w:rsid w:val="00C159FA"/>
    <w:rsid w:val="00C15DBD"/>
    <w:rsid w:val="00C161C5"/>
    <w:rsid w:val="00C172F7"/>
    <w:rsid w:val="00C176A3"/>
    <w:rsid w:val="00C2010D"/>
    <w:rsid w:val="00C20CB5"/>
    <w:rsid w:val="00C21430"/>
    <w:rsid w:val="00C216DF"/>
    <w:rsid w:val="00C21B30"/>
    <w:rsid w:val="00C21CA0"/>
    <w:rsid w:val="00C21E61"/>
    <w:rsid w:val="00C21F94"/>
    <w:rsid w:val="00C224BD"/>
    <w:rsid w:val="00C224DF"/>
    <w:rsid w:val="00C22546"/>
    <w:rsid w:val="00C2272B"/>
    <w:rsid w:val="00C234DB"/>
    <w:rsid w:val="00C23B82"/>
    <w:rsid w:val="00C23C5C"/>
    <w:rsid w:val="00C2479A"/>
    <w:rsid w:val="00C24903"/>
    <w:rsid w:val="00C2590D"/>
    <w:rsid w:val="00C25D9C"/>
    <w:rsid w:val="00C27913"/>
    <w:rsid w:val="00C27FA7"/>
    <w:rsid w:val="00C300E2"/>
    <w:rsid w:val="00C311B0"/>
    <w:rsid w:val="00C3186E"/>
    <w:rsid w:val="00C31F21"/>
    <w:rsid w:val="00C32290"/>
    <w:rsid w:val="00C32631"/>
    <w:rsid w:val="00C32805"/>
    <w:rsid w:val="00C32DF9"/>
    <w:rsid w:val="00C33301"/>
    <w:rsid w:val="00C33311"/>
    <w:rsid w:val="00C33AA6"/>
    <w:rsid w:val="00C33B68"/>
    <w:rsid w:val="00C34AD4"/>
    <w:rsid w:val="00C35570"/>
    <w:rsid w:val="00C35A2A"/>
    <w:rsid w:val="00C36A79"/>
    <w:rsid w:val="00C375DE"/>
    <w:rsid w:val="00C401A9"/>
    <w:rsid w:val="00C401D2"/>
    <w:rsid w:val="00C4031A"/>
    <w:rsid w:val="00C405D4"/>
    <w:rsid w:val="00C40AFD"/>
    <w:rsid w:val="00C419D5"/>
    <w:rsid w:val="00C41D54"/>
    <w:rsid w:val="00C41FC7"/>
    <w:rsid w:val="00C42EBB"/>
    <w:rsid w:val="00C435E8"/>
    <w:rsid w:val="00C44277"/>
    <w:rsid w:val="00C44806"/>
    <w:rsid w:val="00C4513B"/>
    <w:rsid w:val="00C45CAD"/>
    <w:rsid w:val="00C46654"/>
    <w:rsid w:val="00C466EF"/>
    <w:rsid w:val="00C4729B"/>
    <w:rsid w:val="00C475E8"/>
    <w:rsid w:val="00C47996"/>
    <w:rsid w:val="00C50101"/>
    <w:rsid w:val="00C50E79"/>
    <w:rsid w:val="00C5197D"/>
    <w:rsid w:val="00C525FB"/>
    <w:rsid w:val="00C5390B"/>
    <w:rsid w:val="00C53A9B"/>
    <w:rsid w:val="00C53CDD"/>
    <w:rsid w:val="00C54257"/>
    <w:rsid w:val="00C54697"/>
    <w:rsid w:val="00C550CE"/>
    <w:rsid w:val="00C55249"/>
    <w:rsid w:val="00C553A5"/>
    <w:rsid w:val="00C55402"/>
    <w:rsid w:val="00C5603B"/>
    <w:rsid w:val="00C57023"/>
    <w:rsid w:val="00C60973"/>
    <w:rsid w:val="00C60AE3"/>
    <w:rsid w:val="00C60FA1"/>
    <w:rsid w:val="00C61F47"/>
    <w:rsid w:val="00C62828"/>
    <w:rsid w:val="00C63340"/>
    <w:rsid w:val="00C6337A"/>
    <w:rsid w:val="00C63B2C"/>
    <w:rsid w:val="00C644F0"/>
    <w:rsid w:val="00C655DA"/>
    <w:rsid w:val="00C65A5C"/>
    <w:rsid w:val="00C65C81"/>
    <w:rsid w:val="00C66509"/>
    <w:rsid w:val="00C66D4C"/>
    <w:rsid w:val="00C672C1"/>
    <w:rsid w:val="00C67908"/>
    <w:rsid w:val="00C67B10"/>
    <w:rsid w:val="00C7053D"/>
    <w:rsid w:val="00C706D2"/>
    <w:rsid w:val="00C71060"/>
    <w:rsid w:val="00C715CC"/>
    <w:rsid w:val="00C719A3"/>
    <w:rsid w:val="00C71D2F"/>
    <w:rsid w:val="00C72984"/>
    <w:rsid w:val="00C72D93"/>
    <w:rsid w:val="00C73885"/>
    <w:rsid w:val="00C73C93"/>
    <w:rsid w:val="00C7435A"/>
    <w:rsid w:val="00C747B1"/>
    <w:rsid w:val="00C7520F"/>
    <w:rsid w:val="00C75510"/>
    <w:rsid w:val="00C755F9"/>
    <w:rsid w:val="00C75752"/>
    <w:rsid w:val="00C75B60"/>
    <w:rsid w:val="00C75F8E"/>
    <w:rsid w:val="00C761EC"/>
    <w:rsid w:val="00C770C9"/>
    <w:rsid w:val="00C800C9"/>
    <w:rsid w:val="00C8019E"/>
    <w:rsid w:val="00C81070"/>
    <w:rsid w:val="00C8174E"/>
    <w:rsid w:val="00C81D8E"/>
    <w:rsid w:val="00C82191"/>
    <w:rsid w:val="00C829C2"/>
    <w:rsid w:val="00C82A0C"/>
    <w:rsid w:val="00C83134"/>
    <w:rsid w:val="00C831E7"/>
    <w:rsid w:val="00C832F3"/>
    <w:rsid w:val="00C84307"/>
    <w:rsid w:val="00C845A4"/>
    <w:rsid w:val="00C847BB"/>
    <w:rsid w:val="00C85219"/>
    <w:rsid w:val="00C85545"/>
    <w:rsid w:val="00C855B5"/>
    <w:rsid w:val="00C85BEC"/>
    <w:rsid w:val="00C85F0E"/>
    <w:rsid w:val="00C866FE"/>
    <w:rsid w:val="00C867F9"/>
    <w:rsid w:val="00C872AA"/>
    <w:rsid w:val="00C87C6B"/>
    <w:rsid w:val="00C87EB8"/>
    <w:rsid w:val="00C90357"/>
    <w:rsid w:val="00C90627"/>
    <w:rsid w:val="00C90CF4"/>
    <w:rsid w:val="00C91103"/>
    <w:rsid w:val="00C91C20"/>
    <w:rsid w:val="00C922DE"/>
    <w:rsid w:val="00C92843"/>
    <w:rsid w:val="00C92EB6"/>
    <w:rsid w:val="00C93019"/>
    <w:rsid w:val="00C93389"/>
    <w:rsid w:val="00C93938"/>
    <w:rsid w:val="00C94743"/>
    <w:rsid w:val="00C948E6"/>
    <w:rsid w:val="00C94CDD"/>
    <w:rsid w:val="00C95123"/>
    <w:rsid w:val="00C96C96"/>
    <w:rsid w:val="00C9714C"/>
    <w:rsid w:val="00C9735A"/>
    <w:rsid w:val="00C97588"/>
    <w:rsid w:val="00C97D83"/>
    <w:rsid w:val="00CA0346"/>
    <w:rsid w:val="00CA0BD5"/>
    <w:rsid w:val="00CA0DA1"/>
    <w:rsid w:val="00CA0F40"/>
    <w:rsid w:val="00CA1293"/>
    <w:rsid w:val="00CA1BD6"/>
    <w:rsid w:val="00CA2B32"/>
    <w:rsid w:val="00CA37FF"/>
    <w:rsid w:val="00CA3B9C"/>
    <w:rsid w:val="00CA423A"/>
    <w:rsid w:val="00CA4441"/>
    <w:rsid w:val="00CA47BC"/>
    <w:rsid w:val="00CA4FA7"/>
    <w:rsid w:val="00CA5EAD"/>
    <w:rsid w:val="00CA6AB4"/>
    <w:rsid w:val="00CA7255"/>
    <w:rsid w:val="00CA79E2"/>
    <w:rsid w:val="00CB043F"/>
    <w:rsid w:val="00CB111E"/>
    <w:rsid w:val="00CB1BEE"/>
    <w:rsid w:val="00CB2351"/>
    <w:rsid w:val="00CB2AB0"/>
    <w:rsid w:val="00CB3CEC"/>
    <w:rsid w:val="00CB4022"/>
    <w:rsid w:val="00CB42C0"/>
    <w:rsid w:val="00CB4930"/>
    <w:rsid w:val="00CB4BA9"/>
    <w:rsid w:val="00CB4C48"/>
    <w:rsid w:val="00CB4C63"/>
    <w:rsid w:val="00CB5371"/>
    <w:rsid w:val="00CB5565"/>
    <w:rsid w:val="00CB5A48"/>
    <w:rsid w:val="00CB5E10"/>
    <w:rsid w:val="00CB613B"/>
    <w:rsid w:val="00CB6152"/>
    <w:rsid w:val="00CB64E1"/>
    <w:rsid w:val="00CB6C6F"/>
    <w:rsid w:val="00CB6E4D"/>
    <w:rsid w:val="00CC009B"/>
    <w:rsid w:val="00CC0834"/>
    <w:rsid w:val="00CC0894"/>
    <w:rsid w:val="00CC0AEA"/>
    <w:rsid w:val="00CC0F7D"/>
    <w:rsid w:val="00CC157C"/>
    <w:rsid w:val="00CC20FE"/>
    <w:rsid w:val="00CC225C"/>
    <w:rsid w:val="00CC2AF6"/>
    <w:rsid w:val="00CC2E7D"/>
    <w:rsid w:val="00CC3A0C"/>
    <w:rsid w:val="00CC469E"/>
    <w:rsid w:val="00CC5BE8"/>
    <w:rsid w:val="00CC612B"/>
    <w:rsid w:val="00CC655F"/>
    <w:rsid w:val="00CC66F0"/>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6DE1"/>
    <w:rsid w:val="00CD7E9E"/>
    <w:rsid w:val="00CE14BE"/>
    <w:rsid w:val="00CE17A4"/>
    <w:rsid w:val="00CE1BA9"/>
    <w:rsid w:val="00CE1BE3"/>
    <w:rsid w:val="00CE245A"/>
    <w:rsid w:val="00CE2A11"/>
    <w:rsid w:val="00CE2D8F"/>
    <w:rsid w:val="00CE33B1"/>
    <w:rsid w:val="00CE3532"/>
    <w:rsid w:val="00CE3E48"/>
    <w:rsid w:val="00CE46C0"/>
    <w:rsid w:val="00CE47B8"/>
    <w:rsid w:val="00CE4A31"/>
    <w:rsid w:val="00CE4A7A"/>
    <w:rsid w:val="00CE54FD"/>
    <w:rsid w:val="00CE5C92"/>
    <w:rsid w:val="00CE5CC2"/>
    <w:rsid w:val="00CE5E12"/>
    <w:rsid w:val="00CE62FA"/>
    <w:rsid w:val="00CE670B"/>
    <w:rsid w:val="00CE6833"/>
    <w:rsid w:val="00CE7562"/>
    <w:rsid w:val="00CE7D0B"/>
    <w:rsid w:val="00CF020B"/>
    <w:rsid w:val="00CF04DC"/>
    <w:rsid w:val="00CF05F4"/>
    <w:rsid w:val="00CF082E"/>
    <w:rsid w:val="00CF0F7D"/>
    <w:rsid w:val="00CF0FA0"/>
    <w:rsid w:val="00CF15BF"/>
    <w:rsid w:val="00CF2E4D"/>
    <w:rsid w:val="00CF35A7"/>
    <w:rsid w:val="00CF4205"/>
    <w:rsid w:val="00CF42CB"/>
    <w:rsid w:val="00CF4908"/>
    <w:rsid w:val="00CF494A"/>
    <w:rsid w:val="00CF5078"/>
    <w:rsid w:val="00CF51EC"/>
    <w:rsid w:val="00CF545D"/>
    <w:rsid w:val="00CF5873"/>
    <w:rsid w:val="00CF6A39"/>
    <w:rsid w:val="00CF6AB7"/>
    <w:rsid w:val="00CF6E02"/>
    <w:rsid w:val="00CF73AE"/>
    <w:rsid w:val="00CF7777"/>
    <w:rsid w:val="00D001BE"/>
    <w:rsid w:val="00D004F1"/>
    <w:rsid w:val="00D0085A"/>
    <w:rsid w:val="00D00D23"/>
    <w:rsid w:val="00D016AE"/>
    <w:rsid w:val="00D0197F"/>
    <w:rsid w:val="00D01A83"/>
    <w:rsid w:val="00D01B31"/>
    <w:rsid w:val="00D0242D"/>
    <w:rsid w:val="00D02716"/>
    <w:rsid w:val="00D027C4"/>
    <w:rsid w:val="00D03207"/>
    <w:rsid w:val="00D036E3"/>
    <w:rsid w:val="00D03A72"/>
    <w:rsid w:val="00D03B6B"/>
    <w:rsid w:val="00D04076"/>
    <w:rsid w:val="00D040DD"/>
    <w:rsid w:val="00D04134"/>
    <w:rsid w:val="00D052A7"/>
    <w:rsid w:val="00D0538E"/>
    <w:rsid w:val="00D05C65"/>
    <w:rsid w:val="00D05F36"/>
    <w:rsid w:val="00D0676F"/>
    <w:rsid w:val="00D06A26"/>
    <w:rsid w:val="00D06B56"/>
    <w:rsid w:val="00D06CA2"/>
    <w:rsid w:val="00D06D68"/>
    <w:rsid w:val="00D06F7A"/>
    <w:rsid w:val="00D075BE"/>
    <w:rsid w:val="00D07AFF"/>
    <w:rsid w:val="00D10566"/>
    <w:rsid w:val="00D10C15"/>
    <w:rsid w:val="00D11011"/>
    <w:rsid w:val="00D11476"/>
    <w:rsid w:val="00D1271C"/>
    <w:rsid w:val="00D12C25"/>
    <w:rsid w:val="00D130FB"/>
    <w:rsid w:val="00D133B4"/>
    <w:rsid w:val="00D133FF"/>
    <w:rsid w:val="00D13704"/>
    <w:rsid w:val="00D13986"/>
    <w:rsid w:val="00D13F3E"/>
    <w:rsid w:val="00D14C5B"/>
    <w:rsid w:val="00D152B6"/>
    <w:rsid w:val="00D158DA"/>
    <w:rsid w:val="00D15D3A"/>
    <w:rsid w:val="00D15FED"/>
    <w:rsid w:val="00D1605A"/>
    <w:rsid w:val="00D160FB"/>
    <w:rsid w:val="00D16712"/>
    <w:rsid w:val="00D169F6"/>
    <w:rsid w:val="00D174E0"/>
    <w:rsid w:val="00D174FD"/>
    <w:rsid w:val="00D17F29"/>
    <w:rsid w:val="00D214EF"/>
    <w:rsid w:val="00D215B0"/>
    <w:rsid w:val="00D21B36"/>
    <w:rsid w:val="00D21D6D"/>
    <w:rsid w:val="00D21D83"/>
    <w:rsid w:val="00D21F29"/>
    <w:rsid w:val="00D22437"/>
    <w:rsid w:val="00D22A47"/>
    <w:rsid w:val="00D232ED"/>
    <w:rsid w:val="00D235B7"/>
    <w:rsid w:val="00D2371B"/>
    <w:rsid w:val="00D23A99"/>
    <w:rsid w:val="00D23FAE"/>
    <w:rsid w:val="00D25F28"/>
    <w:rsid w:val="00D26071"/>
    <w:rsid w:val="00D260C7"/>
    <w:rsid w:val="00D2641A"/>
    <w:rsid w:val="00D269B9"/>
    <w:rsid w:val="00D27384"/>
    <w:rsid w:val="00D27973"/>
    <w:rsid w:val="00D27F3A"/>
    <w:rsid w:val="00D31537"/>
    <w:rsid w:val="00D31E1E"/>
    <w:rsid w:val="00D322A0"/>
    <w:rsid w:val="00D32824"/>
    <w:rsid w:val="00D328E1"/>
    <w:rsid w:val="00D334E2"/>
    <w:rsid w:val="00D33950"/>
    <w:rsid w:val="00D34078"/>
    <w:rsid w:val="00D350B1"/>
    <w:rsid w:val="00D35AD6"/>
    <w:rsid w:val="00D35BBB"/>
    <w:rsid w:val="00D35E1A"/>
    <w:rsid w:val="00D364E1"/>
    <w:rsid w:val="00D36B0A"/>
    <w:rsid w:val="00D36DFB"/>
    <w:rsid w:val="00D36E1C"/>
    <w:rsid w:val="00D373AF"/>
    <w:rsid w:val="00D40556"/>
    <w:rsid w:val="00D4115C"/>
    <w:rsid w:val="00D41F74"/>
    <w:rsid w:val="00D4223D"/>
    <w:rsid w:val="00D428C8"/>
    <w:rsid w:val="00D43034"/>
    <w:rsid w:val="00D43ED2"/>
    <w:rsid w:val="00D45D2C"/>
    <w:rsid w:val="00D45D7F"/>
    <w:rsid w:val="00D46076"/>
    <w:rsid w:val="00D4768F"/>
    <w:rsid w:val="00D50BC3"/>
    <w:rsid w:val="00D50F46"/>
    <w:rsid w:val="00D51BF9"/>
    <w:rsid w:val="00D5302A"/>
    <w:rsid w:val="00D533AD"/>
    <w:rsid w:val="00D533C4"/>
    <w:rsid w:val="00D5384E"/>
    <w:rsid w:val="00D53AD9"/>
    <w:rsid w:val="00D544E7"/>
    <w:rsid w:val="00D5499F"/>
    <w:rsid w:val="00D5560A"/>
    <w:rsid w:val="00D56FBF"/>
    <w:rsid w:val="00D57677"/>
    <w:rsid w:val="00D5781F"/>
    <w:rsid w:val="00D57ABE"/>
    <w:rsid w:val="00D57AF9"/>
    <w:rsid w:val="00D60415"/>
    <w:rsid w:val="00D60DAE"/>
    <w:rsid w:val="00D60E3C"/>
    <w:rsid w:val="00D60EAE"/>
    <w:rsid w:val="00D60FA7"/>
    <w:rsid w:val="00D60FF1"/>
    <w:rsid w:val="00D61FAB"/>
    <w:rsid w:val="00D62C4E"/>
    <w:rsid w:val="00D63BE5"/>
    <w:rsid w:val="00D6475F"/>
    <w:rsid w:val="00D64B85"/>
    <w:rsid w:val="00D650C4"/>
    <w:rsid w:val="00D655D4"/>
    <w:rsid w:val="00D658A7"/>
    <w:rsid w:val="00D66060"/>
    <w:rsid w:val="00D66223"/>
    <w:rsid w:val="00D667B8"/>
    <w:rsid w:val="00D66981"/>
    <w:rsid w:val="00D67D55"/>
    <w:rsid w:val="00D70117"/>
    <w:rsid w:val="00D70289"/>
    <w:rsid w:val="00D7041F"/>
    <w:rsid w:val="00D70822"/>
    <w:rsid w:val="00D70A33"/>
    <w:rsid w:val="00D717A1"/>
    <w:rsid w:val="00D72076"/>
    <w:rsid w:val="00D721B4"/>
    <w:rsid w:val="00D726A9"/>
    <w:rsid w:val="00D72DBA"/>
    <w:rsid w:val="00D7329C"/>
    <w:rsid w:val="00D743E0"/>
    <w:rsid w:val="00D7469D"/>
    <w:rsid w:val="00D7490C"/>
    <w:rsid w:val="00D75AC1"/>
    <w:rsid w:val="00D76698"/>
    <w:rsid w:val="00D76E4A"/>
    <w:rsid w:val="00D77252"/>
    <w:rsid w:val="00D772A5"/>
    <w:rsid w:val="00D777AC"/>
    <w:rsid w:val="00D778EB"/>
    <w:rsid w:val="00D804C7"/>
    <w:rsid w:val="00D8084C"/>
    <w:rsid w:val="00D81578"/>
    <w:rsid w:val="00D81809"/>
    <w:rsid w:val="00D82EF1"/>
    <w:rsid w:val="00D83277"/>
    <w:rsid w:val="00D832FA"/>
    <w:rsid w:val="00D840AF"/>
    <w:rsid w:val="00D84CC9"/>
    <w:rsid w:val="00D84F43"/>
    <w:rsid w:val="00D85114"/>
    <w:rsid w:val="00D855D5"/>
    <w:rsid w:val="00D85668"/>
    <w:rsid w:val="00D85821"/>
    <w:rsid w:val="00D8598C"/>
    <w:rsid w:val="00D85CC3"/>
    <w:rsid w:val="00D86B80"/>
    <w:rsid w:val="00D87C06"/>
    <w:rsid w:val="00D915EA"/>
    <w:rsid w:val="00D919ED"/>
    <w:rsid w:val="00D91B90"/>
    <w:rsid w:val="00D922A1"/>
    <w:rsid w:val="00D928BE"/>
    <w:rsid w:val="00D932B8"/>
    <w:rsid w:val="00D932F0"/>
    <w:rsid w:val="00D937A0"/>
    <w:rsid w:val="00D95104"/>
    <w:rsid w:val="00D95140"/>
    <w:rsid w:val="00D95302"/>
    <w:rsid w:val="00D95889"/>
    <w:rsid w:val="00D95C5D"/>
    <w:rsid w:val="00D95CBE"/>
    <w:rsid w:val="00D95E7F"/>
    <w:rsid w:val="00D97D00"/>
    <w:rsid w:val="00DA0255"/>
    <w:rsid w:val="00DA0359"/>
    <w:rsid w:val="00DA096C"/>
    <w:rsid w:val="00DA1AB6"/>
    <w:rsid w:val="00DA2080"/>
    <w:rsid w:val="00DA213D"/>
    <w:rsid w:val="00DA23DE"/>
    <w:rsid w:val="00DA2E21"/>
    <w:rsid w:val="00DA2E65"/>
    <w:rsid w:val="00DA37CA"/>
    <w:rsid w:val="00DA37DE"/>
    <w:rsid w:val="00DA3ADF"/>
    <w:rsid w:val="00DA3F34"/>
    <w:rsid w:val="00DA4174"/>
    <w:rsid w:val="00DA5378"/>
    <w:rsid w:val="00DA544C"/>
    <w:rsid w:val="00DA5F8E"/>
    <w:rsid w:val="00DA6364"/>
    <w:rsid w:val="00DA7114"/>
    <w:rsid w:val="00DA7C0C"/>
    <w:rsid w:val="00DA7E2F"/>
    <w:rsid w:val="00DB03DD"/>
    <w:rsid w:val="00DB04B2"/>
    <w:rsid w:val="00DB08A9"/>
    <w:rsid w:val="00DB0B33"/>
    <w:rsid w:val="00DB0D79"/>
    <w:rsid w:val="00DB0FD9"/>
    <w:rsid w:val="00DB13EF"/>
    <w:rsid w:val="00DB1DF4"/>
    <w:rsid w:val="00DB2DFA"/>
    <w:rsid w:val="00DB2EC8"/>
    <w:rsid w:val="00DB321D"/>
    <w:rsid w:val="00DB3FD0"/>
    <w:rsid w:val="00DB459B"/>
    <w:rsid w:val="00DB47FD"/>
    <w:rsid w:val="00DB4F13"/>
    <w:rsid w:val="00DB51B9"/>
    <w:rsid w:val="00DB5403"/>
    <w:rsid w:val="00DB5E3A"/>
    <w:rsid w:val="00DB5E9A"/>
    <w:rsid w:val="00DB613B"/>
    <w:rsid w:val="00DB61EE"/>
    <w:rsid w:val="00DB657E"/>
    <w:rsid w:val="00DB7342"/>
    <w:rsid w:val="00DB7489"/>
    <w:rsid w:val="00DC0B4D"/>
    <w:rsid w:val="00DC0CBB"/>
    <w:rsid w:val="00DC120D"/>
    <w:rsid w:val="00DC17D0"/>
    <w:rsid w:val="00DC1E5D"/>
    <w:rsid w:val="00DC1ED4"/>
    <w:rsid w:val="00DC2B41"/>
    <w:rsid w:val="00DC2EA7"/>
    <w:rsid w:val="00DC3128"/>
    <w:rsid w:val="00DC37DD"/>
    <w:rsid w:val="00DC3B47"/>
    <w:rsid w:val="00DC435B"/>
    <w:rsid w:val="00DC4AC4"/>
    <w:rsid w:val="00DC53D8"/>
    <w:rsid w:val="00DC56FE"/>
    <w:rsid w:val="00DC5B3B"/>
    <w:rsid w:val="00DC5F11"/>
    <w:rsid w:val="00DC6C2D"/>
    <w:rsid w:val="00DC77CB"/>
    <w:rsid w:val="00DC7A19"/>
    <w:rsid w:val="00DC7B1A"/>
    <w:rsid w:val="00DC7EB8"/>
    <w:rsid w:val="00DD04B0"/>
    <w:rsid w:val="00DD0E32"/>
    <w:rsid w:val="00DD129F"/>
    <w:rsid w:val="00DD13FC"/>
    <w:rsid w:val="00DD1A3F"/>
    <w:rsid w:val="00DD253D"/>
    <w:rsid w:val="00DD29B5"/>
    <w:rsid w:val="00DD3096"/>
    <w:rsid w:val="00DD32DD"/>
    <w:rsid w:val="00DD33E8"/>
    <w:rsid w:val="00DD5287"/>
    <w:rsid w:val="00DD56D4"/>
    <w:rsid w:val="00DD5B36"/>
    <w:rsid w:val="00DD6003"/>
    <w:rsid w:val="00DD7849"/>
    <w:rsid w:val="00DE03DE"/>
    <w:rsid w:val="00DE0D8B"/>
    <w:rsid w:val="00DE1237"/>
    <w:rsid w:val="00DE140F"/>
    <w:rsid w:val="00DE17E9"/>
    <w:rsid w:val="00DE1B2A"/>
    <w:rsid w:val="00DE2491"/>
    <w:rsid w:val="00DE273F"/>
    <w:rsid w:val="00DE2C79"/>
    <w:rsid w:val="00DE3503"/>
    <w:rsid w:val="00DE3E22"/>
    <w:rsid w:val="00DE3E5D"/>
    <w:rsid w:val="00DE450F"/>
    <w:rsid w:val="00DE4865"/>
    <w:rsid w:val="00DE503E"/>
    <w:rsid w:val="00DE5CA6"/>
    <w:rsid w:val="00DE5E55"/>
    <w:rsid w:val="00DE60BC"/>
    <w:rsid w:val="00DE63AE"/>
    <w:rsid w:val="00DE7156"/>
    <w:rsid w:val="00DE7AC8"/>
    <w:rsid w:val="00DF0830"/>
    <w:rsid w:val="00DF0852"/>
    <w:rsid w:val="00DF0DA6"/>
    <w:rsid w:val="00DF1877"/>
    <w:rsid w:val="00DF2C5D"/>
    <w:rsid w:val="00DF2CD3"/>
    <w:rsid w:val="00DF3643"/>
    <w:rsid w:val="00DF42FF"/>
    <w:rsid w:val="00DF4369"/>
    <w:rsid w:val="00DF4423"/>
    <w:rsid w:val="00DF4ADF"/>
    <w:rsid w:val="00DF57D6"/>
    <w:rsid w:val="00DF5D1E"/>
    <w:rsid w:val="00DF77E4"/>
    <w:rsid w:val="00DF7F88"/>
    <w:rsid w:val="00E00B88"/>
    <w:rsid w:val="00E01C0E"/>
    <w:rsid w:val="00E02071"/>
    <w:rsid w:val="00E0368F"/>
    <w:rsid w:val="00E03D73"/>
    <w:rsid w:val="00E03F9A"/>
    <w:rsid w:val="00E040DA"/>
    <w:rsid w:val="00E04485"/>
    <w:rsid w:val="00E04694"/>
    <w:rsid w:val="00E04AEF"/>
    <w:rsid w:val="00E04F23"/>
    <w:rsid w:val="00E05333"/>
    <w:rsid w:val="00E06251"/>
    <w:rsid w:val="00E062CF"/>
    <w:rsid w:val="00E07392"/>
    <w:rsid w:val="00E0768A"/>
    <w:rsid w:val="00E07C03"/>
    <w:rsid w:val="00E1085C"/>
    <w:rsid w:val="00E11480"/>
    <w:rsid w:val="00E1168B"/>
    <w:rsid w:val="00E12191"/>
    <w:rsid w:val="00E129E7"/>
    <w:rsid w:val="00E12ABE"/>
    <w:rsid w:val="00E12B1E"/>
    <w:rsid w:val="00E12C42"/>
    <w:rsid w:val="00E135EB"/>
    <w:rsid w:val="00E13995"/>
    <w:rsid w:val="00E14119"/>
    <w:rsid w:val="00E1444C"/>
    <w:rsid w:val="00E14469"/>
    <w:rsid w:val="00E1492B"/>
    <w:rsid w:val="00E14D05"/>
    <w:rsid w:val="00E156A3"/>
    <w:rsid w:val="00E15FA8"/>
    <w:rsid w:val="00E17262"/>
    <w:rsid w:val="00E17F36"/>
    <w:rsid w:val="00E20016"/>
    <w:rsid w:val="00E2009B"/>
    <w:rsid w:val="00E20BB9"/>
    <w:rsid w:val="00E20BCC"/>
    <w:rsid w:val="00E21DDD"/>
    <w:rsid w:val="00E2251C"/>
    <w:rsid w:val="00E2291F"/>
    <w:rsid w:val="00E23388"/>
    <w:rsid w:val="00E2363D"/>
    <w:rsid w:val="00E23C6A"/>
    <w:rsid w:val="00E2484B"/>
    <w:rsid w:val="00E253A2"/>
    <w:rsid w:val="00E260F6"/>
    <w:rsid w:val="00E26122"/>
    <w:rsid w:val="00E26903"/>
    <w:rsid w:val="00E27127"/>
    <w:rsid w:val="00E27233"/>
    <w:rsid w:val="00E274BB"/>
    <w:rsid w:val="00E30B71"/>
    <w:rsid w:val="00E30F15"/>
    <w:rsid w:val="00E31771"/>
    <w:rsid w:val="00E3186D"/>
    <w:rsid w:val="00E31A3E"/>
    <w:rsid w:val="00E32080"/>
    <w:rsid w:val="00E32778"/>
    <w:rsid w:val="00E3309D"/>
    <w:rsid w:val="00E346F4"/>
    <w:rsid w:val="00E34E3F"/>
    <w:rsid w:val="00E350B1"/>
    <w:rsid w:val="00E35339"/>
    <w:rsid w:val="00E353D7"/>
    <w:rsid w:val="00E35A53"/>
    <w:rsid w:val="00E3634A"/>
    <w:rsid w:val="00E3656B"/>
    <w:rsid w:val="00E3712B"/>
    <w:rsid w:val="00E3724A"/>
    <w:rsid w:val="00E378B1"/>
    <w:rsid w:val="00E37C1C"/>
    <w:rsid w:val="00E41131"/>
    <w:rsid w:val="00E41179"/>
    <w:rsid w:val="00E41463"/>
    <w:rsid w:val="00E417BE"/>
    <w:rsid w:val="00E41CD5"/>
    <w:rsid w:val="00E42054"/>
    <w:rsid w:val="00E4273C"/>
    <w:rsid w:val="00E4328C"/>
    <w:rsid w:val="00E4372D"/>
    <w:rsid w:val="00E43889"/>
    <w:rsid w:val="00E43A9E"/>
    <w:rsid w:val="00E44243"/>
    <w:rsid w:val="00E449A8"/>
    <w:rsid w:val="00E453F9"/>
    <w:rsid w:val="00E45D7D"/>
    <w:rsid w:val="00E4623F"/>
    <w:rsid w:val="00E465A0"/>
    <w:rsid w:val="00E4665D"/>
    <w:rsid w:val="00E47854"/>
    <w:rsid w:val="00E478E2"/>
    <w:rsid w:val="00E47EBA"/>
    <w:rsid w:val="00E50156"/>
    <w:rsid w:val="00E504EB"/>
    <w:rsid w:val="00E5076C"/>
    <w:rsid w:val="00E50D2E"/>
    <w:rsid w:val="00E50D7D"/>
    <w:rsid w:val="00E513B4"/>
    <w:rsid w:val="00E51D3C"/>
    <w:rsid w:val="00E51EF0"/>
    <w:rsid w:val="00E53470"/>
    <w:rsid w:val="00E5368D"/>
    <w:rsid w:val="00E539F6"/>
    <w:rsid w:val="00E53B5C"/>
    <w:rsid w:val="00E54698"/>
    <w:rsid w:val="00E54BE9"/>
    <w:rsid w:val="00E54FB4"/>
    <w:rsid w:val="00E5539A"/>
    <w:rsid w:val="00E55791"/>
    <w:rsid w:val="00E55E1A"/>
    <w:rsid w:val="00E578A2"/>
    <w:rsid w:val="00E579ED"/>
    <w:rsid w:val="00E60043"/>
    <w:rsid w:val="00E6105A"/>
    <w:rsid w:val="00E61740"/>
    <w:rsid w:val="00E61EB5"/>
    <w:rsid w:val="00E62429"/>
    <w:rsid w:val="00E6324D"/>
    <w:rsid w:val="00E63AC6"/>
    <w:rsid w:val="00E64782"/>
    <w:rsid w:val="00E647C1"/>
    <w:rsid w:val="00E64D6C"/>
    <w:rsid w:val="00E65084"/>
    <w:rsid w:val="00E6519D"/>
    <w:rsid w:val="00E66062"/>
    <w:rsid w:val="00E6660E"/>
    <w:rsid w:val="00E666EA"/>
    <w:rsid w:val="00E66768"/>
    <w:rsid w:val="00E67305"/>
    <w:rsid w:val="00E673E4"/>
    <w:rsid w:val="00E67696"/>
    <w:rsid w:val="00E67DEF"/>
    <w:rsid w:val="00E7027F"/>
    <w:rsid w:val="00E705A5"/>
    <w:rsid w:val="00E709AF"/>
    <w:rsid w:val="00E70C5F"/>
    <w:rsid w:val="00E71A58"/>
    <w:rsid w:val="00E71ECD"/>
    <w:rsid w:val="00E72774"/>
    <w:rsid w:val="00E72792"/>
    <w:rsid w:val="00E728D7"/>
    <w:rsid w:val="00E72A26"/>
    <w:rsid w:val="00E72A7A"/>
    <w:rsid w:val="00E7335A"/>
    <w:rsid w:val="00E73986"/>
    <w:rsid w:val="00E74234"/>
    <w:rsid w:val="00E7467D"/>
    <w:rsid w:val="00E747DC"/>
    <w:rsid w:val="00E74A2D"/>
    <w:rsid w:val="00E75B3A"/>
    <w:rsid w:val="00E75C94"/>
    <w:rsid w:val="00E76A08"/>
    <w:rsid w:val="00E76B9B"/>
    <w:rsid w:val="00E76BA9"/>
    <w:rsid w:val="00E76C70"/>
    <w:rsid w:val="00E76E61"/>
    <w:rsid w:val="00E76EE4"/>
    <w:rsid w:val="00E77CC0"/>
    <w:rsid w:val="00E801B0"/>
    <w:rsid w:val="00E80B3D"/>
    <w:rsid w:val="00E80CA3"/>
    <w:rsid w:val="00E81504"/>
    <w:rsid w:val="00E81AAA"/>
    <w:rsid w:val="00E82618"/>
    <w:rsid w:val="00E82A42"/>
    <w:rsid w:val="00E82B16"/>
    <w:rsid w:val="00E83D8D"/>
    <w:rsid w:val="00E84E09"/>
    <w:rsid w:val="00E859E5"/>
    <w:rsid w:val="00E874B1"/>
    <w:rsid w:val="00E87811"/>
    <w:rsid w:val="00E87CE2"/>
    <w:rsid w:val="00E87D5B"/>
    <w:rsid w:val="00E90CA8"/>
    <w:rsid w:val="00E911C6"/>
    <w:rsid w:val="00E917A5"/>
    <w:rsid w:val="00E920DE"/>
    <w:rsid w:val="00E930A1"/>
    <w:rsid w:val="00E93820"/>
    <w:rsid w:val="00E93E65"/>
    <w:rsid w:val="00E94A86"/>
    <w:rsid w:val="00E951AB"/>
    <w:rsid w:val="00E953F6"/>
    <w:rsid w:val="00E95DAB"/>
    <w:rsid w:val="00E96018"/>
    <w:rsid w:val="00E96143"/>
    <w:rsid w:val="00E96833"/>
    <w:rsid w:val="00E973D3"/>
    <w:rsid w:val="00E97506"/>
    <w:rsid w:val="00E977B0"/>
    <w:rsid w:val="00E97BB5"/>
    <w:rsid w:val="00E97D5B"/>
    <w:rsid w:val="00E97F14"/>
    <w:rsid w:val="00EA04C3"/>
    <w:rsid w:val="00EA0C68"/>
    <w:rsid w:val="00EA0E39"/>
    <w:rsid w:val="00EA1D0E"/>
    <w:rsid w:val="00EA1DAD"/>
    <w:rsid w:val="00EA2072"/>
    <w:rsid w:val="00EA2841"/>
    <w:rsid w:val="00EA32BC"/>
    <w:rsid w:val="00EA35A7"/>
    <w:rsid w:val="00EA3B32"/>
    <w:rsid w:val="00EA3CEB"/>
    <w:rsid w:val="00EA3D05"/>
    <w:rsid w:val="00EA4222"/>
    <w:rsid w:val="00EA4402"/>
    <w:rsid w:val="00EA4B8D"/>
    <w:rsid w:val="00EA4F0E"/>
    <w:rsid w:val="00EA513E"/>
    <w:rsid w:val="00EA60E9"/>
    <w:rsid w:val="00EA658A"/>
    <w:rsid w:val="00EA7419"/>
    <w:rsid w:val="00EA7CD5"/>
    <w:rsid w:val="00EB070B"/>
    <w:rsid w:val="00EB0E32"/>
    <w:rsid w:val="00EB1CDC"/>
    <w:rsid w:val="00EB1D89"/>
    <w:rsid w:val="00EB3E60"/>
    <w:rsid w:val="00EB4511"/>
    <w:rsid w:val="00EB48D7"/>
    <w:rsid w:val="00EB4994"/>
    <w:rsid w:val="00EB49F1"/>
    <w:rsid w:val="00EB4A8E"/>
    <w:rsid w:val="00EB4BC5"/>
    <w:rsid w:val="00EB599C"/>
    <w:rsid w:val="00EB5BF7"/>
    <w:rsid w:val="00EB5E79"/>
    <w:rsid w:val="00EB620B"/>
    <w:rsid w:val="00EB6DA6"/>
    <w:rsid w:val="00EB6F12"/>
    <w:rsid w:val="00EB6FAC"/>
    <w:rsid w:val="00EB73CA"/>
    <w:rsid w:val="00EB7BAC"/>
    <w:rsid w:val="00EB7CC9"/>
    <w:rsid w:val="00EC03D7"/>
    <w:rsid w:val="00EC0EE6"/>
    <w:rsid w:val="00EC13A7"/>
    <w:rsid w:val="00EC148A"/>
    <w:rsid w:val="00EC1984"/>
    <w:rsid w:val="00EC2177"/>
    <w:rsid w:val="00EC2EB6"/>
    <w:rsid w:val="00EC39F9"/>
    <w:rsid w:val="00EC4FFF"/>
    <w:rsid w:val="00EC51F7"/>
    <w:rsid w:val="00EC53D0"/>
    <w:rsid w:val="00EC5517"/>
    <w:rsid w:val="00EC602A"/>
    <w:rsid w:val="00EC64EC"/>
    <w:rsid w:val="00EC6E8C"/>
    <w:rsid w:val="00EC7386"/>
    <w:rsid w:val="00ED018F"/>
    <w:rsid w:val="00ED05B0"/>
    <w:rsid w:val="00ED0962"/>
    <w:rsid w:val="00ED0EF0"/>
    <w:rsid w:val="00ED0F73"/>
    <w:rsid w:val="00ED12B9"/>
    <w:rsid w:val="00ED15EF"/>
    <w:rsid w:val="00ED16B8"/>
    <w:rsid w:val="00ED1959"/>
    <w:rsid w:val="00ED1A00"/>
    <w:rsid w:val="00ED1CB1"/>
    <w:rsid w:val="00ED1DF0"/>
    <w:rsid w:val="00ED1FB8"/>
    <w:rsid w:val="00ED2386"/>
    <w:rsid w:val="00ED250F"/>
    <w:rsid w:val="00ED2525"/>
    <w:rsid w:val="00ED2EA1"/>
    <w:rsid w:val="00ED3448"/>
    <w:rsid w:val="00ED3851"/>
    <w:rsid w:val="00ED3E51"/>
    <w:rsid w:val="00ED3F10"/>
    <w:rsid w:val="00ED3F9B"/>
    <w:rsid w:val="00ED3FB3"/>
    <w:rsid w:val="00ED4380"/>
    <w:rsid w:val="00ED4D04"/>
    <w:rsid w:val="00ED566D"/>
    <w:rsid w:val="00ED5907"/>
    <w:rsid w:val="00ED5F5B"/>
    <w:rsid w:val="00ED62B7"/>
    <w:rsid w:val="00ED62C6"/>
    <w:rsid w:val="00ED64C1"/>
    <w:rsid w:val="00ED6CDF"/>
    <w:rsid w:val="00ED73B7"/>
    <w:rsid w:val="00ED781F"/>
    <w:rsid w:val="00EE0E7E"/>
    <w:rsid w:val="00EE222F"/>
    <w:rsid w:val="00EE22A5"/>
    <w:rsid w:val="00EE249F"/>
    <w:rsid w:val="00EE2EB4"/>
    <w:rsid w:val="00EE3446"/>
    <w:rsid w:val="00EE3E78"/>
    <w:rsid w:val="00EE41FD"/>
    <w:rsid w:val="00EE460E"/>
    <w:rsid w:val="00EE4B1B"/>
    <w:rsid w:val="00EE5FBA"/>
    <w:rsid w:val="00EE601C"/>
    <w:rsid w:val="00EE66E3"/>
    <w:rsid w:val="00EE6E06"/>
    <w:rsid w:val="00EE7179"/>
    <w:rsid w:val="00EF0C55"/>
    <w:rsid w:val="00EF0D90"/>
    <w:rsid w:val="00EF0DA4"/>
    <w:rsid w:val="00EF150D"/>
    <w:rsid w:val="00EF1F5A"/>
    <w:rsid w:val="00EF23B5"/>
    <w:rsid w:val="00EF2AFA"/>
    <w:rsid w:val="00EF326A"/>
    <w:rsid w:val="00EF3898"/>
    <w:rsid w:val="00EF47BF"/>
    <w:rsid w:val="00EF4D0A"/>
    <w:rsid w:val="00EF52F7"/>
    <w:rsid w:val="00EF59B1"/>
    <w:rsid w:val="00EF5A13"/>
    <w:rsid w:val="00EF5D79"/>
    <w:rsid w:val="00EF5FF9"/>
    <w:rsid w:val="00EF6950"/>
    <w:rsid w:val="00EF6A17"/>
    <w:rsid w:val="00EF75D0"/>
    <w:rsid w:val="00EF77D4"/>
    <w:rsid w:val="00EF7CC7"/>
    <w:rsid w:val="00F00535"/>
    <w:rsid w:val="00F00853"/>
    <w:rsid w:val="00F00866"/>
    <w:rsid w:val="00F0086F"/>
    <w:rsid w:val="00F00EC8"/>
    <w:rsid w:val="00F0160B"/>
    <w:rsid w:val="00F0193E"/>
    <w:rsid w:val="00F03E2F"/>
    <w:rsid w:val="00F03F8D"/>
    <w:rsid w:val="00F044D1"/>
    <w:rsid w:val="00F04811"/>
    <w:rsid w:val="00F04869"/>
    <w:rsid w:val="00F0488C"/>
    <w:rsid w:val="00F04955"/>
    <w:rsid w:val="00F052D2"/>
    <w:rsid w:val="00F0730A"/>
    <w:rsid w:val="00F073ED"/>
    <w:rsid w:val="00F07730"/>
    <w:rsid w:val="00F07C4C"/>
    <w:rsid w:val="00F07E45"/>
    <w:rsid w:val="00F10F11"/>
    <w:rsid w:val="00F11159"/>
    <w:rsid w:val="00F115E4"/>
    <w:rsid w:val="00F11AC4"/>
    <w:rsid w:val="00F120A5"/>
    <w:rsid w:val="00F123DF"/>
    <w:rsid w:val="00F12CFB"/>
    <w:rsid w:val="00F13E60"/>
    <w:rsid w:val="00F13FDB"/>
    <w:rsid w:val="00F15AAA"/>
    <w:rsid w:val="00F15BEF"/>
    <w:rsid w:val="00F17898"/>
    <w:rsid w:val="00F204BF"/>
    <w:rsid w:val="00F205AB"/>
    <w:rsid w:val="00F207C2"/>
    <w:rsid w:val="00F21337"/>
    <w:rsid w:val="00F219A1"/>
    <w:rsid w:val="00F23520"/>
    <w:rsid w:val="00F23E20"/>
    <w:rsid w:val="00F24407"/>
    <w:rsid w:val="00F249CE"/>
    <w:rsid w:val="00F24FAA"/>
    <w:rsid w:val="00F25040"/>
    <w:rsid w:val="00F2507B"/>
    <w:rsid w:val="00F2533E"/>
    <w:rsid w:val="00F25A4E"/>
    <w:rsid w:val="00F26359"/>
    <w:rsid w:val="00F269D7"/>
    <w:rsid w:val="00F27071"/>
    <w:rsid w:val="00F27331"/>
    <w:rsid w:val="00F276D3"/>
    <w:rsid w:val="00F27EE5"/>
    <w:rsid w:val="00F27FB1"/>
    <w:rsid w:val="00F27FD6"/>
    <w:rsid w:val="00F307C3"/>
    <w:rsid w:val="00F307CB"/>
    <w:rsid w:val="00F30C0C"/>
    <w:rsid w:val="00F30C65"/>
    <w:rsid w:val="00F30CA2"/>
    <w:rsid w:val="00F30D46"/>
    <w:rsid w:val="00F321D2"/>
    <w:rsid w:val="00F32649"/>
    <w:rsid w:val="00F33523"/>
    <w:rsid w:val="00F3364D"/>
    <w:rsid w:val="00F33914"/>
    <w:rsid w:val="00F349BF"/>
    <w:rsid w:val="00F34DDC"/>
    <w:rsid w:val="00F36191"/>
    <w:rsid w:val="00F3629F"/>
    <w:rsid w:val="00F363F5"/>
    <w:rsid w:val="00F36DF3"/>
    <w:rsid w:val="00F37362"/>
    <w:rsid w:val="00F37EDC"/>
    <w:rsid w:val="00F416AE"/>
    <w:rsid w:val="00F41C19"/>
    <w:rsid w:val="00F43035"/>
    <w:rsid w:val="00F437CC"/>
    <w:rsid w:val="00F43A77"/>
    <w:rsid w:val="00F43C60"/>
    <w:rsid w:val="00F44537"/>
    <w:rsid w:val="00F44BEE"/>
    <w:rsid w:val="00F45EE4"/>
    <w:rsid w:val="00F45F6A"/>
    <w:rsid w:val="00F46185"/>
    <w:rsid w:val="00F46423"/>
    <w:rsid w:val="00F4680A"/>
    <w:rsid w:val="00F4696A"/>
    <w:rsid w:val="00F47067"/>
    <w:rsid w:val="00F47234"/>
    <w:rsid w:val="00F5199B"/>
    <w:rsid w:val="00F51ADD"/>
    <w:rsid w:val="00F525AB"/>
    <w:rsid w:val="00F525EB"/>
    <w:rsid w:val="00F52CB5"/>
    <w:rsid w:val="00F52D67"/>
    <w:rsid w:val="00F52F07"/>
    <w:rsid w:val="00F53378"/>
    <w:rsid w:val="00F53917"/>
    <w:rsid w:val="00F53A68"/>
    <w:rsid w:val="00F54934"/>
    <w:rsid w:val="00F54C62"/>
    <w:rsid w:val="00F55A92"/>
    <w:rsid w:val="00F5615B"/>
    <w:rsid w:val="00F56809"/>
    <w:rsid w:val="00F575D3"/>
    <w:rsid w:val="00F57983"/>
    <w:rsid w:val="00F57A76"/>
    <w:rsid w:val="00F57D57"/>
    <w:rsid w:val="00F60ECA"/>
    <w:rsid w:val="00F6178B"/>
    <w:rsid w:val="00F61CB5"/>
    <w:rsid w:val="00F62BFF"/>
    <w:rsid w:val="00F62CCE"/>
    <w:rsid w:val="00F63092"/>
    <w:rsid w:val="00F63AAE"/>
    <w:rsid w:val="00F63DDE"/>
    <w:rsid w:val="00F63FB7"/>
    <w:rsid w:val="00F6421B"/>
    <w:rsid w:val="00F647F1"/>
    <w:rsid w:val="00F649D2"/>
    <w:rsid w:val="00F64D5A"/>
    <w:rsid w:val="00F65460"/>
    <w:rsid w:val="00F65CA4"/>
    <w:rsid w:val="00F6602B"/>
    <w:rsid w:val="00F66656"/>
    <w:rsid w:val="00F67077"/>
    <w:rsid w:val="00F6715A"/>
    <w:rsid w:val="00F6779D"/>
    <w:rsid w:val="00F6799D"/>
    <w:rsid w:val="00F703B6"/>
    <w:rsid w:val="00F70CC7"/>
    <w:rsid w:val="00F70DE0"/>
    <w:rsid w:val="00F7150B"/>
    <w:rsid w:val="00F717E4"/>
    <w:rsid w:val="00F71DE6"/>
    <w:rsid w:val="00F72D71"/>
    <w:rsid w:val="00F7381C"/>
    <w:rsid w:val="00F73A0C"/>
    <w:rsid w:val="00F74397"/>
    <w:rsid w:val="00F74B00"/>
    <w:rsid w:val="00F752DC"/>
    <w:rsid w:val="00F7549F"/>
    <w:rsid w:val="00F756DB"/>
    <w:rsid w:val="00F766BE"/>
    <w:rsid w:val="00F767A8"/>
    <w:rsid w:val="00F768DE"/>
    <w:rsid w:val="00F77590"/>
    <w:rsid w:val="00F77A50"/>
    <w:rsid w:val="00F80012"/>
    <w:rsid w:val="00F80BB3"/>
    <w:rsid w:val="00F81340"/>
    <w:rsid w:val="00F81B1E"/>
    <w:rsid w:val="00F81D58"/>
    <w:rsid w:val="00F82C44"/>
    <w:rsid w:val="00F82D14"/>
    <w:rsid w:val="00F82E98"/>
    <w:rsid w:val="00F84E7D"/>
    <w:rsid w:val="00F85066"/>
    <w:rsid w:val="00F868EE"/>
    <w:rsid w:val="00F874F8"/>
    <w:rsid w:val="00F87520"/>
    <w:rsid w:val="00F87A4D"/>
    <w:rsid w:val="00F87C30"/>
    <w:rsid w:val="00F90EEB"/>
    <w:rsid w:val="00F91237"/>
    <w:rsid w:val="00F9135C"/>
    <w:rsid w:val="00F919C6"/>
    <w:rsid w:val="00F91B66"/>
    <w:rsid w:val="00F91C3D"/>
    <w:rsid w:val="00F93688"/>
    <w:rsid w:val="00F939F3"/>
    <w:rsid w:val="00F93C6E"/>
    <w:rsid w:val="00F93F2C"/>
    <w:rsid w:val="00F94390"/>
    <w:rsid w:val="00F947E9"/>
    <w:rsid w:val="00F9516B"/>
    <w:rsid w:val="00F95E27"/>
    <w:rsid w:val="00F962AD"/>
    <w:rsid w:val="00F9644E"/>
    <w:rsid w:val="00F977DB"/>
    <w:rsid w:val="00F97EDD"/>
    <w:rsid w:val="00FA0105"/>
    <w:rsid w:val="00FA05A0"/>
    <w:rsid w:val="00FA0AEF"/>
    <w:rsid w:val="00FA0ECC"/>
    <w:rsid w:val="00FA17CC"/>
    <w:rsid w:val="00FA1CFE"/>
    <w:rsid w:val="00FA1ECA"/>
    <w:rsid w:val="00FA1EE7"/>
    <w:rsid w:val="00FA1F01"/>
    <w:rsid w:val="00FA268D"/>
    <w:rsid w:val="00FA26DF"/>
    <w:rsid w:val="00FA298B"/>
    <w:rsid w:val="00FA32BC"/>
    <w:rsid w:val="00FA3FA8"/>
    <w:rsid w:val="00FA4059"/>
    <w:rsid w:val="00FA4230"/>
    <w:rsid w:val="00FA4574"/>
    <w:rsid w:val="00FA46B9"/>
    <w:rsid w:val="00FA48A4"/>
    <w:rsid w:val="00FA4CB7"/>
    <w:rsid w:val="00FA5112"/>
    <w:rsid w:val="00FA5526"/>
    <w:rsid w:val="00FA5D4D"/>
    <w:rsid w:val="00FA6CB6"/>
    <w:rsid w:val="00FA6CE4"/>
    <w:rsid w:val="00FA6E38"/>
    <w:rsid w:val="00FA70D3"/>
    <w:rsid w:val="00FA7AEC"/>
    <w:rsid w:val="00FB0AEA"/>
    <w:rsid w:val="00FB0DB4"/>
    <w:rsid w:val="00FB0EE2"/>
    <w:rsid w:val="00FB1A79"/>
    <w:rsid w:val="00FB1F0B"/>
    <w:rsid w:val="00FB208B"/>
    <w:rsid w:val="00FB2494"/>
    <w:rsid w:val="00FB2A31"/>
    <w:rsid w:val="00FB2B2D"/>
    <w:rsid w:val="00FB373F"/>
    <w:rsid w:val="00FB542E"/>
    <w:rsid w:val="00FB5580"/>
    <w:rsid w:val="00FB564F"/>
    <w:rsid w:val="00FB59BA"/>
    <w:rsid w:val="00FB6E8F"/>
    <w:rsid w:val="00FB6F62"/>
    <w:rsid w:val="00FB744F"/>
    <w:rsid w:val="00FB7DBB"/>
    <w:rsid w:val="00FC05F8"/>
    <w:rsid w:val="00FC077B"/>
    <w:rsid w:val="00FC0B1B"/>
    <w:rsid w:val="00FC0E5F"/>
    <w:rsid w:val="00FC1070"/>
    <w:rsid w:val="00FC1266"/>
    <w:rsid w:val="00FC1A95"/>
    <w:rsid w:val="00FC1ED4"/>
    <w:rsid w:val="00FC368D"/>
    <w:rsid w:val="00FC3BEC"/>
    <w:rsid w:val="00FC3FC0"/>
    <w:rsid w:val="00FC42C5"/>
    <w:rsid w:val="00FC440B"/>
    <w:rsid w:val="00FC5180"/>
    <w:rsid w:val="00FC56DE"/>
    <w:rsid w:val="00FC5B13"/>
    <w:rsid w:val="00FC5DD2"/>
    <w:rsid w:val="00FC63D9"/>
    <w:rsid w:val="00FC64DE"/>
    <w:rsid w:val="00FC6785"/>
    <w:rsid w:val="00FC684B"/>
    <w:rsid w:val="00FC7D98"/>
    <w:rsid w:val="00FD091B"/>
    <w:rsid w:val="00FD0F8C"/>
    <w:rsid w:val="00FD1135"/>
    <w:rsid w:val="00FD125F"/>
    <w:rsid w:val="00FD3265"/>
    <w:rsid w:val="00FD3CF7"/>
    <w:rsid w:val="00FD4124"/>
    <w:rsid w:val="00FD43E6"/>
    <w:rsid w:val="00FD4916"/>
    <w:rsid w:val="00FD4D12"/>
    <w:rsid w:val="00FD4F73"/>
    <w:rsid w:val="00FD595E"/>
    <w:rsid w:val="00FD5B4C"/>
    <w:rsid w:val="00FD6D53"/>
    <w:rsid w:val="00FD7802"/>
    <w:rsid w:val="00FD7D3B"/>
    <w:rsid w:val="00FD7FBE"/>
    <w:rsid w:val="00FE00E7"/>
    <w:rsid w:val="00FE0730"/>
    <w:rsid w:val="00FE0FB9"/>
    <w:rsid w:val="00FE1B5F"/>
    <w:rsid w:val="00FE27C7"/>
    <w:rsid w:val="00FE2C7E"/>
    <w:rsid w:val="00FE2F78"/>
    <w:rsid w:val="00FE3137"/>
    <w:rsid w:val="00FE3156"/>
    <w:rsid w:val="00FE346B"/>
    <w:rsid w:val="00FE346F"/>
    <w:rsid w:val="00FE37F1"/>
    <w:rsid w:val="00FE431E"/>
    <w:rsid w:val="00FE4418"/>
    <w:rsid w:val="00FE460E"/>
    <w:rsid w:val="00FE48E4"/>
    <w:rsid w:val="00FE521B"/>
    <w:rsid w:val="00FE5466"/>
    <w:rsid w:val="00FE634C"/>
    <w:rsid w:val="00FE6D9C"/>
    <w:rsid w:val="00FE6E69"/>
    <w:rsid w:val="00FE6F59"/>
    <w:rsid w:val="00FE736B"/>
    <w:rsid w:val="00FE7EAB"/>
    <w:rsid w:val="00FF01B6"/>
    <w:rsid w:val="00FF0989"/>
    <w:rsid w:val="00FF0C09"/>
    <w:rsid w:val="00FF0F79"/>
    <w:rsid w:val="00FF1136"/>
    <w:rsid w:val="00FF2666"/>
    <w:rsid w:val="00FF2A6D"/>
    <w:rsid w:val="00FF2D47"/>
    <w:rsid w:val="00FF2F4F"/>
    <w:rsid w:val="00FF3612"/>
    <w:rsid w:val="00FF3D76"/>
    <w:rsid w:val="00FF5B8C"/>
    <w:rsid w:val="00FF6072"/>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character" w:styleId="Sledovanodkaz">
    <w:name w:val="FollowedHyperlink"/>
    <w:basedOn w:val="Standardnpsmoodstavce"/>
    <w:uiPriority w:val="99"/>
    <w:semiHidden/>
    <w:unhideWhenUsed/>
    <w:rsid w:val="004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1129405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3-ctvrtleti-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2\Celorok-2022\ENGL\ENGL-Grafy-st.rozpo&#269;et-rok-2022-ak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2\Celorok-2022\ENGL\ENGL-Grafy-st.rozpo&#269;et-rok-2022-ak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Q-makro-2022\Celorok-2022\ENGL\ENGL-Grafy-st.rozpo&#269;et-rok-2022-ak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35993017189728E-2"/>
          <c:y val="1.7107238390107405E-2"/>
          <c:w val="0.83559968783080529"/>
          <c:h val="0.81067557818886482"/>
        </c:manualLayout>
      </c:layout>
      <c:barChart>
        <c:barDir val="col"/>
        <c:grouping val="clustered"/>
        <c:varyColors val="0"/>
        <c:ser>
          <c:idx val="2"/>
          <c:order val="4"/>
          <c:tx>
            <c:strRef>
              <c:f>'GRAF-1-Státní rozpočet-příjmy'!$A$40</c:f>
              <c:strCache>
                <c:ptCount val="1"/>
                <c:pt idx="0">
                  <c:v>State budget balance (right axis)</c:v>
                </c:pt>
              </c:strCache>
            </c:strRef>
          </c:tx>
          <c:spPr>
            <a:solidFill>
              <a:sysClr val="window" lastClr="FFFFFF">
                <a:lumMod val="75000"/>
              </a:sysClr>
            </a:solidFill>
          </c:spPr>
          <c:invertIfNegative val="0"/>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rozpočet-příjmy'!$D$40:$S$40</c:f>
              <c:numCache>
                <c:formatCode>#\ ##0.0</c:formatCode>
                <c:ptCount val="16"/>
                <c:pt idx="0">
                  <c:v>-66.391999999999996</c:v>
                </c:pt>
                <c:pt idx="1">
                  <c:v>-20.003</c:v>
                </c:pt>
                <c:pt idx="2">
                  <c:v>-192.39400000000001</c:v>
                </c:pt>
                <c:pt idx="3">
                  <c:v>-156.416</c:v>
                </c:pt>
                <c:pt idx="4">
                  <c:v>-142.77099999999999</c:v>
                </c:pt>
                <c:pt idx="5">
                  <c:v>-101</c:v>
                </c:pt>
                <c:pt idx="6">
                  <c:v>-81.263999999999996</c:v>
                </c:pt>
                <c:pt idx="7">
                  <c:v>-77.78</c:v>
                </c:pt>
                <c:pt idx="8">
                  <c:v>-62.8</c:v>
                </c:pt>
                <c:pt idx="9">
                  <c:v>61.77</c:v>
                </c:pt>
                <c:pt idx="10">
                  <c:v>-6.15</c:v>
                </c:pt>
                <c:pt idx="11">
                  <c:v>2.94</c:v>
                </c:pt>
                <c:pt idx="12">
                  <c:v>-28.52</c:v>
                </c:pt>
                <c:pt idx="13">
                  <c:v>-367.44997523070992</c:v>
                </c:pt>
                <c:pt idx="14">
                  <c:v>-419.68746344218994</c:v>
                </c:pt>
                <c:pt idx="15">
                  <c:v>-360.40048457025</c:v>
                </c:pt>
              </c:numCache>
            </c:numRef>
          </c:val>
          <c:extLst>
            <c:ext xmlns:c16="http://schemas.microsoft.com/office/drawing/2014/chart" uri="{C3380CC4-5D6E-409C-BE32-E72D297353CC}">
              <c16:uniqueId val="{00000000-6303-460B-9661-021AA19B5AE7}"/>
            </c:ext>
          </c:extLst>
        </c:ser>
        <c:ser>
          <c:idx val="5"/>
          <c:order val="5"/>
          <c:tx>
            <c:strRef>
              <c:f>'GRAF-1-Státní rozpočet-příjmy'!$A$41</c:f>
              <c:strCache>
                <c:ptCount val="1"/>
                <c:pt idx="0">
                  <c:v>Adjusted SB balance (right axis)*</c:v>
                </c:pt>
              </c:strCache>
            </c:strRef>
          </c:tx>
          <c:spPr>
            <a:solidFill>
              <a:schemeClr val="bg1">
                <a:lumMod val="50000"/>
              </a:schemeClr>
            </a:solidFill>
            <a:ln>
              <a:noFill/>
            </a:ln>
          </c:spPr>
          <c:invertIfNegative val="0"/>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rozpočet-příjmy'!$D$41:$S$41</c:f>
              <c:numCache>
                <c:formatCode>General</c:formatCode>
                <c:ptCount val="16"/>
                <c:pt idx="6" formatCode="#\ ##0.0">
                  <c:v>-81.73296260617991</c:v>
                </c:pt>
                <c:pt idx="7" formatCode="#\ ##0.0">
                  <c:v>-64.099999999999994</c:v>
                </c:pt>
                <c:pt idx="8" formatCode="#\ ##0.0">
                  <c:v>-41.7</c:v>
                </c:pt>
                <c:pt idx="9" formatCode="#\ ##0.0">
                  <c:v>-13.6</c:v>
                </c:pt>
                <c:pt idx="10" formatCode="#\ ##0.0">
                  <c:v>-1.3</c:v>
                </c:pt>
                <c:pt idx="11" formatCode="#\ ##0.0">
                  <c:v>-3.5</c:v>
                </c:pt>
                <c:pt idx="12" formatCode="#\ ##0.0">
                  <c:v>-29.2</c:v>
                </c:pt>
                <c:pt idx="13" formatCode="#\ ##0.0">
                  <c:v>-364.9</c:v>
                </c:pt>
                <c:pt idx="14" formatCode="#\ ##0.0">
                  <c:v>-408.62534300788002</c:v>
                </c:pt>
                <c:pt idx="15" formatCode="#\ ##0.0">
                  <c:v>-316.12697116642994</c:v>
                </c:pt>
              </c:numCache>
            </c:numRef>
          </c:val>
          <c:extLst>
            <c:ext xmlns:c16="http://schemas.microsoft.com/office/drawing/2014/chart" uri="{C3380CC4-5D6E-409C-BE32-E72D297353CC}">
              <c16:uniqueId val="{00000001-6303-460B-9661-021AA19B5AE7}"/>
            </c:ext>
          </c:extLst>
        </c:ser>
        <c:dLbls>
          <c:showLegendKey val="0"/>
          <c:showVal val="0"/>
          <c:showCatName val="0"/>
          <c:showSerName val="0"/>
          <c:showPercent val="0"/>
          <c:showBubbleSize val="0"/>
        </c:dLbls>
        <c:gapWidth val="150"/>
        <c:axId val="194477056"/>
        <c:axId val="194475520"/>
      </c:barChart>
      <c:lineChart>
        <c:grouping val="standard"/>
        <c:varyColors val="0"/>
        <c:ser>
          <c:idx val="0"/>
          <c:order val="0"/>
          <c:tx>
            <c:strRef>
              <c:f>'GRAF-1-Státní rozpočet-příjmy'!$A$36</c:f>
              <c:strCache>
                <c:ptCount val="1"/>
                <c:pt idx="0">
                  <c:v>VAT</c:v>
                </c:pt>
              </c:strCache>
            </c:strRef>
          </c:tx>
          <c:spPr>
            <a:ln w="19050">
              <a:solidFill>
                <a:srgbClr val="BD1B25"/>
              </a:solidFill>
            </a:ln>
          </c:spPr>
          <c:marker>
            <c:symbol val="none"/>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rozpočet-příjmy'!$D$36:$S$36</c:f>
              <c:numCache>
                <c:formatCode>0.0</c:formatCode>
                <c:ptCount val="16"/>
                <c:pt idx="0">
                  <c:v>8.540729176232901</c:v>
                </c:pt>
                <c:pt idx="1">
                  <c:v>7.9575260174295579</c:v>
                </c:pt>
                <c:pt idx="2">
                  <c:v>-0.61914651828048761</c:v>
                </c:pt>
                <c:pt idx="3">
                  <c:v>6.2852411182524435</c:v>
                </c:pt>
                <c:pt idx="4">
                  <c:v>2.1665739194954341</c:v>
                </c:pt>
                <c:pt idx="5">
                  <c:v>1.0312647518065461</c:v>
                </c:pt>
                <c:pt idx="6">
                  <c:v>10.865111598317938</c:v>
                </c:pt>
                <c:pt idx="7">
                  <c:v>4.674836283472743</c:v>
                </c:pt>
                <c:pt idx="8">
                  <c:v>2.7750247770069336</c:v>
                </c:pt>
                <c:pt idx="9">
                  <c:v>5.3881388621022381</c:v>
                </c:pt>
                <c:pt idx="10">
                  <c:v>9.138739563079028</c:v>
                </c:pt>
                <c:pt idx="11">
                  <c:v>8.2844267449172122</c:v>
                </c:pt>
                <c:pt idx="12">
                  <c:v>4.4229373336559235</c:v>
                </c:pt>
                <c:pt idx="13">
                  <c:v>-1.1882103979308738</c:v>
                </c:pt>
                <c:pt idx="14">
                  <c:v>8.7290514464571913</c:v>
                </c:pt>
                <c:pt idx="15">
                  <c:v>15.639235869949843</c:v>
                </c:pt>
              </c:numCache>
            </c:numRef>
          </c:val>
          <c:smooth val="0"/>
          <c:extLst>
            <c:ext xmlns:c16="http://schemas.microsoft.com/office/drawing/2014/chart" uri="{C3380CC4-5D6E-409C-BE32-E72D297353CC}">
              <c16:uniqueId val="{00000002-6303-460B-9661-021AA19B5AE7}"/>
            </c:ext>
          </c:extLst>
        </c:ser>
        <c:ser>
          <c:idx val="1"/>
          <c:order val="1"/>
          <c:tx>
            <c:strRef>
              <c:f>'GRAF-1-Státní rozpočet-příjmy'!$A$37</c:f>
              <c:strCache>
                <c:ptCount val="1"/>
                <c:pt idx="0">
                  <c:v>Consumption tax</c:v>
                </c:pt>
              </c:strCache>
            </c:strRef>
          </c:tx>
          <c:spPr>
            <a:ln w="19050">
              <a:solidFill>
                <a:srgbClr val="7DBB2D"/>
              </a:solidFill>
              <a:prstDash val="solid"/>
            </a:ln>
          </c:spPr>
          <c:marker>
            <c:symbol val="none"/>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rozpočet-příjmy'!$D$37:$S$37</c:f>
              <c:numCache>
                <c:formatCode>0.0</c:formatCode>
                <c:ptCount val="16"/>
                <c:pt idx="0">
                  <c:v>16.227519866164769</c:v>
                </c:pt>
                <c:pt idx="1">
                  <c:v>-4.2605253688377047</c:v>
                </c:pt>
                <c:pt idx="2">
                  <c:v>-1.4733518755167978</c:v>
                </c:pt>
                <c:pt idx="3">
                  <c:v>5.4932478828107207</c:v>
                </c:pt>
                <c:pt idx="4">
                  <c:v>6.0099804729876354</c:v>
                </c:pt>
                <c:pt idx="5">
                  <c:v>0.13644426251875075</c:v>
                </c:pt>
                <c:pt idx="6">
                  <c:v>-2.2891402098378535</c:v>
                </c:pt>
                <c:pt idx="7">
                  <c:v>-1.4712034583739921</c:v>
                </c:pt>
                <c:pt idx="8">
                  <c:v>6.5034321704055031</c:v>
                </c:pt>
                <c:pt idx="9">
                  <c:v>5.1362126245847008</c:v>
                </c:pt>
                <c:pt idx="10">
                  <c:v>2.9071604626177248</c:v>
                </c:pt>
                <c:pt idx="11">
                  <c:v>2.8495977399742003</c:v>
                </c:pt>
                <c:pt idx="12">
                  <c:v>-0.19705021794949573</c:v>
                </c:pt>
                <c:pt idx="13">
                  <c:v>-2.7814436561206151</c:v>
                </c:pt>
                <c:pt idx="14">
                  <c:v>-2.9871716093147143</c:v>
                </c:pt>
                <c:pt idx="15">
                  <c:v>1.9170974105799417</c:v>
                </c:pt>
              </c:numCache>
            </c:numRef>
          </c:val>
          <c:smooth val="0"/>
          <c:extLst>
            <c:ext xmlns:c16="http://schemas.microsoft.com/office/drawing/2014/chart" uri="{C3380CC4-5D6E-409C-BE32-E72D297353CC}">
              <c16:uniqueId val="{00000003-6303-460B-9661-021AA19B5AE7}"/>
            </c:ext>
          </c:extLst>
        </c:ser>
        <c:ser>
          <c:idx val="3"/>
          <c:order val="2"/>
          <c:tx>
            <c:strRef>
              <c:f>'GRAF-1-Státní rozpočet-příjmy'!$A$38</c:f>
              <c:strCache>
                <c:ptCount val="1"/>
                <c:pt idx="0">
                  <c:v>Income tax of natural persons</c:v>
                </c:pt>
              </c:strCache>
            </c:strRef>
          </c:tx>
          <c:spPr>
            <a:ln w="19050">
              <a:solidFill>
                <a:srgbClr val="0071BC"/>
              </a:solidFill>
              <a:prstDash val="solid"/>
            </a:ln>
          </c:spPr>
          <c:marker>
            <c:symbol val="none"/>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rozpočet-příjmy'!$D$38:$S$38</c:f>
              <c:numCache>
                <c:formatCode>0.0</c:formatCode>
                <c:ptCount val="16"/>
                <c:pt idx="0">
                  <c:v>10.991820040899796</c:v>
                </c:pt>
                <c:pt idx="1">
                  <c:v>-5.6984931236428196</c:v>
                </c:pt>
                <c:pt idx="2">
                  <c:v>-11.562347358872387</c:v>
                </c:pt>
                <c:pt idx="3">
                  <c:v>2.5800852138235797</c:v>
                </c:pt>
                <c:pt idx="4">
                  <c:v>2.5844165833397454</c:v>
                </c:pt>
                <c:pt idx="5">
                  <c:v>2.1893979155731955</c:v>
                </c:pt>
                <c:pt idx="6">
                  <c:v>3.9254530779954564</c:v>
                </c:pt>
                <c:pt idx="7">
                  <c:v>3.6430386896357163</c:v>
                </c:pt>
                <c:pt idx="8">
                  <c:v>5.1430517711171575</c:v>
                </c:pt>
                <c:pt idx="9">
                  <c:v>11.681243926141889</c:v>
                </c:pt>
                <c:pt idx="10">
                  <c:v>11.863325211741511</c:v>
                </c:pt>
                <c:pt idx="11">
                  <c:v>14.033086138049029</c:v>
                </c:pt>
                <c:pt idx="12">
                  <c:v>12.165173495838829</c:v>
                </c:pt>
                <c:pt idx="13">
                  <c:v>-6.0491656046383468</c:v>
                </c:pt>
                <c:pt idx="14">
                  <c:v>-25.507086593654876</c:v>
                </c:pt>
                <c:pt idx="15">
                  <c:v>13.26046113672929</c:v>
                </c:pt>
              </c:numCache>
            </c:numRef>
          </c:val>
          <c:smooth val="0"/>
          <c:extLst>
            <c:ext xmlns:c16="http://schemas.microsoft.com/office/drawing/2014/chart" uri="{C3380CC4-5D6E-409C-BE32-E72D297353CC}">
              <c16:uniqueId val="{00000004-6303-460B-9661-021AA19B5AE7}"/>
            </c:ext>
          </c:extLst>
        </c:ser>
        <c:ser>
          <c:idx val="4"/>
          <c:order val="3"/>
          <c:tx>
            <c:strRef>
              <c:f>'GRAF-1-Státní rozpočet-příjmy'!$A$39</c:f>
              <c:strCache>
                <c:ptCount val="1"/>
                <c:pt idx="0">
                  <c:v>Income tax of legal persons (corporate tax)</c:v>
                </c:pt>
              </c:strCache>
            </c:strRef>
          </c:tx>
          <c:spPr>
            <a:ln w="19050">
              <a:noFill/>
            </a:ln>
          </c:spPr>
          <c:marker>
            <c:symbol val="diamond"/>
            <c:size val="6"/>
            <c:spPr>
              <a:solidFill>
                <a:srgbClr val="984807"/>
              </a:solidFill>
              <a:ln>
                <a:noFill/>
              </a:ln>
            </c:spPr>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rozpočet-příjmy'!$D$39:$S$39</c:f>
              <c:numCache>
                <c:formatCode>0.0</c:formatCode>
                <c:ptCount val="16"/>
                <c:pt idx="0">
                  <c:v>20.193443591258116</c:v>
                </c:pt>
                <c:pt idx="1">
                  <c:v>12.113766201855157</c:v>
                </c:pt>
                <c:pt idx="2">
                  <c:v>-34.469344145526264</c:v>
                </c:pt>
                <c:pt idx="3">
                  <c:v>3.5618729096990052</c:v>
                </c:pt>
                <c:pt idx="4">
                  <c:v>-4.6423381236880346</c:v>
                </c:pt>
                <c:pt idx="5">
                  <c:v>8.3735500804335032</c:v>
                </c:pt>
                <c:pt idx="6">
                  <c:v>-5.6875</c:v>
                </c:pt>
                <c:pt idx="7">
                  <c:v>9.6752816434725162</c:v>
                </c:pt>
                <c:pt idx="8">
                  <c:v>11.412386706948624</c:v>
                </c:pt>
                <c:pt idx="9">
                  <c:v>11.667005626737165</c:v>
                </c:pt>
                <c:pt idx="10">
                  <c:v>3.6000485672656595</c:v>
                </c:pt>
                <c:pt idx="11">
                  <c:v>1.9689422795194673</c:v>
                </c:pt>
                <c:pt idx="12">
                  <c:v>5.1089017872536004</c:v>
                </c:pt>
                <c:pt idx="13">
                  <c:v>-12.219312902832144</c:v>
                </c:pt>
                <c:pt idx="14">
                  <c:v>24.923332261143941</c:v>
                </c:pt>
                <c:pt idx="15">
                  <c:v>17.341113343647137</c:v>
                </c:pt>
              </c:numCache>
            </c:numRef>
          </c:val>
          <c:smooth val="0"/>
          <c:extLst>
            <c:ext xmlns:c16="http://schemas.microsoft.com/office/drawing/2014/chart" uri="{C3380CC4-5D6E-409C-BE32-E72D297353CC}">
              <c16:uniqueId val="{00000005-6303-460B-9661-021AA19B5AE7}"/>
            </c:ext>
          </c:extLst>
        </c:ser>
        <c:dLbls>
          <c:showLegendKey val="0"/>
          <c:showVal val="0"/>
          <c:showCatName val="0"/>
          <c:showSerName val="0"/>
          <c:showPercent val="0"/>
          <c:showBubbleSize val="0"/>
        </c:dLbls>
        <c:marker val="1"/>
        <c:smooth val="0"/>
        <c:axId val="194467712"/>
        <c:axId val="194473984"/>
      </c:lineChart>
      <c:catAx>
        <c:axId val="194467712"/>
        <c:scaling>
          <c:orientation val="minMax"/>
        </c:scaling>
        <c:delete val="0"/>
        <c:axPos val="b"/>
        <c:numFmt formatCode="General" sourceLinked="1"/>
        <c:majorTickMark val="out"/>
        <c:minorTickMark val="none"/>
        <c:tickLblPos val="low"/>
        <c:spPr>
          <a:ln w="6350">
            <a:solidFill>
              <a:schemeClr val="tx1"/>
            </a:solidFill>
          </a:ln>
        </c:spPr>
        <c:crossAx val="194473984"/>
        <c:crosses val="autoZero"/>
        <c:auto val="1"/>
        <c:lblAlgn val="ctr"/>
        <c:lblOffset val="0"/>
        <c:noMultiLvlLbl val="0"/>
      </c:catAx>
      <c:valAx>
        <c:axId val="194473984"/>
        <c:scaling>
          <c:orientation val="minMax"/>
          <c:max val="30"/>
          <c:min val="-45"/>
        </c:scaling>
        <c:delete val="0"/>
        <c:axPos val="l"/>
        <c:majorGridlines>
          <c:spPr>
            <a:ln w="6350">
              <a:solidFill>
                <a:schemeClr val="bg1">
                  <a:lumMod val="75000"/>
                </a:schemeClr>
              </a:solidFill>
            </a:ln>
          </c:spPr>
        </c:majorGridlines>
        <c:title>
          <c:tx>
            <c:rich>
              <a:bodyPr/>
              <a:lstStyle/>
              <a:p>
                <a:pPr>
                  <a:defRPr sz="700" b="0" i="1"/>
                </a:pPr>
                <a:r>
                  <a:rPr lang="cs-CZ" sz="700" b="0" i="1"/>
                  <a:t>Main</a:t>
                </a:r>
                <a:r>
                  <a:rPr lang="cs-CZ" sz="700" b="0" i="1" baseline="0"/>
                  <a:t> </a:t>
                </a:r>
                <a:r>
                  <a:rPr lang="cs-CZ" sz="700" b="0" i="1"/>
                  <a:t>tax revenues</a:t>
                </a:r>
              </a:p>
            </c:rich>
          </c:tx>
          <c:overlay val="0"/>
        </c:title>
        <c:numFmt formatCode="0" sourceLinked="0"/>
        <c:majorTickMark val="out"/>
        <c:minorTickMark val="none"/>
        <c:tickLblPos val="nextTo"/>
        <c:spPr>
          <a:ln w="6350">
            <a:solidFill>
              <a:schemeClr val="tx1"/>
            </a:solidFill>
          </a:ln>
        </c:spPr>
        <c:crossAx val="194467712"/>
        <c:crosses val="autoZero"/>
        <c:crossBetween val="between"/>
        <c:majorUnit val="5"/>
      </c:valAx>
      <c:valAx>
        <c:axId val="194475520"/>
        <c:scaling>
          <c:orientation val="minMax"/>
          <c:max val="300"/>
          <c:min val="-450"/>
        </c:scaling>
        <c:delete val="0"/>
        <c:axPos val="r"/>
        <c:title>
          <c:tx>
            <c:rich>
              <a:bodyPr/>
              <a:lstStyle/>
              <a:p>
                <a:pPr>
                  <a:defRPr sz="700" b="0" i="1"/>
                </a:pPr>
                <a:r>
                  <a:rPr lang="cs-CZ" sz="700" b="0" i="1"/>
                  <a:t>State budget balance</a:t>
                </a:r>
              </a:p>
            </c:rich>
          </c:tx>
          <c:overlay val="0"/>
        </c:title>
        <c:numFmt formatCode="#,##0" sourceLinked="0"/>
        <c:majorTickMark val="out"/>
        <c:minorTickMark val="none"/>
        <c:tickLblPos val="nextTo"/>
        <c:crossAx val="194477056"/>
        <c:crosses val="max"/>
        <c:crossBetween val="between"/>
        <c:majorUnit val="50"/>
      </c:valAx>
      <c:catAx>
        <c:axId val="194477056"/>
        <c:scaling>
          <c:orientation val="minMax"/>
        </c:scaling>
        <c:delete val="1"/>
        <c:axPos val="b"/>
        <c:numFmt formatCode="General" sourceLinked="1"/>
        <c:majorTickMark val="out"/>
        <c:minorTickMark val="none"/>
        <c:tickLblPos val="none"/>
        <c:crossAx val="194475520"/>
        <c:crosses val="autoZero"/>
        <c:auto val="1"/>
        <c:lblAlgn val="ctr"/>
        <c:lblOffset val="100"/>
        <c:noMultiLvlLbl val="0"/>
      </c:catAx>
      <c:spPr>
        <a:ln w="6350">
          <a:solidFill>
            <a:schemeClr val="tx1"/>
          </a:solidFill>
        </a:ln>
      </c:spPr>
    </c:plotArea>
    <c:legend>
      <c:legendPos val="b"/>
      <c:layout>
        <c:manualLayout>
          <c:xMode val="edge"/>
          <c:yMode val="edge"/>
          <c:x val="1.2976213978184912E-2"/>
          <c:y val="0.87917063492063496"/>
          <c:w val="0.97098232634607484"/>
          <c:h val="0.1132151442113123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29773424963862E-2"/>
          <c:y val="1.7698902479006788E-2"/>
          <c:w val="0.82679258529004362"/>
          <c:h val="0.7567158159004691"/>
        </c:manualLayout>
      </c:layout>
      <c:barChart>
        <c:barDir val="col"/>
        <c:grouping val="clustered"/>
        <c:varyColors val="0"/>
        <c:ser>
          <c:idx val="0"/>
          <c:order val="0"/>
          <c:tx>
            <c:strRef>
              <c:f>'G2-St.rozpočet-výdaje'!$B$31</c:f>
              <c:strCache>
                <c:ptCount val="1"/>
                <c:pt idx="0">
                  <c:v>Total current expenditures (right axis)</c:v>
                </c:pt>
              </c:strCache>
            </c:strRef>
          </c:tx>
          <c:spPr>
            <a:solidFill>
              <a:srgbClr val="D3D3D3"/>
            </a:solidFill>
            <a:ln>
              <a:noFill/>
            </a:ln>
          </c:spPr>
          <c:invertIfNegative val="0"/>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'G2-St.rozpočet-výdaje'!$B$34:$B$49</c:f>
              <c:numCache>
                <c:formatCode>0.0</c:formatCode>
                <c:ptCount val="16"/>
                <c:pt idx="0">
                  <c:v>973.85</c:v>
                </c:pt>
                <c:pt idx="1">
                  <c:v>975.86</c:v>
                </c:pt>
                <c:pt idx="2">
                  <c:v>1032.78</c:v>
                </c:pt>
                <c:pt idx="3">
                  <c:v>1021.89</c:v>
                </c:pt>
                <c:pt idx="4">
                  <c:v>1031.83</c:v>
                </c:pt>
                <c:pt idx="5">
                  <c:v>1038.76</c:v>
                </c:pt>
                <c:pt idx="6">
                  <c:v>1070.8130000000001</c:v>
                </c:pt>
                <c:pt idx="7">
                  <c:v>1100.1020000000001</c:v>
                </c:pt>
                <c:pt idx="8">
                  <c:v>1121.6600000000001</c:v>
                </c:pt>
                <c:pt idx="9">
                  <c:v>1135.57</c:v>
                </c:pt>
                <c:pt idx="10">
                  <c:v>1198.05</c:v>
                </c:pt>
                <c:pt idx="11">
                  <c:v>1284.5</c:v>
                </c:pt>
                <c:pt idx="12">
                  <c:v>1412.5989294339895</c:v>
                </c:pt>
                <c:pt idx="13">
                  <c:v>1670.3085864663701</c:v>
                </c:pt>
                <c:pt idx="14">
                  <c:v>1729.78958897348</c:v>
                </c:pt>
                <c:pt idx="15">
                  <c:v>1797.9543482348001</c:v>
                </c:pt>
              </c:numCache>
            </c:numRef>
          </c:val>
          <c:extLst>
            <c:ext xmlns:c16="http://schemas.microsoft.com/office/drawing/2014/chart" uri="{C3380CC4-5D6E-409C-BE32-E72D297353CC}">
              <c16:uniqueId val="{00000000-90CC-4C79-8154-0BA7686BE574}"/>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'G2-St.rozpočet-výdaje'!$C$31</c:f>
              <c:strCache>
                <c:ptCount val="1"/>
                <c:pt idx="0">
                  <c:v>Wages of employees in publ. admin.*</c:v>
                </c:pt>
              </c:strCache>
            </c:strRef>
          </c:tx>
          <c:spPr>
            <a:ln w="15875">
              <a:solidFill>
                <a:srgbClr val="F8A124"/>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'G2-St.rozpočet-výdaje'!$C$34:$C$49</c:f>
              <c:numCache>
                <c:formatCode>0.0</c:formatCode>
                <c:ptCount val="16"/>
                <c:pt idx="0">
                  <c:v>95.76</c:v>
                </c:pt>
                <c:pt idx="1">
                  <c:v>97.33</c:v>
                </c:pt>
                <c:pt idx="2">
                  <c:v>100.19</c:v>
                </c:pt>
                <c:pt idx="3">
                  <c:v>97.67</c:v>
                </c:pt>
                <c:pt idx="4">
                  <c:v>89.6</c:v>
                </c:pt>
                <c:pt idx="5">
                  <c:v>90.45</c:v>
                </c:pt>
                <c:pt idx="6">
                  <c:v>92.375</c:v>
                </c:pt>
                <c:pt idx="7">
                  <c:v>96.582999999999998</c:v>
                </c:pt>
                <c:pt idx="8">
                  <c:v>104.19</c:v>
                </c:pt>
                <c:pt idx="9">
                  <c:v>109.86</c:v>
                </c:pt>
                <c:pt idx="10">
                  <c:v>120.08</c:v>
                </c:pt>
                <c:pt idx="11">
                  <c:v>133.9</c:v>
                </c:pt>
                <c:pt idx="12">
                  <c:v>143.72754730148006</c:v>
                </c:pt>
                <c:pt idx="13">
                  <c:v>150.49796216553</c:v>
                </c:pt>
                <c:pt idx="14">
                  <c:v>152.83601356255002</c:v>
                </c:pt>
                <c:pt idx="15">
                  <c:v>153.60033768561999</c:v>
                </c:pt>
              </c:numCache>
            </c:numRef>
          </c:val>
          <c:smooth val="0"/>
          <c:extLst>
            <c:ext xmlns:c16="http://schemas.microsoft.com/office/drawing/2014/chart" uri="{C3380CC4-5D6E-409C-BE32-E72D297353CC}">
              <c16:uniqueId val="{00000001-90CC-4C79-8154-0BA7686BE574}"/>
            </c:ext>
          </c:extLst>
        </c:ser>
        <c:ser>
          <c:idx val="6"/>
          <c:order val="2"/>
          <c:tx>
            <c:strRef>
              <c:f>'G2-St.rozpočet-výdaje'!$D$31</c:f>
              <c:strCache>
                <c:ptCount val="1"/>
                <c:pt idx="0">
                  <c:v>Unemployment benefits</c:v>
                </c:pt>
              </c:strCache>
            </c:strRef>
          </c:tx>
          <c:spPr>
            <a:ln w="15875">
              <a:solidFill>
                <a:srgbClr val="48AEE7"/>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'G2-St.rozpočet-výdaje'!$D$34:$D$49</c:f>
              <c:numCache>
                <c:formatCode>0.0</c:formatCode>
                <c:ptCount val="16"/>
                <c:pt idx="0">
                  <c:v>7.24</c:v>
                </c:pt>
                <c:pt idx="1">
                  <c:v>7.11</c:v>
                </c:pt>
                <c:pt idx="2">
                  <c:v>15.077999999999999</c:v>
                </c:pt>
                <c:pt idx="3">
                  <c:v>13.355</c:v>
                </c:pt>
                <c:pt idx="4">
                  <c:v>10.349</c:v>
                </c:pt>
                <c:pt idx="5">
                  <c:v>8.76</c:v>
                </c:pt>
                <c:pt idx="6">
                  <c:v>9.65</c:v>
                </c:pt>
                <c:pt idx="7">
                  <c:v>9.2620000000000005</c:v>
                </c:pt>
                <c:pt idx="8">
                  <c:v>8.2759999999999998</c:v>
                </c:pt>
                <c:pt idx="9">
                  <c:v>8.2200000000000006</c:v>
                </c:pt>
                <c:pt idx="10">
                  <c:v>7.82</c:v>
                </c:pt>
                <c:pt idx="11">
                  <c:v>7.51</c:v>
                </c:pt>
                <c:pt idx="12">
                  <c:v>8.1136251569399995</c:v>
                </c:pt>
                <c:pt idx="13">
                  <c:v>10.524849742540001</c:v>
                </c:pt>
                <c:pt idx="14">
                  <c:v>9.9694941281400009</c:v>
                </c:pt>
                <c:pt idx="15">
                  <c:v>9.8510506837400005</c:v>
                </c:pt>
              </c:numCache>
            </c:numRef>
          </c:val>
          <c:smooth val="0"/>
          <c:extLst>
            <c:ext xmlns:c16="http://schemas.microsoft.com/office/drawing/2014/chart" uri="{C3380CC4-5D6E-409C-BE32-E72D297353CC}">
              <c16:uniqueId val="{00000002-90CC-4C79-8154-0BA7686BE574}"/>
            </c:ext>
          </c:extLst>
        </c:ser>
        <c:ser>
          <c:idx val="7"/>
          <c:order val="3"/>
          <c:tx>
            <c:strRef>
              <c:f>'G2-St.rozpočet-výdaje'!$E$31</c:f>
              <c:strCache>
                <c:ptCount val="1"/>
                <c:pt idx="0">
                  <c:v>State social support**</c:v>
                </c:pt>
              </c:strCache>
            </c:strRef>
          </c:tx>
          <c:spPr>
            <a:ln w="15875">
              <a:solidFill>
                <a:srgbClr val="00B050"/>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'G2-St.rozpočet-výdaje'!$E$34:$E$49</c:f>
              <c:numCache>
                <c:formatCode>0.0</c:formatCode>
                <c:ptCount val="16"/>
                <c:pt idx="0">
                  <c:v>49.47</c:v>
                </c:pt>
                <c:pt idx="1">
                  <c:v>41.97</c:v>
                </c:pt>
                <c:pt idx="2">
                  <c:v>41.167999999999999</c:v>
                </c:pt>
                <c:pt idx="3">
                  <c:v>40.881</c:v>
                </c:pt>
                <c:pt idx="4">
                  <c:v>36.094000000000001</c:v>
                </c:pt>
                <c:pt idx="5">
                  <c:v>35.554000000000002</c:v>
                </c:pt>
                <c:pt idx="6">
                  <c:v>37.423000000000002</c:v>
                </c:pt>
                <c:pt idx="7">
                  <c:v>37.543999999999997</c:v>
                </c:pt>
                <c:pt idx="8">
                  <c:v>37.65</c:v>
                </c:pt>
                <c:pt idx="9">
                  <c:v>37.78</c:v>
                </c:pt>
                <c:pt idx="10">
                  <c:v>37.22</c:v>
                </c:pt>
                <c:pt idx="11">
                  <c:v>39.22</c:v>
                </c:pt>
                <c:pt idx="12">
                  <c:v>37.87859106618</c:v>
                </c:pt>
                <c:pt idx="13">
                  <c:v>51.685289497479999</c:v>
                </c:pt>
                <c:pt idx="14">
                  <c:v>48.771589956349999</c:v>
                </c:pt>
                <c:pt idx="15">
                  <c:v>56.352518862019998</c:v>
                </c:pt>
              </c:numCache>
            </c:numRef>
          </c:val>
          <c:smooth val="0"/>
          <c:extLst>
            <c:ext xmlns:c16="http://schemas.microsoft.com/office/drawing/2014/chart" uri="{C3380CC4-5D6E-409C-BE32-E72D297353CC}">
              <c16:uniqueId val="{00000003-90CC-4C79-8154-0BA7686BE574}"/>
            </c:ext>
          </c:extLst>
        </c:ser>
        <c:ser>
          <c:idx val="2"/>
          <c:order val="4"/>
          <c:tx>
            <c:strRef>
              <c:f>'G2-St.rozpočet-výdaje'!$F$31</c:f>
              <c:strCache>
                <c:ptCount val="1"/>
                <c:pt idx="0">
                  <c:v>Sickness benefits</c:v>
                </c:pt>
              </c:strCache>
            </c:strRef>
          </c:tx>
          <c:spPr>
            <a:ln w="15875">
              <a:solidFill>
                <a:srgbClr val="0071BC"/>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'G2-St.rozpočet-výdaje'!$F$34:$F$49</c:f>
              <c:numCache>
                <c:formatCode>0.0</c:formatCode>
                <c:ptCount val="16"/>
                <c:pt idx="0">
                  <c:v>34.670999999999999</c:v>
                </c:pt>
                <c:pt idx="1">
                  <c:v>31.882000000000001</c:v>
                </c:pt>
                <c:pt idx="2">
                  <c:v>26.233000000000001</c:v>
                </c:pt>
                <c:pt idx="3">
                  <c:v>22.995999999999999</c:v>
                </c:pt>
                <c:pt idx="4">
                  <c:v>21.734000000000002</c:v>
                </c:pt>
                <c:pt idx="5">
                  <c:v>19.602</c:v>
                </c:pt>
                <c:pt idx="6">
                  <c:v>20.350000000000001</c:v>
                </c:pt>
                <c:pt idx="7">
                  <c:v>22.283000000000001</c:v>
                </c:pt>
                <c:pt idx="8">
                  <c:v>24.31</c:v>
                </c:pt>
                <c:pt idx="9">
                  <c:v>26.5</c:v>
                </c:pt>
                <c:pt idx="10">
                  <c:v>28.57</c:v>
                </c:pt>
                <c:pt idx="11">
                  <c:v>34.173699999999997</c:v>
                </c:pt>
                <c:pt idx="12">
                  <c:v>39.094712799999996</c:v>
                </c:pt>
                <c:pt idx="13">
                  <c:v>55.4</c:v>
                </c:pt>
                <c:pt idx="14">
                  <c:v>51.355800000000002</c:v>
                </c:pt>
                <c:pt idx="15">
                  <c:v>47.630528750690004</c:v>
                </c:pt>
              </c:numCache>
            </c:numRef>
          </c:val>
          <c:smooth val="0"/>
          <c:extLst>
            <c:ext xmlns:c16="http://schemas.microsoft.com/office/drawing/2014/chart" uri="{C3380CC4-5D6E-409C-BE32-E72D297353CC}">
              <c16:uniqueId val="{00000004-90CC-4C79-8154-0BA7686BE574}"/>
            </c:ext>
          </c:extLst>
        </c:ser>
        <c:ser>
          <c:idx val="3"/>
          <c:order val="5"/>
          <c:tx>
            <c:strRef>
              <c:f>'G2-St.rozpočet-výdaje'!$G$31</c:f>
              <c:strCache>
                <c:ptCount val="1"/>
                <c:pt idx="0">
                  <c:v>Social care benefits***</c:v>
                </c:pt>
              </c:strCache>
            </c:strRef>
          </c:tx>
          <c:spPr>
            <a:ln w="15875">
              <a:solidFill>
                <a:srgbClr val="7030A0"/>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'G2-St.rozpočet-výdaje'!$G$34:$G$49</c:f>
              <c:numCache>
                <c:formatCode>0.0</c:formatCode>
                <c:ptCount val="16"/>
                <c:pt idx="0">
                  <c:v>20.811</c:v>
                </c:pt>
                <c:pt idx="1">
                  <c:v>23.542000000000002</c:v>
                </c:pt>
                <c:pt idx="2">
                  <c:v>24.256</c:v>
                </c:pt>
                <c:pt idx="3">
                  <c:v>25.292000000000002</c:v>
                </c:pt>
                <c:pt idx="4">
                  <c:v>24.966999999999999</c:v>
                </c:pt>
                <c:pt idx="5">
                  <c:v>27.695499999999999</c:v>
                </c:pt>
                <c:pt idx="6">
                  <c:v>31.978999999999999</c:v>
                </c:pt>
                <c:pt idx="7">
                  <c:v>33.622</c:v>
                </c:pt>
                <c:pt idx="8">
                  <c:v>33.621000000000002</c:v>
                </c:pt>
                <c:pt idx="9">
                  <c:v>34.295000000000002</c:v>
                </c:pt>
                <c:pt idx="10">
                  <c:v>34.439</c:v>
                </c:pt>
                <c:pt idx="11">
                  <c:v>33.990400000000001</c:v>
                </c:pt>
                <c:pt idx="12">
                  <c:v>36.831099999999999</c:v>
                </c:pt>
                <c:pt idx="13">
                  <c:v>40.510199999999998</c:v>
                </c:pt>
                <c:pt idx="14">
                  <c:v>40.537129800000002</c:v>
                </c:pt>
              </c:numCache>
            </c:numRef>
          </c:val>
          <c:smooth val="0"/>
          <c:extLst>
            <c:ext xmlns:c16="http://schemas.microsoft.com/office/drawing/2014/chart" uri="{C3380CC4-5D6E-409C-BE32-E72D297353CC}">
              <c16:uniqueId val="{00000005-90CC-4C79-8154-0BA7686BE574}"/>
            </c:ext>
          </c:extLst>
        </c:ser>
        <c:ser>
          <c:idx val="4"/>
          <c:order val="6"/>
          <c:tx>
            <c:strRef>
              <c:f>'G2-St.rozpočet-výdaje'!$H$31</c:f>
              <c:strCache>
                <c:ptCount val="1"/>
                <c:pt idx="0">
                  <c:v>Non-invest.purchases&amp;related expend.****</c:v>
                </c:pt>
              </c:strCache>
            </c:strRef>
          </c:tx>
          <c:spPr>
            <a:ln w="15875">
              <a:solidFill>
                <a:srgbClr val="D5D000"/>
              </a:solidFill>
              <a:prstDash val="solid"/>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'G2-St.rozpočet-výdaje'!$H$34:$H$49</c:f>
              <c:numCache>
                <c:formatCode>0.0</c:formatCode>
                <c:ptCount val="16"/>
                <c:pt idx="0">
                  <c:v>63.827000000000005</c:v>
                </c:pt>
                <c:pt idx="1">
                  <c:v>71.581999999999994</c:v>
                </c:pt>
                <c:pt idx="2">
                  <c:v>69.73</c:v>
                </c:pt>
                <c:pt idx="3">
                  <c:v>65.116</c:v>
                </c:pt>
                <c:pt idx="4">
                  <c:v>57.98</c:v>
                </c:pt>
                <c:pt idx="5">
                  <c:v>53.174999999999997</c:v>
                </c:pt>
                <c:pt idx="6">
                  <c:v>54.192999999999998</c:v>
                </c:pt>
                <c:pt idx="7">
                  <c:v>54.751000000000005</c:v>
                </c:pt>
                <c:pt idx="8">
                  <c:v>62.36</c:v>
                </c:pt>
                <c:pt idx="9">
                  <c:v>57.560000000000009</c:v>
                </c:pt>
                <c:pt idx="10">
                  <c:v>62.76</c:v>
                </c:pt>
                <c:pt idx="11">
                  <c:v>68.41</c:v>
                </c:pt>
                <c:pt idx="12">
                  <c:v>66.430000000000007</c:v>
                </c:pt>
                <c:pt idx="13">
                  <c:v>77.884951001920001</c:v>
                </c:pt>
                <c:pt idx="14">
                  <c:v>78.966372350420002</c:v>
                </c:pt>
                <c:pt idx="15">
                  <c:v>91.408634165139986</c:v>
                </c:pt>
              </c:numCache>
            </c:numRef>
          </c:val>
          <c:smooth val="0"/>
          <c:extLst>
            <c:ext xmlns:c16="http://schemas.microsoft.com/office/drawing/2014/chart" uri="{C3380CC4-5D6E-409C-BE32-E72D297353CC}">
              <c16:uniqueId val="{00000006-90CC-4C79-8154-0BA7686BE574}"/>
            </c:ext>
          </c:extLst>
        </c:ser>
        <c:ser>
          <c:idx val="5"/>
          <c:order val="7"/>
          <c:tx>
            <c:strRef>
              <c:f>'G2-St.rozpočet-výdaje'!$I$31</c:f>
              <c:strCache>
                <c:ptCount val="1"/>
                <c:pt idx="0">
                  <c:v>State debt (net expenditures) *****</c:v>
                </c:pt>
              </c:strCache>
            </c:strRef>
          </c:tx>
          <c:spPr>
            <a:ln w="15875">
              <a:solidFill>
                <a:srgbClr val="996633"/>
              </a:solidFill>
              <a:prstDash val="sysDash"/>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'G2-St.rozpočet-výdaje'!$I$34:$I$49</c:f>
              <c:numCache>
                <c:formatCode>0.0</c:formatCode>
                <c:ptCount val="16"/>
                <c:pt idx="0">
                  <c:v>34.130000000000003</c:v>
                </c:pt>
                <c:pt idx="1">
                  <c:v>37.64</c:v>
                </c:pt>
                <c:pt idx="2">
                  <c:v>44.46</c:v>
                </c:pt>
                <c:pt idx="3">
                  <c:v>35.840000000000003</c:v>
                </c:pt>
                <c:pt idx="4">
                  <c:v>45.120000000000005</c:v>
                </c:pt>
                <c:pt idx="5">
                  <c:v>41.400000000000006</c:v>
                </c:pt>
                <c:pt idx="6">
                  <c:v>50.89</c:v>
                </c:pt>
                <c:pt idx="7">
                  <c:v>48.49</c:v>
                </c:pt>
                <c:pt idx="8">
                  <c:v>45.28</c:v>
                </c:pt>
                <c:pt idx="9">
                  <c:v>40.65</c:v>
                </c:pt>
                <c:pt idx="10">
                  <c:v>39.769999999999996</c:v>
                </c:pt>
                <c:pt idx="11">
                  <c:v>40.729999999999997</c:v>
                </c:pt>
                <c:pt idx="12">
                  <c:v>39.550577993799998</c:v>
                </c:pt>
                <c:pt idx="13">
                  <c:v>40.145474011320005</c:v>
                </c:pt>
                <c:pt idx="14">
                  <c:v>42.233847726199997</c:v>
                </c:pt>
                <c:pt idx="15">
                  <c:v>49.705483243529997</c:v>
                </c:pt>
              </c:numCache>
            </c:numRef>
          </c:val>
          <c:smooth val="0"/>
          <c:extLst>
            <c:ext xmlns:c16="http://schemas.microsoft.com/office/drawing/2014/chart" uri="{C3380CC4-5D6E-409C-BE32-E72D297353CC}">
              <c16:uniqueId val="{00000007-90CC-4C79-8154-0BA7686BE574}"/>
            </c:ext>
          </c:extLst>
        </c:ser>
        <c:ser>
          <c:idx val="8"/>
          <c:order val="8"/>
          <c:tx>
            <c:strRef>
              <c:f>'G2-St.rozpočet-výdaje'!$J$31</c:f>
              <c:strCache>
                <c:ptCount val="1"/>
                <c:pt idx="0">
                  <c:v>Non-investment transfers to private entities</c:v>
                </c:pt>
              </c:strCache>
            </c:strRef>
          </c:tx>
          <c:spPr>
            <a:ln w="15875">
              <a:solidFill>
                <a:schemeClr val="tx1">
                  <a:lumMod val="95000"/>
                  <a:lumOff val="5000"/>
                </a:schemeClr>
              </a:solidFill>
              <a:prstDash val="dash"/>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'G2-St.rozpočet-výdaje'!$J$34:$J$49</c:f>
              <c:numCache>
                <c:formatCode>0.00</c:formatCode>
                <c:ptCount val="16"/>
                <c:pt idx="0">
                  <c:v>23.696000000000002</c:v>
                </c:pt>
                <c:pt idx="1">
                  <c:v>26.108000000000001</c:v>
                </c:pt>
                <c:pt idx="2">
                  <c:v>28.491</c:v>
                </c:pt>
                <c:pt idx="3">
                  <c:v>28.100999999999999</c:v>
                </c:pt>
                <c:pt idx="4">
                  <c:v>33.262999999999998</c:v>
                </c:pt>
                <c:pt idx="5">
                  <c:v>35.61</c:v>
                </c:pt>
                <c:pt idx="6">
                  <c:v>35.03</c:v>
                </c:pt>
                <c:pt idx="7">
                  <c:v>41.23</c:v>
                </c:pt>
                <c:pt idx="8">
                  <c:v>39.14</c:v>
                </c:pt>
                <c:pt idx="9">
                  <c:v>44.23</c:v>
                </c:pt>
                <c:pt idx="10">
                  <c:v>48.3</c:v>
                </c:pt>
                <c:pt idx="11">
                  <c:v>57.32</c:v>
                </c:pt>
                <c:pt idx="12">
                  <c:v>57.932912725290002</c:v>
                </c:pt>
                <c:pt idx="13">
                  <c:v>106.75302514385</c:v>
                </c:pt>
                <c:pt idx="14">
                  <c:v>125.41352918255001</c:v>
                </c:pt>
                <c:pt idx="15">
                  <c:v>89.292856818779995</c:v>
                </c:pt>
              </c:numCache>
            </c:numRef>
          </c:val>
          <c:smooth val="0"/>
          <c:extLst>
            <c:ext xmlns:c16="http://schemas.microsoft.com/office/drawing/2014/chart" uri="{C3380CC4-5D6E-409C-BE32-E72D297353CC}">
              <c16:uniqueId val="{00000008-90CC-4C79-8154-0BA7686BE574}"/>
            </c:ext>
          </c:extLst>
        </c:ser>
        <c:ser>
          <c:idx val="9"/>
          <c:order val="9"/>
          <c:tx>
            <c:strRef>
              <c:f>'G2-St.rozpočet-výdaje'!$K$31</c:f>
              <c:strCache>
                <c:ptCount val="1"/>
                <c:pt idx="0">
                  <c:v>Capital expenditures</c:v>
                </c:pt>
              </c:strCache>
            </c:strRef>
          </c:tx>
          <c:spPr>
            <a:ln w="9525">
              <a:solidFill>
                <a:srgbClr val="C00000"/>
              </a:solidFill>
              <a:prstDash val="sysDot"/>
            </a:ln>
          </c:spPr>
          <c:marker>
            <c:symbol val="circle"/>
            <c:size val="4"/>
            <c:spPr>
              <a:solidFill>
                <a:srgbClr val="C00000"/>
              </a:solidFill>
              <a:ln>
                <a:noFill/>
              </a:ln>
            </c:spPr>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'G2-St.rozpočet-výdaje'!$K$34:$K$49</c:f>
              <c:numCache>
                <c:formatCode>0.0</c:formatCode>
                <c:ptCount val="16"/>
                <c:pt idx="0">
                  <c:v>118.42</c:v>
                </c:pt>
                <c:pt idx="1">
                  <c:v>108.08</c:v>
                </c:pt>
                <c:pt idx="2">
                  <c:v>134.22999999999999</c:v>
                </c:pt>
                <c:pt idx="3">
                  <c:v>134.91</c:v>
                </c:pt>
                <c:pt idx="4">
                  <c:v>123.69</c:v>
                </c:pt>
                <c:pt idx="5">
                  <c:v>113.62</c:v>
                </c:pt>
                <c:pt idx="6">
                  <c:v>102.315</c:v>
                </c:pt>
                <c:pt idx="7">
                  <c:v>111.50700000000001</c:v>
                </c:pt>
                <c:pt idx="8">
                  <c:v>175.66</c:v>
                </c:pt>
                <c:pt idx="9">
                  <c:v>84.27</c:v>
                </c:pt>
                <c:pt idx="10">
                  <c:v>81.75</c:v>
                </c:pt>
                <c:pt idx="11">
                  <c:v>116.46</c:v>
                </c:pt>
                <c:pt idx="12">
                  <c:v>139.13928546782003</c:v>
                </c:pt>
                <c:pt idx="13">
                  <c:v>172.62079654905</c:v>
                </c:pt>
                <c:pt idx="14">
                  <c:v>177.13556603782001</c:v>
                </c:pt>
                <c:pt idx="15">
                  <c:v>186.85457144361001</c:v>
                </c:pt>
              </c:numCache>
            </c:numRef>
          </c:val>
          <c:smooth val="0"/>
          <c:extLst>
            <c:ext xmlns:c16="http://schemas.microsoft.com/office/drawing/2014/chart" uri="{C3380CC4-5D6E-409C-BE32-E72D297353CC}">
              <c16:uniqueId val="{00000009-90CC-4C79-8154-0BA7686BE574}"/>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200"/>
          <c:min val="0"/>
        </c:scaling>
        <c:delete val="0"/>
        <c:axPos val="l"/>
        <c:majorGridlines>
          <c:spPr>
            <a:ln w="6350">
              <a:solidFill>
                <a:schemeClr val="bg1">
                  <a:lumMod val="75000"/>
                </a:schemeClr>
              </a:solidFill>
            </a:ln>
          </c:spPr>
        </c:majorGridlines>
        <c:title>
          <c:tx>
            <c:rich>
              <a:bodyPr/>
              <a:lstStyle/>
              <a:p>
                <a:pPr>
                  <a:defRPr sz="700" b="0" i="1"/>
                </a:pPr>
                <a:r>
                  <a:rPr lang="cs-CZ" sz="700" b="0" i="1"/>
                  <a:t>Selected expenditures</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20"/>
      </c:valAx>
      <c:valAx>
        <c:axId val="72835072"/>
        <c:scaling>
          <c:orientation val="minMax"/>
          <c:max val="2000"/>
          <c:min val="0"/>
        </c:scaling>
        <c:delete val="0"/>
        <c:axPos val="r"/>
        <c:title>
          <c:tx>
            <c:rich>
              <a:bodyPr/>
              <a:lstStyle/>
              <a:p>
                <a:pPr>
                  <a:defRPr sz="700" b="0" i="1"/>
                </a:pPr>
                <a:r>
                  <a:rPr lang="cs-CZ" sz="700" b="0" i="1"/>
                  <a:t>Total current expenditures)</a:t>
                </a:r>
              </a:p>
            </c:rich>
          </c:tx>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20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4.9271426954858796E-3"/>
          <c:y val="0.82695581191689638"/>
          <c:w val="0.9902846546325893"/>
          <c:h val="0.16585489978301934"/>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531640960282986E-2"/>
          <c:y val="1.7138089742005855E-2"/>
          <c:w val="0.92679412142088691"/>
          <c:h val="0.83329894861291631"/>
        </c:manualLayout>
      </c:layout>
      <c:areaChart>
        <c:grouping val="standard"/>
        <c:varyColors val="0"/>
        <c:ser>
          <c:idx val="0"/>
          <c:order val="0"/>
          <c:tx>
            <c:strRef>
              <c:f>'G3-Sektor vlád.institucí'!$A$43</c:f>
              <c:strCache>
                <c:ptCount val="1"/>
                <c:pt idx="0">
                  <c:v>Czechia</c:v>
                </c:pt>
              </c:strCache>
            </c:strRef>
          </c:tx>
          <c:spPr>
            <a:solidFill>
              <a:schemeClr val="bg2">
                <a:lumMod val="90000"/>
              </a:schemeClr>
            </a:solidFill>
            <a:ln w="19050">
              <a:noFill/>
            </a:ln>
            <a:effectLst/>
          </c:spPr>
          <c:cat>
            <c:multiLvlStrRef>
              <c:f>'G3-Sektor vlád.institucí'!$B$41:$AF$42</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vlád.institucí'!$B$43:$AF$43</c:f>
              <c:numCache>
                <c:formatCode>#\ ##0.##########</c:formatCode>
                <c:ptCount val="31"/>
                <c:pt idx="0">
                  <c:v>0.2</c:v>
                </c:pt>
                <c:pt idx="1">
                  <c:v>-0.4</c:v>
                </c:pt>
                <c:pt idx="2">
                  <c:v>-0.6</c:v>
                </c:pt>
                <c:pt idx="3">
                  <c:v>-1.9</c:v>
                </c:pt>
                <c:pt idx="4">
                  <c:v>0.7</c:v>
                </c:pt>
                <c:pt idx="5">
                  <c:v>0.8</c:v>
                </c:pt>
                <c:pt idx="6" formatCode="#\ ##0.0">
                  <c:v>1</c:v>
                </c:pt>
                <c:pt idx="7">
                  <c:v>0.4</c:v>
                </c:pt>
                <c:pt idx="8">
                  <c:v>0.9</c:v>
                </c:pt>
                <c:pt idx="9">
                  <c:v>1.6</c:v>
                </c:pt>
                <c:pt idx="10">
                  <c:v>1.7</c:v>
                </c:pt>
                <c:pt idx="11">
                  <c:v>1.7</c:v>
                </c:pt>
                <c:pt idx="12">
                  <c:v>1.2</c:v>
                </c:pt>
                <c:pt idx="13">
                  <c:v>1.6</c:v>
                </c:pt>
                <c:pt idx="14">
                  <c:v>0.2</c:v>
                </c:pt>
                <c:pt idx="15">
                  <c:v>0.6</c:v>
                </c:pt>
                <c:pt idx="16" formatCode="#\ ##0.0">
                  <c:v>1</c:v>
                </c:pt>
                <c:pt idx="17">
                  <c:v>1.1000000000000001</c:v>
                </c:pt>
                <c:pt idx="18">
                  <c:v>-0.2</c:v>
                </c:pt>
                <c:pt idx="19">
                  <c:v>-0.7</c:v>
                </c:pt>
                <c:pt idx="20">
                  <c:v>-2.6</c:v>
                </c:pt>
                <c:pt idx="21">
                  <c:v>-8.4</c:v>
                </c:pt>
                <c:pt idx="22">
                  <c:v>-5.3</c:v>
                </c:pt>
                <c:pt idx="23">
                  <c:v>-6.9</c:v>
                </c:pt>
                <c:pt idx="24">
                  <c:v>-7.4</c:v>
                </c:pt>
                <c:pt idx="25">
                  <c:v>-4.5</c:v>
                </c:pt>
                <c:pt idx="26">
                  <c:v>-4.4000000000000004</c:v>
                </c:pt>
                <c:pt idx="27">
                  <c:v>-4.2</c:v>
                </c:pt>
                <c:pt idx="28">
                  <c:v>-3.5</c:v>
                </c:pt>
                <c:pt idx="29" formatCode="#\ ##0.0">
                  <c:v>-3</c:v>
                </c:pt>
                <c:pt idx="30">
                  <c:v>-4.4000000000000004</c:v>
                </c:pt>
              </c:numCache>
            </c:numRef>
          </c:val>
          <c:extLst>
            <c:ext xmlns:c16="http://schemas.microsoft.com/office/drawing/2014/chart" uri="{C3380CC4-5D6E-409C-BE32-E72D297353CC}">
              <c16:uniqueId val="{00000000-CE97-4DB8-A38B-67358C67E93E}"/>
            </c:ext>
          </c:extLst>
        </c:ser>
        <c:dLbls>
          <c:showLegendKey val="0"/>
          <c:showVal val="0"/>
          <c:showCatName val="0"/>
          <c:showSerName val="0"/>
          <c:showPercent val="0"/>
          <c:showBubbleSize val="0"/>
        </c:dLbls>
        <c:axId val="1037159056"/>
        <c:axId val="1037161968"/>
      </c:areaChart>
      <c:lineChart>
        <c:grouping val="standard"/>
        <c:varyColors val="0"/>
        <c:ser>
          <c:idx val="1"/>
          <c:order val="1"/>
          <c:tx>
            <c:strRef>
              <c:f>'G3-Sektor vlád.institucí'!$A$44</c:f>
              <c:strCache>
                <c:ptCount val="1"/>
                <c:pt idx="0">
                  <c:v>EU27</c:v>
                </c:pt>
              </c:strCache>
            </c:strRef>
          </c:tx>
          <c:spPr>
            <a:ln w="19050" cap="rnd">
              <a:solidFill>
                <a:schemeClr val="accent2"/>
              </a:solidFill>
              <a:round/>
            </a:ln>
            <a:effectLst/>
          </c:spPr>
          <c:marker>
            <c:symbol val="none"/>
          </c:marker>
          <c:cat>
            <c:multiLvlStrRef>
              <c:f>'G3-Sektor vlád.institucí'!$B$41:$AF$42</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vlád.institucí'!$B$44:$AF$44</c:f>
              <c:numCache>
                <c:formatCode>#\ ##0.0</c:formatCode>
                <c:ptCount val="31"/>
                <c:pt idx="0" formatCode="#\ ##0.##########">
                  <c:v>-2.2000000000000002</c:v>
                </c:pt>
                <c:pt idx="1">
                  <c:v>-2</c:v>
                </c:pt>
                <c:pt idx="2" formatCode="#\ ##0.##########">
                  <c:v>-1.7</c:v>
                </c:pt>
                <c:pt idx="3" formatCode="#\ ##0.##########">
                  <c:v>-1.8</c:v>
                </c:pt>
                <c:pt idx="4" formatCode="#\ ##0.##########">
                  <c:v>-1.6</c:v>
                </c:pt>
                <c:pt idx="5" formatCode="#\ ##0.##########">
                  <c:v>-1.4</c:v>
                </c:pt>
                <c:pt idx="6" formatCode="#\ ##0.##########">
                  <c:v>-1.6</c:v>
                </c:pt>
                <c:pt idx="7" formatCode="#\ ##0.##########">
                  <c:v>-0.8</c:v>
                </c:pt>
                <c:pt idx="8" formatCode="#\ ##0.##########">
                  <c:v>-0.8</c:v>
                </c:pt>
                <c:pt idx="9" formatCode="#\ ##0.##########">
                  <c:v>-1.2</c:v>
                </c:pt>
                <c:pt idx="10" formatCode="#\ ##0.##########">
                  <c:v>-0.7</c:v>
                </c:pt>
                <c:pt idx="11" formatCode="#\ ##0.##########">
                  <c:v>-0.3</c:v>
                </c:pt>
                <c:pt idx="12" formatCode="#\ ##0.##########">
                  <c:v>-0.1</c:v>
                </c:pt>
                <c:pt idx="13" formatCode="#\ ##0.##########">
                  <c:v>-0.1</c:v>
                </c:pt>
                <c:pt idx="14" formatCode="#\ ##0.##########">
                  <c:v>-0.5</c:v>
                </c:pt>
                <c:pt idx="15" formatCode="#\ ##0.##########">
                  <c:v>-0.7</c:v>
                </c:pt>
                <c:pt idx="16" formatCode="#\ ##0.##########">
                  <c:v>-0.2</c:v>
                </c:pt>
                <c:pt idx="17" formatCode="#\ ##0.##########">
                  <c:v>-0.2</c:v>
                </c:pt>
                <c:pt idx="18" formatCode="#\ ##0.##########">
                  <c:v>-0.9</c:v>
                </c:pt>
                <c:pt idx="19" formatCode="#\ ##0.##########">
                  <c:v>-0.8</c:v>
                </c:pt>
                <c:pt idx="20" formatCode="#\ ##0.##########">
                  <c:v>-2.7</c:v>
                </c:pt>
                <c:pt idx="21" formatCode="#\ ##0.##########">
                  <c:v>-11.6</c:v>
                </c:pt>
                <c:pt idx="22" formatCode="#\ ##0.##########">
                  <c:v>-6.1</c:v>
                </c:pt>
                <c:pt idx="23" formatCode="#\ ##0.##########">
                  <c:v>-6.9</c:v>
                </c:pt>
                <c:pt idx="24" formatCode="#\ ##0.##########">
                  <c:v>-6.2</c:v>
                </c:pt>
                <c:pt idx="25" formatCode="#\ ##0.##########">
                  <c:v>-5.9</c:v>
                </c:pt>
                <c:pt idx="26" formatCode="#\ ##0.##########">
                  <c:v>-3.6</c:v>
                </c:pt>
                <c:pt idx="27" formatCode="#\ ##0.##########">
                  <c:v>-3.1</c:v>
                </c:pt>
                <c:pt idx="28" formatCode="#\ ##0.##########">
                  <c:v>-2.1</c:v>
                </c:pt>
                <c:pt idx="29" formatCode="#\ ##0.##########">
                  <c:v>-1.8</c:v>
                </c:pt>
                <c:pt idx="30" formatCode="#\ ##0.##########">
                  <c:v>-3.2</c:v>
                </c:pt>
              </c:numCache>
            </c:numRef>
          </c:val>
          <c:smooth val="0"/>
          <c:extLst>
            <c:ext xmlns:c16="http://schemas.microsoft.com/office/drawing/2014/chart" uri="{C3380CC4-5D6E-409C-BE32-E72D297353CC}">
              <c16:uniqueId val="{00000001-CE97-4DB8-A38B-67358C67E93E}"/>
            </c:ext>
          </c:extLst>
        </c:ser>
        <c:ser>
          <c:idx val="2"/>
          <c:order val="2"/>
          <c:tx>
            <c:strRef>
              <c:f>'G3-Sektor vlád.institucí'!$A$45</c:f>
              <c:strCache>
                <c:ptCount val="1"/>
                <c:pt idx="0">
                  <c:v>Germany</c:v>
                </c:pt>
              </c:strCache>
            </c:strRef>
          </c:tx>
          <c:spPr>
            <a:ln w="19050" cap="rnd">
              <a:solidFill>
                <a:srgbClr val="F8A124"/>
              </a:solidFill>
              <a:round/>
            </a:ln>
            <a:effectLst/>
          </c:spPr>
          <c:marker>
            <c:symbol val="none"/>
          </c:marker>
          <c:cat>
            <c:multiLvlStrRef>
              <c:f>'G3-Sektor vlád.institucí'!$B$41:$AF$42</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vlád.institucí'!$B$45:$AF$45</c:f>
              <c:numCache>
                <c:formatCode>#\ ##0.##########</c:formatCode>
                <c:ptCount val="31"/>
                <c:pt idx="0">
                  <c:v>0.8</c:v>
                </c:pt>
                <c:pt idx="1">
                  <c:v>0.7</c:v>
                </c:pt>
                <c:pt idx="2">
                  <c:v>1.6</c:v>
                </c:pt>
                <c:pt idx="3">
                  <c:v>0.8</c:v>
                </c:pt>
                <c:pt idx="4">
                  <c:v>1.1000000000000001</c:v>
                </c:pt>
                <c:pt idx="5">
                  <c:v>0.9</c:v>
                </c:pt>
                <c:pt idx="6">
                  <c:v>0.5</c:v>
                </c:pt>
                <c:pt idx="7">
                  <c:v>2.1</c:v>
                </c:pt>
                <c:pt idx="8">
                  <c:v>1.6</c:v>
                </c:pt>
                <c:pt idx="9">
                  <c:v>0.4</c:v>
                </c:pt>
                <c:pt idx="10">
                  <c:v>1.5</c:v>
                </c:pt>
                <c:pt idx="11">
                  <c:v>1.8</c:v>
                </c:pt>
                <c:pt idx="12">
                  <c:v>2.5</c:v>
                </c:pt>
                <c:pt idx="13">
                  <c:v>2.6</c:v>
                </c:pt>
                <c:pt idx="14">
                  <c:v>1.6</c:v>
                </c:pt>
                <c:pt idx="15">
                  <c:v>1.1000000000000001</c:v>
                </c:pt>
                <c:pt idx="16">
                  <c:v>2.4</c:v>
                </c:pt>
                <c:pt idx="17">
                  <c:v>2.1</c:v>
                </c:pt>
                <c:pt idx="18">
                  <c:v>0.6</c:v>
                </c:pt>
                <c:pt idx="19">
                  <c:v>1.1000000000000001</c:v>
                </c:pt>
                <c:pt idx="20">
                  <c:v>0.7</c:v>
                </c:pt>
                <c:pt idx="21">
                  <c:v>-8.3000000000000007</c:v>
                </c:pt>
                <c:pt idx="22">
                  <c:v>-5.9</c:v>
                </c:pt>
                <c:pt idx="23">
                  <c:v>-4.2</c:v>
                </c:pt>
                <c:pt idx="24">
                  <c:v>-4.5999999999999996</c:v>
                </c:pt>
                <c:pt idx="25">
                  <c:v>-5.5</c:v>
                </c:pt>
                <c:pt idx="26">
                  <c:v>-3.2</c:v>
                </c:pt>
                <c:pt idx="27">
                  <c:v>-1.8</c:v>
                </c:pt>
                <c:pt idx="28">
                  <c:v>-0.9</c:v>
                </c:pt>
                <c:pt idx="29">
                  <c:v>-1.1000000000000001</c:v>
                </c:pt>
                <c:pt idx="30">
                  <c:v>-3.8</c:v>
                </c:pt>
              </c:numCache>
            </c:numRef>
          </c:val>
          <c:smooth val="0"/>
          <c:extLst>
            <c:ext xmlns:c16="http://schemas.microsoft.com/office/drawing/2014/chart" uri="{C3380CC4-5D6E-409C-BE32-E72D297353CC}">
              <c16:uniqueId val="{00000002-CE97-4DB8-A38B-67358C67E93E}"/>
            </c:ext>
          </c:extLst>
        </c:ser>
        <c:ser>
          <c:idx val="4"/>
          <c:order val="3"/>
          <c:tx>
            <c:strRef>
              <c:f>'G3-Sektor vlád.institucí'!$A$46</c:f>
              <c:strCache>
                <c:ptCount val="1"/>
                <c:pt idx="0">
                  <c:v>Slovakia</c:v>
                </c:pt>
              </c:strCache>
            </c:strRef>
          </c:tx>
          <c:spPr>
            <a:ln w="19050" cap="rnd">
              <a:solidFill>
                <a:srgbClr val="00B050"/>
              </a:solidFill>
              <a:round/>
            </a:ln>
            <a:effectLst/>
          </c:spPr>
          <c:marker>
            <c:symbol val="none"/>
          </c:marker>
          <c:cat>
            <c:multiLvlStrRef>
              <c:f>'G3-Sektor vlád.institucí'!$B$41:$AF$42</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vlád.institucí'!$B$46:$AF$46</c:f>
              <c:numCache>
                <c:formatCode>#\ ##0.##########</c:formatCode>
                <c:ptCount val="31"/>
                <c:pt idx="0">
                  <c:v>-3.2</c:v>
                </c:pt>
                <c:pt idx="1">
                  <c:v>-2.5</c:v>
                </c:pt>
                <c:pt idx="2">
                  <c:v>-2.2999999999999998</c:v>
                </c:pt>
                <c:pt idx="3">
                  <c:v>-2.2999999999999998</c:v>
                </c:pt>
                <c:pt idx="4">
                  <c:v>-3.4</c:v>
                </c:pt>
                <c:pt idx="5" formatCode="#\ ##0.0">
                  <c:v>-3</c:v>
                </c:pt>
                <c:pt idx="6">
                  <c:v>-2.2000000000000002</c:v>
                </c:pt>
                <c:pt idx="7" formatCode="#\ ##0.0">
                  <c:v>-2</c:v>
                </c:pt>
                <c:pt idx="8">
                  <c:v>-2.1</c:v>
                </c:pt>
                <c:pt idx="9">
                  <c:v>-1.2</c:v>
                </c:pt>
                <c:pt idx="10">
                  <c:v>-1.3</c:v>
                </c:pt>
                <c:pt idx="11">
                  <c:v>0.4</c:v>
                </c:pt>
                <c:pt idx="12">
                  <c:v>-1.2</c:v>
                </c:pt>
                <c:pt idx="13" formatCode="#\ ##0.0">
                  <c:v>-1</c:v>
                </c:pt>
                <c:pt idx="14">
                  <c:v>-1.4</c:v>
                </c:pt>
                <c:pt idx="15">
                  <c:v>-0.4</c:v>
                </c:pt>
                <c:pt idx="16">
                  <c:v>-1.1000000000000001</c:v>
                </c:pt>
                <c:pt idx="17">
                  <c:v>-1.2</c:v>
                </c:pt>
                <c:pt idx="18">
                  <c:v>-1.9</c:v>
                </c:pt>
                <c:pt idx="19">
                  <c:v>-0.5</c:v>
                </c:pt>
                <c:pt idx="20" formatCode="#\ ##0.0">
                  <c:v>-3</c:v>
                </c:pt>
                <c:pt idx="21">
                  <c:v>-7.4</c:v>
                </c:pt>
                <c:pt idx="22">
                  <c:v>-5.3</c:v>
                </c:pt>
                <c:pt idx="23">
                  <c:v>-5.5</c:v>
                </c:pt>
                <c:pt idx="24">
                  <c:v>-6.1</c:v>
                </c:pt>
                <c:pt idx="25">
                  <c:v>-7.3</c:v>
                </c:pt>
                <c:pt idx="26">
                  <c:v>-3.2</c:v>
                </c:pt>
                <c:pt idx="27">
                  <c:v>-5.0999999999999996</c:v>
                </c:pt>
                <c:pt idx="28">
                  <c:v>-3.2</c:v>
                </c:pt>
                <c:pt idx="29">
                  <c:v>-3.3</c:v>
                </c:pt>
                <c:pt idx="30">
                  <c:v>-3.2</c:v>
                </c:pt>
              </c:numCache>
            </c:numRef>
          </c:val>
          <c:smooth val="0"/>
          <c:extLst>
            <c:ext xmlns:c16="http://schemas.microsoft.com/office/drawing/2014/chart" uri="{C3380CC4-5D6E-409C-BE32-E72D297353CC}">
              <c16:uniqueId val="{00000003-CE97-4DB8-A38B-67358C67E93E}"/>
            </c:ext>
          </c:extLst>
        </c:ser>
        <c:ser>
          <c:idx val="5"/>
          <c:order val="4"/>
          <c:tx>
            <c:strRef>
              <c:f>'G3-Sektor vlád.institucí'!$A$47</c:f>
              <c:strCache>
                <c:ptCount val="1"/>
                <c:pt idx="0">
                  <c:v>Denmark</c:v>
                </c:pt>
              </c:strCache>
            </c:strRef>
          </c:tx>
          <c:spPr>
            <a:ln w="19050" cap="rnd">
              <a:solidFill>
                <a:srgbClr val="0071BC"/>
              </a:solidFill>
              <a:round/>
            </a:ln>
            <a:effectLst/>
          </c:spPr>
          <c:marker>
            <c:symbol val="none"/>
          </c:marker>
          <c:cat>
            <c:multiLvlStrRef>
              <c:f>'G3-Sektor vlád.institucí'!$B$41:$AF$42</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vlád.institucí'!$B$47:$AF$47</c:f>
              <c:numCache>
                <c:formatCode>#\ ##0.##########</c:formatCode>
                <c:ptCount val="31"/>
                <c:pt idx="0">
                  <c:v>-3.4</c:v>
                </c:pt>
                <c:pt idx="1">
                  <c:v>-1.6</c:v>
                </c:pt>
                <c:pt idx="2">
                  <c:v>-0.8</c:v>
                </c:pt>
                <c:pt idx="3">
                  <c:v>-0.6</c:v>
                </c:pt>
                <c:pt idx="4">
                  <c:v>-0.4</c:v>
                </c:pt>
                <c:pt idx="5">
                  <c:v>-0.6</c:v>
                </c:pt>
                <c:pt idx="6">
                  <c:v>-0.4</c:v>
                </c:pt>
                <c:pt idx="7">
                  <c:v>0.6</c:v>
                </c:pt>
                <c:pt idx="8">
                  <c:v>2.2000000000000002</c:v>
                </c:pt>
                <c:pt idx="9">
                  <c:v>1.3</c:v>
                </c:pt>
                <c:pt idx="10">
                  <c:v>1.7</c:v>
                </c:pt>
                <c:pt idx="11" formatCode="#\ ##0.0">
                  <c:v>2</c:v>
                </c:pt>
                <c:pt idx="12">
                  <c:v>1.1000000000000001</c:v>
                </c:pt>
                <c:pt idx="13">
                  <c:v>1.2</c:v>
                </c:pt>
                <c:pt idx="14">
                  <c:v>1.7</c:v>
                </c:pt>
                <c:pt idx="15">
                  <c:v>-0.1</c:v>
                </c:pt>
                <c:pt idx="16">
                  <c:v>5.5</c:v>
                </c:pt>
                <c:pt idx="17">
                  <c:v>4.9000000000000004</c:v>
                </c:pt>
                <c:pt idx="18">
                  <c:v>3.3</c:v>
                </c:pt>
                <c:pt idx="19">
                  <c:v>3.1</c:v>
                </c:pt>
                <c:pt idx="20">
                  <c:v>1.2</c:v>
                </c:pt>
                <c:pt idx="21">
                  <c:v>-1.8</c:v>
                </c:pt>
                <c:pt idx="22">
                  <c:v>0.8</c:v>
                </c:pt>
                <c:pt idx="23">
                  <c:v>0.9</c:v>
                </c:pt>
                <c:pt idx="24">
                  <c:v>3.9</c:v>
                </c:pt>
                <c:pt idx="25">
                  <c:v>4.3</c:v>
                </c:pt>
                <c:pt idx="26">
                  <c:v>4.7</c:v>
                </c:pt>
                <c:pt idx="27">
                  <c:v>1.9</c:v>
                </c:pt>
                <c:pt idx="28">
                  <c:v>1.4</c:v>
                </c:pt>
                <c:pt idx="29">
                  <c:v>1.3</c:v>
                </c:pt>
                <c:pt idx="30">
                  <c:v>0.9</c:v>
                </c:pt>
              </c:numCache>
            </c:numRef>
          </c:val>
          <c:smooth val="0"/>
          <c:extLst>
            <c:ext xmlns:c16="http://schemas.microsoft.com/office/drawing/2014/chart" uri="{C3380CC4-5D6E-409C-BE32-E72D297353CC}">
              <c16:uniqueId val="{00000004-CE97-4DB8-A38B-67358C67E93E}"/>
            </c:ext>
          </c:extLst>
        </c:ser>
        <c:ser>
          <c:idx val="6"/>
          <c:order val="5"/>
          <c:tx>
            <c:strRef>
              <c:f>'G3-Sektor vlád.institucí'!$A$48</c:f>
              <c:strCache>
                <c:ptCount val="1"/>
                <c:pt idx="0">
                  <c:v>Spain</c:v>
                </c:pt>
              </c:strCache>
            </c:strRef>
          </c:tx>
          <c:spPr>
            <a:ln w="19050" cap="rnd">
              <a:solidFill>
                <a:srgbClr val="D5D000"/>
              </a:solidFill>
              <a:prstDash val="solid"/>
              <a:round/>
            </a:ln>
            <a:effectLst/>
          </c:spPr>
          <c:marker>
            <c:symbol val="none"/>
          </c:marker>
          <c:cat>
            <c:multiLvlStrRef>
              <c:f>'G3-Sektor vlád.institucí'!$B$41:$AF$42</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vlád.institucí'!$B$48:$AF$48</c:f>
              <c:numCache>
                <c:formatCode>#\ ##0.##########</c:formatCode>
                <c:ptCount val="31"/>
                <c:pt idx="0" formatCode="#\ ##0.0">
                  <c:v>-5</c:v>
                </c:pt>
                <c:pt idx="1">
                  <c:v>-5.4</c:v>
                </c:pt>
                <c:pt idx="2">
                  <c:v>-5.8</c:v>
                </c:pt>
                <c:pt idx="3">
                  <c:v>-5.0999999999999996</c:v>
                </c:pt>
                <c:pt idx="4">
                  <c:v>-4.5</c:v>
                </c:pt>
                <c:pt idx="5">
                  <c:v>-4.7</c:v>
                </c:pt>
                <c:pt idx="6">
                  <c:v>-4.5999999999999996</c:v>
                </c:pt>
                <c:pt idx="7">
                  <c:v>-3.4</c:v>
                </c:pt>
                <c:pt idx="8">
                  <c:v>-3.5</c:v>
                </c:pt>
                <c:pt idx="9" formatCode="#\ ##0.0">
                  <c:v>-3</c:v>
                </c:pt>
                <c:pt idx="10">
                  <c:v>-2.9</c:v>
                </c:pt>
                <c:pt idx="11" formatCode="#\ ##0.0">
                  <c:v>-3</c:v>
                </c:pt>
                <c:pt idx="12">
                  <c:v>-2.8</c:v>
                </c:pt>
                <c:pt idx="13">
                  <c:v>-2.6</c:v>
                </c:pt>
                <c:pt idx="14">
                  <c:v>-2.7</c:v>
                </c:pt>
                <c:pt idx="15">
                  <c:v>-2.2999999999999998</c:v>
                </c:pt>
                <c:pt idx="16">
                  <c:v>-2.6</c:v>
                </c:pt>
                <c:pt idx="17">
                  <c:v>-3.3</c:v>
                </c:pt>
                <c:pt idx="18">
                  <c:v>-3.2</c:v>
                </c:pt>
                <c:pt idx="19">
                  <c:v>-3.2</c:v>
                </c:pt>
                <c:pt idx="20">
                  <c:v>-5.4</c:v>
                </c:pt>
                <c:pt idx="21">
                  <c:v>-20.3</c:v>
                </c:pt>
                <c:pt idx="22">
                  <c:v>-8.5</c:v>
                </c:pt>
                <c:pt idx="23">
                  <c:v>-7.9</c:v>
                </c:pt>
                <c:pt idx="24">
                  <c:v>-9.1</c:v>
                </c:pt>
                <c:pt idx="25">
                  <c:v>-7.9</c:v>
                </c:pt>
                <c:pt idx="26">
                  <c:v>-7.2</c:v>
                </c:pt>
                <c:pt idx="27">
                  <c:v>-3.7</c:v>
                </c:pt>
                <c:pt idx="28">
                  <c:v>-3.8</c:v>
                </c:pt>
                <c:pt idx="29">
                  <c:v>-3.7</c:v>
                </c:pt>
                <c:pt idx="30">
                  <c:v>-4.2</c:v>
                </c:pt>
              </c:numCache>
            </c:numRef>
          </c:val>
          <c:smooth val="0"/>
          <c:extLst>
            <c:ext xmlns:c16="http://schemas.microsoft.com/office/drawing/2014/chart" uri="{C3380CC4-5D6E-409C-BE32-E72D297353CC}">
              <c16:uniqueId val="{00000005-CE97-4DB8-A38B-67358C67E93E}"/>
            </c:ext>
          </c:extLst>
        </c:ser>
        <c:dLbls>
          <c:showLegendKey val="0"/>
          <c:showVal val="0"/>
          <c:showCatName val="0"/>
          <c:showSerName val="0"/>
          <c:showPercent val="0"/>
          <c:showBubbleSize val="0"/>
        </c:dLbls>
        <c:marker val="1"/>
        <c:smooth val="0"/>
        <c:axId val="1037159056"/>
        <c:axId val="1037161968"/>
      </c:lineChart>
      <c:catAx>
        <c:axId val="1037159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037161968"/>
        <c:crosses val="autoZero"/>
        <c:auto val="1"/>
        <c:lblAlgn val="ctr"/>
        <c:lblOffset val="0"/>
        <c:noMultiLvlLbl val="0"/>
      </c:catAx>
      <c:valAx>
        <c:axId val="1037161968"/>
        <c:scaling>
          <c:orientation val="minMax"/>
          <c:max val="6"/>
          <c:min val="-21"/>
        </c:scaling>
        <c:delete val="0"/>
        <c:axPos val="l"/>
        <c:majorGridlines>
          <c:spPr>
            <a:ln w="6350" cap="flat" cmpd="sng" algn="ctr">
              <a:solidFill>
                <a:schemeClr val="bg1">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037159056"/>
        <c:crosses val="autoZero"/>
        <c:crossBetween val="between"/>
        <c:majorUnit val="3"/>
      </c:valAx>
      <c:spPr>
        <a:noFill/>
        <a:ln w="6350">
          <a:solidFill>
            <a:schemeClr val="tx1"/>
          </a:solidFill>
        </a:ln>
        <a:effectLst/>
      </c:spPr>
    </c:plotArea>
    <c:legend>
      <c:legendPos val="b"/>
      <c:layout>
        <c:manualLayout>
          <c:xMode val="edge"/>
          <c:yMode val="edge"/>
          <c:x val="2.4935937784482533E-2"/>
          <c:y val="0.94085704236785406"/>
          <c:w val="0.95832448269547699"/>
          <c:h val="5.0505201930860791E-2"/>
        </c:manualLayout>
      </c:layout>
      <c:overlay val="0"/>
      <c:spPr>
        <a:noFill/>
        <a:ln w="6350">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932FB-3B0E-493B-94B6-5B00B1C84CDB}">
  <ds:schemaRefs>
    <ds:schemaRef ds:uri="http://schemas.openxmlformats.org/officeDocument/2006/bibliography"/>
  </ds:schemaRefs>
</ds:datastoreItem>
</file>

<file path=customXml/itemProps5.xml><?xml version="1.0" encoding="utf-8"?>
<ds:datastoreItem xmlns:ds="http://schemas.openxmlformats.org/officeDocument/2006/customXml" ds:itemID="{15B63B3C-E855-42D8-BDDB-5EB01D49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11</TotalTime>
  <Pages>7</Pages>
  <Words>3375</Words>
  <Characters>19919</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2023-04-20T07:09:00Z</dcterms:created>
  <dcterms:modified xsi:type="dcterms:W3CDTF">2023-04-20T07:28:00Z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2023-03-27T13:04:49Z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de2450ee-4915-4da0-b25a-4e858a474ced</vt:lpwstr>
  </property>
  <property fmtid="{D5CDD505-2E9C-101B-9397-08002B2CF9AE}" pid="9" name="MSIP_Label_29db9e61-aac5-4f6e-805d-ceb8cb9983a1_ContentBits">
    <vt:lpwstr>0</vt:lpwstr>
  </property>
</Properties>
</file>