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66B56" w14:textId="77777777" w:rsidR="0038123E" w:rsidRDefault="0038123E" w:rsidP="0038123E">
      <w:pPr>
        <w:pStyle w:val="Nadpis1"/>
      </w:pPr>
      <w:bookmarkStart w:id="0" w:name="_Toc185241006"/>
      <w:bookmarkStart w:id="1" w:name="_Toc176767109"/>
      <w:r>
        <w:t>6. Trh práce</w:t>
      </w:r>
      <w:bookmarkEnd w:id="0"/>
    </w:p>
    <w:tbl>
      <w:tblPr>
        <w:tblW w:w="9674" w:type="dxa"/>
        <w:tblInd w:w="-35" w:type="dxa"/>
        <w:tblCellMar>
          <w:left w:w="0" w:type="dxa"/>
          <w:right w:w="0" w:type="dxa"/>
        </w:tblCellMar>
        <w:tblLook w:val="00A0" w:firstRow="1" w:lastRow="0" w:firstColumn="1" w:lastColumn="0" w:noHBand="0" w:noVBand="0"/>
      </w:tblPr>
      <w:tblGrid>
        <w:gridCol w:w="1698"/>
        <w:gridCol w:w="201"/>
        <w:gridCol w:w="7775"/>
      </w:tblGrid>
      <w:tr w:rsidR="0038123E" w14:paraId="20A10E52" w14:textId="77777777" w:rsidTr="0038123E">
        <w:trPr>
          <w:trHeight w:val="155"/>
        </w:trPr>
        <w:tc>
          <w:tcPr>
            <w:tcW w:w="1702" w:type="dxa"/>
          </w:tcPr>
          <w:p w14:paraId="1AA0BA48" w14:textId="77777777" w:rsidR="0038123E" w:rsidRDefault="0038123E">
            <w:pPr>
              <w:pStyle w:val="Marginlie"/>
              <w:spacing w:after="120"/>
              <w:rPr>
                <w:color w:val="0D0D0D" w:themeColor="text1" w:themeTint="F2"/>
                <w:lang w:eastAsia="en-US"/>
              </w:rPr>
            </w:pPr>
            <w:r>
              <w:rPr>
                <w:color w:val="0D0D0D" w:themeColor="text1" w:themeTint="F2"/>
                <w:lang w:eastAsia="en-US"/>
              </w:rPr>
              <w:t>Na trhu práce lze ve 3. čtvrtletí nalézt znaky mírného oživení, hlavně v oblasti mezd a firemních očekávání zaměstnanosti.</w:t>
            </w:r>
          </w:p>
          <w:p w14:paraId="23170F56" w14:textId="77777777" w:rsidR="0038123E" w:rsidRDefault="0038123E">
            <w:pPr>
              <w:pStyle w:val="Marginlie"/>
              <w:spacing w:after="120"/>
              <w:rPr>
                <w:color w:val="0D0D0D" w:themeColor="text1" w:themeTint="F2"/>
                <w:spacing w:val="-4"/>
                <w:lang w:eastAsia="en-US"/>
              </w:rPr>
            </w:pPr>
          </w:p>
          <w:p w14:paraId="46B40C0A" w14:textId="77777777" w:rsidR="0038123E" w:rsidRDefault="0038123E">
            <w:pPr>
              <w:pStyle w:val="Marginlie"/>
              <w:spacing w:after="120"/>
              <w:rPr>
                <w:color w:val="0D0D0D" w:themeColor="text1" w:themeTint="F2"/>
                <w:spacing w:val="-4"/>
                <w:lang w:eastAsia="en-US"/>
              </w:rPr>
            </w:pPr>
          </w:p>
          <w:p w14:paraId="043EC583" w14:textId="77777777" w:rsidR="0038123E" w:rsidRDefault="0038123E">
            <w:pPr>
              <w:pStyle w:val="Marginlie"/>
              <w:spacing w:after="120"/>
              <w:rPr>
                <w:color w:val="0D0D0D" w:themeColor="text1" w:themeTint="F2"/>
                <w:spacing w:val="-4"/>
                <w:lang w:eastAsia="en-US"/>
              </w:rPr>
            </w:pPr>
          </w:p>
          <w:p w14:paraId="772BD8F3"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t>Meziroční růst kupní síly mezd se letos obnovil a ty tak začaly postupně eliminovat své hluboké ztráty z let 2022 i 2023.</w:t>
            </w:r>
          </w:p>
        </w:tc>
        <w:tc>
          <w:tcPr>
            <w:tcW w:w="202" w:type="dxa"/>
          </w:tcPr>
          <w:p w14:paraId="682EE27A"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69B35A6E" w14:textId="77777777" w:rsidR="0038123E" w:rsidRDefault="0038123E">
            <w:pPr>
              <w:spacing w:after="200"/>
              <w:rPr>
                <w:color w:val="0D0D0D" w:themeColor="text1" w:themeTint="F2"/>
                <w:spacing w:val="-2"/>
                <w:szCs w:val="20"/>
                <w:lang w:eastAsia="en-US"/>
              </w:rPr>
            </w:pPr>
            <w:r>
              <w:rPr>
                <w:color w:val="0D0D0D" w:themeColor="text1" w:themeTint="F2"/>
                <w:spacing w:val="-2"/>
                <w:szCs w:val="20"/>
                <w:lang w:eastAsia="en-US"/>
              </w:rPr>
              <w:t xml:space="preserve">Na trhu práce se ve 3. čtvrtletí se zpožděním stále projevovaly dopady loňské stagnace výkonu ekonomiky, zároveň lze však nalézt i stopy jejího letošního mírného oživení. Růst zaměstnanosti zůstával slabý a zároveň dosti diferencovaný, situace v průmyslu byla nadále obtížná. Krátkodobá očekávání zaměstnanosti nicméně podnikatelé ve většině odvětví ekonomiky na konci letošního roku lehce vylepšili. Navzdory stále nejistým ekonomickým výhledům firmy ve zvýšené míře poptávaly levnější pracovní sílu ze zahraničí a souběžně pokračovala též integrace ukrajinských uprchlíků na pracovní trh </w:t>
            </w:r>
            <w:r>
              <w:rPr>
                <w:color w:val="0D0D0D" w:themeColor="text1" w:themeTint="F2"/>
                <w:spacing w:val="-2"/>
                <w:szCs w:val="20"/>
                <w:lang w:eastAsia="en-US"/>
              </w:rPr>
              <w:br/>
              <w:t xml:space="preserve">v Česku, což zčásti řešilo dlouhodobější nedostatek volných pracovních sil v tuzemsku. </w:t>
            </w:r>
            <w:r>
              <w:rPr>
                <w:color w:val="0D0D0D" w:themeColor="text1" w:themeTint="F2"/>
                <w:spacing w:val="-5"/>
                <w:szCs w:val="20"/>
                <w:lang w:eastAsia="en-US"/>
              </w:rPr>
              <w:t xml:space="preserve">Nezaměstnanost včetně její dlouhodobé složky zůstávala bez výraznějších změn na velmi nízké úrovni. Specifická situace v jednotlivých odvětvích se projevovala v různorodém růstu mezd, jeho nominální meziroční tempo letos kolísalo okolo 7 %. To při </w:t>
            </w:r>
            <w:r>
              <w:rPr>
                <w:color w:val="0D0D0D" w:themeColor="text1" w:themeTint="F2"/>
                <w:spacing w:val="-2"/>
                <w:szCs w:val="20"/>
                <w:lang w:eastAsia="en-US"/>
              </w:rPr>
              <w:t>stabilizaci cenové hladiny v ekonomice vyústilo v poměrně svižný růst reálných mezd, jenž ve 3. čtvrtletí prostupoval již všemi hlavními odvětvími. Kupní síla zaměstnaneckých výdělků však stále dosahovala pouze úrovně z roku 2018.</w:t>
            </w:r>
          </w:p>
        </w:tc>
      </w:tr>
      <w:tr w:rsidR="0038123E" w14:paraId="66B85929" w14:textId="77777777" w:rsidTr="0038123E">
        <w:trPr>
          <w:trHeight w:val="155"/>
        </w:trPr>
        <w:tc>
          <w:tcPr>
            <w:tcW w:w="1702" w:type="dxa"/>
            <w:hideMark/>
          </w:tcPr>
          <w:p w14:paraId="5DAF29E4"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t xml:space="preserve">Celkový počet pracovníků dosáhl rekordní úrovně. Proti roku 2019 přibylo jak zaměstnanců, tak sebezaměstnaných. </w:t>
            </w:r>
          </w:p>
        </w:tc>
        <w:tc>
          <w:tcPr>
            <w:tcW w:w="202" w:type="dxa"/>
          </w:tcPr>
          <w:p w14:paraId="23E70252"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7050CC3E" w14:textId="77777777" w:rsidR="0038123E" w:rsidRDefault="0038123E">
            <w:pPr>
              <w:rPr>
                <w:spacing w:val="-4"/>
                <w:lang w:eastAsia="en-US"/>
              </w:rPr>
            </w:pPr>
            <w:r>
              <w:rPr>
                <w:spacing w:val="-4"/>
                <w:lang w:eastAsia="en-US"/>
              </w:rPr>
              <w:t>Ve 3. čtvrtletí letošního roku, stejně jako na jeho samém počátku, celková zaměstnanost</w:t>
            </w:r>
            <w:r>
              <w:rPr>
                <w:color w:val="0D0D0D" w:themeColor="text1" w:themeTint="F2"/>
                <w:vertAlign w:val="superscript"/>
                <w:lang w:eastAsia="en-US"/>
              </w:rPr>
              <w:footnoteReference w:id="1"/>
            </w:r>
            <w:r>
              <w:rPr>
                <w:spacing w:val="-4"/>
                <w:lang w:eastAsia="en-US"/>
              </w:rPr>
              <w:t xml:space="preserve"> v Česku mezikvartálně stagnovala. Náznak rychlejšího oživení z 2. čtvrtletí (+0,5 %), patrný zejména v oblasti tržních služeb, se tak zatím nepotvrdil. I tak se ovšem počet pracovníků v národním hospodářství nacházel fakticky na rekordní úrovni (5,41 mil.). Proti maximální hodnotě z období poslední konjunktury (4. čtvrtletí 2018) byl vyšší o 0,7 %, z převážné části zásluhou rozvoje veřejných služeb. V meziročním pohledu celková zaměstnanost od konce protipandemických restrikcí nepřetržitě roste, aktuální tempo ve 3. čtvrtletí 2024 patří ovšem za celé toto období k nejslabším (+0,4 %</w:t>
            </w:r>
            <w:r>
              <w:rPr>
                <w:rStyle w:val="Znakapoznpodarou"/>
                <w:color w:val="0D0D0D" w:themeColor="text1" w:themeTint="F2"/>
                <w:spacing w:val="-4"/>
                <w:lang w:eastAsia="en-US"/>
              </w:rPr>
              <w:footnoteReference w:id="2"/>
            </w:r>
            <w:r>
              <w:rPr>
                <w:spacing w:val="-4"/>
                <w:lang w:eastAsia="en-US"/>
              </w:rPr>
              <w:t xml:space="preserve">). V něm se setrvačně projevuje vliv loňské stagnace výkonu celé ekonomiky. Růst počtu zaměstnanců i sebezaměstnaných se na rozdíl od předchozích tří let (kdyby se relativně rychleji zotavovalo drobné podnikání) již významně nelišil. Počty osob v obou těchto kategoriích mírně převyšovaly svou úroveň z roku 2019. </w:t>
            </w:r>
          </w:p>
        </w:tc>
      </w:tr>
      <w:tr w:rsidR="0038123E" w14:paraId="3D248E18" w14:textId="77777777" w:rsidTr="0038123E">
        <w:trPr>
          <w:trHeight w:val="155"/>
        </w:trPr>
        <w:tc>
          <w:tcPr>
            <w:tcW w:w="1702" w:type="dxa"/>
          </w:tcPr>
          <w:p w14:paraId="494176CD"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t>K meziročnímu růstu zaměstnanosti přispívala ve 3. čtvrtletí všechna hlavní odvětví terciárního sektoru, nejvíce pak veřejné služby.</w:t>
            </w:r>
          </w:p>
          <w:p w14:paraId="6F776871" w14:textId="77777777" w:rsidR="0038123E" w:rsidRDefault="0038123E">
            <w:pPr>
              <w:pStyle w:val="Marginlie"/>
              <w:spacing w:after="120"/>
              <w:rPr>
                <w:color w:val="0D0D0D" w:themeColor="text1" w:themeTint="F2"/>
                <w:spacing w:val="-4"/>
                <w:lang w:eastAsia="en-US"/>
              </w:rPr>
            </w:pPr>
          </w:p>
          <w:p w14:paraId="52EEAC50" w14:textId="77777777" w:rsidR="0038123E" w:rsidRDefault="0038123E">
            <w:pPr>
              <w:pStyle w:val="Marginlie"/>
              <w:spacing w:after="120"/>
              <w:rPr>
                <w:color w:val="0D0D0D" w:themeColor="text1" w:themeTint="F2"/>
                <w:spacing w:val="-4"/>
                <w:lang w:eastAsia="en-US"/>
              </w:rPr>
            </w:pPr>
          </w:p>
          <w:p w14:paraId="29555D3E"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t xml:space="preserve">Pracovníků ve zpracovatelském průmyslu nadále ubývalo, pokles aktuálně </w:t>
            </w:r>
            <w:r>
              <w:rPr>
                <w:color w:val="0D0D0D" w:themeColor="text1" w:themeTint="F2"/>
                <w:spacing w:val="-4"/>
                <w:lang w:eastAsia="en-US"/>
              </w:rPr>
              <w:lastRenderedPageBreak/>
              <w:t xml:space="preserve">postihl skoro všechny obory. </w:t>
            </w:r>
          </w:p>
        </w:tc>
        <w:tc>
          <w:tcPr>
            <w:tcW w:w="202" w:type="dxa"/>
          </w:tcPr>
          <w:p w14:paraId="4AE6E7BE"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17554429" w14:textId="77777777" w:rsidR="0038123E" w:rsidRDefault="0038123E">
            <w:pPr>
              <w:rPr>
                <w:spacing w:val="-4"/>
                <w:lang w:eastAsia="en-US"/>
              </w:rPr>
            </w:pPr>
            <w:r>
              <w:rPr>
                <w:spacing w:val="-4"/>
                <w:lang w:eastAsia="en-US"/>
              </w:rPr>
              <w:t>Meziroční růst celkové zaměstnanosti byl ve 3. čtvrtletí tažen veřejnými službami</w:t>
            </w:r>
            <w:r>
              <w:rPr>
                <w:rStyle w:val="Znakapoznpodarou"/>
                <w:spacing w:val="-4"/>
                <w:lang w:eastAsia="en-US"/>
              </w:rPr>
              <w:footnoteReference w:id="3"/>
            </w:r>
            <w:r>
              <w:rPr>
                <w:spacing w:val="-4"/>
                <w:lang w:eastAsia="en-US"/>
              </w:rPr>
              <w:t xml:space="preserve"> (+2,1 %), jež postupně reagovaly na sílící poptávku související s dlouhodobějšími změnami ve věkové skladbě populace (ve vzdělávání, zdravotní a sociální péči). Mírně nižší růst registrovala </w:t>
            </w:r>
            <w:r>
              <w:rPr>
                <w:spacing w:val="-8"/>
                <w:lang w:eastAsia="en-US"/>
              </w:rPr>
              <w:t>ovšem všechna hlavní odvětví terciárního sektoru</w:t>
            </w:r>
            <w:r>
              <w:rPr>
                <w:rStyle w:val="Znakapoznpodarou"/>
                <w:spacing w:val="-8"/>
                <w:lang w:eastAsia="en-US"/>
              </w:rPr>
              <w:footnoteReference w:id="4"/>
            </w:r>
            <w:r>
              <w:rPr>
                <w:spacing w:val="-8"/>
                <w:lang w:eastAsia="en-US"/>
              </w:rPr>
              <w:t>. Téměř ve všech z nich přispívali k vyšší zaměstnanosti</w:t>
            </w:r>
            <w:r>
              <w:rPr>
                <w:spacing w:val="-4"/>
                <w:lang w:eastAsia="en-US"/>
              </w:rPr>
              <w:t xml:space="preserve"> také drobní podnikatelé. Výjimku tvořily informační a komunikační činnosti, v nichž sebezaměstnaných lehce ubylo a růst celkového počtu pracovníků se zmírnil jen na 0,1 % (i tak zde však jejich stavy převýšily o více než desetinu úroveň z roku 2019). Nedařilo se naopak zpracovatelskému průmyslu, kde pracovníků ubylo již šestý kvartál v řadě, aktuálně o 1,6 %. To souviselo s</w:t>
            </w:r>
            <w:r>
              <w:rPr>
                <w:color w:val="0D0D0D" w:themeColor="text1" w:themeTint="F2"/>
                <w:spacing w:val="-4"/>
                <w:lang w:eastAsia="en-US"/>
              </w:rPr>
              <w:t> </w:t>
            </w:r>
            <w:r>
              <w:rPr>
                <w:spacing w:val="-4"/>
                <w:lang w:eastAsia="en-US"/>
              </w:rPr>
              <w:t>recesí celého odvětví doprovázenou zesílenými nákladovými tlaky i oslabenou poptávkou v řadě tradičních exportních oborů (strojírenství, elektrotechnika, hutnictví)</w:t>
            </w:r>
            <w:r>
              <w:rPr>
                <w:rStyle w:val="Znakapoznpodarou"/>
                <w:spacing w:val="-4"/>
                <w:lang w:eastAsia="en-US"/>
              </w:rPr>
              <w:footnoteReference w:id="5"/>
            </w:r>
            <w:r>
              <w:rPr>
                <w:spacing w:val="-4"/>
                <w:lang w:eastAsia="en-US"/>
              </w:rPr>
              <w:t xml:space="preserve">. V ostatním průmyslu byla situace příznivější, neboť růst zaměstnanosti v energetice, vodním i odpadovém hospodářství stačil kompenzovat </w:t>
            </w:r>
            <w:r>
              <w:rPr>
                <w:spacing w:val="-4"/>
                <w:lang w:eastAsia="en-US"/>
              </w:rPr>
              <w:lastRenderedPageBreak/>
              <w:t>prohlubující se útlum v oblasti těžby a dobývání. Rovněž ve stavebnictví počet pracovníků celkově stagnoval.</w:t>
            </w:r>
            <w:r>
              <w:rPr>
                <w:color w:val="0D0D0D" w:themeColor="text1" w:themeTint="F2"/>
                <w:spacing w:val="-4"/>
                <w:lang w:eastAsia="en-US"/>
              </w:rPr>
              <w:t xml:space="preserve"> </w:t>
            </w:r>
          </w:p>
        </w:tc>
      </w:tr>
      <w:tr w:rsidR="0038123E" w14:paraId="7B787ABD" w14:textId="77777777" w:rsidTr="0038123E">
        <w:trPr>
          <w:trHeight w:val="155"/>
        </w:trPr>
        <w:tc>
          <w:tcPr>
            <w:tcW w:w="1702" w:type="dxa"/>
            <w:hideMark/>
          </w:tcPr>
          <w:p w14:paraId="3E6C0736"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lastRenderedPageBreak/>
              <w:t>Počet odpracovaných hodin v ekonomice se v 1. pololetí mírně snižoval. Rozšiřovaly se zkrácené pracovní úvazky.</w:t>
            </w:r>
          </w:p>
        </w:tc>
        <w:tc>
          <w:tcPr>
            <w:tcW w:w="202" w:type="dxa"/>
          </w:tcPr>
          <w:p w14:paraId="515D69F3"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07B6661F" w14:textId="77777777" w:rsidR="0038123E" w:rsidRDefault="0038123E">
            <w:pPr>
              <w:rPr>
                <w:spacing w:val="-4"/>
                <w:lang w:eastAsia="en-US"/>
              </w:rPr>
            </w:pPr>
            <w:r>
              <w:rPr>
                <w:color w:val="0D0D0D" w:themeColor="text1" w:themeTint="F2"/>
                <w:spacing w:val="-4"/>
                <w:lang w:eastAsia="en-US"/>
              </w:rPr>
              <w:t xml:space="preserve">Celkový počet odpracovaných hodin v ekonomice, jenž letos v 1. pololetí mírně klesal, se ve </w:t>
            </w:r>
            <w:r>
              <w:rPr>
                <w:color w:val="0D0D0D" w:themeColor="text1" w:themeTint="F2"/>
                <w:spacing w:val="-5"/>
                <w:lang w:eastAsia="en-US"/>
              </w:rPr>
              <w:t>3. čtvrtletí opět vrátil k meziročnímu růstu (+1,4 %). Nejvíce vzrostl v uskupení obchod, doprava</w:t>
            </w:r>
            <w:r>
              <w:rPr>
                <w:color w:val="0D0D0D" w:themeColor="text1" w:themeTint="F2"/>
                <w:spacing w:val="-4"/>
                <w:lang w:eastAsia="en-US"/>
              </w:rPr>
              <w:t xml:space="preserve">, ubytování a pohostinství, dále ve stavebnictví a zejména v oblasti nemovitostí </w:t>
            </w:r>
            <w:r>
              <w:rPr>
                <w:color w:val="0D0D0D" w:themeColor="text1" w:themeTint="F2"/>
                <w:spacing w:val="-4"/>
                <w:lang w:eastAsia="en-US"/>
              </w:rPr>
              <w:br/>
              <w:t>(+3,1 %), kde také výrazněji převyšoval tempo růstu zaměstnanosti ve fyzických osobách (to zde dosáhlo jen 0,4 %). V 1. pololetí 2024 i po většině loňského roku tomu ale bylo ve většině odvětví naopak. Mohly se zde projevit nižší potřeba přesčasové práce v některých odvětvích zasažených recesí, rozšiřování zkrácených pracovních úvazků</w:t>
            </w:r>
            <w:r>
              <w:rPr>
                <w:rStyle w:val="Znakapoznpodarou"/>
                <w:color w:val="0D0D0D" w:themeColor="text1" w:themeTint="F2"/>
                <w:spacing w:val="-4"/>
                <w:lang w:eastAsia="en-US"/>
              </w:rPr>
              <w:footnoteReference w:id="6"/>
            </w:r>
            <w:r>
              <w:rPr>
                <w:color w:val="0D0D0D" w:themeColor="text1" w:themeTint="F2"/>
                <w:spacing w:val="-4"/>
                <w:lang w:eastAsia="en-US"/>
              </w:rPr>
              <w:t xml:space="preserve"> (související s rostoucí zaměstnaností žen podpořenou integrací uprchlic z Ukrajiny i s loni zavedeným daňovým zvýhodněním zkrácených úvazků) či pokles počtu osob pracujících na dohody</w:t>
            </w:r>
            <w:r>
              <w:rPr>
                <w:rStyle w:val="Znakapoznpodarou"/>
                <w:color w:val="0D0D0D" w:themeColor="text1" w:themeTint="F2"/>
                <w:spacing w:val="-4"/>
                <w:lang w:eastAsia="en-US"/>
              </w:rPr>
              <w:footnoteReference w:id="7"/>
            </w:r>
            <w:r>
              <w:rPr>
                <w:color w:val="0D0D0D" w:themeColor="text1" w:themeTint="F2"/>
                <w:spacing w:val="-4"/>
                <w:lang w:eastAsia="en-US"/>
              </w:rPr>
              <w:t xml:space="preserve"> (vlivem legislativních změn snižujících pro zaměstnance finanční výhodnost těchto forem práce a naopak zvyšující se administrativní náročnost pro firmy). </w:t>
            </w:r>
          </w:p>
        </w:tc>
      </w:tr>
      <w:tr w:rsidR="0038123E" w14:paraId="57C48B5C" w14:textId="77777777" w:rsidTr="0038123E">
        <w:trPr>
          <w:trHeight w:val="155"/>
        </w:trPr>
        <w:tc>
          <w:tcPr>
            <w:tcW w:w="1702" w:type="dxa"/>
          </w:tcPr>
          <w:p w14:paraId="5809AFCD"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t xml:space="preserve">Zvýšil se počet lidí kombinujících více zaměstnání. </w:t>
            </w:r>
          </w:p>
          <w:p w14:paraId="06AA3127" w14:textId="77777777" w:rsidR="0038123E" w:rsidRDefault="0038123E">
            <w:pPr>
              <w:pStyle w:val="Marginlie"/>
              <w:spacing w:after="120"/>
              <w:rPr>
                <w:color w:val="0D0D0D" w:themeColor="text1" w:themeTint="F2"/>
                <w:spacing w:val="-4"/>
                <w:lang w:eastAsia="en-US"/>
              </w:rPr>
            </w:pPr>
          </w:p>
          <w:p w14:paraId="4A2C6B4D" w14:textId="77777777" w:rsidR="0038123E" w:rsidRDefault="0038123E">
            <w:pPr>
              <w:pStyle w:val="Marginlie"/>
              <w:spacing w:after="120"/>
              <w:rPr>
                <w:color w:val="0D0D0D" w:themeColor="text1" w:themeTint="F2"/>
                <w:spacing w:val="-4"/>
                <w:lang w:eastAsia="en-US"/>
              </w:rPr>
            </w:pPr>
          </w:p>
          <w:p w14:paraId="251D436A"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t>Pokračoval dlouhodobý růst počtu specialistů.</w:t>
            </w:r>
          </w:p>
        </w:tc>
        <w:tc>
          <w:tcPr>
            <w:tcW w:w="202" w:type="dxa"/>
          </w:tcPr>
          <w:p w14:paraId="6EAFF632"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6F84E14F" w14:textId="77777777" w:rsidR="0038123E" w:rsidRDefault="0038123E">
            <w:pPr>
              <w:rPr>
                <w:color w:val="0D0D0D" w:themeColor="text1" w:themeTint="F2"/>
                <w:spacing w:val="-4"/>
                <w:lang w:eastAsia="en-US"/>
              </w:rPr>
            </w:pPr>
            <w:r>
              <w:rPr>
                <w:color w:val="0D0D0D" w:themeColor="text1" w:themeTint="F2"/>
                <w:spacing w:val="-4"/>
                <w:lang w:eastAsia="en-US"/>
              </w:rPr>
              <w:t>Se zvyšující se rolí zkrácených úvazků souvisí i rostoucí podíl osob pracujících ve dvou zaměstnáních. Zatímco ve 2. čtvrtletí 2023 bylo takto zaměstnáno 2,7 % pracovníků, o rok později rekordních 3,2 %</w:t>
            </w:r>
            <w:r>
              <w:rPr>
                <w:rStyle w:val="Znakapoznpodarou"/>
                <w:color w:val="0D0D0D" w:themeColor="text1" w:themeTint="F2"/>
                <w:spacing w:val="-4"/>
                <w:lang w:eastAsia="en-US"/>
              </w:rPr>
              <w:footnoteReference w:id="8"/>
            </w:r>
            <w:r>
              <w:rPr>
                <w:color w:val="0D0D0D" w:themeColor="text1" w:themeTint="F2"/>
                <w:spacing w:val="-4"/>
                <w:lang w:eastAsia="en-US"/>
              </w:rPr>
              <w:t xml:space="preserve">. Zhruba polovina z tohoto nárůstu připadá na osoby vykonávající dvě různé zaměstnanecké pozice, zbylá část pak na podnikatele, kteří „doplňkově“ působí také v zaměstnanecké pozici. Vedle těchto posunů probíhají i dlouhodobější strukturální změny zaměstnanosti. Se zvyšující se vzdělaností pracovní síly roste i počet lidí působících v kategorii specialistů (dle údajů VŠPS ve 3. čtvrtletí 2024 meziročně o 6 %). V letošním roce došlo také k navýšení u technických a odborných pracovníků či pracovníků se službách a prodeji (shodně o 5 %). Naopak pokračoval pokles v kategorii úředníků, z významné části vlivem rozvoje digitalizace v oblasti tržních i veřejných služeb. </w:t>
            </w:r>
          </w:p>
        </w:tc>
      </w:tr>
      <w:tr w:rsidR="0038123E" w14:paraId="075F676E" w14:textId="77777777" w:rsidTr="0038123E">
        <w:trPr>
          <w:trHeight w:val="155"/>
        </w:trPr>
        <w:tc>
          <w:tcPr>
            <w:tcW w:w="1702" w:type="dxa"/>
            <w:hideMark/>
          </w:tcPr>
          <w:p w14:paraId="2A232569"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t>Počet cizinců v zaměstnaneckém postavení vystoupal na rekordních 849 tis. Jejich meziroční přírůstek ale zvolnil, neboť ubylo pracovníků ze střední Evropy. Zrychlil naopak příliv osob z některých asijských států.</w:t>
            </w:r>
          </w:p>
        </w:tc>
        <w:tc>
          <w:tcPr>
            <w:tcW w:w="202" w:type="dxa"/>
          </w:tcPr>
          <w:p w14:paraId="215EF095"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524049E3" w14:textId="77777777" w:rsidR="0038123E" w:rsidRDefault="0038123E">
            <w:pPr>
              <w:rPr>
                <w:color w:val="0D0D0D" w:themeColor="text1" w:themeTint="F2"/>
                <w:spacing w:val="-4"/>
                <w:lang w:eastAsia="en-US"/>
              </w:rPr>
            </w:pPr>
            <w:r>
              <w:rPr>
                <w:color w:val="0D0D0D" w:themeColor="text1" w:themeTint="F2"/>
                <w:spacing w:val="-4"/>
                <w:lang w:eastAsia="en-US"/>
              </w:rPr>
              <w:t>Dlouhodobě omezený rezervoár volných pracovních sil v Česku (vlivem demografického stárnutí i nízké porodnosti) i sílící tlak firem na optimalizaci výrobních nákladů stimulovaly rostoucí poptávku tuzemských zaměstnavatelů po pracovnících ze zahraničí. Snadnějšímu zaměstnávání cizinců pomáhají legislativní změny snižující administrativní náročnost v této oblasti. To se týká jak ukrajinských občanů</w:t>
            </w:r>
            <w:r>
              <w:rPr>
                <w:rStyle w:val="Znakapoznpodarou"/>
                <w:color w:val="0D0D0D" w:themeColor="text1" w:themeTint="F2"/>
                <w:spacing w:val="-4"/>
                <w:lang w:eastAsia="en-US"/>
              </w:rPr>
              <w:footnoteReference w:id="9"/>
            </w:r>
            <w:r>
              <w:rPr>
                <w:color w:val="0D0D0D" w:themeColor="text1" w:themeTint="F2"/>
                <w:spacing w:val="-4"/>
                <w:lang w:eastAsia="en-US"/>
              </w:rPr>
              <w:t>, tak i cizinců z dalších, nejen hospodářsky méně vyspělých zemí mimo EU</w:t>
            </w:r>
            <w:r>
              <w:rPr>
                <w:rStyle w:val="Znakapoznpodarou"/>
                <w:color w:val="0D0D0D" w:themeColor="text1" w:themeTint="F2"/>
                <w:spacing w:val="-4"/>
                <w:lang w:eastAsia="en-US"/>
              </w:rPr>
              <w:footnoteReference w:id="10"/>
            </w:r>
            <w:r>
              <w:rPr>
                <w:color w:val="0D0D0D" w:themeColor="text1" w:themeTint="F2"/>
                <w:spacing w:val="-4"/>
                <w:lang w:eastAsia="en-US"/>
              </w:rPr>
              <w:t>. Dlouhodobý příliv zahraničních pracovníků do Česka tak pokračoval. Počet pracujících cizinců v Česku nicméně rostl letos mírně pomalejším tempem než loni, např. v dominantní skupině zaměstnanců jich letos na konci listopadu bylo rekordních 849 tis. (meziročně +19 tis., za dva roky +49 tis.)</w:t>
            </w:r>
            <w:r>
              <w:rPr>
                <w:rStyle w:val="Znakapoznpodarou"/>
                <w:color w:val="0D0D0D" w:themeColor="text1" w:themeTint="F2"/>
                <w:spacing w:val="-4"/>
                <w:lang w:eastAsia="en-US"/>
              </w:rPr>
              <w:footnoteReference w:id="11"/>
            </w:r>
            <w:r>
              <w:rPr>
                <w:color w:val="0D0D0D" w:themeColor="text1" w:themeTint="F2"/>
                <w:spacing w:val="-4"/>
                <w:lang w:eastAsia="en-US"/>
              </w:rPr>
              <w:t xml:space="preserve">. Nejvíce meziročně přibylo občanů Ukrajiny (+17 tis. na 306 tis., z toho ženy +13 tis., na 165 tis. žen), řádově méně z Ruska a Vietnamu. Relativně rychle vzrostl i počet občanů Filipín (o polovinu), Číny, Indie, Bangladéše a Egypta (shodně zhruba o pětinu). Naopak ubylo pracovníků ze střední Evropy – především Poláků (−5,6 tis., resp. o 11 %) a Maďarů a také z Balkánu (Rumunů, Bulharů). Veškerých cizinců v zaměstnaneckém postavení přibylo jen díky ženám, počet mužů pouze stagnoval (na 484 tis.). Z pohledu krajů vzrostl meziročně počet cizinců nejvíce v Praze </w:t>
            </w:r>
            <w:r>
              <w:rPr>
                <w:color w:val="0D0D0D" w:themeColor="text1" w:themeTint="F2"/>
                <w:spacing w:val="-4"/>
                <w:lang w:eastAsia="en-US"/>
              </w:rPr>
              <w:lastRenderedPageBreak/>
              <w:t>(+7,7 %) a Olomouckém kraji (+5,9 %). Letos na konci listopadu tak připadla skoro třetina všech v Česku zaměstnaných cizinců (v evidenci úřadů práce) na Prahu a spolu se středními Čechami pak bezmála polovina</w:t>
            </w:r>
            <w:r>
              <w:rPr>
                <w:color w:val="0D0D0D" w:themeColor="text1" w:themeTint="F2"/>
                <w:spacing w:val="-6"/>
                <w:lang w:eastAsia="en-US"/>
              </w:rPr>
              <w:t>.</w:t>
            </w:r>
          </w:p>
        </w:tc>
      </w:tr>
      <w:tr w:rsidR="0038123E" w14:paraId="537708AC" w14:textId="77777777" w:rsidTr="0038123E">
        <w:trPr>
          <w:trHeight w:val="155"/>
        </w:trPr>
        <w:tc>
          <w:tcPr>
            <w:tcW w:w="1702" w:type="dxa"/>
            <w:hideMark/>
          </w:tcPr>
          <w:p w14:paraId="720F91E4"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lastRenderedPageBreak/>
              <w:t>Míra zaměstnanosti letos mírně rostla, výhradně díky ženám.</w:t>
            </w:r>
          </w:p>
        </w:tc>
        <w:tc>
          <w:tcPr>
            <w:tcW w:w="202" w:type="dxa"/>
          </w:tcPr>
          <w:p w14:paraId="5A5CDB1A"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374E5747" w14:textId="77777777" w:rsidR="0038123E" w:rsidRDefault="0038123E">
            <w:pPr>
              <w:rPr>
                <w:color w:val="0D0D0D" w:themeColor="text1" w:themeTint="F2"/>
                <w:spacing w:val="-4"/>
                <w:lang w:eastAsia="en-US"/>
              </w:rPr>
            </w:pPr>
            <w:r>
              <w:rPr>
                <w:color w:val="0D0D0D" w:themeColor="text1" w:themeTint="F2"/>
                <w:spacing w:val="-4"/>
                <w:lang w:eastAsia="en-US"/>
              </w:rPr>
              <w:t>Míra zaměstnanosti (15 až 64letých) se na rozdíl od loňska letos v Česku meziročně mírně zvyšovala. Ve 3. čtvrtletí dosáhla 75,7 % (+0,4 p. b.). Za růstem stály pouze ženy, jejichž zaměstnanost posílila o 1,4 p. b. (na 69,8 %). U mužů kvůli složité situaci v tradičních výrobních odvětvích klesla i o 0,4 p. b. (81,4 %). Dle aktuálních dat za 2. čtvrtletí 2024 byla celková míra zaměstnanosti v Česku mezi státy EU osmá nejvyšší, když unijní průměr převyšovala o 4,4 p. b. Mezi středoevropskými státy mělo vyšší zaměstnanost než v tuzemsku pouze Německo (o 2 p. b.). Relativně vysoké zaměstnanosti v Česku pomáhá silná míra participace mužů (v rámci EU třetí nejvyšší po Nizozemsku a Maltě) a z pohledu věku skupina 40 až 59 let. Naopak zaměstnanost žen řadí Česko spíše do unijního průměru a pod ním dlouhodobě a znatelně setrvává participace pracovníků do 25 let (obou pohlaví).</w:t>
            </w:r>
          </w:p>
        </w:tc>
      </w:tr>
      <w:tr w:rsidR="0038123E" w14:paraId="40E5675C" w14:textId="77777777" w:rsidTr="0038123E">
        <w:trPr>
          <w:trHeight w:val="155"/>
        </w:trPr>
        <w:tc>
          <w:tcPr>
            <w:tcW w:w="1702" w:type="dxa"/>
            <w:vMerge w:val="restart"/>
          </w:tcPr>
          <w:p w14:paraId="18948C13" w14:textId="77777777" w:rsidR="0038123E" w:rsidRDefault="0038123E">
            <w:pPr>
              <w:pStyle w:val="Marginlie"/>
              <w:spacing w:after="120"/>
              <w:rPr>
                <w:spacing w:val="-4"/>
                <w:lang w:eastAsia="en-US"/>
              </w:rPr>
            </w:pPr>
          </w:p>
        </w:tc>
        <w:tc>
          <w:tcPr>
            <w:tcW w:w="202" w:type="dxa"/>
            <w:vMerge w:val="restart"/>
          </w:tcPr>
          <w:p w14:paraId="15CE635C" w14:textId="77777777" w:rsidR="0038123E" w:rsidRDefault="0038123E">
            <w:pPr>
              <w:pStyle w:val="Textpoznpodarou"/>
              <w:spacing w:after="120"/>
              <w:jc w:val="both"/>
              <w:rPr>
                <w:spacing w:val="-4"/>
                <w:lang w:eastAsia="en-US"/>
              </w:rPr>
            </w:pPr>
          </w:p>
        </w:tc>
        <w:tc>
          <w:tcPr>
            <w:tcW w:w="7770" w:type="dxa"/>
            <w:hideMark/>
          </w:tcPr>
          <w:p w14:paraId="29C68B94" w14:textId="77777777" w:rsidR="0038123E" w:rsidRDefault="0038123E">
            <w:pPr>
              <w:spacing w:after="0"/>
              <w:rPr>
                <w:spacing w:val="-2"/>
                <w:lang w:eastAsia="en-US"/>
              </w:rPr>
            </w:pPr>
            <w:r>
              <w:rPr>
                <w:rFonts w:cs="Arial"/>
                <w:b/>
                <w:bCs/>
                <w:color w:val="000000"/>
                <w:szCs w:val="20"/>
                <w:lang w:eastAsia="en-US"/>
              </w:rPr>
              <w:t>Graf č. 13</w:t>
            </w:r>
            <w:r>
              <w:rPr>
                <w:rFonts w:cs="Arial"/>
                <w:b/>
                <w:bCs/>
                <w:color w:val="000000"/>
                <w:sz w:val="18"/>
                <w:szCs w:val="18"/>
                <w:lang w:eastAsia="en-US"/>
              </w:rPr>
              <w:t xml:space="preserve"> </w:t>
            </w:r>
            <w:r>
              <w:rPr>
                <w:b/>
                <w:bCs/>
                <w:lang w:eastAsia="en-US"/>
              </w:rPr>
              <w:t xml:space="preserve">Celková zaměstnanost </w:t>
            </w:r>
            <w:r>
              <w:rPr>
                <w:lang w:eastAsia="en-US"/>
              </w:rPr>
              <w:t>(</w:t>
            </w:r>
            <w:r>
              <w:rPr>
                <w:spacing w:val="-2"/>
                <w:lang w:eastAsia="en-US"/>
              </w:rPr>
              <w:t>meziročně v %)</w:t>
            </w:r>
            <w:r>
              <w:rPr>
                <w:b/>
                <w:bCs/>
                <w:spacing w:val="-2"/>
                <w:lang w:eastAsia="en-US"/>
              </w:rPr>
              <w:t xml:space="preserve">, příspěvky odvětví k meziroční změně zaměstnanosti </w:t>
            </w:r>
            <w:r>
              <w:rPr>
                <w:spacing w:val="-2"/>
                <w:lang w:eastAsia="en-US"/>
              </w:rPr>
              <w:t>(v p. b.)</w:t>
            </w:r>
            <w:r>
              <w:rPr>
                <w:b/>
                <w:bCs/>
                <w:spacing w:val="-2"/>
                <w:lang w:eastAsia="en-US"/>
              </w:rPr>
              <w:t xml:space="preserve"> a očekávání vývoje zaměstnanosti </w:t>
            </w:r>
            <w:r>
              <w:rPr>
                <w:spacing w:val="-2"/>
                <w:lang w:eastAsia="en-US"/>
              </w:rPr>
              <w:t>(saldo v p. b.)</w:t>
            </w:r>
          </w:p>
        </w:tc>
      </w:tr>
      <w:tr w:rsidR="0038123E" w14:paraId="51C0BF5E" w14:textId="77777777" w:rsidTr="0038123E">
        <w:trPr>
          <w:trHeight w:val="155"/>
        </w:trPr>
        <w:tc>
          <w:tcPr>
            <w:tcW w:w="0" w:type="auto"/>
            <w:vMerge/>
            <w:vAlign w:val="center"/>
            <w:hideMark/>
          </w:tcPr>
          <w:p w14:paraId="3BBB0FE9" w14:textId="77777777" w:rsidR="0038123E" w:rsidRDefault="0038123E">
            <w:pPr>
              <w:spacing w:after="0" w:line="240" w:lineRule="auto"/>
              <w:jc w:val="left"/>
              <w:rPr>
                <w:spacing w:val="-4"/>
                <w:sz w:val="16"/>
                <w:szCs w:val="16"/>
                <w:lang w:eastAsia="en-US"/>
              </w:rPr>
            </w:pPr>
          </w:p>
        </w:tc>
        <w:tc>
          <w:tcPr>
            <w:tcW w:w="0" w:type="auto"/>
            <w:vMerge/>
            <w:vAlign w:val="center"/>
            <w:hideMark/>
          </w:tcPr>
          <w:p w14:paraId="125E2F2B" w14:textId="77777777" w:rsidR="0038123E" w:rsidRDefault="0038123E">
            <w:pPr>
              <w:spacing w:after="0" w:line="240" w:lineRule="auto"/>
              <w:jc w:val="left"/>
              <w:rPr>
                <w:rFonts w:eastAsia="Calibri"/>
                <w:spacing w:val="-4"/>
                <w:szCs w:val="20"/>
                <w:lang w:eastAsia="en-US"/>
              </w:rPr>
            </w:pPr>
          </w:p>
        </w:tc>
        <w:tc>
          <w:tcPr>
            <w:tcW w:w="7770" w:type="dxa"/>
            <w:tcMar>
              <w:top w:w="0" w:type="dxa"/>
              <w:left w:w="70" w:type="dxa"/>
              <w:bottom w:w="0" w:type="dxa"/>
              <w:right w:w="70" w:type="dxa"/>
            </w:tcMar>
            <w:hideMark/>
          </w:tcPr>
          <w:p w14:paraId="42445013" w14:textId="7F3044E4" w:rsidR="0038123E" w:rsidRDefault="0038123E">
            <w:pPr>
              <w:spacing w:after="0"/>
              <w:rPr>
                <w:spacing w:val="-4"/>
                <w:lang w:eastAsia="en-US"/>
              </w:rPr>
            </w:pPr>
            <w:r>
              <w:rPr>
                <w:noProof/>
              </w:rPr>
              <w:drawing>
                <wp:inline distT="0" distB="0" distL="0" distR="0" wp14:anchorId="4B411436" wp14:editId="3D3D9956">
                  <wp:extent cx="4838700" cy="3810000"/>
                  <wp:effectExtent l="0" t="0" r="0" b="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38123E" w14:paraId="26370FBE" w14:textId="77777777" w:rsidTr="0038123E">
        <w:trPr>
          <w:trHeight w:val="671"/>
        </w:trPr>
        <w:tc>
          <w:tcPr>
            <w:tcW w:w="0" w:type="auto"/>
            <w:vMerge/>
            <w:vAlign w:val="center"/>
            <w:hideMark/>
          </w:tcPr>
          <w:p w14:paraId="6A7A6A83" w14:textId="77777777" w:rsidR="0038123E" w:rsidRDefault="0038123E">
            <w:pPr>
              <w:spacing w:after="0" w:line="240" w:lineRule="auto"/>
              <w:jc w:val="left"/>
              <w:rPr>
                <w:spacing w:val="-4"/>
                <w:sz w:val="16"/>
                <w:szCs w:val="16"/>
                <w:lang w:eastAsia="en-US"/>
              </w:rPr>
            </w:pPr>
          </w:p>
        </w:tc>
        <w:tc>
          <w:tcPr>
            <w:tcW w:w="0" w:type="auto"/>
            <w:vMerge/>
            <w:vAlign w:val="center"/>
            <w:hideMark/>
          </w:tcPr>
          <w:p w14:paraId="75551CF9" w14:textId="77777777" w:rsidR="0038123E" w:rsidRDefault="0038123E">
            <w:pPr>
              <w:spacing w:after="0" w:line="240" w:lineRule="auto"/>
              <w:jc w:val="left"/>
              <w:rPr>
                <w:rFonts w:eastAsia="Calibri"/>
                <w:spacing w:val="-4"/>
                <w:szCs w:val="20"/>
                <w:lang w:eastAsia="en-US"/>
              </w:rPr>
            </w:pPr>
          </w:p>
        </w:tc>
        <w:tc>
          <w:tcPr>
            <w:tcW w:w="7770" w:type="dxa"/>
            <w:hideMark/>
          </w:tcPr>
          <w:p w14:paraId="5D45602F" w14:textId="77777777" w:rsidR="0038123E" w:rsidRDefault="0038123E">
            <w:pPr>
              <w:spacing w:after="0" w:line="240" w:lineRule="auto"/>
              <w:rPr>
                <w:rFonts w:cs="Arial"/>
                <w:sz w:val="14"/>
                <w:szCs w:val="14"/>
                <w:lang w:eastAsia="en-US"/>
              </w:rPr>
            </w:pPr>
            <w:r>
              <w:rPr>
                <w:rFonts w:cs="Arial"/>
                <w:color w:val="0D0D0D" w:themeColor="text1" w:themeTint="F2"/>
                <w:spacing w:val="-2"/>
                <w:sz w:val="14"/>
                <w:szCs w:val="14"/>
                <w:lang w:eastAsia="en-US"/>
              </w:rPr>
              <w:t>*</w:t>
            </w:r>
            <w:r>
              <w:rPr>
                <w:rFonts w:cs="Arial"/>
                <w:sz w:val="14"/>
                <w:szCs w:val="14"/>
                <w:lang w:eastAsia="en-US"/>
              </w:rPr>
              <w:t xml:space="preserve"> Těžba a energetika; Peněžnictví a pojišťovnictví; Činnosti v oblasti nemovitostí; Kulturní, zábavní a</w:t>
            </w:r>
            <w:r>
              <w:rPr>
                <w:sz w:val="14"/>
                <w:szCs w:val="14"/>
                <w:lang w:eastAsia="en-US"/>
              </w:rPr>
              <w:t> </w:t>
            </w:r>
            <w:r>
              <w:rPr>
                <w:rFonts w:cs="Arial"/>
                <w:sz w:val="14"/>
                <w:szCs w:val="14"/>
                <w:lang w:eastAsia="en-US"/>
              </w:rPr>
              <w:t>rekreační činnosti.</w:t>
            </w:r>
          </w:p>
          <w:p w14:paraId="4987E249" w14:textId="77777777" w:rsidR="0038123E" w:rsidRDefault="0038123E">
            <w:pPr>
              <w:spacing w:after="0" w:line="240" w:lineRule="auto"/>
              <w:rPr>
                <w:rFonts w:cs="Arial"/>
                <w:sz w:val="14"/>
                <w:szCs w:val="14"/>
                <w:lang w:eastAsia="en-US"/>
              </w:rPr>
            </w:pPr>
            <w:r>
              <w:rPr>
                <w:rFonts w:cs="Arial"/>
                <w:sz w:val="14"/>
                <w:szCs w:val="14"/>
                <w:lang w:eastAsia="en-US"/>
              </w:rPr>
              <w:t xml:space="preserve">Poznámka: Saldo </w:t>
            </w:r>
            <w:r>
              <w:rPr>
                <w:rFonts w:cs="Arial"/>
                <w:color w:val="0D0D0D" w:themeColor="text1" w:themeTint="F2"/>
                <w:sz w:val="14"/>
                <w:szCs w:val="14"/>
                <w:lang w:eastAsia="en-US"/>
              </w:rPr>
              <w:t>očekávání vyjadřuje rozdíl v p. b. mezi kategoriemi růst versus pokles zaměstnanosti v nejbližších třech měsících. Údaje jsou sezónně očištěny a vztahují se k druhému měsíci daného čtvrtletí.</w:t>
            </w:r>
          </w:p>
          <w:p w14:paraId="7D00E3FB" w14:textId="77777777" w:rsidR="0038123E" w:rsidRDefault="0038123E">
            <w:pPr>
              <w:spacing w:after="200" w:line="240" w:lineRule="auto"/>
              <w:rPr>
                <w:rFonts w:cs="Arial"/>
                <w:color w:val="0D0D0D" w:themeColor="text1" w:themeTint="F2"/>
                <w:spacing w:val="-2"/>
                <w:sz w:val="14"/>
                <w:szCs w:val="14"/>
                <w:lang w:eastAsia="en-US"/>
              </w:rPr>
            </w:pPr>
            <w:r>
              <w:rPr>
                <w:rFonts w:cs="Arial"/>
                <w:sz w:val="14"/>
                <w:szCs w:val="14"/>
                <w:lang w:eastAsia="en-US"/>
              </w:rPr>
              <w:t>Zdroj: ČSÚ (národní účty), Eurostat (konjunkturální průzkumy).</w:t>
            </w:r>
          </w:p>
        </w:tc>
      </w:tr>
      <w:tr w:rsidR="0038123E" w14:paraId="58D495A7" w14:textId="77777777" w:rsidTr="0038123E">
        <w:trPr>
          <w:trHeight w:val="145"/>
        </w:trPr>
        <w:tc>
          <w:tcPr>
            <w:tcW w:w="1702" w:type="dxa"/>
          </w:tcPr>
          <w:p w14:paraId="2963B3BB" w14:textId="77777777" w:rsidR="0038123E" w:rsidRDefault="0038123E">
            <w:pPr>
              <w:pStyle w:val="Marginlie"/>
              <w:spacing w:after="120"/>
              <w:rPr>
                <w:color w:val="0D0D0D" w:themeColor="text1" w:themeTint="F2"/>
                <w:spacing w:val="-4"/>
                <w:lang w:eastAsia="en-US"/>
              </w:rPr>
            </w:pPr>
            <w:r>
              <w:rPr>
                <w:color w:val="0D0D0D" w:themeColor="text1" w:themeTint="F2"/>
                <w:spacing w:val="-4"/>
                <w:lang w:eastAsia="en-US"/>
              </w:rPr>
              <w:t>Krátkodobá očekávání podniků v oblasti zaměstnanosti se na konci roku mírně zlepšila. Lehký optimismus zavládl v obchodu i stavebnictví.</w:t>
            </w:r>
          </w:p>
          <w:p w14:paraId="70F2E040" w14:textId="77777777" w:rsidR="0038123E" w:rsidRDefault="0038123E">
            <w:pPr>
              <w:pStyle w:val="Marginlie"/>
              <w:spacing w:after="120"/>
              <w:rPr>
                <w:color w:val="0D0D0D" w:themeColor="text1" w:themeTint="F2"/>
                <w:spacing w:val="-4"/>
                <w:lang w:eastAsia="en-US"/>
              </w:rPr>
            </w:pPr>
          </w:p>
          <w:p w14:paraId="3091F6DB" w14:textId="77777777" w:rsidR="0038123E" w:rsidRDefault="0038123E">
            <w:pPr>
              <w:pStyle w:val="Marginlie"/>
              <w:spacing w:after="120"/>
              <w:rPr>
                <w:color w:val="0D0D0D" w:themeColor="text1" w:themeTint="F2"/>
                <w:spacing w:val="-4"/>
                <w:lang w:eastAsia="en-US"/>
              </w:rPr>
            </w:pPr>
          </w:p>
          <w:p w14:paraId="6AB7EFEB" w14:textId="77777777" w:rsidR="0038123E" w:rsidRDefault="0038123E">
            <w:pPr>
              <w:pStyle w:val="Marginlie"/>
              <w:rPr>
                <w:color w:val="0D0D0D" w:themeColor="text1" w:themeTint="F2"/>
                <w:spacing w:val="-5"/>
                <w:lang w:eastAsia="en-US"/>
              </w:rPr>
            </w:pPr>
            <w:r>
              <w:rPr>
                <w:color w:val="0D0D0D" w:themeColor="text1" w:themeTint="F2"/>
                <w:spacing w:val="-4"/>
                <w:lang w:eastAsia="en-US"/>
              </w:rPr>
              <w:lastRenderedPageBreak/>
              <w:t>Nedostatek pracovníků dále sužuje hlavně stavební podniky.</w:t>
            </w:r>
          </w:p>
        </w:tc>
        <w:tc>
          <w:tcPr>
            <w:tcW w:w="202" w:type="dxa"/>
          </w:tcPr>
          <w:p w14:paraId="2D7C0BB3"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0AD99923" w14:textId="77777777" w:rsidR="0038123E" w:rsidRDefault="0038123E">
            <w:pPr>
              <w:spacing w:after="200"/>
              <w:rPr>
                <w:rStyle w:val="normaltextrun"/>
                <w:rFonts w:eastAsia="MS Gothic" w:cs="Arial"/>
                <w:szCs w:val="20"/>
              </w:rPr>
            </w:pPr>
            <w:r>
              <w:rPr>
                <w:color w:val="0D0D0D" w:themeColor="text1" w:themeTint="F2"/>
                <w:spacing w:val="-4"/>
                <w:lang w:eastAsia="en-US"/>
              </w:rPr>
              <w:t>Krátkodobá očekávání podniků v oblasti vlastní zaměstnanosti</w:t>
            </w:r>
            <w:r>
              <w:rPr>
                <w:rStyle w:val="Znakapoznpodarou"/>
                <w:color w:val="0D0D0D" w:themeColor="text1" w:themeTint="F2"/>
                <w:spacing w:val="-4"/>
                <w:lang w:eastAsia="en-US"/>
              </w:rPr>
              <w:footnoteReference w:id="12"/>
            </w:r>
            <w:r>
              <w:rPr>
                <w:color w:val="0D0D0D" w:themeColor="text1" w:themeTint="F2"/>
                <w:spacing w:val="-4"/>
                <w:lang w:eastAsia="en-US"/>
              </w:rPr>
              <w:t xml:space="preserve"> zůstávají v tuzemsku (stejně jako po celý loňský rok) lehce negativní. Ta se i přes mírný růst výkonu ekonomiky letos v létě nacházela blízko tříletému minimu. Na konci roku nicméně došlo ke zlepšení (ve všech hlavních odvětvích vyjma průmyslu). Mírný optimismus tak zavládl v obchodu i stavebnictví, kde v tříměsíčním horizontu </w:t>
            </w:r>
            <w:r>
              <w:rPr>
                <w:rStyle w:val="eop"/>
                <w:rFonts w:eastAsia="MS Gothic" w:cs="Arial"/>
                <w:color w:val="0D0D0D" w:themeColor="text1" w:themeTint="F2"/>
                <w:spacing w:val="-4"/>
                <w:szCs w:val="20"/>
                <w:lang w:eastAsia="en-US"/>
              </w:rPr>
              <w:t xml:space="preserve">plánovalo nabírat zaměstnance 18 %, resp. 10 % podniků. Oproti tomu ve službách, i přes citelné meziroční zlepšení, </w:t>
            </w:r>
            <w:r>
              <w:rPr>
                <w:color w:val="0D0D0D" w:themeColor="text1" w:themeTint="F2"/>
                <w:spacing w:val="-4"/>
                <w:lang w:eastAsia="en-US"/>
              </w:rPr>
              <w:t>převažoval podíl firem, které chtějí pracovníky propouštět (21 %) nad těmi, co očekávají jejich nabírání (14 %). Ještě složitější situace panovala v průmyslu, kde předpokládalo růst zaměstnanosti jen 6 % podniků.</w:t>
            </w:r>
            <w:r>
              <w:rPr>
                <w:rStyle w:val="eop"/>
                <w:color w:val="0D0D0D" w:themeColor="text1" w:themeTint="F2"/>
                <w:spacing w:val="-4"/>
                <w:lang w:eastAsia="en-US"/>
              </w:rPr>
              <w:t xml:space="preserve"> </w:t>
            </w:r>
            <w:r>
              <w:rPr>
                <w:color w:val="0D0D0D" w:themeColor="text1" w:themeTint="F2"/>
                <w:spacing w:val="-4"/>
                <w:lang w:eastAsia="en-US"/>
              </w:rPr>
              <w:t xml:space="preserve">Stav </w:t>
            </w:r>
            <w:r>
              <w:rPr>
                <w:color w:val="0D0D0D" w:themeColor="text1" w:themeTint="F2"/>
                <w:spacing w:val="-4"/>
                <w:lang w:eastAsia="en-US"/>
              </w:rPr>
              <w:lastRenderedPageBreak/>
              <w:t>na úrovni dílčích odvětví v rámci průmyslu i služeb se přirozeně odlišoval</w:t>
            </w:r>
            <w:r>
              <w:rPr>
                <w:rStyle w:val="Znakapoznpodarou"/>
                <w:color w:val="0D0D0D" w:themeColor="text1" w:themeTint="F2"/>
                <w:spacing w:val="-4"/>
                <w:lang w:eastAsia="en-US"/>
              </w:rPr>
              <w:footnoteReference w:id="13"/>
            </w:r>
            <w:r>
              <w:rPr>
                <w:color w:val="0D0D0D" w:themeColor="text1" w:themeTint="F2"/>
                <w:spacing w:val="-4"/>
                <w:lang w:eastAsia="en-US"/>
              </w:rPr>
              <w:t xml:space="preserve">. </w:t>
            </w:r>
            <w:r>
              <w:rPr>
                <w:rStyle w:val="eop"/>
                <w:rFonts w:eastAsia="MS Gothic" w:cs="Arial"/>
                <w:color w:val="0D0D0D" w:themeColor="text1" w:themeTint="F2"/>
                <w:spacing w:val="-4"/>
                <w:szCs w:val="20"/>
                <w:lang w:eastAsia="en-US"/>
              </w:rPr>
              <w:t xml:space="preserve">Podíl podniků, pro něž </w:t>
            </w:r>
            <w:r>
              <w:rPr>
                <w:color w:val="0D0D0D" w:themeColor="text1" w:themeTint="F2"/>
                <w:spacing w:val="-4"/>
                <w:lang w:eastAsia="en-US"/>
              </w:rPr>
              <w:t>představuje nedostatek pracovní síly jednu z významných růstových bariér</w:t>
            </w:r>
            <w:r>
              <w:rPr>
                <w:rStyle w:val="Znakapoznpodarou"/>
                <w:color w:val="0D0D0D" w:themeColor="text1" w:themeTint="F2"/>
                <w:spacing w:val="-4"/>
                <w:lang w:eastAsia="en-US"/>
              </w:rPr>
              <w:footnoteReference w:id="14"/>
            </w:r>
            <w:r>
              <w:rPr>
                <w:color w:val="0D0D0D" w:themeColor="text1" w:themeTint="F2"/>
                <w:spacing w:val="-4"/>
                <w:lang w:eastAsia="en-US"/>
              </w:rPr>
              <w:t xml:space="preserve">, byl letos v listopadu v řadě odvětví (stavebnictví, služby) meziročně vyšší. Nejvýrazněji pociťují tento problém aktuálně firmy ve stavebnictví (40 %), kde jde s drobnými přerušeními </w:t>
            </w:r>
            <w:r>
              <w:rPr>
                <w:color w:val="0D0D0D" w:themeColor="text1" w:themeTint="F2"/>
                <w:spacing w:val="-4"/>
                <w:lang w:eastAsia="en-US"/>
              </w:rPr>
              <w:br/>
              <w:t>o klíčovou bariéru již více než pět let. Méně napjatá situace byla v průmyslu (18 %) a ve službách (15 %).</w:t>
            </w:r>
          </w:p>
        </w:tc>
      </w:tr>
      <w:tr w:rsidR="0038123E" w14:paraId="3E2382BC" w14:textId="77777777" w:rsidTr="0038123E">
        <w:trPr>
          <w:trHeight w:val="145"/>
        </w:trPr>
        <w:tc>
          <w:tcPr>
            <w:tcW w:w="1702" w:type="dxa"/>
            <w:hideMark/>
          </w:tcPr>
          <w:p w14:paraId="6E7DFB83" w14:textId="77777777" w:rsidR="0038123E" w:rsidRDefault="0038123E">
            <w:pPr>
              <w:pStyle w:val="Marginlie"/>
              <w:rPr>
                <w:spacing w:val="-5"/>
              </w:rPr>
            </w:pPr>
            <w:r>
              <w:rPr>
                <w:color w:val="0D0D0D" w:themeColor="text1" w:themeTint="F2"/>
                <w:spacing w:val="-5"/>
                <w:lang w:eastAsia="en-US"/>
              </w:rPr>
              <w:lastRenderedPageBreak/>
              <w:t>Obecná míra nezaměstnanosti letos mírně kolísala na nízké úrovni. Příznivý byl i vývoj dlouhodobé nezaměstnanosti.</w:t>
            </w:r>
          </w:p>
        </w:tc>
        <w:tc>
          <w:tcPr>
            <w:tcW w:w="202" w:type="dxa"/>
          </w:tcPr>
          <w:p w14:paraId="7226B43E"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51DD9ED7" w14:textId="77777777" w:rsidR="0038123E" w:rsidRDefault="0038123E">
            <w:pPr>
              <w:spacing w:after="200"/>
              <w:rPr>
                <w:rFonts w:eastAsia="MS Gothic" w:cs="Arial"/>
                <w:color w:val="0D0D0D" w:themeColor="text1" w:themeTint="F2"/>
                <w:szCs w:val="20"/>
                <w:lang w:eastAsia="en-US"/>
              </w:rPr>
            </w:pPr>
            <w:r>
              <w:rPr>
                <w:rStyle w:val="normaltextrun"/>
                <w:rFonts w:eastAsia="MS Gothic" w:cs="Arial"/>
                <w:color w:val="0D0D0D" w:themeColor="text1" w:themeTint="F2"/>
                <w:szCs w:val="20"/>
                <w:lang w:eastAsia="en-US"/>
              </w:rPr>
              <w:t>Navzdory problémům některých zejména průmyslových podniků se obecná míra nezaměstnanosti</w:t>
            </w:r>
            <w:r>
              <w:rPr>
                <w:vertAlign w:val="superscript"/>
                <w:lang w:eastAsia="en-US"/>
              </w:rPr>
              <w:footnoteReference w:id="15"/>
            </w:r>
            <w:r>
              <w:rPr>
                <w:rStyle w:val="normaltextrun"/>
                <w:rFonts w:eastAsia="MS Gothic" w:cs="Arial"/>
                <w:color w:val="0D0D0D" w:themeColor="text1" w:themeTint="F2"/>
                <w:szCs w:val="20"/>
                <w:lang w:eastAsia="en-US"/>
              </w:rPr>
              <w:t xml:space="preserve"> za poslední rok významně nezvýšila, spíše lze hovořit o jejím kolísání, zejména u žen. Propuštěné pracovníky z některých útlumových oborů totiž dokázaly z velké míry vstřebat rozvíjející se služby.</w:t>
            </w:r>
            <w:r>
              <w:rPr>
                <w:color w:val="0D0D0D" w:themeColor="text1" w:themeTint="F2"/>
                <w:spacing w:val="-6"/>
                <w:lang w:eastAsia="en-US"/>
              </w:rPr>
              <w:t xml:space="preserve"> </w:t>
            </w:r>
            <w:r>
              <w:rPr>
                <w:rStyle w:val="normaltextrun"/>
                <w:rFonts w:eastAsia="MS Gothic" w:cs="Arial"/>
                <w:color w:val="0D0D0D" w:themeColor="text1" w:themeTint="F2"/>
                <w:szCs w:val="20"/>
                <w:lang w:eastAsia="en-US"/>
              </w:rPr>
              <w:t>Sezónně očištěná míra nezaměstnanosti (15–64letých) dosáhla letos v říjnu 2,7 % (muži 2,5 %, ženy 3,0 %)</w:t>
            </w:r>
            <w:r>
              <w:rPr>
                <w:rStyle w:val="Znakapoznpodarou"/>
                <w:color w:val="0D0D0D" w:themeColor="text1" w:themeTint="F2"/>
                <w:lang w:eastAsia="en-US"/>
              </w:rPr>
              <w:footnoteReference w:id="16"/>
            </w:r>
            <w:r>
              <w:rPr>
                <w:rStyle w:val="normaltextrun"/>
                <w:rFonts w:eastAsia="MS Gothic" w:cs="Arial"/>
                <w:color w:val="0D0D0D" w:themeColor="text1" w:themeTint="F2"/>
                <w:szCs w:val="20"/>
                <w:lang w:eastAsia="en-US"/>
              </w:rPr>
              <w:t xml:space="preserve">. </w:t>
            </w:r>
            <w:r>
              <w:rPr>
                <w:color w:val="0D0D0D" w:themeColor="text1" w:themeTint="F2"/>
                <w:lang w:eastAsia="en-US"/>
              </w:rPr>
              <w:t>Nevzrostl ani počet dlouhodobě nezaměstnaných – ti se na celkovém počtu lidí bez práce ve 3. čtvrtletí podíleli jen 25 %, (to je z dlouhodobého i mezinárodního kontextu podprůměrná hodnota). V</w:t>
            </w:r>
            <w:r>
              <w:rPr>
                <w:color w:val="0D0D0D" w:themeColor="text1" w:themeTint="F2"/>
                <w:spacing w:val="-4"/>
                <w:lang w:eastAsia="en-US"/>
              </w:rPr>
              <w:t>elikost potenciální pracovní rezervy (tj. ekonomicky neaktivních osob práci nehledajících, ale uvádějících ochotu pracovat) se sice ve 3. čtvrtletí meziročně mírně zvýšila (na 92 tis. osob)</w:t>
            </w:r>
            <w:r>
              <w:rPr>
                <w:rStyle w:val="Znakapoznpodarou"/>
                <w:color w:val="0D0D0D" w:themeColor="text1" w:themeTint="F2"/>
                <w:spacing w:val="-4"/>
                <w:lang w:eastAsia="en-US"/>
              </w:rPr>
              <w:footnoteReference w:id="17"/>
            </w:r>
            <w:r>
              <w:rPr>
                <w:color w:val="0D0D0D" w:themeColor="text1" w:themeTint="F2"/>
                <w:spacing w:val="-4"/>
                <w:lang w:eastAsia="en-US"/>
              </w:rPr>
              <w:t>, z dlouhodobé perspektivy však zůstává nízká. To sice představuje nezanedbatelný problém pro řadu zaměstnavatelů, na druhou stranu jde ovšem také o pozitivní signál naznačující, že rozsah skryté nezaměstnanosti (ve formě „úniku“ do ekonomické neaktivity) není na tuzemském pracovním trhu aktuálně významný.</w:t>
            </w:r>
          </w:p>
        </w:tc>
      </w:tr>
      <w:tr w:rsidR="0038123E" w14:paraId="70C961B5" w14:textId="77777777" w:rsidTr="0038123E">
        <w:trPr>
          <w:trHeight w:val="145"/>
        </w:trPr>
        <w:tc>
          <w:tcPr>
            <w:tcW w:w="1702" w:type="dxa"/>
          </w:tcPr>
          <w:p w14:paraId="735B3DF6" w14:textId="77777777" w:rsidR="0038123E" w:rsidRDefault="0038123E">
            <w:pPr>
              <w:pStyle w:val="Marginlie"/>
              <w:rPr>
                <w:color w:val="0D0D0D" w:themeColor="text1" w:themeTint="F2"/>
                <w:lang w:eastAsia="en-US"/>
              </w:rPr>
            </w:pPr>
            <w:r>
              <w:rPr>
                <w:color w:val="0D0D0D" w:themeColor="text1" w:themeTint="F2"/>
                <w:lang w:eastAsia="en-US"/>
              </w:rPr>
              <w:t xml:space="preserve">Registrovaných volných pracovních míst na ÚP meziročně mírně ubylo, a to vesměs napříč kvalifikačními třídami. </w:t>
            </w:r>
          </w:p>
          <w:p w14:paraId="0E64F424" w14:textId="77777777" w:rsidR="0038123E" w:rsidRDefault="0038123E">
            <w:pPr>
              <w:pStyle w:val="Marginlie"/>
              <w:rPr>
                <w:color w:val="0D0D0D" w:themeColor="text1" w:themeTint="F2"/>
                <w:lang w:eastAsia="en-US"/>
              </w:rPr>
            </w:pPr>
          </w:p>
          <w:p w14:paraId="51F6C099" w14:textId="77777777" w:rsidR="0038123E" w:rsidRDefault="0038123E">
            <w:pPr>
              <w:pStyle w:val="Marginlie"/>
              <w:rPr>
                <w:color w:val="0D0D0D" w:themeColor="text1" w:themeTint="F2"/>
                <w:lang w:eastAsia="en-US"/>
              </w:rPr>
            </w:pPr>
          </w:p>
          <w:p w14:paraId="02479E47" w14:textId="77777777" w:rsidR="0038123E" w:rsidRDefault="0038123E">
            <w:pPr>
              <w:pStyle w:val="Marginlie"/>
              <w:rPr>
                <w:color w:val="0D0D0D" w:themeColor="text1" w:themeTint="F2"/>
                <w:lang w:eastAsia="en-US"/>
              </w:rPr>
            </w:pPr>
            <w:r>
              <w:rPr>
                <w:color w:val="0D0D0D" w:themeColor="text1" w:themeTint="F2"/>
                <w:lang w:eastAsia="en-US"/>
              </w:rPr>
              <w:t>Počet osob umístěných na trh práce prostřednictvím ÚP se zvyšoval.</w:t>
            </w:r>
          </w:p>
          <w:p w14:paraId="108FC477" w14:textId="77777777" w:rsidR="0038123E" w:rsidRDefault="0038123E">
            <w:pPr>
              <w:pStyle w:val="Marginlie"/>
              <w:rPr>
                <w:color w:val="0D0D0D" w:themeColor="text1" w:themeTint="F2"/>
                <w:spacing w:val="-5"/>
                <w:lang w:eastAsia="en-US"/>
              </w:rPr>
            </w:pPr>
          </w:p>
        </w:tc>
        <w:tc>
          <w:tcPr>
            <w:tcW w:w="202" w:type="dxa"/>
          </w:tcPr>
          <w:p w14:paraId="7670C553" w14:textId="77777777" w:rsidR="0038123E" w:rsidRDefault="0038123E">
            <w:pPr>
              <w:pStyle w:val="Textpoznpodarou"/>
              <w:spacing w:after="120"/>
              <w:jc w:val="both"/>
              <w:rPr>
                <w:color w:val="0D0D0D" w:themeColor="text1" w:themeTint="F2"/>
                <w:spacing w:val="-4"/>
                <w:lang w:eastAsia="en-US"/>
              </w:rPr>
            </w:pPr>
          </w:p>
        </w:tc>
        <w:tc>
          <w:tcPr>
            <w:tcW w:w="7770" w:type="dxa"/>
            <w:hideMark/>
          </w:tcPr>
          <w:p w14:paraId="5F4EE58E" w14:textId="77777777" w:rsidR="0038123E" w:rsidRDefault="0038123E">
            <w:pPr>
              <w:spacing w:after="200"/>
              <w:rPr>
                <w:rFonts w:eastAsia="MS Gothic" w:cs="Arial"/>
                <w:color w:val="0D0D0D" w:themeColor="text1" w:themeTint="F2"/>
                <w:szCs w:val="20"/>
                <w:lang w:eastAsia="en-US"/>
              </w:rPr>
            </w:pPr>
            <w:r>
              <w:rPr>
                <w:rStyle w:val="normaltextrun"/>
                <w:rFonts w:eastAsia="MS Gothic" w:cs="Arial"/>
                <w:color w:val="0D0D0D" w:themeColor="text1" w:themeTint="F2"/>
                <w:szCs w:val="20"/>
                <w:lang w:eastAsia="en-US"/>
              </w:rPr>
              <w:t>Setrvalý stav tuzemského trhu práce potvrzují i údaje MPSV. Počet uchazečů o práci odpovídá letos běžnému sezónnímu průběhu, meziročně je ale mírně vyšší. Na konci října činil sezonně neočištěný podíl nezaměstnaných (dosažitelní uchazeči o práci k</w:t>
            </w:r>
            <w:r>
              <w:rPr>
                <w:color w:val="0D0D0D" w:themeColor="text1" w:themeTint="F2"/>
                <w:spacing w:val="-4"/>
                <w:lang w:eastAsia="en-US"/>
              </w:rPr>
              <w:t> </w:t>
            </w:r>
            <w:r>
              <w:rPr>
                <w:rStyle w:val="normaltextrun"/>
                <w:rFonts w:eastAsia="MS Gothic" w:cs="Arial"/>
                <w:color w:val="0D0D0D" w:themeColor="text1" w:themeTint="F2"/>
                <w:szCs w:val="20"/>
                <w:lang w:eastAsia="en-US"/>
              </w:rPr>
              <w:t>celkové populaci 15–64letých) 3,8 % (+0,3 p. b.), u mužů 3,4 %, u žen 4,3 %. Vyšší nezaměstnanost (nad 6 %) zaznamenalo jen sedm okresů (výhradně v Ústeckém a</w:t>
            </w:r>
            <w:r>
              <w:rPr>
                <w:color w:val="0D0D0D" w:themeColor="text1" w:themeTint="F2"/>
                <w:spacing w:val="-4"/>
                <w:lang w:eastAsia="en-US"/>
              </w:rPr>
              <w:t> </w:t>
            </w:r>
            <w:r>
              <w:rPr>
                <w:rStyle w:val="normaltextrun"/>
                <w:rFonts w:eastAsia="MS Gothic" w:cs="Arial"/>
                <w:color w:val="0D0D0D" w:themeColor="text1" w:themeTint="F2"/>
                <w:szCs w:val="20"/>
                <w:lang w:eastAsia="en-US"/>
              </w:rPr>
              <w:t xml:space="preserve">Moravskoslezském kraji). Roste aktivita Úřadu práce – během října bylo jeho prostřednictvím v Česku umístěno 27,4 tis. uchazečů o zaměstnání, meziročně </w:t>
            </w:r>
            <w:r>
              <w:rPr>
                <w:rStyle w:val="normaltextrun"/>
                <w:rFonts w:eastAsia="MS Gothic" w:cs="Arial"/>
                <w:color w:val="0D0D0D" w:themeColor="text1" w:themeTint="F2"/>
                <w:szCs w:val="20"/>
                <w:lang w:eastAsia="en-US"/>
              </w:rPr>
              <w:br/>
              <w:t>o 9,9 tis. více (letos v září: analogicky rekordních 31,8 tis. +14,2 tis.). Celkově našlo novou práci 31,4 tis. osob. Potvrdí-li se trend i dále, mohlo by to naznačovat, že pracovní fluktuace, jež je v Česku tradičně nízká, se může zvyšovat. Celkový počet registrovaných volných pracovních míst (skrze ÚP) letos meziročně mírně klesal (</w:t>
            </w:r>
            <w:r>
              <w:rPr>
                <w:rStyle w:val="normaltextrun"/>
                <w:rFonts w:eastAsia="MS Gothic" w:cs="Arial"/>
                <w:color w:val="0D0D0D" w:themeColor="text1" w:themeTint="F2"/>
                <w:spacing w:val="-4"/>
                <w:szCs w:val="20"/>
                <w:shd w:val="clear" w:color="auto" w:fill="FFFFFF"/>
                <w:lang w:eastAsia="en-US"/>
              </w:rPr>
              <w:t>napříč kvalifikačními třídami</w:t>
            </w:r>
            <w:r>
              <w:rPr>
                <w:rStyle w:val="Znakapoznpodarou"/>
                <w:rFonts w:eastAsia="MS Gothic"/>
                <w:color w:val="0D0D0D" w:themeColor="text1" w:themeTint="F2"/>
                <w:spacing w:val="-4"/>
                <w:szCs w:val="20"/>
                <w:shd w:val="clear" w:color="auto" w:fill="FFFFFF"/>
                <w:lang w:eastAsia="en-US"/>
              </w:rPr>
              <w:footnoteReference w:id="18"/>
            </w:r>
            <w:r>
              <w:rPr>
                <w:rStyle w:val="normaltextrun"/>
                <w:rFonts w:eastAsia="MS Gothic" w:cs="Arial"/>
                <w:color w:val="0D0D0D" w:themeColor="text1" w:themeTint="F2"/>
                <w:spacing w:val="-4"/>
                <w:szCs w:val="20"/>
                <w:shd w:val="clear" w:color="auto" w:fill="FFFFFF"/>
                <w:lang w:eastAsia="en-US"/>
              </w:rPr>
              <w:t>)</w:t>
            </w:r>
            <w:r>
              <w:rPr>
                <w:rStyle w:val="normaltextrun"/>
                <w:rFonts w:eastAsia="MS Gothic" w:cs="Arial"/>
                <w:color w:val="0D0D0D" w:themeColor="text1" w:themeTint="F2"/>
                <w:szCs w:val="20"/>
                <w:lang w:eastAsia="en-US"/>
              </w:rPr>
              <w:t>, v říjnu jich bylo nabízeno 266 tis</w:t>
            </w:r>
            <w:r>
              <w:rPr>
                <w:rStyle w:val="Znakapoznpodarou"/>
                <w:rFonts w:eastAsia="MS Gothic"/>
                <w:color w:val="0D0D0D" w:themeColor="text1" w:themeTint="F2"/>
                <w:szCs w:val="20"/>
                <w:lang w:eastAsia="en-US"/>
              </w:rPr>
              <w:footnoteReference w:id="19"/>
            </w:r>
            <w:r>
              <w:rPr>
                <w:rStyle w:val="normaltextrun"/>
                <w:rFonts w:eastAsia="MS Gothic" w:cs="Arial"/>
                <w:color w:val="0D0D0D" w:themeColor="text1" w:themeTint="F2"/>
                <w:szCs w:val="20"/>
                <w:lang w:eastAsia="en-US"/>
              </w:rPr>
              <w:t xml:space="preserve"> (−15 tis.) a již jedenáct měsíců v řadě jde </w:t>
            </w:r>
            <w:r>
              <w:rPr>
                <w:rStyle w:val="normaltextrun"/>
                <w:rFonts w:eastAsia="MS Gothic" w:cs="Arial"/>
                <w:color w:val="0D0D0D" w:themeColor="text1" w:themeTint="F2"/>
                <w:szCs w:val="20"/>
                <w:lang w:eastAsia="en-US"/>
              </w:rPr>
              <w:br/>
            </w:r>
            <w:r>
              <w:rPr>
                <w:rStyle w:val="normaltextrun"/>
                <w:rFonts w:eastAsia="MS Gothic" w:cs="Arial"/>
                <w:color w:val="0D0D0D" w:themeColor="text1" w:themeTint="F2"/>
                <w:szCs w:val="20"/>
                <w:lang w:eastAsia="en-US"/>
              </w:rPr>
              <w:lastRenderedPageBreak/>
              <w:t xml:space="preserve">o nižší počet, než je všech uchazečů o práci (nyní 289 tis.). </w:t>
            </w:r>
            <w:r>
              <w:rPr>
                <w:color w:val="0D0D0D" w:themeColor="text1" w:themeTint="F2"/>
                <w:spacing w:val="-4"/>
                <w:lang w:eastAsia="en-US"/>
              </w:rPr>
              <w:t>Obavy lidí z růstu nezaměstnanosti (vyjádřené v rámci konjunkturálních průzkumů) klesly letos na jaře nejníže od nástupu pandemie. Následně sice mírně posílily, avšak ani po zbytek roku svůj dlouhodobý průměr významně nepřekračovaly.</w:t>
            </w:r>
          </w:p>
        </w:tc>
      </w:tr>
      <w:tr w:rsidR="0038123E" w14:paraId="15B5C79E" w14:textId="77777777" w:rsidTr="0038123E">
        <w:trPr>
          <w:trHeight w:val="155"/>
        </w:trPr>
        <w:tc>
          <w:tcPr>
            <w:tcW w:w="1702" w:type="dxa"/>
            <w:vMerge w:val="restart"/>
          </w:tcPr>
          <w:p w14:paraId="78B656E2" w14:textId="77777777" w:rsidR="0038123E" w:rsidRDefault="0038123E">
            <w:pPr>
              <w:pStyle w:val="Marginlie"/>
              <w:spacing w:after="120"/>
              <w:rPr>
                <w:spacing w:val="-4"/>
                <w:lang w:eastAsia="en-US"/>
              </w:rPr>
            </w:pPr>
          </w:p>
        </w:tc>
        <w:tc>
          <w:tcPr>
            <w:tcW w:w="202" w:type="dxa"/>
            <w:vMerge w:val="restart"/>
          </w:tcPr>
          <w:p w14:paraId="06301F4E" w14:textId="77777777" w:rsidR="0038123E" w:rsidRDefault="0038123E">
            <w:pPr>
              <w:pStyle w:val="Textpoznpodarou"/>
              <w:spacing w:after="120"/>
              <w:jc w:val="both"/>
              <w:rPr>
                <w:spacing w:val="-4"/>
                <w:lang w:eastAsia="en-US"/>
              </w:rPr>
            </w:pPr>
          </w:p>
        </w:tc>
        <w:tc>
          <w:tcPr>
            <w:tcW w:w="7770" w:type="dxa"/>
            <w:hideMark/>
          </w:tcPr>
          <w:p w14:paraId="7F2DA8E8" w14:textId="77777777" w:rsidR="0038123E" w:rsidRDefault="0038123E">
            <w:pPr>
              <w:spacing w:after="0"/>
              <w:rPr>
                <w:rFonts w:cs="Arial"/>
                <w:b/>
                <w:bCs/>
                <w:spacing w:val="-4"/>
                <w:lang w:eastAsia="en-US"/>
              </w:rPr>
            </w:pPr>
            <w:r>
              <w:rPr>
                <w:b/>
                <w:spacing w:val="-4"/>
                <w:lang w:eastAsia="en-US"/>
              </w:rPr>
              <w:t xml:space="preserve">Graf č. 14 </w:t>
            </w:r>
            <w:r>
              <w:rPr>
                <w:rFonts w:cs="Arial"/>
                <w:b/>
                <w:spacing w:val="-4"/>
                <w:lang w:eastAsia="en-US"/>
              </w:rPr>
              <w:t xml:space="preserve">Obecná míra nezaměstnanosti </w:t>
            </w:r>
            <w:r>
              <w:rPr>
                <w:rFonts w:cs="Arial"/>
                <w:bCs/>
                <w:spacing w:val="-4"/>
                <w:lang w:eastAsia="en-US"/>
              </w:rPr>
              <w:t>(v %, věk 15 až 64 let)</w:t>
            </w:r>
            <w:r>
              <w:rPr>
                <w:rFonts w:cs="Arial"/>
                <w:b/>
                <w:spacing w:val="-4"/>
                <w:lang w:eastAsia="en-US"/>
              </w:rPr>
              <w:t>,</w:t>
            </w:r>
            <w:r>
              <w:rPr>
                <w:rFonts w:cs="Arial"/>
                <w:bCs/>
                <w:spacing w:val="-4"/>
                <w:lang w:eastAsia="en-US"/>
              </w:rPr>
              <w:t xml:space="preserve"> </w:t>
            </w:r>
            <w:r>
              <w:rPr>
                <w:rFonts w:cs="Arial"/>
                <w:b/>
                <w:bCs/>
                <w:spacing w:val="-4"/>
                <w:lang w:eastAsia="en-US"/>
              </w:rPr>
              <w:t>očekávání vývoje nezaměstnanosti ze strany domácností*</w:t>
            </w:r>
            <w:r>
              <w:rPr>
                <w:rFonts w:cs="Arial"/>
                <w:bCs/>
                <w:spacing w:val="-4"/>
                <w:lang w:eastAsia="en-US"/>
              </w:rPr>
              <w:t xml:space="preserve"> (v p. b.), </w:t>
            </w:r>
            <w:r>
              <w:rPr>
                <w:rFonts w:cs="Arial"/>
                <w:b/>
                <w:bCs/>
                <w:spacing w:val="-4"/>
                <w:lang w:eastAsia="en-US"/>
              </w:rPr>
              <w:t xml:space="preserve">volná pracovní místa a pracující cizinci v pozici zaměstnanců </w:t>
            </w:r>
            <w:r>
              <w:rPr>
                <w:rFonts w:cs="Arial"/>
                <w:bCs/>
                <w:spacing w:val="-4"/>
                <w:lang w:eastAsia="en-US"/>
              </w:rPr>
              <w:t>(v tis.)**</w:t>
            </w:r>
          </w:p>
        </w:tc>
      </w:tr>
      <w:tr w:rsidR="0038123E" w14:paraId="444DD518" w14:textId="77777777" w:rsidTr="0038123E">
        <w:trPr>
          <w:trHeight w:val="155"/>
        </w:trPr>
        <w:tc>
          <w:tcPr>
            <w:tcW w:w="0" w:type="auto"/>
            <w:vMerge/>
            <w:vAlign w:val="center"/>
            <w:hideMark/>
          </w:tcPr>
          <w:p w14:paraId="79B7AB46" w14:textId="77777777" w:rsidR="0038123E" w:rsidRDefault="0038123E">
            <w:pPr>
              <w:spacing w:after="0" w:line="240" w:lineRule="auto"/>
              <w:jc w:val="left"/>
              <w:rPr>
                <w:spacing w:val="-4"/>
                <w:sz w:val="16"/>
                <w:szCs w:val="16"/>
                <w:lang w:eastAsia="en-US"/>
              </w:rPr>
            </w:pPr>
          </w:p>
        </w:tc>
        <w:tc>
          <w:tcPr>
            <w:tcW w:w="0" w:type="auto"/>
            <w:vMerge/>
            <w:vAlign w:val="center"/>
            <w:hideMark/>
          </w:tcPr>
          <w:p w14:paraId="16328316" w14:textId="77777777" w:rsidR="0038123E" w:rsidRDefault="0038123E">
            <w:pPr>
              <w:spacing w:after="0" w:line="240" w:lineRule="auto"/>
              <w:jc w:val="left"/>
              <w:rPr>
                <w:rFonts w:eastAsia="Calibri"/>
                <w:spacing w:val="-4"/>
                <w:szCs w:val="20"/>
                <w:lang w:eastAsia="en-US"/>
              </w:rPr>
            </w:pPr>
          </w:p>
        </w:tc>
        <w:tc>
          <w:tcPr>
            <w:tcW w:w="7770" w:type="dxa"/>
            <w:tcMar>
              <w:top w:w="0" w:type="dxa"/>
              <w:left w:w="70" w:type="dxa"/>
              <w:bottom w:w="0" w:type="dxa"/>
              <w:right w:w="70" w:type="dxa"/>
            </w:tcMar>
            <w:hideMark/>
          </w:tcPr>
          <w:p w14:paraId="2ADB90C6" w14:textId="2CB26B21" w:rsidR="0038123E" w:rsidRDefault="0038123E">
            <w:pPr>
              <w:spacing w:after="0"/>
              <w:rPr>
                <w:spacing w:val="-4"/>
                <w:lang w:eastAsia="en-US"/>
              </w:rPr>
            </w:pPr>
            <w:r>
              <w:rPr>
                <w:noProof/>
              </w:rPr>
              <w:drawing>
                <wp:inline distT="0" distB="0" distL="0" distR="0" wp14:anchorId="1AB1457E" wp14:editId="742E3BA0">
                  <wp:extent cx="4838700" cy="3552825"/>
                  <wp:effectExtent l="0" t="0" r="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38123E" w14:paraId="453D6D42" w14:textId="77777777" w:rsidTr="0038123E">
        <w:trPr>
          <w:trHeight w:val="132"/>
        </w:trPr>
        <w:tc>
          <w:tcPr>
            <w:tcW w:w="0" w:type="auto"/>
            <w:vMerge/>
            <w:vAlign w:val="center"/>
            <w:hideMark/>
          </w:tcPr>
          <w:p w14:paraId="78F4D966" w14:textId="77777777" w:rsidR="0038123E" w:rsidRDefault="0038123E">
            <w:pPr>
              <w:spacing w:after="0" w:line="240" w:lineRule="auto"/>
              <w:jc w:val="left"/>
              <w:rPr>
                <w:spacing w:val="-4"/>
                <w:sz w:val="16"/>
                <w:szCs w:val="16"/>
                <w:lang w:eastAsia="en-US"/>
              </w:rPr>
            </w:pPr>
          </w:p>
        </w:tc>
        <w:tc>
          <w:tcPr>
            <w:tcW w:w="0" w:type="auto"/>
            <w:vMerge/>
            <w:vAlign w:val="center"/>
            <w:hideMark/>
          </w:tcPr>
          <w:p w14:paraId="64451C88" w14:textId="77777777" w:rsidR="0038123E" w:rsidRDefault="0038123E">
            <w:pPr>
              <w:spacing w:after="0" w:line="240" w:lineRule="auto"/>
              <w:jc w:val="left"/>
              <w:rPr>
                <w:rFonts w:eastAsia="Calibri"/>
                <w:spacing w:val="-4"/>
                <w:szCs w:val="20"/>
                <w:lang w:eastAsia="en-US"/>
              </w:rPr>
            </w:pPr>
          </w:p>
        </w:tc>
        <w:tc>
          <w:tcPr>
            <w:tcW w:w="7770" w:type="dxa"/>
            <w:hideMark/>
          </w:tcPr>
          <w:p w14:paraId="4A647E9F" w14:textId="77777777" w:rsidR="0038123E" w:rsidRDefault="0038123E">
            <w:pPr>
              <w:spacing w:before="60" w:after="0" w:line="240" w:lineRule="auto"/>
              <w:rPr>
                <w:rFonts w:cs="Arial"/>
                <w:color w:val="0D0D0D" w:themeColor="text1" w:themeTint="F2"/>
                <w:spacing w:val="-4"/>
                <w:sz w:val="14"/>
                <w:szCs w:val="14"/>
                <w:lang w:eastAsia="en-US"/>
              </w:rPr>
            </w:pPr>
            <w:r>
              <w:rPr>
                <w:rFonts w:cs="Arial"/>
                <w:color w:val="0D0D0D" w:themeColor="text1" w:themeTint="F2"/>
                <w:spacing w:val="-4"/>
                <w:sz w:val="14"/>
                <w:szCs w:val="14"/>
                <w:lang w:eastAsia="en-US"/>
              </w:rPr>
              <w:t>Pozn.: Míry nezaměstnanosti jsou sezónně očištěny. VPM = volná pracovní místa (stav na konci čtvrtletí)</w:t>
            </w:r>
          </w:p>
          <w:p w14:paraId="0C5A8536" w14:textId="77777777" w:rsidR="0038123E" w:rsidRDefault="0038123E">
            <w:pPr>
              <w:spacing w:after="0" w:line="240" w:lineRule="auto"/>
              <w:rPr>
                <w:rFonts w:cs="Arial"/>
                <w:color w:val="0D0D0D" w:themeColor="text1" w:themeTint="F2"/>
                <w:spacing w:val="-2"/>
                <w:sz w:val="14"/>
                <w:szCs w:val="14"/>
                <w:lang w:eastAsia="en-US"/>
              </w:rPr>
            </w:pPr>
            <w:r>
              <w:rPr>
                <w:rFonts w:cs="Arial"/>
                <w:color w:val="0D0D0D" w:themeColor="text1" w:themeTint="F2"/>
                <w:spacing w:val="-2"/>
                <w:sz w:val="14"/>
                <w:szCs w:val="14"/>
                <w:lang w:eastAsia="en-US"/>
              </w:rPr>
              <w:t>*Sezónně očištěné saldo očekávání nezaměstnanosti v nejbližších 12 měsících (rozdíl mezi procentuální četností odpovědí domácností, růst a pokles vyjádřený v procentních bodech). Vztahuje se k prostřednímu měsíci daného čtvrtletí.</w:t>
            </w:r>
          </w:p>
          <w:p w14:paraId="07B52E3B" w14:textId="77777777" w:rsidR="0038123E" w:rsidRDefault="0038123E">
            <w:pPr>
              <w:spacing w:after="0" w:line="240" w:lineRule="auto"/>
              <w:rPr>
                <w:rFonts w:cs="Arial"/>
                <w:color w:val="0D0D0D" w:themeColor="text1" w:themeTint="F2"/>
                <w:spacing w:val="-2"/>
                <w:sz w:val="14"/>
                <w:szCs w:val="14"/>
                <w:lang w:eastAsia="en-US"/>
              </w:rPr>
            </w:pPr>
            <w:r>
              <w:rPr>
                <w:rFonts w:cs="Arial"/>
                <w:color w:val="0D0D0D" w:themeColor="text1" w:themeTint="F2"/>
                <w:spacing w:val="-2"/>
                <w:sz w:val="14"/>
                <w:szCs w:val="14"/>
                <w:lang w:eastAsia="en-US"/>
              </w:rPr>
              <w:t>**Počet cizinců v postavení zaměstnanců evidovaných na úřadech práce v ČR na konci příslušného čtvrtletí.</w:t>
            </w:r>
          </w:p>
          <w:p w14:paraId="4CBB3718" w14:textId="77777777" w:rsidR="0038123E" w:rsidRDefault="0038123E">
            <w:pPr>
              <w:spacing w:after="200" w:line="240" w:lineRule="auto"/>
              <w:rPr>
                <w:rFonts w:cs="Arial"/>
                <w:color w:val="0D0D0D" w:themeColor="text1" w:themeTint="F2"/>
                <w:spacing w:val="-2"/>
                <w:sz w:val="14"/>
                <w:szCs w:val="14"/>
                <w:lang w:eastAsia="en-US"/>
              </w:rPr>
            </w:pPr>
            <w:r>
              <w:rPr>
                <w:rFonts w:cs="Arial"/>
                <w:color w:val="0D0D0D" w:themeColor="text1" w:themeTint="F2"/>
                <w:spacing w:val="-2"/>
                <w:sz w:val="14"/>
                <w:szCs w:val="14"/>
                <w:lang w:eastAsia="en-US"/>
              </w:rPr>
              <w:t>Zdroj: ČSÚ (VŠPS, konjunkturální průzkum), MPSV (VPM registrovaná na úřadech práce v ČR, zaměstnaní cizinci)</w:t>
            </w:r>
          </w:p>
        </w:tc>
      </w:tr>
      <w:tr w:rsidR="0038123E" w14:paraId="38485AC4" w14:textId="77777777" w:rsidTr="0038123E">
        <w:trPr>
          <w:trHeight w:val="132"/>
        </w:trPr>
        <w:tc>
          <w:tcPr>
            <w:tcW w:w="1702" w:type="dxa"/>
            <w:hideMark/>
          </w:tcPr>
          <w:p w14:paraId="60955923" w14:textId="77777777" w:rsidR="0038123E" w:rsidRDefault="0038123E">
            <w:pPr>
              <w:pStyle w:val="Marginlie"/>
              <w:rPr>
                <w:color w:val="0D0D0D" w:themeColor="text1" w:themeTint="F2"/>
                <w:spacing w:val="-5"/>
                <w:lang w:eastAsia="en-US"/>
              </w:rPr>
            </w:pPr>
            <w:r>
              <w:rPr>
                <w:color w:val="0D0D0D" w:themeColor="text1" w:themeTint="F2"/>
                <w:spacing w:val="-5"/>
                <w:lang w:eastAsia="en-US"/>
              </w:rPr>
              <w:t>Meziroční růst průměrných mezd od počátku letošního roku mírně kolísal a ve 3. čtvrtletí dosáhl 7 %.</w:t>
            </w:r>
          </w:p>
          <w:p w14:paraId="5C897D96" w14:textId="77777777" w:rsidR="0038123E" w:rsidRDefault="0038123E">
            <w:pPr>
              <w:pStyle w:val="Marginlie"/>
              <w:rPr>
                <w:color w:val="0D0D0D" w:themeColor="text1" w:themeTint="F2"/>
                <w:spacing w:val="-4"/>
                <w:lang w:eastAsia="en-US"/>
              </w:rPr>
            </w:pPr>
            <w:r>
              <w:rPr>
                <w:color w:val="0D0D0D" w:themeColor="text1" w:themeTint="F2"/>
                <w:spacing w:val="-5"/>
                <w:lang w:eastAsia="en-US"/>
              </w:rPr>
              <w:t>Existují významné faktory působící ve směru vyššího růstu mezd, ale i ty s opačným efektem.</w:t>
            </w:r>
          </w:p>
        </w:tc>
        <w:tc>
          <w:tcPr>
            <w:tcW w:w="202" w:type="dxa"/>
          </w:tcPr>
          <w:p w14:paraId="21A3D696" w14:textId="77777777" w:rsidR="0038123E" w:rsidRDefault="0038123E">
            <w:pPr>
              <w:pStyle w:val="Textpoznpodarou"/>
              <w:jc w:val="both"/>
              <w:rPr>
                <w:color w:val="0D0D0D" w:themeColor="text1" w:themeTint="F2"/>
                <w:spacing w:val="-4"/>
                <w:lang w:eastAsia="en-US"/>
              </w:rPr>
            </w:pPr>
          </w:p>
        </w:tc>
        <w:tc>
          <w:tcPr>
            <w:tcW w:w="7770" w:type="dxa"/>
            <w:hideMark/>
          </w:tcPr>
          <w:p w14:paraId="256BEBF8" w14:textId="77777777" w:rsidR="0038123E" w:rsidRDefault="0038123E">
            <w:pPr>
              <w:rPr>
                <w:lang w:eastAsia="en-US"/>
              </w:rPr>
            </w:pPr>
            <w:r>
              <w:rPr>
                <w:spacing w:val="-2"/>
                <w:lang w:eastAsia="en-US"/>
              </w:rPr>
              <w:t>Ve 3. čtvrtletí dosáhla průměrná hrubá měsíční nominální mzda zaměstnance v národním</w:t>
            </w:r>
            <w:r>
              <w:rPr>
                <w:lang w:eastAsia="en-US"/>
              </w:rPr>
              <w:t xml:space="preserve"> hospodářství 45 412 korun a meziročně vzrostla o 7,0 %. Náznak zvolňování tempa, jenž byl patrný ve 2. čtvrtletí, se nyní nepotvrdil, neboť dynamika mezd od počátku roku spíše mírně kolísá. Mezikvartální tempo mezd (po sezónním očištění) dokonce lehce vzrostlo (na +1,9 %, nejvíce za posledních pět čtvrtletí). Významně se zvýšily rozdíly v dynamice průměrných mezd vyjádřených na přepočtené (FTE) a fyzické osoby. Vlivem rozšiřování zkrácených úvazků (kvůli finanční podpoře státu i daňovým optimalizacím) vzrostla mzda na fyzické osoby ve 3. čtvrtletí meziročně jen o 6,4 %. Evidenční počet zaměstnanců (FTE) se zvýšil o 0,2 %, dle fyzických osob ale o 0,7 %. Mzdový růst v</w:t>
            </w:r>
            <w:r>
              <w:rPr>
                <w:color w:val="0D0D0D" w:themeColor="text1" w:themeTint="F2"/>
                <w:spacing w:val="-4"/>
                <w:lang w:eastAsia="en-US"/>
              </w:rPr>
              <w:t> </w:t>
            </w:r>
            <w:r>
              <w:rPr>
                <w:color w:val="0D0D0D" w:themeColor="text1" w:themeTint="F2"/>
                <w:lang w:eastAsia="en-US"/>
              </w:rPr>
              <w:t xml:space="preserve">ekonomice tlumila sílící </w:t>
            </w:r>
            <w:r>
              <w:rPr>
                <w:lang w:eastAsia="en-US"/>
              </w:rPr>
              <w:t>potřeba úspor v rozpočtové sféře i</w:t>
            </w:r>
            <w:r>
              <w:rPr>
                <w:color w:val="0D0D0D" w:themeColor="text1" w:themeTint="F2"/>
                <w:spacing w:val="-4"/>
                <w:lang w:eastAsia="en-US"/>
              </w:rPr>
              <w:t> </w:t>
            </w:r>
            <w:r>
              <w:rPr>
                <w:lang w:eastAsia="en-US"/>
              </w:rPr>
              <w:t>rostoucí počet zahraničních pracovníků ze „třetích zemí“. Ti nezřídka pracují na nízkokvalifikovaných pozicích</w:t>
            </w:r>
            <w:r>
              <w:rPr>
                <w:rStyle w:val="Znakapoznpodarou"/>
                <w:lang w:eastAsia="en-US"/>
              </w:rPr>
              <w:footnoteReference w:id="20"/>
            </w:r>
            <w:r>
              <w:rPr>
                <w:lang w:eastAsia="en-US"/>
              </w:rPr>
              <w:t xml:space="preserve"> a</w:t>
            </w:r>
            <w:r>
              <w:rPr>
                <w:color w:val="0D0D0D" w:themeColor="text1" w:themeTint="F2"/>
                <w:spacing w:val="-4"/>
                <w:lang w:eastAsia="en-US"/>
              </w:rPr>
              <w:t> </w:t>
            </w:r>
            <w:r>
              <w:rPr>
                <w:lang w:eastAsia="en-US"/>
              </w:rPr>
              <w:t xml:space="preserve">jejich výdělky tudíž </w:t>
            </w:r>
            <w:r>
              <w:rPr>
                <w:spacing w:val="-2"/>
                <w:lang w:eastAsia="en-US"/>
              </w:rPr>
              <w:t xml:space="preserve">zpravidla nedosahují úrovně občanů ČR. Naopak ve směru růstu nominální mzdy stále působila dosud relativně vysoká poptávka podniků po pracovní síle v některých odvětvích či zvýšený tlak zaměstnanců pramenící i z napjatých rodinných rozpočtů vlivem stále vysokého růstu cen některých položek spotřebního koše i jiných výdajů (splátky hypoték). </w:t>
            </w:r>
            <w:r>
              <w:rPr>
                <w:spacing w:val="-2"/>
                <w:lang w:eastAsia="en-US"/>
              </w:rPr>
              <w:lastRenderedPageBreak/>
              <w:t>Dynamičtější mzdový růst v řadě odvětví umožňovala i</w:t>
            </w:r>
            <w:r>
              <w:rPr>
                <w:color w:val="0D0D0D" w:themeColor="text1" w:themeTint="F2"/>
                <w:spacing w:val="-4"/>
                <w:lang w:eastAsia="en-US"/>
              </w:rPr>
              <w:t> </w:t>
            </w:r>
            <w:r>
              <w:rPr>
                <w:spacing w:val="-2"/>
                <w:lang w:eastAsia="en-US"/>
              </w:rPr>
              <w:t>přetrvávající vysoká míra zisku podniků.</w:t>
            </w:r>
          </w:p>
        </w:tc>
      </w:tr>
      <w:tr w:rsidR="0038123E" w14:paraId="1E1F89AD" w14:textId="77777777" w:rsidTr="0038123E">
        <w:trPr>
          <w:trHeight w:val="132"/>
        </w:trPr>
        <w:tc>
          <w:tcPr>
            <w:tcW w:w="1702" w:type="dxa"/>
            <w:hideMark/>
          </w:tcPr>
          <w:p w14:paraId="4ACEEA98" w14:textId="77777777" w:rsidR="0038123E" w:rsidRDefault="0038123E">
            <w:pPr>
              <w:pStyle w:val="Marginlie"/>
              <w:rPr>
                <w:color w:val="0D0D0D" w:themeColor="text1" w:themeTint="F2"/>
                <w:spacing w:val="-5"/>
                <w:lang w:eastAsia="en-US"/>
              </w:rPr>
            </w:pPr>
            <w:r>
              <w:rPr>
                <w:color w:val="0D0D0D" w:themeColor="text1" w:themeTint="F2"/>
                <w:spacing w:val="-5"/>
                <w:lang w:eastAsia="en-US"/>
              </w:rPr>
              <w:lastRenderedPageBreak/>
              <w:t>Poprvé po pěti letech vzrostla meziročně reálná mzda ve všech odvětvových sekcích.</w:t>
            </w:r>
          </w:p>
        </w:tc>
        <w:tc>
          <w:tcPr>
            <w:tcW w:w="202" w:type="dxa"/>
          </w:tcPr>
          <w:p w14:paraId="7F0A9771" w14:textId="77777777" w:rsidR="0038123E" w:rsidRDefault="0038123E">
            <w:pPr>
              <w:pStyle w:val="Textpoznpodarou"/>
              <w:jc w:val="both"/>
              <w:rPr>
                <w:color w:val="0D0D0D" w:themeColor="text1" w:themeTint="F2"/>
                <w:spacing w:val="-4"/>
                <w:lang w:eastAsia="en-US"/>
              </w:rPr>
            </w:pPr>
          </w:p>
        </w:tc>
        <w:tc>
          <w:tcPr>
            <w:tcW w:w="7770" w:type="dxa"/>
            <w:hideMark/>
          </w:tcPr>
          <w:p w14:paraId="5460BC2A" w14:textId="77777777" w:rsidR="0038123E" w:rsidRDefault="0038123E">
            <w:pPr>
              <w:spacing w:after="200"/>
              <w:rPr>
                <w:color w:val="0D0D0D" w:themeColor="text1" w:themeTint="F2"/>
                <w:spacing w:val="-2"/>
                <w:lang w:eastAsia="en-US"/>
              </w:rPr>
            </w:pPr>
            <w:r>
              <w:rPr>
                <w:color w:val="0D0D0D" w:themeColor="text1" w:themeTint="F2"/>
                <w:spacing w:val="-2"/>
                <w:lang w:eastAsia="en-US"/>
              </w:rPr>
              <w:t>Díky zklidnění cenové hladiny v ekonomice pokračoval očekávaný růst reálné mzdy, ve 3.</w:t>
            </w:r>
            <w:r>
              <w:rPr>
                <w:color w:val="0D0D0D" w:themeColor="text1" w:themeTint="F2"/>
                <w:spacing w:val="-4"/>
                <w:lang w:eastAsia="en-US"/>
              </w:rPr>
              <w:t> </w:t>
            </w:r>
            <w:r>
              <w:rPr>
                <w:color w:val="0D0D0D" w:themeColor="text1" w:themeTint="F2"/>
                <w:spacing w:val="-2"/>
                <w:lang w:eastAsia="en-US"/>
              </w:rPr>
              <w:t xml:space="preserve">čtvrtletí činil meziročně 4,6 % (za 1. až 3. čtvrtletí 4,5 %). Reálná mzda se ve 3. čtvrtletí 2024 navýšila ve všech odvětvových sekcích, což nastalo naposledy přesně před 5 lety. Růst reálných mezd v ekonomice tak letos pozvolna umazává výrazný meziroční propad reálné kupní síly zaměstnanců let 2022 i 2023 (reálně se však zatím průměrná mzda nachází stále pouze na úrovni roku 2018). Růst kupní síly mezd je letos tlumen mírným zvýšením daňového zatížení práce (např. znovuzavedení zaměstnaneckých odvodů na nemocenské pojištění) schváleným v rámci vládního konsolidačního balíčku. </w:t>
            </w:r>
          </w:p>
        </w:tc>
      </w:tr>
      <w:tr w:rsidR="0038123E" w14:paraId="6434A423" w14:textId="77777777" w:rsidTr="0038123E">
        <w:trPr>
          <w:trHeight w:val="132"/>
        </w:trPr>
        <w:tc>
          <w:tcPr>
            <w:tcW w:w="1702" w:type="dxa"/>
            <w:hideMark/>
          </w:tcPr>
          <w:p w14:paraId="3AF17356" w14:textId="77777777" w:rsidR="0038123E" w:rsidRDefault="0038123E">
            <w:pPr>
              <w:pStyle w:val="Marginlie"/>
              <w:rPr>
                <w:color w:val="0D0D0D" w:themeColor="text1" w:themeTint="F2"/>
                <w:spacing w:val="-4"/>
                <w:lang w:eastAsia="en-US"/>
              </w:rPr>
            </w:pPr>
            <w:r>
              <w:rPr>
                <w:color w:val="0D0D0D" w:themeColor="text1" w:themeTint="F2"/>
                <w:spacing w:val="-4"/>
                <w:lang w:eastAsia="en-US"/>
              </w:rPr>
              <w:t>Relativně nejvíce vzrostly ve 3. čtvrtletí průměrné mzdy v oblasti nemovitostí a vyspělých podnikových služeb.</w:t>
            </w:r>
          </w:p>
        </w:tc>
        <w:tc>
          <w:tcPr>
            <w:tcW w:w="202" w:type="dxa"/>
          </w:tcPr>
          <w:p w14:paraId="5BE27AA4" w14:textId="77777777" w:rsidR="0038123E" w:rsidRDefault="0038123E">
            <w:pPr>
              <w:pStyle w:val="Textpoznpodarou"/>
              <w:jc w:val="both"/>
              <w:rPr>
                <w:color w:val="0D0D0D" w:themeColor="text1" w:themeTint="F2"/>
                <w:spacing w:val="-4"/>
                <w:lang w:eastAsia="en-US"/>
              </w:rPr>
            </w:pPr>
          </w:p>
        </w:tc>
        <w:tc>
          <w:tcPr>
            <w:tcW w:w="7770" w:type="dxa"/>
            <w:hideMark/>
          </w:tcPr>
          <w:p w14:paraId="1A87BB99" w14:textId="77777777" w:rsidR="0038123E" w:rsidRDefault="0038123E">
            <w:pPr>
              <w:spacing w:after="200"/>
              <w:rPr>
                <w:color w:val="0D0D0D" w:themeColor="text1" w:themeTint="F2"/>
                <w:spacing w:val="-2"/>
                <w:lang w:eastAsia="en-US"/>
              </w:rPr>
            </w:pPr>
            <w:r>
              <w:rPr>
                <w:color w:val="0D0D0D" w:themeColor="text1" w:themeTint="F2"/>
                <w:spacing w:val="-2"/>
                <w:lang w:eastAsia="en-US"/>
              </w:rPr>
              <w:t>Souhrnné tempo růstu průměrné mzdy zakrývá tradičně velmi různorodý vývoj na úrovni jednotlivých oborů podniků či organizací. Nejvyššího meziročního růstu dosáhly ve 3.</w:t>
            </w:r>
            <w:r>
              <w:rPr>
                <w:spacing w:val="-2"/>
                <w:lang w:eastAsia="en-US"/>
              </w:rPr>
              <w:t> </w:t>
            </w:r>
            <w:r>
              <w:rPr>
                <w:color w:val="0D0D0D" w:themeColor="text1" w:themeTint="F2"/>
                <w:spacing w:val="-2"/>
                <w:lang w:eastAsia="en-US"/>
              </w:rPr>
              <w:t>čtvrtletí mzdy v malém odvětví činností v oblasti nemovitostí (14,4 %), což spolu s jejich svižným růstem v letech 2022 i 2023 vedlo k tomu, že jejich aktuální úroveň se těsně přiblížila celé ekonomice. Svižně rostly i mzdy v profesních, vědeckých a technických činnostech (10,1 %) a obdobně jako v předchozím odvětví jejich tempo v letošním roce zrychlovalo a bylo doprovázeno i nadprůměrným růstem zaměstnanosti. To platilo rovněž o malých odvětvích energetiky a vodního i odpadového hospodářství, v nichž se ve 3.</w:t>
            </w:r>
            <w:r>
              <w:rPr>
                <w:spacing w:val="-2"/>
                <w:lang w:eastAsia="en-US"/>
              </w:rPr>
              <w:t> </w:t>
            </w:r>
            <w:r>
              <w:rPr>
                <w:color w:val="0D0D0D" w:themeColor="text1" w:themeTint="F2"/>
                <w:spacing w:val="-2"/>
                <w:lang w:eastAsia="en-US"/>
              </w:rPr>
              <w:t>čtvrtletí mzdy zvedly o více než 9 %. Z pokračujícího zotavování příjezdového cestovního ruchu těžilo ubytování, stravování a pohostinství (růst zaměstnanců: 6,1 %, mzdy: 9,2 %), stále však šlo jednoznačně o odvětví s nejnižší úrovní mezd (28,2 tis. korun, pouze třetina oproti informačním a komunikačním činnostem).</w:t>
            </w:r>
          </w:p>
        </w:tc>
      </w:tr>
      <w:tr w:rsidR="0038123E" w14:paraId="76F56AD5" w14:textId="77777777" w:rsidTr="0038123E">
        <w:trPr>
          <w:trHeight w:val="132"/>
        </w:trPr>
        <w:tc>
          <w:tcPr>
            <w:tcW w:w="1702" w:type="dxa"/>
            <w:hideMark/>
          </w:tcPr>
          <w:p w14:paraId="5289BE76" w14:textId="77777777" w:rsidR="0038123E" w:rsidRDefault="0038123E">
            <w:pPr>
              <w:pStyle w:val="Marginlie"/>
              <w:rPr>
                <w:color w:val="0D0D0D" w:themeColor="text1" w:themeTint="F2"/>
                <w:spacing w:val="-4"/>
                <w:lang w:eastAsia="en-US"/>
              </w:rPr>
            </w:pPr>
            <w:r>
              <w:rPr>
                <w:color w:val="0D0D0D" w:themeColor="text1" w:themeTint="F2"/>
                <w:spacing w:val="-4"/>
                <w:lang w:eastAsia="en-US"/>
              </w:rPr>
              <w:t>Růst mezd v ekonomice byl nadále tlumen potřebou rozpočtových úspor ve veřejných službách.</w:t>
            </w:r>
          </w:p>
        </w:tc>
        <w:tc>
          <w:tcPr>
            <w:tcW w:w="202" w:type="dxa"/>
          </w:tcPr>
          <w:p w14:paraId="095C965A" w14:textId="77777777" w:rsidR="0038123E" w:rsidRDefault="0038123E">
            <w:pPr>
              <w:pStyle w:val="Textpoznpodarou"/>
              <w:jc w:val="both"/>
              <w:rPr>
                <w:color w:val="0D0D0D" w:themeColor="text1" w:themeTint="F2"/>
                <w:spacing w:val="-4"/>
                <w:lang w:eastAsia="en-US"/>
              </w:rPr>
            </w:pPr>
          </w:p>
        </w:tc>
        <w:tc>
          <w:tcPr>
            <w:tcW w:w="7770" w:type="dxa"/>
            <w:hideMark/>
          </w:tcPr>
          <w:p w14:paraId="4000BA3C" w14:textId="77777777" w:rsidR="0038123E" w:rsidRDefault="0038123E">
            <w:pPr>
              <w:spacing w:after="200"/>
              <w:rPr>
                <w:color w:val="0D0D0D" w:themeColor="text1" w:themeTint="F2"/>
                <w:spacing w:val="-2"/>
                <w:lang w:eastAsia="en-US"/>
              </w:rPr>
            </w:pPr>
            <w:r>
              <w:rPr>
                <w:color w:val="0D0D0D" w:themeColor="text1" w:themeTint="F2"/>
                <w:spacing w:val="-2"/>
                <w:lang w:eastAsia="en-US"/>
              </w:rPr>
              <w:t>Obdobně jako v předchozích dvou letech se z</w:t>
            </w:r>
            <w:r>
              <w:rPr>
                <w:spacing w:val="-2"/>
                <w:lang w:eastAsia="en-US"/>
              </w:rPr>
              <w:t xml:space="preserve">vyšovaly podprůměrně </w:t>
            </w:r>
            <w:r>
              <w:rPr>
                <w:color w:val="0D0D0D" w:themeColor="text1" w:themeTint="F2"/>
                <w:spacing w:val="-2"/>
                <w:lang w:eastAsia="en-US"/>
              </w:rPr>
              <w:t>mzdy v odvětvích s významnou rolí veřejného sektoru. Výjimkou je letos zdravotní a sociální péče, kde výdělky ve 3. čtvrtletí posílily v průměru o 9,2 %</w:t>
            </w:r>
            <w:r>
              <w:rPr>
                <w:rStyle w:val="Znakapoznpodarou"/>
                <w:color w:val="0D0D0D" w:themeColor="text1" w:themeTint="F2"/>
                <w:lang w:eastAsia="en-US"/>
              </w:rPr>
              <w:footnoteReference w:id="21"/>
            </w:r>
            <w:r>
              <w:rPr>
                <w:color w:val="0D0D0D" w:themeColor="text1" w:themeTint="F2"/>
                <w:spacing w:val="-2"/>
                <w:lang w:eastAsia="en-US"/>
              </w:rPr>
              <w:t>. Ve vzdělávání (+3,7 %) i veřejné správě vč. obrany a soc. zabezpečení (+3,4 %) byl jejich růst nejnižší ze všech hlavních odvětví (ve veřejné správě byl navíc doprovázen i mírným poklesem zaměstnanosti, v rámci celého sektoru služeb aktuálně dosti ojedinělým). Slabě rostly výdělky i v ostatních činnostech služeb (5,2 %), v kulturních, zábavních a rekreačních činnostech (5,6 %) a také v zemědělství a lesnictví (5,5 %) – vždy jde zároveň o odvětví s nižší mzdovou úrovní.</w:t>
            </w:r>
          </w:p>
        </w:tc>
      </w:tr>
      <w:tr w:rsidR="0038123E" w14:paraId="25A83F12" w14:textId="77777777" w:rsidTr="0038123E">
        <w:trPr>
          <w:trHeight w:val="132"/>
        </w:trPr>
        <w:tc>
          <w:tcPr>
            <w:tcW w:w="1702" w:type="dxa"/>
          </w:tcPr>
          <w:p w14:paraId="401061D1" w14:textId="77777777" w:rsidR="0038123E" w:rsidRDefault="0038123E">
            <w:pPr>
              <w:pStyle w:val="Marginlie"/>
              <w:rPr>
                <w:color w:val="0D0D0D" w:themeColor="text1" w:themeTint="F2"/>
                <w:spacing w:val="-4"/>
                <w:lang w:eastAsia="en-US"/>
              </w:rPr>
            </w:pPr>
            <w:r>
              <w:rPr>
                <w:color w:val="0D0D0D" w:themeColor="text1" w:themeTint="F2"/>
                <w:spacing w:val="-4"/>
                <w:lang w:eastAsia="en-US"/>
              </w:rPr>
              <w:t xml:space="preserve">Tempo růstu mezd ve zpracovatelském průmyslu zvolňovalo. </w:t>
            </w:r>
          </w:p>
          <w:p w14:paraId="4F857341" w14:textId="77777777" w:rsidR="0038123E" w:rsidRDefault="0038123E">
            <w:pPr>
              <w:pStyle w:val="Marginlie"/>
              <w:rPr>
                <w:color w:val="0D0D0D" w:themeColor="text1" w:themeTint="F2"/>
                <w:spacing w:val="-4"/>
                <w:lang w:eastAsia="en-US"/>
              </w:rPr>
            </w:pPr>
          </w:p>
          <w:p w14:paraId="4DA366C5" w14:textId="77777777" w:rsidR="0038123E" w:rsidRDefault="0038123E">
            <w:pPr>
              <w:pStyle w:val="Marginlie"/>
              <w:rPr>
                <w:color w:val="0D0D0D" w:themeColor="text1" w:themeTint="F2"/>
                <w:spacing w:val="-4"/>
                <w:lang w:eastAsia="en-US"/>
              </w:rPr>
            </w:pPr>
          </w:p>
          <w:p w14:paraId="10AA6B76" w14:textId="77777777" w:rsidR="0038123E" w:rsidRDefault="0038123E">
            <w:pPr>
              <w:pStyle w:val="Marginlie"/>
              <w:rPr>
                <w:color w:val="0D0D0D" w:themeColor="text1" w:themeTint="F2"/>
                <w:spacing w:val="-4"/>
                <w:lang w:eastAsia="en-US"/>
              </w:rPr>
            </w:pPr>
            <w:r>
              <w:rPr>
                <w:color w:val="0D0D0D" w:themeColor="text1" w:themeTint="F2"/>
                <w:spacing w:val="-4"/>
                <w:lang w:eastAsia="en-US"/>
              </w:rPr>
              <w:t xml:space="preserve">V těžbě a dobývání se jako v jediném odvětví ve 3. čtvrtletí meziročně snížil objem vyplacených mezd. </w:t>
            </w:r>
          </w:p>
          <w:p w14:paraId="74E943D0" w14:textId="77777777" w:rsidR="0038123E" w:rsidRDefault="0038123E">
            <w:pPr>
              <w:pStyle w:val="Marginlie"/>
              <w:rPr>
                <w:color w:val="0D0D0D" w:themeColor="text1" w:themeTint="F2"/>
                <w:spacing w:val="-4"/>
                <w:lang w:eastAsia="en-US"/>
              </w:rPr>
            </w:pPr>
          </w:p>
          <w:p w14:paraId="33DB7A60" w14:textId="77777777" w:rsidR="0038123E" w:rsidRDefault="0038123E">
            <w:pPr>
              <w:pStyle w:val="Marginlie"/>
              <w:rPr>
                <w:color w:val="0D0D0D" w:themeColor="text1" w:themeTint="F2"/>
                <w:spacing w:val="-4"/>
                <w:lang w:eastAsia="en-US"/>
              </w:rPr>
            </w:pPr>
          </w:p>
          <w:p w14:paraId="05F27970" w14:textId="77777777" w:rsidR="0038123E" w:rsidRDefault="0038123E">
            <w:pPr>
              <w:pStyle w:val="Marginlie"/>
              <w:rPr>
                <w:color w:val="0D0D0D" w:themeColor="text1" w:themeTint="F2"/>
                <w:spacing w:val="-4"/>
                <w:lang w:eastAsia="en-US"/>
              </w:rPr>
            </w:pPr>
          </w:p>
          <w:p w14:paraId="422978E2" w14:textId="77777777" w:rsidR="0038123E" w:rsidRDefault="0038123E">
            <w:pPr>
              <w:pStyle w:val="Marginlie"/>
              <w:rPr>
                <w:color w:val="0D0D0D" w:themeColor="text1" w:themeTint="F2"/>
                <w:spacing w:val="-4"/>
                <w:lang w:eastAsia="en-US"/>
              </w:rPr>
            </w:pPr>
            <w:r>
              <w:rPr>
                <w:color w:val="0D0D0D" w:themeColor="text1" w:themeTint="F2"/>
                <w:spacing w:val="-4"/>
                <w:lang w:eastAsia="en-US"/>
              </w:rPr>
              <w:t xml:space="preserve">V odvětvích s nejvyšší mzdovou hladinou rostly letos mzdy relativně pomaleji. </w:t>
            </w:r>
          </w:p>
          <w:p w14:paraId="4C0F3C9C" w14:textId="77777777" w:rsidR="0038123E" w:rsidRDefault="0038123E">
            <w:pPr>
              <w:pStyle w:val="Marginlie"/>
              <w:rPr>
                <w:color w:val="0D0D0D" w:themeColor="text1" w:themeTint="F2"/>
                <w:spacing w:val="-4"/>
                <w:lang w:eastAsia="en-US"/>
              </w:rPr>
            </w:pPr>
          </w:p>
        </w:tc>
        <w:tc>
          <w:tcPr>
            <w:tcW w:w="202" w:type="dxa"/>
          </w:tcPr>
          <w:p w14:paraId="7F950396" w14:textId="77777777" w:rsidR="0038123E" w:rsidRDefault="0038123E">
            <w:pPr>
              <w:pStyle w:val="Textpoznpodarou"/>
              <w:jc w:val="both"/>
              <w:rPr>
                <w:color w:val="0D0D0D" w:themeColor="text1" w:themeTint="F2"/>
                <w:spacing w:val="-4"/>
                <w:lang w:eastAsia="en-US"/>
              </w:rPr>
            </w:pPr>
          </w:p>
        </w:tc>
        <w:tc>
          <w:tcPr>
            <w:tcW w:w="7770" w:type="dxa"/>
            <w:hideMark/>
          </w:tcPr>
          <w:p w14:paraId="12B7864F" w14:textId="4F9ACBA5" w:rsidR="0038123E" w:rsidRDefault="0038123E" w:rsidP="00443556">
            <w:pPr>
              <w:spacing w:after="200"/>
              <w:rPr>
                <w:color w:val="0D0D0D" w:themeColor="text1" w:themeTint="F2"/>
                <w:spacing w:val="-4"/>
                <w:lang w:eastAsia="en-US"/>
              </w:rPr>
            </w:pPr>
            <w:r>
              <w:rPr>
                <w:color w:val="0D0D0D" w:themeColor="text1" w:themeTint="F2"/>
                <w:spacing w:val="-4"/>
                <w:lang w:eastAsia="en-US"/>
              </w:rPr>
              <w:t>Ve zpracovatelském průmyslu se mzdy ve 3. čtvrtletí zvýšily o 6,7 % (jejich tempo ale v průběhu roku zvolňovalo a počet zaměstnanců stejně jako loni ubýval). Z větších oborů se zde vymykalo potravinářství (zaměstnanci: +2,7 %, mzda: +7,7 %).</w:t>
            </w:r>
            <w:r w:rsidR="00443556">
              <w:rPr>
                <w:color w:val="0D0D0D" w:themeColor="text1" w:themeTint="F2"/>
                <w:spacing w:val="-4"/>
                <w:lang w:eastAsia="en-US"/>
              </w:rPr>
              <w:t xml:space="preserve"> </w:t>
            </w:r>
            <w:r>
              <w:rPr>
                <w:color w:val="0D0D0D" w:themeColor="text1" w:themeTint="F2"/>
                <w:spacing w:val="-4"/>
                <w:lang w:eastAsia="en-US"/>
              </w:rPr>
              <w:t>Nejvíce vzrostly výdělky v elektrotechnice (+8,9 %), nejméně ve výrobě motorových vozidel (5,4 %, ale v úhrnu od počátku roku 8,4 %). V těžbě a dobývání byl mzdový růst mírně podprůměrný (6,0 %), což spolu s prohlubujícím se poklesem počtu zaměstnanců vedlo ve 3. čtvrtletí k tomu, že zde jako v jediném odvětví k</w:t>
            </w:r>
            <w:r>
              <w:rPr>
                <w:spacing w:val="-4"/>
                <w:lang w:eastAsia="en-US"/>
              </w:rPr>
              <w:t xml:space="preserve">lesl </w:t>
            </w:r>
            <w:r>
              <w:rPr>
                <w:color w:val="0D0D0D" w:themeColor="text1" w:themeTint="F2"/>
                <w:spacing w:val="-4"/>
                <w:lang w:eastAsia="en-US"/>
              </w:rPr>
              <w:t xml:space="preserve">objem vyplacených mezd (−0,8 %). Stavebnictví se oproti průmyslu dařilo lépe, a to jak u průměrných mezd (růst o 8,6 %), tak počtu zaměstnanců </w:t>
            </w:r>
            <w:r>
              <w:rPr>
                <w:color w:val="0D0D0D" w:themeColor="text1" w:themeTint="F2"/>
                <w:spacing w:val="-4"/>
                <w:lang w:eastAsia="en-US"/>
              </w:rPr>
              <w:br/>
              <w:t xml:space="preserve">(−0,2 %, ve středních a větších stavebních podnicích se však tempo poklesu zaměstnanosti blíží průmyslu). Dynamiku mezd ve stavebnictví ovlivňuje i chronický nedostatek kvalifikované pracovní síly, celková úroveň výdělků je zde i tak stále znatelně podprůměrná (40,1 tis. korun). Ve váhově nejvýznamnějším odvětví služeb – obchodu – mzdový růst ve </w:t>
            </w:r>
            <w:r>
              <w:rPr>
                <w:color w:val="0D0D0D" w:themeColor="text1" w:themeTint="F2"/>
                <w:spacing w:val="-4"/>
                <w:lang w:eastAsia="en-US"/>
              </w:rPr>
              <w:br/>
              <w:t xml:space="preserve">3. čtvrtletí zrychlil na 7,8 % (při mírném růstu zaměstnanosti). Podobné mzdové tempo </w:t>
            </w:r>
            <w:r>
              <w:rPr>
                <w:color w:val="0D0D0D" w:themeColor="text1" w:themeTint="F2"/>
                <w:spacing w:val="-4"/>
                <w:lang w:eastAsia="en-US"/>
              </w:rPr>
              <w:br/>
              <w:t xml:space="preserve">i úroveň (42 tis. korun) měla i doprava a skladování (ovšem při rozdílném vývoji počtu zaměstnanců: −0,9 %). V odvětvích s nejvyšší mzdovou hladinou rostly výdělky relativně pomaleji: finančnictví (5,4 %), informační a komunikační činnosti (+6,0 %). </w:t>
            </w:r>
          </w:p>
        </w:tc>
      </w:tr>
      <w:tr w:rsidR="0038123E" w14:paraId="4331AC62" w14:textId="77777777" w:rsidTr="0038123E">
        <w:trPr>
          <w:trHeight w:val="132"/>
        </w:trPr>
        <w:tc>
          <w:tcPr>
            <w:tcW w:w="1702" w:type="dxa"/>
            <w:hideMark/>
          </w:tcPr>
          <w:p w14:paraId="42885C1F" w14:textId="77777777" w:rsidR="0038123E" w:rsidRDefault="0038123E">
            <w:pPr>
              <w:pStyle w:val="Marginlie"/>
              <w:rPr>
                <w:color w:val="0D0D0D" w:themeColor="text1" w:themeTint="F2"/>
                <w:spacing w:val="-4"/>
                <w:lang w:eastAsia="en-US"/>
              </w:rPr>
            </w:pPr>
            <w:r>
              <w:rPr>
                <w:color w:val="0D0D0D" w:themeColor="text1" w:themeTint="F2"/>
                <w:spacing w:val="-4"/>
                <w:lang w:eastAsia="en-US"/>
              </w:rPr>
              <w:t xml:space="preserve">Mzdový růst v Praze během roku 2024 mírně </w:t>
            </w:r>
            <w:r>
              <w:rPr>
                <w:color w:val="0D0D0D" w:themeColor="text1" w:themeTint="F2"/>
                <w:spacing w:val="-4"/>
                <w:lang w:eastAsia="en-US"/>
              </w:rPr>
              <w:lastRenderedPageBreak/>
              <w:t>sílil. Evidenční počet zaměstnanců se ve většině krajů snižoval.</w:t>
            </w:r>
          </w:p>
        </w:tc>
        <w:tc>
          <w:tcPr>
            <w:tcW w:w="202" w:type="dxa"/>
          </w:tcPr>
          <w:p w14:paraId="0442EF27" w14:textId="77777777" w:rsidR="0038123E" w:rsidRDefault="0038123E">
            <w:pPr>
              <w:pStyle w:val="Textpoznpodarou"/>
              <w:jc w:val="both"/>
              <w:rPr>
                <w:color w:val="0D0D0D" w:themeColor="text1" w:themeTint="F2"/>
                <w:spacing w:val="-4"/>
                <w:lang w:eastAsia="en-US"/>
              </w:rPr>
            </w:pPr>
          </w:p>
        </w:tc>
        <w:tc>
          <w:tcPr>
            <w:tcW w:w="7770" w:type="dxa"/>
            <w:hideMark/>
          </w:tcPr>
          <w:p w14:paraId="16DD4F23" w14:textId="77777777" w:rsidR="0038123E" w:rsidRDefault="0038123E">
            <w:pPr>
              <w:spacing w:after="200"/>
              <w:rPr>
                <w:color w:val="0D0D0D" w:themeColor="text1" w:themeTint="F2"/>
                <w:spacing w:val="-4"/>
                <w:lang w:eastAsia="en-US"/>
              </w:rPr>
            </w:pPr>
            <w:r>
              <w:rPr>
                <w:color w:val="0D0D0D" w:themeColor="text1" w:themeTint="F2"/>
                <w:spacing w:val="-4"/>
                <w:lang w:eastAsia="en-US"/>
              </w:rPr>
              <w:t xml:space="preserve">Meziroční mzdový růst mezi kraji se letos ve 3. čtvrtletí pohyboval od 6,0 % (Kraj Vysočina, Plzeňský kraj) po 7,7 % (Pardubický kraj). Ve srovnání s tempem v 1. až 3. čtvrtletí 2024 byl </w:t>
            </w:r>
            <w:r>
              <w:rPr>
                <w:color w:val="0D0D0D" w:themeColor="text1" w:themeTint="F2"/>
                <w:spacing w:val="-4"/>
                <w:lang w:eastAsia="en-US"/>
              </w:rPr>
              <w:lastRenderedPageBreak/>
              <w:t xml:space="preserve">aktuální růst vyšší zejména v Praze a Pardubickém kraji, zvolnil naopak hlavně ve středních Čechách (+6,8 %), zčásti patrně i vlivem zhoršení situace v průmyslu. Z pohledu úrovně průměrné mzdy je rozpětí krajů dlouhodobě beze změn – průměrná mzda v Praze </w:t>
            </w:r>
            <w:r>
              <w:rPr>
                <w:color w:val="0D0D0D" w:themeColor="text1" w:themeTint="F2"/>
                <w:spacing w:val="-4"/>
                <w:lang w:eastAsia="en-US"/>
              </w:rPr>
              <w:br/>
              <w:t xml:space="preserve">(55,9 tis. korun) ve 3. čtvrtletí převyšovala mzdu v Karlovarském kraji (39,2 tis.) o 43 %. Karlovarskému kraji zatím zřejmě </w:t>
            </w:r>
            <w:r>
              <w:rPr>
                <w:color w:val="0D0D0D" w:themeColor="text1" w:themeTint="F2"/>
                <w:spacing w:val="-6"/>
                <w:lang w:eastAsia="en-US"/>
              </w:rPr>
              <w:t>příliš nepomohlo oživení turismu, celková mzda zde totiž vzrostla meziročně jen o 6,3 %.</w:t>
            </w:r>
            <w:r>
              <w:rPr>
                <w:color w:val="0D0D0D" w:themeColor="text1" w:themeTint="F2"/>
                <w:spacing w:val="-4"/>
                <w:lang w:eastAsia="en-US"/>
              </w:rPr>
              <w:t> Evidenční počet zaměstnanců ve většině regionů meziročně klesal – nejvíce ve 3.</w:t>
            </w:r>
            <w:r>
              <w:rPr>
                <w:color w:val="0D0D0D" w:themeColor="text1" w:themeTint="F2"/>
                <w:spacing w:val="-6"/>
                <w:lang w:eastAsia="en-US"/>
              </w:rPr>
              <w:t> </w:t>
            </w:r>
            <w:r>
              <w:rPr>
                <w:color w:val="0D0D0D" w:themeColor="text1" w:themeTint="F2"/>
                <w:spacing w:val="-4"/>
                <w:lang w:eastAsia="en-US"/>
              </w:rPr>
              <w:t>kvartálu v Moravskoslezském kraji (−1,3 %), opačně je na tom Praha (+2,3 %). Slabý růst (ve 3. čtvrtletí i od počátku roku) nastal již jen ve Středočeském, Plzeňském a Jihomoravském kraji.</w:t>
            </w:r>
          </w:p>
        </w:tc>
      </w:tr>
      <w:tr w:rsidR="0038123E" w14:paraId="4843A620" w14:textId="77777777" w:rsidTr="0038123E">
        <w:trPr>
          <w:trHeight w:val="132"/>
        </w:trPr>
        <w:tc>
          <w:tcPr>
            <w:tcW w:w="1702" w:type="dxa"/>
            <w:hideMark/>
          </w:tcPr>
          <w:p w14:paraId="63AF0E0E" w14:textId="77777777" w:rsidR="0038123E" w:rsidRDefault="0038123E">
            <w:pPr>
              <w:pStyle w:val="Marginlie"/>
              <w:rPr>
                <w:color w:val="0D0D0D" w:themeColor="text1" w:themeTint="F2"/>
                <w:spacing w:val="-4"/>
                <w:lang w:eastAsia="en-US"/>
              </w:rPr>
            </w:pPr>
            <w:r>
              <w:rPr>
                <w:color w:val="0D0D0D" w:themeColor="text1" w:themeTint="F2"/>
                <w:spacing w:val="-4"/>
                <w:lang w:eastAsia="en-US"/>
              </w:rPr>
              <w:lastRenderedPageBreak/>
              <w:t xml:space="preserve">Medián mezd poprvé překonal hranici 40 tis, korun, rostl však pomaleji než průměr i krajní mzdové decily. </w:t>
            </w:r>
          </w:p>
        </w:tc>
        <w:tc>
          <w:tcPr>
            <w:tcW w:w="202" w:type="dxa"/>
          </w:tcPr>
          <w:p w14:paraId="4DBB22DA" w14:textId="77777777" w:rsidR="0038123E" w:rsidRDefault="0038123E">
            <w:pPr>
              <w:pStyle w:val="Textpoznpodarou"/>
              <w:jc w:val="both"/>
              <w:rPr>
                <w:color w:val="0D0D0D" w:themeColor="text1" w:themeTint="F2"/>
                <w:spacing w:val="-4"/>
                <w:lang w:eastAsia="en-US"/>
              </w:rPr>
            </w:pPr>
          </w:p>
        </w:tc>
        <w:tc>
          <w:tcPr>
            <w:tcW w:w="7770" w:type="dxa"/>
            <w:hideMark/>
          </w:tcPr>
          <w:p w14:paraId="1F34D106" w14:textId="77777777" w:rsidR="0038123E" w:rsidRDefault="0038123E">
            <w:pPr>
              <w:spacing w:after="200"/>
              <w:rPr>
                <w:color w:val="0D0D0D" w:themeColor="text1" w:themeTint="F2"/>
                <w:spacing w:val="-4"/>
                <w:lang w:eastAsia="en-US"/>
              </w:rPr>
            </w:pPr>
            <w:r>
              <w:rPr>
                <w:color w:val="0D0D0D" w:themeColor="text1" w:themeTint="F2"/>
                <w:spacing w:val="-4"/>
                <w:lang w:eastAsia="en-US"/>
              </w:rPr>
              <w:t xml:space="preserve">Medián mezd se ve 3. čtvrtletí zvýšil o 6,6 % (po celý rok zatím rostl mírněji než průměrná mzda i její krajní skupiny vyjádřené decily) a poprvé v historii překonal 40tis. hranici </w:t>
            </w:r>
            <w:r>
              <w:rPr>
                <w:color w:val="0D0D0D" w:themeColor="text1" w:themeTint="F2"/>
                <w:spacing w:val="-4"/>
                <w:lang w:eastAsia="en-US"/>
              </w:rPr>
              <w:br/>
              <w:t xml:space="preserve">(40,5 tis. korun). Na rozdíl od 1. pololetí 2024 rostl aktuálně nepatrně vyšším tempem u mužů. Mezera prostřední výše výdělků mezi pohlavími dosahovala 11,8 % (u nízkovýdělkových pracovníků – v nejnižším decilu – však ženy pobíraly oproti mužům jen o 5,9 % méně). Mzdová distribuce se dosud během letošního roku významně nezměnila. Ve 3. čtvrtletí vzrostl dolní mzdový decil meziročně o 7,7 %, na 21,3 tis. korun), horní decil o 7,1 % (na </w:t>
            </w:r>
            <w:r>
              <w:rPr>
                <w:color w:val="0D0D0D" w:themeColor="text1" w:themeTint="F2"/>
                <w:spacing w:val="-4"/>
                <w:lang w:eastAsia="en-US"/>
              </w:rPr>
              <w:br/>
              <w:t xml:space="preserve">77 tis.). </w:t>
            </w:r>
          </w:p>
        </w:tc>
      </w:tr>
      <w:tr w:rsidR="0038123E" w14:paraId="13842CD6" w14:textId="77777777" w:rsidTr="0038123E">
        <w:trPr>
          <w:trHeight w:val="132"/>
        </w:trPr>
        <w:tc>
          <w:tcPr>
            <w:tcW w:w="1702" w:type="dxa"/>
          </w:tcPr>
          <w:p w14:paraId="6648F662" w14:textId="77777777" w:rsidR="0038123E" w:rsidRDefault="0038123E">
            <w:pPr>
              <w:pStyle w:val="Marginlie"/>
              <w:rPr>
                <w:spacing w:val="-4"/>
                <w:lang w:eastAsia="en-US"/>
              </w:rPr>
            </w:pPr>
          </w:p>
        </w:tc>
        <w:tc>
          <w:tcPr>
            <w:tcW w:w="202" w:type="dxa"/>
          </w:tcPr>
          <w:p w14:paraId="182108DD" w14:textId="77777777" w:rsidR="0038123E" w:rsidRDefault="0038123E">
            <w:pPr>
              <w:pStyle w:val="Textpoznpodarou"/>
              <w:jc w:val="both"/>
              <w:rPr>
                <w:spacing w:val="-4"/>
                <w:lang w:eastAsia="en-US"/>
              </w:rPr>
            </w:pPr>
          </w:p>
        </w:tc>
        <w:tc>
          <w:tcPr>
            <w:tcW w:w="7770" w:type="dxa"/>
            <w:hideMark/>
          </w:tcPr>
          <w:p w14:paraId="465DB20B" w14:textId="77777777" w:rsidR="0038123E" w:rsidRDefault="0038123E">
            <w:pPr>
              <w:spacing w:after="0"/>
              <w:rPr>
                <w:b/>
                <w:spacing w:val="-2"/>
                <w:lang w:eastAsia="en-US"/>
              </w:rPr>
            </w:pPr>
            <w:r>
              <w:rPr>
                <w:rFonts w:cs="Arial"/>
                <w:b/>
                <w:color w:val="0D0D0D" w:themeColor="text1" w:themeTint="F2"/>
                <w:spacing w:val="-4"/>
                <w:szCs w:val="20"/>
                <w:lang w:eastAsia="en-US"/>
              </w:rPr>
              <w:t xml:space="preserve">Graf č. 15 Průměrná nominální a reálná mzda </w:t>
            </w:r>
            <w:r>
              <w:rPr>
                <w:rFonts w:cs="Arial"/>
                <w:color w:val="0D0D0D" w:themeColor="text1" w:themeTint="F2"/>
                <w:spacing w:val="-4"/>
                <w:szCs w:val="20"/>
                <w:lang w:eastAsia="en-US"/>
              </w:rPr>
              <w:t>(meziroční změna v %)</w:t>
            </w:r>
          </w:p>
        </w:tc>
      </w:tr>
      <w:tr w:rsidR="0038123E" w14:paraId="7AF1372A" w14:textId="77777777" w:rsidTr="0038123E">
        <w:trPr>
          <w:trHeight w:val="132"/>
        </w:trPr>
        <w:tc>
          <w:tcPr>
            <w:tcW w:w="1702" w:type="dxa"/>
            <w:tcMar>
              <w:top w:w="0" w:type="dxa"/>
              <w:left w:w="70" w:type="dxa"/>
              <w:bottom w:w="0" w:type="dxa"/>
              <w:right w:w="70" w:type="dxa"/>
            </w:tcMar>
          </w:tcPr>
          <w:p w14:paraId="50B8C33E" w14:textId="77777777" w:rsidR="0038123E" w:rsidRDefault="0038123E">
            <w:pPr>
              <w:pStyle w:val="Marginlie"/>
              <w:rPr>
                <w:spacing w:val="-4"/>
                <w:lang w:eastAsia="en-US"/>
              </w:rPr>
            </w:pPr>
          </w:p>
        </w:tc>
        <w:tc>
          <w:tcPr>
            <w:tcW w:w="202" w:type="dxa"/>
            <w:tcMar>
              <w:top w:w="0" w:type="dxa"/>
              <w:left w:w="70" w:type="dxa"/>
              <w:bottom w:w="0" w:type="dxa"/>
              <w:right w:w="70" w:type="dxa"/>
            </w:tcMar>
          </w:tcPr>
          <w:p w14:paraId="5B26EF86" w14:textId="77777777" w:rsidR="0038123E" w:rsidRDefault="0038123E">
            <w:pPr>
              <w:pStyle w:val="Textpoznpodarou"/>
              <w:jc w:val="both"/>
              <w:rPr>
                <w:spacing w:val="-4"/>
                <w:lang w:eastAsia="en-US"/>
              </w:rPr>
            </w:pPr>
          </w:p>
        </w:tc>
        <w:tc>
          <w:tcPr>
            <w:tcW w:w="7770" w:type="dxa"/>
            <w:tcMar>
              <w:top w:w="0" w:type="dxa"/>
              <w:left w:w="70" w:type="dxa"/>
              <w:bottom w:w="0" w:type="dxa"/>
              <w:right w:w="70" w:type="dxa"/>
            </w:tcMar>
            <w:hideMark/>
          </w:tcPr>
          <w:p w14:paraId="7FBFC4E3" w14:textId="31FDF4BC" w:rsidR="0038123E" w:rsidRDefault="0038123E">
            <w:pPr>
              <w:spacing w:after="0" w:line="240" w:lineRule="auto"/>
              <w:rPr>
                <w:rFonts w:cs="Arial"/>
                <w:color w:val="0D0D0D" w:themeColor="text1" w:themeTint="F2"/>
                <w:spacing w:val="-4"/>
                <w:sz w:val="14"/>
                <w:szCs w:val="14"/>
                <w:lang w:eastAsia="en-US"/>
              </w:rPr>
            </w:pPr>
            <w:r>
              <w:rPr>
                <w:noProof/>
              </w:rPr>
              <w:drawing>
                <wp:inline distT="0" distB="0" distL="0" distR="0" wp14:anchorId="1DC3BF81" wp14:editId="29836D1F">
                  <wp:extent cx="4848225" cy="3752850"/>
                  <wp:effectExtent l="0" t="0" r="0" b="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38123E" w14:paraId="257AAC80" w14:textId="77777777" w:rsidTr="0038123E">
        <w:trPr>
          <w:trHeight w:val="132"/>
        </w:trPr>
        <w:tc>
          <w:tcPr>
            <w:tcW w:w="1702" w:type="dxa"/>
          </w:tcPr>
          <w:p w14:paraId="12DE4C75" w14:textId="77777777" w:rsidR="0038123E" w:rsidRDefault="0038123E">
            <w:pPr>
              <w:pStyle w:val="Marginlie"/>
              <w:rPr>
                <w:spacing w:val="-4"/>
                <w:lang w:eastAsia="en-US"/>
              </w:rPr>
            </w:pPr>
          </w:p>
        </w:tc>
        <w:tc>
          <w:tcPr>
            <w:tcW w:w="202" w:type="dxa"/>
          </w:tcPr>
          <w:p w14:paraId="7527E444" w14:textId="77777777" w:rsidR="0038123E" w:rsidRDefault="0038123E">
            <w:pPr>
              <w:pStyle w:val="Textpoznpodarou"/>
              <w:jc w:val="both"/>
              <w:rPr>
                <w:spacing w:val="-4"/>
                <w:lang w:eastAsia="en-US"/>
              </w:rPr>
            </w:pPr>
          </w:p>
        </w:tc>
        <w:tc>
          <w:tcPr>
            <w:tcW w:w="7770" w:type="dxa"/>
            <w:hideMark/>
          </w:tcPr>
          <w:p w14:paraId="166CF4A6" w14:textId="77777777" w:rsidR="0038123E" w:rsidRDefault="0038123E">
            <w:pPr>
              <w:spacing w:after="0" w:line="240" w:lineRule="auto"/>
              <w:rPr>
                <w:rFonts w:cs="Arial"/>
                <w:color w:val="0D0D0D" w:themeColor="text1" w:themeTint="F2"/>
                <w:spacing w:val="-4"/>
                <w:sz w:val="14"/>
                <w:szCs w:val="14"/>
                <w:lang w:eastAsia="en-US"/>
              </w:rPr>
            </w:pPr>
            <w:r>
              <w:rPr>
                <w:rFonts w:cs="Arial"/>
                <w:color w:val="0D0D0D" w:themeColor="text1" w:themeTint="F2"/>
                <w:spacing w:val="-4"/>
                <w:sz w:val="14"/>
                <w:szCs w:val="14"/>
                <w:lang w:eastAsia="en-US"/>
              </w:rPr>
              <w:t>*Zahrnuje odvětví s významnou rolí vládního sektoru: Veřejná správa a obrana, povinné sociální zabezpečení; Vzdělávání; Zdravotní a sociální péče; Kulturní, zábavní a rekreační činnosti.</w:t>
            </w:r>
          </w:p>
          <w:p w14:paraId="6CF2462A" w14:textId="77777777" w:rsidR="0038123E" w:rsidRDefault="0038123E">
            <w:pPr>
              <w:spacing w:after="200" w:line="240" w:lineRule="auto"/>
              <w:rPr>
                <w:rFonts w:cs="Arial"/>
                <w:color w:val="0D0D0D" w:themeColor="text1" w:themeTint="F2"/>
                <w:spacing w:val="-4"/>
                <w:sz w:val="14"/>
                <w:szCs w:val="14"/>
                <w:lang w:eastAsia="en-US"/>
              </w:rPr>
            </w:pPr>
            <w:r>
              <w:rPr>
                <w:rFonts w:cs="Arial"/>
                <w:color w:val="0D0D0D" w:themeColor="text1" w:themeTint="F2"/>
                <w:spacing w:val="-4"/>
                <w:sz w:val="14"/>
                <w:szCs w:val="14"/>
                <w:lang w:eastAsia="en-US"/>
              </w:rPr>
              <w:t>**Vyjadřuje HDP (ve stálých cenách) vztažený na 1 pracovníka (ve fyzických osobách).                                                        Zdroj: ČSÚ</w:t>
            </w:r>
          </w:p>
        </w:tc>
      </w:tr>
    </w:tbl>
    <w:p w14:paraId="6E386C0F" w14:textId="77777777" w:rsidR="0038123E" w:rsidRDefault="0038123E" w:rsidP="0038123E">
      <w:pPr>
        <w:spacing w:after="0" w:line="240" w:lineRule="auto"/>
        <w:jc w:val="left"/>
        <w:rPr>
          <w:sz w:val="2"/>
          <w:szCs w:val="2"/>
        </w:rPr>
      </w:pPr>
    </w:p>
    <w:p w14:paraId="077ED96E" w14:textId="30C9DD71" w:rsidR="003C6550" w:rsidRDefault="003C6550">
      <w:pPr>
        <w:spacing w:after="0" w:line="240" w:lineRule="auto"/>
        <w:jc w:val="left"/>
        <w:rPr>
          <w:rFonts w:eastAsia="MS Gothic"/>
          <w:b/>
          <w:bCs/>
          <w:color w:val="86BF5E"/>
          <w:sz w:val="32"/>
          <w:szCs w:val="28"/>
        </w:rPr>
      </w:pPr>
    </w:p>
    <w:p w14:paraId="7B39D861" w14:textId="1B474D05" w:rsidR="00443556" w:rsidRDefault="00443556">
      <w:pPr>
        <w:spacing w:after="0" w:line="240" w:lineRule="auto"/>
        <w:jc w:val="left"/>
        <w:rPr>
          <w:rFonts w:eastAsia="MS Gothic"/>
          <w:b/>
          <w:bCs/>
          <w:color w:val="86BF5E"/>
          <w:sz w:val="32"/>
          <w:szCs w:val="28"/>
        </w:rPr>
      </w:pPr>
      <w:bookmarkStart w:id="2" w:name="_GoBack"/>
      <w:bookmarkEnd w:id="2"/>
    </w:p>
    <w:bookmarkEnd w:id="1"/>
    <w:sectPr w:rsidR="00443556" w:rsidSect="000D1EBF">
      <w:headerReference w:type="even" r:id="rId14"/>
      <w:headerReference w:type="default" r:id="rId15"/>
      <w:footerReference w:type="even" r:id="rId16"/>
      <w:footerReference w:type="default" r:id="rId17"/>
      <w:pgSz w:w="11906" w:h="16838" w:code="9"/>
      <w:pgMar w:top="1134" w:right="1134" w:bottom="1418" w:left="1134" w:header="680" w:footer="680"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2EF3C" w14:textId="77777777" w:rsidR="00DC48F1" w:rsidRDefault="00DC48F1" w:rsidP="00E71A58">
      <w:r>
        <w:separator/>
      </w:r>
    </w:p>
  </w:endnote>
  <w:endnote w:type="continuationSeparator" w:id="0">
    <w:p w14:paraId="70B7E2B6" w14:textId="77777777" w:rsidR="00DC48F1" w:rsidRDefault="00DC48F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8" w14:textId="416BBFF0" w:rsidR="009855E1" w:rsidRPr="00932443" w:rsidRDefault="009855E1" w:rsidP="00A418BC">
    <w:pPr>
      <w:pStyle w:val="Zpat"/>
      <w:rPr>
        <w:szCs w:val="16"/>
      </w:rPr>
    </w:pPr>
    <w:r>
      <w:rPr>
        <w:szCs w:val="16"/>
        <w:lang w:eastAsia="cs-CZ"/>
      </w:rPr>
      <w:drawing>
        <wp:anchor distT="0" distB="0" distL="114300" distR="114300" simplePos="0" relativeHeight="251658240" behindDoc="0" locked="0" layoutInCell="1" allowOverlap="1" wp14:anchorId="2143298A" wp14:editId="2143298B">
          <wp:simplePos x="0" y="0"/>
          <wp:positionH relativeFrom="column">
            <wp:align>right</wp:align>
          </wp:positionH>
          <wp:positionV relativeFrom="paragraph">
            <wp:posOffset>-64770</wp:posOffset>
          </wp:positionV>
          <wp:extent cx="428625" cy="201295"/>
          <wp:effectExtent l="0" t="0" r="3175" b="1905"/>
          <wp:wrapNone/>
          <wp:docPr id="21"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fldChar w:fldCharType="begin"/>
    </w:r>
    <w:r w:rsidRPr="00932443">
      <w:rPr>
        <w:szCs w:val="16"/>
      </w:rPr>
      <w:instrText>PAGE   \* MERGEFORMAT</w:instrText>
    </w:r>
    <w:r w:rsidRPr="00932443">
      <w:rPr>
        <w:szCs w:val="16"/>
      </w:rPr>
      <w:fldChar w:fldCharType="separate"/>
    </w:r>
    <w:r w:rsidR="000D1EBF">
      <w:rPr>
        <w:szCs w:val="16"/>
      </w:rPr>
      <w:t>36</w:t>
    </w:r>
    <w:r w:rsidRPr="00932443">
      <w:rPr>
        <w:szCs w:val="16"/>
      </w:rPr>
      <w:fldChar w:fldCharType="end"/>
    </w:r>
    <w:r w:rsidRPr="00932443">
      <w:rPr>
        <w:szCs w:val="16"/>
      </w:rPr>
      <w:tab/>
    </w:r>
    <w:r>
      <w:rPr>
        <w:szCs w:val="16"/>
      </w:rPr>
      <w:t>1. až 3. čtvrtletí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9" w14:textId="228063D7" w:rsidR="009855E1" w:rsidRPr="00932443" w:rsidRDefault="009855E1" w:rsidP="00A418BC">
    <w:pPr>
      <w:pStyle w:val="Zpat"/>
      <w:rPr>
        <w:szCs w:val="16"/>
      </w:rPr>
    </w:pPr>
    <w:r>
      <w:rPr>
        <w:szCs w:val="16"/>
        <w:lang w:eastAsia="cs-CZ"/>
      </w:rPr>
      <w:drawing>
        <wp:anchor distT="0" distB="0" distL="114300" distR="114300" simplePos="0" relativeHeight="251657216" behindDoc="0" locked="0" layoutInCell="1" allowOverlap="1" wp14:anchorId="2143298C" wp14:editId="2143298D">
          <wp:simplePos x="0" y="0"/>
          <wp:positionH relativeFrom="column">
            <wp:align>left</wp:align>
          </wp:positionH>
          <wp:positionV relativeFrom="paragraph">
            <wp:posOffset>-122555</wp:posOffset>
          </wp:positionV>
          <wp:extent cx="510540" cy="272415"/>
          <wp:effectExtent l="0" t="0" r="0" b="6985"/>
          <wp:wrapNone/>
          <wp:docPr id="22"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tab/>
    </w:r>
    <w:r>
      <w:rPr>
        <w:szCs w:val="16"/>
      </w:rPr>
      <w:t>1. až 3.čtvrtletí 2024</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0D1EBF">
      <w:rPr>
        <w:rStyle w:val="ZpatChar"/>
        <w:szCs w:val="16"/>
      </w:rPr>
      <w:t>37</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0D8F6" w14:textId="77777777" w:rsidR="00DC48F1" w:rsidRDefault="00DC48F1" w:rsidP="00EA4302">
      <w:pPr>
        <w:spacing w:after="0"/>
      </w:pPr>
      <w:r>
        <w:separator/>
      </w:r>
    </w:p>
  </w:footnote>
  <w:footnote w:type="continuationSeparator" w:id="0">
    <w:p w14:paraId="70CDBF0C" w14:textId="77777777" w:rsidR="00DC48F1" w:rsidRDefault="00DC48F1" w:rsidP="00E71A58">
      <w:r>
        <w:continuationSeparator/>
      </w:r>
    </w:p>
  </w:footnote>
  <w:footnote w:id="1">
    <w:p w14:paraId="0596792F" w14:textId="77777777" w:rsidR="0038123E" w:rsidRDefault="0038123E" w:rsidP="0038123E">
      <w:pPr>
        <w:pStyle w:val="Textpoznpodarou"/>
        <w:jc w:val="both"/>
        <w:rPr>
          <w:color w:val="0D0D0D" w:themeColor="text1" w:themeTint="F2"/>
          <w:spacing w:val="-2"/>
          <w:sz w:val="16"/>
          <w:szCs w:val="16"/>
        </w:rPr>
      </w:pPr>
      <w:r>
        <w:rPr>
          <w:rStyle w:val="Znakapoznpodarou"/>
          <w:color w:val="0D0D0D" w:themeColor="text1" w:themeTint="F2"/>
          <w:spacing w:val="-2"/>
        </w:rPr>
        <w:footnoteRef/>
      </w:r>
      <w:r>
        <w:rPr>
          <w:color w:val="0D0D0D" w:themeColor="text1" w:themeTint="F2"/>
          <w:spacing w:val="-2"/>
          <w:sz w:val="16"/>
          <w:szCs w:val="16"/>
        </w:rPr>
        <w:t xml:space="preserve"> Údaje o zaměstnanosti vycházejí z pojetí národních účtů. Jsou vyjádřeny ve fyzických osobách a očištěny o sezónní vlivy. Na rozdíl od údajů z podnikové statistiky či z </w:t>
      </w:r>
      <w:r>
        <w:rPr>
          <w:sz w:val="16"/>
          <w:szCs w:val="16"/>
        </w:rPr>
        <w:t>výběrového šetření pracovních sil (VŠPS) zahrnují např. i odhad vlivu šedé ekonomiky.</w:t>
      </w:r>
    </w:p>
  </w:footnote>
  <w:footnote w:id="2">
    <w:p w14:paraId="78B3ABC1" w14:textId="77777777" w:rsidR="0038123E" w:rsidRDefault="0038123E" w:rsidP="0038123E">
      <w:pPr>
        <w:pStyle w:val="Textpoznpodarou"/>
        <w:rPr>
          <w:spacing w:val="-3"/>
          <w:sz w:val="16"/>
          <w:szCs w:val="16"/>
        </w:rPr>
      </w:pPr>
      <w:r>
        <w:rPr>
          <w:rStyle w:val="Znakapoznpodarou"/>
          <w:spacing w:val="-3"/>
        </w:rPr>
        <w:footnoteRef/>
      </w:r>
      <w:r>
        <w:rPr>
          <w:spacing w:val="-3"/>
          <w:sz w:val="16"/>
          <w:szCs w:val="16"/>
        </w:rPr>
        <w:t xml:space="preserve"> Zaměstnanost v Česku roste v posledních letech pomaleji než v EU. V celé Unii se ve 3. čtvrtletí 2024 meziročně zvýšil počet pracovníků </w:t>
      </w:r>
      <w:r>
        <w:rPr>
          <w:spacing w:val="-3"/>
          <w:sz w:val="16"/>
          <w:szCs w:val="16"/>
        </w:rPr>
        <w:br/>
        <w:t xml:space="preserve">o 0,7 % (stejně jako v tuzemsku šlo o jedno z nejnižších temp od jara 2021). Také v EU spočívalo těžiště růstu zaměstnanosti v terciární sféře – nejvíce se zvyšovala ve veřejných službách (+1,5 %) a dále v informačních a komunikačních činnostech (+1,4 %). Místa naopak ztrácel průmysl (−0,2 %) a zejména zemědělství, lesnictví a rybářství (5 %). Z jednotlivých států vzrostl celkový počet pracovníků nejvíce </w:t>
      </w:r>
      <w:r>
        <w:rPr>
          <w:spacing w:val="-3"/>
          <w:sz w:val="16"/>
          <w:szCs w:val="16"/>
        </w:rPr>
        <w:br/>
        <w:t>v Chorvatsku (+7,1 %) či Irsku (+3,6 %), z významných ekonomik ve Španělsku (+2,1 %) a v Itálii (+1,8 %). Počet pracovníků klesl jen v šesti vesměs menších zemích – zejména v Lotyšsku (−1,2 %) a Finsku (−1,1 %), ale též v Polsku (−0,7 %) či Rumunsku (−0,2 %), ve většině případů hlavně vinou nepříznivého vývoje v průmyslu. I velmi mírný celkový růst v Česku znamenal nejvyšší tempo v regionu střední Evropy. V Německu sice pracovníků celkově mírně přibylo (+0,2 %), v samotném zpracovatelském průmyslu se ale jejich úbytek prohloubil na 1,2 %.</w:t>
      </w:r>
    </w:p>
  </w:footnote>
  <w:footnote w:id="3">
    <w:p w14:paraId="1FD10759" w14:textId="77777777" w:rsidR="0038123E" w:rsidRDefault="0038123E" w:rsidP="0038123E">
      <w:pPr>
        <w:pStyle w:val="Textpoznpodarou"/>
      </w:pPr>
      <w:r>
        <w:rPr>
          <w:rStyle w:val="Znakapoznpodarou"/>
        </w:rPr>
        <w:footnoteRef/>
      </w:r>
      <w:r>
        <w:rPr>
          <w:sz w:val="16"/>
          <w:szCs w:val="16"/>
        </w:rPr>
        <w:t xml:space="preserve"> </w:t>
      </w:r>
      <w:r>
        <w:rPr>
          <w:spacing w:val="-2"/>
          <w:sz w:val="16"/>
          <w:szCs w:val="16"/>
        </w:rPr>
        <w:t>Zahrnují odvětví Veřejná správa a obrana, vzdělávání, zdravotní a sociální péče.</w:t>
      </w:r>
    </w:p>
  </w:footnote>
  <w:footnote w:id="4">
    <w:p w14:paraId="31139B1A" w14:textId="77777777" w:rsidR="0038123E" w:rsidRDefault="0038123E" w:rsidP="0038123E">
      <w:pPr>
        <w:pStyle w:val="Textpoznpodarou"/>
        <w:rPr>
          <w:sz w:val="16"/>
          <w:szCs w:val="16"/>
        </w:rPr>
      </w:pPr>
      <w:r>
        <w:rPr>
          <w:rStyle w:val="Znakapoznpodarou"/>
        </w:rPr>
        <w:footnoteRef/>
      </w:r>
      <w:r>
        <w:rPr>
          <w:sz w:val="16"/>
          <w:szCs w:val="16"/>
        </w:rPr>
        <w:t xml:space="preserve"> Pracovníků přibylo nejvíce v sekci ostatní služby (+2,3 %) zahrnující vedle kulturních, zábavních a rekreačních činností např. různé služby pro domácnosti (opravy výrobků, kadeřnické a kosmetické činnosti aj.). Zaměstnanost v této sekci, citelně postižená v období protipandemických restrikcí, ovšem stále mírně zaostávala za úrovní z roku 2019 (o 1,5 %).</w:t>
      </w:r>
    </w:p>
  </w:footnote>
  <w:footnote w:id="5">
    <w:p w14:paraId="58321002" w14:textId="77777777" w:rsidR="0038123E" w:rsidRDefault="0038123E" w:rsidP="0038123E">
      <w:pPr>
        <w:pStyle w:val="Textpoznpodarou"/>
        <w:rPr>
          <w:sz w:val="16"/>
          <w:szCs w:val="16"/>
        </w:rPr>
      </w:pPr>
      <w:r>
        <w:rPr>
          <w:rStyle w:val="Znakapoznpodarou"/>
        </w:rPr>
        <w:footnoteRef/>
      </w:r>
      <w:r>
        <w:rPr>
          <w:sz w:val="16"/>
          <w:szCs w:val="16"/>
        </w:rPr>
        <w:t xml:space="preserve"> Pokles zaměstnanosti (vyjádřený ve fyzických osobách) nastal ve 3. čtvrtletí napříč takřka všemi zpracovatelskými obory. Výjimkou bylo potravinářství (3,4 %) a také chemický a kovodělný průmysl, kde se zaměstnanost stabilizovala.</w:t>
      </w:r>
    </w:p>
  </w:footnote>
  <w:footnote w:id="6">
    <w:p w14:paraId="139CF538" w14:textId="77777777" w:rsidR="0038123E" w:rsidRDefault="0038123E" w:rsidP="0038123E">
      <w:pPr>
        <w:pStyle w:val="Textpoznpodarou"/>
        <w:rPr>
          <w:sz w:val="16"/>
          <w:szCs w:val="16"/>
        </w:rPr>
      </w:pPr>
      <w:r>
        <w:rPr>
          <w:rStyle w:val="Znakapoznpodarou"/>
        </w:rPr>
        <w:footnoteRef/>
      </w:r>
      <w:r>
        <w:rPr>
          <w:sz w:val="16"/>
          <w:szCs w:val="16"/>
        </w:rPr>
        <w:t xml:space="preserve"> Dle údajů z VŠPS vzrostl v Česku ve 2. čtvrtletí 2024 podíl osob ve věku 15 až 74 let pracujících na zkrácené úvazky meziročně o 1,1 p. b., na rekordních 8,9 %. Hned po Dánsku jde o nejvýraznější nárůst v rámci EU. Mezi ženami ve věku 25 až 49 let jich touto formou pracovalo již 13,1 %. To bylo sice stále skoro o polovinu méně než v EU, avšak v rámci zemí, jež do Unie vstoupily až po roce 2000, mělo aktuálně vyšší podíl takto pracujících žen jen Estonsko (15,9 %) a Malta (13,9 %). </w:t>
      </w:r>
    </w:p>
  </w:footnote>
  <w:footnote w:id="7">
    <w:p w14:paraId="07782CAE" w14:textId="77777777" w:rsidR="0038123E" w:rsidRDefault="0038123E" w:rsidP="0038123E">
      <w:pPr>
        <w:pStyle w:val="Textpoznpodarou"/>
        <w:rPr>
          <w:sz w:val="16"/>
          <w:szCs w:val="16"/>
        </w:rPr>
      </w:pPr>
      <w:r>
        <w:rPr>
          <w:rStyle w:val="Znakapoznpodarou"/>
        </w:rPr>
        <w:footnoteRef/>
      </w:r>
      <w:r>
        <w:rPr>
          <w:sz w:val="16"/>
          <w:szCs w:val="16"/>
        </w:rPr>
        <w:t xml:space="preserve"> Dle experimentální statistiky ČSÚ klesl ve 3. čtvrtletí 2024 počet osob pracujících na dohodu o provedení práce meziročně o 6 % </w:t>
      </w:r>
      <w:r>
        <w:rPr>
          <w:sz w:val="16"/>
          <w:szCs w:val="16"/>
        </w:rPr>
        <w:br/>
        <w:t>a počet jimi odpracovaných hodin o 13 % (snižoval se přitom ve všech dosavadních letošních kvartálech). Poznámka: osoby pracující na dohody současně u více zaměstnavatelů jsou zahrnuty vícenásobně (tj. samostatně u každého zaměstnavatele).</w:t>
      </w:r>
    </w:p>
  </w:footnote>
  <w:footnote w:id="8">
    <w:p w14:paraId="2856BFB1" w14:textId="77777777" w:rsidR="0038123E" w:rsidRDefault="0038123E" w:rsidP="0038123E">
      <w:pPr>
        <w:pStyle w:val="Textpoznpodarou"/>
        <w:rPr>
          <w:sz w:val="16"/>
          <w:szCs w:val="16"/>
        </w:rPr>
      </w:pPr>
      <w:r>
        <w:rPr>
          <w:rStyle w:val="Znakapoznpodarou"/>
        </w:rPr>
        <w:footnoteRef/>
      </w:r>
      <w:r>
        <w:rPr>
          <w:sz w:val="16"/>
          <w:szCs w:val="16"/>
        </w:rPr>
        <w:t xml:space="preserve"> V celé EU mělo ve 3. čtvrtletí dvě zaměstnání 4,1 % pracovníků. Mezi členskými státy měly nejvyšší podíl takto zaměstnaných Nizozemsko a Dánsko (10 %), nadprůměrný byl také v severských zemích a Pobaltí.</w:t>
      </w:r>
    </w:p>
  </w:footnote>
  <w:footnote w:id="9">
    <w:p w14:paraId="2304B0C9" w14:textId="77777777" w:rsidR="0038123E" w:rsidRDefault="0038123E" w:rsidP="0038123E">
      <w:pPr>
        <w:pStyle w:val="Textpoznpodarou"/>
        <w:rPr>
          <w:sz w:val="16"/>
          <w:szCs w:val="16"/>
        </w:rPr>
      </w:pPr>
      <w:r>
        <w:rPr>
          <w:rStyle w:val="Znakapoznpodarou"/>
        </w:rPr>
        <w:footnoteRef/>
      </w:r>
      <w:r>
        <w:rPr>
          <w:sz w:val="16"/>
          <w:szCs w:val="16"/>
        </w:rPr>
        <w:t xml:space="preserve"> Skoro čtyři pětiny veškerých občanů Ukrajiny (resp. 67 % mužů a 88 % žen) působících v ČR v zaměstnaneckém postavení nepotřebovalo na konci 3. čtvrtletí 2024 oprávnění k zaměstnání (pracovní povolení, zaměstnanecké či modré karty). </w:t>
      </w:r>
    </w:p>
  </w:footnote>
  <w:footnote w:id="10">
    <w:p w14:paraId="05FECD70" w14:textId="77777777" w:rsidR="0038123E" w:rsidRDefault="0038123E" w:rsidP="0038123E">
      <w:pPr>
        <w:pStyle w:val="Textpoznpodarou"/>
        <w:rPr>
          <w:sz w:val="16"/>
          <w:szCs w:val="16"/>
        </w:rPr>
      </w:pPr>
      <w:r>
        <w:rPr>
          <w:rStyle w:val="Znakapoznpodarou"/>
        </w:rPr>
        <w:footnoteRef/>
      </w:r>
      <w:r>
        <w:rPr>
          <w:sz w:val="16"/>
          <w:szCs w:val="16"/>
        </w:rPr>
        <w:t xml:space="preserve"> Od 1. července 2024 nově nepotřebují v Česku pracovní povolení ani zaměstnanecké karty cizinci z některých ekonomicky vyspělých zemí mimo EU (USA, Velká Británie, Kanada, Austrálie, Nový Zéland, Japonsko, Jižní Korea, Izrael a Singapur).</w:t>
      </w:r>
    </w:p>
  </w:footnote>
  <w:footnote w:id="11">
    <w:p w14:paraId="1B1C00EE" w14:textId="77777777" w:rsidR="0038123E" w:rsidRDefault="0038123E" w:rsidP="0038123E">
      <w:pPr>
        <w:pStyle w:val="Textpoznpodarou"/>
        <w:rPr>
          <w:sz w:val="16"/>
          <w:szCs w:val="16"/>
        </w:rPr>
      </w:pPr>
      <w:r>
        <w:rPr>
          <w:rStyle w:val="Znakapoznpodarou"/>
        </w:rPr>
        <w:footnoteRef/>
      </w:r>
      <w:r>
        <w:rPr>
          <w:sz w:val="16"/>
          <w:szCs w:val="16"/>
        </w:rPr>
        <w:t xml:space="preserve"> Vedle toho evidovalo MPO ve stejném období 127 tis. </w:t>
      </w:r>
      <w:r>
        <w:rPr>
          <w:color w:val="0D0D0D" w:themeColor="text1" w:themeTint="F2"/>
          <w:spacing w:val="-6"/>
          <w:sz w:val="16"/>
          <w:szCs w:val="16"/>
        </w:rPr>
        <w:t xml:space="preserve">cizích státních příslušníků s živnostenským oprávněním v Česku. K jejich meziročnímu růstu (+10 %) skoro ze dvou třetin přispěli Ukrajinci, jichž v Česku podnikalo 40 tis. Mezi podnikajícími cizinci se na rozdíl od </w:t>
      </w:r>
      <w:r>
        <w:rPr>
          <w:sz w:val="16"/>
          <w:szCs w:val="16"/>
        </w:rPr>
        <w:t>cizinců v zaměstnaneckém postavení častěji vyskytují lidé v Česku dlouhodobě usazení (např. Vietnamci).</w:t>
      </w:r>
    </w:p>
  </w:footnote>
  <w:footnote w:id="12">
    <w:p w14:paraId="1C5C69A1" w14:textId="77777777" w:rsidR="0038123E" w:rsidRDefault="0038123E" w:rsidP="0038123E">
      <w:pPr>
        <w:pStyle w:val="Textpoznpodarou"/>
        <w:rPr>
          <w:sz w:val="16"/>
          <w:szCs w:val="16"/>
        </w:rPr>
      </w:pPr>
      <w:r>
        <w:rPr>
          <w:rStyle w:val="Znakapoznpodarou"/>
        </w:rPr>
        <w:footnoteRef/>
      </w:r>
      <w:r>
        <w:rPr>
          <w:sz w:val="16"/>
          <w:szCs w:val="16"/>
        </w:rPr>
        <w:t xml:space="preserve"> Není-li uvedeno jinak, jsou dále použity sezónně očištěné údaje.</w:t>
      </w:r>
    </w:p>
  </w:footnote>
  <w:footnote w:id="13">
    <w:p w14:paraId="204CFDB0" w14:textId="77777777" w:rsidR="0038123E" w:rsidRPr="00443556" w:rsidRDefault="0038123E" w:rsidP="00443556">
      <w:pPr>
        <w:pStyle w:val="Textpoznpodarou"/>
        <w:rPr>
          <w:color w:val="0D0D0D" w:themeColor="text1" w:themeTint="F2"/>
          <w:spacing w:val="-2"/>
          <w:sz w:val="16"/>
          <w:szCs w:val="16"/>
        </w:rPr>
      </w:pPr>
      <w:r w:rsidRPr="00443556">
        <w:rPr>
          <w:rStyle w:val="Znakapoznpodarou"/>
          <w:color w:val="0D0D0D" w:themeColor="text1" w:themeTint="F2"/>
          <w:spacing w:val="-2"/>
          <w:sz w:val="16"/>
          <w:szCs w:val="16"/>
        </w:rPr>
        <w:footnoteRef/>
      </w:r>
      <w:r w:rsidRPr="00443556">
        <w:rPr>
          <w:color w:val="0D0D0D" w:themeColor="text1" w:themeTint="F2"/>
          <w:spacing w:val="-2"/>
          <w:sz w:val="16"/>
          <w:szCs w:val="16"/>
        </w:rPr>
        <w:t xml:space="preserve"> Převažující negativní očekávání zaměstnanosti vyjádřily (dle šetření z listopadu 2024) podniky v 90 % zpracovatelských průmyslových oborů. Nejhorší vyhlídky měly hutnictví, elektronický průmysl, oděvnictví a výroba nápojů. Naopak pozitivní perspektivy přetrvávaly pouze ve výrobě kolejových dopravních prostředků, potravinářství a obuvnickém průmyslu.</w:t>
      </w:r>
    </w:p>
    <w:p w14:paraId="44AD0541" w14:textId="77777777" w:rsidR="0038123E" w:rsidRPr="00443556" w:rsidRDefault="0038123E" w:rsidP="00443556">
      <w:pPr>
        <w:pStyle w:val="Textpoznpodarou"/>
        <w:rPr>
          <w:color w:val="0D0D0D" w:themeColor="text1" w:themeTint="F2"/>
          <w:spacing w:val="-2"/>
          <w:sz w:val="16"/>
          <w:szCs w:val="16"/>
        </w:rPr>
      </w:pPr>
      <w:r w:rsidRPr="00443556">
        <w:rPr>
          <w:color w:val="0D0D0D" w:themeColor="text1" w:themeTint="F2"/>
          <w:spacing w:val="-2"/>
          <w:sz w:val="16"/>
          <w:szCs w:val="16"/>
        </w:rPr>
        <w:t>Ve službách převažovala negativní očekávání v necelé polovině dílčích odvětví. Nejvíce byla patrná v tvůrčích, uměleckých a zábavních činnostech, ve veterinárních činnostech, vodní i letecké dopravě, vydavatelství, s odstupem pak v peněžnictví, pozemní dopravě či cestovních agenturách. Naopak optimismus převládal v poštovních a kurýrních činnostech, pojišťovnictví, právních a účetnických činnostech, vědě a výzkumu, pracovních agenturách a většině oborů informačních a komunikačních činností.</w:t>
      </w:r>
    </w:p>
  </w:footnote>
  <w:footnote w:id="14">
    <w:p w14:paraId="3CAF70EB" w14:textId="77777777" w:rsidR="0038123E" w:rsidRPr="00443556" w:rsidRDefault="0038123E" w:rsidP="00443556">
      <w:pPr>
        <w:pStyle w:val="Textpoznpodarou"/>
        <w:rPr>
          <w:rFonts w:cs="Arial"/>
          <w:sz w:val="16"/>
          <w:szCs w:val="16"/>
        </w:rPr>
      </w:pPr>
      <w:r w:rsidRPr="00443556">
        <w:rPr>
          <w:rStyle w:val="Znakapoznpodarou"/>
          <w:rFonts w:cs="Arial"/>
          <w:color w:val="0D0D0D" w:themeColor="text1" w:themeTint="F2"/>
          <w:sz w:val="16"/>
          <w:szCs w:val="16"/>
        </w:rPr>
        <w:footnoteRef/>
      </w:r>
      <w:r w:rsidRPr="00443556">
        <w:rPr>
          <w:rFonts w:cs="Arial"/>
          <w:color w:val="0D0D0D" w:themeColor="text1" w:themeTint="F2"/>
          <w:sz w:val="16"/>
          <w:szCs w:val="16"/>
        </w:rPr>
        <w:t xml:space="preserve"> Podniky mohly uvést více bariér současně.</w:t>
      </w:r>
    </w:p>
  </w:footnote>
  <w:footnote w:id="15">
    <w:p w14:paraId="318BCD33" w14:textId="77777777" w:rsidR="0038123E" w:rsidRPr="00443556" w:rsidRDefault="0038123E" w:rsidP="00443556">
      <w:pPr>
        <w:pStyle w:val="Textpoznpodarou"/>
        <w:rPr>
          <w:rFonts w:cs="Arial"/>
          <w:spacing w:val="-3"/>
          <w:sz w:val="16"/>
          <w:szCs w:val="16"/>
        </w:rPr>
      </w:pPr>
      <w:r w:rsidRPr="00443556">
        <w:rPr>
          <w:rStyle w:val="Znakapoznpodarou"/>
          <w:rFonts w:cs="Arial"/>
          <w:spacing w:val="-3"/>
          <w:sz w:val="16"/>
          <w:szCs w:val="16"/>
        </w:rPr>
        <w:footnoteRef/>
      </w:r>
      <w:r w:rsidRPr="00443556">
        <w:rPr>
          <w:rFonts w:cs="Arial"/>
          <w:spacing w:val="-3"/>
          <w:sz w:val="16"/>
          <w:szCs w:val="16"/>
        </w:rPr>
        <w:t xml:space="preserve"> Není-li uvedeno jinak, vycházejí všechny údaje o mírách nezaměstnanosti z VŠPS (dle metodiky ILO) a jsou očištěny o sezónní vlivy.</w:t>
      </w:r>
    </w:p>
  </w:footnote>
  <w:footnote w:id="16">
    <w:p w14:paraId="5B4BF198" w14:textId="2A879EA7" w:rsidR="0038123E" w:rsidRPr="00443556" w:rsidRDefault="0038123E" w:rsidP="00443556">
      <w:pPr>
        <w:pStyle w:val="paragraph"/>
        <w:spacing w:before="0" w:beforeAutospacing="0" w:after="0" w:afterAutospacing="0"/>
        <w:textAlignment w:val="baseline"/>
        <w:rPr>
          <w:rFonts w:ascii="Arial" w:eastAsia="Calibri" w:hAnsi="Arial"/>
          <w:color w:val="0D0D0D" w:themeColor="text1" w:themeTint="F2"/>
          <w:spacing w:val="-3"/>
          <w:sz w:val="16"/>
          <w:szCs w:val="16"/>
        </w:rPr>
      </w:pPr>
      <w:r w:rsidRPr="00443556">
        <w:rPr>
          <w:rStyle w:val="Znakapoznpodarou"/>
          <w:rFonts w:ascii="Arial" w:hAnsi="Arial" w:cs="Arial"/>
          <w:color w:val="0D0D0D" w:themeColor="text1" w:themeTint="F2"/>
          <w:sz w:val="16"/>
          <w:szCs w:val="16"/>
        </w:rPr>
        <w:footnoteRef/>
      </w:r>
      <w:r w:rsidRPr="00443556">
        <w:rPr>
          <w:rFonts w:ascii="Arial" w:hAnsi="Arial" w:cs="Arial"/>
          <w:color w:val="0D0D0D" w:themeColor="text1" w:themeTint="F2"/>
          <w:sz w:val="16"/>
          <w:szCs w:val="16"/>
        </w:rPr>
        <w:t xml:space="preserve"> </w:t>
      </w:r>
      <w:r w:rsidRPr="00443556">
        <w:rPr>
          <w:rFonts w:ascii="Arial" w:eastAsia="Calibri" w:hAnsi="Arial" w:cs="Arial"/>
          <w:color w:val="0D0D0D" w:themeColor="text1" w:themeTint="F2"/>
          <w:spacing w:val="-3"/>
          <w:sz w:val="16"/>
          <w:szCs w:val="16"/>
        </w:rPr>
        <w:t xml:space="preserve">Nízká </w:t>
      </w:r>
      <w:r w:rsidRPr="00443556">
        <w:rPr>
          <w:rFonts w:ascii="Arial" w:eastAsia="Calibri" w:hAnsi="Arial" w:cs="Arial"/>
          <w:color w:val="0D0D0D" w:themeColor="text1" w:themeTint="F2"/>
          <w:spacing w:val="-2"/>
          <w:sz w:val="16"/>
          <w:szCs w:val="16"/>
        </w:rPr>
        <w:t>nezaměstnanost přetrvává rovněž v EU – letos v říjnu dosáhla ve skupině 15 až 74letých 5,9 % (v eurozóně 6,3 %). Meziměsíčně se sice podruhé v řadě nezměnila, avšak meziročně byla lehce nižší – o 0,2 p. b. (resp. 0,3 p. b.), zejména díky zlepšení u žen. Jejich nezaměstnanost</w:t>
      </w:r>
      <w:r w:rsidRPr="00443556">
        <w:rPr>
          <w:rFonts w:ascii="Arial" w:eastAsia="Calibri" w:hAnsi="Arial"/>
          <w:color w:val="0D0D0D" w:themeColor="text1" w:themeTint="F2"/>
          <w:spacing w:val="-2"/>
          <w:sz w:val="16"/>
          <w:szCs w:val="16"/>
        </w:rPr>
        <w:t xml:space="preserve"> činila 6,1 % (u mužů klesla v Unii na 5,7 %). Celková nezaměstnanost v EU je v dostupné řadě od roku 2000 nejnižší a proti počátku roku 2008 je příznivější o 1 p. b. (v EU i eurozóně). Celková nezaměstnanost v Česku (2,6 %) byla nepřetržitě již osm let nejnižší v Unii – aktuálně před Maltou (3,0 %), Polskem (3,1 %), Německem (3,4 %) a Nizozemskem (3,7 %). Výsadní postavení mělo Česko tradičně díky mužům (2,4 %). Ale i u žen, kde nezaměstnanost tradičně více kolísá, dosáhla aktuálně lehce nižší úrovně než v tuzemsku (2,9 %) jen Malta. Ve 12 členských státech celková nezaměstnanost meziročně vzrostla – nejvíce v Estonsku (z 6,2 % na 8,1 %), jež bojuje s dozvuky hospodářské recese z předchozích dvou let, dále ve Slovinsku (+1,4 p. b.) a Finsku (+1,3 p. b.). Naopak zlepšení nastalo hlavně na jihu -  zejména v Itálii (ze 7,8 % na 5,8 % – nejnižší úroveň od roku 2007), Kypru a v Chorvatsku (−1,2 p. b.), Řecku (−1,0</w:t>
      </w:r>
      <w:r w:rsidR="00443556" w:rsidRPr="00443556">
        <w:rPr>
          <w:rFonts w:ascii="Arial" w:eastAsia="Calibri" w:hAnsi="Arial"/>
          <w:color w:val="0D0D0D" w:themeColor="text1" w:themeTint="F2"/>
          <w:spacing w:val="-2"/>
          <w:sz w:val="16"/>
          <w:szCs w:val="16"/>
        </w:rPr>
        <w:t> </w:t>
      </w:r>
      <w:r w:rsidRPr="00443556">
        <w:rPr>
          <w:rFonts w:ascii="Arial" w:eastAsia="Calibri" w:hAnsi="Arial"/>
          <w:color w:val="0D0D0D" w:themeColor="text1" w:themeTint="F2"/>
          <w:spacing w:val="-2"/>
          <w:sz w:val="16"/>
          <w:szCs w:val="16"/>
        </w:rPr>
        <w:t xml:space="preserve">p. b.) a Španělsku, kde došlo k poklesu o 0,7 p. b., i tak zde byla nezaměstnanost nejvyšší v EU (11,2 %), a to u mužů i žen. </w:t>
      </w:r>
      <w:r w:rsidRPr="00443556">
        <w:rPr>
          <w:rFonts w:ascii="Arial" w:eastAsia="Calibri" w:hAnsi="Arial"/>
          <w:color w:val="0D0D0D" w:themeColor="text1" w:themeTint="F2"/>
          <w:spacing w:val="-3"/>
          <w:sz w:val="16"/>
          <w:szCs w:val="16"/>
        </w:rPr>
        <w:t>Příznivé postavení má Česko i v nezaměstnanosti osob do 25 let, neboť dlouhodobě patří do třetiny zemí Unie s nejnižší nezaměstnaností mladých. Ta aktuálně v tuzemsku dosahovala 10,4 % (v EU 15,2 %) a více než 20% nezaměstnanost sužovala hned sedm členských zemí – zejména státy jižního křídla eurozóny, ale také Rumunsko a Švédsko.</w:t>
      </w:r>
    </w:p>
  </w:footnote>
  <w:footnote w:id="17">
    <w:p w14:paraId="0B804CC8" w14:textId="77777777" w:rsidR="0038123E" w:rsidRPr="00443556" w:rsidRDefault="0038123E" w:rsidP="00443556">
      <w:pPr>
        <w:pStyle w:val="Textpoznpodarou"/>
        <w:rPr>
          <w:sz w:val="16"/>
          <w:szCs w:val="16"/>
        </w:rPr>
      </w:pPr>
      <w:r w:rsidRPr="00443556">
        <w:rPr>
          <w:rStyle w:val="Znakapoznpodarou"/>
          <w:sz w:val="16"/>
          <w:szCs w:val="16"/>
        </w:rPr>
        <w:footnoteRef/>
      </w:r>
      <w:r w:rsidRPr="00443556">
        <w:rPr>
          <w:sz w:val="16"/>
          <w:szCs w:val="16"/>
        </w:rPr>
        <w:t xml:space="preserve"> Pouze šestina z tohoto počtu je ovšem schopna nastoupit bezprostředně do práce. Významnou část pracovních rezerv totiž tvoří studenti a ženy na rodičovské dovolené.</w:t>
      </w:r>
    </w:p>
  </w:footnote>
  <w:footnote w:id="18">
    <w:p w14:paraId="540E5219" w14:textId="77777777" w:rsidR="0038123E" w:rsidRPr="00443556" w:rsidRDefault="0038123E" w:rsidP="00443556">
      <w:pPr>
        <w:pStyle w:val="Textpoznpodarou"/>
        <w:rPr>
          <w:sz w:val="16"/>
          <w:szCs w:val="16"/>
        </w:rPr>
      </w:pPr>
      <w:r w:rsidRPr="00443556">
        <w:rPr>
          <w:rStyle w:val="Znakapoznpodarou"/>
          <w:sz w:val="16"/>
          <w:szCs w:val="16"/>
        </w:rPr>
        <w:footnoteRef/>
      </w:r>
      <w:r w:rsidRPr="00443556">
        <w:rPr>
          <w:sz w:val="16"/>
          <w:szCs w:val="16"/>
        </w:rPr>
        <w:t xml:space="preserve"> Výjimkou byla jen místa pro uchazeče bez vzdělání, jichž přibylo o 4 tis. a na celkové nabídce míst se podílely 8 % (spolu s pozicemi pro osoby se základním vzděláním pak 74 %).</w:t>
      </w:r>
    </w:p>
  </w:footnote>
  <w:footnote w:id="19">
    <w:p w14:paraId="447060D3" w14:textId="77777777" w:rsidR="0038123E" w:rsidRDefault="0038123E" w:rsidP="00443556">
      <w:pPr>
        <w:pStyle w:val="Textpoznpodarou"/>
        <w:rPr>
          <w:sz w:val="16"/>
          <w:szCs w:val="16"/>
        </w:rPr>
      </w:pPr>
      <w:r w:rsidRPr="00443556">
        <w:rPr>
          <w:rStyle w:val="Znakapoznpodarou"/>
          <w:sz w:val="16"/>
          <w:szCs w:val="16"/>
        </w:rPr>
        <w:footnoteRef/>
      </w:r>
      <w:r w:rsidRPr="00443556">
        <w:rPr>
          <w:sz w:val="16"/>
          <w:szCs w:val="16"/>
        </w:rPr>
        <w:t xml:space="preserve"> </w:t>
      </w:r>
      <w:r w:rsidRPr="00443556">
        <w:rPr>
          <w:rStyle w:val="eop"/>
          <w:rFonts w:cs="Arial"/>
          <w:sz w:val="16"/>
          <w:szCs w:val="16"/>
        </w:rPr>
        <w:t>Jen menší část míst lze považovat za aktivní – méně než půl roku bylo na ÚP inzerováno jen 122 tis. míst (46 % z celku). Dle experimentální statistiky ČSÚ (šetření u podniků od roku 2020) byla ve 3. čtvrtletí 2024 nabídka tuzemských firem odhadnuta na 107 tis.</w:t>
      </w:r>
      <w:r>
        <w:rPr>
          <w:rStyle w:val="eop"/>
          <w:rFonts w:cs="Arial"/>
          <w:sz w:val="16"/>
          <w:szCs w:val="16"/>
        </w:rPr>
        <w:t xml:space="preserve"> volných míst (jedná se jen o místa v pracovním poměru, nejde o přechodná zaměstnání, např. různé typy dohod). Počet míst se meziročně zvýšil o 9 % (mírně dosud rostl ve všech letošních kvartálech). Aktuálně se zvýšila zejména nabídka míst ve veřejných službách (napříč odvětvími), dále v obchodě, cestovním ruchu, v administrativních a podpůrných činnostech. Stejně jako po celý loňský rok naopak klesl počet míst v průmyslu a v odvětví dopravy a skladování. Letos navíc klesala i nabídka pozic ve stavebnictví.</w:t>
      </w:r>
    </w:p>
  </w:footnote>
  <w:footnote w:id="20">
    <w:p w14:paraId="263F4D07" w14:textId="77777777" w:rsidR="0038123E" w:rsidRDefault="0038123E" w:rsidP="0038123E">
      <w:pPr>
        <w:pStyle w:val="Textpoznpodarou"/>
        <w:rPr>
          <w:sz w:val="16"/>
          <w:szCs w:val="16"/>
        </w:rPr>
      </w:pPr>
      <w:r>
        <w:rPr>
          <w:rStyle w:val="Znakapoznpodarou"/>
        </w:rPr>
        <w:footnoteRef/>
      </w:r>
      <w:r>
        <w:rPr>
          <w:sz w:val="16"/>
          <w:szCs w:val="16"/>
        </w:rPr>
        <w:t xml:space="preserve"> Např. v roce 2023 působilo v Česku v nejkvalifikovanějších třídách zaměstnanosti (vedoucí a řídící pracovníci, specialisté, techničtí </w:t>
      </w:r>
      <w:r>
        <w:rPr>
          <w:sz w:val="16"/>
          <w:szCs w:val="16"/>
        </w:rPr>
        <w:br/>
        <w:t>a odborní pracovníci) pouze 13 % ze všech cizinců ze států mimo EU, 24 % ze všech cizinců ze zemí EU, ale 44 % z veškerých zaměstnanců s českým občanstvím.</w:t>
      </w:r>
    </w:p>
  </w:footnote>
  <w:footnote w:id="21">
    <w:p w14:paraId="657ADF3B" w14:textId="77777777" w:rsidR="0038123E" w:rsidRDefault="0038123E" w:rsidP="0038123E">
      <w:pPr>
        <w:pStyle w:val="Textpoznpodarou"/>
        <w:rPr>
          <w:sz w:val="16"/>
          <w:szCs w:val="16"/>
        </w:rPr>
      </w:pPr>
      <w:r>
        <w:rPr>
          <w:rStyle w:val="Znakapoznpodarou"/>
        </w:rPr>
        <w:footnoteRef/>
      </w:r>
      <w:r>
        <w:rPr>
          <w:sz w:val="16"/>
          <w:szCs w:val="16"/>
        </w:rPr>
        <w:t xml:space="preserve"> </w:t>
      </w:r>
      <w:r>
        <w:rPr>
          <w:rFonts w:eastAsia="Times New Roman"/>
          <w:color w:val="0D0D0D" w:themeColor="text1" w:themeTint="F2"/>
          <w:sz w:val="16"/>
          <w:szCs w:val="16"/>
        </w:rPr>
        <w:t>Od ledna 2024 zde došlo k úpravám tarifů a u velké části zaměstnanců se zvýšily osobní příplatky.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6" w14:textId="3C11EE3B" w:rsidR="009855E1" w:rsidRPr="00C27E4F" w:rsidRDefault="009855E1" w:rsidP="00C27E4F">
    <w:pPr>
      <w:pStyle w:val="Zhlav"/>
    </w:pPr>
    <w:r>
      <w:t>Vývoj ekonomiky České republiky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2987" w14:textId="4F78F164" w:rsidR="009855E1" w:rsidRPr="006F5416" w:rsidRDefault="009855E1" w:rsidP="00937AE2">
    <w:pPr>
      <w:pStyle w:val="Zhlav"/>
    </w:pPr>
    <w:r>
      <w:t>Vývoj ekonomiky 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1"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0"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B048D2"/>
    <w:multiLevelType w:val="hybridMultilevel"/>
    <w:tmpl w:val="D2A0F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7747AF"/>
    <w:multiLevelType w:val="hybridMultilevel"/>
    <w:tmpl w:val="76204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651B2D"/>
    <w:multiLevelType w:val="hybridMultilevel"/>
    <w:tmpl w:val="054EEC40"/>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20"/>
  </w:num>
  <w:num w:numId="14">
    <w:abstractNumId w:val="10"/>
  </w:num>
  <w:num w:numId="15">
    <w:abstractNumId w:val="16"/>
  </w:num>
  <w:num w:numId="16">
    <w:abstractNumId w:val="12"/>
  </w:num>
  <w:num w:numId="17">
    <w:abstractNumId w:val="21"/>
  </w:num>
  <w:num w:numId="18">
    <w:abstractNumId w:val="17"/>
  </w:num>
  <w:num w:numId="19">
    <w:abstractNumId w:val="22"/>
  </w:num>
  <w:num w:numId="20">
    <w:abstractNumId w:val="25"/>
  </w:num>
  <w:num w:numId="21">
    <w:abstractNumId w:val="19"/>
  </w:num>
  <w:num w:numId="22">
    <w:abstractNumId w:val="15"/>
  </w:num>
  <w:num w:numId="23">
    <w:abstractNumId w:val="13"/>
  </w:num>
  <w:num w:numId="24">
    <w:abstractNumId w:val="14"/>
  </w:num>
  <w:num w:numId="25">
    <w:abstractNumId w:val="23"/>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4097">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62"/>
    <w:rsid w:val="0000209D"/>
    <w:rsid w:val="00004D5A"/>
    <w:rsid w:val="000056D5"/>
    <w:rsid w:val="00006ABD"/>
    <w:rsid w:val="0000767A"/>
    <w:rsid w:val="00010256"/>
    <w:rsid w:val="00010702"/>
    <w:rsid w:val="00011912"/>
    <w:rsid w:val="0002195D"/>
    <w:rsid w:val="000234D6"/>
    <w:rsid w:val="00023D29"/>
    <w:rsid w:val="00026389"/>
    <w:rsid w:val="00031AE0"/>
    <w:rsid w:val="000322EF"/>
    <w:rsid w:val="00033FCD"/>
    <w:rsid w:val="00040D10"/>
    <w:rsid w:val="00041CEC"/>
    <w:rsid w:val="0004694F"/>
    <w:rsid w:val="000522E4"/>
    <w:rsid w:val="000610E1"/>
    <w:rsid w:val="00062EC5"/>
    <w:rsid w:val="00062F22"/>
    <w:rsid w:val="000712B3"/>
    <w:rsid w:val="0008263E"/>
    <w:rsid w:val="00082C19"/>
    <w:rsid w:val="00085395"/>
    <w:rsid w:val="00087634"/>
    <w:rsid w:val="00087F2B"/>
    <w:rsid w:val="00095135"/>
    <w:rsid w:val="000974D1"/>
    <w:rsid w:val="0009799E"/>
    <w:rsid w:val="000A1183"/>
    <w:rsid w:val="000A256D"/>
    <w:rsid w:val="000A3A2C"/>
    <w:rsid w:val="000A5265"/>
    <w:rsid w:val="000A57D4"/>
    <w:rsid w:val="000B7C8D"/>
    <w:rsid w:val="000C3408"/>
    <w:rsid w:val="000C6AFD"/>
    <w:rsid w:val="000D1EBF"/>
    <w:rsid w:val="000D5637"/>
    <w:rsid w:val="000E6FBD"/>
    <w:rsid w:val="00100F5C"/>
    <w:rsid w:val="00101CDA"/>
    <w:rsid w:val="00102C41"/>
    <w:rsid w:val="00104C4C"/>
    <w:rsid w:val="00117623"/>
    <w:rsid w:val="0012192F"/>
    <w:rsid w:val="00125D69"/>
    <w:rsid w:val="001405FA"/>
    <w:rsid w:val="001425C3"/>
    <w:rsid w:val="001476BD"/>
    <w:rsid w:val="001612F4"/>
    <w:rsid w:val="0016256B"/>
    <w:rsid w:val="00163793"/>
    <w:rsid w:val="001706D6"/>
    <w:rsid w:val="001714F2"/>
    <w:rsid w:val="00175B9F"/>
    <w:rsid w:val="00181BBC"/>
    <w:rsid w:val="00184B08"/>
    <w:rsid w:val="00185010"/>
    <w:rsid w:val="0019143B"/>
    <w:rsid w:val="001A0487"/>
    <w:rsid w:val="001A552F"/>
    <w:rsid w:val="001B2CA9"/>
    <w:rsid w:val="001B3110"/>
    <w:rsid w:val="001B4729"/>
    <w:rsid w:val="001B6310"/>
    <w:rsid w:val="001B6C09"/>
    <w:rsid w:val="001C05CD"/>
    <w:rsid w:val="001D40D7"/>
    <w:rsid w:val="001D48D4"/>
    <w:rsid w:val="001D68B2"/>
    <w:rsid w:val="001E1C2E"/>
    <w:rsid w:val="001E504C"/>
    <w:rsid w:val="001E6062"/>
    <w:rsid w:val="001F4597"/>
    <w:rsid w:val="00203DA4"/>
    <w:rsid w:val="002118B9"/>
    <w:rsid w:val="00214CF7"/>
    <w:rsid w:val="00217C5B"/>
    <w:rsid w:val="0022139E"/>
    <w:rsid w:val="00222729"/>
    <w:rsid w:val="002252E0"/>
    <w:rsid w:val="002255F6"/>
    <w:rsid w:val="00227850"/>
    <w:rsid w:val="00227A53"/>
    <w:rsid w:val="00230C6E"/>
    <w:rsid w:val="00236443"/>
    <w:rsid w:val="00241B06"/>
    <w:rsid w:val="00242C10"/>
    <w:rsid w:val="002436BA"/>
    <w:rsid w:val="00244A15"/>
    <w:rsid w:val="00247319"/>
    <w:rsid w:val="0024799E"/>
    <w:rsid w:val="00253C0F"/>
    <w:rsid w:val="002558C1"/>
    <w:rsid w:val="00271465"/>
    <w:rsid w:val="0028207A"/>
    <w:rsid w:val="00285412"/>
    <w:rsid w:val="00291640"/>
    <w:rsid w:val="002A16D4"/>
    <w:rsid w:val="002A230C"/>
    <w:rsid w:val="002A66B0"/>
    <w:rsid w:val="002B2299"/>
    <w:rsid w:val="002B4845"/>
    <w:rsid w:val="002C43BD"/>
    <w:rsid w:val="002D0E59"/>
    <w:rsid w:val="002E02A1"/>
    <w:rsid w:val="002E42AC"/>
    <w:rsid w:val="002E4E4C"/>
    <w:rsid w:val="00302ADD"/>
    <w:rsid w:val="00304771"/>
    <w:rsid w:val="0030495D"/>
    <w:rsid w:val="003052D4"/>
    <w:rsid w:val="00306C5B"/>
    <w:rsid w:val="003103E0"/>
    <w:rsid w:val="00314F9F"/>
    <w:rsid w:val="003209D6"/>
    <w:rsid w:val="00321924"/>
    <w:rsid w:val="0032656E"/>
    <w:rsid w:val="00332190"/>
    <w:rsid w:val="0034335E"/>
    <w:rsid w:val="00344668"/>
    <w:rsid w:val="003462D9"/>
    <w:rsid w:val="00360C86"/>
    <w:rsid w:val="00360FBC"/>
    <w:rsid w:val="00362E90"/>
    <w:rsid w:val="00364FA0"/>
    <w:rsid w:val="003657F3"/>
    <w:rsid w:val="0038123E"/>
    <w:rsid w:val="003818DC"/>
    <w:rsid w:val="00384327"/>
    <w:rsid w:val="00385D98"/>
    <w:rsid w:val="003A2B4D"/>
    <w:rsid w:val="003A2D12"/>
    <w:rsid w:val="003A478C"/>
    <w:rsid w:val="003A5525"/>
    <w:rsid w:val="003A6B38"/>
    <w:rsid w:val="003B461F"/>
    <w:rsid w:val="003B5A32"/>
    <w:rsid w:val="003C3490"/>
    <w:rsid w:val="003C6550"/>
    <w:rsid w:val="003C7E62"/>
    <w:rsid w:val="003D6920"/>
    <w:rsid w:val="003E48F2"/>
    <w:rsid w:val="003E4C91"/>
    <w:rsid w:val="003E62A5"/>
    <w:rsid w:val="003F313C"/>
    <w:rsid w:val="003F37FC"/>
    <w:rsid w:val="003F4B2C"/>
    <w:rsid w:val="003F551C"/>
    <w:rsid w:val="003F62B0"/>
    <w:rsid w:val="003F72ED"/>
    <w:rsid w:val="003F7D23"/>
    <w:rsid w:val="00400DF4"/>
    <w:rsid w:val="00407C13"/>
    <w:rsid w:val="0041041D"/>
    <w:rsid w:val="00410638"/>
    <w:rsid w:val="0041501E"/>
    <w:rsid w:val="004159C3"/>
    <w:rsid w:val="00416EB7"/>
    <w:rsid w:val="00432A58"/>
    <w:rsid w:val="00434617"/>
    <w:rsid w:val="00440900"/>
    <w:rsid w:val="00441BF6"/>
    <w:rsid w:val="00443556"/>
    <w:rsid w:val="004441A0"/>
    <w:rsid w:val="004455BA"/>
    <w:rsid w:val="0045078A"/>
    <w:rsid w:val="0045086D"/>
    <w:rsid w:val="00451504"/>
    <w:rsid w:val="00460FB3"/>
    <w:rsid w:val="0046627E"/>
    <w:rsid w:val="00476240"/>
    <w:rsid w:val="00476439"/>
    <w:rsid w:val="0047735C"/>
    <w:rsid w:val="004776BC"/>
    <w:rsid w:val="0048139F"/>
    <w:rsid w:val="00481E40"/>
    <w:rsid w:val="00484ECE"/>
    <w:rsid w:val="00485567"/>
    <w:rsid w:val="004915CB"/>
    <w:rsid w:val="004924DC"/>
    <w:rsid w:val="004A14E4"/>
    <w:rsid w:val="004A3212"/>
    <w:rsid w:val="004A5494"/>
    <w:rsid w:val="004A61C5"/>
    <w:rsid w:val="004A77DF"/>
    <w:rsid w:val="004B1417"/>
    <w:rsid w:val="004B55B7"/>
    <w:rsid w:val="004B5A60"/>
    <w:rsid w:val="004B6468"/>
    <w:rsid w:val="004B7125"/>
    <w:rsid w:val="004C384C"/>
    <w:rsid w:val="004C3867"/>
    <w:rsid w:val="004C4CD0"/>
    <w:rsid w:val="004C70DC"/>
    <w:rsid w:val="004D0211"/>
    <w:rsid w:val="004D0794"/>
    <w:rsid w:val="004D5C93"/>
    <w:rsid w:val="004E7C6B"/>
    <w:rsid w:val="004F06F5"/>
    <w:rsid w:val="004F33A0"/>
    <w:rsid w:val="0050689D"/>
    <w:rsid w:val="005108C0"/>
    <w:rsid w:val="00511873"/>
    <w:rsid w:val="00512A2F"/>
    <w:rsid w:val="00513B7E"/>
    <w:rsid w:val="00515C74"/>
    <w:rsid w:val="0052007E"/>
    <w:rsid w:val="0052337A"/>
    <w:rsid w:val="00525137"/>
    <w:rsid w:val="005251DD"/>
    <w:rsid w:val="00532CE7"/>
    <w:rsid w:val="0053324C"/>
    <w:rsid w:val="00534A28"/>
    <w:rsid w:val="00541508"/>
    <w:rsid w:val="00543498"/>
    <w:rsid w:val="0055599F"/>
    <w:rsid w:val="00556D68"/>
    <w:rsid w:val="00563EB8"/>
    <w:rsid w:val="005647BF"/>
    <w:rsid w:val="00564AF1"/>
    <w:rsid w:val="0057364B"/>
    <w:rsid w:val="00574773"/>
    <w:rsid w:val="0058308D"/>
    <w:rsid w:val="00583FFD"/>
    <w:rsid w:val="005911BE"/>
    <w:rsid w:val="00593152"/>
    <w:rsid w:val="005A10F2"/>
    <w:rsid w:val="005A21E0"/>
    <w:rsid w:val="005A28FF"/>
    <w:rsid w:val="005A3DF8"/>
    <w:rsid w:val="005A5113"/>
    <w:rsid w:val="005A5549"/>
    <w:rsid w:val="005A7038"/>
    <w:rsid w:val="005B121D"/>
    <w:rsid w:val="005C06ED"/>
    <w:rsid w:val="005C2609"/>
    <w:rsid w:val="005D5802"/>
    <w:rsid w:val="005D7119"/>
    <w:rsid w:val="005D7890"/>
    <w:rsid w:val="005E7C78"/>
    <w:rsid w:val="005F18C5"/>
    <w:rsid w:val="005F3EB1"/>
    <w:rsid w:val="005F46D8"/>
    <w:rsid w:val="005F5469"/>
    <w:rsid w:val="00603FF5"/>
    <w:rsid w:val="00604307"/>
    <w:rsid w:val="0060487F"/>
    <w:rsid w:val="00604EAD"/>
    <w:rsid w:val="006104FB"/>
    <w:rsid w:val="00612A2F"/>
    <w:rsid w:val="00616E05"/>
    <w:rsid w:val="00622275"/>
    <w:rsid w:val="00624093"/>
    <w:rsid w:val="00625F8F"/>
    <w:rsid w:val="006350D5"/>
    <w:rsid w:val="006404A7"/>
    <w:rsid w:val="006451E4"/>
    <w:rsid w:val="00645B33"/>
    <w:rsid w:val="006516CB"/>
    <w:rsid w:val="00656FC8"/>
    <w:rsid w:val="00657E87"/>
    <w:rsid w:val="00664803"/>
    <w:rsid w:val="0066504F"/>
    <w:rsid w:val="00665BA4"/>
    <w:rsid w:val="00667AF2"/>
    <w:rsid w:val="006710C9"/>
    <w:rsid w:val="006741AC"/>
    <w:rsid w:val="00674D89"/>
    <w:rsid w:val="00675E37"/>
    <w:rsid w:val="0068174E"/>
    <w:rsid w:val="00681DCE"/>
    <w:rsid w:val="0068260E"/>
    <w:rsid w:val="00695BEF"/>
    <w:rsid w:val="006977F6"/>
    <w:rsid w:val="00697A13"/>
    <w:rsid w:val="006A109C"/>
    <w:rsid w:val="006B0F92"/>
    <w:rsid w:val="006B344A"/>
    <w:rsid w:val="006B78D8"/>
    <w:rsid w:val="006C113F"/>
    <w:rsid w:val="006C123E"/>
    <w:rsid w:val="006C1752"/>
    <w:rsid w:val="006C56D4"/>
    <w:rsid w:val="006C6924"/>
    <w:rsid w:val="006C7CA6"/>
    <w:rsid w:val="006D3E8A"/>
    <w:rsid w:val="006D61F6"/>
    <w:rsid w:val="006E279A"/>
    <w:rsid w:val="006E313B"/>
    <w:rsid w:val="006E7227"/>
    <w:rsid w:val="006F438E"/>
    <w:rsid w:val="006F5416"/>
    <w:rsid w:val="006F7076"/>
    <w:rsid w:val="00705242"/>
    <w:rsid w:val="00706AD4"/>
    <w:rsid w:val="00707150"/>
    <w:rsid w:val="007140BE"/>
    <w:rsid w:val="007211F5"/>
    <w:rsid w:val="00723946"/>
    <w:rsid w:val="007240E2"/>
    <w:rsid w:val="00725BB5"/>
    <w:rsid w:val="00730AE8"/>
    <w:rsid w:val="00730F1B"/>
    <w:rsid w:val="00741493"/>
    <w:rsid w:val="00752180"/>
    <w:rsid w:val="00753CAB"/>
    <w:rsid w:val="00755202"/>
    <w:rsid w:val="00755D3A"/>
    <w:rsid w:val="007578D3"/>
    <w:rsid w:val="007609C6"/>
    <w:rsid w:val="00760EA4"/>
    <w:rsid w:val="0076175D"/>
    <w:rsid w:val="00763B85"/>
    <w:rsid w:val="00764744"/>
    <w:rsid w:val="0076521E"/>
    <w:rsid w:val="007661E9"/>
    <w:rsid w:val="00776169"/>
    <w:rsid w:val="00776527"/>
    <w:rsid w:val="00780EF1"/>
    <w:rsid w:val="00790711"/>
    <w:rsid w:val="00790764"/>
    <w:rsid w:val="0079124F"/>
    <w:rsid w:val="0079453C"/>
    <w:rsid w:val="00794677"/>
    <w:rsid w:val="00797445"/>
    <w:rsid w:val="007A516D"/>
    <w:rsid w:val="007B6689"/>
    <w:rsid w:val="007C6BBD"/>
    <w:rsid w:val="007D40DF"/>
    <w:rsid w:val="007E29B4"/>
    <w:rsid w:val="007E435A"/>
    <w:rsid w:val="007E7E61"/>
    <w:rsid w:val="007E7FCE"/>
    <w:rsid w:val="007F0845"/>
    <w:rsid w:val="007F708D"/>
    <w:rsid w:val="00800216"/>
    <w:rsid w:val="00801E13"/>
    <w:rsid w:val="00807C82"/>
    <w:rsid w:val="00814B15"/>
    <w:rsid w:val="00816905"/>
    <w:rsid w:val="00821777"/>
    <w:rsid w:val="00821FF6"/>
    <w:rsid w:val="00822574"/>
    <w:rsid w:val="00825C4D"/>
    <w:rsid w:val="0083143E"/>
    <w:rsid w:val="00831CDE"/>
    <w:rsid w:val="00834304"/>
    <w:rsid w:val="00834FAA"/>
    <w:rsid w:val="00836086"/>
    <w:rsid w:val="00846121"/>
    <w:rsid w:val="008462A8"/>
    <w:rsid w:val="0084708F"/>
    <w:rsid w:val="008477C8"/>
    <w:rsid w:val="0085114D"/>
    <w:rsid w:val="00852217"/>
    <w:rsid w:val="00855408"/>
    <w:rsid w:val="00856D65"/>
    <w:rsid w:val="00861B41"/>
    <w:rsid w:val="00861BE3"/>
    <w:rsid w:val="00863434"/>
    <w:rsid w:val="00865E4C"/>
    <w:rsid w:val="008701E4"/>
    <w:rsid w:val="00871069"/>
    <w:rsid w:val="00875A32"/>
    <w:rsid w:val="00876086"/>
    <w:rsid w:val="008825B0"/>
    <w:rsid w:val="00884AD6"/>
    <w:rsid w:val="008873D4"/>
    <w:rsid w:val="0089126C"/>
    <w:rsid w:val="0089296D"/>
    <w:rsid w:val="00893E85"/>
    <w:rsid w:val="00894031"/>
    <w:rsid w:val="00895508"/>
    <w:rsid w:val="008A6CB4"/>
    <w:rsid w:val="008B5CF6"/>
    <w:rsid w:val="008B7C02"/>
    <w:rsid w:val="008B7D2B"/>
    <w:rsid w:val="008C0049"/>
    <w:rsid w:val="008C0E88"/>
    <w:rsid w:val="008C53CB"/>
    <w:rsid w:val="008D1E6A"/>
    <w:rsid w:val="008D2A16"/>
    <w:rsid w:val="008E2C57"/>
    <w:rsid w:val="008E31FF"/>
    <w:rsid w:val="008E6F06"/>
    <w:rsid w:val="008E7FC9"/>
    <w:rsid w:val="008F029B"/>
    <w:rsid w:val="008F3FC9"/>
    <w:rsid w:val="008F585B"/>
    <w:rsid w:val="009003A8"/>
    <w:rsid w:val="00902500"/>
    <w:rsid w:val="00902EFF"/>
    <w:rsid w:val="00906401"/>
    <w:rsid w:val="0091155E"/>
    <w:rsid w:val="00912A92"/>
    <w:rsid w:val="0091728D"/>
    <w:rsid w:val="0092180B"/>
    <w:rsid w:val="00921F14"/>
    <w:rsid w:val="009231A3"/>
    <w:rsid w:val="00924AC8"/>
    <w:rsid w:val="0092597A"/>
    <w:rsid w:val="00925E75"/>
    <w:rsid w:val="00930FB1"/>
    <w:rsid w:val="0093139F"/>
    <w:rsid w:val="00932443"/>
    <w:rsid w:val="00937AE2"/>
    <w:rsid w:val="0094427A"/>
    <w:rsid w:val="00945245"/>
    <w:rsid w:val="0095759C"/>
    <w:rsid w:val="009721DB"/>
    <w:rsid w:val="0097239B"/>
    <w:rsid w:val="00974923"/>
    <w:rsid w:val="009808F7"/>
    <w:rsid w:val="00980D3D"/>
    <w:rsid w:val="009855E1"/>
    <w:rsid w:val="00987A30"/>
    <w:rsid w:val="00992CF3"/>
    <w:rsid w:val="00994868"/>
    <w:rsid w:val="009968D6"/>
    <w:rsid w:val="009A1CAB"/>
    <w:rsid w:val="009A60D1"/>
    <w:rsid w:val="009B6FD3"/>
    <w:rsid w:val="009C1750"/>
    <w:rsid w:val="009C2E29"/>
    <w:rsid w:val="009C554B"/>
    <w:rsid w:val="009C719E"/>
    <w:rsid w:val="009C7A10"/>
    <w:rsid w:val="009D3ACD"/>
    <w:rsid w:val="009E5273"/>
    <w:rsid w:val="009E5DDB"/>
    <w:rsid w:val="009F4CA7"/>
    <w:rsid w:val="00A10D66"/>
    <w:rsid w:val="00A14114"/>
    <w:rsid w:val="00A1537C"/>
    <w:rsid w:val="00A16413"/>
    <w:rsid w:val="00A16E1D"/>
    <w:rsid w:val="00A17D5B"/>
    <w:rsid w:val="00A23E43"/>
    <w:rsid w:val="00A25216"/>
    <w:rsid w:val="00A30F65"/>
    <w:rsid w:val="00A33A89"/>
    <w:rsid w:val="00A40EAC"/>
    <w:rsid w:val="00A418BC"/>
    <w:rsid w:val="00A46DE0"/>
    <w:rsid w:val="00A47FCA"/>
    <w:rsid w:val="00A50D73"/>
    <w:rsid w:val="00A52CAD"/>
    <w:rsid w:val="00A53FC7"/>
    <w:rsid w:val="00A62CE1"/>
    <w:rsid w:val="00A668A3"/>
    <w:rsid w:val="00A6741E"/>
    <w:rsid w:val="00A75E40"/>
    <w:rsid w:val="00A77D1D"/>
    <w:rsid w:val="00A84A6A"/>
    <w:rsid w:val="00A857C0"/>
    <w:rsid w:val="00A90FED"/>
    <w:rsid w:val="00AA2996"/>
    <w:rsid w:val="00AA52BF"/>
    <w:rsid w:val="00AA559A"/>
    <w:rsid w:val="00AB2AF1"/>
    <w:rsid w:val="00AB535B"/>
    <w:rsid w:val="00AC45BD"/>
    <w:rsid w:val="00AD168E"/>
    <w:rsid w:val="00AD306C"/>
    <w:rsid w:val="00AD4F16"/>
    <w:rsid w:val="00AD68C4"/>
    <w:rsid w:val="00AE09B3"/>
    <w:rsid w:val="00AE0ED3"/>
    <w:rsid w:val="00AE1A83"/>
    <w:rsid w:val="00AE31A7"/>
    <w:rsid w:val="00AF6128"/>
    <w:rsid w:val="00B00913"/>
    <w:rsid w:val="00B01593"/>
    <w:rsid w:val="00B023F2"/>
    <w:rsid w:val="00B04705"/>
    <w:rsid w:val="00B07BBB"/>
    <w:rsid w:val="00B10A4D"/>
    <w:rsid w:val="00B14BC1"/>
    <w:rsid w:val="00B17E71"/>
    <w:rsid w:val="00B17FDE"/>
    <w:rsid w:val="00B2379C"/>
    <w:rsid w:val="00B25189"/>
    <w:rsid w:val="00B2687D"/>
    <w:rsid w:val="00B32843"/>
    <w:rsid w:val="00B32DDB"/>
    <w:rsid w:val="00B34528"/>
    <w:rsid w:val="00B34CC9"/>
    <w:rsid w:val="00B402FC"/>
    <w:rsid w:val="00B439DA"/>
    <w:rsid w:val="00B46604"/>
    <w:rsid w:val="00B530CD"/>
    <w:rsid w:val="00B55F5E"/>
    <w:rsid w:val="00B5752E"/>
    <w:rsid w:val="00B63A11"/>
    <w:rsid w:val="00B63B6A"/>
    <w:rsid w:val="00B64C24"/>
    <w:rsid w:val="00B6608F"/>
    <w:rsid w:val="00B679FB"/>
    <w:rsid w:val="00B71EF7"/>
    <w:rsid w:val="00B76D1E"/>
    <w:rsid w:val="00B8028A"/>
    <w:rsid w:val="00B80EC6"/>
    <w:rsid w:val="00B84CF6"/>
    <w:rsid w:val="00B92D1D"/>
    <w:rsid w:val="00B938C5"/>
    <w:rsid w:val="00B95940"/>
    <w:rsid w:val="00BA6C2B"/>
    <w:rsid w:val="00BB46F3"/>
    <w:rsid w:val="00BB4CB1"/>
    <w:rsid w:val="00BB4F98"/>
    <w:rsid w:val="00BC5C12"/>
    <w:rsid w:val="00BC7154"/>
    <w:rsid w:val="00BC731E"/>
    <w:rsid w:val="00BD366B"/>
    <w:rsid w:val="00BD6D50"/>
    <w:rsid w:val="00BE18B9"/>
    <w:rsid w:val="00BE2495"/>
    <w:rsid w:val="00BF1578"/>
    <w:rsid w:val="00BF723F"/>
    <w:rsid w:val="00C21F94"/>
    <w:rsid w:val="00C27913"/>
    <w:rsid w:val="00C27E4F"/>
    <w:rsid w:val="00C32964"/>
    <w:rsid w:val="00C33B68"/>
    <w:rsid w:val="00C36A79"/>
    <w:rsid w:val="00C401D2"/>
    <w:rsid w:val="00C405D4"/>
    <w:rsid w:val="00C4431F"/>
    <w:rsid w:val="00C4513B"/>
    <w:rsid w:val="00C5390B"/>
    <w:rsid w:val="00C54697"/>
    <w:rsid w:val="00C65535"/>
    <w:rsid w:val="00C71E85"/>
    <w:rsid w:val="00C72884"/>
    <w:rsid w:val="00C73885"/>
    <w:rsid w:val="00C747B1"/>
    <w:rsid w:val="00C82191"/>
    <w:rsid w:val="00C83134"/>
    <w:rsid w:val="00C85545"/>
    <w:rsid w:val="00C90CF4"/>
    <w:rsid w:val="00C92EB6"/>
    <w:rsid w:val="00C93389"/>
    <w:rsid w:val="00CA0914"/>
    <w:rsid w:val="00CA6AB4"/>
    <w:rsid w:val="00CB4930"/>
    <w:rsid w:val="00CC2E7D"/>
    <w:rsid w:val="00CD10A5"/>
    <w:rsid w:val="00CD2076"/>
    <w:rsid w:val="00CD29B5"/>
    <w:rsid w:val="00CD6331"/>
    <w:rsid w:val="00CE670B"/>
    <w:rsid w:val="00CF4908"/>
    <w:rsid w:val="00CF51EC"/>
    <w:rsid w:val="00CF73AE"/>
    <w:rsid w:val="00D040DD"/>
    <w:rsid w:val="00D075BE"/>
    <w:rsid w:val="00D13986"/>
    <w:rsid w:val="00D21D83"/>
    <w:rsid w:val="00D235B7"/>
    <w:rsid w:val="00D23C02"/>
    <w:rsid w:val="00D25F28"/>
    <w:rsid w:val="00D26071"/>
    <w:rsid w:val="00D27973"/>
    <w:rsid w:val="00D35E1A"/>
    <w:rsid w:val="00D42211"/>
    <w:rsid w:val="00D50F46"/>
    <w:rsid w:val="00D57677"/>
    <w:rsid w:val="00D66223"/>
    <w:rsid w:val="00D71625"/>
    <w:rsid w:val="00D751DA"/>
    <w:rsid w:val="00D8084C"/>
    <w:rsid w:val="00D915EA"/>
    <w:rsid w:val="00DA7C0C"/>
    <w:rsid w:val="00DB08A9"/>
    <w:rsid w:val="00DB2EC8"/>
    <w:rsid w:val="00DB6566"/>
    <w:rsid w:val="00DC48F1"/>
    <w:rsid w:val="00DC5B3B"/>
    <w:rsid w:val="00DD129F"/>
    <w:rsid w:val="00DD4EFE"/>
    <w:rsid w:val="00DE02BD"/>
    <w:rsid w:val="00DF42FF"/>
    <w:rsid w:val="00E01C0E"/>
    <w:rsid w:val="00E03F9A"/>
    <w:rsid w:val="00E04694"/>
    <w:rsid w:val="00E063CE"/>
    <w:rsid w:val="00E12B1E"/>
    <w:rsid w:val="00E17262"/>
    <w:rsid w:val="00E253A2"/>
    <w:rsid w:val="00E3309D"/>
    <w:rsid w:val="00E43C1C"/>
    <w:rsid w:val="00E47EBA"/>
    <w:rsid w:val="00E50156"/>
    <w:rsid w:val="00E51643"/>
    <w:rsid w:val="00E53470"/>
    <w:rsid w:val="00E53874"/>
    <w:rsid w:val="00E539F6"/>
    <w:rsid w:val="00E6519D"/>
    <w:rsid w:val="00E67696"/>
    <w:rsid w:val="00E71A58"/>
    <w:rsid w:val="00E72A7A"/>
    <w:rsid w:val="00E75C94"/>
    <w:rsid w:val="00E93820"/>
    <w:rsid w:val="00E94A86"/>
    <w:rsid w:val="00E96143"/>
    <w:rsid w:val="00EA0987"/>
    <w:rsid w:val="00EA0C68"/>
    <w:rsid w:val="00EA32BC"/>
    <w:rsid w:val="00EA4302"/>
    <w:rsid w:val="00EB39C7"/>
    <w:rsid w:val="00EB3D8F"/>
    <w:rsid w:val="00EB4511"/>
    <w:rsid w:val="00EC03D7"/>
    <w:rsid w:val="00ED62C6"/>
    <w:rsid w:val="00ED64C1"/>
    <w:rsid w:val="00EE3446"/>
    <w:rsid w:val="00EE3E78"/>
    <w:rsid w:val="00EE4B1B"/>
    <w:rsid w:val="00EE7F19"/>
    <w:rsid w:val="00EF150D"/>
    <w:rsid w:val="00EF1F5A"/>
    <w:rsid w:val="00EF47BF"/>
    <w:rsid w:val="00EF6DB3"/>
    <w:rsid w:val="00F04811"/>
    <w:rsid w:val="00F0488C"/>
    <w:rsid w:val="00F10F11"/>
    <w:rsid w:val="00F15AAA"/>
    <w:rsid w:val="00F15BEF"/>
    <w:rsid w:val="00F24407"/>
    <w:rsid w:val="00F24931"/>
    <w:rsid w:val="00F24FAA"/>
    <w:rsid w:val="00F3364D"/>
    <w:rsid w:val="00F437CC"/>
    <w:rsid w:val="00F44537"/>
    <w:rsid w:val="00F44B6A"/>
    <w:rsid w:val="00F47067"/>
    <w:rsid w:val="00F50FC3"/>
    <w:rsid w:val="00F525EB"/>
    <w:rsid w:val="00F63DDE"/>
    <w:rsid w:val="00F63FB7"/>
    <w:rsid w:val="00F6421B"/>
    <w:rsid w:val="00F649D2"/>
    <w:rsid w:val="00F6602B"/>
    <w:rsid w:val="00F67C4E"/>
    <w:rsid w:val="00F73A0C"/>
    <w:rsid w:val="00F756DB"/>
    <w:rsid w:val="00F84E7D"/>
    <w:rsid w:val="00F85066"/>
    <w:rsid w:val="00F87A4D"/>
    <w:rsid w:val="00F9785E"/>
    <w:rsid w:val="00FA5D4D"/>
    <w:rsid w:val="00FA7115"/>
    <w:rsid w:val="00FB0EE2"/>
    <w:rsid w:val="00FB4423"/>
    <w:rsid w:val="00FB542E"/>
    <w:rsid w:val="00FC0E5F"/>
    <w:rsid w:val="00FC1A95"/>
    <w:rsid w:val="00FC56DE"/>
    <w:rsid w:val="00FC684B"/>
    <w:rsid w:val="00FD3265"/>
    <w:rsid w:val="00FD5F92"/>
    <w:rsid w:val="00FD66F9"/>
    <w:rsid w:val="00FE2F78"/>
    <w:rsid w:val="00FF7B96"/>
    <w:rsid w:val="11D0C0D9"/>
    <w:rsid w:val="30D0B3BE"/>
    <w:rsid w:val="7BDB84E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ecf4dd,#eaecee,#fcec0a,#fcecdb,#f1daf5"/>
    </o:shapedefaults>
    <o:shapelayout v:ext="edit">
      <o:idmap v:ext="edit" data="2"/>
    </o:shapelayout>
  </w:shapeDefaults>
  <w:decimalSymbol w:val=","/>
  <w:listSeparator w:val=";"/>
  <w14:docId w14:val="21432897"/>
  <w15:docId w15:val="{3A7C6927-7F52-4209-ABA9-A0ACA865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EA0987"/>
    <w:pPr>
      <w:keepNext/>
      <w:keepLines/>
      <w:spacing w:after="100" w:line="276" w:lineRule="auto"/>
      <w:contextualSpacing/>
      <w:outlineLvl w:val="0"/>
    </w:pPr>
    <w:rPr>
      <w:rFonts w:ascii="Arial" w:eastAsia="MS Gothic" w:hAnsi="Arial"/>
      <w:b/>
      <w:bCs/>
      <w:color w:val="86BF5E"/>
      <w:sz w:val="32"/>
      <w:szCs w:val="28"/>
      <w:lang w:eastAsia="cs-CZ"/>
    </w:rPr>
  </w:style>
  <w:style w:type="paragraph" w:styleId="Nadpis2">
    <w:name w:val="heading 2"/>
    <w:next w:val="Normln"/>
    <w:link w:val="Nadpis2Char"/>
    <w:uiPriority w:val="9"/>
    <w:qFormat/>
    <w:rsid w:val="00EA0987"/>
    <w:pPr>
      <w:keepNext/>
      <w:keepLines/>
      <w:spacing w:line="276" w:lineRule="auto"/>
      <w:outlineLvl w:val="1"/>
    </w:pPr>
    <w:rPr>
      <w:rFonts w:ascii="Arial" w:eastAsia="MS Gothic" w:hAnsi="Arial"/>
      <w:b/>
      <w:bCs/>
      <w:color w:val="86BF5E"/>
      <w:sz w:val="28"/>
      <w:szCs w:val="26"/>
      <w:lang w:eastAsia="cs-CZ"/>
    </w:rPr>
  </w:style>
  <w:style w:type="paragraph" w:styleId="Nadpis3">
    <w:name w:val="heading 3"/>
    <w:next w:val="Normln"/>
    <w:link w:val="Nadpis3Char"/>
    <w:uiPriority w:val="9"/>
    <w:qFormat/>
    <w:rsid w:val="00EA0987"/>
    <w:pPr>
      <w:keepNext/>
      <w:keepLines/>
      <w:spacing w:line="276" w:lineRule="auto"/>
      <w:outlineLvl w:val="2"/>
    </w:pPr>
    <w:rPr>
      <w:rFonts w:ascii="Arial" w:eastAsia="MS Gothic" w:hAnsi="Arial"/>
      <w:b/>
      <w:bCs/>
      <w:color w:val="86BF5E"/>
      <w:sz w:val="24"/>
      <w:szCs w:val="24"/>
      <w:lang w:eastAsia="cs-CZ"/>
    </w:rPr>
  </w:style>
  <w:style w:type="paragraph" w:styleId="Nadpis4">
    <w:name w:val="heading 4"/>
    <w:next w:val="Normln"/>
    <w:link w:val="Nadpis4Char"/>
    <w:uiPriority w:val="9"/>
    <w:qFormat/>
    <w:rsid w:val="0041041D"/>
    <w:pPr>
      <w:keepNext/>
      <w:keepLines/>
      <w:spacing w:line="276" w:lineRule="auto"/>
      <w:outlineLvl w:val="3"/>
    </w:pPr>
    <w:rPr>
      <w:rFonts w:ascii="Arial" w:eastAsia="MS Gothic" w:hAnsi="Arial"/>
      <w:b/>
      <w:bCs/>
      <w:iCs/>
      <w:color w:val="86BF5E"/>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A0987"/>
    <w:rPr>
      <w:rFonts w:ascii="Arial" w:eastAsia="MS Gothic" w:hAnsi="Arial"/>
      <w:b/>
      <w:bCs/>
      <w:color w:val="86BF5E"/>
      <w:sz w:val="32"/>
      <w:szCs w:val="28"/>
      <w:lang w:eastAsia="cs-CZ"/>
    </w:rPr>
  </w:style>
  <w:style w:type="character" w:customStyle="1" w:styleId="Nadpis2Char">
    <w:name w:val="Nadpis 2 Char"/>
    <w:link w:val="Nadpis2"/>
    <w:uiPriority w:val="9"/>
    <w:rsid w:val="00EA0987"/>
    <w:rPr>
      <w:rFonts w:ascii="Arial" w:eastAsia="MS Gothic" w:hAnsi="Arial"/>
      <w:b/>
      <w:bCs/>
      <w:color w:val="86BF5E"/>
      <w:sz w:val="28"/>
      <w:szCs w:val="26"/>
      <w:lang w:eastAsia="cs-CZ"/>
    </w:rPr>
  </w:style>
  <w:style w:type="character" w:customStyle="1" w:styleId="Nadpis3Char">
    <w:name w:val="Nadpis 3 Char"/>
    <w:link w:val="Nadpis3"/>
    <w:uiPriority w:val="9"/>
    <w:rsid w:val="00EA0987"/>
    <w:rPr>
      <w:rFonts w:ascii="Arial" w:eastAsia="MS Gothic" w:hAnsi="Arial"/>
      <w:b/>
      <w:bCs/>
      <w:color w:val="86BF5E"/>
      <w:sz w:val="24"/>
      <w:szCs w:val="24"/>
      <w:lang w:eastAsia="cs-CZ"/>
    </w:rPr>
  </w:style>
  <w:style w:type="character" w:customStyle="1" w:styleId="Nadpis4Char">
    <w:name w:val="Nadpis 4 Char"/>
    <w:link w:val="Nadpis4"/>
    <w:uiPriority w:val="9"/>
    <w:rsid w:val="0041041D"/>
    <w:rPr>
      <w:rFonts w:ascii="Arial" w:eastAsia="MS Gothic" w:hAnsi="Arial"/>
      <w:b/>
      <w:bCs/>
      <w:iCs/>
      <w:color w:val="86BF5E"/>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0A57D4"/>
    <w:pPr>
      <w:spacing w:after="80" w:line="288" w:lineRule="auto"/>
    </w:pPr>
    <w:rPr>
      <w:rFonts w:ascii="Arial" w:eastAsia="Times New Roman" w:hAnsi="Arial"/>
      <w:b/>
      <w:color w:val="86BF5E"/>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EA0987"/>
    <w:pPr>
      <w:shd w:val="clear" w:color="auto" w:fill="F0F6E9"/>
      <w:spacing w:before="240" w:after="240" w:line="276" w:lineRule="auto"/>
      <w:contextualSpacing/>
      <w:jc w:val="both"/>
    </w:pPr>
    <w:rPr>
      <w:rFonts w:ascii="Arial" w:hAnsi="Arial" w:cs="Arial"/>
      <w:lang w:eastAsia="cs-CZ"/>
    </w:rPr>
  </w:style>
  <w:style w:type="paragraph" w:customStyle="1" w:styleId="A-Box2">
    <w:name w:val="A-Box 2"/>
    <w:next w:val="Normln"/>
    <w:qFormat/>
    <w:rsid w:val="00EA0987"/>
    <w:pPr>
      <w:spacing w:before="240" w:after="240" w:line="276" w:lineRule="auto"/>
      <w:contextualSpacing/>
      <w:jc w:val="both"/>
    </w:pPr>
    <w:rPr>
      <w:rFonts w:ascii="Arial" w:hAnsi="Arial" w:cs="Arial"/>
      <w:color w:val="86BF5E"/>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0A57D4"/>
    <w:pPr>
      <w:spacing w:after="40"/>
      <w:contextualSpacing/>
    </w:pPr>
    <w:rPr>
      <w:b/>
      <w:caps/>
      <w:sz w:val="24"/>
    </w:rPr>
  </w:style>
  <w:style w:type="paragraph" w:customStyle="1" w:styleId="TLKontakty">
    <w:name w:val="TL Kontakty"/>
    <w:qFormat/>
    <w:rsid w:val="000A57D4"/>
    <w:pPr>
      <w:spacing w:after="160" w:line="259" w:lineRule="auto"/>
      <w:contextualSpacing/>
    </w:pPr>
    <w:rPr>
      <w:rFonts w:ascii="Arial" w:eastAsia="Times New Roman" w:hAnsi="Arial"/>
      <w:b/>
      <w:color w:val="86BF5E"/>
      <w:lang w:eastAsia="cs-CZ"/>
    </w:rPr>
  </w:style>
  <w:style w:type="paragraph" w:styleId="Nzev">
    <w:name w:val="Title"/>
    <w:link w:val="NzevChar"/>
    <w:uiPriority w:val="10"/>
    <w:qFormat/>
    <w:rsid w:val="001E6062"/>
    <w:pPr>
      <w:spacing w:line="288" w:lineRule="auto"/>
    </w:pPr>
    <w:rPr>
      <w:rFonts w:ascii="Arial" w:eastAsia="Times New Roman" w:hAnsi="Arial"/>
      <w:b/>
      <w:bCs/>
      <w:caps/>
      <w:color w:val="000000" w:themeColor="text1"/>
      <w:kern w:val="28"/>
      <w:sz w:val="56"/>
      <w:szCs w:val="32"/>
      <w:lang w:eastAsia="cs-CZ"/>
    </w:rPr>
  </w:style>
  <w:style w:type="character" w:customStyle="1" w:styleId="NzevChar">
    <w:name w:val="Název Char"/>
    <w:link w:val="Nzev"/>
    <w:uiPriority w:val="10"/>
    <w:rsid w:val="001E6062"/>
    <w:rPr>
      <w:rFonts w:ascii="Arial" w:eastAsia="Times New Roman" w:hAnsi="Arial"/>
      <w:b/>
      <w:bCs/>
      <w:caps/>
      <w:color w:val="000000" w:themeColor="text1"/>
      <w:kern w:val="28"/>
      <w:sz w:val="56"/>
      <w:szCs w:val="32"/>
      <w:lang w:eastAsia="cs-CZ"/>
    </w:rPr>
  </w:style>
  <w:style w:type="paragraph" w:styleId="Podnadpis">
    <w:name w:val="Subtitle"/>
    <w:link w:val="PodnadpisChar"/>
    <w:uiPriority w:val="11"/>
    <w:qFormat/>
    <w:rsid w:val="001E6062"/>
    <w:pPr>
      <w:spacing w:line="288" w:lineRule="auto"/>
    </w:pPr>
    <w:rPr>
      <w:rFonts w:ascii="Arial" w:eastAsia="Times New Roman" w:hAnsi="Arial" w:cs="Arial"/>
      <w:b/>
      <w:color w:val="000000" w:themeColor="text1"/>
      <w:sz w:val="28"/>
      <w:szCs w:val="24"/>
      <w:lang w:eastAsia="cs-CZ"/>
    </w:rPr>
  </w:style>
  <w:style w:type="character" w:customStyle="1" w:styleId="PodnadpisChar">
    <w:name w:val="Podnadpis Char"/>
    <w:link w:val="Podnadpis"/>
    <w:uiPriority w:val="11"/>
    <w:rsid w:val="001E6062"/>
    <w:rPr>
      <w:rFonts w:ascii="Arial" w:eastAsia="Times New Roman" w:hAnsi="Arial" w:cs="Arial"/>
      <w:b/>
      <w:color w:val="000000" w:themeColor="text1"/>
      <w:sz w:val="28"/>
      <w:szCs w:val="24"/>
      <w:lang w:eastAsia="cs-CZ"/>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7"/>
      </w:numPr>
      <w:spacing w:after="240" w:line="276" w:lineRule="auto"/>
      <w:jc w:val="both"/>
    </w:pPr>
    <w:rPr>
      <w:rFonts w:ascii="Arial" w:eastAsia="Times New Roman" w:hAnsi="Arial"/>
      <w:szCs w:val="24"/>
      <w:lang w:eastAsia="cs-CZ"/>
    </w:rPr>
  </w:style>
  <w:style w:type="paragraph" w:customStyle="1" w:styleId="Box1">
    <w:name w:val="Box 1"/>
    <w:next w:val="Normln"/>
    <w:qFormat/>
    <w:rsid w:val="00EA0987"/>
    <w:pPr>
      <w:shd w:val="clear" w:color="auto" w:fill="F0F6E9"/>
      <w:spacing w:before="240" w:after="240" w:line="276" w:lineRule="auto"/>
      <w:ind w:left="709"/>
      <w:contextualSpacing/>
      <w:jc w:val="both"/>
    </w:pPr>
    <w:rPr>
      <w:rFonts w:ascii="Arial" w:hAnsi="Arial" w:cs="Arial"/>
      <w:lang w:eastAsia="cs-CZ"/>
    </w:rPr>
  </w:style>
  <w:style w:type="paragraph" w:customStyle="1" w:styleId="Box2">
    <w:name w:val="Box 2"/>
    <w:next w:val="Normln"/>
    <w:qFormat/>
    <w:rsid w:val="00EA0987"/>
    <w:pPr>
      <w:spacing w:before="240" w:after="240" w:line="276" w:lineRule="auto"/>
      <w:ind w:left="709"/>
      <w:contextualSpacing/>
      <w:jc w:val="both"/>
    </w:pPr>
    <w:rPr>
      <w:rFonts w:ascii="Arial" w:hAnsi="Arial" w:cs="Arial"/>
      <w:b/>
      <w:color w:val="86BF5E"/>
      <w:lang w:eastAsia="cs-CZ"/>
    </w:rPr>
  </w:style>
  <w:style w:type="character" w:styleId="Zdraznnintenzivn">
    <w:name w:val="Intense Emphasis"/>
    <w:basedOn w:val="Standardnpsmoodstavce"/>
    <w:uiPriority w:val="21"/>
    <w:qFormat/>
    <w:rsid w:val="001E6062"/>
    <w:rPr>
      <w:i/>
      <w:iCs/>
      <w:color w:val="000000" w:themeColor="text1"/>
    </w:rPr>
  </w:style>
  <w:style w:type="character" w:styleId="Odkazintenzivn">
    <w:name w:val="Intense Reference"/>
    <w:basedOn w:val="Standardnpsmoodstavce"/>
    <w:uiPriority w:val="32"/>
    <w:qFormat/>
    <w:rsid w:val="001E6062"/>
    <w:rPr>
      <w:b/>
      <w:bCs/>
      <w:smallCaps/>
      <w:color w:val="000000" w:themeColor="text1"/>
      <w:spacing w:val="5"/>
    </w:rPr>
  </w:style>
  <w:style w:type="character" w:styleId="Znakapoznpodarou">
    <w:name w:val="footnote reference"/>
    <w:basedOn w:val="Standardnpsmoodstavce"/>
    <w:rsid w:val="00E063CE"/>
    <w:rPr>
      <w:rFonts w:cs="Times New Roman"/>
      <w:vertAlign w:val="superscript"/>
    </w:rPr>
  </w:style>
  <w:style w:type="paragraph" w:customStyle="1" w:styleId="Nadpis11">
    <w:name w:val="Nadpis 11"/>
    <w:basedOn w:val="Normln"/>
    <w:uiPriority w:val="9"/>
    <w:qFormat/>
    <w:rsid w:val="008A6CB4"/>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8A6CB4"/>
    <w:pPr>
      <w:spacing w:after="0" w:line="240" w:lineRule="auto"/>
      <w:jc w:val="left"/>
    </w:pPr>
    <w:rPr>
      <w:rFonts w:eastAsia="Calibri"/>
      <w:szCs w:val="20"/>
    </w:rPr>
  </w:style>
  <w:style w:type="character" w:styleId="Zdraznn">
    <w:name w:val="Emphasis"/>
    <w:basedOn w:val="Standardnpsmoodstavce"/>
    <w:uiPriority w:val="20"/>
    <w:qFormat/>
    <w:rsid w:val="00C4431F"/>
    <w:rPr>
      <w:i/>
      <w:iCs/>
    </w:rPr>
  </w:style>
  <w:style w:type="character" w:customStyle="1" w:styleId="normaltextrun">
    <w:name w:val="normaltextrun"/>
    <w:basedOn w:val="Standardnpsmoodstavce"/>
    <w:rsid w:val="00C4431F"/>
  </w:style>
  <w:style w:type="paragraph" w:customStyle="1" w:styleId="paragraph">
    <w:name w:val="paragraph"/>
    <w:basedOn w:val="Normln"/>
    <w:rsid w:val="00C4431F"/>
    <w:pPr>
      <w:spacing w:before="100" w:beforeAutospacing="1" w:after="100" w:afterAutospacing="1" w:line="240" w:lineRule="auto"/>
      <w:jc w:val="left"/>
    </w:pPr>
    <w:rPr>
      <w:rFonts w:ascii="Times New Roman" w:hAnsi="Times New Roman"/>
      <w:sz w:val="24"/>
    </w:rPr>
  </w:style>
  <w:style w:type="character" w:customStyle="1" w:styleId="eop">
    <w:name w:val="eop"/>
    <w:basedOn w:val="Standardnpsmoodstavce"/>
    <w:rsid w:val="00C4431F"/>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dpisobsahu">
    <w:name w:val="TOC Heading"/>
    <w:basedOn w:val="Nadpis1"/>
    <w:next w:val="Normln"/>
    <w:uiPriority w:val="39"/>
    <w:unhideWhenUsed/>
    <w:qFormat/>
    <w:rsid w:val="00603FF5"/>
    <w:pPr>
      <w:spacing w:before="240" w:after="0" w:line="259" w:lineRule="auto"/>
      <w:contextualSpacing w:val="0"/>
      <w:outlineLvl w:val="9"/>
    </w:pPr>
    <w:rPr>
      <w:rFonts w:asciiTheme="majorHAnsi" w:eastAsiaTheme="majorEastAsia" w:hAnsiTheme="majorHAnsi" w:cstheme="majorBidi"/>
      <w:b w:val="0"/>
      <w:bCs w:val="0"/>
      <w:color w:val="365F91"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6344914">
      <w:bodyDiv w:val="1"/>
      <w:marLeft w:val="0"/>
      <w:marRight w:val="0"/>
      <w:marTop w:val="0"/>
      <w:marBottom w:val="0"/>
      <w:divBdr>
        <w:top w:val="none" w:sz="0" w:space="0" w:color="auto"/>
        <w:left w:val="none" w:sz="0" w:space="0" w:color="auto"/>
        <w:bottom w:val="none" w:sz="0" w:space="0" w:color="auto"/>
        <w:right w:val="none" w:sz="0" w:space="0" w:color="auto"/>
      </w:divBdr>
    </w:div>
    <w:div w:id="110517919">
      <w:bodyDiv w:val="1"/>
      <w:marLeft w:val="0"/>
      <w:marRight w:val="0"/>
      <w:marTop w:val="0"/>
      <w:marBottom w:val="0"/>
      <w:divBdr>
        <w:top w:val="none" w:sz="0" w:space="0" w:color="auto"/>
        <w:left w:val="none" w:sz="0" w:space="0" w:color="auto"/>
        <w:bottom w:val="none" w:sz="0" w:space="0" w:color="auto"/>
        <w:right w:val="none" w:sz="0" w:space="0" w:color="auto"/>
      </w:divBdr>
    </w:div>
    <w:div w:id="112676334">
      <w:bodyDiv w:val="1"/>
      <w:marLeft w:val="0"/>
      <w:marRight w:val="0"/>
      <w:marTop w:val="0"/>
      <w:marBottom w:val="0"/>
      <w:divBdr>
        <w:top w:val="none" w:sz="0" w:space="0" w:color="auto"/>
        <w:left w:val="none" w:sz="0" w:space="0" w:color="auto"/>
        <w:bottom w:val="none" w:sz="0" w:space="0" w:color="auto"/>
        <w:right w:val="none" w:sz="0" w:space="0" w:color="auto"/>
      </w:divBdr>
    </w:div>
    <w:div w:id="243729605">
      <w:bodyDiv w:val="1"/>
      <w:marLeft w:val="0"/>
      <w:marRight w:val="0"/>
      <w:marTop w:val="0"/>
      <w:marBottom w:val="0"/>
      <w:divBdr>
        <w:top w:val="none" w:sz="0" w:space="0" w:color="auto"/>
        <w:left w:val="none" w:sz="0" w:space="0" w:color="auto"/>
        <w:bottom w:val="none" w:sz="0" w:space="0" w:color="auto"/>
        <w:right w:val="none" w:sz="0" w:space="0" w:color="auto"/>
      </w:divBdr>
    </w:div>
    <w:div w:id="255015632">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87458773">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83518353">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76136441">
      <w:bodyDiv w:val="1"/>
      <w:marLeft w:val="0"/>
      <w:marRight w:val="0"/>
      <w:marTop w:val="0"/>
      <w:marBottom w:val="0"/>
      <w:divBdr>
        <w:top w:val="none" w:sz="0" w:space="0" w:color="auto"/>
        <w:left w:val="none" w:sz="0" w:space="0" w:color="auto"/>
        <w:bottom w:val="none" w:sz="0" w:space="0" w:color="auto"/>
        <w:right w:val="none" w:sz="0" w:space="0" w:color="auto"/>
      </w:divBdr>
    </w:div>
    <w:div w:id="128300063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716924412">
      <w:bodyDiv w:val="1"/>
      <w:marLeft w:val="0"/>
      <w:marRight w:val="0"/>
      <w:marTop w:val="0"/>
      <w:marBottom w:val="0"/>
      <w:divBdr>
        <w:top w:val="none" w:sz="0" w:space="0" w:color="auto"/>
        <w:left w:val="none" w:sz="0" w:space="0" w:color="auto"/>
        <w:bottom w:val="none" w:sz="0" w:space="0" w:color="auto"/>
        <w:right w:val="none" w:sz="0" w:space="0" w:color="auto"/>
      </w:divBdr>
    </w:div>
    <w:div w:id="1856962653">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06206753">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Qmakro-2024\1.a&#382;%203.%20&#269;tvrtlet&#237;\Trh%20pr&#225;ce\Grafy-TRH%20PR&#193;CE%20celorok-rok-1-33q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Qmakro-2024\1.a&#382;%203.%20&#269;tvrtlet&#237;\Trh%20pr&#225;ce\Grafy-TRH%20PR&#193;CE%20celorok-rok-1-33q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Qmakro-2024\1.a&#382;%203.%20&#269;tvrtlet&#237;\Trh%20pr&#225;ce\Grafy-TRH%20PR&#193;CE%20celorok-rok-1-33q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2048E-2"/>
          <c:y val="1.4522051060224651E-2"/>
          <c:w val="0.84495121574960907"/>
          <c:h val="0.67557130739459548"/>
        </c:manualLayout>
      </c:layout>
      <c:barChart>
        <c:barDir val="col"/>
        <c:grouping val="stacked"/>
        <c:varyColors val="0"/>
        <c:ser>
          <c:idx val="0"/>
          <c:order val="0"/>
          <c:tx>
            <c:strRef>
              <c:f>'Trh práce 1-SNÚ'!$AC$7</c:f>
              <c:strCache>
                <c:ptCount val="1"/>
                <c:pt idx="0">
                  <c:v>Zemědělství, lesnictví a rybářství</c:v>
                </c:pt>
              </c:strCache>
            </c:strRef>
          </c:tx>
          <c:spPr>
            <a:solidFill>
              <a:srgbClr val="7DBB2D"/>
            </a:solidFill>
            <a:ln>
              <a:noFill/>
            </a:ln>
          </c:spPr>
          <c:invertIfNegative val="0"/>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1-SNÚ'!$AC$28:$AC$67</c:f>
              <c:numCache>
                <c:formatCode>#\ ##0.0</c:formatCode>
                <c:ptCount val="40"/>
                <c:pt idx="0">
                  <c:v>-6.1573326356334918E-2</c:v>
                </c:pt>
                <c:pt idx="1">
                  <c:v>-5.9676888347252419E-2</c:v>
                </c:pt>
                <c:pt idx="2">
                  <c:v>-7.707844703464159E-2</c:v>
                </c:pt>
                <c:pt idx="3">
                  <c:v>-0.14243709499262253</c:v>
                </c:pt>
                <c:pt idx="4">
                  <c:v>-0.13840014711933823</c:v>
                </c:pt>
                <c:pt idx="5">
                  <c:v>-4.8650842041975666E-2</c:v>
                </c:pt>
                <c:pt idx="6">
                  <c:v>-5.6369916424211908E-2</c:v>
                </c:pt>
                <c:pt idx="7">
                  <c:v>5.3611107528481909E-2</c:v>
                </c:pt>
                <c:pt idx="8">
                  <c:v>0.11362815565462964</c:v>
                </c:pt>
                <c:pt idx="9">
                  <c:v>5.0071347365045656E-2</c:v>
                </c:pt>
                <c:pt idx="10">
                  <c:v>4.1044524794336977E-2</c:v>
                </c:pt>
                <c:pt idx="11">
                  <c:v>-6.8207996146105745E-2</c:v>
                </c:pt>
                <c:pt idx="12">
                  <c:v>1.1563918372028041E-2</c:v>
                </c:pt>
                <c:pt idx="13">
                  <c:v>9.9469652773378076E-3</c:v>
                </c:pt>
                <c:pt idx="14">
                  <c:v>-4.5877079510242644E-3</c:v>
                </c:pt>
                <c:pt idx="15">
                  <c:v>6.1002100013741969E-2</c:v>
                </c:pt>
                <c:pt idx="16">
                  <c:v>-7.7206500491187602E-2</c:v>
                </c:pt>
                <c:pt idx="17">
                  <c:v>-0.12546310619157755</c:v>
                </c:pt>
                <c:pt idx="18">
                  <c:v>-0.15916772896693915</c:v>
                </c:pt>
                <c:pt idx="19">
                  <c:v>-0.17729355041451639</c:v>
                </c:pt>
                <c:pt idx="20">
                  <c:v>-0.22963797478861914</c:v>
                </c:pt>
                <c:pt idx="21">
                  <c:v>-0.16486981249577076</c:v>
                </c:pt>
                <c:pt idx="22">
                  <c:v>-7.1458262303198058E-2</c:v>
                </c:pt>
                <c:pt idx="23">
                  <c:v>-7.1155713762608958E-2</c:v>
                </c:pt>
                <c:pt idx="24">
                  <c:v>1.988648589111628E-2</c:v>
                </c:pt>
                <c:pt idx="25">
                  <c:v>-4.5264025753272527E-2</c:v>
                </c:pt>
                <c:pt idx="26">
                  <c:v>-5.6861720003765062E-2</c:v>
                </c:pt>
                <c:pt idx="27">
                  <c:v>-7.103915889635871E-4</c:v>
                </c:pt>
                <c:pt idx="28">
                  <c:v>0.1001903961167062</c:v>
                </c:pt>
                <c:pt idx="29">
                  <c:v>0.19187936731668201</c:v>
                </c:pt>
                <c:pt idx="30">
                  <c:v>0.16694191816358248</c:v>
                </c:pt>
                <c:pt idx="31">
                  <c:v>8.0972483290481317E-2</c:v>
                </c:pt>
                <c:pt idx="32">
                  <c:v>2.7154047787342289E-2</c:v>
                </c:pt>
                <c:pt idx="33">
                  <c:v>1.721751485384958E-3</c:v>
                </c:pt>
                <c:pt idx="34">
                  <c:v>-7.2914232297264774E-3</c:v>
                </c:pt>
                <c:pt idx="35">
                  <c:v>2.8663087455489521E-2</c:v>
                </c:pt>
                <c:pt idx="36">
                  <c:v>5.2660373376390415E-2</c:v>
                </c:pt>
                <c:pt idx="37">
                  <c:v>4.7286611297762224E-2</c:v>
                </c:pt>
                <c:pt idx="38">
                  <c:v>-1.7890256268642241E-2</c:v>
                </c:pt>
              </c:numCache>
            </c:numRef>
          </c:val>
          <c:extLst>
            <c:ext xmlns:c16="http://schemas.microsoft.com/office/drawing/2014/chart" uri="{C3380CC4-5D6E-409C-BE32-E72D297353CC}">
              <c16:uniqueId val="{00000000-FF2D-4DFA-B527-17311BA05B95}"/>
            </c:ext>
          </c:extLst>
        </c:ser>
        <c:ser>
          <c:idx val="1"/>
          <c:order val="1"/>
          <c:tx>
            <c:strRef>
              <c:f>'Trh práce 1-SNÚ'!$AD$7</c:f>
              <c:strCache>
                <c:ptCount val="1"/>
                <c:pt idx="0">
                  <c:v>Zpracovatelský průmysl</c:v>
                </c:pt>
              </c:strCache>
            </c:strRef>
          </c:tx>
          <c:spPr>
            <a:solidFill>
              <a:srgbClr val="A6CDE8"/>
            </a:solidFill>
            <a:ln>
              <a:noFill/>
            </a:ln>
          </c:spPr>
          <c:invertIfNegative val="0"/>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1-SNÚ'!$AD$28:$AD$67</c:f>
              <c:numCache>
                <c:formatCode>#\ ##0.0</c:formatCode>
                <c:ptCount val="40"/>
                <c:pt idx="0">
                  <c:v>0.88665589953122292</c:v>
                </c:pt>
                <c:pt idx="1">
                  <c:v>0.90523042979145274</c:v>
                </c:pt>
                <c:pt idx="2">
                  <c:v>0.77326960941049294</c:v>
                </c:pt>
                <c:pt idx="3">
                  <c:v>0.91244318301403449</c:v>
                </c:pt>
                <c:pt idx="4">
                  <c:v>0.62615046214619641</c:v>
                </c:pt>
                <c:pt idx="5">
                  <c:v>0.36311412514139912</c:v>
                </c:pt>
                <c:pt idx="6">
                  <c:v>0.36892459176709286</c:v>
                </c:pt>
                <c:pt idx="7">
                  <c:v>0.20801494720027841</c:v>
                </c:pt>
                <c:pt idx="8">
                  <c:v>0.34123025002420737</c:v>
                </c:pt>
                <c:pt idx="9">
                  <c:v>0.52235302041005405</c:v>
                </c:pt>
                <c:pt idx="10">
                  <c:v>0.6007043202184712</c:v>
                </c:pt>
                <c:pt idx="11">
                  <c:v>0.58624629993025279</c:v>
                </c:pt>
                <c:pt idx="12">
                  <c:v>0.11964573015131148</c:v>
                </c:pt>
                <c:pt idx="13">
                  <c:v>7.6152907170797243E-2</c:v>
                </c:pt>
                <c:pt idx="14">
                  <c:v>-0.12298441683462999</c:v>
                </c:pt>
                <c:pt idx="15">
                  <c:v>-0.10363777422981803</c:v>
                </c:pt>
                <c:pt idx="16">
                  <c:v>-4.3879683818856575E-2</c:v>
                </c:pt>
                <c:pt idx="17">
                  <c:v>-0.13090182754073737</c:v>
                </c:pt>
                <c:pt idx="18">
                  <c:v>-0.222700438793799</c:v>
                </c:pt>
                <c:pt idx="19">
                  <c:v>-0.5875860652367344</c:v>
                </c:pt>
                <c:pt idx="20">
                  <c:v>-1.0288745963154016</c:v>
                </c:pt>
                <c:pt idx="21">
                  <c:v>-1.3602085728947291</c:v>
                </c:pt>
                <c:pt idx="22">
                  <c:v>-1.3450219745832801</c:v>
                </c:pt>
                <c:pt idx="23">
                  <c:v>-1.0779931429042369</c:v>
                </c:pt>
                <c:pt idx="24">
                  <c:v>-0.34893294500656458</c:v>
                </c:pt>
                <c:pt idx="25">
                  <c:v>2.32270870065563E-3</c:v>
                </c:pt>
                <c:pt idx="26">
                  <c:v>0.30744821432919089</c:v>
                </c:pt>
                <c:pt idx="27">
                  <c:v>0.30287641394325915</c:v>
                </c:pt>
                <c:pt idx="28">
                  <c:v>-3.0965857946131374E-2</c:v>
                </c:pt>
                <c:pt idx="29">
                  <c:v>0.16543682902296636</c:v>
                </c:pt>
                <c:pt idx="30">
                  <c:v>-2.5206250094264231E-2</c:v>
                </c:pt>
                <c:pt idx="31">
                  <c:v>-8.6847696031558105E-2</c:v>
                </c:pt>
                <c:pt idx="32">
                  <c:v>0.20651069351362475</c:v>
                </c:pt>
                <c:pt idx="33">
                  <c:v>-2.3281074432813999E-2</c:v>
                </c:pt>
                <c:pt idx="34">
                  <c:v>-0.23904650619303264</c:v>
                </c:pt>
                <c:pt idx="35">
                  <c:v>-0.18165745517748966</c:v>
                </c:pt>
                <c:pt idx="36">
                  <c:v>-0.56622475044999632</c:v>
                </c:pt>
                <c:pt idx="37">
                  <c:v>-0.65853178960015912</c:v>
                </c:pt>
                <c:pt idx="38">
                  <c:v>-0.39276907019662283</c:v>
                </c:pt>
              </c:numCache>
            </c:numRef>
          </c:val>
          <c:extLst>
            <c:ext xmlns:c16="http://schemas.microsoft.com/office/drawing/2014/chart" uri="{C3380CC4-5D6E-409C-BE32-E72D297353CC}">
              <c16:uniqueId val="{00000001-FF2D-4DFA-B527-17311BA05B95}"/>
            </c:ext>
          </c:extLst>
        </c:ser>
        <c:ser>
          <c:idx val="2"/>
          <c:order val="2"/>
          <c:tx>
            <c:strRef>
              <c:f>'Trh práce 1-SNÚ'!$AE$7</c:f>
              <c:strCache>
                <c:ptCount val="1"/>
                <c:pt idx="0">
                  <c:v>Stavebnictví</c:v>
                </c:pt>
              </c:strCache>
            </c:strRef>
          </c:tx>
          <c:spPr>
            <a:solidFill>
              <a:srgbClr val="48AEE7"/>
            </a:solidFill>
            <a:ln w="19050">
              <a:noFill/>
            </a:ln>
          </c:spPr>
          <c:invertIfNegative val="0"/>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1-SNÚ'!$AE$28:$AE$67</c:f>
              <c:numCache>
                <c:formatCode>#\ ##0.0</c:formatCode>
                <c:ptCount val="40"/>
                <c:pt idx="0">
                  <c:v>-0.10117304071905125</c:v>
                </c:pt>
                <c:pt idx="1">
                  <c:v>-9.1106454297089121E-2</c:v>
                </c:pt>
                <c:pt idx="2">
                  <c:v>-0.14253348773808819</c:v>
                </c:pt>
                <c:pt idx="3">
                  <c:v>-0.16445842723255458</c:v>
                </c:pt>
                <c:pt idx="4">
                  <c:v>-0.1244766301438134</c:v>
                </c:pt>
                <c:pt idx="5">
                  <c:v>-0.14361558611517708</c:v>
                </c:pt>
                <c:pt idx="6">
                  <c:v>-5.3202850205105789E-2</c:v>
                </c:pt>
                <c:pt idx="7">
                  <c:v>-1.892269971292557E-2</c:v>
                </c:pt>
                <c:pt idx="8">
                  <c:v>-2.522295323322548E-2</c:v>
                </c:pt>
                <c:pt idx="9">
                  <c:v>-4.955475341057251E-3</c:v>
                </c:pt>
                <c:pt idx="10">
                  <c:v>4.3264182079252173E-2</c:v>
                </c:pt>
                <c:pt idx="11">
                  <c:v>-9.7203529235831032E-2</c:v>
                </c:pt>
                <c:pt idx="12">
                  <c:v>5.0774905955341509E-2</c:v>
                </c:pt>
                <c:pt idx="13">
                  <c:v>9.1527209015807957E-3</c:v>
                </c:pt>
                <c:pt idx="14">
                  <c:v>-5.7910411840798107E-3</c:v>
                </c:pt>
                <c:pt idx="15">
                  <c:v>5.1320718963795246E-2</c:v>
                </c:pt>
                <c:pt idx="16">
                  <c:v>-4.7853409991260497E-2</c:v>
                </c:pt>
                <c:pt idx="17">
                  <c:v>2.6839717342942881E-2</c:v>
                </c:pt>
                <c:pt idx="18">
                  <c:v>4.1303727040787566E-2</c:v>
                </c:pt>
                <c:pt idx="19">
                  <c:v>5.3863451406236225E-2</c:v>
                </c:pt>
                <c:pt idx="20">
                  <c:v>-5.219809701293044E-2</c:v>
                </c:pt>
                <c:pt idx="21">
                  <c:v>-0.28539533059612732</c:v>
                </c:pt>
                <c:pt idx="22">
                  <c:v>-0.16438202614531755</c:v>
                </c:pt>
                <c:pt idx="23">
                  <c:v>-8.379854260961106E-2</c:v>
                </c:pt>
                <c:pt idx="24">
                  <c:v>0.10062675606296018</c:v>
                </c:pt>
                <c:pt idx="25">
                  <c:v>0.31345049895046107</c:v>
                </c:pt>
                <c:pt idx="26">
                  <c:v>0.17250227801546797</c:v>
                </c:pt>
                <c:pt idx="27">
                  <c:v>0.23625320276207945</c:v>
                </c:pt>
                <c:pt idx="28">
                  <c:v>0.12256523305435475</c:v>
                </c:pt>
                <c:pt idx="29">
                  <c:v>0.14558592922631924</c:v>
                </c:pt>
                <c:pt idx="30">
                  <c:v>0.1425086346017527</c:v>
                </c:pt>
                <c:pt idx="31">
                  <c:v>0.1263359047432184</c:v>
                </c:pt>
                <c:pt idx="32">
                  <c:v>0.27042481713564209</c:v>
                </c:pt>
                <c:pt idx="33">
                  <c:v>0.23488807492463704</c:v>
                </c:pt>
                <c:pt idx="34">
                  <c:v>0.19670016358962122</c:v>
                </c:pt>
                <c:pt idx="35">
                  <c:v>9.2659876591768275E-2</c:v>
                </c:pt>
                <c:pt idx="36">
                  <c:v>-9.6882420208916353E-2</c:v>
                </c:pt>
                <c:pt idx="37">
                  <c:v>-6.5486587376736488E-2</c:v>
                </c:pt>
                <c:pt idx="38">
                  <c:v>1.1803115131593843E-2</c:v>
                </c:pt>
              </c:numCache>
            </c:numRef>
          </c:val>
          <c:extLst>
            <c:ext xmlns:c16="http://schemas.microsoft.com/office/drawing/2014/chart" uri="{C3380CC4-5D6E-409C-BE32-E72D297353CC}">
              <c16:uniqueId val="{00000002-FF2D-4DFA-B527-17311BA05B95}"/>
            </c:ext>
          </c:extLst>
        </c:ser>
        <c:ser>
          <c:idx val="3"/>
          <c:order val="3"/>
          <c:tx>
            <c:strRef>
              <c:f>'Trh práce 1-SNÚ'!$AF$7</c:f>
              <c:strCache>
                <c:ptCount val="1"/>
                <c:pt idx="0">
                  <c:v>Obchod, doprava, ubytování a pohost.</c:v>
                </c:pt>
              </c:strCache>
            </c:strRef>
          </c:tx>
          <c:spPr>
            <a:solidFill>
              <a:srgbClr val="FDDEB3"/>
            </a:solidFill>
            <a:ln w="19050">
              <a:noFill/>
            </a:ln>
          </c:spPr>
          <c:invertIfNegative val="0"/>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1-SNÚ'!$AF$28:$AF$67</c:f>
              <c:numCache>
                <c:formatCode>#\ ##0.0</c:formatCode>
                <c:ptCount val="40"/>
                <c:pt idx="0">
                  <c:v>0.25998500994419238</c:v>
                </c:pt>
                <c:pt idx="1">
                  <c:v>0.48955477662614383</c:v>
                </c:pt>
                <c:pt idx="2">
                  <c:v>0.32600328194900458</c:v>
                </c:pt>
                <c:pt idx="3">
                  <c:v>0.15828076146259132</c:v>
                </c:pt>
                <c:pt idx="4">
                  <c:v>-5.6703862717618583E-2</c:v>
                </c:pt>
                <c:pt idx="5">
                  <c:v>7.8393714906065587E-2</c:v>
                </c:pt>
                <c:pt idx="6">
                  <c:v>-0.13956333881390184</c:v>
                </c:pt>
                <c:pt idx="7">
                  <c:v>-7.6460796805432718E-2</c:v>
                </c:pt>
                <c:pt idx="8">
                  <c:v>0.15973256369708291</c:v>
                </c:pt>
                <c:pt idx="9">
                  <c:v>-1.5191688883395588E-2</c:v>
                </c:pt>
                <c:pt idx="10">
                  <c:v>0.35531738037577776</c:v>
                </c:pt>
                <c:pt idx="11">
                  <c:v>0.17142372253177482</c:v>
                </c:pt>
                <c:pt idx="12">
                  <c:v>0.11459482327617278</c:v>
                </c:pt>
                <c:pt idx="13">
                  <c:v>0.34360524541678317</c:v>
                </c:pt>
                <c:pt idx="14">
                  <c:v>0.13954905087091021</c:v>
                </c:pt>
                <c:pt idx="15">
                  <c:v>0.16123729177746221</c:v>
                </c:pt>
                <c:pt idx="16">
                  <c:v>9.5669331999762464E-2</c:v>
                </c:pt>
                <c:pt idx="17">
                  <c:v>-0.18752413199774384</c:v>
                </c:pt>
                <c:pt idx="18">
                  <c:v>-0.32173233019841657</c:v>
                </c:pt>
                <c:pt idx="19">
                  <c:v>-0.34416791851901818</c:v>
                </c:pt>
                <c:pt idx="20">
                  <c:v>-0.17007381394220211</c:v>
                </c:pt>
                <c:pt idx="21">
                  <c:v>-0.68801691905386031</c:v>
                </c:pt>
                <c:pt idx="22">
                  <c:v>-0.5805213183815886</c:v>
                </c:pt>
                <c:pt idx="23">
                  <c:v>-1.024799611162776</c:v>
                </c:pt>
                <c:pt idx="24">
                  <c:v>-0.89384919901442583</c:v>
                </c:pt>
                <c:pt idx="25">
                  <c:v>-0.27162254639898481</c:v>
                </c:pt>
                <c:pt idx="26">
                  <c:v>0.18479100442221555</c:v>
                </c:pt>
                <c:pt idx="27">
                  <c:v>0.62815896259788329</c:v>
                </c:pt>
                <c:pt idx="28">
                  <c:v>6.9644543642100654E-2</c:v>
                </c:pt>
                <c:pt idx="29">
                  <c:v>0.38341680525887634</c:v>
                </c:pt>
                <c:pt idx="30">
                  <c:v>-5.4710948222554075E-2</c:v>
                </c:pt>
                <c:pt idx="31">
                  <c:v>-0.15716194082380397</c:v>
                </c:pt>
                <c:pt idx="32">
                  <c:v>0.22884281777327048</c:v>
                </c:pt>
                <c:pt idx="33">
                  <c:v>0.16863807211743323</c:v>
                </c:pt>
                <c:pt idx="34">
                  <c:v>0.26428604814208584</c:v>
                </c:pt>
                <c:pt idx="35">
                  <c:v>0.30836175507036739</c:v>
                </c:pt>
                <c:pt idx="36">
                  <c:v>0.34109094336578877</c:v>
                </c:pt>
                <c:pt idx="37">
                  <c:v>0.37866318491066292</c:v>
                </c:pt>
                <c:pt idx="38">
                  <c:v>0.21536973443733737</c:v>
                </c:pt>
              </c:numCache>
            </c:numRef>
          </c:val>
          <c:extLst>
            <c:ext xmlns:c16="http://schemas.microsoft.com/office/drawing/2014/chart" uri="{C3380CC4-5D6E-409C-BE32-E72D297353CC}">
              <c16:uniqueId val="{00000003-FF2D-4DFA-B527-17311BA05B95}"/>
            </c:ext>
          </c:extLst>
        </c:ser>
        <c:ser>
          <c:idx val="4"/>
          <c:order val="4"/>
          <c:tx>
            <c:strRef>
              <c:f>'Trh práce 1-SNÚ'!$AG$7</c:f>
              <c:strCache>
                <c:ptCount val="1"/>
                <c:pt idx="0">
                  <c:v>Informační a komunikač. čin.</c:v>
                </c:pt>
              </c:strCache>
            </c:strRef>
          </c:tx>
          <c:spPr>
            <a:solidFill>
              <a:srgbClr val="F8A124"/>
            </a:solidFill>
            <a:ln w="19050">
              <a:noFill/>
            </a:ln>
          </c:spPr>
          <c:invertIfNegative val="0"/>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1-SNÚ'!$AG$28:$AG$67</c:f>
              <c:numCache>
                <c:formatCode>#\ ##0.0</c:formatCode>
                <c:ptCount val="40"/>
                <c:pt idx="0">
                  <c:v>1.4183504250133379E-2</c:v>
                </c:pt>
                <c:pt idx="1">
                  <c:v>5.629821000764499E-2</c:v>
                </c:pt>
                <c:pt idx="2">
                  <c:v>6.26372452292175E-2</c:v>
                </c:pt>
                <c:pt idx="3">
                  <c:v>9.4516337489973887E-2</c:v>
                </c:pt>
                <c:pt idx="4">
                  <c:v>0.10299907118296198</c:v>
                </c:pt>
                <c:pt idx="5">
                  <c:v>9.0773702896897832E-2</c:v>
                </c:pt>
                <c:pt idx="6">
                  <c:v>0.11426543181982249</c:v>
                </c:pt>
                <c:pt idx="7">
                  <c:v>0.13630888775913119</c:v>
                </c:pt>
                <c:pt idx="8">
                  <c:v>0.10306256214490077</c:v>
                </c:pt>
                <c:pt idx="9">
                  <c:v>0.113076676701345</c:v>
                </c:pt>
                <c:pt idx="10">
                  <c:v>0.14247903571964249</c:v>
                </c:pt>
                <c:pt idx="11">
                  <c:v>0.13951722056886845</c:v>
                </c:pt>
                <c:pt idx="12">
                  <c:v>0.13227299733915818</c:v>
                </c:pt>
                <c:pt idx="13">
                  <c:v>0.14892082045443958</c:v>
                </c:pt>
                <c:pt idx="14">
                  <c:v>0.10555488703709108</c:v>
                </c:pt>
                <c:pt idx="15">
                  <c:v>0.12454203777844085</c:v>
                </c:pt>
                <c:pt idx="16">
                  <c:v>0.1256784621979638</c:v>
                </c:pt>
                <c:pt idx="17">
                  <c:v>7.6458736775003838E-2</c:v>
                </c:pt>
                <c:pt idx="18">
                  <c:v>0.11512037432787062</c:v>
                </c:pt>
                <c:pt idx="19">
                  <c:v>0.12022992158448997</c:v>
                </c:pt>
                <c:pt idx="20">
                  <c:v>9.8320126142908748E-2</c:v>
                </c:pt>
                <c:pt idx="21">
                  <c:v>5.3757438014449162E-2</c:v>
                </c:pt>
                <c:pt idx="22">
                  <c:v>7.7959563030390977E-2</c:v>
                </c:pt>
                <c:pt idx="23">
                  <c:v>5.8793836667762431E-2</c:v>
                </c:pt>
                <c:pt idx="24">
                  <c:v>2.8455305359929017E-2</c:v>
                </c:pt>
                <c:pt idx="25">
                  <c:v>8.2292993386038724E-2</c:v>
                </c:pt>
                <c:pt idx="26">
                  <c:v>6.4760246180956965E-2</c:v>
                </c:pt>
                <c:pt idx="27">
                  <c:v>-2.2214136984618119E-2</c:v>
                </c:pt>
                <c:pt idx="28">
                  <c:v>0.19577982320442494</c:v>
                </c:pt>
                <c:pt idx="29">
                  <c:v>0.1773093767482338</c:v>
                </c:pt>
                <c:pt idx="30">
                  <c:v>0.17446420222312728</c:v>
                </c:pt>
                <c:pt idx="31">
                  <c:v>0.25679575689123113</c:v>
                </c:pt>
                <c:pt idx="32">
                  <c:v>0.141934737250551</c:v>
                </c:pt>
                <c:pt idx="33">
                  <c:v>6.7279310760423094E-2</c:v>
                </c:pt>
                <c:pt idx="34">
                  <c:v>2.9427436316896094E-2</c:v>
                </c:pt>
                <c:pt idx="35">
                  <c:v>1.8012526927700064E-2</c:v>
                </c:pt>
                <c:pt idx="36">
                  <c:v>4.7016194694732727E-2</c:v>
                </c:pt>
                <c:pt idx="37">
                  <c:v>1.3923074274047452E-2</c:v>
                </c:pt>
                <c:pt idx="38">
                  <c:v>1.8187189982644602E-3</c:v>
                </c:pt>
              </c:numCache>
            </c:numRef>
          </c:val>
          <c:extLst>
            <c:ext xmlns:c16="http://schemas.microsoft.com/office/drawing/2014/chart" uri="{C3380CC4-5D6E-409C-BE32-E72D297353CC}">
              <c16:uniqueId val="{00000004-FF2D-4DFA-B527-17311BA05B95}"/>
            </c:ext>
          </c:extLst>
        </c:ser>
        <c:ser>
          <c:idx val="5"/>
          <c:order val="5"/>
          <c:tx>
            <c:strRef>
              <c:f>'Trh práce 1-SNÚ'!$AH$7</c:f>
              <c:strCache>
                <c:ptCount val="1"/>
                <c:pt idx="0">
                  <c:v>Profesní, vědec., techn. a admin. čin.</c:v>
                </c:pt>
              </c:strCache>
            </c:strRef>
          </c:tx>
          <c:spPr>
            <a:solidFill>
              <a:srgbClr val="E8C0BE"/>
            </a:solidFill>
            <a:ln w="19050">
              <a:noFill/>
            </a:ln>
          </c:spPr>
          <c:invertIfNegative val="0"/>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1-SNÚ'!$AH$28:$AH$67</c:f>
              <c:numCache>
                <c:formatCode>#\ ##0.0</c:formatCode>
                <c:ptCount val="40"/>
                <c:pt idx="0">
                  <c:v>0.11759915174382432</c:v>
                </c:pt>
                <c:pt idx="1">
                  <c:v>0.14665821211342547</c:v>
                </c:pt>
                <c:pt idx="2">
                  <c:v>0.27033225330885341</c:v>
                </c:pt>
                <c:pt idx="3">
                  <c:v>0.34628057749677232</c:v>
                </c:pt>
                <c:pt idx="4">
                  <c:v>0.1873751956720211</c:v>
                </c:pt>
                <c:pt idx="5">
                  <c:v>0.20516788210079692</c:v>
                </c:pt>
                <c:pt idx="6">
                  <c:v>0.18977292521436465</c:v>
                </c:pt>
                <c:pt idx="7">
                  <c:v>0.2038377083012908</c:v>
                </c:pt>
                <c:pt idx="8">
                  <c:v>0.29841078105477886</c:v>
                </c:pt>
                <c:pt idx="9">
                  <c:v>0.23426579179886092</c:v>
                </c:pt>
                <c:pt idx="10">
                  <c:v>0.20577753829291368</c:v>
                </c:pt>
                <c:pt idx="11">
                  <c:v>5.6773405997204894E-2</c:v>
                </c:pt>
                <c:pt idx="12">
                  <c:v>0.10777799783190666</c:v>
                </c:pt>
                <c:pt idx="13">
                  <c:v>0.10518064804667848</c:v>
                </c:pt>
                <c:pt idx="14">
                  <c:v>9.8748533437620648E-2</c:v>
                </c:pt>
                <c:pt idx="15">
                  <c:v>0.22141224467237378</c:v>
                </c:pt>
                <c:pt idx="16">
                  <c:v>3.724431087059718E-2</c:v>
                </c:pt>
                <c:pt idx="17">
                  <c:v>2.5573165795878261E-2</c:v>
                </c:pt>
                <c:pt idx="18">
                  <c:v>2.2396959985967045E-2</c:v>
                </c:pt>
                <c:pt idx="19">
                  <c:v>-0.18724759065711963</c:v>
                </c:pt>
                <c:pt idx="20">
                  <c:v>-0.19133070373579164</c:v>
                </c:pt>
                <c:pt idx="21">
                  <c:v>-0.3504112611767094</c:v>
                </c:pt>
                <c:pt idx="22">
                  <c:v>-0.52251402310016892</c:v>
                </c:pt>
                <c:pt idx="23">
                  <c:v>-0.24405342203916677</c:v>
                </c:pt>
                <c:pt idx="24">
                  <c:v>-0.10997283570482894</c:v>
                </c:pt>
                <c:pt idx="25">
                  <c:v>0.14882612029903389</c:v>
                </c:pt>
                <c:pt idx="26">
                  <c:v>0.28609151976270597</c:v>
                </c:pt>
                <c:pt idx="27">
                  <c:v>0.12335853943489318</c:v>
                </c:pt>
                <c:pt idx="28">
                  <c:v>0.16279030253185092</c:v>
                </c:pt>
                <c:pt idx="29">
                  <c:v>0.11160194861751378</c:v>
                </c:pt>
                <c:pt idx="30">
                  <c:v>0.16264347012955688</c:v>
                </c:pt>
                <c:pt idx="31">
                  <c:v>0.22346522307166092</c:v>
                </c:pt>
                <c:pt idx="32">
                  <c:v>0.25007819079916555</c:v>
                </c:pt>
                <c:pt idx="33">
                  <c:v>0.24783864044514128</c:v>
                </c:pt>
                <c:pt idx="34">
                  <c:v>0.2914886655760654</c:v>
                </c:pt>
                <c:pt idx="35">
                  <c:v>0.29023711697921695</c:v>
                </c:pt>
                <c:pt idx="36">
                  <c:v>0.1729577526705996</c:v>
                </c:pt>
                <c:pt idx="37">
                  <c:v>6.9967151172374092E-2</c:v>
                </c:pt>
                <c:pt idx="38">
                  <c:v>9.162260912685348E-2</c:v>
                </c:pt>
              </c:numCache>
            </c:numRef>
          </c:val>
          <c:extLst>
            <c:ext xmlns:c16="http://schemas.microsoft.com/office/drawing/2014/chart" uri="{C3380CC4-5D6E-409C-BE32-E72D297353CC}">
              <c16:uniqueId val="{00000005-FF2D-4DFA-B527-17311BA05B95}"/>
            </c:ext>
          </c:extLst>
        </c:ser>
        <c:ser>
          <c:idx val="6"/>
          <c:order val="6"/>
          <c:tx>
            <c:strRef>
              <c:f>'Trh práce 1-SNÚ'!$AI$7</c:f>
              <c:strCache>
                <c:ptCount val="1"/>
                <c:pt idx="0">
                  <c:v>Veř.spr.,obrana, vzděl.,zdrav.a soc.péče</c:v>
                </c:pt>
              </c:strCache>
            </c:strRef>
          </c:tx>
          <c:spPr>
            <a:solidFill>
              <a:srgbClr val="D58D8B"/>
            </a:solidFill>
            <a:ln>
              <a:noFill/>
            </a:ln>
          </c:spPr>
          <c:invertIfNegative val="0"/>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1-SNÚ'!$AI$28:$AI$67</c:f>
              <c:numCache>
                <c:formatCode>#\ ##0.0</c:formatCode>
                <c:ptCount val="40"/>
                <c:pt idx="0">
                  <c:v>0.29810932511306687</c:v>
                </c:pt>
                <c:pt idx="1">
                  <c:v>0.22837508358300088</c:v>
                </c:pt>
                <c:pt idx="2">
                  <c:v>8.7664748087127292E-2</c:v>
                </c:pt>
                <c:pt idx="3">
                  <c:v>6.3608520735520563E-2</c:v>
                </c:pt>
                <c:pt idx="4">
                  <c:v>0.31886213213126613</c:v>
                </c:pt>
                <c:pt idx="5">
                  <c:v>0.28817753636693877</c:v>
                </c:pt>
                <c:pt idx="6">
                  <c:v>0.36508162726951909</c:v>
                </c:pt>
                <c:pt idx="7">
                  <c:v>0.46049727622848979</c:v>
                </c:pt>
                <c:pt idx="8">
                  <c:v>0.25543763072520886</c:v>
                </c:pt>
                <c:pt idx="9">
                  <c:v>0.32021171933565312</c:v>
                </c:pt>
                <c:pt idx="10">
                  <c:v>0.40612074323310393</c:v>
                </c:pt>
                <c:pt idx="11">
                  <c:v>0.45188510919558089</c:v>
                </c:pt>
                <c:pt idx="12">
                  <c:v>0.60669746453968465</c:v>
                </c:pt>
                <c:pt idx="13">
                  <c:v>0.67766064774410706</c:v>
                </c:pt>
                <c:pt idx="14">
                  <c:v>0.54779865226677038</c:v>
                </c:pt>
                <c:pt idx="15">
                  <c:v>0.53702526690063701</c:v>
                </c:pt>
                <c:pt idx="16">
                  <c:v>0.28440258119756973</c:v>
                </c:pt>
                <c:pt idx="17">
                  <c:v>0.27707677667843045</c:v>
                </c:pt>
                <c:pt idx="18">
                  <c:v>0.33524516272328342</c:v>
                </c:pt>
                <c:pt idx="19">
                  <c:v>0.37920241903644225</c:v>
                </c:pt>
                <c:pt idx="20">
                  <c:v>0.39000877571158382</c:v>
                </c:pt>
                <c:pt idx="21">
                  <c:v>0.31581562839071159</c:v>
                </c:pt>
                <c:pt idx="22">
                  <c:v>0.4292913488797877</c:v>
                </c:pt>
                <c:pt idx="23">
                  <c:v>0.43905266815196531</c:v>
                </c:pt>
                <c:pt idx="24">
                  <c:v>0.48013825373146052</c:v>
                </c:pt>
                <c:pt idx="25">
                  <c:v>0.61638162295910981</c:v>
                </c:pt>
                <c:pt idx="26">
                  <c:v>0.58629302803612371</c:v>
                </c:pt>
                <c:pt idx="27">
                  <c:v>0.47863113300738547</c:v>
                </c:pt>
                <c:pt idx="28">
                  <c:v>0.23949857455870413</c:v>
                </c:pt>
                <c:pt idx="29">
                  <c:v>0.19858498227191301</c:v>
                </c:pt>
                <c:pt idx="30">
                  <c:v>0.21793885646200037</c:v>
                </c:pt>
                <c:pt idx="31">
                  <c:v>0.27781094092662112</c:v>
                </c:pt>
                <c:pt idx="32">
                  <c:v>0.47818353791525892</c:v>
                </c:pt>
                <c:pt idx="33">
                  <c:v>0.43397494776730211</c:v>
                </c:pt>
                <c:pt idx="34">
                  <c:v>0.2680065435849463</c:v>
                </c:pt>
                <c:pt idx="35">
                  <c:v>0.25837886136539057</c:v>
                </c:pt>
                <c:pt idx="36">
                  <c:v>0.31968777074128485</c:v>
                </c:pt>
                <c:pt idx="37">
                  <c:v>0.29245861866070949</c:v>
                </c:pt>
                <c:pt idx="38">
                  <c:v>0.42613699630763813</c:v>
                </c:pt>
              </c:numCache>
            </c:numRef>
          </c:val>
          <c:extLst>
            <c:ext xmlns:c16="http://schemas.microsoft.com/office/drawing/2014/chart" uri="{C3380CC4-5D6E-409C-BE32-E72D297353CC}">
              <c16:uniqueId val="{00000006-FF2D-4DFA-B527-17311BA05B95}"/>
            </c:ext>
          </c:extLst>
        </c:ser>
        <c:ser>
          <c:idx val="7"/>
          <c:order val="7"/>
          <c:tx>
            <c:strRef>
              <c:f>'Trh práce 1-SNÚ'!$AJ$7</c:f>
              <c:strCache>
                <c:ptCount val="1"/>
                <c:pt idx="0">
                  <c:v>Ostatní odvětví*</c:v>
                </c:pt>
              </c:strCache>
            </c:strRef>
          </c:tx>
          <c:spPr>
            <a:solidFill>
              <a:schemeClr val="bg1">
                <a:lumMod val="85000"/>
              </a:schemeClr>
            </a:solidFill>
            <a:ln>
              <a:noFill/>
            </a:ln>
          </c:spPr>
          <c:invertIfNegative val="0"/>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1-SNÚ'!$AJ$28:$AJ$67</c:f>
              <c:numCache>
                <c:formatCode>#\ ##0.0</c:formatCode>
                <c:ptCount val="40"/>
                <c:pt idx="0">
                  <c:v>-0.11167788297920554</c:v>
                </c:pt>
                <c:pt idx="1">
                  <c:v>3.2922470332453942E-2</c:v>
                </c:pt>
                <c:pt idx="2">
                  <c:v>2.8686723369582272E-2</c:v>
                </c:pt>
                <c:pt idx="3">
                  <c:v>-3.2096578937316919E-2</c:v>
                </c:pt>
                <c:pt idx="4">
                  <c:v>0.1719564056042851</c:v>
                </c:pt>
                <c:pt idx="5">
                  <c:v>0.10973961273620712</c:v>
                </c:pt>
                <c:pt idx="6">
                  <c:v>0.13297815844368727</c:v>
                </c:pt>
                <c:pt idx="7">
                  <c:v>0.21049819060105912</c:v>
                </c:pt>
                <c:pt idx="8">
                  <c:v>-7.8204602142011373E-2</c:v>
                </c:pt>
                <c:pt idx="9">
                  <c:v>-4.3087762424945671E-2</c:v>
                </c:pt>
                <c:pt idx="10">
                  <c:v>-2.4186610414937963E-2</c:v>
                </c:pt>
                <c:pt idx="11">
                  <c:v>-3.215383918742503E-2</c:v>
                </c:pt>
                <c:pt idx="12">
                  <c:v>0.16045174095835293</c:v>
                </c:pt>
                <c:pt idx="13">
                  <c:v>0.15856521644577473</c:v>
                </c:pt>
                <c:pt idx="14">
                  <c:v>-1.9178123401822754E-2</c:v>
                </c:pt>
                <c:pt idx="15">
                  <c:v>-1.4963843331568139E-2</c:v>
                </c:pt>
                <c:pt idx="16">
                  <c:v>-0.11518182702557608</c:v>
                </c:pt>
                <c:pt idx="17">
                  <c:v>-3.7866166105623093E-2</c:v>
                </c:pt>
                <c:pt idx="18">
                  <c:v>9.4440514607494364E-2</c:v>
                </c:pt>
                <c:pt idx="19">
                  <c:v>7.8646220757913818E-2</c:v>
                </c:pt>
                <c:pt idx="20">
                  <c:v>-0.19809850857772601</c:v>
                </c:pt>
                <c:pt idx="21">
                  <c:v>-0.41738438003451656</c:v>
                </c:pt>
                <c:pt idx="22">
                  <c:v>-0.37552484458995661</c:v>
                </c:pt>
                <c:pt idx="23">
                  <c:v>-0.44219932777610815</c:v>
                </c:pt>
                <c:pt idx="24">
                  <c:v>2.3886532147575315E-2</c:v>
                </c:pt>
                <c:pt idx="25">
                  <c:v>0.20574208143493422</c:v>
                </c:pt>
                <c:pt idx="26">
                  <c:v>0.14351545379237532</c:v>
                </c:pt>
                <c:pt idx="27">
                  <c:v>0.21300227805302802</c:v>
                </c:pt>
                <c:pt idx="28">
                  <c:v>0.10114495400653761</c:v>
                </c:pt>
                <c:pt idx="29">
                  <c:v>0.12974320154172242</c:v>
                </c:pt>
                <c:pt idx="30">
                  <c:v>5.4560125484518086E-2</c:v>
                </c:pt>
                <c:pt idx="31">
                  <c:v>5.7942402577863039E-2</c:v>
                </c:pt>
                <c:pt idx="32">
                  <c:v>-9.0047058191729826E-2</c:v>
                </c:pt>
                <c:pt idx="33">
                  <c:v>-5.1034959789617189E-2</c:v>
                </c:pt>
                <c:pt idx="34">
                  <c:v>-6.212666510866946E-2</c:v>
                </c:pt>
                <c:pt idx="35">
                  <c:v>-3.0568977234146574E-2</c:v>
                </c:pt>
                <c:pt idx="36">
                  <c:v>4.4035770308378831E-2</c:v>
                </c:pt>
                <c:pt idx="37">
                  <c:v>0.148636223766028</c:v>
                </c:pt>
                <c:pt idx="38">
                  <c:v>0.10906746482449217</c:v>
                </c:pt>
              </c:numCache>
            </c:numRef>
          </c:val>
          <c:extLst>
            <c:ext xmlns:c16="http://schemas.microsoft.com/office/drawing/2014/chart" uri="{C3380CC4-5D6E-409C-BE32-E72D297353CC}">
              <c16:uniqueId val="{00000007-FF2D-4DFA-B527-17311BA05B95}"/>
            </c:ext>
          </c:extLst>
        </c:ser>
        <c:dLbls>
          <c:showLegendKey val="0"/>
          <c:showVal val="0"/>
          <c:showCatName val="0"/>
          <c:showSerName val="0"/>
          <c:showPercent val="0"/>
          <c:showBubbleSize val="0"/>
        </c:dLbls>
        <c:gapWidth val="47"/>
        <c:overlap val="100"/>
        <c:axId val="101898496"/>
        <c:axId val="101781504"/>
      </c:barChart>
      <c:lineChart>
        <c:grouping val="standard"/>
        <c:varyColors val="0"/>
        <c:ser>
          <c:idx val="8"/>
          <c:order val="8"/>
          <c:tx>
            <c:strRef>
              <c:f>'Trh práce 1-SNÚ'!$AK$7</c:f>
              <c:strCache>
                <c:ptCount val="1"/>
                <c:pt idx="0">
                  <c:v>Zaměstnanost celkem</c:v>
                </c:pt>
              </c:strCache>
            </c:strRef>
          </c:tx>
          <c:spPr>
            <a:ln w="19050">
              <a:solidFill>
                <a:schemeClr val="tx1">
                  <a:lumMod val="95000"/>
                  <a:lumOff val="5000"/>
                </a:schemeClr>
              </a:solidFill>
            </a:ln>
          </c:spPr>
          <c:marker>
            <c:symbol val="none"/>
          </c:marker>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1-SNÚ'!$AK$28:$AK$67</c:f>
              <c:numCache>
                <c:formatCode>#\ ##0.0</c:formatCode>
                <c:ptCount val="40"/>
                <c:pt idx="0">
                  <c:v>1.3021086405278481</c:v>
                </c:pt>
                <c:pt idx="1">
                  <c:v>1.7082558398097802</c:v>
                </c:pt>
                <c:pt idx="2">
                  <c:v>1.3289819265815481</c:v>
                </c:pt>
                <c:pt idx="3">
                  <c:v>1.2361372790363987</c:v>
                </c:pt>
                <c:pt idx="4">
                  <c:v>1.0877626267559606</c:v>
                </c:pt>
                <c:pt idx="5">
                  <c:v>0.94310014599115277</c:v>
                </c:pt>
                <c:pt idx="6">
                  <c:v>0.92188662907126684</c:v>
                </c:pt>
                <c:pt idx="7">
                  <c:v>1.1773846211003729</c:v>
                </c:pt>
                <c:pt idx="8">
                  <c:v>1.1680743879255715</c:v>
                </c:pt>
                <c:pt idx="9">
                  <c:v>1.1767436289615603</c:v>
                </c:pt>
                <c:pt idx="10">
                  <c:v>1.7705211142985604</c:v>
                </c:pt>
                <c:pt idx="11">
                  <c:v>1.2082803936543201</c:v>
                </c:pt>
                <c:pt idx="12">
                  <c:v>1.3037795784239563</c:v>
                </c:pt>
                <c:pt idx="13">
                  <c:v>1.5291851714574989</c:v>
                </c:pt>
                <c:pt idx="14">
                  <c:v>0.73910983424083554</c:v>
                </c:pt>
                <c:pt idx="15">
                  <c:v>1.0379380425450648</c:v>
                </c:pt>
                <c:pt idx="16">
                  <c:v>0.25887326493901242</c:v>
                </c:pt>
                <c:pt idx="17">
                  <c:v>-7.5806835243426463E-2</c:v>
                </c:pt>
                <c:pt idx="18">
                  <c:v>-9.5093759273751743E-2</c:v>
                </c:pt>
                <c:pt idx="19">
                  <c:v>-0.66435311204230629</c:v>
                </c:pt>
                <c:pt idx="20">
                  <c:v>-1.3818847925181785</c:v>
                </c:pt>
                <c:pt idx="21">
                  <c:v>-2.8967132098465527</c:v>
                </c:pt>
                <c:pt idx="22">
                  <c:v>-2.5521715371933311</c:v>
                </c:pt>
                <c:pt idx="23">
                  <c:v>-2.4461532554347798</c:v>
                </c:pt>
                <c:pt idx="24">
                  <c:v>-0.69976164653277806</c:v>
                </c:pt>
                <c:pt idx="25">
                  <c:v>1.0521294535779759</c:v>
                </c:pt>
                <c:pt idx="26">
                  <c:v>1.6885400245352713</c:v>
                </c:pt>
                <c:pt idx="27">
                  <c:v>1.9593560012249469</c:v>
                </c:pt>
                <c:pt idx="28">
                  <c:v>0.96064796916854789</c:v>
                </c:pt>
                <c:pt idx="29">
                  <c:v>1.5035584400042268</c:v>
                </c:pt>
                <c:pt idx="30">
                  <c:v>0.83914000874771943</c:v>
                </c:pt>
                <c:pt idx="31">
                  <c:v>0.77931307464571375</c:v>
                </c:pt>
                <c:pt idx="32">
                  <c:v>1.5130817839831252</c:v>
                </c:pt>
                <c:pt idx="33">
                  <c:v>1.0800247632778905</c:v>
                </c:pt>
                <c:pt idx="34">
                  <c:v>0.74144426267818631</c:v>
                </c:pt>
                <c:pt idx="35">
                  <c:v>0.78408679197829656</c:v>
                </c:pt>
                <c:pt idx="36">
                  <c:v>0.31434163449826258</c:v>
                </c:pt>
                <c:pt idx="37">
                  <c:v>0.22691648710468826</c:v>
                </c:pt>
                <c:pt idx="38">
                  <c:v>0.44515931236091433</c:v>
                </c:pt>
              </c:numCache>
            </c:numRef>
          </c:val>
          <c:smooth val="0"/>
          <c:extLst>
            <c:ext xmlns:c16="http://schemas.microsoft.com/office/drawing/2014/chart" uri="{C3380CC4-5D6E-409C-BE32-E72D297353CC}">
              <c16:uniqueId val="{00000008-FF2D-4DFA-B527-17311BA05B95}"/>
            </c:ext>
          </c:extLst>
        </c:ser>
        <c:dLbls>
          <c:showLegendKey val="0"/>
          <c:showVal val="0"/>
          <c:showCatName val="0"/>
          <c:showSerName val="0"/>
          <c:showPercent val="0"/>
          <c:showBubbleSize val="0"/>
        </c:dLbls>
        <c:marker val="1"/>
        <c:smooth val="0"/>
        <c:axId val="101898496"/>
        <c:axId val="101781504"/>
      </c:lineChart>
      <c:lineChart>
        <c:grouping val="standard"/>
        <c:varyColors val="0"/>
        <c:ser>
          <c:idx val="9"/>
          <c:order val="9"/>
          <c:tx>
            <c:strRef>
              <c:f>'Trh práce 1-SNÚ'!$AL$7</c:f>
              <c:strCache>
                <c:ptCount val="1"/>
              </c:strCache>
            </c:strRef>
          </c:tx>
          <c:spPr>
            <a:ln>
              <a:noFill/>
            </a:ln>
          </c:spPr>
          <c:marker>
            <c:symbol val="none"/>
          </c:marker>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1-SNÚ'!$AL$28:$AL$67</c:f>
              <c:numCache>
                <c:formatCode>General</c:formatCode>
                <c:ptCount val="40"/>
              </c:numCache>
            </c:numRef>
          </c:val>
          <c:smooth val="0"/>
          <c:extLst>
            <c:ext xmlns:c16="http://schemas.microsoft.com/office/drawing/2014/chart" uri="{C3380CC4-5D6E-409C-BE32-E72D297353CC}">
              <c16:uniqueId val="{00000009-FF2D-4DFA-B527-17311BA05B95}"/>
            </c:ext>
          </c:extLst>
        </c:ser>
        <c:ser>
          <c:idx val="10"/>
          <c:order val="10"/>
          <c:tx>
            <c:strRef>
              <c:f>'Trh práce 1-SNÚ'!$AM$7</c:f>
              <c:strCache>
                <c:ptCount val="1"/>
                <c:pt idx="0">
                  <c:v>Očekávání zaměstnanosti (průmysl)</c:v>
                </c:pt>
              </c:strCache>
            </c:strRef>
          </c:tx>
          <c:spPr>
            <a:ln w="15875">
              <a:solidFill>
                <a:schemeClr val="tx1">
                  <a:lumMod val="95000"/>
                  <a:lumOff val="5000"/>
                </a:schemeClr>
              </a:solidFill>
              <a:prstDash val="sysDot"/>
            </a:ln>
          </c:spPr>
          <c:marker>
            <c:symbol val="none"/>
          </c:marker>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1-SNÚ'!$AM$28:$AM$67</c:f>
              <c:numCache>
                <c:formatCode>#\ ##0.0</c:formatCode>
                <c:ptCount val="40"/>
                <c:pt idx="0">
                  <c:v>-3</c:v>
                </c:pt>
                <c:pt idx="1">
                  <c:v>4.3</c:v>
                </c:pt>
                <c:pt idx="2">
                  <c:v>5.5</c:v>
                </c:pt>
                <c:pt idx="3">
                  <c:v>7.8</c:v>
                </c:pt>
                <c:pt idx="4">
                  <c:v>8.1999999999999993</c:v>
                </c:pt>
                <c:pt idx="5">
                  <c:v>9.9</c:v>
                </c:pt>
                <c:pt idx="6">
                  <c:v>3.8</c:v>
                </c:pt>
                <c:pt idx="7">
                  <c:v>9.5</c:v>
                </c:pt>
                <c:pt idx="8">
                  <c:v>11.1</c:v>
                </c:pt>
                <c:pt idx="9">
                  <c:v>5.7</c:v>
                </c:pt>
                <c:pt idx="10">
                  <c:v>8.1999999999999993</c:v>
                </c:pt>
                <c:pt idx="11">
                  <c:v>7.3</c:v>
                </c:pt>
                <c:pt idx="12">
                  <c:v>9.8000000000000007</c:v>
                </c:pt>
                <c:pt idx="13">
                  <c:v>9.4</c:v>
                </c:pt>
                <c:pt idx="14">
                  <c:v>6.2</c:v>
                </c:pt>
                <c:pt idx="15">
                  <c:v>6.3</c:v>
                </c:pt>
                <c:pt idx="16">
                  <c:v>2.5</c:v>
                </c:pt>
                <c:pt idx="17">
                  <c:v>2.6</c:v>
                </c:pt>
                <c:pt idx="18">
                  <c:v>0.5</c:v>
                </c:pt>
                <c:pt idx="19">
                  <c:v>-2.8</c:v>
                </c:pt>
                <c:pt idx="20">
                  <c:v>2.9</c:v>
                </c:pt>
                <c:pt idx="21">
                  <c:v>-19</c:v>
                </c:pt>
                <c:pt idx="22">
                  <c:v>-10.9</c:v>
                </c:pt>
                <c:pt idx="23">
                  <c:v>-3.5</c:v>
                </c:pt>
                <c:pt idx="24">
                  <c:v>4.4000000000000004</c:v>
                </c:pt>
                <c:pt idx="25">
                  <c:v>8.6</c:v>
                </c:pt>
                <c:pt idx="26">
                  <c:v>4.7</c:v>
                </c:pt>
                <c:pt idx="27">
                  <c:v>1.8</c:v>
                </c:pt>
                <c:pt idx="28">
                  <c:v>11.2</c:v>
                </c:pt>
                <c:pt idx="29">
                  <c:v>2.2999999999999998</c:v>
                </c:pt>
                <c:pt idx="30">
                  <c:v>2.1</c:v>
                </c:pt>
                <c:pt idx="31">
                  <c:v>-9.9</c:v>
                </c:pt>
                <c:pt idx="32">
                  <c:v>-13.6</c:v>
                </c:pt>
                <c:pt idx="33">
                  <c:v>-5.8</c:v>
                </c:pt>
                <c:pt idx="34">
                  <c:v>-4.3</c:v>
                </c:pt>
                <c:pt idx="35">
                  <c:v>-8.3000000000000007</c:v>
                </c:pt>
                <c:pt idx="36">
                  <c:v>-6</c:v>
                </c:pt>
                <c:pt idx="37">
                  <c:v>-9.6</c:v>
                </c:pt>
                <c:pt idx="38">
                  <c:v>-10.7</c:v>
                </c:pt>
                <c:pt idx="39">
                  <c:v>-13.2</c:v>
                </c:pt>
              </c:numCache>
            </c:numRef>
          </c:val>
          <c:smooth val="0"/>
          <c:extLst>
            <c:ext xmlns:c16="http://schemas.microsoft.com/office/drawing/2014/chart" uri="{C3380CC4-5D6E-409C-BE32-E72D297353CC}">
              <c16:uniqueId val="{0000000A-FF2D-4DFA-B527-17311BA05B95}"/>
            </c:ext>
          </c:extLst>
        </c:ser>
        <c:ser>
          <c:idx val="11"/>
          <c:order val="11"/>
          <c:tx>
            <c:strRef>
              <c:f>'Trh práce 1-SNÚ'!$AN$7</c:f>
              <c:strCache>
                <c:ptCount val="1"/>
                <c:pt idx="0">
                  <c:v>Očekávání zaměstnanosti (stavebnictví)</c:v>
                </c:pt>
              </c:strCache>
            </c:strRef>
          </c:tx>
          <c:spPr>
            <a:ln w="15875">
              <a:solidFill>
                <a:srgbClr val="00B0F0"/>
              </a:solidFill>
              <a:prstDash val="sysDot"/>
            </a:ln>
          </c:spPr>
          <c:marker>
            <c:symbol val="none"/>
          </c:marker>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1-SNÚ'!$AN$28:$AN$67</c:f>
              <c:numCache>
                <c:formatCode>#\ ##0.0</c:formatCode>
                <c:ptCount val="40"/>
                <c:pt idx="0">
                  <c:v>-4.2</c:v>
                </c:pt>
                <c:pt idx="1">
                  <c:v>7.4</c:v>
                </c:pt>
                <c:pt idx="2">
                  <c:v>1</c:v>
                </c:pt>
                <c:pt idx="3">
                  <c:v>-0.1</c:v>
                </c:pt>
                <c:pt idx="4">
                  <c:v>-3.5</c:v>
                </c:pt>
                <c:pt idx="5">
                  <c:v>-6.4</c:v>
                </c:pt>
                <c:pt idx="6">
                  <c:v>-4.7</c:v>
                </c:pt>
                <c:pt idx="7">
                  <c:v>-6.9</c:v>
                </c:pt>
                <c:pt idx="8">
                  <c:v>-7.5</c:v>
                </c:pt>
                <c:pt idx="9">
                  <c:v>-12.2</c:v>
                </c:pt>
                <c:pt idx="10">
                  <c:v>-6.2</c:v>
                </c:pt>
                <c:pt idx="11">
                  <c:v>-2.8</c:v>
                </c:pt>
                <c:pt idx="12">
                  <c:v>4.3</c:v>
                </c:pt>
                <c:pt idx="13">
                  <c:v>5.5</c:v>
                </c:pt>
                <c:pt idx="14">
                  <c:v>8.8000000000000007</c:v>
                </c:pt>
                <c:pt idx="15">
                  <c:v>9.6</c:v>
                </c:pt>
                <c:pt idx="16">
                  <c:v>6.4</c:v>
                </c:pt>
                <c:pt idx="17">
                  <c:v>9.6</c:v>
                </c:pt>
                <c:pt idx="18">
                  <c:v>3.8</c:v>
                </c:pt>
                <c:pt idx="19">
                  <c:v>10.7</c:v>
                </c:pt>
                <c:pt idx="20">
                  <c:v>5.7</c:v>
                </c:pt>
                <c:pt idx="21">
                  <c:v>-4.2</c:v>
                </c:pt>
                <c:pt idx="22">
                  <c:v>1.5</c:v>
                </c:pt>
                <c:pt idx="23">
                  <c:v>-1.5</c:v>
                </c:pt>
                <c:pt idx="24">
                  <c:v>3.9</c:v>
                </c:pt>
                <c:pt idx="25">
                  <c:v>4.4000000000000004</c:v>
                </c:pt>
                <c:pt idx="26">
                  <c:v>4.0999999999999996</c:v>
                </c:pt>
                <c:pt idx="27">
                  <c:v>8.3000000000000007</c:v>
                </c:pt>
                <c:pt idx="28">
                  <c:v>9.1999999999999993</c:v>
                </c:pt>
                <c:pt idx="29">
                  <c:v>8.6</c:v>
                </c:pt>
                <c:pt idx="30">
                  <c:v>1.4</c:v>
                </c:pt>
                <c:pt idx="31">
                  <c:v>-1.9</c:v>
                </c:pt>
                <c:pt idx="32">
                  <c:v>-13.1</c:v>
                </c:pt>
                <c:pt idx="33">
                  <c:v>-12</c:v>
                </c:pt>
                <c:pt idx="34">
                  <c:v>-7.2</c:v>
                </c:pt>
                <c:pt idx="35">
                  <c:v>-1.9</c:v>
                </c:pt>
                <c:pt idx="36">
                  <c:v>-1</c:v>
                </c:pt>
                <c:pt idx="37">
                  <c:v>-7.7</c:v>
                </c:pt>
                <c:pt idx="38">
                  <c:v>-5.4</c:v>
                </c:pt>
                <c:pt idx="39">
                  <c:v>7.8</c:v>
                </c:pt>
              </c:numCache>
            </c:numRef>
          </c:val>
          <c:smooth val="0"/>
          <c:extLst>
            <c:ext xmlns:c16="http://schemas.microsoft.com/office/drawing/2014/chart" uri="{C3380CC4-5D6E-409C-BE32-E72D297353CC}">
              <c16:uniqueId val="{0000000B-FF2D-4DFA-B527-17311BA05B95}"/>
            </c:ext>
          </c:extLst>
        </c:ser>
        <c:ser>
          <c:idx val="12"/>
          <c:order val="12"/>
          <c:tx>
            <c:strRef>
              <c:f>'Trh práce 1-SNÚ'!$AO$7</c:f>
              <c:strCache>
                <c:ptCount val="1"/>
                <c:pt idx="0">
                  <c:v>Očekávání zaměstnanosti (obchod)</c:v>
                </c:pt>
              </c:strCache>
            </c:strRef>
          </c:tx>
          <c:spPr>
            <a:ln w="15875">
              <a:solidFill>
                <a:schemeClr val="accent6">
                  <a:lumMod val="75000"/>
                </a:schemeClr>
              </a:solidFill>
              <a:prstDash val="sysDot"/>
            </a:ln>
          </c:spPr>
          <c:marker>
            <c:symbol val="none"/>
          </c:marker>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1-SNÚ'!$AO$28:$AO$67</c:f>
              <c:numCache>
                <c:formatCode>#\ ##0.0</c:formatCode>
                <c:ptCount val="40"/>
                <c:pt idx="0">
                  <c:v>11.9</c:v>
                </c:pt>
                <c:pt idx="1">
                  <c:v>3.7</c:v>
                </c:pt>
                <c:pt idx="2">
                  <c:v>0.8</c:v>
                </c:pt>
                <c:pt idx="3">
                  <c:v>2.2999999999999998</c:v>
                </c:pt>
                <c:pt idx="4">
                  <c:v>14.8</c:v>
                </c:pt>
                <c:pt idx="5">
                  <c:v>18.2</c:v>
                </c:pt>
                <c:pt idx="6">
                  <c:v>18.7</c:v>
                </c:pt>
                <c:pt idx="7">
                  <c:v>21.4</c:v>
                </c:pt>
                <c:pt idx="8">
                  <c:v>14.5</c:v>
                </c:pt>
                <c:pt idx="9">
                  <c:v>17.100000000000001</c:v>
                </c:pt>
                <c:pt idx="10">
                  <c:v>18.8</c:v>
                </c:pt>
                <c:pt idx="11">
                  <c:v>15.3</c:v>
                </c:pt>
                <c:pt idx="12">
                  <c:v>29.9</c:v>
                </c:pt>
                <c:pt idx="13">
                  <c:v>32.5</c:v>
                </c:pt>
                <c:pt idx="14">
                  <c:v>27.1</c:v>
                </c:pt>
                <c:pt idx="15">
                  <c:v>15.3</c:v>
                </c:pt>
                <c:pt idx="16">
                  <c:v>11.9</c:v>
                </c:pt>
                <c:pt idx="17">
                  <c:v>15.9</c:v>
                </c:pt>
                <c:pt idx="18">
                  <c:v>13.7</c:v>
                </c:pt>
                <c:pt idx="19">
                  <c:v>13</c:v>
                </c:pt>
                <c:pt idx="20">
                  <c:v>11.4</c:v>
                </c:pt>
                <c:pt idx="21">
                  <c:v>-5.9</c:v>
                </c:pt>
                <c:pt idx="22">
                  <c:v>-3.5</c:v>
                </c:pt>
                <c:pt idx="23">
                  <c:v>0.7</c:v>
                </c:pt>
                <c:pt idx="24">
                  <c:v>5.3</c:v>
                </c:pt>
                <c:pt idx="25">
                  <c:v>13.1</c:v>
                </c:pt>
                <c:pt idx="26">
                  <c:v>10.8</c:v>
                </c:pt>
                <c:pt idx="27">
                  <c:v>8.5</c:v>
                </c:pt>
                <c:pt idx="28">
                  <c:v>10.3</c:v>
                </c:pt>
                <c:pt idx="29">
                  <c:v>3.3</c:v>
                </c:pt>
                <c:pt idx="30">
                  <c:v>5.2</c:v>
                </c:pt>
                <c:pt idx="31">
                  <c:v>12.6</c:v>
                </c:pt>
                <c:pt idx="32">
                  <c:v>11</c:v>
                </c:pt>
                <c:pt idx="33">
                  <c:v>9.1</c:v>
                </c:pt>
                <c:pt idx="34">
                  <c:v>11.6</c:v>
                </c:pt>
                <c:pt idx="35">
                  <c:v>10.4</c:v>
                </c:pt>
                <c:pt idx="36">
                  <c:v>5.9</c:v>
                </c:pt>
                <c:pt idx="37">
                  <c:v>9.2000000000000011</c:v>
                </c:pt>
                <c:pt idx="38">
                  <c:v>2.9</c:v>
                </c:pt>
                <c:pt idx="39">
                  <c:v>7.3</c:v>
                </c:pt>
              </c:numCache>
            </c:numRef>
          </c:val>
          <c:smooth val="0"/>
          <c:extLst>
            <c:ext xmlns:c16="http://schemas.microsoft.com/office/drawing/2014/chart" uri="{C3380CC4-5D6E-409C-BE32-E72D297353CC}">
              <c16:uniqueId val="{0000000C-FF2D-4DFA-B527-17311BA05B95}"/>
            </c:ext>
          </c:extLst>
        </c:ser>
        <c:ser>
          <c:idx val="13"/>
          <c:order val="13"/>
          <c:tx>
            <c:strRef>
              <c:f>'Trh práce 1-SNÚ'!$AP$7</c:f>
              <c:strCache>
                <c:ptCount val="1"/>
                <c:pt idx="0">
                  <c:v>Očekávání zaměstnanosti (vybr. služby)</c:v>
                </c:pt>
              </c:strCache>
            </c:strRef>
          </c:tx>
          <c:spPr>
            <a:ln w="15875">
              <a:solidFill>
                <a:srgbClr val="C00000"/>
              </a:solidFill>
              <a:prstDash val="sysDot"/>
            </a:ln>
          </c:spPr>
          <c:marker>
            <c:symbol val="none"/>
          </c:marker>
          <c:cat>
            <c:multiLvlStrRef>
              <c:f>'Trh práce 1-SNÚ'!$AA$28:$AB$67</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1-SNÚ'!$AP$28:$AP$67</c:f>
              <c:numCache>
                <c:formatCode>#\ ##0.0</c:formatCode>
                <c:ptCount val="40"/>
                <c:pt idx="0">
                  <c:v>-16.2</c:v>
                </c:pt>
                <c:pt idx="1">
                  <c:v>-24.6</c:v>
                </c:pt>
                <c:pt idx="2">
                  <c:v>5.2</c:v>
                </c:pt>
                <c:pt idx="3">
                  <c:v>5.2</c:v>
                </c:pt>
                <c:pt idx="4">
                  <c:v>2.8</c:v>
                </c:pt>
                <c:pt idx="5">
                  <c:v>21.8</c:v>
                </c:pt>
                <c:pt idx="6">
                  <c:v>-4.8</c:v>
                </c:pt>
                <c:pt idx="7">
                  <c:v>7.9</c:v>
                </c:pt>
                <c:pt idx="8">
                  <c:v>11.1</c:v>
                </c:pt>
                <c:pt idx="9">
                  <c:v>11</c:v>
                </c:pt>
                <c:pt idx="10">
                  <c:v>19.7</c:v>
                </c:pt>
                <c:pt idx="11">
                  <c:v>3.1</c:v>
                </c:pt>
                <c:pt idx="12">
                  <c:v>15.7</c:v>
                </c:pt>
                <c:pt idx="13">
                  <c:v>10.5</c:v>
                </c:pt>
                <c:pt idx="14">
                  <c:v>9.5</c:v>
                </c:pt>
                <c:pt idx="15">
                  <c:v>-7.6</c:v>
                </c:pt>
                <c:pt idx="16">
                  <c:v>-6.5</c:v>
                </c:pt>
                <c:pt idx="17">
                  <c:v>-1.1000000000000001</c:v>
                </c:pt>
                <c:pt idx="18">
                  <c:v>-4.5999999999999996</c:v>
                </c:pt>
                <c:pt idx="19">
                  <c:v>-15.4</c:v>
                </c:pt>
                <c:pt idx="20">
                  <c:v>-20.5</c:v>
                </c:pt>
                <c:pt idx="21">
                  <c:v>-32.299999999999997</c:v>
                </c:pt>
                <c:pt idx="22">
                  <c:v>-28.6</c:v>
                </c:pt>
                <c:pt idx="23">
                  <c:v>-30.1</c:v>
                </c:pt>
                <c:pt idx="24">
                  <c:v>-27</c:v>
                </c:pt>
                <c:pt idx="25">
                  <c:v>-27.7</c:v>
                </c:pt>
                <c:pt idx="26">
                  <c:v>-12.1</c:v>
                </c:pt>
                <c:pt idx="27">
                  <c:v>-15.8</c:v>
                </c:pt>
                <c:pt idx="28">
                  <c:v>-6.8</c:v>
                </c:pt>
                <c:pt idx="29">
                  <c:v>-3.5</c:v>
                </c:pt>
                <c:pt idx="30">
                  <c:v>-6.1</c:v>
                </c:pt>
                <c:pt idx="31">
                  <c:v>-6.4</c:v>
                </c:pt>
                <c:pt idx="32">
                  <c:v>-10.7</c:v>
                </c:pt>
                <c:pt idx="33">
                  <c:v>-16.7</c:v>
                </c:pt>
                <c:pt idx="34">
                  <c:v>-14.5</c:v>
                </c:pt>
                <c:pt idx="35">
                  <c:v>-15.2</c:v>
                </c:pt>
                <c:pt idx="36">
                  <c:v>-23.7</c:v>
                </c:pt>
                <c:pt idx="37">
                  <c:v>-16</c:v>
                </c:pt>
                <c:pt idx="38">
                  <c:v>-15.7</c:v>
                </c:pt>
                <c:pt idx="39">
                  <c:v>-6.6000000000000014</c:v>
                </c:pt>
              </c:numCache>
            </c:numRef>
          </c:val>
          <c:smooth val="0"/>
          <c:extLst>
            <c:ext xmlns:c16="http://schemas.microsoft.com/office/drawing/2014/chart" uri="{C3380CC4-5D6E-409C-BE32-E72D297353CC}">
              <c16:uniqueId val="{0000000D-FF2D-4DFA-B527-17311BA05B95}"/>
            </c:ext>
          </c:extLst>
        </c:ser>
        <c:dLbls>
          <c:showLegendKey val="0"/>
          <c:showVal val="0"/>
          <c:showCatName val="0"/>
          <c:showSerName val="0"/>
          <c:showPercent val="0"/>
          <c:showBubbleSize val="0"/>
        </c:dLbls>
        <c:marker val="1"/>
        <c:smooth val="0"/>
        <c:axId val="332941824"/>
        <c:axId val="332936832"/>
      </c:lineChart>
      <c:catAx>
        <c:axId val="101898496"/>
        <c:scaling>
          <c:orientation val="minMax"/>
        </c:scaling>
        <c:delete val="0"/>
        <c:axPos val="b"/>
        <c:numFmt formatCode="General" sourceLinked="1"/>
        <c:majorTickMark val="out"/>
        <c:minorTickMark val="none"/>
        <c:tickLblPos val="low"/>
        <c:spPr>
          <a:ln>
            <a:solidFill>
              <a:schemeClr val="tx1"/>
            </a:solidFill>
          </a:ln>
        </c:spPr>
        <c:crossAx val="101781504"/>
        <c:crosses val="autoZero"/>
        <c:auto val="1"/>
        <c:lblAlgn val="ctr"/>
        <c:lblOffset val="10"/>
        <c:noMultiLvlLbl val="0"/>
      </c:catAx>
      <c:valAx>
        <c:axId val="101781504"/>
        <c:scaling>
          <c:orientation val="minMax"/>
          <c:max val="2.5"/>
          <c:min val="-4.5"/>
        </c:scaling>
        <c:delete val="0"/>
        <c:axPos val="l"/>
        <c:majorGridlines>
          <c:spPr>
            <a:ln w="6350">
              <a:solidFill>
                <a:schemeClr val="bg1">
                  <a:lumMod val="75000"/>
                </a:schemeClr>
              </a:solidFill>
            </a:ln>
          </c:spPr>
        </c:majorGridlines>
        <c:title>
          <c:tx>
            <c:rich>
              <a:bodyPr/>
              <a:lstStyle/>
              <a:p>
                <a:pPr>
                  <a:defRPr sz="700" b="0" i="1"/>
                </a:pPr>
                <a:r>
                  <a:rPr lang="cs-CZ" sz="700" b="0" i="1"/>
                  <a:t>Příspěvek k růstu zaměstnanosti</a:t>
                </a:r>
              </a:p>
            </c:rich>
          </c:tx>
          <c:layout/>
          <c:overlay val="0"/>
        </c:title>
        <c:numFmt formatCode="0.0" sourceLinked="0"/>
        <c:majorTickMark val="out"/>
        <c:minorTickMark val="none"/>
        <c:tickLblPos val="nextTo"/>
        <c:spPr>
          <a:ln>
            <a:solidFill>
              <a:schemeClr val="tx1"/>
            </a:solidFill>
          </a:ln>
        </c:spPr>
        <c:crossAx val="101898496"/>
        <c:crosses val="autoZero"/>
        <c:crossBetween val="between"/>
        <c:majorUnit val="0.5"/>
      </c:valAx>
      <c:valAx>
        <c:axId val="332936832"/>
        <c:scaling>
          <c:orientation val="minMax"/>
          <c:max val="100"/>
          <c:min val="-40"/>
        </c:scaling>
        <c:delete val="0"/>
        <c:axPos val="r"/>
        <c:title>
          <c:tx>
            <c:rich>
              <a:bodyPr/>
              <a:lstStyle/>
              <a:p>
                <a:pPr>
                  <a:defRPr sz="700" b="0" i="1"/>
                </a:pPr>
                <a:r>
                  <a:rPr lang="cs-CZ" sz="700" b="0" i="1"/>
                  <a:t>Očekávání vývoje zaměstnanosti</a:t>
                </a:r>
              </a:p>
            </c:rich>
          </c:tx>
          <c:layout/>
          <c:overlay val="0"/>
        </c:title>
        <c:numFmt formatCode="#,##0" sourceLinked="0"/>
        <c:majorTickMark val="out"/>
        <c:minorTickMark val="none"/>
        <c:tickLblPos val="nextTo"/>
        <c:crossAx val="332941824"/>
        <c:crosses val="max"/>
        <c:crossBetween val="between"/>
        <c:majorUnit val="10"/>
      </c:valAx>
      <c:catAx>
        <c:axId val="332941824"/>
        <c:scaling>
          <c:orientation val="minMax"/>
        </c:scaling>
        <c:delete val="1"/>
        <c:axPos val="b"/>
        <c:numFmt formatCode="General" sourceLinked="1"/>
        <c:majorTickMark val="out"/>
        <c:minorTickMark val="none"/>
        <c:tickLblPos val="nextTo"/>
        <c:crossAx val="332936832"/>
        <c:crosses val="autoZero"/>
        <c:auto val="1"/>
        <c:lblAlgn val="ctr"/>
        <c:lblOffset val="100"/>
        <c:noMultiLvlLbl val="0"/>
      </c:catAx>
      <c:spPr>
        <a:ln>
          <a:solidFill>
            <a:schemeClr val="tx1"/>
          </a:solidFill>
        </a:ln>
      </c:spPr>
    </c:plotArea>
    <c:legend>
      <c:legendPos val="b"/>
      <c:layout>
        <c:manualLayout>
          <c:xMode val="edge"/>
          <c:yMode val="edge"/>
          <c:x val="1.5472441370721637E-2"/>
          <c:y val="0.77992823117070742"/>
          <c:w val="0.96005692595618608"/>
          <c:h val="0.21194618315349945"/>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036417007492182E-2"/>
          <c:y val="1.6081916099773243E-2"/>
          <c:w val="0.84656372322027451"/>
          <c:h val="0.76494082349138992"/>
        </c:manualLayout>
      </c:layout>
      <c:barChart>
        <c:barDir val="col"/>
        <c:grouping val="clustered"/>
        <c:varyColors val="0"/>
        <c:ser>
          <c:idx val="0"/>
          <c:order val="0"/>
          <c:tx>
            <c:strRef>
              <c:f>'Trh práce-2b'!$A$32</c:f>
              <c:strCache>
                <c:ptCount val="1"/>
                <c:pt idx="0">
                  <c:v>Míra nezaměstnanosti mužů</c:v>
                </c:pt>
              </c:strCache>
            </c:strRef>
          </c:tx>
          <c:spPr>
            <a:solidFill>
              <a:srgbClr val="BCBCBC"/>
            </a:solidFill>
          </c:spPr>
          <c:invertIfNegative val="0"/>
          <c:cat>
            <c:multiLvlStrRef>
              <c:f>'Trh práce-2b'!$B$30:$AO$31</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práce-2b'!$B$32:$AO$32</c:f>
              <c:numCache>
                <c:formatCode>0.0</c:formatCode>
                <c:ptCount val="40"/>
                <c:pt idx="0">
                  <c:v>5.0060614318818786</c:v>
                </c:pt>
                <c:pt idx="1">
                  <c:v>4.3476026703788326</c:v>
                </c:pt>
                <c:pt idx="2">
                  <c:v>4.0829567122283956</c:v>
                </c:pt>
                <c:pt idx="3">
                  <c:v>3.7780124699245206</c:v>
                </c:pt>
                <c:pt idx="4">
                  <c:v>3.6308548469613915</c:v>
                </c:pt>
                <c:pt idx="5">
                  <c:v>3.5683932729093826</c:v>
                </c:pt>
                <c:pt idx="6">
                  <c:v>3.3886341805752775</c:v>
                </c:pt>
                <c:pt idx="7">
                  <c:v>3.1627884262991657</c:v>
                </c:pt>
                <c:pt idx="8">
                  <c:v>2.6978704008864565</c:v>
                </c:pt>
                <c:pt idx="9">
                  <c:v>2.4606224397092089</c:v>
                </c:pt>
                <c:pt idx="10">
                  <c:v>2.2672029844030934</c:v>
                </c:pt>
                <c:pt idx="11">
                  <c:v>2.0483918275103252</c:v>
                </c:pt>
                <c:pt idx="12">
                  <c:v>1.8911262697555336</c:v>
                </c:pt>
                <c:pt idx="13">
                  <c:v>1.8502744780869824</c:v>
                </c:pt>
                <c:pt idx="14">
                  <c:v>1.8849129377625591</c:v>
                </c:pt>
                <c:pt idx="15">
                  <c:v>1.6685975086236053</c:v>
                </c:pt>
                <c:pt idx="16">
                  <c:v>1.7959096283641582</c:v>
                </c:pt>
                <c:pt idx="17">
                  <c:v>1.6810325283586705</c:v>
                </c:pt>
                <c:pt idx="18">
                  <c:v>1.7723659604429993</c:v>
                </c:pt>
                <c:pt idx="19">
                  <c:v>1.8597497372408309</c:v>
                </c:pt>
                <c:pt idx="20">
                  <c:v>1.8411857662289703</c:v>
                </c:pt>
                <c:pt idx="21">
                  <c:v>2.2515536532883242</c:v>
                </c:pt>
                <c:pt idx="22">
                  <c:v>2.5266037166440989</c:v>
                </c:pt>
                <c:pt idx="23">
                  <c:v>2.5410740847575379</c:v>
                </c:pt>
                <c:pt idx="24">
                  <c:v>2.6701376384155275</c:v>
                </c:pt>
                <c:pt idx="25">
                  <c:v>2.5540164569754014</c:v>
                </c:pt>
                <c:pt idx="26">
                  <c:v>2.2797494006354522</c:v>
                </c:pt>
                <c:pt idx="27">
                  <c:v>1.9712676802352715</c:v>
                </c:pt>
                <c:pt idx="28">
                  <c:v>1.9662857656302093</c:v>
                </c:pt>
                <c:pt idx="29">
                  <c:v>1.8991265316038841</c:v>
                </c:pt>
                <c:pt idx="30">
                  <c:v>1.9302060930984635</c:v>
                </c:pt>
                <c:pt idx="31">
                  <c:v>2.0908871335994172</c:v>
                </c:pt>
                <c:pt idx="32">
                  <c:v>2.158457539355743</c:v>
                </c:pt>
                <c:pt idx="33">
                  <c:v>2.2441830862279346</c:v>
                </c:pt>
                <c:pt idx="34">
                  <c:v>2.3242338906608002</c:v>
                </c:pt>
                <c:pt idx="35">
                  <c:v>2.3234164429528756</c:v>
                </c:pt>
                <c:pt idx="36">
                  <c:v>2.3851828417272967</c:v>
                </c:pt>
                <c:pt idx="37">
                  <c:v>2.4413799205284641</c:v>
                </c:pt>
                <c:pt idx="38">
                  <c:v>2.3969421954370387</c:v>
                </c:pt>
              </c:numCache>
            </c:numRef>
          </c:val>
          <c:extLst>
            <c:ext xmlns:c16="http://schemas.microsoft.com/office/drawing/2014/chart" uri="{C3380CC4-5D6E-409C-BE32-E72D297353CC}">
              <c16:uniqueId val="{00000000-D23F-4893-9DF2-FE87555AB36E}"/>
            </c:ext>
          </c:extLst>
        </c:ser>
        <c:ser>
          <c:idx val="1"/>
          <c:order val="1"/>
          <c:tx>
            <c:strRef>
              <c:f>'Trh práce-2b'!$A$33</c:f>
              <c:strCache>
                <c:ptCount val="1"/>
                <c:pt idx="0">
                  <c:v>Míra nezaměstnanosti žen</c:v>
                </c:pt>
              </c:strCache>
            </c:strRef>
          </c:tx>
          <c:spPr>
            <a:solidFill>
              <a:schemeClr val="bg1">
                <a:lumMod val="95000"/>
              </a:schemeClr>
            </a:solidFill>
            <a:ln>
              <a:solidFill>
                <a:schemeClr val="bg1">
                  <a:lumMod val="65000"/>
                </a:schemeClr>
              </a:solidFill>
            </a:ln>
          </c:spPr>
          <c:invertIfNegative val="0"/>
          <c:cat>
            <c:multiLvlStrRef>
              <c:f>'Trh práce-2b'!$B$30:$AO$31</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práce-2b'!$B$33:$AO$33</c:f>
              <c:numCache>
                <c:formatCode>0.0</c:formatCode>
                <c:ptCount val="40"/>
                <c:pt idx="0">
                  <c:v>6.9176026646187907</c:v>
                </c:pt>
                <c:pt idx="1">
                  <c:v>6.1533433777456823</c:v>
                </c:pt>
                <c:pt idx="2">
                  <c:v>5.979669184060981</c:v>
                </c:pt>
                <c:pt idx="3">
                  <c:v>5.6694534626602291</c:v>
                </c:pt>
                <c:pt idx="4">
                  <c:v>5.0625927289311328</c:v>
                </c:pt>
                <c:pt idx="5">
                  <c:v>4.7996805549909469</c:v>
                </c:pt>
                <c:pt idx="6">
                  <c:v>4.8119988849950905</c:v>
                </c:pt>
                <c:pt idx="7">
                  <c:v>4.3735356385026884</c:v>
                </c:pt>
                <c:pt idx="8">
                  <c:v>4.2615230888420355</c:v>
                </c:pt>
                <c:pt idx="9">
                  <c:v>3.8901134695044504</c:v>
                </c:pt>
                <c:pt idx="10">
                  <c:v>3.4119977177875445</c:v>
                </c:pt>
                <c:pt idx="11">
                  <c:v>3.0345737682697713</c:v>
                </c:pt>
                <c:pt idx="12">
                  <c:v>2.9328770848852446</c:v>
                </c:pt>
                <c:pt idx="13">
                  <c:v>2.8874310406207755</c:v>
                </c:pt>
                <c:pt idx="14">
                  <c:v>2.8603605201540816</c:v>
                </c:pt>
                <c:pt idx="15">
                  <c:v>2.6897529396672049</c:v>
                </c:pt>
                <c:pt idx="16">
                  <c:v>2.2380657050297583</c:v>
                </c:pt>
                <c:pt idx="17">
                  <c:v>2.4671948527519998</c:v>
                </c:pt>
                <c:pt idx="18">
                  <c:v>2.567828228888557</c:v>
                </c:pt>
                <c:pt idx="19">
                  <c:v>2.4452221986729961</c:v>
                </c:pt>
                <c:pt idx="20">
                  <c:v>2.0363687195120996</c:v>
                </c:pt>
                <c:pt idx="21">
                  <c:v>2.8065110590590137</c:v>
                </c:pt>
                <c:pt idx="22">
                  <c:v>3.3719437402001238</c:v>
                </c:pt>
                <c:pt idx="23">
                  <c:v>3.9083176957521197</c:v>
                </c:pt>
                <c:pt idx="24">
                  <c:v>4.1420272109126728</c:v>
                </c:pt>
                <c:pt idx="25">
                  <c:v>3.9005333793021131</c:v>
                </c:pt>
                <c:pt idx="26">
                  <c:v>3.2628998546698331</c:v>
                </c:pt>
                <c:pt idx="27">
                  <c:v>2.7479024952607474</c:v>
                </c:pt>
                <c:pt idx="28">
                  <c:v>2.9848560245830176</c:v>
                </c:pt>
                <c:pt idx="29">
                  <c:v>3.2047653134240122</c:v>
                </c:pt>
                <c:pt idx="30">
                  <c:v>2.8972881145371865</c:v>
                </c:pt>
                <c:pt idx="31">
                  <c:v>2.8105229975177592</c:v>
                </c:pt>
                <c:pt idx="32">
                  <c:v>3.016191884210798</c:v>
                </c:pt>
                <c:pt idx="33">
                  <c:v>3.1890633268490078</c:v>
                </c:pt>
                <c:pt idx="34">
                  <c:v>3.2146658223104878</c:v>
                </c:pt>
                <c:pt idx="35">
                  <c:v>3.3137000736325901</c:v>
                </c:pt>
                <c:pt idx="36">
                  <c:v>3.5227022810559263</c:v>
                </c:pt>
                <c:pt idx="37">
                  <c:v>3.2105749548844904</c:v>
                </c:pt>
                <c:pt idx="38">
                  <c:v>3.2967188481311864</c:v>
                </c:pt>
              </c:numCache>
            </c:numRef>
          </c:val>
          <c:extLst>
            <c:ext xmlns:c16="http://schemas.microsoft.com/office/drawing/2014/chart" uri="{C3380CC4-5D6E-409C-BE32-E72D297353CC}">
              <c16:uniqueId val="{00000001-D23F-4893-9DF2-FE87555AB36E}"/>
            </c:ext>
          </c:extLst>
        </c:ser>
        <c:dLbls>
          <c:showLegendKey val="0"/>
          <c:showVal val="0"/>
          <c:showCatName val="0"/>
          <c:showSerName val="0"/>
          <c:showPercent val="0"/>
          <c:showBubbleSize val="0"/>
        </c:dLbls>
        <c:gapWidth val="68"/>
        <c:axId val="100654464"/>
        <c:axId val="101647488"/>
      </c:barChart>
      <c:lineChart>
        <c:grouping val="standard"/>
        <c:varyColors val="0"/>
        <c:ser>
          <c:idx val="4"/>
          <c:order val="2"/>
          <c:tx>
            <c:strRef>
              <c:f>'Trh práce-2b'!$A$34</c:f>
              <c:strCache>
                <c:ptCount val="1"/>
                <c:pt idx="0">
                  <c:v>VPM pro vyučené a SŠ bez mat.</c:v>
                </c:pt>
              </c:strCache>
            </c:strRef>
          </c:tx>
          <c:spPr>
            <a:ln w="19050">
              <a:noFill/>
              <a:prstDash val="sysDash"/>
            </a:ln>
          </c:spPr>
          <c:marker>
            <c:symbol val="circle"/>
            <c:size val="4"/>
            <c:spPr>
              <a:solidFill>
                <a:schemeClr val="tx2">
                  <a:lumMod val="60000"/>
                  <a:lumOff val="40000"/>
                </a:schemeClr>
              </a:solidFill>
              <a:ln>
                <a:noFill/>
              </a:ln>
            </c:spPr>
          </c:marker>
          <c:cat>
            <c:multiLvlStrRef>
              <c:f>'Trh práce-2b'!$B$30:$AO$31</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práce-2b'!$B$34:$AO$34</c:f>
              <c:numCache>
                <c:formatCode>0.0</c:formatCode>
                <c:ptCount val="40"/>
                <c:pt idx="0">
                  <c:v>31.7</c:v>
                </c:pt>
                <c:pt idx="1">
                  <c:v>39.700000000000003</c:v>
                </c:pt>
                <c:pt idx="2">
                  <c:v>44.4</c:v>
                </c:pt>
                <c:pt idx="3">
                  <c:v>41.2</c:v>
                </c:pt>
                <c:pt idx="4">
                  <c:v>45.3</c:v>
                </c:pt>
                <c:pt idx="5">
                  <c:v>51.4</c:v>
                </c:pt>
                <c:pt idx="6">
                  <c:v>52.8</c:v>
                </c:pt>
                <c:pt idx="7">
                  <c:v>47.2</c:v>
                </c:pt>
                <c:pt idx="8">
                  <c:v>51.5</c:v>
                </c:pt>
                <c:pt idx="9">
                  <c:v>59.1</c:v>
                </c:pt>
                <c:pt idx="10">
                  <c:v>63.1</c:v>
                </c:pt>
                <c:pt idx="11">
                  <c:v>60.9</c:v>
                </c:pt>
                <c:pt idx="12">
                  <c:v>65.3</c:v>
                </c:pt>
                <c:pt idx="13">
                  <c:v>73.3</c:v>
                </c:pt>
                <c:pt idx="14">
                  <c:v>74.2</c:v>
                </c:pt>
                <c:pt idx="15">
                  <c:v>70.400000000000006</c:v>
                </c:pt>
                <c:pt idx="16">
                  <c:v>70.2</c:v>
                </c:pt>
                <c:pt idx="17">
                  <c:v>68</c:v>
                </c:pt>
                <c:pt idx="18">
                  <c:v>65.8</c:v>
                </c:pt>
                <c:pt idx="19">
                  <c:v>59.1</c:v>
                </c:pt>
                <c:pt idx="20">
                  <c:v>57.7</c:v>
                </c:pt>
                <c:pt idx="21">
                  <c:v>54.3</c:v>
                </c:pt>
                <c:pt idx="22">
                  <c:v>49.1</c:v>
                </c:pt>
                <c:pt idx="23">
                  <c:v>46.6</c:v>
                </c:pt>
                <c:pt idx="24">
                  <c:v>47.9</c:v>
                </c:pt>
                <c:pt idx="25">
                  <c:v>53.9</c:v>
                </c:pt>
                <c:pt idx="26">
                  <c:v>55.5</c:v>
                </c:pt>
                <c:pt idx="27">
                  <c:v>48.9</c:v>
                </c:pt>
                <c:pt idx="28">
                  <c:v>53.7</c:v>
                </c:pt>
                <c:pt idx="29">
                  <c:v>51.3</c:v>
                </c:pt>
                <c:pt idx="30">
                  <c:v>48.2</c:v>
                </c:pt>
                <c:pt idx="31">
                  <c:v>43.887</c:v>
                </c:pt>
                <c:pt idx="32">
                  <c:v>43.122</c:v>
                </c:pt>
                <c:pt idx="33">
                  <c:v>42.853999999999999</c:v>
                </c:pt>
                <c:pt idx="34">
                  <c:v>41.186</c:v>
                </c:pt>
                <c:pt idx="35">
                  <c:v>38.177999999999997</c:v>
                </c:pt>
                <c:pt idx="36">
                  <c:v>37.228000000000002</c:v>
                </c:pt>
                <c:pt idx="37">
                  <c:v>36.956000000000003</c:v>
                </c:pt>
                <c:pt idx="38">
                  <c:v>37.122999999999998</c:v>
                </c:pt>
              </c:numCache>
            </c:numRef>
          </c:val>
          <c:smooth val="0"/>
          <c:extLst>
            <c:ext xmlns:c16="http://schemas.microsoft.com/office/drawing/2014/chart" uri="{C3380CC4-5D6E-409C-BE32-E72D297353CC}">
              <c16:uniqueId val="{00000002-D23F-4893-9DF2-FE87555AB36E}"/>
            </c:ext>
          </c:extLst>
        </c:ser>
        <c:ser>
          <c:idx val="5"/>
          <c:order val="3"/>
          <c:tx>
            <c:strRef>
              <c:f>'Trh práce-2b'!$A$35</c:f>
              <c:strCache>
                <c:ptCount val="1"/>
                <c:pt idx="0">
                  <c:v>VPM pro SŠ s mat., VOŠ a VŠ</c:v>
                </c:pt>
              </c:strCache>
            </c:strRef>
          </c:tx>
          <c:spPr>
            <a:ln w="19050">
              <a:noFill/>
              <a:prstDash val="dash"/>
            </a:ln>
          </c:spPr>
          <c:marker>
            <c:symbol val="triangle"/>
            <c:size val="5"/>
            <c:spPr>
              <a:solidFill>
                <a:srgbClr val="00B050"/>
              </a:solidFill>
              <a:ln>
                <a:noFill/>
              </a:ln>
            </c:spPr>
          </c:marker>
          <c:cat>
            <c:multiLvlStrRef>
              <c:f>'Trh práce-2b'!$B$30:$AO$31</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práce-2b'!$B$35:$AO$35</c:f>
              <c:numCache>
                <c:formatCode>0.0</c:formatCode>
                <c:ptCount val="40"/>
                <c:pt idx="0">
                  <c:v>16.600000000000001</c:v>
                </c:pt>
                <c:pt idx="1">
                  <c:v>19.3</c:v>
                </c:pt>
                <c:pt idx="2">
                  <c:v>20</c:v>
                </c:pt>
                <c:pt idx="3">
                  <c:v>19.600000000000001</c:v>
                </c:pt>
                <c:pt idx="4">
                  <c:v>23.4</c:v>
                </c:pt>
                <c:pt idx="5">
                  <c:v>24.8</c:v>
                </c:pt>
                <c:pt idx="6">
                  <c:v>25.2</c:v>
                </c:pt>
                <c:pt idx="7">
                  <c:v>23.5</c:v>
                </c:pt>
                <c:pt idx="8">
                  <c:v>25.9</c:v>
                </c:pt>
                <c:pt idx="9">
                  <c:v>30.3</c:v>
                </c:pt>
                <c:pt idx="10">
                  <c:v>31.4</c:v>
                </c:pt>
                <c:pt idx="11">
                  <c:v>31.8</c:v>
                </c:pt>
                <c:pt idx="12">
                  <c:v>34.299999999999997</c:v>
                </c:pt>
                <c:pt idx="13">
                  <c:v>38</c:v>
                </c:pt>
                <c:pt idx="14">
                  <c:v>37.200000000000003</c:v>
                </c:pt>
                <c:pt idx="15">
                  <c:v>36.6</c:v>
                </c:pt>
                <c:pt idx="16">
                  <c:v>37.299999999999997</c:v>
                </c:pt>
                <c:pt idx="17">
                  <c:v>38.299999999999997</c:v>
                </c:pt>
                <c:pt idx="18">
                  <c:v>38.6</c:v>
                </c:pt>
                <c:pt idx="19">
                  <c:v>36.299999999999997</c:v>
                </c:pt>
                <c:pt idx="20">
                  <c:v>37.700000000000003</c:v>
                </c:pt>
                <c:pt idx="21">
                  <c:v>38.1</c:v>
                </c:pt>
                <c:pt idx="22">
                  <c:v>34.4</c:v>
                </c:pt>
                <c:pt idx="23">
                  <c:v>34.1</c:v>
                </c:pt>
                <c:pt idx="24">
                  <c:v>36.299999999999997</c:v>
                </c:pt>
                <c:pt idx="25">
                  <c:v>39.6</c:v>
                </c:pt>
                <c:pt idx="26">
                  <c:v>40.299999999999997</c:v>
                </c:pt>
                <c:pt idx="27">
                  <c:v>39.200000000000003</c:v>
                </c:pt>
                <c:pt idx="28">
                  <c:v>42.5</c:v>
                </c:pt>
                <c:pt idx="29">
                  <c:v>41</c:v>
                </c:pt>
                <c:pt idx="30">
                  <c:v>38.5</c:v>
                </c:pt>
                <c:pt idx="31">
                  <c:v>36.56</c:v>
                </c:pt>
                <c:pt idx="32">
                  <c:v>37.613</c:v>
                </c:pt>
                <c:pt idx="33">
                  <c:v>38.130000000000003</c:v>
                </c:pt>
                <c:pt idx="34">
                  <c:v>36.289000000000001</c:v>
                </c:pt>
                <c:pt idx="35">
                  <c:v>34.274000000000001</c:v>
                </c:pt>
                <c:pt idx="36">
                  <c:v>35.200000000000003</c:v>
                </c:pt>
                <c:pt idx="37">
                  <c:v>33.491999999999997</c:v>
                </c:pt>
                <c:pt idx="38">
                  <c:v>32.277000000000001</c:v>
                </c:pt>
              </c:numCache>
            </c:numRef>
          </c:val>
          <c:smooth val="0"/>
          <c:extLst>
            <c:ext xmlns:c16="http://schemas.microsoft.com/office/drawing/2014/chart" uri="{C3380CC4-5D6E-409C-BE32-E72D297353CC}">
              <c16:uniqueId val="{00000003-D23F-4893-9DF2-FE87555AB36E}"/>
            </c:ext>
          </c:extLst>
        </c:ser>
        <c:ser>
          <c:idx val="6"/>
          <c:order val="4"/>
          <c:tx>
            <c:strRef>
              <c:f>'Trh práce-2b'!$A$36</c:f>
              <c:strCache>
                <c:ptCount val="1"/>
                <c:pt idx="0">
                  <c:v>Pracující cizinci (Ukrajinci)</c:v>
                </c:pt>
              </c:strCache>
            </c:strRef>
          </c:tx>
          <c:spPr>
            <a:ln w="15875">
              <a:solidFill>
                <a:srgbClr val="FFC000"/>
              </a:solidFill>
              <a:prstDash val="sysDash"/>
            </a:ln>
          </c:spPr>
          <c:marker>
            <c:symbol val="none"/>
          </c:marker>
          <c:cat>
            <c:multiLvlStrRef>
              <c:f>'Trh práce-2b'!$B$30:$AO$31</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práce-2b'!$B$36:$AO$36</c:f>
              <c:numCache>
                <c:formatCode>#,##0</c:formatCode>
                <c:ptCount val="40"/>
                <c:pt idx="0">
                  <c:v>35.723999999999997</c:v>
                </c:pt>
                <c:pt idx="1">
                  <c:v>38.613999999999997</c:v>
                </c:pt>
                <c:pt idx="2">
                  <c:v>40.725999999999999</c:v>
                </c:pt>
                <c:pt idx="3">
                  <c:v>41.776000000000003</c:v>
                </c:pt>
                <c:pt idx="4">
                  <c:v>43.104999999999997</c:v>
                </c:pt>
                <c:pt idx="5">
                  <c:v>49.847000000000001</c:v>
                </c:pt>
                <c:pt idx="6">
                  <c:v>54.764000000000003</c:v>
                </c:pt>
                <c:pt idx="7">
                  <c:v>54.540999999999997</c:v>
                </c:pt>
                <c:pt idx="8">
                  <c:v>59.363</c:v>
                </c:pt>
                <c:pt idx="9">
                  <c:v>69.864000000000004</c:v>
                </c:pt>
                <c:pt idx="10">
                  <c:v>76.724000000000004</c:v>
                </c:pt>
                <c:pt idx="11">
                  <c:v>81.688999999999993</c:v>
                </c:pt>
                <c:pt idx="12">
                  <c:v>97.317999999999998</c:v>
                </c:pt>
                <c:pt idx="13">
                  <c:v>115.39100000000001</c:v>
                </c:pt>
                <c:pt idx="14">
                  <c:v>134.202</c:v>
                </c:pt>
                <c:pt idx="15">
                  <c:v>121.08499999999999</c:v>
                </c:pt>
                <c:pt idx="16">
                  <c:v>146.08500000000001</c:v>
                </c:pt>
                <c:pt idx="17">
                  <c:v>152.69800000000001</c:v>
                </c:pt>
                <c:pt idx="18">
                  <c:v>164.92400000000001</c:v>
                </c:pt>
                <c:pt idx="19">
                  <c:v>144.114</c:v>
                </c:pt>
                <c:pt idx="20">
                  <c:v>169.14699999999999</c:v>
                </c:pt>
                <c:pt idx="21">
                  <c:v>133.08600000000001</c:v>
                </c:pt>
                <c:pt idx="22">
                  <c:v>173.584</c:v>
                </c:pt>
                <c:pt idx="23">
                  <c:v>159.46799999999999</c:v>
                </c:pt>
                <c:pt idx="24">
                  <c:v>186.35599999999999</c:v>
                </c:pt>
                <c:pt idx="25">
                  <c:v>191.58500000000001</c:v>
                </c:pt>
                <c:pt idx="26">
                  <c:v>214.10599999999999</c:v>
                </c:pt>
                <c:pt idx="27">
                  <c:v>195.11600000000001</c:v>
                </c:pt>
                <c:pt idx="28">
                  <c:v>238.024</c:v>
                </c:pt>
                <c:pt idx="29">
                  <c:v>248.58799999999999</c:v>
                </c:pt>
                <c:pt idx="30">
                  <c:v>262.17899999999997</c:v>
                </c:pt>
                <c:pt idx="31">
                  <c:v>269.911</c:v>
                </c:pt>
                <c:pt idx="32">
                  <c:v>261.31299999999999</c:v>
                </c:pt>
                <c:pt idx="33">
                  <c:v>269.04500000000002</c:v>
                </c:pt>
                <c:pt idx="34">
                  <c:v>282.22300000000001</c:v>
                </c:pt>
                <c:pt idx="35">
                  <c:v>285.54500000000002</c:v>
                </c:pt>
                <c:pt idx="36">
                  <c:v>283.649</c:v>
                </c:pt>
                <c:pt idx="37">
                  <c:v>286.25599999999997</c:v>
                </c:pt>
                <c:pt idx="38">
                  <c:v>291.79199999999997</c:v>
                </c:pt>
              </c:numCache>
            </c:numRef>
          </c:val>
          <c:smooth val="0"/>
          <c:extLst>
            <c:ext xmlns:c16="http://schemas.microsoft.com/office/drawing/2014/chart" uri="{C3380CC4-5D6E-409C-BE32-E72D297353CC}">
              <c16:uniqueId val="{00000004-D23F-4893-9DF2-FE87555AB36E}"/>
            </c:ext>
          </c:extLst>
        </c:ser>
        <c:ser>
          <c:idx val="7"/>
          <c:order val="5"/>
          <c:tx>
            <c:strRef>
              <c:f>'Trh práce-2b'!$A$37</c:f>
              <c:strCache>
                <c:ptCount val="1"/>
                <c:pt idx="0">
                  <c:v>Pracující cizinci (Slováci)</c:v>
                </c:pt>
              </c:strCache>
            </c:strRef>
          </c:tx>
          <c:spPr>
            <a:ln w="19050">
              <a:solidFill>
                <a:schemeClr val="accent2">
                  <a:lumMod val="60000"/>
                  <a:lumOff val="40000"/>
                </a:schemeClr>
              </a:solidFill>
              <a:prstDash val="sysDash"/>
            </a:ln>
          </c:spPr>
          <c:marker>
            <c:symbol val="none"/>
          </c:marker>
          <c:cat>
            <c:multiLvlStrRef>
              <c:f>'Trh práce-2b'!$B$30:$AO$31</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práce-2b'!$B$37:$AO$37</c:f>
              <c:numCache>
                <c:formatCode>#,##0</c:formatCode>
                <c:ptCount val="40"/>
                <c:pt idx="0">
                  <c:v>132.65199999999999</c:v>
                </c:pt>
                <c:pt idx="1">
                  <c:v>141.858</c:v>
                </c:pt>
                <c:pt idx="2">
                  <c:v>148.23099999999999</c:v>
                </c:pt>
                <c:pt idx="3">
                  <c:v>150.31700000000001</c:v>
                </c:pt>
                <c:pt idx="4">
                  <c:v>148.67500000000001</c:v>
                </c:pt>
                <c:pt idx="5">
                  <c:v>153.64599999999999</c:v>
                </c:pt>
                <c:pt idx="6">
                  <c:v>159.30099999999999</c:v>
                </c:pt>
                <c:pt idx="7">
                  <c:v>161.559</c:v>
                </c:pt>
                <c:pt idx="8">
                  <c:v>159.88200000000001</c:v>
                </c:pt>
                <c:pt idx="9">
                  <c:v>165.69800000000001</c:v>
                </c:pt>
                <c:pt idx="10">
                  <c:v>170.643</c:v>
                </c:pt>
                <c:pt idx="11">
                  <c:v>177.059</c:v>
                </c:pt>
                <c:pt idx="12">
                  <c:v>180.01900000000001</c:v>
                </c:pt>
                <c:pt idx="13">
                  <c:v>187.33799999999999</c:v>
                </c:pt>
                <c:pt idx="14">
                  <c:v>192.66499999999999</c:v>
                </c:pt>
                <c:pt idx="15">
                  <c:v>191.81800000000001</c:v>
                </c:pt>
                <c:pt idx="16">
                  <c:v>187.18299999999999</c:v>
                </c:pt>
                <c:pt idx="17">
                  <c:v>191.41800000000001</c:v>
                </c:pt>
                <c:pt idx="18">
                  <c:v>199.02799999999999</c:v>
                </c:pt>
                <c:pt idx="19">
                  <c:v>201.952</c:v>
                </c:pt>
                <c:pt idx="20">
                  <c:v>198.05799999999999</c:v>
                </c:pt>
                <c:pt idx="21">
                  <c:v>199.249</c:v>
                </c:pt>
                <c:pt idx="22">
                  <c:v>202.91</c:v>
                </c:pt>
                <c:pt idx="23">
                  <c:v>204.29400000000001</c:v>
                </c:pt>
                <c:pt idx="24">
                  <c:v>201.91800000000001</c:v>
                </c:pt>
                <c:pt idx="25">
                  <c:v>204.476</c:v>
                </c:pt>
                <c:pt idx="26">
                  <c:v>208.249</c:v>
                </c:pt>
                <c:pt idx="27">
                  <c:v>209.273</c:v>
                </c:pt>
                <c:pt idx="28">
                  <c:v>207.86</c:v>
                </c:pt>
                <c:pt idx="29">
                  <c:v>211.31700000000001</c:v>
                </c:pt>
                <c:pt idx="30">
                  <c:v>212.55099999999999</c:v>
                </c:pt>
                <c:pt idx="31">
                  <c:v>213.447</c:v>
                </c:pt>
                <c:pt idx="32">
                  <c:v>209.79599999999999</c:v>
                </c:pt>
                <c:pt idx="33">
                  <c:v>212.12299999999999</c:v>
                </c:pt>
                <c:pt idx="34">
                  <c:v>215.20599999999999</c:v>
                </c:pt>
                <c:pt idx="35">
                  <c:v>216.239</c:v>
                </c:pt>
                <c:pt idx="36">
                  <c:v>213.9</c:v>
                </c:pt>
                <c:pt idx="37">
                  <c:v>216.68</c:v>
                </c:pt>
                <c:pt idx="38">
                  <c:v>212.44300000000001</c:v>
                </c:pt>
              </c:numCache>
            </c:numRef>
          </c:val>
          <c:smooth val="0"/>
          <c:extLst>
            <c:ext xmlns:c16="http://schemas.microsoft.com/office/drawing/2014/chart" uri="{C3380CC4-5D6E-409C-BE32-E72D297353CC}">
              <c16:uniqueId val="{00000005-D23F-4893-9DF2-FE87555AB36E}"/>
            </c:ext>
          </c:extLst>
        </c:ser>
        <c:ser>
          <c:idx val="2"/>
          <c:order val="6"/>
          <c:tx>
            <c:strRef>
              <c:f>'Trh práce-2b'!$A$38</c:f>
              <c:strCache>
                <c:ptCount val="1"/>
                <c:pt idx="0">
                  <c:v>Pracující cizinci (občané ostat. zemí)</c:v>
                </c:pt>
              </c:strCache>
            </c:strRef>
          </c:tx>
          <c:spPr>
            <a:ln w="19050">
              <a:solidFill>
                <a:srgbClr val="D4A97E"/>
              </a:solidFill>
              <a:prstDash val="sysDash"/>
            </a:ln>
          </c:spPr>
          <c:marker>
            <c:symbol val="none"/>
          </c:marker>
          <c:cat>
            <c:multiLvlStrRef>
              <c:f>'Trh práce-2b'!$B$30:$AO$31</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práce-2b'!$B$38:$AO$38</c:f>
              <c:numCache>
                <c:formatCode>#,##0</c:formatCode>
                <c:ptCount val="40"/>
                <c:pt idx="0">
                  <c:v>100.735</c:v>
                </c:pt>
                <c:pt idx="1">
                  <c:v>113.586</c:v>
                </c:pt>
                <c:pt idx="2">
                  <c:v>124.599</c:v>
                </c:pt>
                <c:pt idx="3">
                  <c:v>129.863</c:v>
                </c:pt>
                <c:pt idx="4">
                  <c:v>134.048</c:v>
                </c:pt>
                <c:pt idx="5">
                  <c:v>145.23599999999999</c:v>
                </c:pt>
                <c:pt idx="6">
                  <c:v>159.786</c:v>
                </c:pt>
                <c:pt idx="7">
                  <c:v>165.274</c:v>
                </c:pt>
                <c:pt idx="8">
                  <c:v>173.614</c:v>
                </c:pt>
                <c:pt idx="9">
                  <c:v>187.52799999999999</c:v>
                </c:pt>
                <c:pt idx="10">
                  <c:v>199.11799999999999</c:v>
                </c:pt>
                <c:pt idx="11">
                  <c:v>213.59899999999999</c:v>
                </c:pt>
                <c:pt idx="12">
                  <c:v>228.61600000000001</c:v>
                </c:pt>
                <c:pt idx="13">
                  <c:v>244.029</c:v>
                </c:pt>
                <c:pt idx="14">
                  <c:v>258.82100000000003</c:v>
                </c:pt>
                <c:pt idx="15">
                  <c:v>255.77199999999999</c:v>
                </c:pt>
                <c:pt idx="16">
                  <c:v>255.12200000000001</c:v>
                </c:pt>
                <c:pt idx="17">
                  <c:v>262.36599999999999</c:v>
                </c:pt>
                <c:pt idx="18">
                  <c:v>277.37400000000002</c:v>
                </c:pt>
                <c:pt idx="19">
                  <c:v>275.80399999999997</c:v>
                </c:pt>
                <c:pt idx="20">
                  <c:v>277.709</c:v>
                </c:pt>
                <c:pt idx="21">
                  <c:v>270.178</c:v>
                </c:pt>
                <c:pt idx="22">
                  <c:v>278.71699999999998</c:v>
                </c:pt>
                <c:pt idx="23">
                  <c:v>280.40199999999999</c:v>
                </c:pt>
                <c:pt idx="24">
                  <c:v>281.459</c:v>
                </c:pt>
                <c:pt idx="25">
                  <c:v>285.55</c:v>
                </c:pt>
                <c:pt idx="26">
                  <c:v>297.53500000000003</c:v>
                </c:pt>
                <c:pt idx="27">
                  <c:v>297.44099999999997</c:v>
                </c:pt>
                <c:pt idx="28">
                  <c:v>300.39299999999997</c:v>
                </c:pt>
                <c:pt idx="29">
                  <c:v>307.61</c:v>
                </c:pt>
                <c:pt idx="30">
                  <c:v>310.33499999999998</c:v>
                </c:pt>
                <c:pt idx="31">
                  <c:v>309.93200000000002</c:v>
                </c:pt>
                <c:pt idx="32">
                  <c:v>308.2</c:v>
                </c:pt>
                <c:pt idx="33">
                  <c:v>314.923</c:v>
                </c:pt>
                <c:pt idx="34">
                  <c:v>320.48399999999998</c:v>
                </c:pt>
                <c:pt idx="35">
                  <c:v>322.161</c:v>
                </c:pt>
                <c:pt idx="36">
                  <c:v>320.39100000000002</c:v>
                </c:pt>
                <c:pt idx="37">
                  <c:v>324.68299999999999</c:v>
                </c:pt>
                <c:pt idx="38">
                  <c:v>319.55900000000003</c:v>
                </c:pt>
              </c:numCache>
            </c:numRef>
          </c:val>
          <c:smooth val="0"/>
          <c:extLst>
            <c:ext xmlns:c16="http://schemas.microsoft.com/office/drawing/2014/chart" uri="{C3380CC4-5D6E-409C-BE32-E72D297353CC}">
              <c16:uniqueId val="{00000006-D23F-4893-9DF2-FE87555AB36E}"/>
            </c:ext>
          </c:extLst>
        </c:ser>
        <c:ser>
          <c:idx val="3"/>
          <c:order val="7"/>
          <c:tx>
            <c:strRef>
              <c:f>'Trh práce-2b'!$A$39</c:f>
              <c:strCache>
                <c:ptCount val="1"/>
                <c:pt idx="0">
                  <c:v>Očekávání vývoje nezaměstnanosti</c:v>
                </c:pt>
              </c:strCache>
            </c:strRef>
          </c:tx>
          <c:spPr>
            <a:ln w="19050">
              <a:solidFill>
                <a:schemeClr val="tx1">
                  <a:lumMod val="85000"/>
                  <a:lumOff val="15000"/>
                </a:schemeClr>
              </a:solidFill>
              <a:prstDash val="dash"/>
            </a:ln>
          </c:spPr>
          <c:marker>
            <c:symbol val="none"/>
          </c:marker>
          <c:cat>
            <c:multiLvlStrRef>
              <c:f>'Trh práce-2b'!$B$30:$AO$31</c:f>
              <c:multiLvlStrCache>
                <c:ptCount val="4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práce-2b'!$B$39:$AO$39</c:f>
              <c:numCache>
                <c:formatCode>0.0</c:formatCode>
                <c:ptCount val="40"/>
                <c:pt idx="0">
                  <c:v>6</c:v>
                </c:pt>
                <c:pt idx="1">
                  <c:v>9</c:v>
                </c:pt>
                <c:pt idx="2">
                  <c:v>10</c:v>
                </c:pt>
                <c:pt idx="3">
                  <c:v>4</c:v>
                </c:pt>
                <c:pt idx="4">
                  <c:v>2</c:v>
                </c:pt>
                <c:pt idx="5">
                  <c:v>10</c:v>
                </c:pt>
                <c:pt idx="6">
                  <c:v>5</c:v>
                </c:pt>
                <c:pt idx="7">
                  <c:v>4</c:v>
                </c:pt>
                <c:pt idx="8">
                  <c:v>1</c:v>
                </c:pt>
                <c:pt idx="9">
                  <c:v>-3</c:v>
                </c:pt>
                <c:pt idx="10">
                  <c:v>0</c:v>
                </c:pt>
                <c:pt idx="11">
                  <c:v>-1</c:v>
                </c:pt>
                <c:pt idx="12">
                  <c:v>-1</c:v>
                </c:pt>
                <c:pt idx="13">
                  <c:v>-2</c:v>
                </c:pt>
                <c:pt idx="14">
                  <c:v>-2</c:v>
                </c:pt>
                <c:pt idx="15">
                  <c:v>4</c:v>
                </c:pt>
                <c:pt idx="16">
                  <c:v>8</c:v>
                </c:pt>
                <c:pt idx="17">
                  <c:v>8</c:v>
                </c:pt>
                <c:pt idx="18">
                  <c:v>11</c:v>
                </c:pt>
                <c:pt idx="19">
                  <c:v>12</c:v>
                </c:pt>
                <c:pt idx="20">
                  <c:v>18</c:v>
                </c:pt>
                <c:pt idx="21">
                  <c:v>49</c:v>
                </c:pt>
                <c:pt idx="22">
                  <c:v>46</c:v>
                </c:pt>
                <c:pt idx="23">
                  <c:v>60</c:v>
                </c:pt>
                <c:pt idx="24">
                  <c:v>57</c:v>
                </c:pt>
                <c:pt idx="25">
                  <c:v>24</c:v>
                </c:pt>
                <c:pt idx="26">
                  <c:v>16</c:v>
                </c:pt>
                <c:pt idx="27">
                  <c:v>20</c:v>
                </c:pt>
                <c:pt idx="28">
                  <c:v>14</c:v>
                </c:pt>
                <c:pt idx="29">
                  <c:v>20</c:v>
                </c:pt>
                <c:pt idx="30">
                  <c:v>26</c:v>
                </c:pt>
                <c:pt idx="31">
                  <c:v>40</c:v>
                </c:pt>
                <c:pt idx="32">
                  <c:v>35</c:v>
                </c:pt>
                <c:pt idx="33">
                  <c:v>29</c:v>
                </c:pt>
                <c:pt idx="34">
                  <c:v>25</c:v>
                </c:pt>
                <c:pt idx="35">
                  <c:v>17</c:v>
                </c:pt>
                <c:pt idx="36">
                  <c:v>25</c:v>
                </c:pt>
                <c:pt idx="37">
                  <c:v>22</c:v>
                </c:pt>
                <c:pt idx="38">
                  <c:v>24</c:v>
                </c:pt>
                <c:pt idx="39">
                  <c:v>19</c:v>
                </c:pt>
              </c:numCache>
            </c:numRef>
          </c:val>
          <c:smooth val="0"/>
          <c:extLst>
            <c:ext xmlns:c16="http://schemas.microsoft.com/office/drawing/2014/chart" uri="{C3380CC4-5D6E-409C-BE32-E72D297353CC}">
              <c16:uniqueId val="{00000007-D23F-4893-9DF2-FE87555AB36E}"/>
            </c:ext>
          </c:extLst>
        </c:ser>
        <c:dLbls>
          <c:showLegendKey val="0"/>
          <c:showVal val="0"/>
          <c:showCatName val="0"/>
          <c:showSerName val="0"/>
          <c:showPercent val="0"/>
          <c:showBubbleSize val="0"/>
        </c:dLbls>
        <c:marker val="1"/>
        <c:smooth val="0"/>
        <c:axId val="331670576"/>
        <c:axId val="323971328"/>
      </c:lineChart>
      <c:catAx>
        <c:axId val="100654464"/>
        <c:scaling>
          <c:orientation val="minMax"/>
        </c:scaling>
        <c:delete val="0"/>
        <c:axPos val="b"/>
        <c:numFmt formatCode="General" sourceLinked="0"/>
        <c:majorTickMark val="out"/>
        <c:minorTickMark val="none"/>
        <c:tickLblPos val="low"/>
        <c:spPr>
          <a:ln>
            <a:solidFill>
              <a:schemeClr val="tx1"/>
            </a:solidFill>
          </a:ln>
        </c:spPr>
        <c:crossAx val="101647488"/>
        <c:crossesAt val="-50"/>
        <c:auto val="1"/>
        <c:lblAlgn val="ctr"/>
        <c:lblOffset val="0"/>
        <c:noMultiLvlLbl val="0"/>
      </c:catAx>
      <c:valAx>
        <c:axId val="101647488"/>
        <c:scaling>
          <c:orientation val="minMax"/>
          <c:max val="7.5"/>
          <c:min val="0"/>
        </c:scaling>
        <c:delete val="0"/>
        <c:axPos val="l"/>
        <c:majorGridlines>
          <c:spPr>
            <a:ln w="6350">
              <a:solidFill>
                <a:schemeClr val="bg1">
                  <a:lumMod val="75000"/>
                </a:schemeClr>
              </a:solidFill>
            </a:ln>
          </c:spPr>
        </c:majorGridlines>
        <c:title>
          <c:tx>
            <c:rich>
              <a:bodyPr/>
              <a:lstStyle/>
              <a:p>
                <a:pPr>
                  <a:defRPr sz="700" b="0" i="1"/>
                </a:pPr>
                <a:r>
                  <a:rPr lang="cs-CZ" sz="700" b="0" i="1"/>
                  <a:t>Míra nezaměstnanosti</a:t>
                </a:r>
              </a:p>
            </c:rich>
          </c:tx>
          <c:layout/>
          <c:overlay val="0"/>
        </c:title>
        <c:numFmt formatCode="0.0" sourceLinked="0"/>
        <c:majorTickMark val="out"/>
        <c:minorTickMark val="none"/>
        <c:tickLblPos val="nextTo"/>
        <c:spPr>
          <a:ln>
            <a:solidFill>
              <a:schemeClr val="tx1"/>
            </a:solidFill>
          </a:ln>
        </c:spPr>
        <c:crossAx val="100654464"/>
        <c:crosses val="autoZero"/>
        <c:crossBetween val="between"/>
        <c:majorUnit val="0.5"/>
      </c:valAx>
      <c:valAx>
        <c:axId val="323971328"/>
        <c:scaling>
          <c:orientation val="minMax"/>
          <c:max val="350"/>
          <c:min val="-25"/>
        </c:scaling>
        <c:delete val="0"/>
        <c:axPos val="r"/>
        <c:title>
          <c:tx>
            <c:rich>
              <a:bodyPr/>
              <a:lstStyle/>
              <a:p>
                <a:pPr>
                  <a:defRPr sz="700" b="0" i="1"/>
                </a:pPr>
                <a:r>
                  <a:rPr lang="cs-CZ" sz="700" b="0" i="1"/>
                  <a:t>Volná</a:t>
                </a:r>
                <a:r>
                  <a:rPr lang="cs-CZ" sz="700" b="0" i="1" baseline="0"/>
                  <a:t> pracovní místa, zaměstnaní cizinci</a:t>
                </a:r>
                <a:endParaRPr lang="cs-CZ" sz="700" b="0" i="1"/>
              </a:p>
            </c:rich>
          </c:tx>
          <c:layout/>
          <c:overlay val="0"/>
        </c:title>
        <c:numFmt formatCode="#,##0" sourceLinked="0"/>
        <c:majorTickMark val="out"/>
        <c:minorTickMark val="none"/>
        <c:tickLblPos val="nextTo"/>
        <c:crossAx val="331670576"/>
        <c:crosses val="max"/>
        <c:crossBetween val="between"/>
        <c:majorUnit val="25"/>
      </c:valAx>
      <c:catAx>
        <c:axId val="331670576"/>
        <c:scaling>
          <c:orientation val="minMax"/>
        </c:scaling>
        <c:delete val="1"/>
        <c:axPos val="b"/>
        <c:numFmt formatCode="General" sourceLinked="1"/>
        <c:majorTickMark val="out"/>
        <c:minorTickMark val="none"/>
        <c:tickLblPos val="nextTo"/>
        <c:crossAx val="323971328"/>
        <c:crosses val="autoZero"/>
        <c:auto val="1"/>
        <c:lblAlgn val="ctr"/>
        <c:lblOffset val="100"/>
        <c:noMultiLvlLbl val="0"/>
      </c:catAx>
      <c:spPr>
        <a:ln>
          <a:solidFill>
            <a:schemeClr val="tx1"/>
          </a:solidFill>
        </a:ln>
      </c:spPr>
    </c:plotArea>
    <c:legend>
      <c:legendPos val="b"/>
      <c:layout>
        <c:manualLayout>
          <c:xMode val="edge"/>
          <c:yMode val="edge"/>
          <c:x val="7.2346890231882358E-2"/>
          <c:y val="0.87065667466923102"/>
          <c:w val="0.85260043993190393"/>
          <c:h val="0.12573975955987693"/>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411162452186132E-2"/>
          <c:y val="2.0203894786331125E-2"/>
          <c:w val="0.94100987714831696"/>
          <c:h val="0.77072038584009483"/>
        </c:manualLayout>
      </c:layout>
      <c:barChart>
        <c:barDir val="col"/>
        <c:grouping val="clustered"/>
        <c:varyColors val="0"/>
        <c:ser>
          <c:idx val="4"/>
          <c:order val="1"/>
          <c:tx>
            <c:strRef>
              <c:f>'Trh práce 3'!$D$8</c:f>
              <c:strCache>
                <c:ptCount val="1"/>
                <c:pt idx="0">
                  <c:v>Průměrná mzda celkem (reálně)</c:v>
                </c:pt>
              </c:strCache>
            </c:strRef>
          </c:tx>
          <c:spPr>
            <a:solidFill>
              <a:srgbClr val="DBDBDB"/>
            </a:solidFill>
            <a:ln w="19050">
              <a:noFill/>
            </a:ln>
          </c:spPr>
          <c:invertIfNegative val="0"/>
          <c:cat>
            <c:multiLvlStrRef>
              <c:f>'Trh práce 3'!$A$29:$B$67</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3'!$D$29:$D$67</c:f>
              <c:numCache>
                <c:formatCode>#\ ##0.0</c:formatCode>
                <c:ptCount val="39"/>
                <c:pt idx="0">
                  <c:v>2.2000000000000028</c:v>
                </c:pt>
                <c:pt idx="1">
                  <c:v>2.5999999999999943</c:v>
                </c:pt>
                <c:pt idx="2">
                  <c:v>3.0999999999999943</c:v>
                </c:pt>
                <c:pt idx="3">
                  <c:v>3.5999999999999943</c:v>
                </c:pt>
                <c:pt idx="4">
                  <c:v>4.2000000000000028</c:v>
                </c:pt>
                <c:pt idx="5">
                  <c:v>3.7999999999999972</c:v>
                </c:pt>
                <c:pt idx="6">
                  <c:v>4.2000000000000028</c:v>
                </c:pt>
                <c:pt idx="7">
                  <c:v>3</c:v>
                </c:pt>
                <c:pt idx="8">
                  <c:v>2.5999999999999943</c:v>
                </c:pt>
                <c:pt idx="9">
                  <c:v>4.9000000000000057</c:v>
                </c:pt>
                <c:pt idx="10">
                  <c:v>4.0999999999999943</c:v>
                </c:pt>
                <c:pt idx="11">
                  <c:v>5.0999999999999943</c:v>
                </c:pt>
                <c:pt idx="12">
                  <c:v>6.5</c:v>
                </c:pt>
                <c:pt idx="13">
                  <c:v>6.2999999999999972</c:v>
                </c:pt>
                <c:pt idx="14">
                  <c:v>5.9000000000000057</c:v>
                </c:pt>
                <c:pt idx="15">
                  <c:v>4.9000000000000057</c:v>
                </c:pt>
                <c:pt idx="16">
                  <c:v>5.5</c:v>
                </c:pt>
                <c:pt idx="17">
                  <c:v>5.0999999999999943</c:v>
                </c:pt>
                <c:pt idx="18">
                  <c:v>4.7999999999999972</c:v>
                </c:pt>
                <c:pt idx="19">
                  <c:v>4.5</c:v>
                </c:pt>
                <c:pt idx="20">
                  <c:v>1.7999999999999972</c:v>
                </c:pt>
                <c:pt idx="21">
                  <c:v>-2.0999999999999943</c:v>
                </c:pt>
                <c:pt idx="22">
                  <c:v>2</c:v>
                </c:pt>
                <c:pt idx="23">
                  <c:v>4</c:v>
                </c:pt>
                <c:pt idx="24">
                  <c:v>0.79999999999999716</c:v>
                </c:pt>
                <c:pt idx="25">
                  <c:v>8.0999999999999943</c:v>
                </c:pt>
                <c:pt idx="26">
                  <c:v>1.2000000000000028</c:v>
                </c:pt>
                <c:pt idx="27">
                  <c:v>-2.0999999999999943</c:v>
                </c:pt>
                <c:pt idx="28">
                  <c:v>-5.2999999999999972</c:v>
                </c:pt>
                <c:pt idx="29">
                  <c:v>-11.5</c:v>
                </c:pt>
                <c:pt idx="30">
                  <c:v>-11.599999999999994</c:v>
                </c:pt>
                <c:pt idx="31">
                  <c:v>-8.7000000000000028</c:v>
                </c:pt>
                <c:pt idx="32">
                  <c:v>-6.4000000000000057</c:v>
                </c:pt>
                <c:pt idx="33">
                  <c:v>-2.4000000000000057</c:v>
                </c:pt>
                <c:pt idx="34">
                  <c:v>-0.20000000000000284</c:v>
                </c:pt>
                <c:pt idx="35">
                  <c:v>-0.5</c:v>
                </c:pt>
                <c:pt idx="36">
                  <c:v>5.0999999999999943</c:v>
                </c:pt>
                <c:pt idx="37">
                  <c:v>3.9000000000000057</c:v>
                </c:pt>
                <c:pt idx="38">
                  <c:v>4.5999999999999943</c:v>
                </c:pt>
              </c:numCache>
            </c:numRef>
          </c:val>
          <c:extLst>
            <c:ext xmlns:c16="http://schemas.microsoft.com/office/drawing/2014/chart" uri="{C3380CC4-5D6E-409C-BE32-E72D297353CC}">
              <c16:uniqueId val="{00000000-CEF2-43D6-9F34-2FA7851CEB6E}"/>
            </c:ext>
          </c:extLst>
        </c:ser>
        <c:dLbls>
          <c:showLegendKey val="0"/>
          <c:showVal val="0"/>
          <c:showCatName val="0"/>
          <c:showSerName val="0"/>
          <c:showPercent val="0"/>
          <c:showBubbleSize val="0"/>
        </c:dLbls>
        <c:gapWidth val="37"/>
        <c:axId val="100688640"/>
        <c:axId val="100690560"/>
      </c:barChart>
      <c:lineChart>
        <c:grouping val="standard"/>
        <c:varyColors val="0"/>
        <c:ser>
          <c:idx val="0"/>
          <c:order val="0"/>
          <c:tx>
            <c:strRef>
              <c:f>'Trh práce 3'!$C$8</c:f>
              <c:strCache>
                <c:ptCount val="1"/>
                <c:pt idx="0">
                  <c:v>Průměrná mzda celkem (nominálně)</c:v>
                </c:pt>
              </c:strCache>
            </c:strRef>
          </c:tx>
          <c:spPr>
            <a:ln w="19050">
              <a:solidFill>
                <a:schemeClr val="tx1">
                  <a:lumMod val="95000"/>
                  <a:lumOff val="5000"/>
                </a:schemeClr>
              </a:solidFill>
              <a:prstDash val="solid"/>
            </a:ln>
          </c:spPr>
          <c:marker>
            <c:symbol val="none"/>
          </c:marker>
          <c:cat>
            <c:multiLvlStrRef>
              <c:f>'Trh práce 3'!$A$29:$B$67</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3'!$C$29:$C$67</c:f>
              <c:numCache>
                <c:formatCode>#\ ##0.0</c:formatCode>
                <c:ptCount val="39"/>
                <c:pt idx="0">
                  <c:v>2.2702659339777824</c:v>
                </c:pt>
                <c:pt idx="1">
                  <c:v>3.2813172200711875</c:v>
                </c:pt>
                <c:pt idx="2">
                  <c:v>3.4969737726967054</c:v>
                </c:pt>
                <c:pt idx="3">
                  <c:v>3.657239279556876</c:v>
                </c:pt>
                <c:pt idx="4">
                  <c:v>4.6515276307016507</c:v>
                </c:pt>
                <c:pt idx="5">
                  <c:v>3.9533474704634983</c:v>
                </c:pt>
                <c:pt idx="6">
                  <c:v>4.7127622979016053</c:v>
                </c:pt>
                <c:pt idx="7">
                  <c:v>4.3633661264066887</c:v>
                </c:pt>
                <c:pt idx="8">
                  <c:v>5.0631488213469282</c:v>
                </c:pt>
                <c:pt idx="9">
                  <c:v>7.2125892466851269</c:v>
                </c:pt>
                <c:pt idx="10">
                  <c:v>6.7090086143962679</c:v>
                </c:pt>
                <c:pt idx="11">
                  <c:v>7.8362890373334153</c:v>
                </c:pt>
                <c:pt idx="12">
                  <c:v>8.5360633516444295</c:v>
                </c:pt>
                <c:pt idx="13">
                  <c:v>8.7353900516444725</c:v>
                </c:pt>
                <c:pt idx="14">
                  <c:v>8.3840733392624998</c:v>
                </c:pt>
                <c:pt idx="15">
                  <c:v>7.090749009496264</c:v>
                </c:pt>
                <c:pt idx="16">
                  <c:v>8.2952640746705129</c:v>
                </c:pt>
                <c:pt idx="17">
                  <c:v>8.0398712620691697</c:v>
                </c:pt>
                <c:pt idx="18">
                  <c:v>7.7071169323023554</c:v>
                </c:pt>
                <c:pt idx="19">
                  <c:v>7.5667263704965109</c:v>
                </c:pt>
                <c:pt idx="20">
                  <c:v>5.4930047646505358</c:v>
                </c:pt>
                <c:pt idx="21">
                  <c:v>0.86476168440536583</c:v>
                </c:pt>
                <c:pt idx="22">
                  <c:v>5.4150672488059399</c:v>
                </c:pt>
                <c:pt idx="23">
                  <c:v>6.709614019763066</c:v>
                </c:pt>
                <c:pt idx="24">
                  <c:v>3.0004890538246798</c:v>
                </c:pt>
                <c:pt idx="25">
                  <c:v>11.168458781362006</c:v>
                </c:pt>
                <c:pt idx="26">
                  <c:v>5.3398193189715215</c:v>
                </c:pt>
                <c:pt idx="27">
                  <c:v>3.8601248337255782</c:v>
                </c:pt>
                <c:pt idx="28">
                  <c:v>5.2703608535359194</c:v>
                </c:pt>
                <c:pt idx="29">
                  <c:v>2.4658240907918554</c:v>
                </c:pt>
                <c:pt idx="30">
                  <c:v>3.9318133839983034</c:v>
                </c:pt>
                <c:pt idx="31">
                  <c:v>5.6082362503386634</c:v>
                </c:pt>
                <c:pt idx="32">
                  <c:v>8.9331670690615823</c:v>
                </c:pt>
                <c:pt idx="33">
                  <c:v>8.3849368171978114</c:v>
                </c:pt>
                <c:pt idx="34">
                  <c:v>7.7514852993449495</c:v>
                </c:pt>
                <c:pt idx="35">
                  <c:v>7.0642287420122187</c:v>
                </c:pt>
                <c:pt idx="36">
                  <c:v>7.2507184957864439</c:v>
                </c:pt>
                <c:pt idx="37">
                  <c:v>6.5332001765102063</c:v>
                </c:pt>
                <c:pt idx="38">
                  <c:v>7.0053488536487691</c:v>
                </c:pt>
              </c:numCache>
            </c:numRef>
          </c:val>
          <c:smooth val="0"/>
          <c:extLst>
            <c:ext xmlns:c16="http://schemas.microsoft.com/office/drawing/2014/chart" uri="{C3380CC4-5D6E-409C-BE32-E72D297353CC}">
              <c16:uniqueId val="{00000001-CEF2-43D6-9F34-2FA7851CEB6E}"/>
            </c:ext>
          </c:extLst>
        </c:ser>
        <c:ser>
          <c:idx val="5"/>
          <c:order val="2"/>
          <c:tx>
            <c:strRef>
              <c:f>'Trh práce 3'!$E$8</c:f>
              <c:strCache>
                <c:ptCount val="1"/>
                <c:pt idx="0">
                  <c:v>Prům. mzda v průmyslu (nominálně)</c:v>
                </c:pt>
              </c:strCache>
            </c:strRef>
          </c:tx>
          <c:spPr>
            <a:ln w="19050">
              <a:solidFill>
                <a:srgbClr val="C00000"/>
              </a:solidFill>
              <a:prstDash val="sysDot"/>
            </a:ln>
          </c:spPr>
          <c:marker>
            <c:symbol val="none"/>
          </c:marker>
          <c:cat>
            <c:multiLvlStrRef>
              <c:f>'Trh práce 3'!$A$29:$B$67</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3'!$E$29:$E$67</c:f>
              <c:numCache>
                <c:formatCode>#\ ##0.0</c:formatCode>
                <c:ptCount val="39"/>
                <c:pt idx="0">
                  <c:v>1.6381118189372046</c:v>
                </c:pt>
                <c:pt idx="1">
                  <c:v>2.6920877025738719</c:v>
                </c:pt>
                <c:pt idx="2">
                  <c:v>3.010059729644766</c:v>
                </c:pt>
                <c:pt idx="3">
                  <c:v>2.9788308269320822</c:v>
                </c:pt>
                <c:pt idx="4">
                  <c:v>4.6482656596722052</c:v>
                </c:pt>
                <c:pt idx="5">
                  <c:v>3.9508373250157831</c:v>
                </c:pt>
                <c:pt idx="6">
                  <c:v>4.6540016784924205</c:v>
                </c:pt>
                <c:pt idx="7">
                  <c:v>3.8977412011906836</c:v>
                </c:pt>
                <c:pt idx="8">
                  <c:v>5.1746586808526445</c:v>
                </c:pt>
                <c:pt idx="9">
                  <c:v>8.0728701553848907</c:v>
                </c:pt>
                <c:pt idx="10">
                  <c:v>6.8272945979441602</c:v>
                </c:pt>
                <c:pt idx="11">
                  <c:v>7.0884454631252538</c:v>
                </c:pt>
                <c:pt idx="12">
                  <c:v>7.9018109790605564</c:v>
                </c:pt>
                <c:pt idx="13">
                  <c:v>8.1936869938853221</c:v>
                </c:pt>
                <c:pt idx="14">
                  <c:v>7.3566042242467802</c:v>
                </c:pt>
                <c:pt idx="15">
                  <c:v>7.6170092222467076</c:v>
                </c:pt>
                <c:pt idx="16">
                  <c:v>7.1985838851373387</c:v>
                </c:pt>
                <c:pt idx="17">
                  <c:v>7.0904869554591556</c:v>
                </c:pt>
                <c:pt idx="18">
                  <c:v>6.753964974732213</c:v>
                </c:pt>
                <c:pt idx="19">
                  <c:v>5.6242870930946793</c:v>
                </c:pt>
                <c:pt idx="20">
                  <c:v>4.8529141948504844</c:v>
                </c:pt>
                <c:pt idx="21">
                  <c:v>-3.4830979888746327</c:v>
                </c:pt>
                <c:pt idx="22">
                  <c:v>2.956413004644503</c:v>
                </c:pt>
                <c:pt idx="23">
                  <c:v>4.0067563825663086</c:v>
                </c:pt>
                <c:pt idx="24">
                  <c:v>1.8985680538948344</c:v>
                </c:pt>
                <c:pt idx="25">
                  <c:v>10.170242950877807</c:v>
                </c:pt>
                <c:pt idx="26">
                  <c:v>4.7656227408114233</c:v>
                </c:pt>
                <c:pt idx="27">
                  <c:v>3.7112962913660397</c:v>
                </c:pt>
                <c:pt idx="28">
                  <c:v>4.9627933600457936</c:v>
                </c:pt>
                <c:pt idx="29">
                  <c:v>5.8242790073776121</c:v>
                </c:pt>
                <c:pt idx="30">
                  <c:v>5.6391288746584252</c:v>
                </c:pt>
                <c:pt idx="31">
                  <c:v>7.3649082274419158</c:v>
                </c:pt>
                <c:pt idx="32">
                  <c:v>10.686044609259966</c:v>
                </c:pt>
                <c:pt idx="33">
                  <c:v>9.9249607057749785</c:v>
                </c:pt>
                <c:pt idx="34">
                  <c:v>8.8289088628762613</c:v>
                </c:pt>
                <c:pt idx="35">
                  <c:v>7.7850038255547105</c:v>
                </c:pt>
                <c:pt idx="36">
                  <c:v>8.0949917473456026</c:v>
                </c:pt>
                <c:pt idx="37">
                  <c:v>7.4906021540093661</c:v>
                </c:pt>
                <c:pt idx="38">
                  <c:v>6.9049962786007484</c:v>
                </c:pt>
              </c:numCache>
            </c:numRef>
          </c:val>
          <c:smooth val="0"/>
          <c:extLst>
            <c:ext xmlns:c16="http://schemas.microsoft.com/office/drawing/2014/chart" uri="{C3380CC4-5D6E-409C-BE32-E72D297353CC}">
              <c16:uniqueId val="{00000002-CEF2-43D6-9F34-2FA7851CEB6E}"/>
            </c:ext>
          </c:extLst>
        </c:ser>
        <c:ser>
          <c:idx val="1"/>
          <c:order val="3"/>
          <c:tx>
            <c:strRef>
              <c:f>'Trh práce 3'!$F$8</c:f>
              <c:strCache>
                <c:ptCount val="1"/>
                <c:pt idx="0">
                  <c:v>Prům. mzda v obchodu (nominálně)</c:v>
                </c:pt>
              </c:strCache>
            </c:strRef>
          </c:tx>
          <c:spPr>
            <a:ln w="19050">
              <a:solidFill>
                <a:srgbClr val="0070C0"/>
              </a:solidFill>
              <a:prstDash val="sysDot"/>
            </a:ln>
          </c:spPr>
          <c:marker>
            <c:symbol val="none"/>
          </c:marker>
          <c:cat>
            <c:multiLvlStrRef>
              <c:f>'Trh práce 3'!$A$29:$B$67</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3'!$F$29:$F$67</c:f>
              <c:numCache>
                <c:formatCode>#\ ##0.0</c:formatCode>
                <c:ptCount val="39"/>
                <c:pt idx="0">
                  <c:v>3.1055099144049194</c:v>
                </c:pt>
                <c:pt idx="1">
                  <c:v>3.9141414141414117</c:v>
                </c:pt>
                <c:pt idx="2">
                  <c:v>3.949146815340427</c:v>
                </c:pt>
                <c:pt idx="3">
                  <c:v>5.7916298497871423</c:v>
                </c:pt>
                <c:pt idx="4">
                  <c:v>5.6443202202661524</c:v>
                </c:pt>
                <c:pt idx="5">
                  <c:v>3.9570676387201189</c:v>
                </c:pt>
                <c:pt idx="6">
                  <c:v>4.9977652269310511</c:v>
                </c:pt>
                <c:pt idx="7">
                  <c:v>4.4950645406226215</c:v>
                </c:pt>
                <c:pt idx="8">
                  <c:v>5.6231243089559229</c:v>
                </c:pt>
                <c:pt idx="9">
                  <c:v>7.9284684614485457</c:v>
                </c:pt>
                <c:pt idx="10">
                  <c:v>7.693200727526019</c:v>
                </c:pt>
                <c:pt idx="11">
                  <c:v>8.3926754832146457</c:v>
                </c:pt>
                <c:pt idx="12">
                  <c:v>7.2416629280693883</c:v>
                </c:pt>
                <c:pt idx="13">
                  <c:v>7.0392029456356937</c:v>
                </c:pt>
                <c:pt idx="14">
                  <c:v>6.8381903769449082</c:v>
                </c:pt>
                <c:pt idx="15">
                  <c:v>6.6970570490044992</c:v>
                </c:pt>
                <c:pt idx="16">
                  <c:v>9.5345999651385682</c:v>
                </c:pt>
                <c:pt idx="17">
                  <c:v>7.4227708080399282</c:v>
                </c:pt>
                <c:pt idx="18">
                  <c:v>8.1629221041302316</c:v>
                </c:pt>
                <c:pt idx="19">
                  <c:v>6.3018346318170444</c:v>
                </c:pt>
                <c:pt idx="20">
                  <c:v>6.3685550604710528</c:v>
                </c:pt>
                <c:pt idx="21">
                  <c:v>0.91357172008916621</c:v>
                </c:pt>
                <c:pt idx="22">
                  <c:v>4.7389533256631182</c:v>
                </c:pt>
                <c:pt idx="23">
                  <c:v>2.446953129617583</c:v>
                </c:pt>
                <c:pt idx="24">
                  <c:v>2.2321294994165299</c:v>
                </c:pt>
                <c:pt idx="25">
                  <c:v>9.8898705823792881</c:v>
                </c:pt>
                <c:pt idx="26">
                  <c:v>6.6146127126443588</c:v>
                </c:pt>
                <c:pt idx="27">
                  <c:v>8.7059366526279263</c:v>
                </c:pt>
                <c:pt idx="28">
                  <c:v>6.7609096496619543</c:v>
                </c:pt>
                <c:pt idx="29">
                  <c:v>5.6167369702460093</c:v>
                </c:pt>
                <c:pt idx="30">
                  <c:v>3.4585503049205073</c:v>
                </c:pt>
                <c:pt idx="31">
                  <c:v>5.3444432650461664</c:v>
                </c:pt>
                <c:pt idx="32">
                  <c:v>8.065356251884765</c:v>
                </c:pt>
                <c:pt idx="33">
                  <c:v>6.8137346878601903</c:v>
                </c:pt>
                <c:pt idx="34">
                  <c:v>6.2713643581944893</c:v>
                </c:pt>
                <c:pt idx="35">
                  <c:v>5.3226862814247653</c:v>
                </c:pt>
                <c:pt idx="36">
                  <c:v>7.3441741292270279</c:v>
                </c:pt>
                <c:pt idx="37">
                  <c:v>6.1657758036588035</c:v>
                </c:pt>
                <c:pt idx="38">
                  <c:v>7.8312184991008849</c:v>
                </c:pt>
              </c:numCache>
            </c:numRef>
          </c:val>
          <c:smooth val="0"/>
          <c:extLst>
            <c:ext xmlns:c16="http://schemas.microsoft.com/office/drawing/2014/chart" uri="{C3380CC4-5D6E-409C-BE32-E72D297353CC}">
              <c16:uniqueId val="{00000003-CEF2-43D6-9F34-2FA7851CEB6E}"/>
            </c:ext>
          </c:extLst>
        </c:ser>
        <c:ser>
          <c:idx val="2"/>
          <c:order val="4"/>
          <c:tx>
            <c:strRef>
              <c:f>'Trh práce 3'!$G$8</c:f>
              <c:strCache>
                <c:ptCount val="1"/>
                <c:pt idx="0">
                  <c:v>Prům. mzda ve veř. službách (nominálně)*</c:v>
                </c:pt>
              </c:strCache>
            </c:strRef>
          </c:tx>
          <c:spPr>
            <a:ln w="19050">
              <a:solidFill>
                <a:srgbClr val="00B050"/>
              </a:solidFill>
              <a:prstDash val="sysDot"/>
            </a:ln>
          </c:spPr>
          <c:marker>
            <c:symbol val="none"/>
          </c:marker>
          <c:cat>
            <c:multiLvlStrRef>
              <c:f>'Trh práce 3'!$A$29:$B$67</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3'!$G$29:$G$67</c:f>
              <c:numCache>
                <c:formatCode>#\ ##0.0</c:formatCode>
                <c:ptCount val="39"/>
                <c:pt idx="0">
                  <c:v>3.2925091204842687</c:v>
                </c:pt>
                <c:pt idx="1">
                  <c:v>4.3135889286729565</c:v>
                </c:pt>
                <c:pt idx="2">
                  <c:v>3.8145419077079765</c:v>
                </c:pt>
                <c:pt idx="3">
                  <c:v>3.6381766938736746</c:v>
                </c:pt>
                <c:pt idx="4">
                  <c:v>4.64178325585614</c:v>
                </c:pt>
                <c:pt idx="5">
                  <c:v>3.8061258933532116</c:v>
                </c:pt>
                <c:pt idx="6">
                  <c:v>4.8526374704253925</c:v>
                </c:pt>
                <c:pt idx="7">
                  <c:v>6.1351981806606233</c:v>
                </c:pt>
                <c:pt idx="8">
                  <c:v>5.4566112929362163</c:v>
                </c:pt>
                <c:pt idx="9">
                  <c:v>7.3192456135909225</c:v>
                </c:pt>
                <c:pt idx="10">
                  <c:v>7.9981713137873953</c:v>
                </c:pt>
                <c:pt idx="11">
                  <c:v>10.484072576559427</c:v>
                </c:pt>
                <c:pt idx="12">
                  <c:v>12.179699393983398</c:v>
                </c:pt>
                <c:pt idx="13">
                  <c:v>11.89217733254111</c:v>
                </c:pt>
                <c:pt idx="14">
                  <c:v>11.361326321628667</c:v>
                </c:pt>
                <c:pt idx="15">
                  <c:v>6.1282038917470629</c:v>
                </c:pt>
                <c:pt idx="16">
                  <c:v>9.4162908795776019</c:v>
                </c:pt>
                <c:pt idx="17">
                  <c:v>9.3022383570098555</c:v>
                </c:pt>
                <c:pt idx="18">
                  <c:v>8.3925247282538464</c:v>
                </c:pt>
                <c:pt idx="19">
                  <c:v>11.041060141001239</c:v>
                </c:pt>
                <c:pt idx="20">
                  <c:v>5.2296117021426483</c:v>
                </c:pt>
                <c:pt idx="21">
                  <c:v>4.9937922145909539</c:v>
                </c:pt>
                <c:pt idx="22">
                  <c:v>8.8109946466096574</c:v>
                </c:pt>
                <c:pt idx="23">
                  <c:v>13.948630451066606</c:v>
                </c:pt>
                <c:pt idx="24">
                  <c:v>4.5485385483402752</c:v>
                </c:pt>
                <c:pt idx="25">
                  <c:v>17.785684079315018</c:v>
                </c:pt>
                <c:pt idx="26">
                  <c:v>5.4643357321226631</c:v>
                </c:pt>
                <c:pt idx="27">
                  <c:v>-0.40508430459891542</c:v>
                </c:pt>
                <c:pt idx="28">
                  <c:v>2.3050985414715655</c:v>
                </c:pt>
                <c:pt idx="29">
                  <c:v>-7.0315803873919265</c:v>
                </c:pt>
                <c:pt idx="30">
                  <c:v>0.30518367768182486</c:v>
                </c:pt>
                <c:pt idx="31">
                  <c:v>3.4014494016982155</c:v>
                </c:pt>
                <c:pt idx="32">
                  <c:v>7.1236563240183841</c:v>
                </c:pt>
                <c:pt idx="33">
                  <c:v>5.8159573906736455</c:v>
                </c:pt>
                <c:pt idx="34">
                  <c:v>5.5362187961367937</c:v>
                </c:pt>
                <c:pt idx="35">
                  <c:v>4.6740026435620194</c:v>
                </c:pt>
                <c:pt idx="36">
                  <c:v>5.4976803185703034</c:v>
                </c:pt>
                <c:pt idx="37">
                  <c:v>5.6857748625680244</c:v>
                </c:pt>
                <c:pt idx="38">
                  <c:v>5.6757457429733336</c:v>
                </c:pt>
              </c:numCache>
            </c:numRef>
          </c:val>
          <c:smooth val="0"/>
          <c:extLst>
            <c:ext xmlns:c16="http://schemas.microsoft.com/office/drawing/2014/chart" uri="{C3380CC4-5D6E-409C-BE32-E72D297353CC}">
              <c16:uniqueId val="{00000004-CEF2-43D6-9F34-2FA7851CEB6E}"/>
            </c:ext>
          </c:extLst>
        </c:ser>
        <c:ser>
          <c:idx val="3"/>
          <c:order val="5"/>
          <c:tx>
            <c:strRef>
              <c:f>'Trh práce 3'!$H$8</c:f>
              <c:strCache>
                <c:ptCount val="1"/>
                <c:pt idx="0">
                  <c:v>Mediánová mzda celkem (nominálně)</c:v>
                </c:pt>
              </c:strCache>
            </c:strRef>
          </c:tx>
          <c:spPr>
            <a:ln w="19050">
              <a:noFill/>
            </a:ln>
          </c:spPr>
          <c:marker>
            <c:symbol val="circle"/>
            <c:size val="5"/>
            <c:spPr>
              <a:solidFill>
                <a:srgbClr val="FFFF00"/>
              </a:solidFill>
              <a:ln w="6350">
                <a:solidFill>
                  <a:schemeClr val="bg1">
                    <a:lumMod val="50000"/>
                  </a:schemeClr>
                </a:solidFill>
              </a:ln>
            </c:spPr>
          </c:marker>
          <c:cat>
            <c:multiLvlStrRef>
              <c:f>'Trh práce 3'!$A$29:$B$67</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3'!$H$29:$H$67</c:f>
              <c:numCache>
                <c:formatCode>#\ ##0.0</c:formatCode>
                <c:ptCount val="39"/>
                <c:pt idx="0">
                  <c:v>0.70000000000000284</c:v>
                </c:pt>
                <c:pt idx="1">
                  <c:v>2.2999999999999972</c:v>
                </c:pt>
                <c:pt idx="2">
                  <c:v>3.7999999999999972</c:v>
                </c:pt>
                <c:pt idx="3">
                  <c:v>4.7000000000000028</c:v>
                </c:pt>
                <c:pt idx="4">
                  <c:v>6.7000000000000028</c:v>
                </c:pt>
                <c:pt idx="5">
                  <c:v>4.5999999999999943</c:v>
                </c:pt>
                <c:pt idx="6">
                  <c:v>5.2999999999999972</c:v>
                </c:pt>
                <c:pt idx="7">
                  <c:v>6.2000000000000028</c:v>
                </c:pt>
                <c:pt idx="8">
                  <c:v>4.9000000000000057</c:v>
                </c:pt>
                <c:pt idx="9">
                  <c:v>7.7000000000000028</c:v>
                </c:pt>
                <c:pt idx="10">
                  <c:v>7</c:v>
                </c:pt>
                <c:pt idx="11">
                  <c:v>8.9000000000000057</c:v>
                </c:pt>
                <c:pt idx="12">
                  <c:v>8.7000000000000028</c:v>
                </c:pt>
                <c:pt idx="13">
                  <c:v>9.7000000000000028</c:v>
                </c:pt>
                <c:pt idx="14">
                  <c:v>9.2999999999999972</c:v>
                </c:pt>
                <c:pt idx="15">
                  <c:v>6.7000000000000028</c:v>
                </c:pt>
                <c:pt idx="16">
                  <c:v>7.2000000000000028</c:v>
                </c:pt>
                <c:pt idx="17">
                  <c:v>6.4000000000000057</c:v>
                </c:pt>
                <c:pt idx="18">
                  <c:v>7.2999999999999972</c:v>
                </c:pt>
                <c:pt idx="19">
                  <c:v>6.4000000000000057</c:v>
                </c:pt>
                <c:pt idx="20">
                  <c:v>7</c:v>
                </c:pt>
                <c:pt idx="21">
                  <c:v>1.4000000000000057</c:v>
                </c:pt>
                <c:pt idx="22">
                  <c:v>6.7000000000000028</c:v>
                </c:pt>
                <c:pt idx="23">
                  <c:v>6.7000000000000028</c:v>
                </c:pt>
                <c:pt idx="24">
                  <c:v>2.2999999999999972</c:v>
                </c:pt>
                <c:pt idx="25">
                  <c:v>11.099999999999994</c:v>
                </c:pt>
                <c:pt idx="26">
                  <c:v>4.7000000000000028</c:v>
                </c:pt>
                <c:pt idx="27">
                  <c:v>4.5999999999999943</c:v>
                </c:pt>
                <c:pt idx="28">
                  <c:v>4.2999999999999972</c:v>
                </c:pt>
                <c:pt idx="29">
                  <c:v>3.2000000000000028</c:v>
                </c:pt>
                <c:pt idx="30">
                  <c:v>4.2000000000000028</c:v>
                </c:pt>
                <c:pt idx="31">
                  <c:v>6.2999999999999972</c:v>
                </c:pt>
                <c:pt idx="32">
                  <c:v>9.5999999999999943</c:v>
                </c:pt>
                <c:pt idx="33">
                  <c:v>7.5999999999999943</c:v>
                </c:pt>
                <c:pt idx="34">
                  <c:v>9.7000000000000028</c:v>
                </c:pt>
                <c:pt idx="35">
                  <c:v>7.0999999999999943</c:v>
                </c:pt>
                <c:pt idx="36">
                  <c:v>5.7000000000000028</c:v>
                </c:pt>
                <c:pt idx="37">
                  <c:v>5.7999999999999972</c:v>
                </c:pt>
                <c:pt idx="38">
                  <c:v>6.5999999999999943</c:v>
                </c:pt>
              </c:numCache>
            </c:numRef>
          </c:val>
          <c:smooth val="0"/>
          <c:extLst>
            <c:ext xmlns:c16="http://schemas.microsoft.com/office/drawing/2014/chart" uri="{C3380CC4-5D6E-409C-BE32-E72D297353CC}">
              <c16:uniqueId val="{00000005-CEF2-43D6-9F34-2FA7851CEB6E}"/>
            </c:ext>
          </c:extLst>
        </c:ser>
        <c:dLbls>
          <c:showLegendKey val="0"/>
          <c:showVal val="0"/>
          <c:showCatName val="0"/>
          <c:showSerName val="0"/>
          <c:showPercent val="0"/>
          <c:showBubbleSize val="0"/>
        </c:dLbls>
        <c:marker val="1"/>
        <c:smooth val="0"/>
        <c:axId val="100688640"/>
        <c:axId val="100690560"/>
      </c:lineChart>
      <c:catAx>
        <c:axId val="10068864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00690560"/>
        <c:crosses val="autoZero"/>
        <c:auto val="1"/>
        <c:lblAlgn val="ctr"/>
        <c:lblOffset val="0"/>
        <c:tickMarkSkip val="4"/>
        <c:noMultiLvlLbl val="0"/>
      </c:catAx>
      <c:valAx>
        <c:axId val="100690560"/>
        <c:scaling>
          <c:orientation val="minMax"/>
          <c:max val="18"/>
          <c:min val="-12"/>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00688640"/>
        <c:crosses val="autoZero"/>
        <c:crossBetween val="between"/>
        <c:majorUnit val="2"/>
      </c:valAx>
      <c:spPr>
        <a:ln>
          <a:solidFill>
            <a:schemeClr val="tx1"/>
          </a:solidFill>
        </a:ln>
      </c:spPr>
    </c:plotArea>
    <c:legend>
      <c:legendPos val="b"/>
      <c:layout>
        <c:manualLayout>
          <c:xMode val="edge"/>
          <c:yMode val="edge"/>
          <c:x val="9.1292133366733495E-3"/>
          <c:y val="0.87578174603174608"/>
          <c:w val="0.97744446685490061"/>
          <c:h val="0.11341893424036281"/>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0204C7C21F48A488F44995C5F8FB06D" ma:contentTypeVersion="11" ma:contentTypeDescription="Vytvoří nový dokument" ma:contentTypeScope="" ma:versionID="1df8c39b067b5d25b5f5e865a8e6deb3">
  <xsd:schema xmlns:xsd="http://www.w3.org/2001/XMLSchema" xmlns:xs="http://www.w3.org/2001/XMLSchema" xmlns:p="http://schemas.microsoft.com/office/2006/metadata/properties" xmlns:ns3="b8c0c86d-151e-4fca-b0d5-747e6692fa1d" targetNamespace="http://schemas.microsoft.com/office/2006/metadata/properties" ma:root="true" ma:fieldsID="0a1e36cc980726b26aea9439dfb6e5b7" ns3:_="">
    <xsd:import namespace="b8c0c86d-151e-4fca-b0d5-747e6692fa1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c86d-151e-4fca-b0d5-747e6692f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8A1E1-1E99-4B4F-B9B5-70567730AA3A}">
  <ds:schemaRefs>
    <ds:schemaRef ds:uri="http://schemas.microsoft.com/sharepoint/v3/contenttype/forms"/>
  </ds:schemaRefs>
</ds:datastoreItem>
</file>

<file path=customXml/itemProps2.xml><?xml version="1.0" encoding="utf-8"?>
<ds:datastoreItem xmlns:ds="http://schemas.openxmlformats.org/officeDocument/2006/customXml" ds:itemID="{1E7681AD-41B0-431A-9D34-CF6700A12FAC}">
  <ds:schemaRefs>
    <ds:schemaRef ds:uri="http://www.w3.org/XML/1998/namespace"/>
    <ds:schemaRef ds:uri="http://purl.org/dc/terms/"/>
    <ds:schemaRef ds:uri="b8c0c86d-151e-4fca-b0d5-747e6692fa1d"/>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217542A-452A-49A6-BD70-25B5200F3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0c86d-151e-4fca-b0d5-747e6692f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0E9FB-06EE-48E0-A40F-82A646B8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3213</Words>
  <Characters>18959</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Kučerová Jana</dc:creator>
  <cp:keywords/>
  <cp:lastModifiedBy>Zábojníková Karolína</cp:lastModifiedBy>
  <cp:revision>4</cp:revision>
  <cp:lastPrinted>2014-07-17T14:07:00Z</cp:lastPrinted>
  <dcterms:created xsi:type="dcterms:W3CDTF">2024-12-16T10:31:00Z</dcterms:created>
  <dcterms:modified xsi:type="dcterms:W3CDTF">2024-12-16T10:43:00Z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0x01010070204C7C21F48A488F44995C5F8FB06D</vt:lpwstr>
  </property>
  <property fmtid="{D5CDD505-2E9C-101B-9397-08002B2CF9AE}" pid="3" name="Názevformuláře">
    <vt:lpwstr>Publikace CZ barevné - vícetematické analýzy
</vt:lpwstr>
  </property>
  <property fmtid="{D5CDD505-2E9C-101B-9397-08002B2CF9AE}" pid="4" name="Vazbanaprocesnídoménu">
    <vt:lpwstr>;#4. Komunikace a propagace;#</vt:lpwstr>
  </property>
  <property fmtid="{D5CDD505-2E9C-101B-9397-08002B2CF9AE}" pid="5" name="Vazbanadefiničnípředpis">
    <vt:lpwstr>Manuál ke zveřejňování produktů ČSÚ
</vt:lpwstr>
  </property>
  <property fmtid="{D5CDD505-2E9C-101B-9397-08002B2CF9AE}" pid="6" name="Ustanovení">
    <vt:lpwstr>část první čl. 2, odst. 3b,c; část pátá; příloha 1
</vt:lpwstr>
  </property>
  <property fmtid="{D5CDD505-2E9C-101B-9397-08002B2CF9AE}" pid="7" name="Účinnostod">
    <vt:filetime>2018-04-17T07:00:00Z</vt:filetime>
  </property>
  <property fmtid="{D5CDD505-2E9C-101B-9397-08002B2CF9AE}" pid="8" name="Označení">
    <vt:lpwstr>Form_c444</vt:lpwstr>
  </property>
  <property fmtid="{D5CDD505-2E9C-101B-9397-08002B2CF9AE}" pid="9" name="MediaServiceImageTags">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