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47FC4" w14:textId="041BFFAD" w:rsidR="00774CE9" w:rsidRDefault="00774CE9" w:rsidP="00774CE9">
      <w:pPr>
        <w:pStyle w:val="Nadpis2"/>
      </w:pPr>
      <w:bookmarkStart w:id="0" w:name="_Toc136412138"/>
      <w:bookmarkStart w:id="1" w:name="_Toc444112495"/>
      <w:bookmarkStart w:id="2" w:name="_Toc167965214"/>
      <w:r w:rsidRPr="00BD6D2F">
        <w:t>1. Úvod</w:t>
      </w:r>
      <w:bookmarkEnd w:id="0"/>
      <w:bookmarkEnd w:id="2"/>
    </w:p>
    <w:p w14:paraId="0D963E99" w14:textId="77777777" w:rsidR="00774CE9" w:rsidRPr="00251BF8" w:rsidRDefault="00774CE9" w:rsidP="00774CE9">
      <w:pPr>
        <w:pStyle w:val="Odstavecseseznamem"/>
        <w:spacing w:before="60"/>
        <w:ind w:left="0"/>
        <w:jc w:val="both"/>
        <w:rPr>
          <w:rFonts w:cs="Arial"/>
        </w:rPr>
      </w:pPr>
      <w:r w:rsidRPr="00251BF8">
        <w:rPr>
          <w:rFonts w:cs="Arial"/>
          <w:b/>
        </w:rPr>
        <w:t>Problematika pracovní neschopnosti pro nemoc a úraz</w:t>
      </w:r>
      <w:r w:rsidRPr="00251BF8">
        <w:rPr>
          <w:rFonts w:cs="Arial"/>
        </w:rPr>
        <w:t xml:space="preserve"> je závažná a z pohledu hodnocení vývoje v čase také zajímavá nejméně ze dvou následujících důvodů. </w:t>
      </w:r>
    </w:p>
    <w:p w14:paraId="57EC367E" w14:textId="77777777" w:rsidR="00774CE9" w:rsidRPr="00251BF8" w:rsidRDefault="00774CE9" w:rsidP="00774CE9">
      <w:pPr>
        <w:pStyle w:val="Odstavecseseznamem"/>
        <w:numPr>
          <w:ilvl w:val="0"/>
          <w:numId w:val="16"/>
        </w:numPr>
        <w:spacing w:before="60"/>
        <w:jc w:val="both"/>
        <w:rPr>
          <w:rFonts w:cs="Arial"/>
        </w:rPr>
      </w:pPr>
      <w:r w:rsidRPr="00251BF8">
        <w:rPr>
          <w:rFonts w:cs="Arial"/>
          <w:b/>
        </w:rPr>
        <w:t xml:space="preserve">ze zdravotního </w:t>
      </w:r>
      <w:r w:rsidRPr="00251BF8">
        <w:rPr>
          <w:rFonts w:cs="Arial"/>
        </w:rPr>
        <w:t xml:space="preserve">– souvisí se zdravotním stavem zaměstnanců v návaznosti na určitou pracovní činnost, prostředí, pracovní podmínky, používanou techniku a technologii, bezpečnost a hygienu práce apod. </w:t>
      </w:r>
    </w:p>
    <w:p w14:paraId="1BF3617C" w14:textId="77777777" w:rsidR="00774CE9" w:rsidRPr="00251BF8" w:rsidRDefault="00774CE9" w:rsidP="00774CE9">
      <w:pPr>
        <w:pStyle w:val="Odstavecseseznamem"/>
        <w:numPr>
          <w:ilvl w:val="0"/>
          <w:numId w:val="16"/>
        </w:numPr>
        <w:spacing w:before="60" w:after="120"/>
        <w:ind w:left="714" w:hanging="357"/>
        <w:jc w:val="both"/>
        <w:rPr>
          <w:rFonts w:cs="Arial"/>
        </w:rPr>
      </w:pPr>
      <w:r w:rsidRPr="00251BF8">
        <w:rPr>
          <w:rFonts w:cs="Arial"/>
          <w:b/>
        </w:rPr>
        <w:t xml:space="preserve">z ekonomického </w:t>
      </w:r>
      <w:r w:rsidRPr="00251BF8">
        <w:rPr>
          <w:rFonts w:cs="Arial"/>
        </w:rPr>
        <w:t>– vztahuje se totiž k důsledkům nepřítomnosti dočasně práce neschopných v zaměstnání, ke snížení tvorby zdrojů, k čerpání fondu nemocenského pojištění a v neposlední řadě i k vyvolaným nákladům zdravotní péče.</w:t>
      </w:r>
    </w:p>
    <w:p w14:paraId="62EF8020" w14:textId="77777777" w:rsidR="00774CE9" w:rsidRPr="00251BF8" w:rsidRDefault="00774CE9" w:rsidP="00774CE9">
      <w:pPr>
        <w:spacing w:before="60" w:after="120"/>
        <w:jc w:val="both"/>
        <w:rPr>
          <w:rFonts w:cs="Arial"/>
        </w:rPr>
      </w:pPr>
      <w:r w:rsidRPr="00251BF8">
        <w:rPr>
          <w:rFonts w:cs="Arial"/>
        </w:rPr>
        <w:t xml:space="preserve">Statistiky pracovní neschopnosti sice nabízí dlouhodobé časové řady, které ukazují mnohé souvislosti a trendy, nicméně je třeba si dobře uvědomit faktory, které zde působí. Zjednodušeně lze říci, že v průběhu času dochází ke změnám dvojího druhu. Jedny jsou projevem „přirozeného“ vývoje, zatímco druhé vycházejí z určitého vědomého rozhodnutí. Oba tyto druhy změn v různé míře ovlivňují hodnoty ukazatelů pracovní neschopnosti a je nutné k nim při analytickém hodnocení přihlížet. </w:t>
      </w:r>
    </w:p>
    <w:p w14:paraId="191340AA" w14:textId="77777777" w:rsidR="00774CE9" w:rsidRPr="00251BF8" w:rsidRDefault="00774CE9" w:rsidP="00774CE9">
      <w:pPr>
        <w:pStyle w:val="Odstavecseseznamem"/>
        <w:numPr>
          <w:ilvl w:val="0"/>
          <w:numId w:val="17"/>
        </w:numPr>
        <w:spacing w:before="60" w:after="120"/>
        <w:jc w:val="both"/>
        <w:rPr>
          <w:rFonts w:cs="Arial"/>
        </w:rPr>
      </w:pPr>
      <w:r w:rsidRPr="00251BF8">
        <w:rPr>
          <w:rFonts w:cs="Arial"/>
        </w:rPr>
        <w:t xml:space="preserve">Přirozené vlivy jsou např. změny </w:t>
      </w:r>
      <w:r w:rsidRPr="00251BF8">
        <w:rPr>
          <w:rFonts w:cs="Arial"/>
          <w:b/>
        </w:rPr>
        <w:t>demografické</w:t>
      </w:r>
      <w:r w:rsidRPr="00251BF8">
        <w:rPr>
          <w:rFonts w:cs="Arial"/>
        </w:rPr>
        <w:t xml:space="preserve"> (změny počtu nemocensky pojištěných, stárnutí obyvatelstva) či </w:t>
      </w:r>
      <w:r w:rsidRPr="00251BF8">
        <w:rPr>
          <w:rFonts w:cs="Arial"/>
          <w:b/>
        </w:rPr>
        <w:t>ekonomické</w:t>
      </w:r>
      <w:r w:rsidRPr="00251BF8">
        <w:rPr>
          <w:rFonts w:cs="Arial"/>
        </w:rPr>
        <w:t xml:space="preserve"> (vývoj nezaměstnanosti, inflace), podobně jako technický a technologický rozvoj (mající dopad na bezpečnost a náročnost práce). </w:t>
      </w:r>
    </w:p>
    <w:p w14:paraId="12A488F6" w14:textId="1BD7E500" w:rsidR="00774CE9" w:rsidRPr="00251BF8" w:rsidRDefault="00774CE9" w:rsidP="00774CE9">
      <w:pPr>
        <w:pStyle w:val="Odstavecseseznamem"/>
        <w:numPr>
          <w:ilvl w:val="0"/>
          <w:numId w:val="17"/>
        </w:numPr>
        <w:spacing w:after="120"/>
        <w:ind w:left="714" w:hanging="357"/>
        <w:jc w:val="both"/>
        <w:rPr>
          <w:rFonts w:cs="Arial"/>
        </w:rPr>
      </w:pPr>
      <w:r w:rsidRPr="00251BF8">
        <w:rPr>
          <w:rFonts w:cs="Arial"/>
        </w:rPr>
        <w:t xml:space="preserve">Vedle toho působí i </w:t>
      </w:r>
      <w:r w:rsidR="00EA74DB" w:rsidRPr="00251BF8">
        <w:rPr>
          <w:rFonts w:cs="Arial"/>
        </w:rPr>
        <w:t xml:space="preserve">opatření </w:t>
      </w:r>
      <w:r w:rsidRPr="00251BF8">
        <w:rPr>
          <w:rFonts w:cs="Arial"/>
        </w:rPr>
        <w:t xml:space="preserve">prováděná v oblasti </w:t>
      </w:r>
      <w:r w:rsidRPr="00251BF8">
        <w:rPr>
          <w:rFonts w:cs="Arial"/>
          <w:b/>
        </w:rPr>
        <w:t xml:space="preserve">legislativy </w:t>
      </w:r>
      <w:r w:rsidRPr="00251BF8">
        <w:rPr>
          <w:rFonts w:cs="Arial"/>
        </w:rPr>
        <w:t xml:space="preserve">(např. změny výše dávek a jiných nároků, úpravy pojištění apod.), ale rovněž změny </w:t>
      </w:r>
      <w:r w:rsidRPr="00251BF8">
        <w:rPr>
          <w:rFonts w:cs="Arial"/>
          <w:b/>
        </w:rPr>
        <w:t>metodické</w:t>
      </w:r>
      <w:r w:rsidRPr="00251BF8">
        <w:rPr>
          <w:rFonts w:cs="Arial"/>
        </w:rPr>
        <w:t xml:space="preserve"> (způsob sběru dat, změny klasifikací).</w:t>
      </w:r>
    </w:p>
    <w:p w14:paraId="4D26F89E" w14:textId="77777777" w:rsidR="00774CE9" w:rsidRPr="00251BF8" w:rsidRDefault="00774CE9" w:rsidP="00774CE9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251BF8">
        <w:rPr>
          <w:rFonts w:cs="Arial"/>
        </w:rPr>
        <w:t>Údaje o pracovní neschopnosti pro nemoc a úraz vycházejí ze společného zpracování dat</w:t>
      </w:r>
      <w:r w:rsidRPr="00251BF8">
        <w:rPr>
          <w:rFonts w:cs="Arial"/>
          <w:b/>
        </w:rPr>
        <w:t xml:space="preserve"> České správy sociálního zabezpečení </w:t>
      </w:r>
      <w:r w:rsidRPr="00251BF8">
        <w:rPr>
          <w:rFonts w:cs="Arial"/>
        </w:rPr>
        <w:t>(ČSSZ)</w:t>
      </w:r>
      <w:r w:rsidRPr="00251BF8">
        <w:rPr>
          <w:rFonts w:cs="Arial"/>
          <w:b/>
        </w:rPr>
        <w:t xml:space="preserve"> </w:t>
      </w:r>
      <w:r w:rsidRPr="00251BF8">
        <w:rPr>
          <w:rFonts w:cs="Arial"/>
        </w:rPr>
        <w:t>a</w:t>
      </w:r>
      <w:r w:rsidRPr="00251BF8">
        <w:rPr>
          <w:rFonts w:cs="Arial"/>
          <w:b/>
        </w:rPr>
        <w:t xml:space="preserve"> Českého statistického úřadu </w:t>
      </w:r>
      <w:r w:rsidRPr="00251BF8">
        <w:rPr>
          <w:rFonts w:cs="Arial"/>
        </w:rPr>
        <w:t>(ČSÚ) a jsou publikovány vždy za 1. pololetí (na konci října sledovaného roku)</w:t>
      </w:r>
      <w:r w:rsidRPr="00251BF8">
        <w:rPr>
          <w:rFonts w:cs="Arial"/>
          <w:vertAlign w:val="superscript"/>
        </w:rPr>
        <w:t xml:space="preserve"> </w:t>
      </w:r>
      <w:r w:rsidRPr="00251BF8">
        <w:rPr>
          <w:rFonts w:cs="Arial"/>
        </w:rPr>
        <w:t>a za celý rok (na konci května následujícího roku)</w:t>
      </w:r>
      <w:r w:rsidRPr="00251BF8">
        <w:rPr>
          <w:rStyle w:val="Znakapoznpodarou"/>
          <w:rFonts w:cs="Arial"/>
        </w:rPr>
        <w:footnoteReference w:id="1"/>
      </w:r>
      <w:r w:rsidRPr="00251BF8">
        <w:rPr>
          <w:rFonts w:cs="Arial"/>
        </w:rPr>
        <w:t>.</w:t>
      </w:r>
    </w:p>
    <w:p w14:paraId="6B1CA887" w14:textId="77777777" w:rsidR="00774CE9" w:rsidRPr="00251BF8" w:rsidRDefault="00774CE9" w:rsidP="00774CE9">
      <w:pPr>
        <w:spacing w:after="120"/>
        <w:jc w:val="both"/>
      </w:pPr>
      <w:r w:rsidRPr="00251BF8">
        <w:t xml:space="preserve">Tato publikace přináší základní údaje o dočasné pracovní neschopnosti pracujících obyvatel ČR z důvodu nemoci či úrazu </w:t>
      </w:r>
      <w:r w:rsidRPr="00251BF8">
        <w:rPr>
          <w:b/>
        </w:rPr>
        <w:t>v roce 202</w:t>
      </w:r>
      <w:r w:rsidR="004832B5" w:rsidRPr="00251BF8">
        <w:rPr>
          <w:b/>
        </w:rPr>
        <w:t>3</w:t>
      </w:r>
      <w:r w:rsidRPr="00251BF8">
        <w:t xml:space="preserve"> a u vybraných ukazatelů jejich vývoj v delší </w:t>
      </w:r>
      <w:r w:rsidRPr="00251BF8">
        <w:rPr>
          <w:b/>
        </w:rPr>
        <w:t>časové řadě (201</w:t>
      </w:r>
      <w:r w:rsidR="004832B5" w:rsidRPr="00251BF8">
        <w:rPr>
          <w:b/>
        </w:rPr>
        <w:t>3</w:t>
      </w:r>
      <w:r w:rsidRPr="00251BF8">
        <w:rPr>
          <w:b/>
        </w:rPr>
        <w:t>–202</w:t>
      </w:r>
      <w:r w:rsidR="004832B5" w:rsidRPr="00251BF8">
        <w:rPr>
          <w:b/>
        </w:rPr>
        <w:t>3</w:t>
      </w:r>
      <w:r w:rsidRPr="00251BF8">
        <w:rPr>
          <w:b/>
        </w:rPr>
        <w:t>).</w:t>
      </w:r>
    </w:p>
    <w:p w14:paraId="457A28CC" w14:textId="4A9D8E9F" w:rsidR="00774CE9" w:rsidRPr="00251BF8" w:rsidRDefault="00774CE9" w:rsidP="00774CE9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251BF8">
        <w:rPr>
          <w:rFonts w:cs="Arial"/>
        </w:rPr>
        <w:t xml:space="preserve">Publikace je členěna na textovou a tabulkovou část. </w:t>
      </w:r>
      <w:r w:rsidRPr="00251BF8">
        <w:rPr>
          <w:rFonts w:cs="Arial"/>
          <w:b/>
        </w:rPr>
        <w:t>Textová část</w:t>
      </w:r>
      <w:r w:rsidRPr="00251BF8">
        <w:rPr>
          <w:rFonts w:cs="Arial"/>
        </w:rPr>
        <w:t xml:space="preserve"> nejprve obsahuje stručné seznámení s legislativní úpravou nemocenského pojištění, vč. významných legislativních změn ovlivňujících podstatným způsobem vývoj ukazatelů pracovní neschopnosti. Dále textová část pokračuje popisem metodiky zpracování dat dočasné pracovní neschopnosti prostřednictvím systémů ČSSZ a ČSÚ a výčtem dalších možných zdrojů dat v oblasti statistiky nemocnosti a úrazovosti. Stěžejní část tvoří </w:t>
      </w:r>
      <w:r w:rsidRPr="00251BF8">
        <w:rPr>
          <w:rFonts w:cs="Arial"/>
          <w:b/>
        </w:rPr>
        <w:t>analýza</w:t>
      </w:r>
      <w:r w:rsidRPr="00251BF8">
        <w:rPr>
          <w:rFonts w:cs="Arial"/>
        </w:rPr>
        <w:t>, která přináší rozbor vývoje a intenzity základních ukazatelů dočasné pracovní neschopnosti pro nemoc a úraz v ČR včetně definic sledovaných indikátorů. Je doplněna i daty z jiných dostupných zdrojů. Data z ČSSZ dokreslují pohled na tuto oblast statistiky pomocí ukončených případů</w:t>
      </w:r>
      <w:r w:rsidR="006A65FC" w:rsidRPr="00251BF8">
        <w:rPr>
          <w:rFonts w:cs="Arial"/>
        </w:rPr>
        <w:t xml:space="preserve"> dočasné pracovní neschopnosti </w:t>
      </w:r>
      <w:r w:rsidRPr="00251BF8">
        <w:rPr>
          <w:rFonts w:cs="Arial"/>
        </w:rPr>
        <w:t>a výdajů na dávky nemocenského pojištění. Údaje ze Státního úřadu inspekce práce (SÚIP) a Eurostatu popisují pracovní úrazovost.</w:t>
      </w:r>
    </w:p>
    <w:p w14:paraId="7A7BE75B" w14:textId="77777777" w:rsidR="00774CE9" w:rsidRPr="00251BF8" w:rsidRDefault="00774CE9" w:rsidP="00774CE9">
      <w:pPr>
        <w:autoSpaceDE w:val="0"/>
        <w:autoSpaceDN w:val="0"/>
        <w:adjustRightInd w:val="0"/>
        <w:spacing w:after="60"/>
        <w:jc w:val="both"/>
        <w:rPr>
          <w:rFonts w:cs="Arial"/>
        </w:rPr>
      </w:pPr>
      <w:r w:rsidRPr="00251BF8">
        <w:rPr>
          <w:rFonts w:cs="Arial"/>
        </w:rPr>
        <w:t xml:space="preserve">Publikace nabízí zejména údaje o </w:t>
      </w:r>
      <w:r w:rsidRPr="00251BF8">
        <w:rPr>
          <w:rFonts w:cs="Arial"/>
          <w:b/>
        </w:rPr>
        <w:t>nově hlášených případech dočasné pracovní neschopnosti pro nemoc a úraz</w:t>
      </w:r>
      <w:r w:rsidRPr="00251BF8">
        <w:rPr>
          <w:rFonts w:cs="Arial"/>
        </w:rPr>
        <w:t xml:space="preserve"> (kapitola 4.2) a související ukazatele:</w:t>
      </w:r>
    </w:p>
    <w:p w14:paraId="7E6798AC" w14:textId="77777777" w:rsidR="00774CE9" w:rsidRPr="00251BF8" w:rsidRDefault="00774CE9" w:rsidP="00774CE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251BF8">
        <w:rPr>
          <w:rFonts w:cs="Arial"/>
        </w:rPr>
        <w:t>průměrný počet nemocensky pojištěných osob,</w:t>
      </w:r>
    </w:p>
    <w:p w14:paraId="6759002F" w14:textId="77777777" w:rsidR="00774CE9" w:rsidRPr="00251BF8" w:rsidRDefault="00774CE9" w:rsidP="00774CE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251BF8">
        <w:rPr>
          <w:rFonts w:cs="Arial"/>
        </w:rPr>
        <w:t>počet nově hlášených případů pracovní neschopnosti na 100 nemocensky pojištěných osob,</w:t>
      </w:r>
    </w:p>
    <w:p w14:paraId="5C68F519" w14:textId="77777777" w:rsidR="00774CE9" w:rsidRPr="00251BF8" w:rsidRDefault="00774CE9" w:rsidP="00774CE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251BF8">
        <w:rPr>
          <w:rFonts w:cs="Arial"/>
        </w:rPr>
        <w:t>počet kalendářních dnů pracovní neschopnosti,</w:t>
      </w:r>
    </w:p>
    <w:p w14:paraId="418F9ABF" w14:textId="77777777" w:rsidR="00774CE9" w:rsidRPr="00251BF8" w:rsidRDefault="00774CE9" w:rsidP="00774CE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251BF8">
        <w:rPr>
          <w:rFonts w:cs="Arial"/>
        </w:rPr>
        <w:t>průměrná délka trvání jednoho případu pracovní neschopnosti,</w:t>
      </w:r>
    </w:p>
    <w:p w14:paraId="3D3062FC" w14:textId="77777777" w:rsidR="00774CE9" w:rsidRPr="00251BF8" w:rsidRDefault="00774CE9" w:rsidP="00774CE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251BF8">
        <w:rPr>
          <w:rFonts w:cs="Arial"/>
        </w:rPr>
        <w:t>průměrné procento pracovní neschopnosti,</w:t>
      </w:r>
    </w:p>
    <w:p w14:paraId="04522FF9" w14:textId="77777777" w:rsidR="00774CE9" w:rsidRPr="00251BF8" w:rsidRDefault="00774CE9" w:rsidP="00774CE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251BF8">
        <w:rPr>
          <w:rFonts w:cs="Arial"/>
        </w:rPr>
        <w:t>průměrný denní stav dočasně práce neschopných,</w:t>
      </w:r>
    </w:p>
    <w:p w14:paraId="60070F70" w14:textId="77777777" w:rsidR="00774CE9" w:rsidRPr="00251BF8" w:rsidRDefault="00774CE9" w:rsidP="00774CE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</w:rPr>
      </w:pPr>
      <w:r w:rsidRPr="00251BF8">
        <w:rPr>
          <w:rFonts w:cs="Arial"/>
        </w:rPr>
        <w:t>počet pracovních úrazů s pracovní neschopností delší než 3 dny (kap. 4.5).</w:t>
      </w:r>
    </w:p>
    <w:p w14:paraId="09E82D6F" w14:textId="75DC0BAB" w:rsidR="00774CE9" w:rsidRPr="00D92E20" w:rsidRDefault="00774CE9" w:rsidP="00774CE9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lastRenderedPageBreak/>
        <w:t>Předkládané ukazatele jsou k dispozici v celé řadě třídění</w:t>
      </w:r>
      <w:r>
        <w:rPr>
          <w:rFonts w:cs="Arial"/>
          <w:szCs w:val="20"/>
        </w:rPr>
        <w:t>:</w:t>
      </w:r>
      <w:r w:rsidRPr="00D92E20">
        <w:rPr>
          <w:rFonts w:cs="Arial"/>
          <w:szCs w:val="20"/>
        </w:rPr>
        <w:t xml:space="preserve"> např. podle velikosti podniku, převažující ekonomické činnosti a sektoru zaměstnavatele nemocensky pojištěných osob. </w:t>
      </w:r>
      <w:r w:rsidR="004832B5" w:rsidRPr="00D92E20">
        <w:rPr>
          <w:rFonts w:cs="Arial"/>
          <w:szCs w:val="20"/>
        </w:rPr>
        <w:t>Vedle údajů o zaměstnancích publikace poskytuje také data o nemocensky pojištěných osobách samostatně výdělečně činných (OSVČ).</w:t>
      </w:r>
      <w:r w:rsidR="004832B5">
        <w:rPr>
          <w:rFonts w:cs="Arial"/>
          <w:szCs w:val="20"/>
        </w:rPr>
        <w:t xml:space="preserve"> </w:t>
      </w:r>
      <w:r w:rsidR="00F97C4B" w:rsidRPr="00EA74DB">
        <w:rPr>
          <w:rFonts w:cs="Arial"/>
          <w:b/>
          <w:szCs w:val="20"/>
        </w:rPr>
        <w:t xml:space="preserve">Členění do krajů a okresů počínaje daty za rok 2023 </w:t>
      </w:r>
      <w:r w:rsidR="004832B5" w:rsidRPr="00EA74DB">
        <w:rPr>
          <w:rFonts w:cs="Arial"/>
          <w:b/>
          <w:szCs w:val="20"/>
        </w:rPr>
        <w:t>není možné</w:t>
      </w:r>
      <w:r w:rsidR="004832B5" w:rsidRPr="00386D4F">
        <w:rPr>
          <w:rFonts w:cs="Arial"/>
          <w:szCs w:val="20"/>
        </w:rPr>
        <w:t xml:space="preserve"> z důvodu rostoucí </w:t>
      </w:r>
      <w:r w:rsidR="004832B5" w:rsidRPr="00EA74DB">
        <w:rPr>
          <w:rFonts w:cs="Arial"/>
          <w:b/>
          <w:szCs w:val="20"/>
        </w:rPr>
        <w:t>míry centralizace mzdových účtáren větších zaměstnavatelů</w:t>
      </w:r>
      <w:r w:rsidR="004832B5" w:rsidRPr="00386D4F">
        <w:rPr>
          <w:rFonts w:cs="Arial"/>
          <w:szCs w:val="20"/>
        </w:rPr>
        <w:t xml:space="preserve"> mimo okres skutečného výkonu práce či sídla </w:t>
      </w:r>
      <w:r w:rsidR="00FC2CD8" w:rsidRPr="00386D4F">
        <w:rPr>
          <w:rFonts w:cs="Arial"/>
          <w:szCs w:val="20"/>
        </w:rPr>
        <w:t>podniku</w:t>
      </w:r>
      <w:r w:rsidR="00853C74" w:rsidRPr="00386D4F">
        <w:rPr>
          <w:rFonts w:cs="Arial"/>
          <w:szCs w:val="20"/>
        </w:rPr>
        <w:t xml:space="preserve">. </w:t>
      </w:r>
      <w:r w:rsidR="00B01B3E" w:rsidRPr="00386D4F">
        <w:rPr>
          <w:rFonts w:cs="Arial"/>
          <w:szCs w:val="20"/>
        </w:rPr>
        <w:t>V</w:t>
      </w:r>
      <w:r w:rsidR="004C0C7C" w:rsidRPr="00386D4F">
        <w:rPr>
          <w:rFonts w:cs="Arial"/>
          <w:szCs w:val="20"/>
        </w:rPr>
        <w:t>livem</w:t>
      </w:r>
      <w:r w:rsidR="004832B5" w:rsidRPr="00386D4F">
        <w:rPr>
          <w:rFonts w:cs="Arial"/>
          <w:szCs w:val="20"/>
        </w:rPr>
        <w:t xml:space="preserve"> zvýšené</w:t>
      </w:r>
      <w:r w:rsidR="004C0C7C" w:rsidRPr="00386D4F">
        <w:rPr>
          <w:rFonts w:cs="Arial"/>
          <w:szCs w:val="20"/>
        </w:rPr>
        <w:t>ho</w:t>
      </w:r>
      <w:r w:rsidR="00853C74" w:rsidRPr="00386D4F">
        <w:rPr>
          <w:rFonts w:cs="Arial"/>
          <w:szCs w:val="20"/>
        </w:rPr>
        <w:t xml:space="preserve"> využívání institutu delegování </w:t>
      </w:r>
      <w:r w:rsidR="00B01B3E" w:rsidRPr="00386D4F">
        <w:rPr>
          <w:rFonts w:cs="Arial"/>
          <w:szCs w:val="20"/>
        </w:rPr>
        <w:t xml:space="preserve">rovněž </w:t>
      </w:r>
      <w:r w:rsidR="00853C74" w:rsidRPr="00EA74DB">
        <w:rPr>
          <w:rFonts w:cs="Arial"/>
          <w:b/>
          <w:szCs w:val="20"/>
        </w:rPr>
        <w:t>došlo k přesunu místní příslušnosti některých zaměstnavatelů</w:t>
      </w:r>
      <w:r w:rsidR="004C0C7C" w:rsidRPr="00EA74DB">
        <w:rPr>
          <w:rFonts w:cs="Arial"/>
          <w:b/>
          <w:szCs w:val="20"/>
        </w:rPr>
        <w:t xml:space="preserve"> pod jinou </w:t>
      </w:r>
      <w:r w:rsidR="006A65FC" w:rsidRPr="00EA74DB">
        <w:rPr>
          <w:rFonts w:cs="Arial"/>
          <w:b/>
          <w:szCs w:val="20"/>
        </w:rPr>
        <w:t>Okresní správu sociálního zabezpečení</w:t>
      </w:r>
      <w:r w:rsidR="006A65FC" w:rsidRPr="00386D4F">
        <w:rPr>
          <w:rFonts w:cs="Arial"/>
          <w:szCs w:val="20"/>
        </w:rPr>
        <w:t xml:space="preserve"> (</w:t>
      </w:r>
      <w:r w:rsidR="004C0C7C" w:rsidRPr="00386D4F">
        <w:rPr>
          <w:rFonts w:cs="Arial"/>
          <w:szCs w:val="20"/>
        </w:rPr>
        <w:t>OSSZ</w:t>
      </w:r>
      <w:r w:rsidR="006A65FC" w:rsidRPr="00386D4F">
        <w:rPr>
          <w:rFonts w:cs="Arial"/>
          <w:szCs w:val="20"/>
        </w:rPr>
        <w:t>)</w:t>
      </w:r>
      <w:r w:rsidR="00853C74" w:rsidRPr="00386D4F">
        <w:rPr>
          <w:rFonts w:cs="Arial"/>
          <w:szCs w:val="20"/>
        </w:rPr>
        <w:t>.</w:t>
      </w:r>
      <w:r w:rsidR="004832B5" w:rsidRPr="00386D4F">
        <w:rPr>
          <w:rFonts w:cs="Arial"/>
          <w:szCs w:val="20"/>
        </w:rPr>
        <w:t xml:space="preserve"> </w:t>
      </w:r>
    </w:p>
    <w:p w14:paraId="2B23A476" w14:textId="77777777" w:rsidR="00774CE9" w:rsidRPr="00D92E20" w:rsidRDefault="00774CE9" w:rsidP="00774CE9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 xml:space="preserve">Kromě podrobných dat o nově hlášených případech, přináší publikace v kapitole 4.3 i údaje o </w:t>
      </w:r>
      <w:r w:rsidRPr="00D92E20">
        <w:rPr>
          <w:rFonts w:cs="Arial"/>
          <w:b/>
          <w:szCs w:val="20"/>
        </w:rPr>
        <w:t>ukončených případech</w:t>
      </w:r>
      <w:r w:rsidRPr="00D92E20">
        <w:rPr>
          <w:rFonts w:cs="Arial"/>
          <w:szCs w:val="20"/>
        </w:rPr>
        <w:t xml:space="preserve"> podle pohlaví a věku osob dočasně práce neschopných. Počty ukončených případů jsou dostupné také podle příčiny pracovní neschopnosti dle </w:t>
      </w:r>
      <w:r>
        <w:rPr>
          <w:rFonts w:cs="Arial"/>
          <w:szCs w:val="20"/>
        </w:rPr>
        <w:t>skupin</w:t>
      </w:r>
      <w:r w:rsidRPr="00D92E20">
        <w:rPr>
          <w:rFonts w:cs="Arial"/>
          <w:szCs w:val="20"/>
        </w:rPr>
        <w:t xml:space="preserve"> diagnóz či délky jejího trvání.</w:t>
      </w:r>
    </w:p>
    <w:p w14:paraId="116911FF" w14:textId="77777777" w:rsidR="00774CE9" w:rsidRPr="00D92E20" w:rsidRDefault="00774CE9" w:rsidP="00774CE9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 xml:space="preserve">Kapitola 4.4 je věnována výši výdajů na jednotlivé dávky placené z nemocenského pojištění. Následuje kapitola </w:t>
      </w:r>
      <w:r>
        <w:rPr>
          <w:rFonts w:cs="Arial"/>
          <w:szCs w:val="20"/>
        </w:rPr>
        <w:t xml:space="preserve">4.5 </w:t>
      </w:r>
      <w:r w:rsidRPr="00D92E20">
        <w:rPr>
          <w:rFonts w:cs="Arial"/>
          <w:szCs w:val="20"/>
        </w:rPr>
        <w:t>o pracovních úrazech.</w:t>
      </w:r>
      <w:r>
        <w:rPr>
          <w:rFonts w:cs="Arial"/>
          <w:szCs w:val="20"/>
        </w:rPr>
        <w:t xml:space="preserve"> Nejprve v národním pojetí, poté v evropském srovnání.</w:t>
      </w:r>
    </w:p>
    <w:p w14:paraId="06E40FEC" w14:textId="77777777" w:rsidR="00774CE9" w:rsidRPr="00D92E20" w:rsidRDefault="00774CE9" w:rsidP="00774CE9">
      <w:pPr>
        <w:autoSpaceDE w:val="0"/>
        <w:autoSpaceDN w:val="0"/>
        <w:adjustRightInd w:val="0"/>
        <w:spacing w:after="60"/>
        <w:jc w:val="both"/>
        <w:rPr>
          <w:rFonts w:cs="Arial"/>
          <w:szCs w:val="20"/>
        </w:rPr>
      </w:pPr>
      <w:r w:rsidRPr="00D92E20">
        <w:rPr>
          <w:rFonts w:cs="Arial"/>
          <w:b/>
          <w:szCs w:val="20"/>
        </w:rPr>
        <w:t>Tabulková část</w:t>
      </w:r>
      <w:r w:rsidRPr="00D92E20">
        <w:rPr>
          <w:rFonts w:cs="Arial"/>
          <w:szCs w:val="20"/>
        </w:rPr>
        <w:t xml:space="preserve"> publikace obsahuje datové výstupy ze zpracování nově hlášených případů dočasné pracovní neschopnosti zaměstnanců a OSVČ v členění dle:</w:t>
      </w:r>
    </w:p>
    <w:p w14:paraId="7643919F" w14:textId="77777777" w:rsidR="00774CE9" w:rsidRPr="00D92E20" w:rsidRDefault="00774CE9" w:rsidP="00774C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pohlaví nemocensky pojištěných osob,</w:t>
      </w:r>
    </w:p>
    <w:p w14:paraId="19366624" w14:textId="77777777" w:rsidR="00774CE9" w:rsidRPr="00D92E20" w:rsidRDefault="00774CE9" w:rsidP="00774C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postavení v zaměstnání nemocensky pojištěných osob (zaměstnanci, OSVČ),</w:t>
      </w:r>
    </w:p>
    <w:p w14:paraId="56F943C6" w14:textId="77777777" w:rsidR="00774CE9" w:rsidRPr="00D92E20" w:rsidRDefault="00774CE9" w:rsidP="00774C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velikosti ekonomického subjektu (dle počtu zaměstnanců),</w:t>
      </w:r>
    </w:p>
    <w:p w14:paraId="33A9F4D2" w14:textId="77777777" w:rsidR="00774CE9" w:rsidRPr="00D92E20" w:rsidRDefault="00774CE9" w:rsidP="00774C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sektoru zaměstnavatele (dle klasifikace institucionálních sektorů a subsektorů ESA 2010),</w:t>
      </w:r>
    </w:p>
    <w:p w14:paraId="1A21F9BA" w14:textId="77777777" w:rsidR="00774CE9" w:rsidRPr="00D92E20" w:rsidRDefault="00774CE9" w:rsidP="00774C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převažující ekonomické činnosti (na úrovni sekcí</w:t>
      </w:r>
      <w:r w:rsidR="004832B5">
        <w:rPr>
          <w:rFonts w:cs="Arial"/>
          <w:szCs w:val="20"/>
        </w:rPr>
        <w:t xml:space="preserve"> či oddílů klasifikace CZ-NACE).</w:t>
      </w:r>
    </w:p>
    <w:p w14:paraId="20196BD2" w14:textId="42891108" w:rsidR="008F6B9A" w:rsidRPr="00337E40" w:rsidRDefault="00774CE9" w:rsidP="00337E40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Tabulková část dále obsahuje data o pracovní úrazovosti s dočasnou pracovní neschopností delší než 3 dny, se samostatným výstupem o pracovní úrazovosti mladistvých (tj. nemocensky pojištěných osob do 18 let).</w:t>
      </w:r>
      <w:bookmarkEnd w:id="1"/>
    </w:p>
    <w:p w14:paraId="1C2F7AEE" w14:textId="6E96B9E6" w:rsidR="00B366D0" w:rsidRPr="003018A3" w:rsidRDefault="00B366D0" w:rsidP="00C20328">
      <w:pPr>
        <w:spacing w:before="120"/>
        <w:rPr>
          <w:sz w:val="16"/>
        </w:rPr>
      </w:pPr>
    </w:p>
    <w:sectPr w:rsidR="00B366D0" w:rsidRPr="003018A3" w:rsidSect="00337E40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13240" w14:textId="77777777" w:rsidR="00AD214B" w:rsidRDefault="00AD214B" w:rsidP="00E71A58">
      <w:r>
        <w:separator/>
      </w:r>
    </w:p>
  </w:endnote>
  <w:endnote w:type="continuationSeparator" w:id="0">
    <w:p w14:paraId="60FB9D51" w14:textId="77777777" w:rsidR="00AD214B" w:rsidRDefault="00AD214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AC1F" w14:textId="4B8B7B28" w:rsidR="00EA74DB" w:rsidRPr="00932443" w:rsidRDefault="00EA74D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6E1BF1CA" wp14:editId="4117C10E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337E40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rStyle w:val="ZpatChar"/>
        <w:szCs w:val="16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808F" w14:textId="049B629F" w:rsidR="00EA74DB" w:rsidRPr="00932443" w:rsidRDefault="00EA74D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6192" behindDoc="0" locked="0" layoutInCell="1" allowOverlap="1" wp14:anchorId="47560B6E" wp14:editId="4B015087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337E40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5D9A" w14:textId="77777777" w:rsidR="00AD214B" w:rsidRDefault="00AD214B" w:rsidP="00E71A58">
      <w:r>
        <w:separator/>
      </w:r>
    </w:p>
  </w:footnote>
  <w:footnote w:type="continuationSeparator" w:id="0">
    <w:p w14:paraId="443B9EEF" w14:textId="77777777" w:rsidR="00AD214B" w:rsidRDefault="00AD214B" w:rsidP="00E71A58">
      <w:r>
        <w:continuationSeparator/>
      </w:r>
    </w:p>
  </w:footnote>
  <w:footnote w:id="1">
    <w:p w14:paraId="4FC1BC5E" w14:textId="77777777" w:rsidR="00EA74DB" w:rsidRPr="00B40FC2" w:rsidRDefault="00EA74DB" w:rsidP="00774CE9">
      <w:pPr>
        <w:pStyle w:val="Textpoznpodarou"/>
        <w:spacing w:line="240" w:lineRule="auto"/>
        <w:jc w:val="both"/>
        <w:rPr>
          <w:sz w:val="16"/>
          <w:szCs w:val="16"/>
        </w:rPr>
      </w:pPr>
      <w:r w:rsidRPr="00FB50FB">
        <w:rPr>
          <w:rStyle w:val="Znakapoznpodarou"/>
          <w:sz w:val="16"/>
        </w:rPr>
        <w:footnoteRef/>
      </w:r>
      <w:r w:rsidRPr="00FB50FB">
        <w:rPr>
          <w:sz w:val="16"/>
        </w:rPr>
        <w:t xml:space="preserve"> </w:t>
      </w:r>
      <w:r w:rsidRPr="00A2673E">
        <w:rPr>
          <w:sz w:val="16"/>
          <w:szCs w:val="16"/>
        </w:rPr>
        <w:t xml:space="preserve">Publikaci s daty za </w:t>
      </w:r>
      <w:r>
        <w:rPr>
          <w:sz w:val="16"/>
          <w:szCs w:val="16"/>
        </w:rPr>
        <w:t>1. pololetí roku</w:t>
      </w:r>
      <w:r w:rsidRPr="00A2673E">
        <w:rPr>
          <w:sz w:val="16"/>
          <w:szCs w:val="16"/>
        </w:rPr>
        <w:t xml:space="preserve"> 20</w:t>
      </w:r>
      <w:r>
        <w:rPr>
          <w:sz w:val="16"/>
          <w:szCs w:val="16"/>
        </w:rPr>
        <w:t>23</w:t>
      </w:r>
      <w:r w:rsidRPr="00A2673E">
        <w:rPr>
          <w:sz w:val="16"/>
          <w:szCs w:val="16"/>
        </w:rPr>
        <w:t xml:space="preserve"> lze nalézt na</w:t>
      </w:r>
      <w:r>
        <w:rPr>
          <w:sz w:val="16"/>
          <w:szCs w:val="16"/>
        </w:rPr>
        <w:t>:</w:t>
      </w:r>
      <w:r w:rsidRPr="00A2673E">
        <w:rPr>
          <w:sz w:val="16"/>
          <w:szCs w:val="16"/>
        </w:rPr>
        <w:t xml:space="preserve"> </w:t>
      </w:r>
      <w:hyperlink r:id="rId1" w:history="1">
        <w:r w:rsidRPr="004832B5">
          <w:rPr>
            <w:rStyle w:val="Hypertextovodkaz"/>
            <w:sz w:val="16"/>
            <w:szCs w:val="16"/>
          </w:rPr>
          <w:t>https://www.czso.cz/csu/czso/pracovni-neschopnost-pro-nemoc-a-uraz-v-ceske-republice-1-pololeti-2023</w:t>
        </w:r>
      </w:hyperlink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9E77E" w14:textId="59647134" w:rsidR="00EA74DB" w:rsidRPr="00774CE9" w:rsidRDefault="00EA74DB" w:rsidP="00774CE9">
    <w:pPr>
      <w:pStyle w:val="Zhlav"/>
    </w:pPr>
    <w:r>
      <w:t>Pracovní neschopnost pro nemoc a úraz v České republice za rok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81AC" w14:textId="795A3A05" w:rsidR="00EA74DB" w:rsidRPr="006F5416" w:rsidRDefault="00EA74DB" w:rsidP="00774CE9">
    <w:pPr>
      <w:pStyle w:val="Zhlav"/>
    </w:pPr>
    <w:r>
      <w:t>Pracovní neschopnost pro nemoc a úraz v České republice za rok 2023</w:t>
    </w:r>
  </w:p>
  <w:p w14:paraId="6E5B5276" w14:textId="77777777" w:rsidR="00EA74DB" w:rsidRPr="00774CE9" w:rsidRDefault="00EA74DB" w:rsidP="00774C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1470"/>
    <w:multiLevelType w:val="hybridMultilevel"/>
    <w:tmpl w:val="5C96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E4415"/>
    <w:multiLevelType w:val="hybridMultilevel"/>
    <w:tmpl w:val="189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B30C9"/>
    <w:multiLevelType w:val="multilevel"/>
    <w:tmpl w:val="8AE26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556A7"/>
    <w:multiLevelType w:val="hybridMultilevel"/>
    <w:tmpl w:val="D2E89A0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C9092A"/>
    <w:multiLevelType w:val="hybridMultilevel"/>
    <w:tmpl w:val="6106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901FC"/>
    <w:multiLevelType w:val="multilevel"/>
    <w:tmpl w:val="5142D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8AA48F6"/>
    <w:multiLevelType w:val="hybridMultilevel"/>
    <w:tmpl w:val="89FE5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016D3"/>
    <w:multiLevelType w:val="hybridMultilevel"/>
    <w:tmpl w:val="C9B2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C156E"/>
    <w:multiLevelType w:val="hybridMultilevel"/>
    <w:tmpl w:val="7EEC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F4090"/>
    <w:multiLevelType w:val="hybridMultilevel"/>
    <w:tmpl w:val="2B8C1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50F1A"/>
    <w:multiLevelType w:val="hybridMultilevel"/>
    <w:tmpl w:val="1410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A503E"/>
    <w:multiLevelType w:val="multilevel"/>
    <w:tmpl w:val="80A6E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E71B0D"/>
    <w:multiLevelType w:val="multilevel"/>
    <w:tmpl w:val="5EE4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suff w:val="space"/>
      <w:lvlText w:val="4.2.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55E"/>
    <w:multiLevelType w:val="hybridMultilevel"/>
    <w:tmpl w:val="50D6B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F4B85"/>
    <w:multiLevelType w:val="hybridMultilevel"/>
    <w:tmpl w:val="E4FC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3"/>
  </w:num>
  <w:num w:numId="14">
    <w:abstractNumId w:val="15"/>
  </w:num>
  <w:num w:numId="15">
    <w:abstractNumId w:val="18"/>
  </w:num>
  <w:num w:numId="16">
    <w:abstractNumId w:val="26"/>
  </w:num>
  <w:num w:numId="17">
    <w:abstractNumId w:val="32"/>
  </w:num>
  <w:num w:numId="18">
    <w:abstractNumId w:val="30"/>
  </w:num>
  <w:num w:numId="19">
    <w:abstractNumId w:val="11"/>
  </w:num>
  <w:num w:numId="20">
    <w:abstractNumId w:val="19"/>
  </w:num>
  <w:num w:numId="21">
    <w:abstractNumId w:val="25"/>
  </w:num>
  <w:num w:numId="22">
    <w:abstractNumId w:val="13"/>
  </w:num>
  <w:num w:numId="23">
    <w:abstractNumId w:val="28"/>
  </w:num>
  <w:num w:numId="24">
    <w:abstractNumId w:val="20"/>
  </w:num>
  <w:num w:numId="25">
    <w:abstractNumId w:val="14"/>
  </w:num>
  <w:num w:numId="26">
    <w:abstractNumId w:val="31"/>
  </w:num>
  <w:num w:numId="27">
    <w:abstractNumId w:val="24"/>
  </w:num>
  <w:num w:numId="28">
    <w:abstractNumId w:val="29"/>
  </w:num>
  <w:num w:numId="29">
    <w:abstractNumId w:val="27"/>
  </w:num>
  <w:num w:numId="30">
    <w:abstractNumId w:val="10"/>
  </w:num>
  <w:num w:numId="31">
    <w:abstractNumId w:val="17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E9"/>
    <w:rsid w:val="0000209D"/>
    <w:rsid w:val="00004D5A"/>
    <w:rsid w:val="000056D5"/>
    <w:rsid w:val="0000767A"/>
    <w:rsid w:val="00010702"/>
    <w:rsid w:val="00016992"/>
    <w:rsid w:val="000234D6"/>
    <w:rsid w:val="00023D29"/>
    <w:rsid w:val="00026389"/>
    <w:rsid w:val="00027001"/>
    <w:rsid w:val="00031AE0"/>
    <w:rsid w:val="000322EF"/>
    <w:rsid w:val="00033FCD"/>
    <w:rsid w:val="00041CEC"/>
    <w:rsid w:val="0004277C"/>
    <w:rsid w:val="0004694F"/>
    <w:rsid w:val="00047B6D"/>
    <w:rsid w:val="000522E4"/>
    <w:rsid w:val="00056319"/>
    <w:rsid w:val="000610E1"/>
    <w:rsid w:val="00062EC5"/>
    <w:rsid w:val="00062F22"/>
    <w:rsid w:val="000712B3"/>
    <w:rsid w:val="0008263E"/>
    <w:rsid w:val="00082C19"/>
    <w:rsid w:val="00085395"/>
    <w:rsid w:val="00087634"/>
    <w:rsid w:val="00087E71"/>
    <w:rsid w:val="00087F2B"/>
    <w:rsid w:val="00093988"/>
    <w:rsid w:val="000974D1"/>
    <w:rsid w:val="0009799E"/>
    <w:rsid w:val="000A1183"/>
    <w:rsid w:val="000A256D"/>
    <w:rsid w:val="000A3A2C"/>
    <w:rsid w:val="000B30FA"/>
    <w:rsid w:val="000C3408"/>
    <w:rsid w:val="000C6AFD"/>
    <w:rsid w:val="000D52D6"/>
    <w:rsid w:val="000D5637"/>
    <w:rsid w:val="000D7548"/>
    <w:rsid w:val="000E6FBD"/>
    <w:rsid w:val="000F67C2"/>
    <w:rsid w:val="00100F5C"/>
    <w:rsid w:val="001010F1"/>
    <w:rsid w:val="0010437D"/>
    <w:rsid w:val="00104C4C"/>
    <w:rsid w:val="0012192F"/>
    <w:rsid w:val="00125D69"/>
    <w:rsid w:val="001405FA"/>
    <w:rsid w:val="001425C3"/>
    <w:rsid w:val="00151B99"/>
    <w:rsid w:val="001526AD"/>
    <w:rsid w:val="0016256B"/>
    <w:rsid w:val="00163793"/>
    <w:rsid w:val="001664E8"/>
    <w:rsid w:val="001706D6"/>
    <w:rsid w:val="001714F2"/>
    <w:rsid w:val="00175043"/>
    <w:rsid w:val="00184B08"/>
    <w:rsid w:val="00185010"/>
    <w:rsid w:val="001907BB"/>
    <w:rsid w:val="001A552F"/>
    <w:rsid w:val="001B2CA9"/>
    <w:rsid w:val="001B3110"/>
    <w:rsid w:val="001B4729"/>
    <w:rsid w:val="001B6C09"/>
    <w:rsid w:val="001C05CD"/>
    <w:rsid w:val="001C1699"/>
    <w:rsid w:val="001C68C1"/>
    <w:rsid w:val="001D68B2"/>
    <w:rsid w:val="001E59FF"/>
    <w:rsid w:val="001F4597"/>
    <w:rsid w:val="001F5D31"/>
    <w:rsid w:val="001F5ECC"/>
    <w:rsid w:val="00200903"/>
    <w:rsid w:val="0021008E"/>
    <w:rsid w:val="002118B9"/>
    <w:rsid w:val="00217C5B"/>
    <w:rsid w:val="0022139E"/>
    <w:rsid w:val="002252E0"/>
    <w:rsid w:val="002255F6"/>
    <w:rsid w:val="00227850"/>
    <w:rsid w:val="00227A53"/>
    <w:rsid w:val="00230C6E"/>
    <w:rsid w:val="00234DD8"/>
    <w:rsid w:val="00236443"/>
    <w:rsid w:val="002436BA"/>
    <w:rsid w:val="00244A15"/>
    <w:rsid w:val="00245F95"/>
    <w:rsid w:val="00247319"/>
    <w:rsid w:val="0024799E"/>
    <w:rsid w:val="00251BF8"/>
    <w:rsid w:val="00253C0F"/>
    <w:rsid w:val="002643D6"/>
    <w:rsid w:val="00271465"/>
    <w:rsid w:val="00275CB4"/>
    <w:rsid w:val="00285412"/>
    <w:rsid w:val="002A00BE"/>
    <w:rsid w:val="002A16D4"/>
    <w:rsid w:val="002A230C"/>
    <w:rsid w:val="002B1226"/>
    <w:rsid w:val="002B6CB3"/>
    <w:rsid w:val="002C4214"/>
    <w:rsid w:val="002C43BD"/>
    <w:rsid w:val="002C474B"/>
    <w:rsid w:val="002C63A3"/>
    <w:rsid w:val="002C730B"/>
    <w:rsid w:val="002D0E59"/>
    <w:rsid w:val="002D6845"/>
    <w:rsid w:val="002E02A1"/>
    <w:rsid w:val="002E40F8"/>
    <w:rsid w:val="002E4E4C"/>
    <w:rsid w:val="00304771"/>
    <w:rsid w:val="003052D4"/>
    <w:rsid w:val="00305AD1"/>
    <w:rsid w:val="00306C5B"/>
    <w:rsid w:val="00307467"/>
    <w:rsid w:val="003209D6"/>
    <w:rsid w:val="00321924"/>
    <w:rsid w:val="0032656E"/>
    <w:rsid w:val="00332190"/>
    <w:rsid w:val="00335AC8"/>
    <w:rsid w:val="00336A9E"/>
    <w:rsid w:val="00337E40"/>
    <w:rsid w:val="00344573"/>
    <w:rsid w:val="00344668"/>
    <w:rsid w:val="0034529B"/>
    <w:rsid w:val="003462D9"/>
    <w:rsid w:val="003546CF"/>
    <w:rsid w:val="00360C86"/>
    <w:rsid w:val="003657F3"/>
    <w:rsid w:val="003818DC"/>
    <w:rsid w:val="00383865"/>
    <w:rsid w:val="00384327"/>
    <w:rsid w:val="00385A76"/>
    <w:rsid w:val="00385D98"/>
    <w:rsid w:val="00386D4F"/>
    <w:rsid w:val="00390BF5"/>
    <w:rsid w:val="003A2B4D"/>
    <w:rsid w:val="003A478C"/>
    <w:rsid w:val="003A5525"/>
    <w:rsid w:val="003A6B38"/>
    <w:rsid w:val="003B5A32"/>
    <w:rsid w:val="003C3490"/>
    <w:rsid w:val="003C7F33"/>
    <w:rsid w:val="003D6920"/>
    <w:rsid w:val="003D6CCD"/>
    <w:rsid w:val="003D7FCF"/>
    <w:rsid w:val="003E1B21"/>
    <w:rsid w:val="003E2FAF"/>
    <w:rsid w:val="003E4C91"/>
    <w:rsid w:val="003F313C"/>
    <w:rsid w:val="003F4B2C"/>
    <w:rsid w:val="003F551C"/>
    <w:rsid w:val="003F5663"/>
    <w:rsid w:val="003F7D23"/>
    <w:rsid w:val="0040434F"/>
    <w:rsid w:val="00407C13"/>
    <w:rsid w:val="00407F89"/>
    <w:rsid w:val="00410638"/>
    <w:rsid w:val="00425613"/>
    <w:rsid w:val="00425FEB"/>
    <w:rsid w:val="00432A58"/>
    <w:rsid w:val="00434617"/>
    <w:rsid w:val="00434CAA"/>
    <w:rsid w:val="00435456"/>
    <w:rsid w:val="00440900"/>
    <w:rsid w:val="004441A0"/>
    <w:rsid w:val="00452914"/>
    <w:rsid w:val="00460FB3"/>
    <w:rsid w:val="00476240"/>
    <w:rsid w:val="00476439"/>
    <w:rsid w:val="0047735C"/>
    <w:rsid w:val="004776BC"/>
    <w:rsid w:val="00480920"/>
    <w:rsid w:val="0048139F"/>
    <w:rsid w:val="00481559"/>
    <w:rsid w:val="00481E40"/>
    <w:rsid w:val="004832B5"/>
    <w:rsid w:val="0048489D"/>
    <w:rsid w:val="00484ECE"/>
    <w:rsid w:val="004900FF"/>
    <w:rsid w:val="004915CB"/>
    <w:rsid w:val="004924DC"/>
    <w:rsid w:val="00492878"/>
    <w:rsid w:val="004A14E4"/>
    <w:rsid w:val="004A3212"/>
    <w:rsid w:val="004A61C5"/>
    <w:rsid w:val="004A77DF"/>
    <w:rsid w:val="004B1417"/>
    <w:rsid w:val="004B55B7"/>
    <w:rsid w:val="004B6468"/>
    <w:rsid w:val="004C0C7C"/>
    <w:rsid w:val="004C384C"/>
    <w:rsid w:val="004C3867"/>
    <w:rsid w:val="004C4CD0"/>
    <w:rsid w:val="004C70DC"/>
    <w:rsid w:val="004D0211"/>
    <w:rsid w:val="004D0794"/>
    <w:rsid w:val="004E2061"/>
    <w:rsid w:val="004E495A"/>
    <w:rsid w:val="004E55AA"/>
    <w:rsid w:val="004E6857"/>
    <w:rsid w:val="004F06F5"/>
    <w:rsid w:val="004F33A0"/>
    <w:rsid w:val="00500A8A"/>
    <w:rsid w:val="0050671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0F00"/>
    <w:rsid w:val="00532CE7"/>
    <w:rsid w:val="0053324C"/>
    <w:rsid w:val="00534A28"/>
    <w:rsid w:val="00541508"/>
    <w:rsid w:val="00545FDA"/>
    <w:rsid w:val="0055599F"/>
    <w:rsid w:val="00556D68"/>
    <w:rsid w:val="005647BF"/>
    <w:rsid w:val="0056643C"/>
    <w:rsid w:val="0057364B"/>
    <w:rsid w:val="00574773"/>
    <w:rsid w:val="00583FFD"/>
    <w:rsid w:val="00587FF1"/>
    <w:rsid w:val="005911BE"/>
    <w:rsid w:val="00593152"/>
    <w:rsid w:val="005A10F2"/>
    <w:rsid w:val="005A1477"/>
    <w:rsid w:val="005A21E0"/>
    <w:rsid w:val="005A28FF"/>
    <w:rsid w:val="005A3DF8"/>
    <w:rsid w:val="005A5549"/>
    <w:rsid w:val="005B121D"/>
    <w:rsid w:val="005C06ED"/>
    <w:rsid w:val="005D05AB"/>
    <w:rsid w:val="005D13F8"/>
    <w:rsid w:val="005D1791"/>
    <w:rsid w:val="005D2D26"/>
    <w:rsid w:val="005D381C"/>
    <w:rsid w:val="005D5802"/>
    <w:rsid w:val="005D7890"/>
    <w:rsid w:val="005E066A"/>
    <w:rsid w:val="005E7C78"/>
    <w:rsid w:val="005F17A0"/>
    <w:rsid w:val="005F3EB1"/>
    <w:rsid w:val="005F4628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1D79"/>
    <w:rsid w:val="00657E87"/>
    <w:rsid w:val="00664803"/>
    <w:rsid w:val="00665BA4"/>
    <w:rsid w:val="00666329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A5661"/>
    <w:rsid w:val="006A65F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D760E"/>
    <w:rsid w:val="006E236F"/>
    <w:rsid w:val="006E270F"/>
    <w:rsid w:val="006E279A"/>
    <w:rsid w:val="006E313B"/>
    <w:rsid w:val="006E7C74"/>
    <w:rsid w:val="006F2286"/>
    <w:rsid w:val="006F5250"/>
    <w:rsid w:val="006F5416"/>
    <w:rsid w:val="006F7137"/>
    <w:rsid w:val="007066A0"/>
    <w:rsid w:val="00706AD4"/>
    <w:rsid w:val="00710A8B"/>
    <w:rsid w:val="007140BE"/>
    <w:rsid w:val="007211F5"/>
    <w:rsid w:val="00725BB5"/>
    <w:rsid w:val="00730AE8"/>
    <w:rsid w:val="00735747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03C0"/>
    <w:rsid w:val="00774CE9"/>
    <w:rsid w:val="00776169"/>
    <w:rsid w:val="00776527"/>
    <w:rsid w:val="00780EF1"/>
    <w:rsid w:val="00790764"/>
    <w:rsid w:val="0079453C"/>
    <w:rsid w:val="00794677"/>
    <w:rsid w:val="00797463"/>
    <w:rsid w:val="007A3D14"/>
    <w:rsid w:val="007A5557"/>
    <w:rsid w:val="007B6689"/>
    <w:rsid w:val="007C20D3"/>
    <w:rsid w:val="007D2096"/>
    <w:rsid w:val="007D40DF"/>
    <w:rsid w:val="007E7E61"/>
    <w:rsid w:val="007F0845"/>
    <w:rsid w:val="007F25C1"/>
    <w:rsid w:val="00803953"/>
    <w:rsid w:val="008057CA"/>
    <w:rsid w:val="008073B7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360E3"/>
    <w:rsid w:val="0084708F"/>
    <w:rsid w:val="008477C8"/>
    <w:rsid w:val="0085114D"/>
    <w:rsid w:val="00852217"/>
    <w:rsid w:val="00853C74"/>
    <w:rsid w:val="00855408"/>
    <w:rsid w:val="00856D65"/>
    <w:rsid w:val="00861B41"/>
    <w:rsid w:val="00863434"/>
    <w:rsid w:val="00865E4C"/>
    <w:rsid w:val="008701E4"/>
    <w:rsid w:val="008715C2"/>
    <w:rsid w:val="00875A32"/>
    <w:rsid w:val="00876086"/>
    <w:rsid w:val="008873D4"/>
    <w:rsid w:val="00893E85"/>
    <w:rsid w:val="00894031"/>
    <w:rsid w:val="008949D2"/>
    <w:rsid w:val="008B155B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09C3"/>
    <w:rsid w:val="008F3FC9"/>
    <w:rsid w:val="008F585B"/>
    <w:rsid w:val="008F6B9A"/>
    <w:rsid w:val="009003A8"/>
    <w:rsid w:val="00900F7C"/>
    <w:rsid w:val="00902500"/>
    <w:rsid w:val="00902EFF"/>
    <w:rsid w:val="0090477E"/>
    <w:rsid w:val="00906401"/>
    <w:rsid w:val="0091155E"/>
    <w:rsid w:val="00912A92"/>
    <w:rsid w:val="009148AF"/>
    <w:rsid w:val="0091728D"/>
    <w:rsid w:val="0092180B"/>
    <w:rsid w:val="00921F14"/>
    <w:rsid w:val="00924AC8"/>
    <w:rsid w:val="00925703"/>
    <w:rsid w:val="0092597A"/>
    <w:rsid w:val="00932443"/>
    <w:rsid w:val="009327B5"/>
    <w:rsid w:val="00935896"/>
    <w:rsid w:val="009369EC"/>
    <w:rsid w:val="00937AE2"/>
    <w:rsid w:val="0094427A"/>
    <w:rsid w:val="0094493F"/>
    <w:rsid w:val="00946B1F"/>
    <w:rsid w:val="00956F7B"/>
    <w:rsid w:val="00957C5B"/>
    <w:rsid w:val="0097209B"/>
    <w:rsid w:val="0097475C"/>
    <w:rsid w:val="00974923"/>
    <w:rsid w:val="00980D3D"/>
    <w:rsid w:val="00987A30"/>
    <w:rsid w:val="00992CF3"/>
    <w:rsid w:val="009968D6"/>
    <w:rsid w:val="009A1CAB"/>
    <w:rsid w:val="009A60D1"/>
    <w:rsid w:val="009B3199"/>
    <w:rsid w:val="009B6FD3"/>
    <w:rsid w:val="009C0EB6"/>
    <w:rsid w:val="009C1750"/>
    <w:rsid w:val="009C2E29"/>
    <w:rsid w:val="009C554B"/>
    <w:rsid w:val="009C719E"/>
    <w:rsid w:val="009D123E"/>
    <w:rsid w:val="009D3ACD"/>
    <w:rsid w:val="009D7404"/>
    <w:rsid w:val="009E4E0A"/>
    <w:rsid w:val="009E5273"/>
    <w:rsid w:val="009E5DDB"/>
    <w:rsid w:val="009E75A6"/>
    <w:rsid w:val="009F16E7"/>
    <w:rsid w:val="009F4CA7"/>
    <w:rsid w:val="009F673D"/>
    <w:rsid w:val="00A10D66"/>
    <w:rsid w:val="00A14114"/>
    <w:rsid w:val="00A16413"/>
    <w:rsid w:val="00A2262D"/>
    <w:rsid w:val="00A23E43"/>
    <w:rsid w:val="00A30F65"/>
    <w:rsid w:val="00A418BC"/>
    <w:rsid w:val="00A46DE0"/>
    <w:rsid w:val="00A50D73"/>
    <w:rsid w:val="00A52938"/>
    <w:rsid w:val="00A52CAD"/>
    <w:rsid w:val="00A53FC7"/>
    <w:rsid w:val="00A62CE1"/>
    <w:rsid w:val="00A6741E"/>
    <w:rsid w:val="00A7027D"/>
    <w:rsid w:val="00A71465"/>
    <w:rsid w:val="00A75E40"/>
    <w:rsid w:val="00A77D1D"/>
    <w:rsid w:val="00A854BA"/>
    <w:rsid w:val="00A857C0"/>
    <w:rsid w:val="00AA2996"/>
    <w:rsid w:val="00AA52BF"/>
    <w:rsid w:val="00AA559A"/>
    <w:rsid w:val="00AB292A"/>
    <w:rsid w:val="00AB2AF1"/>
    <w:rsid w:val="00AD214B"/>
    <w:rsid w:val="00AD306C"/>
    <w:rsid w:val="00AE09B3"/>
    <w:rsid w:val="00AE1A83"/>
    <w:rsid w:val="00AF51E3"/>
    <w:rsid w:val="00B00913"/>
    <w:rsid w:val="00B01593"/>
    <w:rsid w:val="00B01B3E"/>
    <w:rsid w:val="00B02AC4"/>
    <w:rsid w:val="00B10A4D"/>
    <w:rsid w:val="00B11FB3"/>
    <w:rsid w:val="00B17E71"/>
    <w:rsid w:val="00B17FDE"/>
    <w:rsid w:val="00B2379C"/>
    <w:rsid w:val="00B2687D"/>
    <w:rsid w:val="00B27E3C"/>
    <w:rsid w:val="00B31735"/>
    <w:rsid w:val="00B327FD"/>
    <w:rsid w:val="00B32DDB"/>
    <w:rsid w:val="00B33613"/>
    <w:rsid w:val="00B34528"/>
    <w:rsid w:val="00B366D0"/>
    <w:rsid w:val="00B402FC"/>
    <w:rsid w:val="00B414B3"/>
    <w:rsid w:val="00B46604"/>
    <w:rsid w:val="00B530CD"/>
    <w:rsid w:val="00B55F5E"/>
    <w:rsid w:val="00B5752E"/>
    <w:rsid w:val="00B61BF6"/>
    <w:rsid w:val="00B63A11"/>
    <w:rsid w:val="00B64C24"/>
    <w:rsid w:val="00B6608F"/>
    <w:rsid w:val="00B679FB"/>
    <w:rsid w:val="00B72505"/>
    <w:rsid w:val="00B76D1E"/>
    <w:rsid w:val="00B80EC6"/>
    <w:rsid w:val="00B920BC"/>
    <w:rsid w:val="00B923EE"/>
    <w:rsid w:val="00B92D1D"/>
    <w:rsid w:val="00B938C5"/>
    <w:rsid w:val="00B95940"/>
    <w:rsid w:val="00BB15C2"/>
    <w:rsid w:val="00BB46F3"/>
    <w:rsid w:val="00BB4CB1"/>
    <w:rsid w:val="00BB4F98"/>
    <w:rsid w:val="00BC7154"/>
    <w:rsid w:val="00BD366B"/>
    <w:rsid w:val="00BD6548"/>
    <w:rsid w:val="00BD6D50"/>
    <w:rsid w:val="00BE18B9"/>
    <w:rsid w:val="00BE2495"/>
    <w:rsid w:val="00BE60AD"/>
    <w:rsid w:val="00BF1578"/>
    <w:rsid w:val="00BF7D81"/>
    <w:rsid w:val="00C06D29"/>
    <w:rsid w:val="00C0751E"/>
    <w:rsid w:val="00C12C70"/>
    <w:rsid w:val="00C20328"/>
    <w:rsid w:val="00C21F94"/>
    <w:rsid w:val="00C23D20"/>
    <w:rsid w:val="00C27913"/>
    <w:rsid w:val="00C27ECC"/>
    <w:rsid w:val="00C33B68"/>
    <w:rsid w:val="00C369BF"/>
    <w:rsid w:val="00C36A79"/>
    <w:rsid w:val="00C405D4"/>
    <w:rsid w:val="00C4513B"/>
    <w:rsid w:val="00C470D1"/>
    <w:rsid w:val="00C50880"/>
    <w:rsid w:val="00C54697"/>
    <w:rsid w:val="00C57B87"/>
    <w:rsid w:val="00C609FE"/>
    <w:rsid w:val="00C73885"/>
    <w:rsid w:val="00C747B1"/>
    <w:rsid w:val="00C82191"/>
    <w:rsid w:val="00C8357C"/>
    <w:rsid w:val="00C90CF4"/>
    <w:rsid w:val="00C92EB6"/>
    <w:rsid w:val="00C93389"/>
    <w:rsid w:val="00CB4930"/>
    <w:rsid w:val="00CC2E7D"/>
    <w:rsid w:val="00CD10A5"/>
    <w:rsid w:val="00CD10AE"/>
    <w:rsid w:val="00CD2076"/>
    <w:rsid w:val="00CD6854"/>
    <w:rsid w:val="00CD736F"/>
    <w:rsid w:val="00CD7870"/>
    <w:rsid w:val="00CE086E"/>
    <w:rsid w:val="00CE670B"/>
    <w:rsid w:val="00CF442A"/>
    <w:rsid w:val="00CF44C1"/>
    <w:rsid w:val="00CF51EC"/>
    <w:rsid w:val="00CF73AE"/>
    <w:rsid w:val="00D040DD"/>
    <w:rsid w:val="00D05A05"/>
    <w:rsid w:val="00D13986"/>
    <w:rsid w:val="00D21199"/>
    <w:rsid w:val="00D22C80"/>
    <w:rsid w:val="00D235B7"/>
    <w:rsid w:val="00D25F28"/>
    <w:rsid w:val="00D264DA"/>
    <w:rsid w:val="00D27973"/>
    <w:rsid w:val="00D32310"/>
    <w:rsid w:val="00D454D4"/>
    <w:rsid w:val="00D50F46"/>
    <w:rsid w:val="00D56151"/>
    <w:rsid w:val="00D66223"/>
    <w:rsid w:val="00D676CB"/>
    <w:rsid w:val="00D744C7"/>
    <w:rsid w:val="00D8084C"/>
    <w:rsid w:val="00DA7C0C"/>
    <w:rsid w:val="00DB2EC8"/>
    <w:rsid w:val="00DC5B3B"/>
    <w:rsid w:val="00DD129F"/>
    <w:rsid w:val="00DD5A0D"/>
    <w:rsid w:val="00DD771A"/>
    <w:rsid w:val="00DE38A7"/>
    <w:rsid w:val="00DE4751"/>
    <w:rsid w:val="00DF42FF"/>
    <w:rsid w:val="00E01C0E"/>
    <w:rsid w:val="00E022D3"/>
    <w:rsid w:val="00E03F9A"/>
    <w:rsid w:val="00E04694"/>
    <w:rsid w:val="00E079AB"/>
    <w:rsid w:val="00E12B1E"/>
    <w:rsid w:val="00E17262"/>
    <w:rsid w:val="00E253A2"/>
    <w:rsid w:val="00E2590E"/>
    <w:rsid w:val="00E3309D"/>
    <w:rsid w:val="00E4304F"/>
    <w:rsid w:val="00E50156"/>
    <w:rsid w:val="00E53470"/>
    <w:rsid w:val="00E539F6"/>
    <w:rsid w:val="00E640F8"/>
    <w:rsid w:val="00E6417F"/>
    <w:rsid w:val="00E6519D"/>
    <w:rsid w:val="00E66A08"/>
    <w:rsid w:val="00E67696"/>
    <w:rsid w:val="00E70E65"/>
    <w:rsid w:val="00E71A58"/>
    <w:rsid w:val="00E72A7A"/>
    <w:rsid w:val="00E75117"/>
    <w:rsid w:val="00E75C94"/>
    <w:rsid w:val="00E91A97"/>
    <w:rsid w:val="00E93820"/>
    <w:rsid w:val="00EA0C68"/>
    <w:rsid w:val="00EA32BC"/>
    <w:rsid w:val="00EA74DB"/>
    <w:rsid w:val="00EB1029"/>
    <w:rsid w:val="00EB4511"/>
    <w:rsid w:val="00EB4725"/>
    <w:rsid w:val="00EC03D7"/>
    <w:rsid w:val="00ED3982"/>
    <w:rsid w:val="00ED62C6"/>
    <w:rsid w:val="00ED64C1"/>
    <w:rsid w:val="00EE3446"/>
    <w:rsid w:val="00EE3E78"/>
    <w:rsid w:val="00EE4B1B"/>
    <w:rsid w:val="00EE7CF4"/>
    <w:rsid w:val="00EF150D"/>
    <w:rsid w:val="00EF1F5A"/>
    <w:rsid w:val="00EF47BF"/>
    <w:rsid w:val="00F01C1B"/>
    <w:rsid w:val="00F04811"/>
    <w:rsid w:val="00F0488C"/>
    <w:rsid w:val="00F05F5E"/>
    <w:rsid w:val="00F10F11"/>
    <w:rsid w:val="00F1150C"/>
    <w:rsid w:val="00F149A5"/>
    <w:rsid w:val="00F15AAA"/>
    <w:rsid w:val="00F15BEF"/>
    <w:rsid w:val="00F17F34"/>
    <w:rsid w:val="00F20D12"/>
    <w:rsid w:val="00F24407"/>
    <w:rsid w:val="00F24FAA"/>
    <w:rsid w:val="00F27218"/>
    <w:rsid w:val="00F3364D"/>
    <w:rsid w:val="00F437CC"/>
    <w:rsid w:val="00F47067"/>
    <w:rsid w:val="00F47E61"/>
    <w:rsid w:val="00F525EB"/>
    <w:rsid w:val="00F52F02"/>
    <w:rsid w:val="00F63DDE"/>
    <w:rsid w:val="00F63FB7"/>
    <w:rsid w:val="00F649D2"/>
    <w:rsid w:val="00F6602B"/>
    <w:rsid w:val="00F7260E"/>
    <w:rsid w:val="00F73A0C"/>
    <w:rsid w:val="00F756DB"/>
    <w:rsid w:val="00F77AD9"/>
    <w:rsid w:val="00F85066"/>
    <w:rsid w:val="00F97C4B"/>
    <w:rsid w:val="00FA5D4D"/>
    <w:rsid w:val="00FB0EE2"/>
    <w:rsid w:val="00FB542E"/>
    <w:rsid w:val="00FC0E5F"/>
    <w:rsid w:val="00FC18CE"/>
    <w:rsid w:val="00FC1A95"/>
    <w:rsid w:val="00FC2CD8"/>
    <w:rsid w:val="00FC56DE"/>
    <w:rsid w:val="00FC684B"/>
    <w:rsid w:val="00FC6CD2"/>
    <w:rsid w:val="00FD3265"/>
    <w:rsid w:val="00FD437F"/>
    <w:rsid w:val="00FE2F78"/>
    <w:rsid w:val="00FF661E"/>
    <w:rsid w:val="00FF7B9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C6746A9"/>
  <w15:docId w15:val="{60597AD2-177B-40C5-840B-D5A114C8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8B155B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content">
    <w:name w:val="content"/>
    <w:basedOn w:val="Standardnpsmoodstavce"/>
    <w:rsid w:val="00774CE9"/>
  </w:style>
  <w:style w:type="character" w:styleId="Znakapoznpodarou">
    <w:name w:val="footnote reference"/>
    <w:rsid w:val="00774CE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774CE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4CE9"/>
    <w:rPr>
      <w:rFonts w:ascii="Arial" w:eastAsia="Times New Roman" w:hAnsi="Arial"/>
      <w:lang w:eastAsia="cs-CZ"/>
    </w:rPr>
  </w:style>
  <w:style w:type="paragraph" w:styleId="Odstavecseseznamem">
    <w:name w:val="List Paragraph"/>
    <w:basedOn w:val="Normln"/>
    <w:uiPriority w:val="99"/>
    <w:qFormat/>
    <w:rsid w:val="00774CE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832B5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20090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B2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292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292A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292A"/>
    <w:rPr>
      <w:rFonts w:ascii="Arial" w:eastAsia="Times New Roman" w:hAnsi="Arial"/>
      <w:b/>
      <w:bCs/>
      <w:lang w:eastAsia="cs-CZ"/>
    </w:rPr>
  </w:style>
  <w:style w:type="paragraph" w:customStyle="1" w:styleId="Default">
    <w:name w:val="Default"/>
    <w:rsid w:val="00B27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11FB3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11FB3"/>
    <w:rPr>
      <w:rFonts w:ascii="Arial" w:eastAsia="Times New Roman" w:hAnsi="Arial"/>
      <w:lang w:eastAsia="cs-CZ"/>
    </w:rPr>
  </w:style>
  <w:style w:type="paragraph" w:styleId="Revize">
    <w:name w:val="Revision"/>
    <w:hidden/>
    <w:uiPriority w:val="99"/>
    <w:semiHidden/>
    <w:rsid w:val="00386D4F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pracovni-neschopnost-pro-nemoc-a-uraz-v-ceske-republice-1-pololeti-202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kysova23070\Documents\PN\2023\2.%20pol\publ\Form_c439%20-%20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9F2DB7AEC6647A8C955557DF8632E" ma:contentTypeVersion="16" ma:contentTypeDescription="Vytvoří nový dokument" ma:contentTypeScope="" ma:versionID="356a4260fa4c89cc6536cff4429bdf70">
  <xsd:schema xmlns:xsd="http://www.w3.org/2001/XMLSchema" xmlns:xs="http://www.w3.org/2001/XMLSchema" xmlns:p="http://schemas.microsoft.com/office/2006/metadata/properties" xmlns:ns3="a54ffe45-0905-4298-9ac1-24bf84dddb4f" xmlns:ns4="58154a9b-48f0-4027-84a6-b753b7361b43" targetNamespace="http://schemas.microsoft.com/office/2006/metadata/properties" ma:root="true" ma:fieldsID="a7bf14e38ff2c1bdaa4a382efed316c6" ns3:_="" ns4:_="">
    <xsd:import namespace="a54ffe45-0905-4298-9ac1-24bf84dddb4f"/>
    <xsd:import namespace="58154a9b-48f0-4027-84a6-b753b7361b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SearchPropertie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ffe45-0905-4298-9ac1-24bf84ddd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54a9b-48f0-4027-84a6-b753b7361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154a9b-48f0-4027-84a6-b753b7361b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5D9B-C74E-4212-AC3B-1E28D08D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ffe45-0905-4298-9ac1-24bf84dddb4f"/>
    <ds:schemaRef ds:uri="58154a9b-48f0-4027-84a6-b753b7361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A793C-A327-4F6D-BFCB-DBC0AED8A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43DAA-0CE7-4F77-943E-2E3540133225}">
  <ds:schemaRefs>
    <ds:schemaRef ds:uri="http://schemas.microsoft.com/office/2006/metadata/properties"/>
    <ds:schemaRef ds:uri="http://schemas.microsoft.com/office/infopath/2007/PartnerControls"/>
    <ds:schemaRef ds:uri="58154a9b-48f0-4027-84a6-b753b7361b43"/>
  </ds:schemaRefs>
</ds:datastoreItem>
</file>

<file path=customXml/itemProps4.xml><?xml version="1.0" encoding="utf-8"?>
<ds:datastoreItem xmlns:ds="http://schemas.openxmlformats.org/officeDocument/2006/customXml" ds:itemID="{425BC2A1-C768-450A-91CD-AFD5DB77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Form_c439 - Publikace bar CZ_lide a spolecnost_2017-08-14.dotx</Template>
  <TotalTime>0</TotalTime>
  <Pages>2</Pages>
  <Words>771</Words>
  <Characters>4553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5314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Hykyšová Alena</dc:creator>
  <cp:keywords/>
  <dc:description/>
  <cp:lastModifiedBy>Hykyšová Alena</cp:lastModifiedBy>
  <cp:revision>2</cp:revision>
  <cp:lastPrinted>2024-05-30T10:40:00Z</cp:lastPrinted>
  <dcterms:created xsi:type="dcterms:W3CDTF">2024-05-30T10:41:00Z</dcterms:created>
  <dcterms:modified xsi:type="dcterms:W3CDTF">2024-05-30T10:41:00Z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0x01010004D9F2DB7AEC6647A8C955557DF8632E</vt:lpwstr>
  </property>
  <property fmtid="{D5CDD505-2E9C-101B-9397-08002B2CF9AE}" pid="3" name="Názevformuláře">
    <vt:lpwstr>Publikace CZ barevné - lidé a společnost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2017-08-14T07:00:00Z</vt:filetime>
  </property>
  <property fmtid="{D5CDD505-2E9C-101B-9397-08002B2CF9AE}" pid="8" name="Označení">
    <vt:lpwstr>Form_c439</vt:lpwstr>
  </property>
</Properties>
</file>